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2CF" w:rsidRPr="008072A4" w:rsidRDefault="001432CF" w:rsidP="001432CF">
      <w:pPr>
        <w:pStyle w:val="Title"/>
        <w:spacing w:after="0"/>
        <w:jc w:val="center"/>
        <w:rPr>
          <w:rFonts w:ascii="Times New Roman" w:hAnsi="Times New Roman" w:cs="Times New Roman"/>
          <w:b/>
          <w:sz w:val="24"/>
          <w:szCs w:val="24"/>
        </w:rPr>
      </w:pPr>
      <w:r w:rsidRPr="008072A4">
        <w:rPr>
          <w:rFonts w:ascii="Times New Roman" w:hAnsi="Times New Roman" w:cs="Times New Roman"/>
          <w:b/>
          <w:sz w:val="24"/>
          <w:szCs w:val="24"/>
        </w:rPr>
        <w:t xml:space="preserve">CFPB </w:t>
      </w:r>
      <w:r w:rsidR="00944218" w:rsidRPr="008072A4">
        <w:rPr>
          <w:rFonts w:ascii="Times New Roman" w:hAnsi="Times New Roman" w:cs="Times New Roman"/>
          <w:b/>
          <w:sz w:val="24"/>
          <w:szCs w:val="24"/>
        </w:rPr>
        <w:t xml:space="preserve">Integrated </w:t>
      </w:r>
      <w:r w:rsidRPr="008072A4">
        <w:rPr>
          <w:rFonts w:ascii="Times New Roman" w:hAnsi="Times New Roman" w:cs="Times New Roman"/>
          <w:b/>
          <w:sz w:val="24"/>
          <w:szCs w:val="24"/>
        </w:rPr>
        <w:t>Mortgage Disclosure Testing</w:t>
      </w:r>
    </w:p>
    <w:p w:rsidR="001432CF" w:rsidRPr="008072A4" w:rsidRDefault="009A20FC" w:rsidP="001432CF">
      <w:pPr>
        <w:pStyle w:val="Title"/>
        <w:spacing w:after="0"/>
        <w:jc w:val="center"/>
        <w:rPr>
          <w:rFonts w:ascii="Times New Roman" w:hAnsi="Times New Roman" w:cs="Times New Roman"/>
          <w:b/>
          <w:sz w:val="24"/>
          <w:szCs w:val="24"/>
        </w:rPr>
      </w:pPr>
      <w:r>
        <w:rPr>
          <w:rFonts w:ascii="Times New Roman" w:hAnsi="Times New Roman" w:cs="Times New Roman"/>
          <w:b/>
          <w:sz w:val="24"/>
          <w:szCs w:val="24"/>
        </w:rPr>
        <w:t>(Round 1)</w:t>
      </w:r>
    </w:p>
    <w:p w:rsidR="008072A4" w:rsidRPr="008072A4" w:rsidRDefault="008072A4" w:rsidP="008072A4">
      <w:pPr>
        <w:jc w:val="center"/>
        <w:rPr>
          <w:rFonts w:ascii="Times New Roman" w:hAnsi="Times New Roman" w:cs="Times New Roman"/>
          <w:sz w:val="24"/>
          <w:szCs w:val="24"/>
        </w:rPr>
      </w:pPr>
      <w:r w:rsidRPr="008072A4">
        <w:rPr>
          <w:rFonts w:ascii="Times New Roman" w:hAnsi="Times New Roman" w:cs="Times New Roman"/>
          <w:sz w:val="24"/>
          <w:szCs w:val="24"/>
        </w:rPr>
        <w:t>(OMB Control Number: 3170-</w:t>
      </w:r>
      <w:r w:rsidR="00073DF6">
        <w:rPr>
          <w:rFonts w:ascii="Times New Roman" w:hAnsi="Times New Roman" w:cs="Times New Roman"/>
          <w:sz w:val="24"/>
          <w:szCs w:val="24"/>
        </w:rPr>
        <w:t>0003</w:t>
      </w:r>
      <w:r w:rsidRPr="008072A4">
        <w:rPr>
          <w:rFonts w:ascii="Times New Roman" w:hAnsi="Times New Roman" w:cs="Times New Roman"/>
          <w:sz w:val="24"/>
          <w:szCs w:val="24"/>
        </w:rPr>
        <w:t>)</w:t>
      </w:r>
    </w:p>
    <w:p w:rsidR="001432CF" w:rsidRPr="008072A4" w:rsidRDefault="00B81A44" w:rsidP="001432CF">
      <w:pPr>
        <w:pStyle w:val="Title"/>
        <w:spacing w:after="0"/>
        <w:jc w:val="center"/>
        <w:rPr>
          <w:rFonts w:ascii="Times New Roman" w:hAnsi="Times New Roman" w:cs="Times New Roman"/>
          <w:sz w:val="24"/>
          <w:szCs w:val="24"/>
        </w:rPr>
      </w:pPr>
      <w:r w:rsidRPr="008072A4">
        <w:rPr>
          <w:rFonts w:ascii="Times New Roman" w:hAnsi="Times New Roman" w:cs="Times New Roman"/>
          <w:sz w:val="24"/>
          <w:szCs w:val="24"/>
        </w:rPr>
        <w:t>November 4</w:t>
      </w:r>
      <w:r w:rsidR="00073DF6">
        <w:rPr>
          <w:rFonts w:ascii="Times New Roman" w:hAnsi="Times New Roman" w:cs="Times New Roman"/>
          <w:sz w:val="24"/>
          <w:szCs w:val="24"/>
        </w:rPr>
        <w:t>, 2011</w:t>
      </w:r>
    </w:p>
    <w:p w:rsidR="001432CF" w:rsidRPr="008072A4" w:rsidRDefault="001432CF" w:rsidP="001432CF">
      <w:pPr>
        <w:pStyle w:val="Title"/>
        <w:spacing w:after="0"/>
        <w:rPr>
          <w:rFonts w:ascii="Times New Roman" w:hAnsi="Times New Roman" w:cs="Times New Roman"/>
          <w:sz w:val="24"/>
          <w:szCs w:val="24"/>
        </w:rPr>
      </w:pPr>
    </w:p>
    <w:p w:rsidR="001432CF" w:rsidRPr="008072A4" w:rsidRDefault="001432CF" w:rsidP="001432CF">
      <w:pPr>
        <w:pStyle w:val="Heading1"/>
        <w:spacing w:before="0" w:line="240" w:lineRule="auto"/>
        <w:rPr>
          <w:rFonts w:ascii="Times New Roman" w:eastAsiaTheme="minorHAnsi" w:hAnsi="Times New Roman" w:cs="Times New Roman"/>
          <w:b w:val="0"/>
          <w:bCs w:val="0"/>
          <w:sz w:val="24"/>
          <w:szCs w:val="24"/>
        </w:rPr>
      </w:pPr>
    </w:p>
    <w:p w:rsidR="00E76D99" w:rsidRPr="008072A4" w:rsidRDefault="009A20FC" w:rsidP="00ED30B2">
      <w:pPr>
        <w:rPr>
          <w:rFonts w:ascii="Times New Roman" w:hAnsi="Times New Roman" w:cs="Times New Roman"/>
          <w:b/>
          <w:bCs/>
          <w:sz w:val="24"/>
          <w:szCs w:val="24"/>
        </w:rPr>
      </w:pPr>
      <w:r>
        <w:rPr>
          <w:rFonts w:ascii="Times New Roman" w:hAnsi="Times New Roman" w:cs="Times New Roman"/>
          <w:b/>
          <w:bCs/>
          <w:sz w:val="24"/>
          <w:szCs w:val="24"/>
        </w:rPr>
        <w:t>Background</w:t>
      </w:r>
    </w:p>
    <w:p w:rsidR="00ED30B2" w:rsidRPr="008072A4" w:rsidRDefault="009A20FC" w:rsidP="00ED30B2">
      <w:pPr>
        <w:rPr>
          <w:rFonts w:ascii="Times New Roman" w:hAnsi="Times New Roman" w:cs="Times New Roman"/>
          <w:sz w:val="24"/>
          <w:szCs w:val="24"/>
        </w:rPr>
      </w:pPr>
      <w:r>
        <w:rPr>
          <w:rFonts w:ascii="Times New Roman" w:hAnsi="Times New Roman" w:cs="Times New Roman"/>
          <w:sz w:val="24"/>
          <w:szCs w:val="24"/>
        </w:rPr>
        <w:t xml:space="preserve">The Dodd-Frank Wall Street Reform and Consumer Protection Act (“Dodd-Frank Act”) requires </w:t>
      </w:r>
      <w:r>
        <w:rPr>
          <w:rFonts w:ascii="Times New Roman" w:hAnsi="Times New Roman" w:cs="Times New Roman"/>
          <w:bCs/>
          <w:sz w:val="24"/>
          <w:szCs w:val="24"/>
        </w:rPr>
        <w:t xml:space="preserve">the Bureau of Consumer Financial Protection (“CFPB”) </w:t>
      </w:r>
      <w:r>
        <w:rPr>
          <w:rFonts w:ascii="Times New Roman" w:hAnsi="Times New Roman" w:cs="Times New Roman"/>
          <w:sz w:val="24"/>
          <w:szCs w:val="24"/>
        </w:rPr>
        <w:t xml:space="preserve">to propose model mortgage disclosure forms that combine certain disclosures required under the Truth in Lending Act (“TILA”) and the Real Estate Settlement Procedures Act (“RESPA”) by July 21, 2012.  </w:t>
      </w:r>
      <w:r>
        <w:rPr>
          <w:rFonts w:ascii="Times New Roman" w:hAnsi="Times New Roman" w:cs="Times New Roman"/>
          <w:bCs/>
          <w:sz w:val="24"/>
          <w:szCs w:val="24"/>
        </w:rPr>
        <w:t xml:space="preserve">As discussed in the </w:t>
      </w:r>
      <w:r w:rsidR="008072A4">
        <w:rPr>
          <w:rFonts w:ascii="Times New Roman" w:hAnsi="Times New Roman" w:cs="Times New Roman"/>
          <w:bCs/>
          <w:sz w:val="24"/>
          <w:szCs w:val="24"/>
        </w:rPr>
        <w:t xml:space="preserve">generic </w:t>
      </w:r>
      <w:r w:rsidR="00142731" w:rsidRPr="008072A4">
        <w:rPr>
          <w:rFonts w:ascii="Times New Roman" w:hAnsi="Times New Roman" w:cs="Times New Roman"/>
          <w:bCs/>
          <w:sz w:val="24"/>
          <w:szCs w:val="24"/>
        </w:rPr>
        <w:t xml:space="preserve">Supporting Statement </w:t>
      </w:r>
      <w:r w:rsidR="008072A4">
        <w:rPr>
          <w:rFonts w:ascii="Times New Roman" w:hAnsi="Times New Roman" w:cs="Times New Roman"/>
          <w:bCs/>
          <w:sz w:val="24"/>
          <w:szCs w:val="24"/>
        </w:rPr>
        <w:t xml:space="preserve">for this information collection </w:t>
      </w:r>
      <w:r w:rsidR="00142731" w:rsidRPr="008072A4">
        <w:rPr>
          <w:rFonts w:ascii="Times New Roman" w:hAnsi="Times New Roman" w:cs="Times New Roman"/>
          <w:bCs/>
          <w:sz w:val="24"/>
          <w:szCs w:val="24"/>
        </w:rPr>
        <w:t>(</w:t>
      </w:r>
      <w:r w:rsidR="008072A4">
        <w:rPr>
          <w:rFonts w:ascii="Times New Roman" w:hAnsi="Times New Roman" w:cs="Times New Roman"/>
          <w:bCs/>
          <w:sz w:val="24"/>
          <w:szCs w:val="24"/>
        </w:rPr>
        <w:t>approved</w:t>
      </w:r>
      <w:r w:rsidR="008072A4" w:rsidRPr="008072A4">
        <w:rPr>
          <w:rFonts w:ascii="Times New Roman" w:hAnsi="Times New Roman" w:cs="Times New Roman"/>
          <w:bCs/>
          <w:sz w:val="24"/>
          <w:szCs w:val="24"/>
        </w:rPr>
        <w:t xml:space="preserve"> </w:t>
      </w:r>
      <w:r w:rsidR="00142731" w:rsidRPr="008072A4">
        <w:rPr>
          <w:rFonts w:ascii="Times New Roman" w:hAnsi="Times New Roman" w:cs="Times New Roman"/>
          <w:bCs/>
          <w:sz w:val="24"/>
          <w:szCs w:val="24"/>
        </w:rPr>
        <w:t>on November 4, 2011)</w:t>
      </w:r>
      <w:r w:rsidR="001432CF" w:rsidRPr="008072A4">
        <w:rPr>
          <w:rFonts w:ascii="Times New Roman" w:hAnsi="Times New Roman" w:cs="Times New Roman"/>
          <w:bCs/>
          <w:sz w:val="24"/>
          <w:szCs w:val="24"/>
        </w:rPr>
        <w:t xml:space="preserve">, </w:t>
      </w:r>
      <w:r w:rsidR="00142731" w:rsidRPr="008072A4">
        <w:rPr>
          <w:rFonts w:ascii="Times New Roman" w:hAnsi="Times New Roman" w:cs="Times New Roman"/>
          <w:bCs/>
          <w:sz w:val="24"/>
          <w:szCs w:val="24"/>
        </w:rPr>
        <w:t>the CFPB has requested</w:t>
      </w:r>
      <w:r w:rsidR="00ED30B2" w:rsidRPr="008072A4">
        <w:rPr>
          <w:rFonts w:ascii="Times New Roman" w:hAnsi="Times New Roman" w:cs="Times New Roman"/>
          <w:bCs/>
          <w:sz w:val="24"/>
          <w:szCs w:val="24"/>
        </w:rPr>
        <w:t xml:space="preserve"> </w:t>
      </w:r>
      <w:r w:rsidR="00ED30B2" w:rsidRPr="008072A4">
        <w:rPr>
          <w:rFonts w:ascii="Times New Roman" w:hAnsi="Times New Roman" w:cs="Times New Roman"/>
          <w:sz w:val="24"/>
          <w:szCs w:val="24"/>
        </w:rPr>
        <w:t xml:space="preserve">a three-year generic clearance to continue the collection of information for the development, evaluation, and implementation of </w:t>
      </w:r>
      <w:r w:rsidR="006E2583" w:rsidRPr="008072A4">
        <w:rPr>
          <w:rFonts w:ascii="Times New Roman" w:hAnsi="Times New Roman" w:cs="Times New Roman"/>
          <w:sz w:val="24"/>
          <w:szCs w:val="24"/>
        </w:rPr>
        <w:t xml:space="preserve">these </w:t>
      </w:r>
      <w:r w:rsidR="00ED30B2" w:rsidRPr="008072A4">
        <w:rPr>
          <w:rFonts w:ascii="Times New Roman" w:hAnsi="Times New Roman" w:cs="Times New Roman"/>
          <w:sz w:val="24"/>
          <w:szCs w:val="24"/>
        </w:rPr>
        <w:t xml:space="preserve">forms and related materials.  </w:t>
      </w:r>
    </w:p>
    <w:p w:rsidR="00ED30B2" w:rsidRPr="008072A4" w:rsidRDefault="009A20FC" w:rsidP="00ED30B2">
      <w:pPr>
        <w:rPr>
          <w:rFonts w:ascii="Times New Roman" w:hAnsi="Times New Roman" w:cs="Times New Roman"/>
          <w:sz w:val="24"/>
          <w:szCs w:val="24"/>
        </w:rPr>
      </w:pPr>
      <w:r>
        <w:rPr>
          <w:rFonts w:ascii="Times New Roman" w:hAnsi="Times New Roman" w:cs="Times New Roman"/>
          <w:sz w:val="24"/>
          <w:szCs w:val="24"/>
        </w:rPr>
        <w:t>The CFPB began testing in May 2011 under an Emergency Clearance.  The CFPB has conducted five rounds of qualitative testing that focused on developing an</w:t>
      </w:r>
      <w:r w:rsidR="000F2BEF">
        <w:rPr>
          <w:rFonts w:ascii="Times New Roman" w:hAnsi="Times New Roman" w:cs="Times New Roman"/>
          <w:sz w:val="24"/>
          <w:szCs w:val="24"/>
        </w:rPr>
        <w:t xml:space="preserve"> </w:t>
      </w:r>
      <w:r>
        <w:rPr>
          <w:rFonts w:ascii="Times New Roman" w:hAnsi="Times New Roman" w:cs="Times New Roman"/>
          <w:sz w:val="24"/>
          <w:szCs w:val="24"/>
        </w:rPr>
        <w:t>integrated initial disclosure that consumers will receive three days after applying for a mortgage loan (“the Initial Disclosure”).  Under the Generic Clearance, the CFPB will continue this qualitative testing, but will focus on adapting the Initial Disclosure design to provide the disclosures</w:t>
      </w:r>
      <w:r w:rsidR="000F2BEF">
        <w:rPr>
          <w:rFonts w:ascii="Times New Roman" w:hAnsi="Times New Roman" w:cs="Times New Roman"/>
          <w:sz w:val="24"/>
          <w:szCs w:val="24"/>
        </w:rPr>
        <w:t xml:space="preserve"> </w:t>
      </w:r>
      <w:r>
        <w:rPr>
          <w:rFonts w:ascii="Times New Roman" w:hAnsi="Times New Roman" w:cs="Times New Roman"/>
          <w:sz w:val="24"/>
          <w:szCs w:val="24"/>
        </w:rPr>
        <w:t>that consumers will receive at or before consummation of a mortgage lo</w:t>
      </w:r>
      <w:r w:rsidR="00ED30B2" w:rsidRPr="008072A4">
        <w:rPr>
          <w:rFonts w:ascii="Times New Roman" w:hAnsi="Times New Roman" w:cs="Times New Roman"/>
          <w:sz w:val="24"/>
          <w:szCs w:val="24"/>
        </w:rPr>
        <w:t>an transaction</w:t>
      </w:r>
      <w:r w:rsidR="00E76D99" w:rsidRPr="008072A4">
        <w:rPr>
          <w:rFonts w:ascii="Times New Roman" w:hAnsi="Times New Roman" w:cs="Times New Roman"/>
          <w:sz w:val="24"/>
          <w:szCs w:val="24"/>
        </w:rPr>
        <w:t xml:space="preserve"> (“the Closing Disclosure”)</w:t>
      </w:r>
      <w:r w:rsidR="00ED30B2" w:rsidRPr="008072A4">
        <w:rPr>
          <w:rFonts w:ascii="Times New Roman" w:hAnsi="Times New Roman" w:cs="Times New Roman"/>
          <w:sz w:val="24"/>
          <w:szCs w:val="24"/>
        </w:rPr>
        <w:t xml:space="preserve">.    </w:t>
      </w:r>
    </w:p>
    <w:p w:rsidR="009604F1" w:rsidRPr="008072A4" w:rsidRDefault="009604F1" w:rsidP="00ED30B2">
      <w:pPr>
        <w:rPr>
          <w:rFonts w:ascii="Times New Roman" w:hAnsi="Times New Roman" w:cs="Times New Roman"/>
          <w:sz w:val="24"/>
          <w:szCs w:val="24"/>
        </w:rPr>
      </w:pPr>
      <w:r w:rsidRPr="008072A4">
        <w:rPr>
          <w:rFonts w:ascii="Times New Roman" w:hAnsi="Times New Roman" w:cs="Times New Roman"/>
          <w:sz w:val="24"/>
          <w:szCs w:val="24"/>
        </w:rPr>
        <w:t>The comment period for the proposed information collection close</w:t>
      </w:r>
      <w:r w:rsidR="00142731" w:rsidRPr="008072A4">
        <w:rPr>
          <w:rFonts w:ascii="Times New Roman" w:hAnsi="Times New Roman" w:cs="Times New Roman"/>
          <w:sz w:val="24"/>
          <w:szCs w:val="24"/>
        </w:rPr>
        <w:t xml:space="preserve">d </w:t>
      </w:r>
      <w:r w:rsidRPr="008072A4">
        <w:rPr>
          <w:rFonts w:ascii="Times New Roman" w:hAnsi="Times New Roman" w:cs="Times New Roman"/>
          <w:sz w:val="24"/>
          <w:szCs w:val="24"/>
        </w:rPr>
        <w:t>on October 26, 2011</w:t>
      </w:r>
      <w:r w:rsidR="00142731" w:rsidRPr="008072A4">
        <w:rPr>
          <w:rFonts w:ascii="Times New Roman" w:hAnsi="Times New Roman" w:cs="Times New Roman"/>
          <w:sz w:val="24"/>
          <w:szCs w:val="24"/>
        </w:rPr>
        <w:t>,</w:t>
      </w:r>
      <w:r w:rsidR="00142731" w:rsidRPr="008072A4">
        <w:rPr>
          <w:rStyle w:val="FootnoteReference"/>
          <w:rFonts w:ascii="Times New Roman" w:hAnsi="Times New Roman" w:cs="Times New Roman"/>
          <w:sz w:val="24"/>
          <w:szCs w:val="24"/>
        </w:rPr>
        <w:footnoteReference w:id="1"/>
      </w:r>
      <w:r w:rsidR="00142731" w:rsidRPr="008072A4">
        <w:rPr>
          <w:rFonts w:ascii="Times New Roman" w:hAnsi="Times New Roman" w:cs="Times New Roman"/>
          <w:sz w:val="24"/>
          <w:szCs w:val="24"/>
        </w:rPr>
        <w:t xml:space="preserve"> and the CFPB has submitted a revised Supporting Statement addressing the only comment received</w:t>
      </w:r>
      <w:r w:rsidRPr="008072A4">
        <w:rPr>
          <w:rFonts w:ascii="Times New Roman" w:hAnsi="Times New Roman" w:cs="Times New Roman"/>
          <w:sz w:val="24"/>
          <w:szCs w:val="24"/>
        </w:rPr>
        <w:t xml:space="preserve">.  </w:t>
      </w:r>
      <w:r w:rsidR="00913776" w:rsidRPr="008072A4">
        <w:rPr>
          <w:rFonts w:ascii="Times New Roman" w:hAnsi="Times New Roman" w:cs="Times New Roman"/>
          <w:sz w:val="24"/>
          <w:szCs w:val="24"/>
        </w:rPr>
        <w:t xml:space="preserve">The first round of testing for the Closing Disclosure </w:t>
      </w:r>
      <w:r w:rsidR="008072A4">
        <w:rPr>
          <w:rFonts w:ascii="Times New Roman" w:hAnsi="Times New Roman" w:cs="Times New Roman"/>
          <w:sz w:val="24"/>
          <w:szCs w:val="24"/>
        </w:rPr>
        <w:t>will</w:t>
      </w:r>
      <w:r w:rsidR="00913776" w:rsidRPr="008072A4">
        <w:rPr>
          <w:rFonts w:ascii="Times New Roman" w:hAnsi="Times New Roman" w:cs="Times New Roman"/>
          <w:sz w:val="24"/>
          <w:szCs w:val="24"/>
        </w:rPr>
        <w:t xml:space="preserve"> begin on November 8, 2011.  </w:t>
      </w:r>
      <w:r w:rsidR="008072A4">
        <w:rPr>
          <w:rFonts w:ascii="Times New Roman" w:hAnsi="Times New Roman" w:cs="Times New Roman"/>
          <w:sz w:val="24"/>
          <w:szCs w:val="24"/>
        </w:rPr>
        <w:t>T</w:t>
      </w:r>
      <w:r w:rsidR="00142731" w:rsidRPr="008072A4">
        <w:rPr>
          <w:rFonts w:ascii="Times New Roman" w:hAnsi="Times New Roman" w:cs="Times New Roman"/>
          <w:sz w:val="24"/>
          <w:szCs w:val="24"/>
        </w:rPr>
        <w:t>he procedures and</w:t>
      </w:r>
      <w:r w:rsidR="006E2583" w:rsidRPr="008072A4">
        <w:rPr>
          <w:rFonts w:ascii="Times New Roman" w:hAnsi="Times New Roman" w:cs="Times New Roman"/>
          <w:sz w:val="24"/>
          <w:szCs w:val="24"/>
        </w:rPr>
        <w:t xml:space="preserve"> materials </w:t>
      </w:r>
      <w:r w:rsidR="00142731" w:rsidRPr="008072A4">
        <w:rPr>
          <w:rFonts w:ascii="Times New Roman" w:hAnsi="Times New Roman" w:cs="Times New Roman"/>
          <w:sz w:val="24"/>
          <w:szCs w:val="24"/>
        </w:rPr>
        <w:t xml:space="preserve">for the first round of testing </w:t>
      </w:r>
      <w:r w:rsidR="006E2583" w:rsidRPr="008072A4">
        <w:rPr>
          <w:rFonts w:ascii="Times New Roman" w:hAnsi="Times New Roman" w:cs="Times New Roman"/>
          <w:sz w:val="24"/>
          <w:szCs w:val="24"/>
        </w:rPr>
        <w:t>are similar to those approved by OMB for testing of the Initial Disclosure</w:t>
      </w:r>
      <w:r w:rsidR="008072A4">
        <w:rPr>
          <w:rFonts w:ascii="Times New Roman" w:hAnsi="Times New Roman" w:cs="Times New Roman"/>
          <w:sz w:val="24"/>
          <w:szCs w:val="24"/>
        </w:rPr>
        <w:t xml:space="preserve"> and the testing materials include the examples provided under the Supplemental Documents to this generic Information Collection Request.</w:t>
      </w:r>
      <w:r w:rsidR="006E2583" w:rsidRPr="008072A4">
        <w:rPr>
          <w:rFonts w:ascii="Times New Roman" w:hAnsi="Times New Roman" w:cs="Times New Roman"/>
          <w:sz w:val="24"/>
          <w:szCs w:val="24"/>
        </w:rPr>
        <w:t xml:space="preserve">  </w:t>
      </w:r>
      <w:r w:rsidR="00913776" w:rsidRPr="008072A4">
        <w:rPr>
          <w:rFonts w:ascii="Times New Roman" w:hAnsi="Times New Roman" w:cs="Times New Roman"/>
          <w:sz w:val="24"/>
          <w:szCs w:val="24"/>
        </w:rPr>
        <w:t xml:space="preserve">    </w:t>
      </w:r>
    </w:p>
    <w:p w:rsidR="001432CF" w:rsidRPr="008072A4" w:rsidRDefault="009A20FC" w:rsidP="001432CF">
      <w:pPr>
        <w:pStyle w:val="Heading1"/>
        <w:spacing w:before="0" w:line="240" w:lineRule="auto"/>
        <w:rPr>
          <w:rFonts w:ascii="Times New Roman" w:eastAsiaTheme="minorHAnsi" w:hAnsi="Times New Roman" w:cs="Times New Roman"/>
          <w:bCs w:val="0"/>
          <w:sz w:val="24"/>
          <w:szCs w:val="24"/>
        </w:rPr>
      </w:pPr>
      <w:r>
        <w:rPr>
          <w:rFonts w:ascii="Times New Roman" w:eastAsiaTheme="minorHAnsi" w:hAnsi="Times New Roman" w:cs="Times New Roman"/>
          <w:bCs w:val="0"/>
          <w:sz w:val="24"/>
          <w:szCs w:val="24"/>
        </w:rPr>
        <w:t>Planned Testing Under the Generic Clearance</w:t>
      </w:r>
    </w:p>
    <w:p w:rsidR="00E76D99" w:rsidRPr="008072A4" w:rsidRDefault="00E76D99" w:rsidP="001432CF">
      <w:pPr>
        <w:pStyle w:val="Heading1"/>
        <w:spacing w:before="0" w:line="240" w:lineRule="auto"/>
        <w:rPr>
          <w:rFonts w:ascii="Times New Roman" w:eastAsiaTheme="minorHAnsi" w:hAnsi="Times New Roman" w:cs="Times New Roman"/>
          <w:b w:val="0"/>
          <w:bCs w:val="0"/>
          <w:sz w:val="24"/>
          <w:szCs w:val="24"/>
        </w:rPr>
      </w:pPr>
    </w:p>
    <w:p w:rsidR="00807BA9" w:rsidRPr="008072A4" w:rsidRDefault="009A20FC" w:rsidP="00807BA9">
      <w:pPr>
        <w:rPr>
          <w:sz w:val="24"/>
          <w:szCs w:val="24"/>
        </w:rPr>
      </w:pPr>
      <w:r>
        <w:rPr>
          <w:rFonts w:ascii="Times New Roman" w:hAnsi="Times New Roman" w:cs="Times New Roman"/>
          <w:sz w:val="24"/>
          <w:szCs w:val="24"/>
        </w:rPr>
        <w:t>The Initial and Closing Disclosures are designed to enable consumers to understand the basic terms and costs of a mortgage loan.  The Initial Disclosure provides consumers with the preliminary loan terms, estimated closing costs, and other statutory disclosures.  The prototypes for the Closing Disclosure build on the design of the Initial Disclosure to provide consumers with the final loan terms and closing costs, a full itemization of the loan transaction, and additional statutory disclosures.  The Closing Disclosure also incorporates elements of the existing HUD-1 closing document tested by the Department of Housing and Urban Development (“HUD”) in 2008 and the TILA disclosures tested by the Federal Reserve Board in 2009.</w:t>
      </w:r>
    </w:p>
    <w:p w:rsidR="009D631D" w:rsidRPr="008072A4" w:rsidRDefault="006E2583" w:rsidP="00641898">
      <w:pPr>
        <w:pStyle w:val="Heading1"/>
        <w:spacing w:before="0" w:line="240" w:lineRule="auto"/>
        <w:rPr>
          <w:rFonts w:ascii="Times New Roman" w:hAnsi="Times New Roman" w:cs="Times New Roman"/>
          <w:b w:val="0"/>
          <w:sz w:val="24"/>
          <w:szCs w:val="24"/>
        </w:rPr>
      </w:pPr>
      <w:proofErr w:type="gramStart"/>
      <w:r w:rsidRPr="008072A4">
        <w:rPr>
          <w:rFonts w:ascii="Times New Roman" w:hAnsi="Times New Roman" w:cs="Times New Roman"/>
          <w:sz w:val="24"/>
          <w:szCs w:val="24"/>
        </w:rPr>
        <w:lastRenderedPageBreak/>
        <w:t>T</w:t>
      </w:r>
      <w:r w:rsidR="009D631D" w:rsidRPr="008072A4">
        <w:rPr>
          <w:rFonts w:ascii="Times New Roman" w:hAnsi="Times New Roman" w:cs="Times New Roman"/>
          <w:sz w:val="24"/>
          <w:szCs w:val="24"/>
        </w:rPr>
        <w:t xml:space="preserve">he </w:t>
      </w:r>
      <w:r w:rsidRPr="008072A4">
        <w:rPr>
          <w:rFonts w:ascii="Times New Roman" w:hAnsi="Times New Roman" w:cs="Times New Roman"/>
          <w:sz w:val="24"/>
          <w:szCs w:val="24"/>
        </w:rPr>
        <w:t xml:space="preserve">Closing </w:t>
      </w:r>
      <w:r w:rsidR="009D631D" w:rsidRPr="008072A4">
        <w:rPr>
          <w:rFonts w:ascii="Times New Roman" w:hAnsi="Times New Roman" w:cs="Times New Roman"/>
          <w:sz w:val="24"/>
          <w:szCs w:val="24"/>
        </w:rPr>
        <w:t>Disclosure</w:t>
      </w:r>
      <w:r w:rsidR="00641898" w:rsidRPr="008072A4">
        <w:rPr>
          <w:rFonts w:ascii="Times New Roman" w:hAnsi="Times New Roman" w:cs="Times New Roman"/>
          <w:sz w:val="24"/>
          <w:szCs w:val="24"/>
        </w:rPr>
        <w:t>.</w:t>
      </w:r>
      <w:proofErr w:type="gramEnd"/>
      <w:r w:rsidR="00641898" w:rsidRPr="008072A4">
        <w:rPr>
          <w:rFonts w:ascii="Times New Roman" w:hAnsi="Times New Roman" w:cs="Times New Roman"/>
          <w:sz w:val="24"/>
          <w:szCs w:val="24"/>
        </w:rPr>
        <w:t xml:space="preserve">  </w:t>
      </w:r>
      <w:r w:rsidR="009D631D" w:rsidRPr="008072A4">
        <w:rPr>
          <w:rFonts w:ascii="Times New Roman" w:hAnsi="Times New Roman" w:cs="Times New Roman"/>
          <w:b w:val="0"/>
          <w:sz w:val="24"/>
          <w:szCs w:val="24"/>
        </w:rPr>
        <w:t xml:space="preserve">The </w:t>
      </w:r>
      <w:r w:rsidR="00775848" w:rsidRPr="008072A4">
        <w:rPr>
          <w:rFonts w:ascii="Times New Roman" w:hAnsi="Times New Roman" w:cs="Times New Roman"/>
          <w:b w:val="0"/>
          <w:sz w:val="24"/>
          <w:szCs w:val="24"/>
        </w:rPr>
        <w:t>Closing D</w:t>
      </w:r>
      <w:r w:rsidR="009D631D" w:rsidRPr="008072A4">
        <w:rPr>
          <w:rFonts w:ascii="Times New Roman" w:hAnsi="Times New Roman" w:cs="Times New Roman"/>
          <w:b w:val="0"/>
          <w:sz w:val="24"/>
          <w:szCs w:val="24"/>
        </w:rPr>
        <w:t xml:space="preserve">isclosure </w:t>
      </w:r>
      <w:r w:rsidR="00414026" w:rsidRPr="008072A4">
        <w:rPr>
          <w:rFonts w:ascii="Times New Roman" w:hAnsi="Times New Roman" w:cs="Times New Roman"/>
          <w:b w:val="0"/>
          <w:sz w:val="24"/>
          <w:szCs w:val="24"/>
        </w:rPr>
        <w:t>prototypes</w:t>
      </w:r>
      <w:r w:rsidR="008E21A0" w:rsidRPr="008072A4">
        <w:rPr>
          <w:rFonts w:ascii="Times New Roman" w:hAnsi="Times New Roman" w:cs="Times New Roman"/>
          <w:b w:val="0"/>
          <w:sz w:val="24"/>
          <w:szCs w:val="24"/>
        </w:rPr>
        <w:t xml:space="preserve">, at this time, </w:t>
      </w:r>
      <w:bookmarkStart w:id="0" w:name="_GoBack"/>
      <w:bookmarkEnd w:id="0"/>
      <w:r w:rsidR="00414026" w:rsidRPr="008072A4">
        <w:rPr>
          <w:rFonts w:ascii="Times New Roman" w:hAnsi="Times New Roman" w:cs="Times New Roman"/>
          <w:b w:val="0"/>
          <w:sz w:val="24"/>
          <w:szCs w:val="24"/>
        </w:rPr>
        <w:t>consist</w:t>
      </w:r>
      <w:r w:rsidR="00775848" w:rsidRPr="008072A4">
        <w:rPr>
          <w:rFonts w:ascii="Times New Roman" w:hAnsi="Times New Roman" w:cs="Times New Roman"/>
          <w:b w:val="0"/>
          <w:sz w:val="24"/>
          <w:szCs w:val="24"/>
        </w:rPr>
        <w:t xml:space="preserve"> of </w:t>
      </w:r>
      <w:r w:rsidR="009A20FC">
        <w:rPr>
          <w:rFonts w:ascii="Times New Roman" w:hAnsi="Times New Roman" w:cs="Times New Roman"/>
          <w:b w:val="0"/>
          <w:sz w:val="24"/>
          <w:szCs w:val="24"/>
        </w:rPr>
        <w:t>three basic parts:</w:t>
      </w:r>
    </w:p>
    <w:p w:rsidR="00775848" w:rsidRPr="008072A4" w:rsidRDefault="00775848" w:rsidP="001432CF">
      <w:pPr>
        <w:spacing w:after="0" w:line="240" w:lineRule="auto"/>
        <w:rPr>
          <w:rFonts w:ascii="Times New Roman" w:hAnsi="Times New Roman" w:cs="Times New Roman"/>
          <w:b/>
          <w:sz w:val="24"/>
          <w:szCs w:val="24"/>
        </w:rPr>
      </w:pPr>
    </w:p>
    <w:p w:rsidR="009D631D" w:rsidRPr="008072A4" w:rsidRDefault="009A20FC" w:rsidP="001432C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u w:val="single"/>
        </w:rPr>
        <w:t>Part 1 (page 1)</w:t>
      </w:r>
      <w:r>
        <w:rPr>
          <w:rFonts w:ascii="Times New Roman" w:hAnsi="Times New Roman" w:cs="Times New Roman"/>
          <w:sz w:val="24"/>
          <w:szCs w:val="24"/>
        </w:rPr>
        <w:t>.</w:t>
      </w:r>
      <w:proofErr w:type="gramEnd"/>
      <w:r>
        <w:rPr>
          <w:rFonts w:ascii="Times New Roman" w:hAnsi="Times New Roman" w:cs="Times New Roman"/>
          <w:sz w:val="24"/>
          <w:szCs w:val="24"/>
        </w:rPr>
        <w:t xml:space="preserve"> This part generally mirrors page 1 of the Initial Disclosure except that it lists the parties to the transaction at the top of the page.  This part allows consumers to compare the summary of the loan terms and estimated costs in the Initial Disclosure to the final terms and costs.</w:t>
      </w:r>
    </w:p>
    <w:p w:rsidR="00775848" w:rsidRPr="008072A4" w:rsidRDefault="00775848" w:rsidP="001432CF">
      <w:pPr>
        <w:spacing w:after="0" w:line="240" w:lineRule="auto"/>
        <w:rPr>
          <w:rFonts w:ascii="Times New Roman" w:hAnsi="Times New Roman" w:cs="Times New Roman"/>
          <w:b/>
          <w:sz w:val="24"/>
          <w:szCs w:val="24"/>
        </w:rPr>
      </w:pPr>
    </w:p>
    <w:p w:rsidR="00850976" w:rsidRPr="008072A4" w:rsidRDefault="009A20FC" w:rsidP="001432CF">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Part 2 (pages 2, 3, and 4)</w:t>
      </w:r>
      <w:r>
        <w:rPr>
          <w:rFonts w:ascii="Times New Roman" w:hAnsi="Times New Roman" w:cs="Times New Roman"/>
          <w:sz w:val="24"/>
          <w:szCs w:val="24"/>
        </w:rPr>
        <w:t>. This part is based on the current HUD-1 content and design and has three subsections:</w:t>
      </w:r>
    </w:p>
    <w:p w:rsidR="00775848" w:rsidRPr="008072A4" w:rsidRDefault="00775848" w:rsidP="00775848">
      <w:pPr>
        <w:pStyle w:val="ListParagraph"/>
        <w:spacing w:after="0" w:line="240" w:lineRule="auto"/>
        <w:ind w:left="0"/>
        <w:rPr>
          <w:rFonts w:ascii="Times New Roman" w:hAnsi="Times New Roman" w:cs="Times New Roman"/>
          <w:sz w:val="24"/>
          <w:szCs w:val="24"/>
        </w:rPr>
      </w:pPr>
    </w:p>
    <w:p w:rsidR="006E2583" w:rsidRPr="008072A4" w:rsidRDefault="009A20FC" w:rsidP="0077584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Page 2 provides a summary of the borrower’s and seller’s transactions.</w:t>
      </w:r>
    </w:p>
    <w:p w:rsidR="00850976" w:rsidRPr="008072A4" w:rsidRDefault="00850976" w:rsidP="006E2583">
      <w:pPr>
        <w:pStyle w:val="ListParagraph"/>
        <w:spacing w:after="0" w:line="240" w:lineRule="auto"/>
        <w:ind w:left="360"/>
        <w:rPr>
          <w:rFonts w:ascii="Times New Roman" w:hAnsi="Times New Roman" w:cs="Times New Roman"/>
          <w:sz w:val="24"/>
          <w:szCs w:val="24"/>
        </w:rPr>
      </w:pPr>
    </w:p>
    <w:p w:rsidR="00850976" w:rsidRPr="008072A4" w:rsidRDefault="009A20FC" w:rsidP="0071703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Page 3 provides a breakdown of the settlement charges.  The organization of charges is similar to that on page 2 of the Initial Disclosure to facilitate comparison.</w:t>
      </w:r>
    </w:p>
    <w:p w:rsidR="00414026" w:rsidRPr="008072A4" w:rsidRDefault="00414026" w:rsidP="00414026">
      <w:pPr>
        <w:spacing w:after="0" w:line="240" w:lineRule="auto"/>
        <w:rPr>
          <w:rFonts w:ascii="Times New Roman" w:hAnsi="Times New Roman" w:cs="Times New Roman"/>
          <w:sz w:val="24"/>
          <w:szCs w:val="24"/>
        </w:rPr>
      </w:pPr>
    </w:p>
    <w:p w:rsidR="00850976" w:rsidRPr="008072A4" w:rsidRDefault="009A20FC" w:rsidP="003420F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Page 4 provides a chart of the fees subject to regulatory limitations on increases. </w:t>
      </w:r>
    </w:p>
    <w:p w:rsidR="003420F3" w:rsidRPr="008072A4" w:rsidRDefault="003420F3" w:rsidP="001432CF">
      <w:pPr>
        <w:spacing w:after="0" w:line="240" w:lineRule="auto"/>
        <w:rPr>
          <w:rFonts w:ascii="Times New Roman" w:hAnsi="Times New Roman" w:cs="Times New Roman"/>
          <w:b/>
          <w:sz w:val="24"/>
          <w:szCs w:val="24"/>
        </w:rPr>
      </w:pPr>
    </w:p>
    <w:p w:rsidR="00850976" w:rsidRPr="008072A4" w:rsidRDefault="009A20FC" w:rsidP="001432CF">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Part 3 (pages 5 and 6)</w:t>
      </w:r>
      <w:r>
        <w:rPr>
          <w:rFonts w:ascii="Times New Roman" w:hAnsi="Times New Roman" w:cs="Times New Roman"/>
          <w:sz w:val="24"/>
          <w:szCs w:val="24"/>
        </w:rPr>
        <w:t>. This part provides additional disclosures required by TILA and RESPA.  Many of these items were tested in the Initial Disclosure and in the Federal Reserve Board’s 2009 testing. The attached prototypes contain two different designs for the presentation of this information.</w:t>
      </w:r>
    </w:p>
    <w:p w:rsidR="003420F3" w:rsidRPr="008072A4" w:rsidRDefault="003420F3" w:rsidP="001432CF">
      <w:pPr>
        <w:pStyle w:val="Heading1"/>
        <w:spacing w:before="0" w:line="240" w:lineRule="auto"/>
        <w:rPr>
          <w:rFonts w:ascii="Times New Roman" w:hAnsi="Times New Roman" w:cs="Times New Roman"/>
          <w:sz w:val="24"/>
          <w:szCs w:val="24"/>
        </w:rPr>
      </w:pPr>
    </w:p>
    <w:p w:rsidR="00414026" w:rsidRPr="008072A4" w:rsidRDefault="009A20FC" w:rsidP="00641898">
      <w:pPr>
        <w:pStyle w:val="Heading1"/>
        <w:spacing w:before="0" w:line="240" w:lineRule="auto"/>
        <w:rPr>
          <w:rFonts w:ascii="Times New Roman" w:hAnsi="Times New Roman" w:cs="Times New Roman"/>
          <w:b w:val="0"/>
          <w:sz w:val="24"/>
          <w:szCs w:val="24"/>
        </w:rPr>
      </w:pPr>
      <w:proofErr w:type="gramStart"/>
      <w:r>
        <w:rPr>
          <w:rFonts w:ascii="Times New Roman" w:hAnsi="Times New Roman" w:cs="Times New Roman"/>
          <w:sz w:val="24"/>
          <w:szCs w:val="24"/>
        </w:rPr>
        <w:t>Testing.</w:t>
      </w:r>
      <w:proofErr w:type="gramEnd"/>
      <w:r>
        <w:rPr>
          <w:rFonts w:ascii="Times New Roman" w:hAnsi="Times New Roman" w:cs="Times New Roman"/>
          <w:sz w:val="24"/>
          <w:szCs w:val="24"/>
        </w:rPr>
        <w:t xml:space="preserve">  </w:t>
      </w:r>
      <w:r>
        <w:rPr>
          <w:rFonts w:ascii="Times New Roman" w:hAnsi="Times New Roman" w:cs="Times New Roman"/>
          <w:b w:val="0"/>
          <w:sz w:val="24"/>
          <w:szCs w:val="24"/>
        </w:rPr>
        <w:t>The Closing Disclosure is intended to:</w:t>
      </w:r>
    </w:p>
    <w:p w:rsidR="00414026" w:rsidRPr="008072A4" w:rsidRDefault="00414026" w:rsidP="003420F3">
      <w:pPr>
        <w:pStyle w:val="Heading3"/>
        <w:spacing w:before="0" w:line="240" w:lineRule="auto"/>
        <w:rPr>
          <w:rFonts w:ascii="Times New Roman" w:hAnsi="Times New Roman" w:cs="Times New Roman"/>
          <w:b w:val="0"/>
          <w:sz w:val="24"/>
          <w:szCs w:val="24"/>
        </w:rPr>
      </w:pPr>
    </w:p>
    <w:p w:rsidR="00414026" w:rsidRPr="008072A4" w:rsidRDefault="009A20FC" w:rsidP="00414026">
      <w:pPr>
        <w:pStyle w:val="Heading3"/>
        <w:numPr>
          <w:ilvl w:val="0"/>
          <w:numId w:val="3"/>
        </w:numPr>
        <w:spacing w:before="0" w:line="240" w:lineRule="auto"/>
        <w:rPr>
          <w:rFonts w:ascii="Times New Roman" w:hAnsi="Times New Roman" w:cs="Times New Roman"/>
          <w:b w:val="0"/>
          <w:sz w:val="24"/>
          <w:szCs w:val="24"/>
        </w:rPr>
      </w:pPr>
      <w:r>
        <w:rPr>
          <w:rFonts w:ascii="Times New Roman" w:hAnsi="Times New Roman" w:cs="Times New Roman"/>
          <w:b w:val="0"/>
          <w:sz w:val="24"/>
          <w:szCs w:val="24"/>
        </w:rPr>
        <w:t>Enable borrowers to understand the terms of their loans, their closing costs, and the distribution of funds at closing;</w:t>
      </w:r>
    </w:p>
    <w:p w:rsidR="00414026" w:rsidRPr="008072A4" w:rsidRDefault="00414026" w:rsidP="00414026">
      <w:pPr>
        <w:pStyle w:val="Heading3"/>
        <w:spacing w:before="0" w:line="240" w:lineRule="auto"/>
        <w:ind w:left="720"/>
        <w:rPr>
          <w:rFonts w:ascii="Times New Roman" w:hAnsi="Times New Roman" w:cs="Times New Roman"/>
          <w:b w:val="0"/>
          <w:sz w:val="24"/>
          <w:szCs w:val="24"/>
        </w:rPr>
      </w:pPr>
    </w:p>
    <w:p w:rsidR="00414026" w:rsidRPr="008072A4" w:rsidRDefault="009A20FC" w:rsidP="00414026">
      <w:pPr>
        <w:pStyle w:val="Heading3"/>
        <w:numPr>
          <w:ilvl w:val="0"/>
          <w:numId w:val="3"/>
        </w:numPr>
        <w:spacing w:before="0" w:line="240" w:lineRule="auto"/>
        <w:rPr>
          <w:rFonts w:ascii="Times New Roman" w:hAnsi="Times New Roman" w:cs="Times New Roman"/>
          <w:b w:val="0"/>
          <w:sz w:val="24"/>
          <w:szCs w:val="24"/>
        </w:rPr>
      </w:pPr>
      <w:r>
        <w:rPr>
          <w:rFonts w:ascii="Times New Roman" w:hAnsi="Times New Roman" w:cs="Times New Roman"/>
          <w:b w:val="0"/>
          <w:sz w:val="24"/>
          <w:szCs w:val="24"/>
        </w:rPr>
        <w:t>Enable borrowers to compare the preliminary terms and costs in the Initial Disclosure to the final terms and costs in the Closing Disclosure; and</w:t>
      </w:r>
    </w:p>
    <w:p w:rsidR="00414026" w:rsidRPr="008072A4" w:rsidRDefault="00414026" w:rsidP="00414026">
      <w:pPr>
        <w:pStyle w:val="Heading3"/>
        <w:spacing w:before="0" w:line="240" w:lineRule="auto"/>
        <w:ind w:left="720"/>
        <w:rPr>
          <w:rFonts w:ascii="Times New Roman" w:hAnsi="Times New Roman" w:cs="Times New Roman"/>
          <w:b w:val="0"/>
          <w:sz w:val="24"/>
          <w:szCs w:val="24"/>
        </w:rPr>
      </w:pPr>
    </w:p>
    <w:p w:rsidR="00C262DC" w:rsidRPr="008072A4" w:rsidRDefault="009A20FC" w:rsidP="00414026">
      <w:pPr>
        <w:pStyle w:val="Heading3"/>
        <w:numPr>
          <w:ilvl w:val="0"/>
          <w:numId w:val="3"/>
        </w:numPr>
        <w:spacing w:before="0" w:line="240" w:lineRule="auto"/>
        <w:rPr>
          <w:rFonts w:ascii="Times New Roman" w:hAnsi="Times New Roman" w:cs="Times New Roman"/>
          <w:b w:val="0"/>
          <w:sz w:val="24"/>
          <w:szCs w:val="24"/>
        </w:rPr>
      </w:pPr>
      <w:r>
        <w:rPr>
          <w:rFonts w:ascii="Times New Roman" w:hAnsi="Times New Roman" w:cs="Times New Roman"/>
          <w:b w:val="0"/>
          <w:sz w:val="24"/>
          <w:szCs w:val="24"/>
        </w:rPr>
        <w:t xml:space="preserve">Facilitate compliance with the applicable statutes. </w:t>
      </w:r>
    </w:p>
    <w:p w:rsidR="00C446B1" w:rsidRPr="008072A4" w:rsidRDefault="00C446B1" w:rsidP="001432CF">
      <w:pPr>
        <w:spacing w:after="0" w:line="240" w:lineRule="auto"/>
        <w:rPr>
          <w:rFonts w:ascii="Times New Roman" w:hAnsi="Times New Roman" w:cs="Times New Roman"/>
          <w:sz w:val="24"/>
          <w:szCs w:val="24"/>
        </w:rPr>
      </w:pPr>
    </w:p>
    <w:p w:rsidR="00B24C82" w:rsidRPr="008072A4" w:rsidRDefault="009A20FC" w:rsidP="00641898">
      <w:pPr>
        <w:pStyle w:val="Heading3"/>
        <w:spacing w:before="0" w:line="240" w:lineRule="auto"/>
        <w:rPr>
          <w:rFonts w:ascii="Times New Roman" w:hAnsi="Times New Roman" w:cs="Times New Roman"/>
          <w:b w:val="0"/>
          <w:sz w:val="24"/>
          <w:szCs w:val="24"/>
        </w:rPr>
      </w:pPr>
      <w:r>
        <w:rPr>
          <w:rFonts w:ascii="Times New Roman" w:hAnsi="Times New Roman" w:cs="Times New Roman"/>
          <w:b w:val="0"/>
          <w:sz w:val="24"/>
          <w:szCs w:val="24"/>
        </w:rPr>
        <w:t xml:space="preserve">As illustrated in the moderator’s guides, the structure of the Closing Disclosure testing will be similar to the Initial Disclosure testing.  As with the Initial Disclosure, we will test the Closing Disclosure with borrowers and individuals who work in the mortgage loan industry.  Our testing will use the same techniques and types of questions approved by OMB for testing of the Initial Disclosure.  For example, we will again use the think-aloud technique as the initial way for consumers to interact with the disclosure.  Following the think aloud, we will ask a series of specific questions to test comprehension and to assess performance of different designs.  We will continue to use a mix of stated or implied comprehension questions, scale questions, and questions that ask participants to explain their decisions.  We will again rotate the design the participants see first to compensate for any bias of order. </w:t>
      </w:r>
    </w:p>
    <w:p w:rsidR="00CC0FE5" w:rsidRPr="008072A4" w:rsidRDefault="00CC0FE5" w:rsidP="001432CF">
      <w:pPr>
        <w:spacing w:after="0" w:line="240" w:lineRule="auto"/>
        <w:rPr>
          <w:rFonts w:ascii="Times New Roman" w:hAnsi="Times New Roman" w:cs="Times New Roman"/>
          <w:sz w:val="24"/>
          <w:szCs w:val="24"/>
        </w:rPr>
      </w:pPr>
    </w:p>
    <w:p w:rsidR="00875EBD" w:rsidRPr="008072A4" w:rsidRDefault="00875EBD" w:rsidP="001432CF">
      <w:pPr>
        <w:spacing w:after="0" w:line="240" w:lineRule="auto"/>
        <w:rPr>
          <w:rFonts w:ascii="Times New Roman" w:hAnsi="Times New Roman" w:cs="Times New Roman"/>
          <w:sz w:val="24"/>
          <w:szCs w:val="24"/>
        </w:rPr>
      </w:pPr>
    </w:p>
    <w:sectPr w:rsidR="00875EBD" w:rsidRPr="008072A4" w:rsidSect="00D717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65C" w:rsidRDefault="00AC665C" w:rsidP="001432CF">
      <w:pPr>
        <w:spacing w:after="0" w:line="240" w:lineRule="auto"/>
      </w:pPr>
      <w:r>
        <w:separator/>
      </w:r>
    </w:p>
  </w:endnote>
  <w:endnote w:type="continuationSeparator" w:id="0">
    <w:p w:rsidR="00AC665C" w:rsidRDefault="00AC665C" w:rsidP="001432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65C" w:rsidRDefault="00AC665C" w:rsidP="001432CF">
      <w:pPr>
        <w:spacing w:after="0" w:line="240" w:lineRule="auto"/>
      </w:pPr>
      <w:r>
        <w:separator/>
      </w:r>
    </w:p>
  </w:footnote>
  <w:footnote w:type="continuationSeparator" w:id="0">
    <w:p w:rsidR="00AC665C" w:rsidRDefault="00AC665C" w:rsidP="001432CF">
      <w:pPr>
        <w:spacing w:after="0" w:line="240" w:lineRule="auto"/>
      </w:pPr>
      <w:r>
        <w:continuationSeparator/>
      </w:r>
    </w:p>
  </w:footnote>
  <w:footnote w:id="1">
    <w:p w:rsidR="00142731" w:rsidRDefault="00142731">
      <w:pPr>
        <w:pStyle w:val="FootnoteText"/>
      </w:pPr>
      <w:r>
        <w:rPr>
          <w:rStyle w:val="FootnoteReference"/>
        </w:rPr>
        <w:footnoteRef/>
      </w:r>
      <w:r>
        <w:t xml:space="preserve"> </w:t>
      </w:r>
      <w:r>
        <w:rPr>
          <w:rFonts w:ascii="Times New Roman" w:hAnsi="Times New Roman" w:cs="Times New Roman"/>
          <w:sz w:val="24"/>
          <w:szCs w:val="24"/>
          <w:u w:val="single"/>
        </w:rPr>
        <w:t>See</w:t>
      </w:r>
      <w:r>
        <w:rPr>
          <w:rFonts w:ascii="Times New Roman" w:hAnsi="Times New Roman" w:cs="Times New Roman"/>
          <w:sz w:val="24"/>
          <w:szCs w:val="24"/>
        </w:rPr>
        <w:t> 76 Fed. Reg. 59379 (Sept. 26,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E570A"/>
    <w:multiLevelType w:val="hybridMultilevel"/>
    <w:tmpl w:val="E9F4D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5F566E"/>
    <w:multiLevelType w:val="hybridMultilevel"/>
    <w:tmpl w:val="1EF85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78384F"/>
    <w:multiLevelType w:val="hybridMultilevel"/>
    <w:tmpl w:val="D58A8F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removePersonalInformation/>
  <w:proofState w:spelling="clean" w:grammar="clean"/>
  <w:defaultTabStop w:val="720"/>
  <w:characterSpacingControl w:val="doNotCompress"/>
  <w:footnotePr>
    <w:footnote w:id="-1"/>
    <w:footnote w:id="0"/>
  </w:footnotePr>
  <w:endnotePr>
    <w:endnote w:id="-1"/>
    <w:endnote w:id="0"/>
  </w:endnotePr>
  <w:compat>
    <w:useFELayout/>
  </w:compat>
  <w:rsids>
    <w:rsidRoot w:val="009D631D"/>
    <w:rsid w:val="00042138"/>
    <w:rsid w:val="00052964"/>
    <w:rsid w:val="00073DF6"/>
    <w:rsid w:val="000C4BCD"/>
    <w:rsid w:val="000F2BEF"/>
    <w:rsid w:val="00142731"/>
    <w:rsid w:val="001432CF"/>
    <w:rsid w:val="002D6926"/>
    <w:rsid w:val="003420F3"/>
    <w:rsid w:val="00383607"/>
    <w:rsid w:val="00385D5A"/>
    <w:rsid w:val="00414026"/>
    <w:rsid w:val="00444DC2"/>
    <w:rsid w:val="004877E3"/>
    <w:rsid w:val="004E126E"/>
    <w:rsid w:val="00555620"/>
    <w:rsid w:val="005A4C14"/>
    <w:rsid w:val="00641898"/>
    <w:rsid w:val="00642B6C"/>
    <w:rsid w:val="006E2583"/>
    <w:rsid w:val="0071703B"/>
    <w:rsid w:val="0072499F"/>
    <w:rsid w:val="00775848"/>
    <w:rsid w:val="007F30CD"/>
    <w:rsid w:val="008072A4"/>
    <w:rsid w:val="00807BA9"/>
    <w:rsid w:val="00850976"/>
    <w:rsid w:val="008637A7"/>
    <w:rsid w:val="00875EBD"/>
    <w:rsid w:val="008A150F"/>
    <w:rsid w:val="008E21A0"/>
    <w:rsid w:val="00913776"/>
    <w:rsid w:val="00944218"/>
    <w:rsid w:val="009604F1"/>
    <w:rsid w:val="009732D2"/>
    <w:rsid w:val="0097716F"/>
    <w:rsid w:val="009A20FC"/>
    <w:rsid w:val="009D631D"/>
    <w:rsid w:val="009D635B"/>
    <w:rsid w:val="009F6231"/>
    <w:rsid w:val="00A016DD"/>
    <w:rsid w:val="00AC665C"/>
    <w:rsid w:val="00AD3633"/>
    <w:rsid w:val="00B24C82"/>
    <w:rsid w:val="00B81A44"/>
    <w:rsid w:val="00BC524A"/>
    <w:rsid w:val="00C262DC"/>
    <w:rsid w:val="00C446B1"/>
    <w:rsid w:val="00C5097D"/>
    <w:rsid w:val="00C87DC2"/>
    <w:rsid w:val="00CB0EC9"/>
    <w:rsid w:val="00CC0FE5"/>
    <w:rsid w:val="00D71715"/>
    <w:rsid w:val="00DF1B9E"/>
    <w:rsid w:val="00E24DA6"/>
    <w:rsid w:val="00E6150E"/>
    <w:rsid w:val="00E76D99"/>
    <w:rsid w:val="00ED30B2"/>
    <w:rsid w:val="00F452DB"/>
    <w:rsid w:val="00F70D4F"/>
    <w:rsid w:val="00FC56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99F"/>
  </w:style>
  <w:style w:type="paragraph" w:styleId="Heading1">
    <w:name w:val="heading 1"/>
    <w:basedOn w:val="Normal"/>
    <w:next w:val="Normal"/>
    <w:link w:val="Heading1Char"/>
    <w:uiPriority w:val="9"/>
    <w:qFormat/>
    <w:rsid w:val="00385D5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85D5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85D5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85D5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85D5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85D5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85D5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385D5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385D5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D5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85D5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85D5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85D5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85D5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85D5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85D5A"/>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385D5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385D5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85D5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85D5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85D5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85D5A"/>
    <w:rPr>
      <w:rFonts w:asciiTheme="majorHAnsi" w:eastAsiaTheme="majorEastAsia" w:hAnsiTheme="majorHAnsi" w:cstheme="majorBidi"/>
      <w:i/>
      <w:iCs/>
      <w:spacing w:val="13"/>
      <w:sz w:val="24"/>
      <w:szCs w:val="24"/>
    </w:rPr>
  </w:style>
  <w:style w:type="character" w:styleId="Strong">
    <w:name w:val="Strong"/>
    <w:uiPriority w:val="22"/>
    <w:qFormat/>
    <w:rsid w:val="00385D5A"/>
    <w:rPr>
      <w:b/>
      <w:bCs/>
    </w:rPr>
  </w:style>
  <w:style w:type="character" w:styleId="Emphasis">
    <w:name w:val="Emphasis"/>
    <w:uiPriority w:val="20"/>
    <w:qFormat/>
    <w:rsid w:val="00385D5A"/>
    <w:rPr>
      <w:b/>
      <w:bCs/>
      <w:i/>
      <w:iCs/>
      <w:spacing w:val="10"/>
      <w:bdr w:val="none" w:sz="0" w:space="0" w:color="auto"/>
      <w:shd w:val="clear" w:color="auto" w:fill="auto"/>
    </w:rPr>
  </w:style>
  <w:style w:type="paragraph" w:styleId="NoSpacing">
    <w:name w:val="No Spacing"/>
    <w:basedOn w:val="Normal"/>
    <w:link w:val="NoSpacingChar"/>
    <w:uiPriority w:val="1"/>
    <w:qFormat/>
    <w:rsid w:val="00385D5A"/>
    <w:pPr>
      <w:spacing w:after="0" w:line="240" w:lineRule="auto"/>
    </w:pPr>
  </w:style>
  <w:style w:type="character" w:customStyle="1" w:styleId="NoSpacingChar">
    <w:name w:val="No Spacing Char"/>
    <w:basedOn w:val="DefaultParagraphFont"/>
    <w:link w:val="NoSpacing"/>
    <w:uiPriority w:val="1"/>
    <w:rsid w:val="00385D5A"/>
  </w:style>
  <w:style w:type="paragraph" w:styleId="ListParagraph">
    <w:name w:val="List Paragraph"/>
    <w:basedOn w:val="Normal"/>
    <w:uiPriority w:val="34"/>
    <w:qFormat/>
    <w:rsid w:val="00385D5A"/>
    <w:pPr>
      <w:ind w:left="720"/>
      <w:contextualSpacing/>
    </w:pPr>
  </w:style>
  <w:style w:type="paragraph" w:styleId="Quote">
    <w:name w:val="Quote"/>
    <w:basedOn w:val="Normal"/>
    <w:next w:val="Normal"/>
    <w:link w:val="QuoteChar"/>
    <w:uiPriority w:val="29"/>
    <w:qFormat/>
    <w:rsid w:val="00385D5A"/>
    <w:pPr>
      <w:spacing w:before="200" w:after="0"/>
      <w:ind w:left="360" w:right="360"/>
    </w:pPr>
    <w:rPr>
      <w:i/>
      <w:iCs/>
    </w:rPr>
  </w:style>
  <w:style w:type="character" w:customStyle="1" w:styleId="QuoteChar">
    <w:name w:val="Quote Char"/>
    <w:basedOn w:val="DefaultParagraphFont"/>
    <w:link w:val="Quote"/>
    <w:uiPriority w:val="29"/>
    <w:rsid w:val="00385D5A"/>
    <w:rPr>
      <w:i/>
      <w:iCs/>
    </w:rPr>
  </w:style>
  <w:style w:type="paragraph" w:styleId="IntenseQuote">
    <w:name w:val="Intense Quote"/>
    <w:basedOn w:val="Normal"/>
    <w:next w:val="Normal"/>
    <w:link w:val="IntenseQuoteChar"/>
    <w:uiPriority w:val="30"/>
    <w:qFormat/>
    <w:rsid w:val="00385D5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85D5A"/>
    <w:rPr>
      <w:b/>
      <w:bCs/>
      <w:i/>
      <w:iCs/>
    </w:rPr>
  </w:style>
  <w:style w:type="character" w:styleId="SubtleEmphasis">
    <w:name w:val="Subtle Emphasis"/>
    <w:uiPriority w:val="19"/>
    <w:qFormat/>
    <w:rsid w:val="00385D5A"/>
    <w:rPr>
      <w:i/>
      <w:iCs/>
    </w:rPr>
  </w:style>
  <w:style w:type="character" w:styleId="IntenseEmphasis">
    <w:name w:val="Intense Emphasis"/>
    <w:uiPriority w:val="21"/>
    <w:qFormat/>
    <w:rsid w:val="00385D5A"/>
    <w:rPr>
      <w:b/>
      <w:bCs/>
    </w:rPr>
  </w:style>
  <w:style w:type="character" w:styleId="SubtleReference">
    <w:name w:val="Subtle Reference"/>
    <w:uiPriority w:val="31"/>
    <w:qFormat/>
    <w:rsid w:val="00385D5A"/>
    <w:rPr>
      <w:smallCaps/>
    </w:rPr>
  </w:style>
  <w:style w:type="character" w:styleId="IntenseReference">
    <w:name w:val="Intense Reference"/>
    <w:uiPriority w:val="32"/>
    <w:qFormat/>
    <w:rsid w:val="00385D5A"/>
    <w:rPr>
      <w:smallCaps/>
      <w:spacing w:val="5"/>
      <w:u w:val="single"/>
    </w:rPr>
  </w:style>
  <w:style w:type="character" w:styleId="BookTitle">
    <w:name w:val="Book Title"/>
    <w:uiPriority w:val="33"/>
    <w:qFormat/>
    <w:rsid w:val="00385D5A"/>
    <w:rPr>
      <w:i/>
      <w:iCs/>
      <w:smallCaps/>
      <w:spacing w:val="5"/>
    </w:rPr>
  </w:style>
  <w:style w:type="paragraph" w:styleId="TOCHeading">
    <w:name w:val="TOC Heading"/>
    <w:basedOn w:val="Heading1"/>
    <w:next w:val="Normal"/>
    <w:uiPriority w:val="39"/>
    <w:semiHidden/>
    <w:unhideWhenUsed/>
    <w:qFormat/>
    <w:rsid w:val="00385D5A"/>
    <w:pPr>
      <w:outlineLvl w:val="9"/>
    </w:pPr>
  </w:style>
  <w:style w:type="paragraph" w:styleId="Header">
    <w:name w:val="header"/>
    <w:basedOn w:val="Normal"/>
    <w:link w:val="HeaderChar"/>
    <w:uiPriority w:val="99"/>
    <w:unhideWhenUsed/>
    <w:rsid w:val="00143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2CF"/>
  </w:style>
  <w:style w:type="paragraph" w:styleId="Footer">
    <w:name w:val="footer"/>
    <w:basedOn w:val="Normal"/>
    <w:link w:val="FooterChar"/>
    <w:uiPriority w:val="99"/>
    <w:unhideWhenUsed/>
    <w:rsid w:val="00143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2CF"/>
  </w:style>
  <w:style w:type="paragraph" w:styleId="BalloonText">
    <w:name w:val="Balloon Text"/>
    <w:basedOn w:val="Normal"/>
    <w:link w:val="BalloonTextChar"/>
    <w:uiPriority w:val="99"/>
    <w:semiHidden/>
    <w:unhideWhenUsed/>
    <w:rsid w:val="00143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2CF"/>
    <w:rPr>
      <w:rFonts w:ascii="Tahoma" w:hAnsi="Tahoma" w:cs="Tahoma"/>
      <w:sz w:val="16"/>
      <w:szCs w:val="16"/>
    </w:rPr>
  </w:style>
  <w:style w:type="character" w:styleId="CommentReference">
    <w:name w:val="annotation reference"/>
    <w:basedOn w:val="DefaultParagraphFont"/>
    <w:uiPriority w:val="99"/>
    <w:semiHidden/>
    <w:unhideWhenUsed/>
    <w:rsid w:val="00E6150E"/>
    <w:rPr>
      <w:sz w:val="18"/>
      <w:szCs w:val="18"/>
    </w:rPr>
  </w:style>
  <w:style w:type="paragraph" w:styleId="CommentText">
    <w:name w:val="annotation text"/>
    <w:basedOn w:val="Normal"/>
    <w:link w:val="CommentTextChar"/>
    <w:uiPriority w:val="99"/>
    <w:semiHidden/>
    <w:unhideWhenUsed/>
    <w:rsid w:val="00E6150E"/>
    <w:pPr>
      <w:spacing w:line="240" w:lineRule="auto"/>
    </w:pPr>
    <w:rPr>
      <w:sz w:val="24"/>
      <w:szCs w:val="24"/>
    </w:rPr>
  </w:style>
  <w:style w:type="character" w:customStyle="1" w:styleId="CommentTextChar">
    <w:name w:val="Comment Text Char"/>
    <w:basedOn w:val="DefaultParagraphFont"/>
    <w:link w:val="CommentText"/>
    <w:uiPriority w:val="99"/>
    <w:semiHidden/>
    <w:rsid w:val="00E6150E"/>
    <w:rPr>
      <w:sz w:val="24"/>
      <w:szCs w:val="24"/>
    </w:rPr>
  </w:style>
  <w:style w:type="paragraph" w:styleId="CommentSubject">
    <w:name w:val="annotation subject"/>
    <w:basedOn w:val="CommentText"/>
    <w:next w:val="CommentText"/>
    <w:link w:val="CommentSubjectChar"/>
    <w:uiPriority w:val="99"/>
    <w:semiHidden/>
    <w:unhideWhenUsed/>
    <w:rsid w:val="00E6150E"/>
    <w:rPr>
      <w:b/>
      <w:bCs/>
      <w:sz w:val="20"/>
      <w:szCs w:val="20"/>
    </w:rPr>
  </w:style>
  <w:style w:type="character" w:customStyle="1" w:styleId="CommentSubjectChar">
    <w:name w:val="Comment Subject Char"/>
    <w:basedOn w:val="CommentTextChar"/>
    <w:link w:val="CommentSubject"/>
    <w:uiPriority w:val="99"/>
    <w:semiHidden/>
    <w:rsid w:val="00E6150E"/>
    <w:rPr>
      <w:b/>
      <w:bCs/>
      <w:sz w:val="20"/>
      <w:szCs w:val="20"/>
    </w:rPr>
  </w:style>
  <w:style w:type="paragraph" w:styleId="FootnoteText">
    <w:name w:val="footnote text"/>
    <w:basedOn w:val="Normal"/>
    <w:link w:val="FootnoteTextChar"/>
    <w:uiPriority w:val="99"/>
    <w:unhideWhenUsed/>
    <w:rsid w:val="00142731"/>
    <w:pPr>
      <w:spacing w:after="0" w:line="240" w:lineRule="auto"/>
    </w:pPr>
    <w:rPr>
      <w:sz w:val="20"/>
      <w:szCs w:val="20"/>
    </w:rPr>
  </w:style>
  <w:style w:type="character" w:customStyle="1" w:styleId="FootnoteTextChar">
    <w:name w:val="Footnote Text Char"/>
    <w:basedOn w:val="DefaultParagraphFont"/>
    <w:link w:val="FootnoteText"/>
    <w:uiPriority w:val="99"/>
    <w:rsid w:val="00142731"/>
    <w:rPr>
      <w:sz w:val="20"/>
      <w:szCs w:val="20"/>
    </w:rPr>
  </w:style>
  <w:style w:type="character" w:styleId="FootnoteReference">
    <w:name w:val="footnote reference"/>
    <w:basedOn w:val="DefaultParagraphFont"/>
    <w:uiPriority w:val="99"/>
    <w:semiHidden/>
    <w:unhideWhenUsed/>
    <w:rsid w:val="0014273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5D5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85D5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85D5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85D5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85D5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85D5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85D5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385D5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385D5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D5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85D5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85D5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85D5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85D5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85D5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85D5A"/>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385D5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385D5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85D5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85D5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85D5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85D5A"/>
    <w:rPr>
      <w:rFonts w:asciiTheme="majorHAnsi" w:eastAsiaTheme="majorEastAsia" w:hAnsiTheme="majorHAnsi" w:cstheme="majorBidi"/>
      <w:i/>
      <w:iCs/>
      <w:spacing w:val="13"/>
      <w:sz w:val="24"/>
      <w:szCs w:val="24"/>
    </w:rPr>
  </w:style>
  <w:style w:type="character" w:styleId="Strong">
    <w:name w:val="Strong"/>
    <w:uiPriority w:val="22"/>
    <w:qFormat/>
    <w:rsid w:val="00385D5A"/>
    <w:rPr>
      <w:b/>
      <w:bCs/>
    </w:rPr>
  </w:style>
  <w:style w:type="character" w:styleId="Emphasis">
    <w:name w:val="Emphasis"/>
    <w:uiPriority w:val="20"/>
    <w:qFormat/>
    <w:rsid w:val="00385D5A"/>
    <w:rPr>
      <w:b/>
      <w:bCs/>
      <w:i/>
      <w:iCs/>
      <w:spacing w:val="10"/>
      <w:bdr w:val="none" w:sz="0" w:space="0" w:color="auto"/>
      <w:shd w:val="clear" w:color="auto" w:fill="auto"/>
    </w:rPr>
  </w:style>
  <w:style w:type="paragraph" w:styleId="NoSpacing">
    <w:name w:val="No Spacing"/>
    <w:basedOn w:val="Normal"/>
    <w:link w:val="NoSpacingChar"/>
    <w:uiPriority w:val="1"/>
    <w:qFormat/>
    <w:rsid w:val="00385D5A"/>
    <w:pPr>
      <w:spacing w:after="0" w:line="240" w:lineRule="auto"/>
    </w:pPr>
  </w:style>
  <w:style w:type="character" w:customStyle="1" w:styleId="NoSpacingChar">
    <w:name w:val="No Spacing Char"/>
    <w:basedOn w:val="DefaultParagraphFont"/>
    <w:link w:val="NoSpacing"/>
    <w:uiPriority w:val="1"/>
    <w:rsid w:val="00385D5A"/>
  </w:style>
  <w:style w:type="paragraph" w:styleId="ListParagraph">
    <w:name w:val="List Paragraph"/>
    <w:basedOn w:val="Normal"/>
    <w:uiPriority w:val="34"/>
    <w:qFormat/>
    <w:rsid w:val="00385D5A"/>
    <w:pPr>
      <w:ind w:left="720"/>
      <w:contextualSpacing/>
    </w:pPr>
  </w:style>
  <w:style w:type="paragraph" w:styleId="Quote">
    <w:name w:val="Quote"/>
    <w:basedOn w:val="Normal"/>
    <w:next w:val="Normal"/>
    <w:link w:val="QuoteChar"/>
    <w:uiPriority w:val="29"/>
    <w:qFormat/>
    <w:rsid w:val="00385D5A"/>
    <w:pPr>
      <w:spacing w:before="200" w:after="0"/>
      <w:ind w:left="360" w:right="360"/>
    </w:pPr>
    <w:rPr>
      <w:i/>
      <w:iCs/>
    </w:rPr>
  </w:style>
  <w:style w:type="character" w:customStyle="1" w:styleId="QuoteChar">
    <w:name w:val="Quote Char"/>
    <w:basedOn w:val="DefaultParagraphFont"/>
    <w:link w:val="Quote"/>
    <w:uiPriority w:val="29"/>
    <w:rsid w:val="00385D5A"/>
    <w:rPr>
      <w:i/>
      <w:iCs/>
    </w:rPr>
  </w:style>
  <w:style w:type="paragraph" w:styleId="IntenseQuote">
    <w:name w:val="Intense Quote"/>
    <w:basedOn w:val="Normal"/>
    <w:next w:val="Normal"/>
    <w:link w:val="IntenseQuoteChar"/>
    <w:uiPriority w:val="30"/>
    <w:qFormat/>
    <w:rsid w:val="00385D5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85D5A"/>
    <w:rPr>
      <w:b/>
      <w:bCs/>
      <w:i/>
      <w:iCs/>
    </w:rPr>
  </w:style>
  <w:style w:type="character" w:styleId="SubtleEmphasis">
    <w:name w:val="Subtle Emphasis"/>
    <w:uiPriority w:val="19"/>
    <w:qFormat/>
    <w:rsid w:val="00385D5A"/>
    <w:rPr>
      <w:i/>
      <w:iCs/>
    </w:rPr>
  </w:style>
  <w:style w:type="character" w:styleId="IntenseEmphasis">
    <w:name w:val="Intense Emphasis"/>
    <w:uiPriority w:val="21"/>
    <w:qFormat/>
    <w:rsid w:val="00385D5A"/>
    <w:rPr>
      <w:b/>
      <w:bCs/>
    </w:rPr>
  </w:style>
  <w:style w:type="character" w:styleId="SubtleReference">
    <w:name w:val="Subtle Reference"/>
    <w:uiPriority w:val="31"/>
    <w:qFormat/>
    <w:rsid w:val="00385D5A"/>
    <w:rPr>
      <w:smallCaps/>
    </w:rPr>
  </w:style>
  <w:style w:type="character" w:styleId="IntenseReference">
    <w:name w:val="Intense Reference"/>
    <w:uiPriority w:val="32"/>
    <w:qFormat/>
    <w:rsid w:val="00385D5A"/>
    <w:rPr>
      <w:smallCaps/>
      <w:spacing w:val="5"/>
      <w:u w:val="single"/>
    </w:rPr>
  </w:style>
  <w:style w:type="character" w:styleId="BookTitle">
    <w:name w:val="Book Title"/>
    <w:uiPriority w:val="33"/>
    <w:qFormat/>
    <w:rsid w:val="00385D5A"/>
    <w:rPr>
      <w:i/>
      <w:iCs/>
      <w:smallCaps/>
      <w:spacing w:val="5"/>
    </w:rPr>
  </w:style>
  <w:style w:type="paragraph" w:styleId="TOCHeading">
    <w:name w:val="TOC Heading"/>
    <w:basedOn w:val="Heading1"/>
    <w:next w:val="Normal"/>
    <w:uiPriority w:val="39"/>
    <w:semiHidden/>
    <w:unhideWhenUsed/>
    <w:qFormat/>
    <w:rsid w:val="00385D5A"/>
    <w:pPr>
      <w:outlineLvl w:val="9"/>
    </w:pPr>
  </w:style>
  <w:style w:type="paragraph" w:styleId="Header">
    <w:name w:val="header"/>
    <w:basedOn w:val="Normal"/>
    <w:link w:val="HeaderChar"/>
    <w:uiPriority w:val="99"/>
    <w:unhideWhenUsed/>
    <w:rsid w:val="00143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2CF"/>
  </w:style>
  <w:style w:type="paragraph" w:styleId="Footer">
    <w:name w:val="footer"/>
    <w:basedOn w:val="Normal"/>
    <w:link w:val="FooterChar"/>
    <w:uiPriority w:val="99"/>
    <w:unhideWhenUsed/>
    <w:rsid w:val="00143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2CF"/>
  </w:style>
  <w:style w:type="paragraph" w:styleId="BalloonText">
    <w:name w:val="Balloon Text"/>
    <w:basedOn w:val="Normal"/>
    <w:link w:val="BalloonTextChar"/>
    <w:uiPriority w:val="99"/>
    <w:semiHidden/>
    <w:unhideWhenUsed/>
    <w:rsid w:val="00143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2CF"/>
    <w:rPr>
      <w:rFonts w:ascii="Tahoma" w:hAnsi="Tahoma" w:cs="Tahoma"/>
      <w:sz w:val="16"/>
      <w:szCs w:val="16"/>
    </w:rPr>
  </w:style>
  <w:style w:type="character" w:styleId="CommentReference">
    <w:name w:val="annotation reference"/>
    <w:basedOn w:val="DefaultParagraphFont"/>
    <w:uiPriority w:val="99"/>
    <w:semiHidden/>
    <w:unhideWhenUsed/>
    <w:rsid w:val="00E6150E"/>
    <w:rPr>
      <w:sz w:val="18"/>
      <w:szCs w:val="18"/>
    </w:rPr>
  </w:style>
  <w:style w:type="paragraph" w:styleId="CommentText">
    <w:name w:val="annotation text"/>
    <w:basedOn w:val="Normal"/>
    <w:link w:val="CommentTextChar"/>
    <w:uiPriority w:val="99"/>
    <w:semiHidden/>
    <w:unhideWhenUsed/>
    <w:rsid w:val="00E6150E"/>
    <w:pPr>
      <w:spacing w:line="240" w:lineRule="auto"/>
    </w:pPr>
    <w:rPr>
      <w:sz w:val="24"/>
      <w:szCs w:val="24"/>
    </w:rPr>
  </w:style>
  <w:style w:type="character" w:customStyle="1" w:styleId="CommentTextChar">
    <w:name w:val="Comment Text Char"/>
    <w:basedOn w:val="DefaultParagraphFont"/>
    <w:link w:val="CommentText"/>
    <w:uiPriority w:val="99"/>
    <w:semiHidden/>
    <w:rsid w:val="00E6150E"/>
    <w:rPr>
      <w:sz w:val="24"/>
      <w:szCs w:val="24"/>
    </w:rPr>
  </w:style>
  <w:style w:type="paragraph" w:styleId="CommentSubject">
    <w:name w:val="annotation subject"/>
    <w:basedOn w:val="CommentText"/>
    <w:next w:val="CommentText"/>
    <w:link w:val="CommentSubjectChar"/>
    <w:uiPriority w:val="99"/>
    <w:semiHidden/>
    <w:unhideWhenUsed/>
    <w:rsid w:val="00E6150E"/>
    <w:rPr>
      <w:b/>
      <w:bCs/>
      <w:sz w:val="20"/>
      <w:szCs w:val="20"/>
    </w:rPr>
  </w:style>
  <w:style w:type="character" w:customStyle="1" w:styleId="CommentSubjectChar">
    <w:name w:val="Comment Subject Char"/>
    <w:basedOn w:val="CommentTextChar"/>
    <w:link w:val="CommentSubject"/>
    <w:uiPriority w:val="99"/>
    <w:semiHidden/>
    <w:rsid w:val="00E6150E"/>
    <w:rPr>
      <w:b/>
      <w:bCs/>
      <w:sz w:val="20"/>
      <w:szCs w:val="20"/>
    </w:rPr>
  </w:style>
  <w:style w:type="paragraph" w:styleId="FootnoteText">
    <w:name w:val="footnote text"/>
    <w:basedOn w:val="Normal"/>
    <w:link w:val="FootnoteTextChar"/>
    <w:uiPriority w:val="99"/>
    <w:unhideWhenUsed/>
    <w:rsid w:val="00142731"/>
    <w:pPr>
      <w:spacing w:after="0" w:line="240" w:lineRule="auto"/>
    </w:pPr>
    <w:rPr>
      <w:sz w:val="20"/>
      <w:szCs w:val="20"/>
    </w:rPr>
  </w:style>
  <w:style w:type="character" w:customStyle="1" w:styleId="FootnoteTextChar">
    <w:name w:val="Footnote Text Char"/>
    <w:basedOn w:val="DefaultParagraphFont"/>
    <w:link w:val="FootnoteText"/>
    <w:uiPriority w:val="99"/>
    <w:rsid w:val="00142731"/>
    <w:rPr>
      <w:sz w:val="20"/>
      <w:szCs w:val="20"/>
    </w:rPr>
  </w:style>
  <w:style w:type="character" w:styleId="FootnoteReference">
    <w:name w:val="footnote reference"/>
    <w:basedOn w:val="DefaultParagraphFont"/>
    <w:uiPriority w:val="99"/>
    <w:semiHidden/>
    <w:unhideWhenUsed/>
    <w:rsid w:val="0014273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8B361-34F5-48EC-B796-96FD4409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5084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2011-11-08T14:02:00Z</dcterms:created>
  <dcterms:modified xsi:type="dcterms:W3CDTF">2011-11-08T14:02:00Z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oFAAXzy6TWd89pieRou1LY6EBCO3odeAxXSLY2So+d4mKpKXqLyIxqr2mw9z41kw4//uDH2wVDSxFhAc
D7mNfOyLmI29XTPy6vG8iwbf1ws5Yxd2iALJLEK/UWWohgPqL4QvIy2R1hK9Imimv7rbCSKvX07a
BdOHkf31iV+dv7XLmUqKvDU/e9RaDYbflhuTnXXog8rz8n8qlRPWZmZtW40Tv6DAzuLvMdjFOSge
3JHaPzfLrHiFCitCi</vt:lpwstr>
  </property>
  <property fmtid="{D5CDD505-2E9C-101B-9397-08002B2CF9AE}" pid="3" name="MAIL_MSG_ID2">
    <vt:lpwstr>Izgb5zjXjAs9gDylt8oWTLpm+u7LIUGwGRqKOVK/3nG1ymvDkjZN+YG5xcb
Gl6uCLLPZvPjdzPy6LuRDuuZbjptHrAaNnd7JEZ9AhwMpSkW</vt:lpwstr>
  </property>
  <property fmtid="{D5CDD505-2E9C-101B-9397-08002B2CF9AE}" pid="4" name="RESPONSE_SENDER_NAME">
    <vt:lpwstr>sAAAUYtyAkeNWR5Ontii4AbdSuSrA9SoLwGs0+SCjPovfYk=</vt:lpwstr>
  </property>
  <property fmtid="{D5CDD505-2E9C-101B-9397-08002B2CF9AE}" pid="5" name="EMAIL_OWNER_ADDRESS">
    <vt:lpwstr>4AAA4Lxe55UJ0C+qv/A3Qyj8uOyGUEhQDQ45i+OjI1ZefESoRfRLZbrXxQ==</vt:lpwstr>
  </property>
  <property fmtid="{D5CDD505-2E9C-101B-9397-08002B2CF9AE}" pid="6" name="WS_TRACKING_ID">
    <vt:lpwstr>d15d2702-9151-4f7c-8783-41849c2b94dc</vt:lpwstr>
  </property>
</Properties>
</file>