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pPr>
        <w:tabs>
          <w:tab w:val="left" w:pos="2520"/>
        </w:tabs>
        <w:ind w:left="-360"/>
        <w:rPr>
          <w:rFonts w:ascii="Times New Roman" w:hAnsi="Times New Roman"/>
        </w:rPr>
      </w:pPr>
      <w:r w:rsidRPr="00582B82">
        <w:rPr>
          <w:rFonts w:ascii="Times New Roman" w:hAnsi="Times New Roman"/>
        </w:rPr>
        <w:t xml:space="preserve">1.  </w:t>
      </w:r>
      <w:r w:rsidRPr="00582B82">
        <w:rPr>
          <w:rFonts w:ascii="Times New Roman" w:hAnsi="Times New Roman"/>
          <w:b/>
          <w:u w:val="single"/>
        </w:rPr>
        <w:t>Circumstances Making the Collection of Information Necessary.</w:t>
      </w:r>
      <w:r w:rsidRPr="00582B82">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582B82">
        <w:rPr>
          <w:rFonts w:ascii="Times New Roman" w:hAnsi="Times New Roman"/>
        </w:rPr>
        <w:t>veterans’</w:t>
      </w:r>
      <w:r w:rsidRPr="00582B82">
        <w:rPr>
          <w:rFonts w:ascii="Times New Roman" w:hAnsi="Times New Roman"/>
        </w:rPr>
        <w:t xml:space="preserve"> organizations, and the general public use Standard Forms (SF) 180, Request Pertaining to Military Records, in order to obtain information from military personnel service records stored at NPRC. Veterans or their next of kin also may submit requests online using eVetRecs. The authority for this collection is contained in 36 CFR 12</w:t>
      </w:r>
      <w:r w:rsidR="00D6720A">
        <w:rPr>
          <w:rFonts w:ascii="Times New Roman" w:hAnsi="Times New Roman"/>
        </w:rPr>
        <w:t>33</w:t>
      </w:r>
      <w:r w:rsidRPr="00582B82">
        <w:rPr>
          <w:rFonts w:ascii="Times New Roman" w:hAnsi="Times New Roman"/>
        </w:rPr>
        <w:t>.1</w:t>
      </w:r>
      <w:r w:rsidR="00D6720A">
        <w:rPr>
          <w:rFonts w:ascii="Times New Roman" w:hAnsi="Times New Roman"/>
        </w:rPr>
        <w:t>8.</w:t>
      </w:r>
    </w:p>
    <w:p w:rsidR="00F022CE" w:rsidRDefault="00F022CE">
      <w:pPr>
        <w:tabs>
          <w:tab w:val="left" w:pos="2520"/>
        </w:tabs>
        <w:ind w:left="-360"/>
        <w:rPr>
          <w:rFonts w:ascii="Times New Roman" w:hAnsi="Times New Roman"/>
        </w:rPr>
      </w:pPr>
    </w:p>
    <w:p w:rsidR="00F022CE" w:rsidRPr="00F022CE" w:rsidRDefault="00F022CE" w:rsidP="00F022CE">
      <w:pPr>
        <w:tabs>
          <w:tab w:val="left" w:pos="2520"/>
        </w:tabs>
        <w:ind w:left="-360"/>
        <w:rPr>
          <w:rFonts w:ascii="Times New Roman" w:hAnsi="Times New Roman"/>
        </w:rPr>
      </w:pPr>
      <w:r>
        <w:rPr>
          <w:rFonts w:ascii="Times New Roman" w:hAnsi="Times New Roman"/>
        </w:rPr>
        <w:t>In September 2010, NARA submitted OMB 83-C, Change Worksheet, to document a minor change. The min</w:t>
      </w:r>
      <w:r w:rsidRPr="00F022CE">
        <w:rPr>
          <w:rFonts w:ascii="Times New Roman" w:hAnsi="Times New Roman"/>
        </w:rPr>
        <w:t>or changes to the form are a result of the Army Human Resource Command consolidating the Alexandria, VA and St. Louis, MO offices to a central location in Ft. Knox, KY.</w:t>
      </w:r>
    </w:p>
    <w:p w:rsidR="00F022CE" w:rsidRPr="00582B82" w:rsidRDefault="00F022CE">
      <w:pPr>
        <w:tabs>
          <w:tab w:val="left" w:pos="2520"/>
        </w:tabs>
        <w:ind w:left="-360"/>
        <w:rPr>
          <w:rFonts w:ascii="Times New Roman" w:hAnsi="Times New Roman"/>
        </w:rPr>
      </w:pPr>
    </w:p>
    <w:p w:rsidR="00606A25" w:rsidRPr="00582B82" w:rsidRDefault="00606A25">
      <w:pPr>
        <w:tabs>
          <w:tab w:val="left" w:pos="2520"/>
        </w:tabs>
        <w:ind w:left="-360"/>
        <w:rPr>
          <w:rFonts w:ascii="Times New Roman" w:hAnsi="Times New Roman"/>
        </w:rPr>
      </w:pPr>
    </w:p>
    <w:p w:rsidR="00A356B2" w:rsidRPr="00582B82" w:rsidRDefault="00606A25" w:rsidP="00A356B2">
      <w:pPr>
        <w:ind w:left="-360"/>
        <w:rPr>
          <w:rFonts w:ascii="Times New Roman" w:hAnsi="Times New Roman"/>
        </w:rPr>
      </w:pPr>
      <w:r w:rsidRPr="00582B82">
        <w:rPr>
          <w:rFonts w:ascii="Times New Roman" w:hAnsi="Times New Roman"/>
        </w:rPr>
        <w:t xml:space="preserve">2.  </w:t>
      </w:r>
      <w:r w:rsidRPr="00582B82">
        <w:rPr>
          <w:rFonts w:ascii="Times New Roman" w:hAnsi="Times New Roman"/>
          <w:b/>
          <w:u w:val="single"/>
        </w:rPr>
        <w:t>Purpose and Use of the Information.</w:t>
      </w:r>
      <w:r w:rsidRPr="00582B82">
        <w:rPr>
          <w:rFonts w:ascii="Times New Roman" w:hAnsi="Times New Roman"/>
        </w:rPr>
        <w:t xml:space="preserve">  Non-archival military personnel records described above are in NPRC’s physical custody, legal custody of the record remains with DoD and DHS (US Coast Guard).  Handling requests for information from non-archival records must conform to the legal requirements of the Freedom of Information Act (FOIA), the Privacy Act, and the regulations of DoD and DHS (US Coast Guard). </w:t>
      </w:r>
      <w:r w:rsidR="00A356B2" w:rsidRPr="00582B82">
        <w:rPr>
          <w:rFonts w:ascii="Times New Roman" w:hAnsi="Times New Roman"/>
        </w:rPr>
        <w:t xml:space="preserve"> </w:t>
      </w:r>
      <w:r w:rsidRPr="00582B82">
        <w:rPr>
          <w:rFonts w:ascii="Times New Roman" w:hAnsi="Times New Roman"/>
        </w:rPr>
        <w:t>Archival</w:t>
      </w:r>
      <w:r w:rsidR="00A356B2" w:rsidRPr="00582B82">
        <w:rPr>
          <w:rFonts w:ascii="Times New Roman" w:hAnsi="Times New Roman"/>
        </w:rPr>
        <w:t xml:space="preserve"> records</w:t>
      </w:r>
      <w:r w:rsidRPr="00582B82">
        <w:rPr>
          <w:rFonts w:ascii="Times New Roman" w:hAnsi="Times New Roman"/>
        </w:rPr>
        <w:t xml:space="preserve"> are open to the public.  </w:t>
      </w:r>
      <w:r w:rsidR="00A356B2" w:rsidRPr="00582B82">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pPr>
        <w:ind w:left="-360"/>
        <w:rPr>
          <w:rFonts w:ascii="Times New Roman" w:hAnsi="Times New Roman"/>
        </w:rPr>
      </w:pPr>
      <w:r w:rsidRPr="00582B82">
        <w:rPr>
          <w:rFonts w:ascii="Times New Roman" w:hAnsi="Times New Roman"/>
        </w:rPr>
        <w:t xml:space="preserve">NPRC uses information submitted on the Standard Form 180 and online via eVetRecs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eVetRecs is vital to NPRC.  It is the information needed to locate and release information from requested records.  It also significantly improves NPRC’s capability of providing timelier accurate information to requesters. </w:t>
      </w:r>
    </w:p>
    <w:p w:rsidR="00F55420" w:rsidRDefault="00F55420">
      <w:pPr>
        <w:ind w:left="-360"/>
        <w:rPr>
          <w:rFonts w:ascii="Times New Roman" w:hAnsi="Times New Roman"/>
        </w:rPr>
      </w:pPr>
    </w:p>
    <w:p w:rsidR="00117ECE" w:rsidRPr="00117ECE" w:rsidRDefault="00F55420" w:rsidP="00117ECE">
      <w:pPr>
        <w:widowControl/>
        <w:autoSpaceDE w:val="0"/>
        <w:autoSpaceDN w:val="0"/>
        <w:adjustRightInd w:val="0"/>
        <w:ind w:left="-360"/>
        <w:rPr>
          <w:rFonts w:ascii="Times New Roman" w:hAnsi="Times New Roman"/>
          <w:snapToGrid/>
          <w:szCs w:val="24"/>
        </w:rPr>
      </w:pPr>
      <w:smartTag w:uri="urn:schemas-microsoft-com:office:smarttags" w:element="City">
        <w:smartTag w:uri="urn:schemas-microsoft-com:office:smarttags" w:element="place">
          <w:r w:rsidRPr="001258CA">
            <w:rPr>
              <w:rFonts w:ascii="Times New Roman" w:hAnsi="Times New Roman"/>
            </w:rPr>
            <w:t>NARA</w:t>
          </w:r>
        </w:smartTag>
      </w:smartTag>
      <w:r w:rsidRPr="001258CA">
        <w:rPr>
          <w:rFonts w:ascii="Times New Roman" w:hAnsi="Times New Roman"/>
        </w:rPr>
        <w:t xml:space="preserve"> reported to OMB on </w:t>
      </w:r>
      <w:smartTag w:uri="urn:schemas-microsoft-com:office:smarttags" w:element="date">
        <w:smartTagPr>
          <w:attr w:name="Month" w:val="1"/>
          <w:attr w:name="Day" w:val="16"/>
          <w:attr w:name="Year" w:val="2007"/>
        </w:smartTagPr>
        <w:r w:rsidRPr="001258CA">
          <w:rPr>
            <w:rFonts w:ascii="Times New Roman" w:hAnsi="Times New Roman"/>
          </w:rPr>
          <w:t>January 16, 2007</w:t>
        </w:r>
      </w:smartTag>
      <w:r w:rsidRPr="001258CA">
        <w:rPr>
          <w:rFonts w:ascii="Times New Roman" w:hAnsi="Times New Roman"/>
        </w:rPr>
        <w:t xml:space="preserve">, in response to the OMB SSN Survey, that specific to the SF 180, the function served by the SSN was as a unique identifier to military records.  As an </w:t>
      </w:r>
      <w:r w:rsidRPr="001258CA">
        <w:rPr>
          <w:rFonts w:ascii="Times New Roman" w:hAnsi="Times New Roman"/>
        </w:rPr>
        <w:lastRenderedPageBreak/>
        <w:t xml:space="preserve">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r w:rsidR="00117ECE" w:rsidRPr="00117ECE">
        <w:rPr>
          <w:rFonts w:ascii="Times New Roman" w:hAnsi="Times New Roman"/>
          <w:snapToGrid/>
          <w:szCs w:val="24"/>
        </w:rPr>
        <w:t xml:space="preserve">  </w:t>
      </w:r>
    </w:p>
    <w:p w:rsidR="00606A25" w:rsidRPr="00582B82" w:rsidRDefault="00606A25">
      <w:pPr>
        <w:ind w:left="-360"/>
        <w:rPr>
          <w:rFonts w:ascii="Times New Roman" w:hAnsi="Times New Roman"/>
        </w:rPr>
      </w:pPr>
    </w:p>
    <w:p w:rsidR="00606A25" w:rsidRPr="00582B82" w:rsidRDefault="00606A25">
      <w:pPr>
        <w:ind w:left="-360"/>
        <w:rPr>
          <w:rFonts w:ascii="Times New Roman" w:hAnsi="Times New Roman"/>
        </w:rPr>
      </w:pPr>
      <w:r w:rsidRPr="00582B82">
        <w:rPr>
          <w:rFonts w:ascii="Times New Roman" w:hAnsi="Times New Roman"/>
        </w:rPr>
        <w:t xml:space="preserve">3.  </w:t>
      </w:r>
      <w:r w:rsidRPr="00582B82">
        <w:rPr>
          <w:rFonts w:ascii="Times New Roman" w:hAnsi="Times New Roman"/>
          <w:b/>
          <w:u w:val="single"/>
        </w:rPr>
        <w:t>Use of Information Technology and Burden Reduction.</w:t>
      </w:r>
      <w:r w:rsidRPr="00582B82">
        <w:rPr>
          <w:rFonts w:ascii="Times New Roman" w:hAnsi="Times New Roman"/>
        </w:rPr>
        <w:t xml:space="preserve">  NPRC uses information technology to make available and accept information collection.  The Standard Form 180 is available on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’s web site at:  </w:t>
      </w:r>
      <w:r w:rsidRPr="00582B82">
        <w:rPr>
          <w:rFonts w:ascii="Times New Roman" w:hAnsi="Times New Roman"/>
          <w:i/>
        </w:rPr>
        <w:t>http://www.archives.gov/veterans/military-service-records/standard-form-180.html</w:t>
      </w:r>
      <w:r w:rsidRPr="00582B82">
        <w:rPr>
          <w:rFonts w:ascii="Times New Roman" w:hAnsi="Times New Roman"/>
        </w:rPr>
        <w:t xml:space="preserve">.  NPRC also accepts the SF 180 via fax transmission and online through eVetRecs at http://www.archives.gov/veterans/evetrecs/.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rsidSect="00606A25">
          <w:headerReference w:type="default" r:id="rId7"/>
          <w:footerReference w:type="default" r:id="rId8"/>
          <w:endnotePr>
            <w:numFmt w:val="decimal"/>
          </w:endnotePr>
          <w:pgSz w:w="12240" w:h="15840" w:code="1"/>
          <w:pgMar w:top="1440" w:right="1440" w:bottom="1440" w:left="1440" w:header="864" w:footer="864" w:gutter="0"/>
          <w:cols w:space="720"/>
          <w:noEndnote/>
        </w:sectPr>
      </w:pPr>
    </w:p>
    <w:p w:rsidR="00606A25" w:rsidRPr="00582B82" w:rsidRDefault="00606A25">
      <w:pPr>
        <w:rPr>
          <w:rFonts w:ascii="Times New Roman" w:hAnsi="Times New Roman"/>
        </w:rPr>
      </w:pPr>
      <w:r w:rsidRPr="00582B82">
        <w:rPr>
          <w:rFonts w:ascii="Times New Roman" w:hAnsi="Times New Roman"/>
        </w:rPr>
        <w:lastRenderedPageBreak/>
        <w:t xml:space="preserve">4.  </w:t>
      </w:r>
      <w:r w:rsidRPr="00582B82">
        <w:rPr>
          <w:rFonts w:ascii="Times New Roman" w:hAnsi="Times New Roman"/>
          <w:b/>
          <w:u w:val="single"/>
        </w:rPr>
        <w:t>Efforts to Identify Duplication and Use of Similar Information.</w:t>
      </w:r>
      <w:r w:rsidRPr="00582B82">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April 2008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5.  </w:t>
      </w:r>
      <w:r w:rsidRPr="00582B82">
        <w:rPr>
          <w:rFonts w:ascii="Times New Roman" w:hAnsi="Times New Roman"/>
          <w:b/>
          <w:u w:val="single"/>
        </w:rPr>
        <w:t>Impact on Small Businesses or Other Small Entities.</w:t>
      </w:r>
      <w:r w:rsidRPr="00582B82">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pPr>
        <w:numPr>
          <w:ilvl w:val="0"/>
          <w:numId w:val="6"/>
        </w:numPr>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Default="00606A25">
      <w:pPr>
        <w:rPr>
          <w:rFonts w:ascii="Times New Roman" w:hAnsi="Times New Roman"/>
        </w:rPr>
      </w:pPr>
      <w:r w:rsidRPr="00582B82">
        <w:rPr>
          <w:rFonts w:ascii="Times New Roman" w:hAnsi="Times New Roman"/>
        </w:rPr>
        <w:t xml:space="preserve">8.  </w:t>
      </w:r>
      <w:r w:rsidRPr="00582B82">
        <w:rPr>
          <w:rFonts w:ascii="Times New Roman" w:hAnsi="Times New Roman"/>
          <w:b/>
          <w:u w:val="single"/>
        </w:rPr>
        <w:t>Comments in Response to the Federal Register Notice and Efforts to Consult Outside Agency.</w:t>
      </w:r>
      <w:r w:rsidRPr="00582B82">
        <w:rPr>
          <w:rFonts w:ascii="Times New Roman" w:hAnsi="Times New Roman"/>
        </w:rPr>
        <w:t xml:space="preserve">  No formal consultations have taken place; however,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has consulted with DOD components and the Department of Veterans Affairs to maintain a current address list of custodians for the back of the form.  NARA published a notice in the </w:t>
      </w:r>
      <w:r w:rsidRPr="006F2034">
        <w:rPr>
          <w:rFonts w:ascii="Times New Roman" w:hAnsi="Times New Roman"/>
          <w:i/>
        </w:rPr>
        <w:t>Federal Register</w:t>
      </w:r>
      <w:r w:rsidR="006F2034">
        <w:rPr>
          <w:rFonts w:ascii="Times New Roman" w:hAnsi="Times New Roman"/>
        </w:rPr>
        <w:t xml:space="preserve"> on </w:t>
      </w:r>
      <w:r w:rsidR="00D6720A">
        <w:rPr>
          <w:rFonts w:ascii="Times New Roman" w:hAnsi="Times New Roman"/>
        </w:rPr>
        <w:t>August</w:t>
      </w:r>
      <w:r w:rsidR="006F2034">
        <w:rPr>
          <w:rFonts w:ascii="Times New Roman" w:hAnsi="Times New Roman"/>
        </w:rPr>
        <w:t xml:space="preserve"> </w:t>
      </w:r>
      <w:r w:rsidR="009A3C55">
        <w:rPr>
          <w:rFonts w:ascii="Times New Roman" w:hAnsi="Times New Roman"/>
        </w:rPr>
        <w:t>24</w:t>
      </w:r>
      <w:r w:rsidR="006F2034">
        <w:rPr>
          <w:rFonts w:ascii="Times New Roman" w:hAnsi="Times New Roman"/>
        </w:rPr>
        <w:t>, 20</w:t>
      </w:r>
      <w:r w:rsidR="00D6720A">
        <w:rPr>
          <w:rFonts w:ascii="Times New Roman" w:hAnsi="Times New Roman"/>
        </w:rPr>
        <w:t>11</w:t>
      </w:r>
      <w:r w:rsidR="006F2034">
        <w:rPr>
          <w:rFonts w:ascii="Times New Roman" w:hAnsi="Times New Roman"/>
        </w:rPr>
        <w:t xml:space="preserve"> (7</w:t>
      </w:r>
      <w:r w:rsidR="00D6720A">
        <w:rPr>
          <w:rFonts w:ascii="Times New Roman" w:hAnsi="Times New Roman"/>
        </w:rPr>
        <w:t>6</w:t>
      </w:r>
      <w:r w:rsidR="006F2034">
        <w:rPr>
          <w:rFonts w:ascii="Times New Roman" w:hAnsi="Times New Roman"/>
        </w:rPr>
        <w:t xml:space="preserve"> FR </w:t>
      </w:r>
      <w:r w:rsidR="009A3C55">
        <w:rPr>
          <w:rFonts w:ascii="Times New Roman" w:hAnsi="Times New Roman"/>
        </w:rPr>
        <w:t>52991 and 52992)</w:t>
      </w:r>
      <w:r w:rsidRPr="00582B82">
        <w:rPr>
          <w:rFonts w:ascii="Times New Roman" w:hAnsi="Times New Roman"/>
        </w:rPr>
        <w:t xml:space="preserve">, requesting public comment. </w:t>
      </w:r>
      <w:r w:rsidR="009A3C55">
        <w:rPr>
          <w:rFonts w:ascii="Times New Roman" w:hAnsi="Times New Roman"/>
        </w:rPr>
        <w:t>No</w:t>
      </w:r>
      <w:r w:rsidR="00D6720A">
        <w:rPr>
          <w:rFonts w:ascii="Times New Roman" w:hAnsi="Times New Roman"/>
        </w:rPr>
        <w:t xml:space="preserve"> </w:t>
      </w:r>
      <w:r w:rsidR="006F2034">
        <w:rPr>
          <w:rFonts w:ascii="Times New Roman" w:hAnsi="Times New Roman"/>
        </w:rPr>
        <w:t>comment</w:t>
      </w:r>
      <w:r w:rsidR="007A46AB">
        <w:rPr>
          <w:rFonts w:ascii="Times New Roman" w:hAnsi="Times New Roman"/>
        </w:rPr>
        <w:t>s</w:t>
      </w:r>
      <w:r w:rsidR="00684E1E">
        <w:rPr>
          <w:rFonts w:ascii="Times New Roman" w:hAnsi="Times New Roman"/>
        </w:rPr>
        <w:t xml:space="preserve"> w</w:t>
      </w:r>
      <w:r w:rsidR="007A46AB">
        <w:rPr>
          <w:rFonts w:ascii="Times New Roman" w:hAnsi="Times New Roman"/>
        </w:rPr>
        <w:t>ere</w:t>
      </w:r>
      <w:r w:rsidR="006F2034">
        <w:rPr>
          <w:rFonts w:ascii="Times New Roman" w:hAnsi="Times New Roman"/>
        </w:rPr>
        <w:t xml:space="preserve"> received.</w:t>
      </w:r>
    </w:p>
    <w:p w:rsidR="006F2034" w:rsidRPr="00582B82" w:rsidRDefault="006F2034">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9.  </w:t>
      </w:r>
      <w:r w:rsidRPr="00582B82">
        <w:rPr>
          <w:rFonts w:ascii="Times New Roman" w:hAnsi="Times New Roman"/>
          <w:b/>
          <w:u w:val="single"/>
        </w:rPr>
        <w:t>Explanation of Any Payment or Gift to Respondents.</w:t>
      </w:r>
      <w:r w:rsidRPr="00582B82">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10.  </w:t>
      </w:r>
      <w:r w:rsidRPr="00582B82">
        <w:rPr>
          <w:rFonts w:ascii="Times New Roman" w:hAnsi="Times New Roman"/>
          <w:b/>
          <w:u w:val="single"/>
        </w:rPr>
        <w:t>Assurance of Confidentiality Provided to Respondents.</w:t>
      </w:r>
      <w:r w:rsidRPr="00582B82">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contained in the Privacy Act system notice.  Archival records are not subject to Privacy Act provisions. </w:t>
      </w:r>
    </w:p>
    <w:p w:rsidR="00606A25" w:rsidRPr="00582B82" w:rsidRDefault="00606A25">
      <w:pPr>
        <w:rPr>
          <w:rFonts w:ascii="Times New Roman" w:hAnsi="Times New Roman"/>
        </w:rPr>
      </w:pPr>
    </w:p>
    <w:p w:rsidR="00606A25" w:rsidRPr="00582B82" w:rsidRDefault="00606A25">
      <w:pPr>
        <w:rPr>
          <w:rFonts w:ascii="Times New Roman" w:hAnsi="Times New Roman"/>
        </w:rPr>
        <w:sectPr w:rsidR="00606A25" w:rsidRPr="00582B82">
          <w:endnotePr>
            <w:numFmt w:val="decimal"/>
          </w:endnotePr>
          <w:type w:val="continuous"/>
          <w:pgSz w:w="12240" w:h="15840"/>
          <w:pgMar w:top="1152" w:right="1152" w:bottom="1152" w:left="1152" w:header="1440" w:footer="1440" w:gutter="0"/>
          <w:cols w:space="720"/>
          <w:noEndnote/>
        </w:sectPr>
      </w:pPr>
    </w:p>
    <w:p w:rsidR="00606A25" w:rsidRPr="00582B82" w:rsidRDefault="00606A25">
      <w:pPr>
        <w:numPr>
          <w:ilvl w:val="0"/>
          <w:numId w:val="8"/>
        </w:numPr>
        <w:rPr>
          <w:rFonts w:ascii="Times New Roman" w:hAnsi="Times New Roman"/>
        </w:rPr>
      </w:pPr>
      <w:r w:rsidRPr="00582B82">
        <w:rPr>
          <w:rFonts w:ascii="Times New Roman" w:hAnsi="Times New Roman"/>
          <w:b/>
          <w:u w:val="single"/>
        </w:rPr>
        <w:lastRenderedPageBreak/>
        <w:t>Justification for Sensitive Questions.</w:t>
      </w:r>
      <w:r w:rsidRPr="00582B82">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pPr>
        <w:rPr>
          <w:rFonts w:ascii="Times New Roman" w:hAnsi="Times New Roman"/>
        </w:rPr>
      </w:pPr>
    </w:p>
    <w:p w:rsidR="00606A25" w:rsidRPr="00582B82" w:rsidRDefault="00606A25">
      <w:pPr>
        <w:numPr>
          <w:ilvl w:val="0"/>
          <w:numId w:val="5"/>
        </w:numPr>
        <w:rPr>
          <w:rFonts w:ascii="Times New Roman" w:hAnsi="Times New Roman"/>
        </w:rPr>
      </w:pPr>
      <w:r w:rsidRPr="00582B82">
        <w:rPr>
          <w:rFonts w:ascii="Times New Roman" w:hAnsi="Times New Roman"/>
          <w:b/>
          <w:u w:val="single"/>
        </w:rPr>
        <w:t>Estimates of Hour Burden Including Annualized Hourly Costs.</w:t>
      </w:r>
      <w:r w:rsidRPr="00582B82">
        <w:rPr>
          <w:rFonts w:ascii="Times New Roman" w:hAnsi="Times New Roman"/>
        </w:rPr>
        <w:t xml:space="preserve">  The hour burden for individual respondents who submit a paper SF 180 or electronically via VetRecs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The estimated time is based on the expectation that most respondents will be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pPr>
        <w:numPr>
          <w:ilvl w:val="0"/>
          <w:numId w:val="7"/>
        </w:numPr>
        <w:rPr>
          <w:rFonts w:ascii="Times New Roman" w:hAnsi="Times New Roman"/>
        </w:rPr>
      </w:pPr>
      <w:r w:rsidRPr="00582B82">
        <w:rPr>
          <w:rFonts w:ascii="Times New Roman" w:hAnsi="Times New Roman"/>
          <w:b/>
          <w:u w:val="single"/>
        </w:rPr>
        <w:t>Estimate of Other Total Annual Cost Burden to Respondents or Recordkeepers.</w:t>
      </w:r>
      <w:r w:rsidRPr="00582B82">
        <w:rPr>
          <w:rFonts w:ascii="Times New Roman" w:hAnsi="Times New Roman"/>
        </w:rPr>
        <w:t xml:space="preserve">  The estimated annualized cost for individual respondents who complete the SF 180 is approximately $0.</w:t>
      </w:r>
      <w:r w:rsidR="002D1BC4" w:rsidRPr="00582B82">
        <w:rPr>
          <w:rFonts w:ascii="Times New Roman" w:hAnsi="Times New Roman"/>
        </w:rPr>
        <w:t>9</w:t>
      </w:r>
      <w:r w:rsidRPr="00582B82">
        <w:rPr>
          <w:rFonts w:ascii="Times New Roman" w:hAnsi="Times New Roman"/>
        </w:rPr>
        <w:t xml:space="preserve">1. Because requests are normally made for the personal benefit of requesters, the cost of a respondent’s time is established at the minimum wage rate of $5.85 per hour.  The remainder of each respondent cost consists of costs for envelopes ($.01) and postage ($.41).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82B82" w:rsidRDefault="002D1BC4">
            <w:pPr>
              <w:jc w:val="center"/>
              <w:rPr>
                <w:rFonts w:ascii="Times New Roman" w:hAnsi="Times New Roman"/>
              </w:rPr>
            </w:pPr>
            <w:r w:rsidRPr="00582B82">
              <w:rPr>
                <w:rFonts w:ascii="Times New Roman" w:hAnsi="Times New Roman"/>
              </w:rPr>
              <w:t>$0.9</w:t>
            </w:r>
            <w:r w:rsidR="00606A25" w:rsidRPr="00582B82">
              <w:rPr>
                <w:rFonts w:ascii="Times New Roman" w:hAnsi="Times New Roman"/>
              </w:rPr>
              <w:t>1</w:t>
            </w:r>
          </w:p>
        </w:tc>
        <w:tc>
          <w:tcPr>
            <w:tcW w:w="1997" w:type="dxa"/>
          </w:tcPr>
          <w:p w:rsidR="00606A25" w:rsidRPr="00582B82" w:rsidRDefault="00606A25">
            <w:pPr>
              <w:jc w:val="center"/>
              <w:rPr>
                <w:rFonts w:ascii="Times New Roman" w:hAnsi="Times New Roman"/>
              </w:rPr>
            </w:pPr>
            <w:r w:rsidRPr="00582B82">
              <w:rPr>
                <w:rFonts w:ascii="Times New Roman" w:hAnsi="Times New Roman"/>
                <w:b/>
              </w:rPr>
              <w:t>$</w:t>
            </w:r>
            <w:r w:rsidR="002D1BC4" w:rsidRPr="00582B82">
              <w:rPr>
                <w:rFonts w:ascii="Times New Roman" w:hAnsi="Times New Roman"/>
              </w:rPr>
              <w:t>933,608</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14.  </w:t>
      </w:r>
      <w:r w:rsidRPr="00582B82">
        <w:rPr>
          <w:rFonts w:ascii="Times New Roman" w:hAnsi="Times New Roman"/>
          <w:b/>
          <w:u w:val="single"/>
        </w:rPr>
        <w:t>Annualized Cost to the Federal Government.</w:t>
      </w:r>
      <w:r w:rsidRPr="00582B82">
        <w:rPr>
          <w:rFonts w:ascii="Times New Roman" w:hAnsi="Times New Roman"/>
        </w:rPr>
        <w:t xml:space="preserve">  The total estimated annualized cost to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is $</w:t>
      </w:r>
      <w:r w:rsidR="00161EAB" w:rsidRPr="00582B82">
        <w:rPr>
          <w:rFonts w:ascii="Times New Roman" w:hAnsi="Times New Roman"/>
        </w:rPr>
        <w:t>1256</w:t>
      </w:r>
      <w:r w:rsidRPr="00582B82">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9A3C55" w:rsidRDefault="00606A25">
      <w:pPr>
        <w:rPr>
          <w:rFonts w:ascii="Times New Roman" w:hAnsi="Times New Roman"/>
        </w:rPr>
      </w:pPr>
      <w:r w:rsidRPr="00582B82">
        <w:rPr>
          <w:rFonts w:ascii="Times New Roman" w:hAnsi="Times New Roman"/>
        </w:rPr>
        <w:t xml:space="preserve">15.  </w:t>
      </w:r>
      <w:r w:rsidRPr="00582B82">
        <w:rPr>
          <w:rFonts w:ascii="Times New Roman" w:hAnsi="Times New Roman"/>
          <w:b/>
          <w:u w:val="single"/>
        </w:rPr>
        <w:t>Explanation for Program Changes or Adjustments.</w:t>
      </w:r>
      <w:r w:rsidRPr="00582B82">
        <w:rPr>
          <w:rFonts w:ascii="Times New Roman" w:hAnsi="Times New Roman"/>
        </w:rPr>
        <w:t xml:space="preserve">  There </w:t>
      </w:r>
      <w:r w:rsidR="009A3C55">
        <w:rPr>
          <w:rFonts w:ascii="Times New Roman" w:hAnsi="Times New Roman"/>
        </w:rPr>
        <w:t>is no change in burden.</w:t>
      </w:r>
    </w:p>
    <w:p w:rsidR="00606A25" w:rsidRPr="00582B82" w:rsidRDefault="00606A25">
      <w:pPr>
        <w:rPr>
          <w:rFonts w:ascii="Times New Roman" w:hAnsi="Times New Roman"/>
        </w:rPr>
      </w:pPr>
      <w:r w:rsidRPr="00582B82">
        <w:rPr>
          <w:rFonts w:ascii="Times New Roman" w:hAnsi="Times New Roman"/>
        </w:rPr>
        <w:lastRenderedPageBreak/>
        <w:t xml:space="preserve">16.  </w:t>
      </w:r>
      <w:r w:rsidRPr="00582B82">
        <w:rPr>
          <w:rFonts w:ascii="Times New Roman" w:hAnsi="Times New Roman"/>
          <w:b/>
          <w:u w:val="single"/>
        </w:rPr>
        <w:t>Plans for Tabulation and Publication and Project Time Schedule.</w:t>
      </w:r>
      <w:r w:rsidRPr="00582B82">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pPr>
        <w:numPr>
          <w:ilvl w:val="0"/>
          <w:numId w:val="11"/>
        </w:numPr>
        <w:rPr>
          <w:rFonts w:ascii="Times New Roman" w:hAnsi="Times New Roman"/>
        </w:rPr>
      </w:pPr>
      <w:r w:rsidRPr="00582B82">
        <w:rPr>
          <w:rFonts w:ascii="Times New Roman" w:hAnsi="Times New Roman"/>
          <w:b/>
          <w:u w:val="single"/>
        </w:rPr>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 xml:space="preserve">18.  </w:t>
      </w:r>
      <w:r w:rsidRPr="00582B82">
        <w:rPr>
          <w:rFonts w:ascii="Times New Roman" w:hAnsi="Times New Roman"/>
          <w:b/>
          <w:u w:val="single"/>
        </w:rPr>
        <w:t>Exceptions to Certification for Paperwork Reduction Act Submissions.</w:t>
      </w:r>
      <w:r w:rsidRPr="00582B82">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582B82" w:rsidSect="00F763C7">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D6720A">
    <w:pPr>
      <w:spacing w:line="240" w:lineRule="exact"/>
    </w:pPr>
  </w:p>
  <w:p w:rsidR="00D6720A" w:rsidRDefault="003B2A74">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9A3C55">
      <w:rPr>
        <w:rFonts w:ascii="Times New Roman" w:hAnsi="Times New Roman"/>
        <w:noProof/>
      </w:rPr>
      <w:t>4</w:t>
    </w:r>
    <w:r>
      <w:rPr>
        <w:rFonts w:ascii="Times New Roman" w:hAnsi="Times New Roman"/>
      </w:rPr>
      <w:fldChar w:fldCharType="end"/>
    </w:r>
  </w:p>
  <w:p w:rsidR="00D6720A" w:rsidRDefault="00D672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0A" w:rsidRDefault="00D6720A">
    <w:pPr>
      <w:pStyle w:val="Header"/>
      <w:jc w:val="right"/>
    </w:pPr>
    <w:r>
      <w:t>8/11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19F4"/>
    <w:multiLevelType w:val="singleLevel"/>
    <w:tmpl w:val="9B548E1A"/>
    <w:lvl w:ilvl="0">
      <w:start w:val="17"/>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4">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5">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6">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7">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9">
    <w:nsid w:val="6E756058"/>
    <w:multiLevelType w:val="singleLevel"/>
    <w:tmpl w:val="69DA5BAE"/>
    <w:lvl w:ilvl="0">
      <w:start w:val="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0">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4"/>
  </w:num>
  <w:num w:numId="2">
    <w:abstractNumId w:val="7"/>
  </w:num>
  <w:num w:numId="3">
    <w:abstractNumId w:val="5"/>
  </w:num>
  <w:num w:numId="4">
    <w:abstractNumId w:val="1"/>
  </w:num>
  <w:num w:numId="5">
    <w:abstractNumId w:val="10"/>
  </w:num>
  <w:num w:numId="6">
    <w:abstractNumId w:val="9"/>
  </w:num>
  <w:num w:numId="7">
    <w:abstractNumId w:val="3"/>
  </w:num>
  <w:num w:numId="8">
    <w:abstractNumId w:val="6"/>
  </w:num>
  <w:num w:numId="9">
    <w:abstractNumId w:val="2"/>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A356B2"/>
    <w:rsid w:val="00017954"/>
    <w:rsid w:val="000D2910"/>
    <w:rsid w:val="00113EE2"/>
    <w:rsid w:val="00117ECE"/>
    <w:rsid w:val="00124C23"/>
    <w:rsid w:val="001258CA"/>
    <w:rsid w:val="00156C7D"/>
    <w:rsid w:val="00161EAB"/>
    <w:rsid w:val="002B71F1"/>
    <w:rsid w:val="002D1BC4"/>
    <w:rsid w:val="003167B5"/>
    <w:rsid w:val="00360F7A"/>
    <w:rsid w:val="00365A86"/>
    <w:rsid w:val="003B2A74"/>
    <w:rsid w:val="003E4D5B"/>
    <w:rsid w:val="004167F1"/>
    <w:rsid w:val="004C6054"/>
    <w:rsid w:val="00582B82"/>
    <w:rsid w:val="00587736"/>
    <w:rsid w:val="00606A25"/>
    <w:rsid w:val="00634E99"/>
    <w:rsid w:val="00684E1E"/>
    <w:rsid w:val="006F2034"/>
    <w:rsid w:val="007455FC"/>
    <w:rsid w:val="007A46AB"/>
    <w:rsid w:val="00824BAF"/>
    <w:rsid w:val="00984443"/>
    <w:rsid w:val="009A3C55"/>
    <w:rsid w:val="00A01351"/>
    <w:rsid w:val="00A356B2"/>
    <w:rsid w:val="00AF127D"/>
    <w:rsid w:val="00B252B3"/>
    <w:rsid w:val="00BC22A6"/>
    <w:rsid w:val="00CC6C0C"/>
    <w:rsid w:val="00D44F58"/>
    <w:rsid w:val="00D6720A"/>
    <w:rsid w:val="00E54BF2"/>
    <w:rsid w:val="00EA7266"/>
    <w:rsid w:val="00F022CE"/>
    <w:rsid w:val="00F55420"/>
    <w:rsid w:val="00F763C7"/>
    <w:rsid w:val="00FC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1553</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4</cp:revision>
  <cp:lastPrinted>2011-08-17T17:25:00Z</cp:lastPrinted>
  <dcterms:created xsi:type="dcterms:W3CDTF">2011-08-17T17:12:00Z</dcterms:created>
  <dcterms:modified xsi:type="dcterms:W3CDTF">2011-10-20T20:59:00Z</dcterms:modified>
</cp:coreProperties>
</file>