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42" w:rsidRDefault="00F22442" w:rsidP="000F3F80">
      <w:pPr>
        <w:jc w:val="center"/>
        <w:rPr>
          <w:b/>
        </w:rPr>
      </w:pPr>
      <w:r>
        <w:rPr>
          <w:b/>
        </w:rPr>
        <w:t>Supplementary Information:</w:t>
      </w:r>
    </w:p>
    <w:p w:rsidR="000F3F80" w:rsidRPr="000F3F80" w:rsidRDefault="000F3F80" w:rsidP="000F3F80">
      <w:pPr>
        <w:jc w:val="center"/>
        <w:rPr>
          <w:b/>
        </w:rPr>
      </w:pPr>
      <w:r>
        <w:rPr>
          <w:b/>
        </w:rPr>
        <w:t xml:space="preserve">FHWA </w:t>
      </w:r>
      <w:r w:rsidR="00F22442" w:rsidRPr="00F22442">
        <w:rPr>
          <w:b/>
        </w:rPr>
        <w:t>Exploratory Advanced Research (EAR) Program sponsored project titled "Effects of Automated Transit and Pedestrian/Bicycling Facilities on Urban Travel Patterns</w:t>
      </w:r>
    </w:p>
    <w:p w:rsidR="00F22442" w:rsidRDefault="00F22442" w:rsidP="000F3F80">
      <w:pPr>
        <w:jc w:val="center"/>
      </w:pPr>
    </w:p>
    <w:p w:rsidR="00AB1412" w:rsidRPr="00F22442" w:rsidRDefault="000F3F80" w:rsidP="000F3F80">
      <w:pPr>
        <w:jc w:val="center"/>
        <w:rPr>
          <w:b/>
        </w:rPr>
      </w:pPr>
      <w:r w:rsidRPr="00F22442">
        <w:rPr>
          <w:b/>
        </w:rPr>
        <w:t>OMB Follow-up</w:t>
      </w:r>
      <w:r w:rsidR="00F22442" w:rsidRPr="00F22442">
        <w:rPr>
          <w:b/>
        </w:rPr>
        <w:t xml:space="preserve"> </w:t>
      </w:r>
      <w:r w:rsidR="007C1323" w:rsidRPr="00F22442">
        <w:rPr>
          <w:b/>
        </w:rPr>
        <w:t>Questions</w:t>
      </w:r>
    </w:p>
    <w:p w:rsidR="000F3F80" w:rsidRDefault="000F3F80"/>
    <w:p w:rsidR="00485512" w:rsidRDefault="00485512" w:rsidP="007C1323">
      <w:pPr>
        <w:pStyle w:val="ListParagraph"/>
        <w:ind w:left="0"/>
      </w:pPr>
      <w:proofErr w:type="gramStart"/>
      <w:r w:rsidRPr="00F22442">
        <w:rPr>
          <w:b/>
        </w:rPr>
        <w:t xml:space="preserve">The rationale for selecting the four neighborhoods for </w:t>
      </w:r>
      <w:r w:rsidR="00F22442" w:rsidRPr="00F22442">
        <w:rPr>
          <w:b/>
        </w:rPr>
        <w:t xml:space="preserve">the </w:t>
      </w:r>
      <w:r w:rsidRPr="00F22442">
        <w:rPr>
          <w:b/>
        </w:rPr>
        <w:t>study.</w:t>
      </w:r>
      <w:proofErr w:type="gramEnd"/>
      <w:r>
        <w:t xml:space="preserve"> </w:t>
      </w:r>
      <w:r w:rsidR="00C13A1D" w:rsidRPr="00D21402">
        <w:rPr>
          <w:i/>
        </w:rPr>
        <w:t>“OMB</w:t>
      </w:r>
      <w:r w:rsidRPr="00D21402">
        <w:rPr>
          <w:i/>
        </w:rPr>
        <w:t xml:space="preserve"> initially questioned the choice of Chicago for the case studies, but I believe we were able to satisfy them there.  I noted our desire to examine neighborhoods with access to the rail transit network as well as different socioeconomic characteristics, but the OMB staff wanted a more detailed response, apparently to justify why four neighborhoods were included in the plan and how they were different</w:t>
      </w:r>
      <w:r w:rsidR="00C13A1D" w:rsidRPr="00D21402">
        <w:rPr>
          <w:i/>
        </w:rPr>
        <w:t>”</w:t>
      </w:r>
      <w:r w:rsidRPr="00D21402">
        <w:rPr>
          <w:i/>
        </w:rPr>
        <w:t>.</w:t>
      </w:r>
      <w:r>
        <w:t xml:space="preserve">  </w:t>
      </w:r>
    </w:p>
    <w:p w:rsidR="00485512" w:rsidRDefault="00485512" w:rsidP="007C1323">
      <w:pPr>
        <w:spacing w:after="240"/>
      </w:pPr>
      <w:r>
        <w:br/>
        <w:t xml:space="preserve">The four neighborhoods were the product of a two-by-two design:  more affluent (Skokie, Evanston) and less affluent (Cicero, </w:t>
      </w:r>
      <w:proofErr w:type="spellStart"/>
      <w:r>
        <w:t>Pilsen</w:t>
      </w:r>
      <w:proofErr w:type="spellEnd"/>
      <w:r>
        <w:t>), and auto-oriented in urban form (Cicero, Skokie) and more transit/pedestrian-oriented in form (</w:t>
      </w:r>
      <w:proofErr w:type="spellStart"/>
      <w:r>
        <w:t>Pilsen</w:t>
      </w:r>
      <w:proofErr w:type="spellEnd"/>
      <w:r>
        <w:t xml:space="preserve">, Evanston).  The underlying premise that that urban form and household income are two of the most important determinants of mode choice; this design ensures that a) we have variability in each; and b) we can observe the effect of each separately. </w:t>
      </w:r>
    </w:p>
    <w:p w:rsidR="00485512" w:rsidRPr="00D21402" w:rsidRDefault="00485512" w:rsidP="007C1323">
      <w:pPr>
        <w:pStyle w:val="ListParagraph"/>
        <w:ind w:left="0"/>
        <w:rPr>
          <w:rFonts w:ascii="Calibri" w:hAnsi="Calibri"/>
          <w:i/>
          <w:sz w:val="22"/>
          <w:szCs w:val="22"/>
        </w:rPr>
      </w:pPr>
      <w:proofErr w:type="gramStart"/>
      <w:r w:rsidRPr="00F22442">
        <w:rPr>
          <w:b/>
        </w:rPr>
        <w:t>The methodology for normalizing responses to address differences between stated and actual preferences.</w:t>
      </w:r>
      <w:proofErr w:type="gramEnd"/>
      <w:r>
        <w:t xml:space="preserve">  </w:t>
      </w:r>
      <w:r w:rsidR="00C13A1D" w:rsidRPr="00D21402">
        <w:rPr>
          <w:i/>
        </w:rPr>
        <w:t>“OMB</w:t>
      </w:r>
      <w:r w:rsidRPr="00D21402">
        <w:rPr>
          <w:i/>
        </w:rPr>
        <w:t xml:space="preserve"> wanted specific information as to how this would be done</w:t>
      </w:r>
      <w:r w:rsidR="00C13A1D" w:rsidRPr="00D21402">
        <w:rPr>
          <w:i/>
        </w:rPr>
        <w:t>”</w:t>
      </w:r>
      <w:r w:rsidRPr="00D21402">
        <w:rPr>
          <w:i/>
        </w:rPr>
        <w:t>.</w:t>
      </w:r>
    </w:p>
    <w:p w:rsidR="00485512" w:rsidRPr="00F22442" w:rsidRDefault="00485512" w:rsidP="00F22442">
      <w:pPr>
        <w:spacing w:after="240"/>
      </w:pPr>
      <w:r>
        <w:t>Responses from stated preference will be normalized to the revealed preference data.  That is, the stated-preference scenarios contain among them a status-quo scenario.  In principle, stated-preference responses to the status quo scenario should match current behavior.  We expect that there will be bias, however, with stated behavior ostensibly showing higher rates of walking, cycling, and transit use than revealed behavior.   Estimated rates of use of travel modes for future scenarios will be reduced by the extent of the bias observed in the gap between current behavior and stated behavior under the status quo scenarios.</w:t>
      </w:r>
    </w:p>
    <w:p w:rsidR="00485512" w:rsidRPr="00D21402" w:rsidRDefault="00485512" w:rsidP="007C1323">
      <w:pPr>
        <w:pStyle w:val="ListParagraph"/>
        <w:ind w:left="0"/>
        <w:rPr>
          <w:i/>
        </w:rPr>
      </w:pPr>
      <w:proofErr w:type="gramStart"/>
      <w:r w:rsidRPr="00F22442">
        <w:rPr>
          <w:b/>
        </w:rPr>
        <w:t>Whether a Spanish language version of the questionnaire (and other materials) will be used.</w:t>
      </w:r>
      <w:proofErr w:type="gramEnd"/>
      <w:r>
        <w:t xml:space="preserve">  </w:t>
      </w:r>
      <w:r w:rsidR="00C13A1D" w:rsidRPr="00D21402">
        <w:rPr>
          <w:i/>
        </w:rPr>
        <w:t>“</w:t>
      </w:r>
      <w:r w:rsidRPr="00D21402">
        <w:rPr>
          <w:i/>
        </w:rPr>
        <w:t>The research protocol document noted that the initial letter would include English and Spanish, but did not note whether other materials would also be printed in both languages. I pointed out that the interviewers would be fluent in Spanish as needed</w:t>
      </w:r>
      <w:r w:rsidR="00C13A1D" w:rsidRPr="00D21402">
        <w:rPr>
          <w:i/>
        </w:rPr>
        <w:t>”</w:t>
      </w:r>
      <w:r w:rsidRPr="00D21402">
        <w:rPr>
          <w:i/>
        </w:rPr>
        <w:t>.</w:t>
      </w:r>
    </w:p>
    <w:p w:rsidR="00485512" w:rsidRPr="00F22442" w:rsidRDefault="00485512" w:rsidP="00F22442">
      <w:pPr>
        <w:spacing w:after="240"/>
      </w:pPr>
      <w:r>
        <w:t>Yes, Spanish-language versions of all materials will be provided.  The Survey Research Lab will be developing these translations, as required for Institutional Review Board approval.</w:t>
      </w:r>
    </w:p>
    <w:p w:rsidR="00485512" w:rsidRDefault="00485512" w:rsidP="00C13A1D">
      <w:pPr>
        <w:pStyle w:val="ListParagraph"/>
        <w:ind w:left="0"/>
      </w:pPr>
      <w:r w:rsidRPr="00F22442">
        <w:rPr>
          <w:b/>
        </w:rPr>
        <w:t xml:space="preserve">How to justify the $50 response </w:t>
      </w:r>
      <w:r w:rsidR="00F22442" w:rsidRPr="00F22442">
        <w:rPr>
          <w:b/>
        </w:rPr>
        <w:t>incentive</w:t>
      </w:r>
      <w:r w:rsidRPr="00F22442">
        <w:rPr>
          <w:b/>
        </w:rPr>
        <w:t xml:space="preserve"> or whether a much smaller incentive should instead be used. </w:t>
      </w:r>
      <w:r>
        <w:t xml:space="preserve"> </w:t>
      </w:r>
      <w:r>
        <w:br/>
        <w:t xml:space="preserve">This study is unique in that it requires participants to complete four separate elements that are each independently burdensome, and taken as a whole, are very burdensome.  After </w:t>
      </w:r>
      <w:r w:rsidR="00F22442">
        <w:t>respondents return the response letter and indicate</w:t>
      </w:r>
      <w:r>
        <w:t xml:space="preserve"> their interest in participating in the study, they are mailed a study packet that includes a travel diary and a booklet with images and worksheets.  The first thing we ask respondents to do is to spend time completing a detailed, five-page travel diary in advance of the telephone interview.  Then, we ask them to complete a telephone interview.  Finally, during the phone interview, respondents are asked to fill in values on the six separate worksheets that we provide in the booklet.  These values are calculated based on information the respondent provides during the phone interview using the travel diary, so they cannot be pre-filled.  Once the respondent fills in the values, they are asked to answer questions based on the images and worksheets.  In appreciation for the considerable amount of effort we are asking respondents to put into this study, we propose offering a $50 incentive. Research has shown that incentives increase cooperation and there is some evidence that they reduce the number of calls required on sample cases which reduces interviewer effort and cost. </w:t>
      </w:r>
      <w:proofErr w:type="gramStart"/>
      <w:r>
        <w:t xml:space="preserve">(Groves, R.M., and </w:t>
      </w:r>
      <w:proofErr w:type="spellStart"/>
      <w:r>
        <w:t>Couper</w:t>
      </w:r>
      <w:proofErr w:type="spellEnd"/>
      <w:r>
        <w:t>, M.P. (1998).</w:t>
      </w:r>
      <w:proofErr w:type="gramEnd"/>
      <w:r>
        <w:t xml:space="preserve"> </w:t>
      </w:r>
      <w:proofErr w:type="spellStart"/>
      <w:proofErr w:type="gramStart"/>
      <w:r>
        <w:t>Nonresponse</w:t>
      </w:r>
      <w:proofErr w:type="spellEnd"/>
      <w:r>
        <w:t xml:space="preserve"> in Household Interview Surveys, New York: Wiley.)</w:t>
      </w:r>
      <w:proofErr w:type="gramEnd"/>
      <w:r>
        <w:t>  The $50 incentive used in this study is appropriate for helping us achieve a reasonable participation rate.  The results of the pretest indicate that even with the $50 incentive, the participation rate for this study is somewhat low at 9%.  The participation rates a</w:t>
      </w:r>
      <w:r w:rsidR="00F22442">
        <w:t>re detailed in the table below.</w:t>
      </w:r>
    </w:p>
    <w:p w:rsidR="00F22442" w:rsidRDefault="00F22442" w:rsidP="007C1323">
      <w:pPr>
        <w:spacing w:after="240"/>
      </w:pPr>
    </w:p>
    <w:p w:rsidR="00485512" w:rsidRDefault="00485512" w:rsidP="00485512">
      <w:pPr>
        <w:rPr>
          <w:rFonts w:ascii="Calibri" w:hAnsi="Calibri"/>
          <w:sz w:val="22"/>
          <w:szCs w:val="22"/>
        </w:rPr>
      </w:pPr>
      <w:proofErr w:type="gramStart"/>
      <w:r>
        <w:rPr>
          <w:rFonts w:ascii="Arial" w:hAnsi="Arial" w:cs="Arial"/>
          <w:b/>
          <w:bCs/>
          <w:sz w:val="20"/>
          <w:szCs w:val="20"/>
        </w:rPr>
        <w:t>Table 2.</w:t>
      </w:r>
      <w:proofErr w:type="gramEnd"/>
      <w:r>
        <w:rPr>
          <w:rFonts w:ascii="Arial" w:hAnsi="Arial" w:cs="Arial"/>
          <w:b/>
          <w:bCs/>
          <w:sz w:val="20"/>
          <w:szCs w:val="20"/>
        </w:rPr>
        <w:t xml:space="preserve"> Final Disposition of Sample, overall and by neighborhood, pretest </w:t>
      </w:r>
    </w:p>
    <w:tbl>
      <w:tblPr>
        <w:tblpPr w:leftFromText="180" w:rightFromText="180" w:vertAnchor="text" w:horzAnchor="margin" w:tblpY="1"/>
        <w:tblW w:w="9765" w:type="dxa"/>
        <w:tblCellMar>
          <w:left w:w="0" w:type="dxa"/>
          <w:right w:w="0" w:type="dxa"/>
        </w:tblCellMar>
        <w:tblLook w:val="04A0"/>
      </w:tblPr>
      <w:tblGrid>
        <w:gridCol w:w="519"/>
        <w:gridCol w:w="3274"/>
        <w:gridCol w:w="516"/>
        <w:gridCol w:w="222"/>
        <w:gridCol w:w="669"/>
        <w:gridCol w:w="524"/>
        <w:gridCol w:w="669"/>
        <w:gridCol w:w="455"/>
        <w:gridCol w:w="669"/>
        <w:gridCol w:w="455"/>
        <w:gridCol w:w="669"/>
        <w:gridCol w:w="455"/>
        <w:gridCol w:w="669"/>
      </w:tblGrid>
      <w:tr w:rsidR="00485512" w:rsidTr="00F22442">
        <w:trPr>
          <w:trHeight w:val="466"/>
        </w:trPr>
        <w:tc>
          <w:tcPr>
            <w:tcW w:w="519" w:type="dxa"/>
            <w:tcBorders>
              <w:top w:val="single" w:sz="8" w:space="0" w:color="000000"/>
              <w:left w:val="single" w:sz="8" w:space="0" w:color="000000"/>
              <w:bottom w:val="single" w:sz="8" w:space="0" w:color="000000"/>
              <w:right w:val="single" w:sz="8" w:space="0" w:color="000000"/>
            </w:tcBorders>
            <w:shd w:val="clear" w:color="auto" w:fill="E6E6E6"/>
            <w:noWrap/>
            <w:tcMar>
              <w:top w:w="0" w:type="dxa"/>
              <w:left w:w="29" w:type="dxa"/>
              <w:bottom w:w="0" w:type="dxa"/>
              <w:right w:w="29" w:type="dxa"/>
            </w:tcMar>
            <w:vAlign w:val="bottom"/>
            <w:hideMark/>
          </w:tcPr>
          <w:p w:rsidR="00485512" w:rsidRDefault="00485512" w:rsidP="00F22442">
            <w:pPr>
              <w:spacing w:before="20" w:after="20"/>
              <w:rPr>
                <w:rFonts w:ascii="Calibri" w:hAnsi="Calibri"/>
                <w:color w:val="000000"/>
                <w:sz w:val="22"/>
                <w:szCs w:val="22"/>
              </w:rPr>
            </w:pPr>
            <w:r>
              <w:rPr>
                <w:rFonts w:ascii="Arial" w:hAnsi="Arial" w:cs="Arial"/>
                <w:b/>
                <w:bCs/>
                <w:sz w:val="18"/>
                <w:szCs w:val="18"/>
              </w:rPr>
              <w:t>Code</w:t>
            </w:r>
          </w:p>
        </w:tc>
        <w:tc>
          <w:tcPr>
            <w:tcW w:w="3274" w:type="dxa"/>
            <w:tcBorders>
              <w:top w:val="single" w:sz="8" w:space="0" w:color="auto"/>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rPr>
                <w:rFonts w:ascii="Calibri" w:hAnsi="Calibri"/>
                <w:color w:val="000000"/>
                <w:sz w:val="22"/>
                <w:szCs w:val="22"/>
              </w:rPr>
            </w:pPr>
            <w:r>
              <w:rPr>
                <w:rFonts w:ascii="Arial" w:hAnsi="Arial" w:cs="Arial"/>
                <w:b/>
                <w:bCs/>
                <w:sz w:val="18"/>
                <w:szCs w:val="18"/>
              </w:rPr>
              <w:t>Disposition</w:t>
            </w:r>
          </w:p>
        </w:tc>
        <w:tc>
          <w:tcPr>
            <w:tcW w:w="1407" w:type="dxa"/>
            <w:gridSpan w:val="3"/>
            <w:tcBorders>
              <w:top w:val="single" w:sz="8" w:space="0" w:color="auto"/>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Overall</w:t>
            </w:r>
          </w:p>
        </w:tc>
        <w:tc>
          <w:tcPr>
            <w:tcW w:w="1193" w:type="dxa"/>
            <w:gridSpan w:val="2"/>
            <w:tcBorders>
              <w:top w:val="single" w:sz="8" w:space="0" w:color="auto"/>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s="Times New Roman"/>
                <w:color w:val="000000"/>
              </w:rPr>
            </w:pPr>
            <w:r>
              <w:rPr>
                <w:rFonts w:ascii="Arial" w:hAnsi="Arial" w:cs="Arial"/>
                <w:b/>
                <w:bCs/>
                <w:sz w:val="18"/>
                <w:szCs w:val="18"/>
              </w:rPr>
              <w:t>Cicero</w:t>
            </w:r>
          </w:p>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(STID 1)</w:t>
            </w:r>
          </w:p>
        </w:tc>
        <w:tc>
          <w:tcPr>
            <w:tcW w:w="1124" w:type="dxa"/>
            <w:gridSpan w:val="2"/>
            <w:tcBorders>
              <w:top w:val="single" w:sz="8" w:space="0" w:color="auto"/>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s="Times New Roman"/>
                <w:color w:val="000000"/>
              </w:rPr>
            </w:pPr>
            <w:proofErr w:type="spellStart"/>
            <w:r>
              <w:rPr>
                <w:rFonts w:ascii="Arial" w:hAnsi="Arial" w:cs="Arial"/>
                <w:b/>
                <w:bCs/>
                <w:sz w:val="18"/>
                <w:szCs w:val="18"/>
              </w:rPr>
              <w:t>Pilsen</w:t>
            </w:r>
            <w:proofErr w:type="spellEnd"/>
          </w:p>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(STID 2)</w:t>
            </w:r>
          </w:p>
        </w:tc>
        <w:tc>
          <w:tcPr>
            <w:tcW w:w="1124" w:type="dxa"/>
            <w:gridSpan w:val="2"/>
            <w:tcBorders>
              <w:top w:val="single" w:sz="8" w:space="0" w:color="auto"/>
              <w:left w:val="nil"/>
              <w:bottom w:val="single" w:sz="8" w:space="0" w:color="auto"/>
              <w:right w:val="single" w:sz="8" w:space="0" w:color="auto"/>
            </w:tcBorders>
            <w:shd w:val="clear" w:color="auto" w:fill="E6E6E6"/>
            <w:tcMar>
              <w:top w:w="0" w:type="dxa"/>
              <w:left w:w="29" w:type="dxa"/>
              <w:bottom w:w="0" w:type="dxa"/>
              <w:right w:w="29" w:type="dxa"/>
            </w:tcMar>
            <w:hideMark/>
          </w:tcPr>
          <w:p w:rsidR="00485512" w:rsidRDefault="00485512" w:rsidP="00F22442">
            <w:pPr>
              <w:spacing w:before="20" w:after="20"/>
              <w:jc w:val="center"/>
              <w:rPr>
                <w:rFonts w:ascii="Calibri" w:hAnsi="Calibri" w:cs="Times New Roman"/>
                <w:color w:val="000000"/>
              </w:rPr>
            </w:pPr>
            <w:r>
              <w:rPr>
                <w:rFonts w:ascii="Arial" w:hAnsi="Arial" w:cs="Arial"/>
                <w:b/>
                <w:bCs/>
                <w:sz w:val="18"/>
                <w:szCs w:val="18"/>
              </w:rPr>
              <w:t>Evanston</w:t>
            </w:r>
          </w:p>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(STID 3)</w:t>
            </w:r>
          </w:p>
        </w:tc>
        <w:tc>
          <w:tcPr>
            <w:tcW w:w="1124" w:type="dxa"/>
            <w:gridSpan w:val="2"/>
            <w:tcBorders>
              <w:top w:val="single" w:sz="8" w:space="0" w:color="auto"/>
              <w:left w:val="nil"/>
              <w:bottom w:val="single" w:sz="8" w:space="0" w:color="auto"/>
              <w:right w:val="single" w:sz="8" w:space="0" w:color="auto"/>
            </w:tcBorders>
            <w:shd w:val="clear" w:color="auto" w:fill="E6E6E6"/>
            <w:tcMar>
              <w:top w:w="0" w:type="dxa"/>
              <w:left w:w="29" w:type="dxa"/>
              <w:bottom w:w="0" w:type="dxa"/>
              <w:right w:w="29" w:type="dxa"/>
            </w:tcMar>
            <w:hideMark/>
          </w:tcPr>
          <w:p w:rsidR="00485512" w:rsidRDefault="00485512" w:rsidP="00F22442">
            <w:pPr>
              <w:spacing w:before="20" w:after="20"/>
              <w:jc w:val="center"/>
              <w:rPr>
                <w:rFonts w:ascii="Calibri" w:hAnsi="Calibri" w:cs="Times New Roman"/>
                <w:color w:val="000000"/>
              </w:rPr>
            </w:pPr>
            <w:r>
              <w:rPr>
                <w:rFonts w:ascii="Arial" w:hAnsi="Arial" w:cs="Arial"/>
                <w:b/>
                <w:bCs/>
                <w:sz w:val="18"/>
                <w:szCs w:val="18"/>
              </w:rPr>
              <w:t>Skokie</w:t>
            </w:r>
          </w:p>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(STID 4)</w:t>
            </w:r>
          </w:p>
        </w:tc>
      </w:tr>
      <w:tr w:rsidR="00F22442" w:rsidTr="00F22442">
        <w:trPr>
          <w:trHeight w:val="246"/>
        </w:trPr>
        <w:tc>
          <w:tcPr>
            <w:tcW w:w="519" w:type="dxa"/>
            <w:tcBorders>
              <w:top w:val="nil"/>
              <w:left w:val="single" w:sz="8" w:space="0" w:color="auto"/>
              <w:bottom w:val="single" w:sz="8" w:space="0" w:color="auto"/>
              <w:right w:val="single" w:sz="8" w:space="0" w:color="auto"/>
            </w:tcBorders>
            <w:shd w:val="clear" w:color="auto" w:fill="E6E6E6"/>
            <w:noWrap/>
            <w:tcMar>
              <w:top w:w="0" w:type="dxa"/>
              <w:left w:w="29" w:type="dxa"/>
              <w:bottom w:w="0" w:type="dxa"/>
              <w:right w:w="29" w:type="dxa"/>
            </w:tcMar>
            <w:vAlign w:val="bottom"/>
            <w:hideMark/>
          </w:tcPr>
          <w:p w:rsidR="00485512" w:rsidRDefault="00485512" w:rsidP="00F22442">
            <w:pPr>
              <w:spacing w:before="20" w:after="20"/>
              <w:rPr>
                <w:rFonts w:ascii="Calibri" w:hAnsi="Calibri"/>
                <w:color w:val="000000"/>
                <w:sz w:val="22"/>
                <w:szCs w:val="22"/>
              </w:rPr>
            </w:pPr>
            <w:r>
              <w:rPr>
                <w:rFonts w:ascii="Arial" w:hAnsi="Arial" w:cs="Arial"/>
                <w:b/>
                <w:bCs/>
                <w:sz w:val="18"/>
                <w:szCs w:val="18"/>
              </w:rPr>
              <w:t> </w:t>
            </w:r>
          </w:p>
        </w:tc>
        <w:tc>
          <w:tcPr>
            <w:tcW w:w="3274" w:type="dxa"/>
            <w:tcBorders>
              <w:top w:val="nil"/>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rPr>
                <w:rFonts w:ascii="Calibri" w:hAnsi="Calibri"/>
                <w:color w:val="000000"/>
                <w:sz w:val="22"/>
                <w:szCs w:val="22"/>
              </w:rPr>
            </w:pPr>
            <w:r>
              <w:rPr>
                <w:rFonts w:ascii="Arial" w:hAnsi="Arial" w:cs="Arial"/>
                <w:b/>
                <w:bCs/>
                <w:sz w:val="18"/>
                <w:szCs w:val="18"/>
              </w:rPr>
              <w:t> </w:t>
            </w:r>
          </w:p>
        </w:tc>
        <w:tc>
          <w:tcPr>
            <w:tcW w:w="516" w:type="dxa"/>
            <w:tcBorders>
              <w:top w:val="nil"/>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891" w:type="dxa"/>
            <w:gridSpan w:val="2"/>
            <w:tcBorders>
              <w:top w:val="nil"/>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524" w:type="dxa"/>
            <w:tcBorders>
              <w:top w:val="nil"/>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669" w:type="dxa"/>
            <w:tcBorders>
              <w:top w:val="nil"/>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455" w:type="dxa"/>
            <w:tcBorders>
              <w:top w:val="nil"/>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669" w:type="dxa"/>
            <w:tcBorders>
              <w:top w:val="nil"/>
              <w:left w:val="nil"/>
              <w:bottom w:val="single" w:sz="8" w:space="0" w:color="auto"/>
              <w:right w:val="single" w:sz="8" w:space="0" w:color="auto"/>
            </w:tcBorders>
            <w:shd w:val="clear" w:color="auto" w:fill="E6E6E6"/>
            <w:tcMar>
              <w:top w:w="0" w:type="dxa"/>
              <w:left w:w="29" w:type="dxa"/>
              <w:bottom w:w="0" w:type="dxa"/>
              <w:right w:w="29" w:type="dxa"/>
            </w:tcMar>
            <w:vAlign w:val="bottom"/>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455" w:type="dxa"/>
            <w:tcBorders>
              <w:top w:val="nil"/>
              <w:left w:val="nil"/>
              <w:bottom w:val="single" w:sz="8" w:space="0" w:color="auto"/>
              <w:right w:val="single" w:sz="8" w:space="0" w:color="auto"/>
            </w:tcBorders>
            <w:shd w:val="clear" w:color="auto" w:fill="E6E6E6"/>
            <w:tcMar>
              <w:top w:w="0" w:type="dxa"/>
              <w:left w:w="29" w:type="dxa"/>
              <w:bottom w:w="0" w:type="dxa"/>
              <w:right w:w="29" w:type="dxa"/>
            </w:tcMar>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669" w:type="dxa"/>
            <w:tcBorders>
              <w:top w:val="nil"/>
              <w:left w:val="nil"/>
              <w:bottom w:val="single" w:sz="8" w:space="0" w:color="auto"/>
              <w:right w:val="single" w:sz="8" w:space="0" w:color="auto"/>
            </w:tcBorders>
            <w:shd w:val="clear" w:color="auto" w:fill="E6E6E6"/>
            <w:tcMar>
              <w:top w:w="0" w:type="dxa"/>
              <w:left w:w="29" w:type="dxa"/>
              <w:bottom w:w="0" w:type="dxa"/>
              <w:right w:w="29" w:type="dxa"/>
            </w:tcMar>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455" w:type="dxa"/>
            <w:tcBorders>
              <w:top w:val="nil"/>
              <w:left w:val="nil"/>
              <w:bottom w:val="single" w:sz="8" w:space="0" w:color="auto"/>
              <w:right w:val="single" w:sz="8" w:space="0" w:color="auto"/>
            </w:tcBorders>
            <w:shd w:val="clear" w:color="auto" w:fill="E6E6E6"/>
            <w:tcMar>
              <w:top w:w="0" w:type="dxa"/>
              <w:left w:w="29" w:type="dxa"/>
              <w:bottom w:w="0" w:type="dxa"/>
              <w:right w:w="29" w:type="dxa"/>
            </w:tcMar>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c>
          <w:tcPr>
            <w:tcW w:w="669" w:type="dxa"/>
            <w:tcBorders>
              <w:top w:val="nil"/>
              <w:left w:val="nil"/>
              <w:bottom w:val="single" w:sz="8" w:space="0" w:color="auto"/>
              <w:right w:val="single" w:sz="8" w:space="0" w:color="auto"/>
            </w:tcBorders>
            <w:shd w:val="clear" w:color="auto" w:fill="E6E6E6"/>
            <w:tcMar>
              <w:top w:w="0" w:type="dxa"/>
              <w:left w:w="29" w:type="dxa"/>
              <w:bottom w:w="0" w:type="dxa"/>
              <w:right w:w="29" w:type="dxa"/>
            </w:tcMar>
            <w:hideMark/>
          </w:tcPr>
          <w:p w:rsidR="00485512" w:rsidRDefault="00485512" w:rsidP="00F22442">
            <w:pPr>
              <w:spacing w:before="20" w:after="20"/>
              <w:jc w:val="center"/>
              <w:rPr>
                <w:rFonts w:ascii="Calibri" w:hAnsi="Calibri"/>
                <w:color w:val="000000"/>
                <w:sz w:val="22"/>
                <w:szCs w:val="22"/>
              </w:rPr>
            </w:pPr>
            <w:r>
              <w:rPr>
                <w:rFonts w:ascii="Arial" w:hAnsi="Arial" w:cs="Arial"/>
                <w:b/>
                <w:bCs/>
                <w:sz w:val="18"/>
                <w:szCs w:val="18"/>
              </w:rPr>
              <w:t>%</w:t>
            </w:r>
          </w:p>
        </w:tc>
      </w:tr>
      <w:tr w:rsidR="00F22442" w:rsidTr="00F22442">
        <w:trPr>
          <w:trHeight w:val="285"/>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sz w:val="18"/>
                <w:szCs w:val="18"/>
              </w:rPr>
              <w:t>1</w:t>
            </w:r>
          </w:p>
        </w:tc>
        <w:tc>
          <w:tcPr>
            <w:tcW w:w="3274" w:type="dxa"/>
            <w:tcMar>
              <w:top w:w="0" w:type="dxa"/>
              <w:left w:w="29" w:type="dxa"/>
              <w:bottom w:w="0" w:type="dxa"/>
              <w:right w:w="29" w:type="dxa"/>
            </w:tcMar>
            <w:vAlign w:val="bottom"/>
            <w:hideMark/>
          </w:tcPr>
          <w:p w:rsidR="00485512" w:rsidRDefault="00485512" w:rsidP="00F22442">
            <w:pPr>
              <w:spacing w:before="20" w:after="60"/>
              <w:rPr>
                <w:rFonts w:ascii="Calibri" w:hAnsi="Calibri"/>
                <w:color w:val="000000"/>
                <w:sz w:val="22"/>
                <w:szCs w:val="22"/>
              </w:rPr>
            </w:pPr>
            <w:r>
              <w:rPr>
                <w:rFonts w:ascii="Arial" w:hAnsi="Arial" w:cs="Arial"/>
                <w:sz w:val="18"/>
                <w:szCs w:val="18"/>
              </w:rPr>
              <w:t>Completed interview (called)</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9</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ind w:left="-416"/>
              <w:jc w:val="both"/>
              <w:rPr>
                <w:rFonts w:ascii="Calibri" w:hAnsi="Calibri"/>
                <w:color w:val="000000"/>
                <w:sz w:val="22"/>
                <w:szCs w:val="22"/>
              </w:rPr>
            </w:pPr>
            <w:r>
              <w:rPr>
                <w:rFonts w:ascii="Arial" w:hAnsi="Arial" w:cs="Arial"/>
                <w:sz w:val="18"/>
                <w:szCs w:val="18"/>
              </w:rPr>
              <w:t>9.0%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16.0%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3</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12.0%</w:t>
            </w:r>
          </w:p>
        </w:tc>
      </w:tr>
      <w:tr w:rsidR="00F22442" w:rsidTr="00F22442">
        <w:trPr>
          <w:trHeight w:val="479"/>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sz w:val="18"/>
                <w:szCs w:val="18"/>
              </w:rPr>
              <w:t>31</w:t>
            </w:r>
          </w:p>
        </w:tc>
        <w:tc>
          <w:tcPr>
            <w:tcW w:w="3274" w:type="dxa"/>
            <w:tcMar>
              <w:top w:w="0" w:type="dxa"/>
              <w:left w:w="29" w:type="dxa"/>
              <w:bottom w:w="0" w:type="dxa"/>
              <w:right w:w="29" w:type="dxa"/>
            </w:tcMar>
            <w:vAlign w:val="bottom"/>
            <w:hideMark/>
          </w:tcPr>
          <w:p w:rsidR="00485512" w:rsidRDefault="00485512" w:rsidP="00F22442">
            <w:pPr>
              <w:spacing w:before="20" w:after="60"/>
              <w:rPr>
                <w:rFonts w:ascii="Calibri" w:hAnsi="Calibri"/>
                <w:color w:val="000000"/>
                <w:sz w:val="22"/>
                <w:szCs w:val="22"/>
              </w:rPr>
            </w:pPr>
            <w:r>
              <w:rPr>
                <w:rFonts w:ascii="Arial" w:hAnsi="Arial" w:cs="Arial"/>
                <w:sz w:val="18"/>
                <w:szCs w:val="18"/>
              </w:rPr>
              <w:t>Answering machine/answering service (called)</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ind w:left="-416"/>
              <w:jc w:val="both"/>
              <w:rPr>
                <w:rFonts w:ascii="Calibri" w:hAnsi="Calibri"/>
                <w:color w:val="000000"/>
                <w:sz w:val="22"/>
                <w:szCs w:val="22"/>
              </w:rPr>
            </w:pPr>
            <w:r>
              <w:rPr>
                <w:rFonts w:ascii="Arial" w:hAnsi="Arial" w:cs="Arial"/>
                <w:sz w:val="18"/>
                <w:szCs w:val="18"/>
              </w:rPr>
              <w:t>1.0%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r>
      <w:tr w:rsidR="00F22442" w:rsidTr="00F22442">
        <w:trPr>
          <w:trHeight w:val="479"/>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sz w:val="18"/>
                <w:szCs w:val="18"/>
              </w:rPr>
              <w:t>40</w:t>
            </w:r>
          </w:p>
        </w:tc>
        <w:tc>
          <w:tcPr>
            <w:tcW w:w="3274" w:type="dxa"/>
            <w:tcMar>
              <w:top w:w="0" w:type="dxa"/>
              <w:left w:w="29" w:type="dxa"/>
              <w:bottom w:w="0" w:type="dxa"/>
              <w:right w:w="29" w:type="dxa"/>
            </w:tcMar>
            <w:vAlign w:val="bottom"/>
            <w:hideMark/>
          </w:tcPr>
          <w:p w:rsidR="00485512" w:rsidRDefault="00485512" w:rsidP="00F22442">
            <w:pPr>
              <w:spacing w:before="20" w:after="60"/>
              <w:rPr>
                <w:rFonts w:ascii="Calibri" w:hAnsi="Calibri"/>
                <w:color w:val="000000"/>
                <w:sz w:val="22"/>
                <w:szCs w:val="22"/>
              </w:rPr>
            </w:pPr>
            <w:r>
              <w:rPr>
                <w:rFonts w:ascii="Arial" w:hAnsi="Arial" w:cs="Arial"/>
                <w:sz w:val="18"/>
                <w:szCs w:val="18"/>
              </w:rPr>
              <w:t xml:space="preserve">Final refusal before screener completed (called) </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8.0%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r>
      <w:tr w:rsidR="00F22442" w:rsidTr="00F22442">
        <w:trPr>
          <w:trHeight w:val="272"/>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sz w:val="18"/>
                <w:szCs w:val="18"/>
              </w:rPr>
              <w:t>57</w:t>
            </w:r>
          </w:p>
        </w:tc>
        <w:tc>
          <w:tcPr>
            <w:tcW w:w="3274" w:type="dxa"/>
            <w:tcMar>
              <w:top w:w="0" w:type="dxa"/>
              <w:left w:w="29" w:type="dxa"/>
              <w:bottom w:w="0" w:type="dxa"/>
              <w:right w:w="29" w:type="dxa"/>
            </w:tcMar>
            <w:vAlign w:val="bottom"/>
            <w:hideMark/>
          </w:tcPr>
          <w:p w:rsidR="00485512" w:rsidRDefault="00485512" w:rsidP="00F22442">
            <w:pPr>
              <w:spacing w:before="20" w:after="60"/>
              <w:rPr>
                <w:rFonts w:ascii="Calibri" w:hAnsi="Calibri"/>
                <w:color w:val="000000"/>
                <w:sz w:val="22"/>
                <w:szCs w:val="22"/>
              </w:rPr>
            </w:pPr>
            <w:r>
              <w:rPr>
                <w:rFonts w:ascii="Arial" w:hAnsi="Arial" w:cs="Arial"/>
                <w:sz w:val="18"/>
                <w:szCs w:val="18"/>
              </w:rPr>
              <w:t>Unable to locate (called)</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ind w:left="-596"/>
              <w:jc w:val="both"/>
              <w:rPr>
                <w:rFonts w:ascii="Calibri" w:hAnsi="Calibri"/>
                <w:color w:val="000000"/>
                <w:sz w:val="22"/>
                <w:szCs w:val="22"/>
              </w:rPr>
            </w:pPr>
            <w:r>
              <w:rPr>
                <w:rFonts w:ascii="Arial" w:hAnsi="Arial" w:cs="Arial"/>
                <w:sz w:val="18"/>
                <w:szCs w:val="18"/>
              </w:rPr>
              <w:t>2.0%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r>
      <w:tr w:rsidR="00F22442" w:rsidTr="00F22442">
        <w:trPr>
          <w:trHeight w:val="272"/>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sz w:val="18"/>
                <w:szCs w:val="18"/>
              </w:rPr>
              <w:t>60</w:t>
            </w:r>
          </w:p>
        </w:tc>
        <w:tc>
          <w:tcPr>
            <w:tcW w:w="3274" w:type="dxa"/>
            <w:tcMar>
              <w:top w:w="0" w:type="dxa"/>
              <w:left w:w="29" w:type="dxa"/>
              <w:bottom w:w="0" w:type="dxa"/>
              <w:right w:w="29" w:type="dxa"/>
            </w:tcMar>
            <w:vAlign w:val="bottom"/>
            <w:hideMark/>
          </w:tcPr>
          <w:p w:rsidR="00485512" w:rsidRDefault="00485512" w:rsidP="00F22442">
            <w:pPr>
              <w:spacing w:before="20" w:after="60"/>
              <w:rPr>
                <w:rFonts w:ascii="Calibri" w:hAnsi="Calibri"/>
                <w:color w:val="000000"/>
                <w:sz w:val="22"/>
                <w:szCs w:val="22"/>
              </w:rPr>
            </w:pPr>
            <w:r>
              <w:rPr>
                <w:rFonts w:ascii="Arial" w:hAnsi="Arial" w:cs="Arial"/>
                <w:sz w:val="18"/>
                <w:szCs w:val="18"/>
              </w:rPr>
              <w:t>Other eligible (called)</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r>
      <w:tr w:rsidR="00F22442" w:rsidTr="00F22442">
        <w:trPr>
          <w:trHeight w:val="479"/>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i/>
                <w:iCs/>
                <w:sz w:val="18"/>
                <w:szCs w:val="18"/>
              </w:rPr>
              <w:t>2</w:t>
            </w:r>
          </w:p>
        </w:tc>
        <w:tc>
          <w:tcPr>
            <w:tcW w:w="3274" w:type="dxa"/>
            <w:tcMar>
              <w:top w:w="0" w:type="dxa"/>
              <w:left w:w="29" w:type="dxa"/>
              <w:bottom w:w="0" w:type="dxa"/>
              <w:right w:w="29" w:type="dxa"/>
            </w:tcMar>
            <w:hideMark/>
          </w:tcPr>
          <w:p w:rsidR="00485512" w:rsidRDefault="00485512" w:rsidP="00F22442">
            <w:pPr>
              <w:spacing w:before="20" w:after="60"/>
              <w:rPr>
                <w:rFonts w:ascii="Calibri" w:hAnsi="Calibri"/>
                <w:color w:val="000000"/>
                <w:sz w:val="22"/>
                <w:szCs w:val="22"/>
              </w:rPr>
            </w:pPr>
            <w:r>
              <w:rPr>
                <w:rFonts w:ascii="Arial" w:hAnsi="Arial" w:cs="Arial"/>
                <w:sz w:val="18"/>
                <w:szCs w:val="18"/>
              </w:rPr>
              <w:t xml:space="preserve">Eligible, received response to late to call (not called) </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r>
      <w:tr w:rsidR="00F22442" w:rsidTr="00F22442">
        <w:trPr>
          <w:trHeight w:val="479"/>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i/>
                <w:iCs/>
                <w:sz w:val="18"/>
                <w:szCs w:val="18"/>
              </w:rPr>
              <w:t>71</w:t>
            </w:r>
          </w:p>
        </w:tc>
        <w:tc>
          <w:tcPr>
            <w:tcW w:w="3274" w:type="dxa"/>
            <w:tcMar>
              <w:top w:w="0" w:type="dxa"/>
              <w:left w:w="29" w:type="dxa"/>
              <w:bottom w:w="0" w:type="dxa"/>
              <w:right w:w="29" w:type="dxa"/>
            </w:tcMar>
            <w:hideMark/>
          </w:tcPr>
          <w:p w:rsidR="00485512" w:rsidRDefault="00485512" w:rsidP="00F22442">
            <w:pPr>
              <w:spacing w:before="20" w:after="60"/>
              <w:rPr>
                <w:rFonts w:ascii="Calibri" w:hAnsi="Calibri"/>
                <w:color w:val="000000"/>
                <w:sz w:val="22"/>
                <w:szCs w:val="22"/>
              </w:rPr>
            </w:pPr>
            <w:r>
              <w:rPr>
                <w:rFonts w:ascii="Arial" w:hAnsi="Arial" w:cs="Arial"/>
                <w:sz w:val="18"/>
                <w:szCs w:val="18"/>
              </w:rPr>
              <w:t>Ineligible, did not live at sampled address (not called)</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r>
      <w:tr w:rsidR="00F22442" w:rsidTr="00F22442">
        <w:trPr>
          <w:trHeight w:val="272"/>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i/>
                <w:iCs/>
                <w:sz w:val="18"/>
                <w:szCs w:val="18"/>
              </w:rPr>
              <w:t>41</w:t>
            </w:r>
          </w:p>
        </w:tc>
        <w:tc>
          <w:tcPr>
            <w:tcW w:w="3274" w:type="dxa"/>
            <w:tcMar>
              <w:top w:w="0" w:type="dxa"/>
              <w:left w:w="29" w:type="dxa"/>
              <w:bottom w:w="0" w:type="dxa"/>
              <w:right w:w="29" w:type="dxa"/>
            </w:tcMar>
            <w:hideMark/>
          </w:tcPr>
          <w:p w:rsidR="00485512" w:rsidRDefault="00485512" w:rsidP="00F22442">
            <w:pPr>
              <w:spacing w:before="20" w:after="60"/>
              <w:rPr>
                <w:rFonts w:ascii="Calibri" w:hAnsi="Calibri"/>
                <w:color w:val="000000"/>
                <w:sz w:val="22"/>
                <w:szCs w:val="22"/>
              </w:rPr>
            </w:pPr>
            <w:r>
              <w:rPr>
                <w:rFonts w:ascii="Arial" w:hAnsi="Arial" w:cs="Arial"/>
                <w:sz w:val="18"/>
                <w:szCs w:val="18"/>
              </w:rPr>
              <w:t>Refused (not called)</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4.0%</w:t>
            </w:r>
          </w:p>
        </w:tc>
      </w:tr>
      <w:tr w:rsidR="00F22442" w:rsidTr="00F22442">
        <w:trPr>
          <w:trHeight w:val="272"/>
        </w:trPr>
        <w:tc>
          <w:tcPr>
            <w:tcW w:w="519" w:type="dxa"/>
            <w:noWrap/>
            <w:tcMar>
              <w:top w:w="0" w:type="dxa"/>
              <w:left w:w="29" w:type="dxa"/>
              <w:bottom w:w="0" w:type="dxa"/>
              <w:right w:w="29" w:type="dxa"/>
            </w:tcMar>
            <w:hideMark/>
          </w:tcPr>
          <w:p w:rsidR="00485512" w:rsidRDefault="00485512" w:rsidP="00F22442">
            <w:pPr>
              <w:spacing w:before="20" w:after="60"/>
              <w:jc w:val="center"/>
              <w:rPr>
                <w:rFonts w:ascii="Calibri" w:hAnsi="Calibri"/>
                <w:color w:val="000000"/>
                <w:sz w:val="22"/>
                <w:szCs w:val="22"/>
              </w:rPr>
            </w:pPr>
            <w:r>
              <w:rPr>
                <w:rFonts w:ascii="Arial" w:hAnsi="Arial" w:cs="Arial"/>
                <w:i/>
                <w:iCs/>
                <w:sz w:val="18"/>
                <w:szCs w:val="18"/>
              </w:rPr>
              <w:t> </w:t>
            </w:r>
          </w:p>
        </w:tc>
        <w:tc>
          <w:tcPr>
            <w:tcW w:w="3274" w:type="dxa"/>
            <w:tcMar>
              <w:top w:w="0" w:type="dxa"/>
              <w:left w:w="29" w:type="dxa"/>
              <w:bottom w:w="0" w:type="dxa"/>
              <w:right w:w="29" w:type="dxa"/>
            </w:tcMar>
            <w:hideMark/>
          </w:tcPr>
          <w:p w:rsidR="00485512" w:rsidRDefault="00485512" w:rsidP="00F22442">
            <w:pPr>
              <w:spacing w:before="20" w:after="60"/>
              <w:rPr>
                <w:rFonts w:ascii="Calibri" w:hAnsi="Calibri"/>
                <w:color w:val="000000"/>
                <w:sz w:val="22"/>
                <w:szCs w:val="22"/>
              </w:rPr>
            </w:pPr>
            <w:r>
              <w:rPr>
                <w:rFonts w:ascii="Arial" w:hAnsi="Arial" w:cs="Arial"/>
                <w:sz w:val="18"/>
                <w:szCs w:val="18"/>
              </w:rPr>
              <w:t>No response to initial mailing</w:t>
            </w:r>
          </w:p>
        </w:tc>
        <w:tc>
          <w:tcPr>
            <w:tcW w:w="738" w:type="dxa"/>
            <w:gridSpan w:val="2"/>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81</w:t>
            </w:r>
          </w:p>
        </w:tc>
        <w:tc>
          <w:tcPr>
            <w:tcW w:w="669" w:type="dxa"/>
            <w:tcBorders>
              <w:top w:val="nil"/>
              <w:left w:val="nil"/>
              <w:bottom w:val="nil"/>
              <w:right w:val="dashed" w:sz="8" w:space="0" w:color="auto"/>
            </w:tcBorders>
            <w:tcMar>
              <w:top w:w="0" w:type="dxa"/>
              <w:left w:w="29" w:type="dxa"/>
              <w:bottom w:w="0" w:type="dxa"/>
              <w:right w:w="29" w:type="dxa"/>
            </w:tcMar>
            <w:vAlign w:val="bottom"/>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81.0%</w:t>
            </w:r>
          </w:p>
        </w:tc>
        <w:tc>
          <w:tcPr>
            <w:tcW w:w="524"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84.0%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20</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80.0%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21</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84.0%</w:t>
            </w:r>
          </w:p>
        </w:tc>
        <w:tc>
          <w:tcPr>
            <w:tcW w:w="455"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19</w:t>
            </w:r>
          </w:p>
        </w:tc>
        <w:tc>
          <w:tcPr>
            <w:tcW w:w="669" w:type="dxa"/>
            <w:tcBorders>
              <w:top w:val="nil"/>
              <w:left w:val="nil"/>
              <w:bottom w:val="nil"/>
              <w:right w:val="dashed" w:sz="8" w:space="0" w:color="auto"/>
            </w:tcBorders>
            <w:tcMar>
              <w:top w:w="0" w:type="dxa"/>
              <w:left w:w="29" w:type="dxa"/>
              <w:bottom w:w="0" w:type="dxa"/>
              <w:right w:w="29" w:type="dxa"/>
            </w:tcMar>
            <w:hideMark/>
          </w:tcPr>
          <w:p w:rsidR="00485512" w:rsidRDefault="00485512" w:rsidP="00F22442">
            <w:pPr>
              <w:spacing w:before="20" w:after="60"/>
              <w:jc w:val="both"/>
              <w:rPr>
                <w:rFonts w:ascii="Calibri" w:hAnsi="Calibri"/>
                <w:color w:val="000000"/>
                <w:sz w:val="22"/>
                <w:szCs w:val="22"/>
              </w:rPr>
            </w:pPr>
            <w:r>
              <w:rPr>
                <w:rFonts w:ascii="Arial" w:hAnsi="Arial" w:cs="Arial"/>
                <w:sz w:val="18"/>
                <w:szCs w:val="18"/>
              </w:rPr>
              <w:t>76.0%</w:t>
            </w:r>
          </w:p>
        </w:tc>
      </w:tr>
      <w:tr w:rsidR="00F22442" w:rsidTr="00F22442">
        <w:trPr>
          <w:trHeight w:val="310"/>
        </w:trPr>
        <w:tc>
          <w:tcPr>
            <w:tcW w:w="3793" w:type="dxa"/>
            <w:gridSpan w:val="2"/>
            <w:tcBorders>
              <w:top w:val="single" w:sz="8" w:space="0" w:color="auto"/>
              <w:left w:val="nil"/>
              <w:bottom w:val="single" w:sz="8" w:space="0" w:color="auto"/>
              <w:right w:val="nil"/>
            </w:tcBorders>
            <w:noWrap/>
            <w:tcMar>
              <w:top w:w="0" w:type="dxa"/>
              <w:left w:w="29" w:type="dxa"/>
              <w:bottom w:w="0" w:type="dxa"/>
              <w:right w:w="29" w:type="dxa"/>
            </w:tcMar>
            <w:vAlign w:val="bottom"/>
            <w:hideMark/>
          </w:tcPr>
          <w:p w:rsidR="00485512" w:rsidRDefault="00485512" w:rsidP="00F22442">
            <w:pPr>
              <w:spacing w:before="60" w:after="60"/>
              <w:jc w:val="center"/>
              <w:rPr>
                <w:rFonts w:ascii="Calibri" w:hAnsi="Calibri"/>
                <w:color w:val="000000"/>
                <w:sz w:val="22"/>
                <w:szCs w:val="22"/>
              </w:rPr>
            </w:pPr>
            <w:r>
              <w:rPr>
                <w:rFonts w:ascii="Arial" w:hAnsi="Arial" w:cs="Arial"/>
                <w:b/>
                <w:bCs/>
                <w:sz w:val="18"/>
                <w:szCs w:val="18"/>
              </w:rPr>
              <w:t>Total</w:t>
            </w:r>
          </w:p>
        </w:tc>
        <w:tc>
          <w:tcPr>
            <w:tcW w:w="738" w:type="dxa"/>
            <w:gridSpan w:val="2"/>
            <w:tcBorders>
              <w:top w:val="single" w:sz="8" w:space="0" w:color="auto"/>
              <w:left w:val="nil"/>
              <w:bottom w:val="single" w:sz="8" w:space="0" w:color="auto"/>
              <w:right w:val="nil"/>
            </w:tcBorders>
            <w:tcMar>
              <w:top w:w="0" w:type="dxa"/>
              <w:left w:w="29" w:type="dxa"/>
              <w:bottom w:w="0" w:type="dxa"/>
              <w:right w:w="29" w:type="dxa"/>
            </w:tcMar>
            <w:vAlign w:val="bottom"/>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100</w:t>
            </w:r>
          </w:p>
        </w:tc>
        <w:tc>
          <w:tcPr>
            <w:tcW w:w="669" w:type="dxa"/>
            <w:tcBorders>
              <w:top w:val="single" w:sz="8" w:space="0" w:color="auto"/>
              <w:left w:val="nil"/>
              <w:bottom w:val="single" w:sz="8" w:space="0" w:color="auto"/>
              <w:right w:val="dashed" w:sz="8" w:space="0" w:color="auto"/>
            </w:tcBorders>
            <w:tcMar>
              <w:top w:w="0" w:type="dxa"/>
              <w:left w:w="29" w:type="dxa"/>
              <w:bottom w:w="0" w:type="dxa"/>
              <w:right w:w="29" w:type="dxa"/>
            </w:tcMar>
            <w:vAlign w:val="bottom"/>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100.0%</w:t>
            </w:r>
          </w:p>
        </w:tc>
        <w:tc>
          <w:tcPr>
            <w:tcW w:w="524"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25</w:t>
            </w:r>
          </w:p>
        </w:tc>
        <w:tc>
          <w:tcPr>
            <w:tcW w:w="669"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100.0%</w:t>
            </w:r>
          </w:p>
        </w:tc>
        <w:tc>
          <w:tcPr>
            <w:tcW w:w="455"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25</w:t>
            </w:r>
          </w:p>
        </w:tc>
        <w:tc>
          <w:tcPr>
            <w:tcW w:w="669"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100.0%</w:t>
            </w:r>
          </w:p>
        </w:tc>
        <w:tc>
          <w:tcPr>
            <w:tcW w:w="455"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25</w:t>
            </w:r>
          </w:p>
        </w:tc>
        <w:tc>
          <w:tcPr>
            <w:tcW w:w="669"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100.0%</w:t>
            </w:r>
          </w:p>
        </w:tc>
        <w:tc>
          <w:tcPr>
            <w:tcW w:w="455"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25</w:t>
            </w:r>
          </w:p>
        </w:tc>
        <w:tc>
          <w:tcPr>
            <w:tcW w:w="669" w:type="dxa"/>
            <w:tcBorders>
              <w:top w:val="nil"/>
              <w:left w:val="nil"/>
              <w:bottom w:val="single" w:sz="8" w:space="0" w:color="auto"/>
              <w:right w:val="dashed" w:sz="8" w:space="0" w:color="auto"/>
            </w:tcBorders>
            <w:tcMar>
              <w:top w:w="0" w:type="dxa"/>
              <w:left w:w="29" w:type="dxa"/>
              <w:bottom w:w="0" w:type="dxa"/>
              <w:right w:w="29" w:type="dxa"/>
            </w:tcMar>
            <w:hideMark/>
          </w:tcPr>
          <w:p w:rsidR="00485512" w:rsidRDefault="00485512" w:rsidP="00F22442">
            <w:pPr>
              <w:spacing w:before="60" w:after="60"/>
              <w:jc w:val="both"/>
              <w:rPr>
                <w:rFonts w:ascii="Calibri" w:hAnsi="Calibri"/>
                <w:color w:val="000000"/>
                <w:sz w:val="22"/>
                <w:szCs w:val="22"/>
              </w:rPr>
            </w:pPr>
            <w:r>
              <w:rPr>
                <w:rFonts w:ascii="Arial" w:hAnsi="Arial" w:cs="Arial"/>
                <w:b/>
                <w:bCs/>
                <w:sz w:val="18"/>
                <w:szCs w:val="18"/>
              </w:rPr>
              <w:t>100.0%</w:t>
            </w:r>
          </w:p>
        </w:tc>
      </w:tr>
      <w:tr w:rsidR="00F22442" w:rsidTr="00F22442">
        <w:trPr>
          <w:trHeight w:val="13"/>
        </w:trPr>
        <w:tc>
          <w:tcPr>
            <w:tcW w:w="519"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3274"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516"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222"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669"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524"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669"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455"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669"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455"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669"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455"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c>
          <w:tcPr>
            <w:tcW w:w="669" w:type="dxa"/>
            <w:tcMar>
              <w:top w:w="0" w:type="dxa"/>
              <w:left w:w="108" w:type="dxa"/>
              <w:bottom w:w="0" w:type="dxa"/>
              <w:right w:w="108" w:type="dxa"/>
            </w:tcMar>
            <w:vAlign w:val="center"/>
            <w:hideMark/>
          </w:tcPr>
          <w:p w:rsidR="00485512" w:rsidRDefault="00485512" w:rsidP="00F22442">
            <w:pPr>
              <w:rPr>
                <w:rFonts w:asciiTheme="minorHAnsi" w:eastAsiaTheme="minorEastAsia" w:hAnsiTheme="minorHAnsi"/>
                <w:sz w:val="22"/>
                <w:szCs w:val="22"/>
              </w:rPr>
            </w:pPr>
          </w:p>
        </w:tc>
      </w:tr>
    </w:tbl>
    <w:p w:rsidR="0077029E" w:rsidRPr="000F3F80" w:rsidRDefault="0077029E" w:rsidP="00F22442">
      <w:pPr>
        <w:rPr>
          <w:b/>
          <w:u w:val="single"/>
        </w:rPr>
      </w:pPr>
    </w:p>
    <w:sectPr w:rsidR="0077029E" w:rsidRPr="000F3F80" w:rsidSect="00F22442">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0979E0"/>
    <w:multiLevelType w:val="hybridMultilevel"/>
    <w:tmpl w:val="6F92C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3F80"/>
    <w:rsid w:val="00037AC0"/>
    <w:rsid w:val="000F3F80"/>
    <w:rsid w:val="00102544"/>
    <w:rsid w:val="001E1AAC"/>
    <w:rsid w:val="00231F2F"/>
    <w:rsid w:val="00277184"/>
    <w:rsid w:val="00485512"/>
    <w:rsid w:val="004A7179"/>
    <w:rsid w:val="00574869"/>
    <w:rsid w:val="005867D3"/>
    <w:rsid w:val="006963D3"/>
    <w:rsid w:val="0071312F"/>
    <w:rsid w:val="0077029E"/>
    <w:rsid w:val="00787148"/>
    <w:rsid w:val="007C1323"/>
    <w:rsid w:val="00857528"/>
    <w:rsid w:val="008E6379"/>
    <w:rsid w:val="00AB1412"/>
    <w:rsid w:val="00AC2B26"/>
    <w:rsid w:val="00B460E6"/>
    <w:rsid w:val="00B5400E"/>
    <w:rsid w:val="00C13A1D"/>
    <w:rsid w:val="00C17F61"/>
    <w:rsid w:val="00C71F2A"/>
    <w:rsid w:val="00CB204D"/>
    <w:rsid w:val="00D21402"/>
    <w:rsid w:val="00EA496B"/>
    <w:rsid w:val="00F22442"/>
    <w:rsid w:val="00FC08A1"/>
    <w:rsid w:val="00FD40AD"/>
    <w:rsid w:val="00FF2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B26"/>
    <w:pPr>
      <w:ind w:left="720"/>
      <w:contextualSpacing/>
    </w:pPr>
  </w:style>
  <w:style w:type="table" w:styleId="TableGrid">
    <w:name w:val="Table Grid"/>
    <w:basedOn w:val="TableNormal"/>
    <w:uiPriority w:val="59"/>
    <w:rsid w:val="008E637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63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379"/>
    <w:rPr>
      <w:rFonts w:ascii="Tahoma" w:hAnsi="Tahoma" w:cs="Tahoma"/>
      <w:sz w:val="16"/>
      <w:szCs w:val="16"/>
    </w:rPr>
  </w:style>
  <w:style w:type="character" w:styleId="CommentReference">
    <w:name w:val="annotation reference"/>
    <w:basedOn w:val="DefaultParagraphFont"/>
    <w:uiPriority w:val="99"/>
    <w:semiHidden/>
    <w:unhideWhenUsed/>
    <w:rsid w:val="00FC08A1"/>
    <w:rPr>
      <w:sz w:val="16"/>
      <w:szCs w:val="16"/>
    </w:rPr>
  </w:style>
  <w:style w:type="paragraph" w:styleId="CommentText">
    <w:name w:val="annotation text"/>
    <w:basedOn w:val="Normal"/>
    <w:link w:val="CommentTextChar"/>
    <w:uiPriority w:val="99"/>
    <w:semiHidden/>
    <w:unhideWhenUsed/>
    <w:rsid w:val="00FC08A1"/>
    <w:pPr>
      <w:spacing w:line="240" w:lineRule="auto"/>
    </w:pPr>
    <w:rPr>
      <w:sz w:val="20"/>
      <w:szCs w:val="20"/>
    </w:rPr>
  </w:style>
  <w:style w:type="character" w:customStyle="1" w:styleId="CommentTextChar">
    <w:name w:val="Comment Text Char"/>
    <w:basedOn w:val="DefaultParagraphFont"/>
    <w:link w:val="CommentText"/>
    <w:uiPriority w:val="99"/>
    <w:semiHidden/>
    <w:rsid w:val="00FC08A1"/>
    <w:rPr>
      <w:sz w:val="20"/>
      <w:szCs w:val="20"/>
    </w:rPr>
  </w:style>
  <w:style w:type="paragraph" w:styleId="CommentSubject">
    <w:name w:val="annotation subject"/>
    <w:basedOn w:val="CommentText"/>
    <w:next w:val="CommentText"/>
    <w:link w:val="CommentSubjectChar"/>
    <w:uiPriority w:val="99"/>
    <w:semiHidden/>
    <w:unhideWhenUsed/>
    <w:rsid w:val="00FC08A1"/>
    <w:rPr>
      <w:b/>
      <w:bCs/>
    </w:rPr>
  </w:style>
  <w:style w:type="character" w:customStyle="1" w:styleId="CommentSubjectChar">
    <w:name w:val="Comment Subject Char"/>
    <w:basedOn w:val="CommentTextChar"/>
    <w:link w:val="CommentSubject"/>
    <w:uiPriority w:val="99"/>
    <w:semiHidden/>
    <w:rsid w:val="00FC08A1"/>
    <w:rPr>
      <w:b/>
      <w:bCs/>
    </w:rPr>
  </w:style>
</w:styles>
</file>

<file path=word/webSettings.xml><?xml version="1.0" encoding="utf-8"?>
<w:webSettings xmlns:r="http://schemas.openxmlformats.org/officeDocument/2006/relationships" xmlns:w="http://schemas.openxmlformats.org/wordprocessingml/2006/main">
  <w:divs>
    <w:div w:id="62719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craig.thor</dc:creator>
  <cp:keywords/>
  <dc:description/>
  <cp:lastModifiedBy>USDOT User</cp:lastModifiedBy>
  <cp:revision>4</cp:revision>
  <cp:lastPrinted>2011-11-10T15:13:00Z</cp:lastPrinted>
  <dcterms:created xsi:type="dcterms:W3CDTF">2011-11-10T15:13:00Z</dcterms:created>
  <dcterms:modified xsi:type="dcterms:W3CDTF">2011-11-10T15:45:00Z</dcterms:modified>
</cp:coreProperties>
</file>