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57C" w:rsidRDefault="00EC71B3" w:rsidP="008D0FF3">
      <w:pPr>
        <w:spacing w:after="0" w:line="240" w:lineRule="auto"/>
        <w:jc w:val="center"/>
        <w:rPr>
          <w:rFonts w:asciiTheme="minorHAnsi" w:hAnsiTheme="minorHAnsi"/>
          <w:b/>
          <w:sz w:val="28"/>
          <w:szCs w:val="28"/>
        </w:rPr>
      </w:pPr>
      <w:r w:rsidRPr="008D0FF3">
        <w:rPr>
          <w:rFonts w:asciiTheme="minorHAnsi" w:hAnsiTheme="minorHAnsi"/>
          <w:b/>
          <w:sz w:val="28"/>
          <w:szCs w:val="28"/>
        </w:rPr>
        <w:t>Supporting Justification for OMB Clearance of the Personal Responsibility Education Program (PREP) Multi-Component Evaluation</w:t>
      </w:r>
    </w:p>
    <w:p w:rsidR="00EC71B3" w:rsidRPr="008D0FF3" w:rsidRDefault="00EC71B3" w:rsidP="008D0FF3">
      <w:pPr>
        <w:spacing w:after="0" w:line="240" w:lineRule="auto"/>
        <w:jc w:val="center"/>
        <w:rPr>
          <w:rFonts w:asciiTheme="minorHAnsi" w:hAnsiTheme="minorHAnsi"/>
          <w:b/>
          <w:sz w:val="28"/>
          <w:szCs w:val="28"/>
        </w:rPr>
      </w:pPr>
      <w:r w:rsidRPr="005F2C59">
        <w:rPr>
          <w:rFonts w:asciiTheme="minorHAnsi" w:hAnsiTheme="minorHAnsi"/>
          <w:b/>
          <w:sz w:val="28"/>
          <w:szCs w:val="28"/>
        </w:rPr>
        <w:t>OMB Control #</w:t>
      </w:r>
      <w:r w:rsidR="00065743" w:rsidRPr="00065743">
        <w:rPr>
          <w:rFonts w:asciiTheme="minorHAnsi" w:hAnsiTheme="minorHAnsi"/>
          <w:b/>
          <w:sz w:val="28"/>
          <w:szCs w:val="28"/>
        </w:rPr>
        <w:t>0970-0398</w:t>
      </w:r>
    </w:p>
    <w:p w:rsidR="00EC71B3" w:rsidRPr="008D0FF3" w:rsidRDefault="00EC71B3" w:rsidP="008D0FF3">
      <w:pPr>
        <w:spacing w:after="0" w:line="240" w:lineRule="auto"/>
        <w:jc w:val="center"/>
        <w:rPr>
          <w:rFonts w:asciiTheme="minorHAnsi" w:hAnsiTheme="minorHAnsi"/>
          <w:b/>
          <w:sz w:val="28"/>
          <w:szCs w:val="28"/>
        </w:rPr>
      </w:pPr>
    </w:p>
    <w:p w:rsidR="00EC71B3" w:rsidRPr="008D0FF3" w:rsidRDefault="00EC71B3" w:rsidP="008D0FF3">
      <w:pPr>
        <w:spacing w:after="0" w:line="240" w:lineRule="auto"/>
        <w:jc w:val="center"/>
        <w:rPr>
          <w:rFonts w:asciiTheme="minorHAnsi" w:hAnsiTheme="minorHAnsi"/>
          <w:b/>
          <w:sz w:val="28"/>
          <w:szCs w:val="28"/>
        </w:rPr>
      </w:pPr>
      <w:r w:rsidRPr="008D0FF3">
        <w:rPr>
          <w:rFonts w:asciiTheme="minorHAnsi" w:hAnsiTheme="minorHAnsi"/>
          <w:b/>
          <w:sz w:val="28"/>
          <w:szCs w:val="28"/>
        </w:rPr>
        <w:t xml:space="preserve">Part B: Statistical Methods for </w:t>
      </w:r>
      <w:r w:rsidR="001B3B56" w:rsidRPr="008D0FF3">
        <w:rPr>
          <w:rFonts w:asciiTheme="minorHAnsi" w:hAnsiTheme="minorHAnsi"/>
          <w:b/>
          <w:sz w:val="28"/>
          <w:szCs w:val="28"/>
        </w:rPr>
        <w:t>Design Survey</w:t>
      </w:r>
      <w:r w:rsidRPr="008D0FF3">
        <w:rPr>
          <w:rFonts w:asciiTheme="minorHAnsi" w:hAnsiTheme="minorHAnsi"/>
          <w:b/>
          <w:sz w:val="28"/>
          <w:szCs w:val="28"/>
        </w:rPr>
        <w:t xml:space="preserve"> Data Collection</w:t>
      </w:r>
    </w:p>
    <w:p w:rsidR="00EC71B3" w:rsidRPr="008D0FF3" w:rsidRDefault="00065743" w:rsidP="008D0FF3">
      <w:pPr>
        <w:spacing w:after="0" w:line="240" w:lineRule="auto"/>
        <w:jc w:val="center"/>
        <w:rPr>
          <w:rFonts w:asciiTheme="minorHAnsi" w:hAnsiTheme="minorHAnsi"/>
          <w:b/>
          <w:sz w:val="28"/>
          <w:szCs w:val="28"/>
        </w:rPr>
      </w:pPr>
      <w:r w:rsidRPr="005F2C59">
        <w:rPr>
          <w:rFonts w:asciiTheme="minorHAnsi" w:hAnsiTheme="minorHAnsi"/>
          <w:b/>
          <w:sz w:val="28"/>
          <w:szCs w:val="28"/>
        </w:rPr>
        <w:t>November 2011</w:t>
      </w:r>
    </w:p>
    <w:p w:rsidR="00EC71B3" w:rsidRPr="008D0FF3" w:rsidRDefault="00EC71B3" w:rsidP="008D0FF3">
      <w:pPr>
        <w:spacing w:after="0" w:line="240" w:lineRule="auto"/>
        <w:rPr>
          <w:rFonts w:asciiTheme="minorHAnsi" w:hAnsiTheme="minorHAnsi"/>
          <w:sz w:val="24"/>
          <w:szCs w:val="24"/>
        </w:rPr>
      </w:pPr>
    </w:p>
    <w:p w:rsidR="00EC71B3" w:rsidRPr="008D0FF3" w:rsidRDefault="00EC71B3" w:rsidP="008D0FF3">
      <w:pPr>
        <w:spacing w:after="0" w:line="240" w:lineRule="auto"/>
        <w:rPr>
          <w:rFonts w:asciiTheme="minorHAnsi" w:hAnsiTheme="minorHAnsi"/>
          <w:sz w:val="24"/>
          <w:szCs w:val="24"/>
        </w:rPr>
      </w:pPr>
    </w:p>
    <w:p w:rsidR="00EC71B3" w:rsidRPr="008D0FF3" w:rsidRDefault="00EC71B3" w:rsidP="008D0FF3">
      <w:pPr>
        <w:spacing w:after="0" w:line="240" w:lineRule="auto"/>
        <w:rPr>
          <w:rFonts w:asciiTheme="minorHAnsi" w:hAnsiTheme="minorHAnsi"/>
          <w:sz w:val="24"/>
          <w:szCs w:val="24"/>
        </w:rPr>
      </w:pPr>
    </w:p>
    <w:p w:rsidR="008D0FF3" w:rsidRDefault="008D0FF3" w:rsidP="008D0FF3">
      <w:pPr>
        <w:spacing w:after="0" w:line="240" w:lineRule="auto"/>
        <w:ind w:left="3600" w:firstLine="720"/>
        <w:rPr>
          <w:rFonts w:asciiTheme="minorHAnsi" w:hAnsiTheme="minorHAnsi"/>
          <w:sz w:val="24"/>
          <w:szCs w:val="24"/>
        </w:rPr>
      </w:pPr>
    </w:p>
    <w:p w:rsidR="00EC71B3" w:rsidRPr="008D0FF3" w:rsidRDefault="00EC71B3" w:rsidP="008D0FF3">
      <w:pPr>
        <w:spacing w:after="0" w:line="240" w:lineRule="auto"/>
        <w:ind w:left="3600" w:firstLine="720"/>
        <w:rPr>
          <w:rFonts w:asciiTheme="minorHAnsi" w:hAnsiTheme="minorHAnsi"/>
          <w:sz w:val="24"/>
          <w:szCs w:val="24"/>
        </w:rPr>
      </w:pPr>
      <w:r w:rsidRPr="008D0FF3">
        <w:rPr>
          <w:rFonts w:asciiTheme="minorHAnsi" w:hAnsiTheme="minorHAnsi"/>
          <w:sz w:val="24"/>
          <w:szCs w:val="24"/>
        </w:rPr>
        <w:t>Submitted By:</w:t>
      </w:r>
    </w:p>
    <w:p w:rsidR="00EC71B3" w:rsidRPr="008D0FF3" w:rsidRDefault="00EC71B3" w:rsidP="008D0FF3">
      <w:pPr>
        <w:spacing w:after="0" w:line="240" w:lineRule="auto"/>
        <w:ind w:left="3600" w:firstLine="720"/>
        <w:rPr>
          <w:rFonts w:asciiTheme="minorHAnsi" w:hAnsiTheme="minorHAnsi"/>
          <w:sz w:val="24"/>
          <w:szCs w:val="24"/>
        </w:rPr>
      </w:pPr>
      <w:r w:rsidRPr="008D0FF3">
        <w:rPr>
          <w:rFonts w:asciiTheme="minorHAnsi" w:hAnsiTheme="minorHAnsi"/>
          <w:sz w:val="24"/>
          <w:szCs w:val="24"/>
        </w:rPr>
        <w:t>U.S. Department of Health and Human Services</w:t>
      </w:r>
    </w:p>
    <w:p w:rsidR="00EC71B3" w:rsidRPr="008D0FF3" w:rsidRDefault="00EC71B3" w:rsidP="008D0FF3">
      <w:pPr>
        <w:spacing w:after="0" w:line="240" w:lineRule="auto"/>
        <w:ind w:left="3600" w:firstLine="720"/>
        <w:rPr>
          <w:rFonts w:asciiTheme="minorHAnsi" w:hAnsiTheme="minorHAnsi"/>
          <w:sz w:val="24"/>
          <w:szCs w:val="24"/>
        </w:rPr>
      </w:pPr>
      <w:r w:rsidRPr="008D0FF3">
        <w:rPr>
          <w:rFonts w:asciiTheme="minorHAnsi" w:hAnsiTheme="minorHAnsi"/>
          <w:sz w:val="24"/>
          <w:szCs w:val="24"/>
        </w:rPr>
        <w:t>Administration for Children and Families</w:t>
      </w:r>
    </w:p>
    <w:p w:rsidR="00EC71B3" w:rsidRPr="008D0FF3" w:rsidRDefault="00EC71B3" w:rsidP="008D0FF3">
      <w:pPr>
        <w:spacing w:after="0" w:line="240" w:lineRule="auto"/>
        <w:ind w:left="3600" w:firstLine="720"/>
        <w:rPr>
          <w:rFonts w:asciiTheme="minorHAnsi" w:hAnsiTheme="minorHAnsi"/>
          <w:sz w:val="24"/>
          <w:szCs w:val="24"/>
        </w:rPr>
      </w:pPr>
      <w:r w:rsidRPr="008D0FF3">
        <w:rPr>
          <w:rFonts w:asciiTheme="minorHAnsi" w:hAnsiTheme="minorHAnsi"/>
          <w:sz w:val="24"/>
          <w:szCs w:val="24"/>
        </w:rPr>
        <w:t>Office of Planning, Research and Evaluation</w:t>
      </w:r>
    </w:p>
    <w:p w:rsidR="00EC71B3" w:rsidRPr="008D0FF3" w:rsidRDefault="00EC71B3" w:rsidP="008D0FF3">
      <w:pPr>
        <w:spacing w:after="0" w:line="240" w:lineRule="auto"/>
        <w:ind w:left="3600" w:firstLine="720"/>
        <w:rPr>
          <w:rFonts w:asciiTheme="minorHAnsi" w:hAnsiTheme="minorHAnsi"/>
          <w:sz w:val="24"/>
          <w:szCs w:val="24"/>
        </w:rPr>
      </w:pPr>
      <w:r w:rsidRPr="008D0FF3">
        <w:rPr>
          <w:rFonts w:asciiTheme="minorHAnsi" w:hAnsiTheme="minorHAnsi"/>
          <w:sz w:val="24"/>
          <w:szCs w:val="24"/>
        </w:rPr>
        <w:t>7</w:t>
      </w:r>
      <w:r w:rsidRPr="008D0FF3">
        <w:rPr>
          <w:rFonts w:asciiTheme="minorHAnsi" w:hAnsiTheme="minorHAnsi"/>
          <w:sz w:val="24"/>
          <w:szCs w:val="24"/>
          <w:vertAlign w:val="superscript"/>
        </w:rPr>
        <w:t>th</w:t>
      </w:r>
      <w:r w:rsidRPr="008D0FF3">
        <w:rPr>
          <w:rFonts w:asciiTheme="minorHAnsi" w:hAnsiTheme="minorHAnsi"/>
          <w:sz w:val="24"/>
          <w:szCs w:val="24"/>
        </w:rPr>
        <w:t xml:space="preserve"> Floor, West Aerospace Building</w:t>
      </w:r>
    </w:p>
    <w:p w:rsidR="00EC71B3" w:rsidRPr="008D0FF3" w:rsidRDefault="00EC71B3" w:rsidP="008D0FF3">
      <w:pPr>
        <w:spacing w:after="0" w:line="240" w:lineRule="auto"/>
        <w:ind w:left="3600" w:firstLine="720"/>
        <w:rPr>
          <w:rFonts w:asciiTheme="minorHAnsi" w:hAnsiTheme="minorHAnsi"/>
          <w:sz w:val="24"/>
          <w:szCs w:val="24"/>
        </w:rPr>
      </w:pPr>
      <w:r w:rsidRPr="008D0FF3">
        <w:rPr>
          <w:rFonts w:asciiTheme="minorHAnsi" w:hAnsiTheme="minorHAnsi"/>
          <w:sz w:val="24"/>
          <w:szCs w:val="24"/>
        </w:rPr>
        <w:t>370 L’Enfant Promenade, SW</w:t>
      </w:r>
    </w:p>
    <w:p w:rsidR="00EC71B3" w:rsidRPr="008D0FF3" w:rsidRDefault="00EC71B3" w:rsidP="008D0FF3">
      <w:pPr>
        <w:spacing w:after="0" w:line="240" w:lineRule="auto"/>
        <w:ind w:left="3600" w:firstLine="720"/>
        <w:rPr>
          <w:rFonts w:asciiTheme="minorHAnsi" w:hAnsiTheme="minorHAnsi"/>
          <w:sz w:val="24"/>
          <w:szCs w:val="24"/>
        </w:rPr>
      </w:pPr>
      <w:r w:rsidRPr="008D0FF3">
        <w:rPr>
          <w:rFonts w:asciiTheme="minorHAnsi" w:hAnsiTheme="minorHAnsi"/>
          <w:sz w:val="24"/>
          <w:szCs w:val="24"/>
        </w:rPr>
        <w:t>Washington, D.C. 20447</w:t>
      </w:r>
    </w:p>
    <w:p w:rsidR="00EC71B3" w:rsidRPr="008D0FF3" w:rsidRDefault="00EC71B3" w:rsidP="008D0FF3">
      <w:pPr>
        <w:spacing w:after="0" w:line="240" w:lineRule="auto"/>
        <w:rPr>
          <w:rFonts w:asciiTheme="minorHAnsi" w:hAnsiTheme="minorHAnsi"/>
          <w:sz w:val="24"/>
          <w:szCs w:val="24"/>
        </w:rPr>
      </w:pPr>
    </w:p>
    <w:p w:rsidR="00EC71B3" w:rsidRPr="008D0FF3" w:rsidRDefault="00EC71B3" w:rsidP="008D0FF3">
      <w:pPr>
        <w:spacing w:after="0" w:line="240" w:lineRule="auto"/>
        <w:ind w:left="3600" w:firstLine="720"/>
        <w:rPr>
          <w:rFonts w:asciiTheme="minorHAnsi" w:hAnsiTheme="minorHAnsi"/>
          <w:sz w:val="24"/>
          <w:szCs w:val="24"/>
        </w:rPr>
      </w:pPr>
      <w:r w:rsidRPr="008D0FF3">
        <w:rPr>
          <w:rFonts w:asciiTheme="minorHAnsi" w:hAnsiTheme="minorHAnsi"/>
          <w:sz w:val="24"/>
          <w:szCs w:val="24"/>
        </w:rPr>
        <w:t>Project Officers:</w:t>
      </w:r>
    </w:p>
    <w:p w:rsidR="00EC71B3" w:rsidRPr="008D0FF3" w:rsidRDefault="00EC71B3" w:rsidP="008D0FF3">
      <w:pPr>
        <w:spacing w:after="0" w:line="240" w:lineRule="auto"/>
        <w:ind w:left="3600" w:firstLine="720"/>
        <w:rPr>
          <w:rFonts w:asciiTheme="minorHAnsi" w:hAnsiTheme="minorHAnsi"/>
          <w:sz w:val="24"/>
          <w:szCs w:val="24"/>
        </w:rPr>
      </w:pPr>
      <w:r w:rsidRPr="008D0FF3">
        <w:rPr>
          <w:rFonts w:asciiTheme="minorHAnsi" w:hAnsiTheme="minorHAnsi"/>
          <w:sz w:val="24"/>
          <w:szCs w:val="24"/>
        </w:rPr>
        <w:t>Dirk Butler</w:t>
      </w:r>
    </w:p>
    <w:p w:rsidR="00EC71B3" w:rsidRPr="008D0FF3" w:rsidRDefault="00EC71B3" w:rsidP="008D0FF3">
      <w:pPr>
        <w:spacing w:after="0" w:line="240" w:lineRule="auto"/>
        <w:ind w:left="3600" w:firstLine="720"/>
        <w:rPr>
          <w:rFonts w:asciiTheme="minorHAnsi" w:hAnsiTheme="minorHAnsi"/>
          <w:sz w:val="24"/>
          <w:szCs w:val="24"/>
        </w:rPr>
      </w:pPr>
      <w:r w:rsidRPr="008D0FF3">
        <w:rPr>
          <w:rFonts w:asciiTheme="minorHAnsi" w:hAnsiTheme="minorHAnsi"/>
          <w:sz w:val="24"/>
          <w:szCs w:val="24"/>
        </w:rPr>
        <w:t>Clare DiSalvo</w:t>
      </w:r>
    </w:p>
    <w:p w:rsidR="00EC71B3" w:rsidRPr="008D0FF3" w:rsidRDefault="00EC71B3" w:rsidP="008D0FF3">
      <w:pPr>
        <w:spacing w:after="0" w:line="240" w:lineRule="auto"/>
        <w:rPr>
          <w:rFonts w:asciiTheme="minorHAnsi" w:hAnsiTheme="minorHAnsi"/>
        </w:rPr>
      </w:pPr>
      <w:r w:rsidRPr="008D0FF3">
        <w:rPr>
          <w:rFonts w:asciiTheme="minorHAnsi" w:hAnsiTheme="minorHAnsi"/>
        </w:rPr>
        <w:br w:type="page"/>
      </w:r>
    </w:p>
    <w:p w:rsidR="00841642" w:rsidRDefault="00EC71B3" w:rsidP="008D0FF3">
      <w:pPr>
        <w:spacing w:after="0" w:line="240" w:lineRule="auto"/>
        <w:rPr>
          <w:rFonts w:asciiTheme="minorHAnsi" w:hAnsiTheme="minorHAnsi"/>
          <w:b/>
          <w:sz w:val="24"/>
          <w:szCs w:val="24"/>
        </w:rPr>
      </w:pPr>
      <w:r w:rsidRPr="008D0FF3">
        <w:rPr>
          <w:rFonts w:asciiTheme="minorHAnsi" w:hAnsiTheme="minorHAnsi"/>
          <w:b/>
          <w:sz w:val="24"/>
          <w:szCs w:val="24"/>
        </w:rPr>
        <w:lastRenderedPageBreak/>
        <w:t>Introduction</w:t>
      </w:r>
    </w:p>
    <w:p w:rsidR="008D0FF3" w:rsidRPr="008D0FF3" w:rsidRDefault="008D0FF3" w:rsidP="008D0FF3">
      <w:pPr>
        <w:spacing w:after="0" w:line="240" w:lineRule="auto"/>
        <w:rPr>
          <w:rFonts w:asciiTheme="minorHAnsi" w:hAnsiTheme="minorHAnsi"/>
          <w:b/>
          <w:sz w:val="24"/>
          <w:szCs w:val="24"/>
        </w:rPr>
      </w:pPr>
    </w:p>
    <w:p w:rsidR="001A71DC" w:rsidRDefault="00EC71B3" w:rsidP="001A71DC">
      <w:pPr>
        <w:spacing w:after="0" w:line="240" w:lineRule="auto"/>
        <w:rPr>
          <w:rFonts w:asciiTheme="minorHAnsi" w:hAnsiTheme="minorHAnsi"/>
          <w:sz w:val="24"/>
          <w:szCs w:val="24"/>
        </w:rPr>
      </w:pPr>
      <w:r w:rsidRPr="008D0FF3">
        <w:rPr>
          <w:rFonts w:asciiTheme="minorHAnsi" w:hAnsiTheme="minorHAnsi"/>
          <w:sz w:val="24"/>
          <w:szCs w:val="24"/>
        </w:rPr>
        <w:t>The Patient Protection and Affordable Care Act, signed into law in March of 2010, established the Personal Responsibility Education Program (PREP) which funds programs designed to educate adolescents on both abstinence and contraception for the prevention of pregnancy and sexually transmitted infections, including HIV/AIDS, and at least three adulthood preparation subjects.</w:t>
      </w:r>
      <w:r w:rsidR="00945F7E" w:rsidRPr="00945F7E">
        <w:rPr>
          <w:rStyle w:val="BalloonTextChar"/>
          <w:rFonts w:asciiTheme="minorHAnsi" w:hAnsiTheme="minorHAnsi"/>
          <w:sz w:val="24"/>
          <w:szCs w:val="24"/>
        </w:rPr>
        <w:t xml:space="preserve"> </w:t>
      </w:r>
      <w:r w:rsidR="00945F7E">
        <w:rPr>
          <w:rStyle w:val="FootnoteReference"/>
          <w:rFonts w:asciiTheme="minorHAnsi" w:hAnsiTheme="minorHAnsi"/>
          <w:sz w:val="24"/>
          <w:szCs w:val="24"/>
        </w:rPr>
        <w:footnoteReference w:id="1"/>
      </w:r>
      <w:r w:rsidRPr="008D0FF3">
        <w:rPr>
          <w:rFonts w:asciiTheme="minorHAnsi" w:hAnsiTheme="minorHAnsi"/>
          <w:sz w:val="24"/>
          <w:szCs w:val="24"/>
        </w:rPr>
        <w:t xml:space="preserve">  PREP provides $55.25 million in formula grants to States to “replicate evidence-based effective program models or substantially incorporate elements of effective programs that have been proven on the basis of scientific research to change behavior, which means delaying sexual activity, increasing condom or contraceptive use for sexually active youth, or reducing pregnancy among youth.”</w:t>
      </w:r>
      <w:r w:rsidR="005F2C59">
        <w:rPr>
          <w:rFonts w:asciiTheme="minorHAnsi" w:hAnsiTheme="minorHAnsi"/>
          <w:sz w:val="24"/>
          <w:szCs w:val="24"/>
        </w:rPr>
        <w:t xml:space="preserve">  </w:t>
      </w:r>
      <w:r w:rsidR="001A71DC">
        <w:rPr>
          <w:rFonts w:asciiTheme="minorHAnsi" w:hAnsiTheme="minorHAnsi"/>
          <w:sz w:val="24"/>
          <w:szCs w:val="24"/>
        </w:rPr>
        <w:t xml:space="preserve">The PREP legislation also requires an evaluation.  </w:t>
      </w:r>
    </w:p>
    <w:p w:rsidR="001A71DC" w:rsidRDefault="001A71DC" w:rsidP="001A71DC">
      <w:pPr>
        <w:spacing w:after="0" w:line="240" w:lineRule="auto"/>
        <w:rPr>
          <w:rFonts w:asciiTheme="minorHAnsi" w:hAnsiTheme="minorHAnsi"/>
          <w:sz w:val="24"/>
          <w:szCs w:val="24"/>
        </w:rPr>
      </w:pPr>
    </w:p>
    <w:p w:rsidR="001A71DC" w:rsidRPr="00B71D8E" w:rsidRDefault="001A71DC" w:rsidP="001A71DC">
      <w:pPr>
        <w:spacing w:after="0" w:line="240" w:lineRule="auto"/>
        <w:rPr>
          <w:rFonts w:asciiTheme="minorHAnsi" w:hAnsiTheme="minorHAnsi"/>
          <w:sz w:val="24"/>
          <w:szCs w:val="24"/>
        </w:rPr>
      </w:pPr>
      <w:r w:rsidRPr="00B71D8E">
        <w:rPr>
          <w:rFonts w:asciiTheme="minorHAnsi" w:hAnsiTheme="minorHAnsi"/>
          <w:sz w:val="24"/>
          <w:szCs w:val="24"/>
        </w:rPr>
        <w:t>The goal of the PREP Multi-Component Evaluation will be to document how programs funded through the State PREP program are designed and implemented in the field and to assess selected PREP-funded programs’ effectiveness.  The project will include three primary, interconnected components, each of which is a study in its own right.  These components are:</w:t>
      </w:r>
    </w:p>
    <w:p w:rsidR="001A71DC" w:rsidRPr="00B71D8E" w:rsidRDefault="001A71DC" w:rsidP="001A71DC">
      <w:pPr>
        <w:spacing w:after="0" w:line="240" w:lineRule="auto"/>
        <w:rPr>
          <w:rFonts w:asciiTheme="minorHAnsi" w:hAnsiTheme="minorHAnsi"/>
          <w:sz w:val="24"/>
          <w:szCs w:val="24"/>
        </w:rPr>
      </w:pPr>
    </w:p>
    <w:p w:rsidR="001A71DC" w:rsidRPr="00B71D8E" w:rsidRDefault="001A71DC" w:rsidP="001A71DC">
      <w:pPr>
        <w:pStyle w:val="ListParagraph"/>
        <w:numPr>
          <w:ilvl w:val="0"/>
          <w:numId w:val="2"/>
        </w:numPr>
        <w:spacing w:after="0" w:line="240" w:lineRule="auto"/>
        <w:rPr>
          <w:rFonts w:asciiTheme="minorHAnsi" w:hAnsiTheme="minorHAnsi"/>
          <w:sz w:val="24"/>
          <w:szCs w:val="24"/>
        </w:rPr>
      </w:pPr>
      <w:r w:rsidRPr="00B71D8E">
        <w:rPr>
          <w:rFonts w:asciiTheme="minorHAnsi" w:hAnsiTheme="minorHAnsi"/>
          <w:sz w:val="24"/>
          <w:szCs w:val="24"/>
        </w:rPr>
        <w:t xml:space="preserve">a </w:t>
      </w:r>
      <w:r w:rsidRPr="00B71D8E">
        <w:rPr>
          <w:rFonts w:asciiTheme="minorHAnsi" w:hAnsiTheme="minorHAnsi"/>
          <w:i/>
          <w:sz w:val="24"/>
          <w:szCs w:val="24"/>
        </w:rPr>
        <w:t>Design and Implementation Study</w:t>
      </w:r>
      <w:r w:rsidRPr="00B71D8E">
        <w:rPr>
          <w:rFonts w:asciiTheme="minorHAnsi" w:hAnsiTheme="minorHAnsi"/>
          <w:sz w:val="24"/>
          <w:szCs w:val="24"/>
        </w:rPr>
        <w:t xml:space="preserve"> (DIS): a bro</w:t>
      </w:r>
      <w:r>
        <w:rPr>
          <w:rFonts w:asciiTheme="minorHAnsi" w:hAnsiTheme="minorHAnsi"/>
          <w:sz w:val="24"/>
          <w:szCs w:val="24"/>
        </w:rPr>
        <w:t>ad descriptive analysis of how s</w:t>
      </w:r>
      <w:r w:rsidRPr="00B71D8E">
        <w:rPr>
          <w:rFonts w:asciiTheme="minorHAnsi" w:hAnsiTheme="minorHAnsi"/>
          <w:sz w:val="24"/>
          <w:szCs w:val="24"/>
        </w:rPr>
        <w:t xml:space="preserve">tates designed and implemented PREP programs, </w:t>
      </w:r>
    </w:p>
    <w:p w:rsidR="001A71DC" w:rsidRPr="00B71D8E" w:rsidRDefault="001A71DC" w:rsidP="001A71DC">
      <w:pPr>
        <w:pStyle w:val="ListParagraph"/>
        <w:numPr>
          <w:ilvl w:val="0"/>
          <w:numId w:val="2"/>
        </w:numPr>
        <w:spacing w:after="0" w:line="240" w:lineRule="auto"/>
        <w:rPr>
          <w:rFonts w:asciiTheme="minorHAnsi" w:hAnsiTheme="minorHAnsi"/>
          <w:sz w:val="24"/>
          <w:szCs w:val="24"/>
        </w:rPr>
      </w:pPr>
      <w:r w:rsidRPr="00B71D8E">
        <w:rPr>
          <w:rFonts w:asciiTheme="minorHAnsi" w:hAnsiTheme="minorHAnsi"/>
          <w:sz w:val="24"/>
          <w:szCs w:val="24"/>
        </w:rPr>
        <w:t xml:space="preserve">a </w:t>
      </w:r>
      <w:r w:rsidRPr="00B71D8E">
        <w:rPr>
          <w:rFonts w:asciiTheme="minorHAnsi" w:hAnsiTheme="minorHAnsi"/>
          <w:i/>
          <w:sz w:val="24"/>
          <w:szCs w:val="24"/>
        </w:rPr>
        <w:t>Performance Analysis Study</w:t>
      </w:r>
      <w:r w:rsidRPr="00B71D8E">
        <w:rPr>
          <w:rFonts w:asciiTheme="minorHAnsi" w:hAnsiTheme="minorHAnsi"/>
          <w:sz w:val="24"/>
          <w:szCs w:val="24"/>
        </w:rPr>
        <w:t xml:space="preserve"> (PAS):  the collection and analysis of performance management data, and </w:t>
      </w:r>
    </w:p>
    <w:p w:rsidR="001A71DC" w:rsidRPr="00B71D8E" w:rsidRDefault="001A71DC" w:rsidP="001A71DC">
      <w:pPr>
        <w:pStyle w:val="ListParagraph"/>
        <w:numPr>
          <w:ilvl w:val="0"/>
          <w:numId w:val="2"/>
        </w:numPr>
        <w:spacing w:after="0" w:line="240" w:lineRule="auto"/>
        <w:rPr>
          <w:rFonts w:asciiTheme="minorHAnsi" w:hAnsiTheme="minorHAnsi"/>
          <w:sz w:val="24"/>
          <w:szCs w:val="24"/>
        </w:rPr>
      </w:pPr>
      <w:proofErr w:type="gramStart"/>
      <w:r w:rsidRPr="00B71D8E">
        <w:rPr>
          <w:rFonts w:asciiTheme="minorHAnsi" w:hAnsiTheme="minorHAnsi"/>
          <w:sz w:val="24"/>
          <w:szCs w:val="24"/>
        </w:rPr>
        <w:t>an</w:t>
      </w:r>
      <w:proofErr w:type="gramEnd"/>
      <w:r w:rsidRPr="00B71D8E">
        <w:rPr>
          <w:rFonts w:asciiTheme="minorHAnsi" w:hAnsiTheme="minorHAnsi"/>
          <w:sz w:val="24"/>
          <w:szCs w:val="24"/>
        </w:rPr>
        <w:t xml:space="preserve"> </w:t>
      </w:r>
      <w:r w:rsidRPr="00B71D8E">
        <w:rPr>
          <w:rFonts w:asciiTheme="minorHAnsi" w:hAnsiTheme="minorHAnsi"/>
          <w:i/>
          <w:sz w:val="24"/>
          <w:szCs w:val="24"/>
        </w:rPr>
        <w:t>Impact and In-depth Implementation Study</w:t>
      </w:r>
      <w:r w:rsidRPr="00B71D8E">
        <w:rPr>
          <w:rFonts w:asciiTheme="minorHAnsi" w:hAnsiTheme="minorHAnsi"/>
          <w:sz w:val="24"/>
          <w:szCs w:val="24"/>
        </w:rPr>
        <w:t xml:space="preserve"> (IIS):  impact and in-depth implementation evaluations of four to five specific PREP-funded sites.</w:t>
      </w:r>
    </w:p>
    <w:p w:rsidR="001A71DC" w:rsidRPr="00B71D8E" w:rsidRDefault="001A71DC" w:rsidP="001A71DC">
      <w:pPr>
        <w:spacing w:after="0" w:line="240" w:lineRule="auto"/>
        <w:rPr>
          <w:rFonts w:asciiTheme="minorHAnsi" w:hAnsiTheme="minorHAnsi"/>
          <w:sz w:val="24"/>
          <w:szCs w:val="24"/>
        </w:rPr>
      </w:pPr>
    </w:p>
    <w:p w:rsidR="001A71DC" w:rsidRPr="00F672DE" w:rsidRDefault="001A71DC" w:rsidP="001A71DC">
      <w:pPr>
        <w:spacing w:after="0" w:line="240" w:lineRule="auto"/>
        <w:rPr>
          <w:rFonts w:asciiTheme="minorHAnsi" w:hAnsiTheme="minorHAnsi"/>
          <w:sz w:val="24"/>
          <w:szCs w:val="24"/>
        </w:rPr>
      </w:pPr>
      <w:r w:rsidRPr="00F672DE">
        <w:rPr>
          <w:rStyle w:val="Emphasis"/>
          <w:rFonts w:asciiTheme="minorHAnsi" w:hAnsiTheme="minorHAnsi"/>
          <w:i w:val="0"/>
          <w:sz w:val="24"/>
          <w:szCs w:val="24"/>
        </w:rPr>
        <w:t>As part of the first component</w:t>
      </w:r>
      <w:r>
        <w:rPr>
          <w:rStyle w:val="Emphasis"/>
          <w:rFonts w:asciiTheme="minorHAnsi" w:hAnsiTheme="minorHAnsi"/>
          <w:i w:val="0"/>
          <w:sz w:val="24"/>
          <w:szCs w:val="24"/>
        </w:rPr>
        <w:t xml:space="preserve"> of this project – the “Design and Implementation Study,” the broad descriptive study of how states designed and implemented PREP programs </w:t>
      </w:r>
      <w:r w:rsidR="0067757C">
        <w:rPr>
          <w:rStyle w:val="Emphasis"/>
          <w:rFonts w:asciiTheme="minorHAnsi" w:hAnsiTheme="minorHAnsi"/>
          <w:i w:val="0"/>
          <w:sz w:val="24"/>
          <w:szCs w:val="24"/>
        </w:rPr>
        <w:t>–</w:t>
      </w:r>
      <w:r>
        <w:rPr>
          <w:rStyle w:val="Emphasis"/>
          <w:rFonts w:asciiTheme="minorHAnsi" w:hAnsiTheme="minorHAnsi"/>
          <w:i w:val="0"/>
          <w:sz w:val="24"/>
          <w:szCs w:val="24"/>
        </w:rPr>
        <w:t xml:space="preserve"> ACF now seeks approval for a</w:t>
      </w:r>
      <w:r w:rsidRPr="00F672DE">
        <w:rPr>
          <w:rStyle w:val="Emphasis"/>
          <w:rFonts w:asciiTheme="minorHAnsi" w:hAnsiTheme="minorHAnsi"/>
          <w:i w:val="0"/>
          <w:sz w:val="24"/>
          <w:szCs w:val="24"/>
        </w:rPr>
        <w:t xml:space="preserve"> </w:t>
      </w:r>
      <w:r>
        <w:rPr>
          <w:rStyle w:val="Emphasis"/>
          <w:rFonts w:asciiTheme="minorHAnsi" w:hAnsiTheme="minorHAnsi"/>
          <w:i w:val="0"/>
          <w:sz w:val="24"/>
          <w:szCs w:val="24"/>
        </w:rPr>
        <w:t>“</w:t>
      </w:r>
      <w:r w:rsidRPr="00F672DE">
        <w:rPr>
          <w:rStyle w:val="Emphasis"/>
          <w:rFonts w:asciiTheme="minorHAnsi" w:hAnsiTheme="minorHAnsi"/>
          <w:i w:val="0"/>
          <w:sz w:val="24"/>
          <w:szCs w:val="24"/>
        </w:rPr>
        <w:t>Design Survey</w:t>
      </w:r>
      <w:r>
        <w:rPr>
          <w:rStyle w:val="Emphasis"/>
          <w:rFonts w:asciiTheme="minorHAnsi" w:hAnsiTheme="minorHAnsi"/>
          <w:i w:val="0"/>
          <w:sz w:val="24"/>
          <w:szCs w:val="24"/>
        </w:rPr>
        <w:t>”</w:t>
      </w:r>
      <w:r w:rsidRPr="00F672DE">
        <w:rPr>
          <w:rStyle w:val="Emphasis"/>
          <w:rFonts w:asciiTheme="minorHAnsi" w:hAnsiTheme="minorHAnsi"/>
          <w:i w:val="0"/>
          <w:sz w:val="24"/>
          <w:szCs w:val="24"/>
        </w:rPr>
        <w:t xml:space="preserve"> data collection instrument.</w:t>
      </w:r>
      <w:r>
        <w:rPr>
          <w:rStyle w:val="Emphasis"/>
          <w:rFonts w:asciiTheme="minorHAnsi" w:hAnsiTheme="minorHAnsi"/>
          <w:i w:val="0"/>
          <w:sz w:val="24"/>
          <w:szCs w:val="24"/>
        </w:rPr>
        <w:t xml:space="preserve">  The purpose of the “Design Survey” data collection effort is to conduct semi-structured interviews with administrators in each of the states that received PREP state grants in order to better understand what key decisions states made regarding the design of their PREP-funded programs and why they made those decisions. </w:t>
      </w:r>
    </w:p>
    <w:p w:rsidR="008D0FF3" w:rsidRDefault="008D0FF3" w:rsidP="008D0FF3">
      <w:pPr>
        <w:spacing w:after="0" w:line="240" w:lineRule="auto"/>
        <w:rPr>
          <w:rFonts w:asciiTheme="minorHAnsi" w:hAnsiTheme="minorHAnsi"/>
          <w:b/>
          <w:sz w:val="24"/>
          <w:szCs w:val="24"/>
        </w:rPr>
      </w:pPr>
    </w:p>
    <w:p w:rsidR="00EC71B3" w:rsidRPr="008D0FF3" w:rsidRDefault="00EC71B3" w:rsidP="008D0FF3">
      <w:pPr>
        <w:spacing w:after="0" w:line="240" w:lineRule="auto"/>
        <w:rPr>
          <w:rFonts w:asciiTheme="minorHAnsi" w:hAnsiTheme="minorHAnsi"/>
          <w:b/>
          <w:sz w:val="24"/>
          <w:szCs w:val="24"/>
        </w:rPr>
      </w:pPr>
      <w:r w:rsidRPr="008D0FF3">
        <w:rPr>
          <w:rFonts w:asciiTheme="minorHAnsi" w:hAnsiTheme="minorHAnsi"/>
          <w:b/>
          <w:sz w:val="24"/>
          <w:szCs w:val="24"/>
        </w:rPr>
        <w:t>B1. Respondent Universe and Sampling Methods</w:t>
      </w:r>
    </w:p>
    <w:p w:rsidR="008D0FF3" w:rsidRDefault="008D0FF3" w:rsidP="008D0FF3">
      <w:pPr>
        <w:spacing w:after="0" w:line="240" w:lineRule="auto"/>
        <w:rPr>
          <w:rFonts w:asciiTheme="minorHAnsi" w:hAnsiTheme="minorHAnsi"/>
          <w:sz w:val="24"/>
          <w:szCs w:val="24"/>
        </w:rPr>
      </w:pPr>
    </w:p>
    <w:p w:rsidR="0067757C" w:rsidRDefault="001A71DC" w:rsidP="008D0FF3">
      <w:pPr>
        <w:pStyle w:val="NormalSS12"/>
        <w:tabs>
          <w:tab w:val="right" w:pos="9360"/>
        </w:tabs>
        <w:spacing w:after="0"/>
        <w:ind w:firstLine="0"/>
        <w:jc w:val="left"/>
        <w:rPr>
          <w:rFonts w:asciiTheme="minorHAnsi" w:hAnsiTheme="minorHAnsi"/>
        </w:rPr>
      </w:pPr>
      <w:r w:rsidRPr="00F672DE">
        <w:rPr>
          <w:rFonts w:asciiTheme="minorHAnsi" w:hAnsiTheme="minorHAnsi"/>
        </w:rPr>
        <w:t>4</w:t>
      </w:r>
      <w:r>
        <w:rPr>
          <w:rFonts w:asciiTheme="minorHAnsi" w:hAnsiTheme="minorHAnsi"/>
        </w:rPr>
        <w:t>5</w:t>
      </w:r>
      <w:r w:rsidRPr="00F672DE">
        <w:rPr>
          <w:rFonts w:asciiTheme="minorHAnsi" w:hAnsiTheme="minorHAnsi"/>
        </w:rPr>
        <w:t xml:space="preserve"> </w:t>
      </w:r>
      <w:r>
        <w:rPr>
          <w:rFonts w:asciiTheme="minorHAnsi" w:hAnsiTheme="minorHAnsi"/>
        </w:rPr>
        <w:t>s</w:t>
      </w:r>
      <w:r w:rsidRPr="00F672DE">
        <w:rPr>
          <w:rFonts w:asciiTheme="minorHAnsi" w:hAnsiTheme="minorHAnsi"/>
        </w:rPr>
        <w:t>tates</w:t>
      </w:r>
      <w:r>
        <w:rPr>
          <w:rFonts w:asciiTheme="minorHAnsi" w:hAnsiTheme="minorHAnsi"/>
        </w:rPr>
        <w:t xml:space="preserve"> and</w:t>
      </w:r>
      <w:r w:rsidRPr="00F672DE">
        <w:rPr>
          <w:rFonts w:asciiTheme="minorHAnsi" w:hAnsiTheme="minorHAnsi"/>
        </w:rPr>
        <w:t xml:space="preserve"> the District of Columbia</w:t>
      </w:r>
      <w:r>
        <w:rPr>
          <w:rFonts w:asciiTheme="minorHAnsi" w:hAnsiTheme="minorHAnsi"/>
        </w:rPr>
        <w:t xml:space="preserve"> received </w:t>
      </w:r>
      <w:r w:rsidRPr="00F672DE">
        <w:rPr>
          <w:rFonts w:asciiTheme="minorHAnsi" w:hAnsiTheme="minorHAnsi"/>
        </w:rPr>
        <w:t xml:space="preserve">FY 2010 PREP funds.  We expect </w:t>
      </w:r>
      <w:r>
        <w:rPr>
          <w:rFonts w:asciiTheme="minorHAnsi" w:hAnsiTheme="minorHAnsi"/>
        </w:rPr>
        <w:t xml:space="preserve">two </w:t>
      </w:r>
      <w:r w:rsidRPr="00F672DE">
        <w:rPr>
          <w:rFonts w:asciiTheme="minorHAnsi" w:hAnsiTheme="minorHAnsi"/>
        </w:rPr>
        <w:t>respondent</w:t>
      </w:r>
      <w:r>
        <w:rPr>
          <w:rFonts w:asciiTheme="minorHAnsi" w:hAnsiTheme="minorHAnsi"/>
        </w:rPr>
        <w:t>s</w:t>
      </w:r>
      <w:r w:rsidRPr="00F672DE">
        <w:rPr>
          <w:rFonts w:asciiTheme="minorHAnsi" w:hAnsiTheme="minorHAnsi"/>
        </w:rPr>
        <w:t xml:space="preserve"> from each </w:t>
      </w:r>
      <w:r>
        <w:rPr>
          <w:rFonts w:asciiTheme="minorHAnsi" w:hAnsiTheme="minorHAnsi"/>
        </w:rPr>
        <w:t>s</w:t>
      </w:r>
      <w:r w:rsidRPr="00F672DE">
        <w:rPr>
          <w:rFonts w:asciiTheme="minorHAnsi" w:hAnsiTheme="minorHAnsi"/>
        </w:rPr>
        <w:t>tate</w:t>
      </w:r>
      <w:r>
        <w:rPr>
          <w:rFonts w:asciiTheme="minorHAnsi" w:hAnsiTheme="minorHAnsi"/>
        </w:rPr>
        <w:t xml:space="preserve"> </w:t>
      </w:r>
      <w:r w:rsidRPr="00F672DE">
        <w:rPr>
          <w:rFonts w:asciiTheme="minorHAnsi" w:hAnsiTheme="minorHAnsi"/>
        </w:rPr>
        <w:t>to be contacted and interviewed</w:t>
      </w:r>
      <w:r>
        <w:rPr>
          <w:rFonts w:asciiTheme="minorHAnsi" w:hAnsiTheme="minorHAnsi"/>
        </w:rPr>
        <w:t xml:space="preserve"> over the course of two years</w:t>
      </w:r>
      <w:r w:rsidRPr="00F672DE">
        <w:rPr>
          <w:rFonts w:asciiTheme="minorHAnsi" w:hAnsiTheme="minorHAnsi"/>
        </w:rPr>
        <w:t xml:space="preserve">. </w:t>
      </w:r>
      <w:r>
        <w:rPr>
          <w:rFonts w:asciiTheme="minorHAnsi" w:hAnsiTheme="minorHAnsi"/>
        </w:rPr>
        <w:t xml:space="preserve">Respondents will be state-level PREP program administrators.  The specific individuals to be interviewed will be identified through a review of the applications submitted by states for PREP funds and conversations with federal staff. </w:t>
      </w:r>
    </w:p>
    <w:p w:rsidR="008D0FF3" w:rsidRDefault="001A71DC" w:rsidP="008D0FF3">
      <w:pPr>
        <w:pStyle w:val="NormalSS12"/>
        <w:tabs>
          <w:tab w:val="right" w:pos="9360"/>
        </w:tabs>
        <w:spacing w:after="0"/>
        <w:ind w:firstLine="0"/>
        <w:jc w:val="left"/>
        <w:rPr>
          <w:rFonts w:asciiTheme="minorHAnsi" w:hAnsiTheme="minorHAnsi"/>
          <w:b/>
        </w:rPr>
      </w:pPr>
      <w:r>
        <w:rPr>
          <w:rFonts w:asciiTheme="minorHAnsi" w:hAnsiTheme="minorHAnsi"/>
        </w:rPr>
        <w:t xml:space="preserve"> </w:t>
      </w:r>
    </w:p>
    <w:p w:rsidR="003D6BA4" w:rsidRPr="008D0FF3" w:rsidRDefault="003D6BA4" w:rsidP="008D0FF3">
      <w:pPr>
        <w:pStyle w:val="NormalSS12"/>
        <w:tabs>
          <w:tab w:val="right" w:pos="9360"/>
        </w:tabs>
        <w:spacing w:after="0"/>
        <w:ind w:firstLine="0"/>
        <w:jc w:val="left"/>
        <w:rPr>
          <w:rFonts w:asciiTheme="minorHAnsi" w:hAnsiTheme="minorHAnsi"/>
        </w:rPr>
      </w:pPr>
      <w:r w:rsidRPr="008D0FF3">
        <w:rPr>
          <w:rFonts w:asciiTheme="minorHAnsi" w:hAnsiTheme="minorHAnsi"/>
          <w:b/>
        </w:rPr>
        <w:t>B2. Procedures for Collection of Information</w:t>
      </w:r>
    </w:p>
    <w:p w:rsidR="008D0FF3" w:rsidRDefault="008D0FF3" w:rsidP="008D0FF3">
      <w:pPr>
        <w:spacing w:after="0" w:line="240" w:lineRule="auto"/>
        <w:rPr>
          <w:rFonts w:asciiTheme="minorHAnsi" w:hAnsiTheme="minorHAnsi"/>
          <w:sz w:val="24"/>
          <w:szCs w:val="24"/>
        </w:rPr>
      </w:pPr>
    </w:p>
    <w:p w:rsidR="005F2C59" w:rsidRDefault="003F0F74" w:rsidP="008D0FF3">
      <w:pPr>
        <w:spacing w:after="0" w:line="240" w:lineRule="auto"/>
        <w:rPr>
          <w:rFonts w:asciiTheme="minorHAnsi" w:hAnsiTheme="minorHAnsi"/>
          <w:sz w:val="24"/>
          <w:szCs w:val="24"/>
        </w:rPr>
      </w:pPr>
      <w:r>
        <w:rPr>
          <w:rFonts w:asciiTheme="minorHAnsi" w:hAnsiTheme="minorHAnsi"/>
          <w:sz w:val="24"/>
          <w:szCs w:val="24"/>
        </w:rPr>
        <w:t xml:space="preserve">The </w:t>
      </w:r>
      <w:r w:rsidR="003D6BA4" w:rsidRPr="008D0FF3">
        <w:rPr>
          <w:rFonts w:asciiTheme="minorHAnsi" w:hAnsiTheme="minorHAnsi"/>
          <w:sz w:val="24"/>
          <w:szCs w:val="24"/>
        </w:rPr>
        <w:t>data collection mo</w:t>
      </w:r>
      <w:r>
        <w:rPr>
          <w:rFonts w:asciiTheme="minorHAnsi" w:hAnsiTheme="minorHAnsi"/>
          <w:sz w:val="24"/>
          <w:szCs w:val="24"/>
        </w:rPr>
        <w:t>dality will be interviews</w:t>
      </w:r>
      <w:r w:rsidR="003D6BA4" w:rsidRPr="008D0FF3">
        <w:rPr>
          <w:rFonts w:asciiTheme="minorHAnsi" w:hAnsiTheme="minorHAnsi"/>
          <w:sz w:val="24"/>
          <w:szCs w:val="24"/>
        </w:rPr>
        <w:t xml:space="preserve">.  </w:t>
      </w:r>
      <w:r>
        <w:rPr>
          <w:rFonts w:asciiTheme="minorHAnsi" w:hAnsiTheme="minorHAnsi"/>
          <w:sz w:val="24"/>
          <w:szCs w:val="24"/>
        </w:rPr>
        <w:t xml:space="preserve">Interviews will primarily be conducted by phone; however, a few in-person interviews may be conducted if doing so would promote an efficient use of contract resources.  (For example, in-person interviews may be conducted if the research team is already on site for another data collection effort related to the PREP Evaluation.)  </w:t>
      </w:r>
    </w:p>
    <w:p w:rsidR="00E75322" w:rsidRDefault="003D6BA4" w:rsidP="008D0FF3">
      <w:pPr>
        <w:spacing w:after="0" w:line="240" w:lineRule="auto"/>
        <w:rPr>
          <w:rFonts w:asciiTheme="minorHAnsi" w:hAnsiTheme="minorHAnsi"/>
          <w:sz w:val="24"/>
          <w:szCs w:val="24"/>
        </w:rPr>
      </w:pPr>
      <w:r w:rsidRPr="008D0FF3">
        <w:rPr>
          <w:rFonts w:asciiTheme="minorHAnsi" w:hAnsiTheme="minorHAnsi"/>
          <w:sz w:val="24"/>
          <w:szCs w:val="24"/>
        </w:rPr>
        <w:lastRenderedPageBreak/>
        <w:t xml:space="preserve"> </w:t>
      </w:r>
    </w:p>
    <w:p w:rsidR="00F05384" w:rsidRDefault="00F05384" w:rsidP="00990725">
      <w:pPr>
        <w:spacing w:after="0" w:line="240" w:lineRule="auto"/>
        <w:rPr>
          <w:color w:val="000000"/>
          <w:sz w:val="24"/>
          <w:szCs w:val="24"/>
        </w:rPr>
      </w:pPr>
      <w:r w:rsidRPr="00F05384">
        <w:rPr>
          <w:color w:val="000000"/>
          <w:sz w:val="24"/>
          <w:szCs w:val="24"/>
        </w:rPr>
        <w:t>ACF has provided the contractor with a key contact for each state and the District of Columbia that received PREP funding. The contractor will send an email to the key contact that describes the “Design and Implementation Study”, and the purpose of and nature of the questions on the “Design Survey” for which an interview is being requested. Attached to that email will be a document that provides an overview of the entire PREP evaluation, including the “Design and Implementation Study” component. The email will ask the intended respondent to select a day and time for an interview that will not last longer than one hour. The email will also suggest that the key contact recommend a respondent, if the key contact does not believe they are in the best position to address the “Design Survey” questions. Telephone follow-up will be initiated if the key contact does not respond within three business days.</w:t>
      </w:r>
    </w:p>
    <w:p w:rsidR="00F05384" w:rsidRDefault="00F05384" w:rsidP="00990725">
      <w:pPr>
        <w:spacing w:after="0" w:line="240" w:lineRule="auto"/>
        <w:rPr>
          <w:color w:val="000000"/>
          <w:sz w:val="24"/>
          <w:szCs w:val="24"/>
        </w:rPr>
      </w:pPr>
    </w:p>
    <w:p w:rsidR="00990725" w:rsidRDefault="00990725" w:rsidP="00990725">
      <w:pPr>
        <w:spacing w:after="0" w:line="240" w:lineRule="auto"/>
        <w:rPr>
          <w:color w:val="000000"/>
          <w:sz w:val="24"/>
          <w:szCs w:val="24"/>
        </w:rPr>
      </w:pPr>
      <w:r w:rsidRPr="00990725">
        <w:rPr>
          <w:color w:val="000000"/>
          <w:sz w:val="24"/>
          <w:szCs w:val="24"/>
        </w:rPr>
        <w:t>The specific questions asked during each interview will vary, depending on 1) what is already known about the respondent’s program design decisions (</w:t>
      </w:r>
      <w:r w:rsidR="0067757C">
        <w:rPr>
          <w:color w:val="000000"/>
          <w:sz w:val="24"/>
          <w:szCs w:val="24"/>
        </w:rPr>
        <w:t xml:space="preserve">e.g. we will not ask questions for which we already have answers, </w:t>
      </w:r>
      <w:r w:rsidRPr="00990725">
        <w:rPr>
          <w:color w:val="000000"/>
          <w:sz w:val="24"/>
          <w:szCs w:val="24"/>
        </w:rPr>
        <w:t xml:space="preserve">based on the contractor’s prior review of </w:t>
      </w:r>
      <w:r w:rsidR="00AA2EAD">
        <w:rPr>
          <w:color w:val="000000"/>
          <w:sz w:val="24"/>
          <w:szCs w:val="24"/>
        </w:rPr>
        <w:t xml:space="preserve">program documents and </w:t>
      </w:r>
      <w:r w:rsidRPr="00990725">
        <w:rPr>
          <w:color w:val="000000"/>
          <w:sz w:val="24"/>
          <w:szCs w:val="24"/>
        </w:rPr>
        <w:t>administrative data) and 2) the discretion of the interviewer, who will adapt his or her questions based on the respondent’s answers, while still touching on key themes across interviews.</w:t>
      </w:r>
    </w:p>
    <w:p w:rsidR="00990725" w:rsidRPr="00990725" w:rsidRDefault="00990725" w:rsidP="00990725">
      <w:pPr>
        <w:spacing w:after="0" w:line="240" w:lineRule="auto"/>
        <w:rPr>
          <w:color w:val="000000"/>
          <w:sz w:val="24"/>
          <w:szCs w:val="24"/>
        </w:rPr>
      </w:pPr>
    </w:p>
    <w:p w:rsidR="00990725" w:rsidRPr="00990725" w:rsidRDefault="00990725" w:rsidP="00990725">
      <w:pPr>
        <w:spacing w:after="0" w:line="240" w:lineRule="auto"/>
        <w:rPr>
          <w:color w:val="000000"/>
          <w:sz w:val="24"/>
          <w:szCs w:val="24"/>
        </w:rPr>
      </w:pPr>
      <w:r w:rsidRPr="00990725">
        <w:rPr>
          <w:color w:val="000000"/>
          <w:sz w:val="24"/>
          <w:szCs w:val="24"/>
        </w:rPr>
        <w:t xml:space="preserve">The “Design Survey” instrument, therefore, will serve as </w:t>
      </w:r>
      <w:r w:rsidR="001A71DC">
        <w:rPr>
          <w:color w:val="000000"/>
          <w:sz w:val="24"/>
          <w:szCs w:val="24"/>
        </w:rPr>
        <w:t xml:space="preserve">a </w:t>
      </w:r>
      <w:r w:rsidRPr="00990725">
        <w:rPr>
          <w:color w:val="000000"/>
          <w:sz w:val="24"/>
          <w:szCs w:val="24"/>
        </w:rPr>
        <w:t>pool of possible questions which will be drawn upon by the contractor to guide informal, semi-structured interviews (i.e. they are not rigidly structured, systematic surveys).  Each interviewer will use a sub-set of the questions listed in the interview guide and each interview will last for no more than 1 hour.  A specific protocol will be developed for each interview in advance of the call. This overall approach has the benefit of reducing burden for respondents, because each interview will be tailored for the specific respondent who is being interviewed.  This strategy has worked very successfully in past data collection efforts like this (e.g. with implementation studies). </w:t>
      </w:r>
    </w:p>
    <w:p w:rsidR="00AA2EAD" w:rsidRPr="00A054AB" w:rsidRDefault="00AA2EAD" w:rsidP="00A054AB">
      <w:pPr>
        <w:spacing w:after="0" w:line="240" w:lineRule="auto"/>
        <w:rPr>
          <w:rFonts w:asciiTheme="minorHAnsi" w:hAnsiTheme="minorHAnsi"/>
          <w:sz w:val="24"/>
          <w:szCs w:val="24"/>
        </w:rPr>
      </w:pPr>
    </w:p>
    <w:p w:rsidR="00F05384" w:rsidRPr="008D0FF3" w:rsidRDefault="00E75322">
      <w:pPr>
        <w:spacing w:after="0" w:line="240" w:lineRule="auto"/>
        <w:rPr>
          <w:rFonts w:asciiTheme="minorHAnsi" w:hAnsiTheme="minorHAnsi"/>
          <w:sz w:val="24"/>
          <w:szCs w:val="24"/>
        </w:rPr>
      </w:pPr>
      <w:r w:rsidRPr="008D0FF3">
        <w:rPr>
          <w:rFonts w:asciiTheme="minorHAnsi" w:hAnsiTheme="minorHAnsi"/>
          <w:sz w:val="24"/>
          <w:szCs w:val="24"/>
        </w:rPr>
        <w:t xml:space="preserve">Contractor staff will takes notes during discussions, obtain relevant written materials that are readily available, and prepare written summaries of each discussion and group of discussions for submission to ACF.  </w:t>
      </w:r>
      <w:r w:rsidR="007C3028">
        <w:rPr>
          <w:rFonts w:asciiTheme="minorHAnsi" w:hAnsiTheme="minorHAnsi"/>
          <w:sz w:val="24"/>
          <w:szCs w:val="24"/>
        </w:rPr>
        <w:t xml:space="preserve">There will be no formal consent process for the interviews, as the contractor’s IRB of record has waived both verbal and written consent.  </w:t>
      </w:r>
    </w:p>
    <w:p w:rsidR="008D0FF3" w:rsidRDefault="008D0FF3" w:rsidP="008D0FF3">
      <w:pPr>
        <w:spacing w:after="0" w:line="240" w:lineRule="auto"/>
        <w:rPr>
          <w:rFonts w:asciiTheme="minorHAnsi" w:hAnsiTheme="minorHAnsi"/>
          <w:b/>
          <w:sz w:val="24"/>
          <w:szCs w:val="24"/>
        </w:rPr>
      </w:pPr>
    </w:p>
    <w:p w:rsidR="00E75322" w:rsidRPr="008D0FF3" w:rsidRDefault="00E75322" w:rsidP="008D0FF3">
      <w:pPr>
        <w:spacing w:after="0" w:line="240" w:lineRule="auto"/>
        <w:rPr>
          <w:rFonts w:asciiTheme="minorHAnsi" w:hAnsiTheme="minorHAnsi"/>
          <w:b/>
          <w:sz w:val="24"/>
          <w:szCs w:val="24"/>
        </w:rPr>
      </w:pPr>
      <w:r w:rsidRPr="008D0FF3">
        <w:rPr>
          <w:rFonts w:asciiTheme="minorHAnsi" w:hAnsiTheme="minorHAnsi"/>
          <w:b/>
          <w:sz w:val="24"/>
          <w:szCs w:val="24"/>
        </w:rPr>
        <w:t>B3.  Methods to Maximize Response Rates and Deal with Non-response</w:t>
      </w:r>
    </w:p>
    <w:p w:rsidR="0036381B" w:rsidRDefault="0036381B" w:rsidP="008D0FF3">
      <w:pPr>
        <w:spacing w:after="0" w:line="240" w:lineRule="auto"/>
        <w:rPr>
          <w:rFonts w:asciiTheme="minorHAnsi" w:hAnsiTheme="minorHAnsi"/>
          <w:sz w:val="24"/>
          <w:szCs w:val="24"/>
        </w:rPr>
      </w:pPr>
    </w:p>
    <w:p w:rsidR="0036381B" w:rsidRPr="008D0FF3" w:rsidRDefault="0036381B" w:rsidP="0036381B">
      <w:pPr>
        <w:spacing w:after="0" w:line="240" w:lineRule="auto"/>
        <w:rPr>
          <w:rFonts w:asciiTheme="minorHAnsi" w:hAnsiTheme="minorHAnsi"/>
          <w:sz w:val="24"/>
          <w:szCs w:val="24"/>
        </w:rPr>
      </w:pPr>
      <w:r w:rsidRPr="008D0FF3">
        <w:rPr>
          <w:rFonts w:asciiTheme="minorHAnsi" w:hAnsiTheme="minorHAnsi"/>
          <w:sz w:val="24"/>
          <w:szCs w:val="24"/>
        </w:rPr>
        <w:t xml:space="preserve">We expect to obtain a very high response rate (95 percent) among selected respondents.  Several factors will help ensure a high rate of cooperation among respondents.  First, grantees are required to participate in evaluation activities per the requirements of </w:t>
      </w:r>
      <w:r>
        <w:rPr>
          <w:rFonts w:asciiTheme="minorHAnsi" w:hAnsiTheme="minorHAnsi"/>
          <w:sz w:val="24"/>
          <w:szCs w:val="24"/>
        </w:rPr>
        <w:t>their grant award</w:t>
      </w:r>
      <w:r w:rsidRPr="008D0FF3">
        <w:rPr>
          <w:rFonts w:asciiTheme="minorHAnsi" w:hAnsiTheme="minorHAnsi"/>
          <w:sz w:val="24"/>
          <w:szCs w:val="24"/>
        </w:rPr>
        <w:t>.</w:t>
      </w:r>
      <w:r>
        <w:rPr>
          <w:rStyle w:val="FootnoteReference"/>
          <w:rFonts w:asciiTheme="minorHAnsi" w:hAnsiTheme="minorHAnsi"/>
          <w:sz w:val="24"/>
          <w:szCs w:val="24"/>
        </w:rPr>
        <w:footnoteReference w:id="2"/>
      </w:r>
      <w:r w:rsidRPr="008D0FF3">
        <w:rPr>
          <w:rFonts w:asciiTheme="minorHAnsi" w:hAnsiTheme="minorHAnsi"/>
          <w:sz w:val="24"/>
          <w:szCs w:val="24"/>
        </w:rPr>
        <w:t xml:space="preserve"> </w:t>
      </w:r>
      <w:r>
        <w:rPr>
          <w:rFonts w:asciiTheme="minorHAnsi" w:hAnsiTheme="minorHAnsi"/>
          <w:sz w:val="24"/>
          <w:szCs w:val="24"/>
        </w:rPr>
        <w:t>Individuals may opt out of these interviews; however, state agencies that received PREP funds are expected</w:t>
      </w:r>
      <w:r w:rsidRPr="00EB3DBE">
        <w:rPr>
          <w:rFonts w:asciiTheme="minorHAnsi" w:hAnsiTheme="minorHAnsi"/>
          <w:sz w:val="24"/>
          <w:szCs w:val="24"/>
        </w:rPr>
        <w:t xml:space="preserve"> to make a state official available who can complete the interview.</w:t>
      </w:r>
      <w:r w:rsidRPr="008D0FF3">
        <w:rPr>
          <w:rFonts w:asciiTheme="minorHAnsi" w:hAnsiTheme="minorHAnsi"/>
          <w:sz w:val="24"/>
          <w:szCs w:val="24"/>
        </w:rPr>
        <w:t xml:space="preserve"> Second, the stakeholders who will be interviewed or surveyed are all heavily invested in the issues surrounding </w:t>
      </w:r>
      <w:r>
        <w:rPr>
          <w:rFonts w:asciiTheme="minorHAnsi" w:hAnsiTheme="minorHAnsi"/>
          <w:sz w:val="24"/>
          <w:szCs w:val="24"/>
        </w:rPr>
        <w:t xml:space="preserve">teen </w:t>
      </w:r>
      <w:r w:rsidRPr="008D0FF3">
        <w:rPr>
          <w:rFonts w:asciiTheme="minorHAnsi" w:hAnsiTheme="minorHAnsi"/>
          <w:sz w:val="24"/>
          <w:szCs w:val="24"/>
        </w:rPr>
        <w:t>pregnancy prevention</w:t>
      </w:r>
      <w:r>
        <w:rPr>
          <w:rFonts w:asciiTheme="minorHAnsi" w:hAnsiTheme="minorHAnsi"/>
          <w:sz w:val="24"/>
          <w:szCs w:val="24"/>
        </w:rPr>
        <w:t xml:space="preserve"> and thus should be motivated to participate in the interview.  Third, federal staff (PREP project officers) will contact state agencies who do not respond to interview requests and ask them to make an official available who can participate.</w:t>
      </w:r>
    </w:p>
    <w:p w:rsidR="008D0FF3" w:rsidRDefault="008D0FF3" w:rsidP="008D0FF3">
      <w:pPr>
        <w:spacing w:after="0" w:line="240" w:lineRule="auto"/>
        <w:rPr>
          <w:rFonts w:asciiTheme="minorHAnsi" w:hAnsiTheme="minorHAnsi"/>
          <w:b/>
          <w:sz w:val="24"/>
          <w:szCs w:val="24"/>
        </w:rPr>
      </w:pPr>
    </w:p>
    <w:p w:rsidR="00E75322" w:rsidRPr="008D0FF3" w:rsidRDefault="00E75322" w:rsidP="008D0FF3">
      <w:pPr>
        <w:spacing w:after="0" w:line="240" w:lineRule="auto"/>
        <w:rPr>
          <w:rFonts w:asciiTheme="minorHAnsi" w:hAnsiTheme="minorHAnsi"/>
          <w:b/>
          <w:sz w:val="24"/>
          <w:szCs w:val="24"/>
        </w:rPr>
      </w:pPr>
      <w:r w:rsidRPr="008D0FF3">
        <w:rPr>
          <w:rFonts w:asciiTheme="minorHAnsi" w:hAnsiTheme="minorHAnsi"/>
          <w:b/>
          <w:sz w:val="24"/>
          <w:szCs w:val="24"/>
        </w:rPr>
        <w:t>B4. Test of Procedures or Methods to be Undertaken</w:t>
      </w:r>
    </w:p>
    <w:p w:rsidR="008D0FF3" w:rsidRDefault="008D0FF3" w:rsidP="008D0FF3">
      <w:pPr>
        <w:spacing w:after="0" w:line="240" w:lineRule="auto"/>
        <w:rPr>
          <w:rFonts w:asciiTheme="minorHAnsi" w:hAnsiTheme="minorHAnsi"/>
          <w:sz w:val="24"/>
          <w:szCs w:val="24"/>
          <w:highlight w:val="yellow"/>
        </w:rPr>
      </w:pPr>
    </w:p>
    <w:p w:rsidR="00E75322" w:rsidRPr="008D0FF3" w:rsidRDefault="00990725" w:rsidP="008D0FF3">
      <w:pPr>
        <w:spacing w:after="0" w:line="240" w:lineRule="auto"/>
        <w:rPr>
          <w:rFonts w:asciiTheme="minorHAnsi" w:hAnsiTheme="minorHAnsi"/>
          <w:sz w:val="24"/>
          <w:szCs w:val="24"/>
        </w:rPr>
      </w:pPr>
      <w:r w:rsidRPr="00990725">
        <w:rPr>
          <w:rFonts w:asciiTheme="minorHAnsi" w:hAnsiTheme="minorHAnsi"/>
          <w:sz w:val="24"/>
          <w:szCs w:val="24"/>
        </w:rPr>
        <w:t>The information collection instruments are similar to discussion protocols that have been used successfully in prior studies</w:t>
      </w:r>
      <w:r w:rsidR="00987F63" w:rsidRPr="00EA4A65">
        <w:rPr>
          <w:rFonts w:asciiTheme="minorHAnsi" w:hAnsiTheme="minorHAnsi"/>
          <w:sz w:val="24"/>
          <w:szCs w:val="24"/>
        </w:rPr>
        <w:t>.</w:t>
      </w:r>
      <w:r w:rsidR="00166E21">
        <w:rPr>
          <w:rFonts w:asciiTheme="minorHAnsi" w:hAnsiTheme="minorHAnsi"/>
          <w:sz w:val="24"/>
          <w:szCs w:val="24"/>
        </w:rPr>
        <w:t xml:space="preserve">  </w:t>
      </w:r>
      <w:bookmarkStart w:id="6" w:name="_GoBack"/>
      <w:bookmarkEnd w:id="6"/>
    </w:p>
    <w:p w:rsidR="008D0FF3" w:rsidRDefault="008D0FF3" w:rsidP="008D0FF3">
      <w:pPr>
        <w:spacing w:after="0" w:line="240" w:lineRule="auto"/>
        <w:rPr>
          <w:rFonts w:asciiTheme="minorHAnsi" w:hAnsiTheme="minorHAnsi"/>
          <w:b/>
          <w:sz w:val="24"/>
          <w:szCs w:val="24"/>
        </w:rPr>
      </w:pPr>
    </w:p>
    <w:p w:rsidR="00E75322" w:rsidRPr="008D0FF3" w:rsidRDefault="00E75322" w:rsidP="008D0FF3">
      <w:pPr>
        <w:spacing w:after="0" w:line="240" w:lineRule="auto"/>
        <w:rPr>
          <w:rFonts w:asciiTheme="minorHAnsi" w:hAnsiTheme="minorHAnsi"/>
          <w:b/>
          <w:sz w:val="24"/>
          <w:szCs w:val="24"/>
        </w:rPr>
      </w:pPr>
      <w:r w:rsidRPr="008D0FF3">
        <w:rPr>
          <w:rFonts w:asciiTheme="minorHAnsi" w:hAnsiTheme="minorHAnsi"/>
          <w:b/>
          <w:sz w:val="24"/>
          <w:szCs w:val="24"/>
        </w:rPr>
        <w:t>B5. Individuals Consulted on Statistical Aspects and Individuals Collecting and/or Analyzing Data</w:t>
      </w:r>
    </w:p>
    <w:p w:rsidR="008D0FF3" w:rsidRDefault="008D0FF3" w:rsidP="008D0FF3">
      <w:pPr>
        <w:spacing w:after="0" w:line="240" w:lineRule="auto"/>
        <w:rPr>
          <w:rFonts w:asciiTheme="minorHAnsi" w:hAnsiTheme="minorHAnsi"/>
          <w:sz w:val="24"/>
          <w:szCs w:val="24"/>
        </w:rPr>
      </w:pPr>
    </w:p>
    <w:p w:rsidR="008D0FF3" w:rsidRDefault="005F2C59" w:rsidP="008D0FF3">
      <w:pPr>
        <w:spacing w:after="0" w:line="240" w:lineRule="auto"/>
        <w:rPr>
          <w:rFonts w:asciiTheme="minorHAnsi" w:hAnsiTheme="minorHAnsi"/>
          <w:sz w:val="24"/>
          <w:szCs w:val="24"/>
        </w:rPr>
      </w:pPr>
      <w:r>
        <w:rPr>
          <w:rFonts w:asciiTheme="minorHAnsi" w:hAnsiTheme="minorHAnsi"/>
          <w:sz w:val="24"/>
          <w:szCs w:val="24"/>
        </w:rPr>
        <w:t>The information collection for</w:t>
      </w:r>
      <w:r w:rsidR="00E75322" w:rsidRPr="008D0FF3">
        <w:rPr>
          <w:rFonts w:asciiTheme="minorHAnsi" w:hAnsiTheme="minorHAnsi"/>
          <w:sz w:val="24"/>
          <w:szCs w:val="24"/>
        </w:rPr>
        <w:t xml:space="preserve"> this component of the evaluation</w:t>
      </w:r>
      <w:r w:rsidR="00672A13" w:rsidRPr="008D0FF3">
        <w:rPr>
          <w:rFonts w:asciiTheme="minorHAnsi" w:hAnsiTheme="minorHAnsi"/>
          <w:sz w:val="24"/>
          <w:szCs w:val="24"/>
        </w:rPr>
        <w:t xml:space="preserve"> will be done </w:t>
      </w:r>
      <w:r w:rsidR="001A71DC">
        <w:rPr>
          <w:rFonts w:asciiTheme="minorHAnsi" w:hAnsiTheme="minorHAnsi"/>
          <w:sz w:val="24"/>
          <w:szCs w:val="24"/>
        </w:rPr>
        <w:t xml:space="preserve">by Mathematica Policy Research, the contractor for this study, </w:t>
      </w:r>
      <w:r w:rsidR="00E75322" w:rsidRPr="008D0FF3">
        <w:rPr>
          <w:rFonts w:asciiTheme="minorHAnsi" w:hAnsiTheme="minorHAnsi"/>
          <w:sz w:val="24"/>
          <w:szCs w:val="24"/>
        </w:rPr>
        <w:t xml:space="preserve">on behalf of ACF.  </w:t>
      </w:r>
    </w:p>
    <w:p w:rsidR="000F5DD9" w:rsidRDefault="000F5DD9" w:rsidP="008D0FF3">
      <w:pPr>
        <w:spacing w:after="0" w:line="240" w:lineRule="auto"/>
        <w:rPr>
          <w:rFonts w:asciiTheme="minorHAnsi" w:hAnsiTheme="minorHAnsi"/>
          <w:sz w:val="24"/>
          <w:szCs w:val="24"/>
        </w:rPr>
      </w:pPr>
    </w:p>
    <w:p w:rsidR="00E75322" w:rsidRDefault="00E75322" w:rsidP="008D0FF3">
      <w:pPr>
        <w:spacing w:after="0" w:line="240" w:lineRule="auto"/>
        <w:rPr>
          <w:rFonts w:asciiTheme="minorHAnsi" w:hAnsiTheme="minorHAnsi"/>
          <w:sz w:val="24"/>
          <w:szCs w:val="24"/>
        </w:rPr>
      </w:pPr>
      <w:r w:rsidRPr="008D0FF3">
        <w:rPr>
          <w:rFonts w:asciiTheme="minorHAnsi" w:hAnsiTheme="minorHAnsi"/>
          <w:sz w:val="24"/>
          <w:szCs w:val="24"/>
        </w:rPr>
        <w:t>Key input to the current data collection instruments was received from the following individuals:</w:t>
      </w:r>
    </w:p>
    <w:p w:rsidR="00EA4A65" w:rsidRDefault="00EA4A65" w:rsidP="008D0FF3">
      <w:pPr>
        <w:spacing w:after="0" w:line="240" w:lineRule="auto"/>
        <w:rPr>
          <w:rFonts w:asciiTheme="minorHAnsi" w:hAnsiTheme="minorHAnsi"/>
          <w:sz w:val="24"/>
          <w:szCs w:val="24"/>
        </w:rPr>
      </w:pPr>
    </w:p>
    <w:p w:rsidR="00EA4A65" w:rsidRDefault="00EA4A65" w:rsidP="008D0FF3">
      <w:pPr>
        <w:spacing w:after="0" w:line="240" w:lineRule="auto"/>
        <w:rPr>
          <w:rFonts w:asciiTheme="minorHAnsi" w:hAnsiTheme="minorHAnsi"/>
          <w:sz w:val="24"/>
          <w:szCs w:val="24"/>
        </w:rPr>
      </w:pPr>
      <w:r>
        <w:rPr>
          <w:rFonts w:asciiTheme="minorHAnsi" w:hAnsiTheme="minorHAnsi"/>
          <w:sz w:val="24"/>
          <w:szCs w:val="24"/>
        </w:rPr>
        <w:t>Seth Chamberlain</w:t>
      </w:r>
    </w:p>
    <w:p w:rsidR="00EA4A65" w:rsidRPr="00EA4A65" w:rsidRDefault="00EA4A65" w:rsidP="00EA4A65">
      <w:pPr>
        <w:spacing w:after="0" w:line="240" w:lineRule="auto"/>
        <w:rPr>
          <w:rFonts w:asciiTheme="minorHAnsi" w:hAnsiTheme="minorHAnsi"/>
          <w:sz w:val="24"/>
          <w:szCs w:val="24"/>
        </w:rPr>
      </w:pPr>
      <w:r w:rsidRPr="00EA4A65">
        <w:rPr>
          <w:rFonts w:asciiTheme="minorHAnsi" w:hAnsiTheme="minorHAnsi"/>
          <w:sz w:val="24"/>
          <w:szCs w:val="24"/>
        </w:rPr>
        <w:t>Office of Planning, Research, and Evaluation</w:t>
      </w:r>
    </w:p>
    <w:p w:rsidR="00EA4A65" w:rsidRPr="00EA4A65" w:rsidRDefault="00EA4A65" w:rsidP="00EA4A65">
      <w:pPr>
        <w:spacing w:after="0" w:line="240" w:lineRule="auto"/>
        <w:rPr>
          <w:rFonts w:asciiTheme="minorHAnsi" w:hAnsiTheme="minorHAnsi"/>
          <w:sz w:val="24"/>
          <w:szCs w:val="24"/>
        </w:rPr>
      </w:pPr>
      <w:r w:rsidRPr="00EA4A65">
        <w:rPr>
          <w:rFonts w:asciiTheme="minorHAnsi" w:hAnsiTheme="minorHAnsi"/>
          <w:sz w:val="24"/>
          <w:szCs w:val="24"/>
        </w:rPr>
        <w:t>Administration for Children and Families</w:t>
      </w:r>
    </w:p>
    <w:p w:rsidR="00EA4A65" w:rsidRPr="00EA4A65" w:rsidRDefault="00EA4A65" w:rsidP="00EA4A65">
      <w:pPr>
        <w:spacing w:after="0" w:line="240" w:lineRule="auto"/>
        <w:rPr>
          <w:rFonts w:asciiTheme="minorHAnsi" w:hAnsiTheme="minorHAnsi"/>
          <w:sz w:val="24"/>
          <w:szCs w:val="24"/>
        </w:rPr>
      </w:pPr>
      <w:r w:rsidRPr="00EA4A65">
        <w:rPr>
          <w:rFonts w:asciiTheme="minorHAnsi" w:hAnsiTheme="minorHAnsi"/>
          <w:sz w:val="24"/>
          <w:szCs w:val="24"/>
        </w:rPr>
        <w:t>U.S. Department of Health and Human Services</w:t>
      </w:r>
    </w:p>
    <w:p w:rsidR="00EA4A65" w:rsidRPr="00EA4A65" w:rsidRDefault="00EA4A65" w:rsidP="00EA4A65">
      <w:pPr>
        <w:spacing w:after="0" w:line="240" w:lineRule="auto"/>
        <w:rPr>
          <w:rFonts w:asciiTheme="minorHAnsi" w:hAnsiTheme="minorHAnsi"/>
          <w:sz w:val="24"/>
          <w:szCs w:val="24"/>
        </w:rPr>
      </w:pPr>
      <w:r w:rsidRPr="00EA4A65">
        <w:rPr>
          <w:rFonts w:asciiTheme="minorHAnsi" w:hAnsiTheme="minorHAnsi"/>
          <w:sz w:val="24"/>
          <w:szCs w:val="24"/>
        </w:rPr>
        <w:t>(202) 260-2242</w:t>
      </w:r>
    </w:p>
    <w:p w:rsidR="00EA4A65" w:rsidRDefault="00EA4A65" w:rsidP="008D0FF3">
      <w:pPr>
        <w:spacing w:after="0" w:line="240" w:lineRule="auto"/>
        <w:rPr>
          <w:rFonts w:asciiTheme="minorHAnsi" w:hAnsiTheme="minorHAnsi"/>
          <w:sz w:val="24"/>
          <w:szCs w:val="24"/>
        </w:rPr>
      </w:pPr>
    </w:p>
    <w:p w:rsidR="00EA4A65" w:rsidRDefault="00EA4A65" w:rsidP="008D0FF3">
      <w:pPr>
        <w:spacing w:after="0" w:line="240" w:lineRule="auto"/>
        <w:rPr>
          <w:rFonts w:asciiTheme="minorHAnsi" w:hAnsiTheme="minorHAnsi"/>
          <w:sz w:val="24"/>
          <w:szCs w:val="24"/>
        </w:rPr>
      </w:pPr>
      <w:r>
        <w:rPr>
          <w:rFonts w:asciiTheme="minorHAnsi" w:hAnsiTheme="minorHAnsi"/>
          <w:sz w:val="24"/>
          <w:szCs w:val="24"/>
        </w:rPr>
        <w:t>Caryn Blitz</w:t>
      </w:r>
    </w:p>
    <w:p w:rsidR="00EA4A65" w:rsidRPr="00EA4A65" w:rsidRDefault="00EA4A65" w:rsidP="00EA4A65">
      <w:pPr>
        <w:spacing w:after="0" w:line="240" w:lineRule="auto"/>
        <w:rPr>
          <w:rFonts w:asciiTheme="minorHAnsi" w:hAnsiTheme="minorHAnsi"/>
          <w:sz w:val="24"/>
          <w:szCs w:val="24"/>
        </w:rPr>
      </w:pPr>
      <w:r w:rsidRPr="00EA4A65">
        <w:rPr>
          <w:rFonts w:asciiTheme="minorHAnsi" w:hAnsiTheme="minorHAnsi"/>
          <w:sz w:val="24"/>
          <w:szCs w:val="24"/>
        </w:rPr>
        <w:t>Office of the Commissioner</w:t>
      </w:r>
    </w:p>
    <w:p w:rsidR="00EA4A65" w:rsidRDefault="00EA4A65" w:rsidP="00EA4A65">
      <w:pPr>
        <w:spacing w:after="0" w:line="240" w:lineRule="auto"/>
        <w:rPr>
          <w:rFonts w:asciiTheme="minorHAnsi" w:hAnsiTheme="minorHAnsi"/>
          <w:sz w:val="24"/>
          <w:szCs w:val="24"/>
        </w:rPr>
      </w:pPr>
      <w:r w:rsidRPr="00EA4A65">
        <w:rPr>
          <w:rFonts w:asciiTheme="minorHAnsi" w:hAnsiTheme="minorHAnsi"/>
          <w:sz w:val="24"/>
          <w:szCs w:val="24"/>
        </w:rPr>
        <w:t>Administration on Children, Youth &amp; Families</w:t>
      </w:r>
    </w:p>
    <w:p w:rsidR="00EA4A65" w:rsidRPr="00EA4A65" w:rsidRDefault="00EA4A65" w:rsidP="00EA4A65">
      <w:pPr>
        <w:spacing w:after="0" w:line="240" w:lineRule="auto"/>
        <w:rPr>
          <w:rFonts w:asciiTheme="minorHAnsi" w:hAnsiTheme="minorHAnsi"/>
          <w:sz w:val="24"/>
          <w:szCs w:val="24"/>
        </w:rPr>
      </w:pPr>
      <w:r>
        <w:rPr>
          <w:rFonts w:asciiTheme="minorHAnsi" w:hAnsiTheme="minorHAnsi"/>
          <w:sz w:val="24"/>
          <w:szCs w:val="24"/>
        </w:rPr>
        <w:t>Administration for Children and Families</w:t>
      </w:r>
    </w:p>
    <w:p w:rsidR="00EA4A65" w:rsidRPr="00EA4A65" w:rsidRDefault="00EA4A65" w:rsidP="00EA4A65">
      <w:pPr>
        <w:spacing w:after="0" w:line="240" w:lineRule="auto"/>
        <w:rPr>
          <w:rFonts w:asciiTheme="minorHAnsi" w:hAnsiTheme="minorHAnsi"/>
          <w:sz w:val="24"/>
          <w:szCs w:val="24"/>
        </w:rPr>
      </w:pPr>
      <w:r w:rsidRPr="00EA4A65">
        <w:rPr>
          <w:rFonts w:asciiTheme="minorHAnsi" w:hAnsiTheme="minorHAnsi"/>
          <w:sz w:val="24"/>
          <w:szCs w:val="24"/>
        </w:rPr>
        <w:t>U</w:t>
      </w:r>
      <w:r>
        <w:rPr>
          <w:rFonts w:asciiTheme="minorHAnsi" w:hAnsiTheme="minorHAnsi"/>
          <w:sz w:val="24"/>
          <w:szCs w:val="24"/>
        </w:rPr>
        <w:t>.</w:t>
      </w:r>
      <w:r w:rsidRPr="00EA4A65">
        <w:rPr>
          <w:rFonts w:asciiTheme="minorHAnsi" w:hAnsiTheme="minorHAnsi"/>
          <w:sz w:val="24"/>
          <w:szCs w:val="24"/>
        </w:rPr>
        <w:t>S</w:t>
      </w:r>
      <w:r>
        <w:rPr>
          <w:rFonts w:asciiTheme="minorHAnsi" w:hAnsiTheme="minorHAnsi"/>
          <w:sz w:val="24"/>
          <w:szCs w:val="24"/>
        </w:rPr>
        <w:t>.</w:t>
      </w:r>
      <w:r w:rsidRPr="00EA4A65">
        <w:rPr>
          <w:rFonts w:asciiTheme="minorHAnsi" w:hAnsiTheme="minorHAnsi"/>
          <w:sz w:val="24"/>
          <w:szCs w:val="24"/>
        </w:rPr>
        <w:t xml:space="preserve"> Department of Health &amp; Human Services</w:t>
      </w:r>
    </w:p>
    <w:p w:rsidR="00EA4A65" w:rsidRPr="00EA4A65" w:rsidRDefault="00EA4A65" w:rsidP="00EA4A65">
      <w:pPr>
        <w:spacing w:after="0" w:line="240" w:lineRule="auto"/>
        <w:rPr>
          <w:rFonts w:asciiTheme="minorHAnsi" w:hAnsiTheme="minorHAnsi"/>
          <w:sz w:val="24"/>
          <w:szCs w:val="24"/>
        </w:rPr>
      </w:pPr>
      <w:r w:rsidRPr="00EA4A65">
        <w:rPr>
          <w:rFonts w:asciiTheme="minorHAnsi" w:hAnsiTheme="minorHAnsi"/>
          <w:sz w:val="24"/>
          <w:szCs w:val="24"/>
        </w:rPr>
        <w:t>(202) 401-9225</w:t>
      </w:r>
    </w:p>
    <w:p w:rsidR="00EA4A65" w:rsidRDefault="00EA4A65" w:rsidP="008D0FF3">
      <w:pPr>
        <w:spacing w:after="0" w:line="240" w:lineRule="auto"/>
        <w:rPr>
          <w:rFonts w:asciiTheme="minorHAnsi" w:hAnsiTheme="minorHAnsi"/>
          <w:sz w:val="24"/>
          <w:szCs w:val="24"/>
        </w:rPr>
      </w:pPr>
    </w:p>
    <w:p w:rsidR="00EA4A65" w:rsidRDefault="00EA4A65" w:rsidP="008D0FF3">
      <w:pPr>
        <w:spacing w:after="0" w:line="240" w:lineRule="auto"/>
        <w:rPr>
          <w:rFonts w:asciiTheme="minorHAnsi" w:hAnsiTheme="minorHAnsi"/>
          <w:sz w:val="24"/>
          <w:szCs w:val="24"/>
        </w:rPr>
      </w:pPr>
      <w:r>
        <w:rPr>
          <w:rFonts w:asciiTheme="minorHAnsi" w:hAnsiTheme="minorHAnsi"/>
          <w:sz w:val="24"/>
          <w:szCs w:val="24"/>
        </w:rPr>
        <w:t>Marc Clark</w:t>
      </w:r>
    </w:p>
    <w:p w:rsidR="00EA4A65" w:rsidRPr="00EA4A65" w:rsidRDefault="00EA4A65" w:rsidP="00EA4A65">
      <w:pPr>
        <w:spacing w:after="0" w:line="240" w:lineRule="auto"/>
        <w:rPr>
          <w:rFonts w:asciiTheme="minorHAnsi" w:hAnsiTheme="minorHAnsi"/>
          <w:sz w:val="24"/>
          <w:szCs w:val="24"/>
        </w:rPr>
      </w:pPr>
      <w:r w:rsidRPr="00EA4A65">
        <w:rPr>
          <w:rFonts w:asciiTheme="minorHAnsi" w:hAnsiTheme="minorHAnsi"/>
          <w:sz w:val="24"/>
          <w:szCs w:val="24"/>
        </w:rPr>
        <w:t>Division of Teen Pregnancy Prevention Programs</w:t>
      </w:r>
    </w:p>
    <w:p w:rsidR="00EA4A65" w:rsidRPr="00EA4A65" w:rsidRDefault="00EA4A65" w:rsidP="00EA4A65">
      <w:pPr>
        <w:spacing w:after="0" w:line="240" w:lineRule="auto"/>
        <w:rPr>
          <w:rFonts w:asciiTheme="minorHAnsi" w:hAnsiTheme="minorHAnsi"/>
          <w:sz w:val="24"/>
          <w:szCs w:val="24"/>
        </w:rPr>
      </w:pPr>
      <w:r w:rsidRPr="00EA4A65">
        <w:rPr>
          <w:rFonts w:asciiTheme="minorHAnsi" w:hAnsiTheme="minorHAnsi"/>
          <w:sz w:val="24"/>
          <w:szCs w:val="24"/>
        </w:rPr>
        <w:t>Family and Youth Services Bureau</w:t>
      </w:r>
    </w:p>
    <w:p w:rsidR="00EA4A65" w:rsidRDefault="00EA4A65" w:rsidP="00EA4A65">
      <w:pPr>
        <w:spacing w:after="0" w:line="240" w:lineRule="auto"/>
        <w:rPr>
          <w:rFonts w:asciiTheme="minorHAnsi" w:hAnsiTheme="minorHAnsi"/>
          <w:sz w:val="24"/>
          <w:szCs w:val="24"/>
        </w:rPr>
      </w:pPr>
      <w:r w:rsidRPr="00EA4A65">
        <w:rPr>
          <w:rFonts w:asciiTheme="minorHAnsi" w:hAnsiTheme="minorHAnsi"/>
          <w:sz w:val="24"/>
          <w:szCs w:val="24"/>
        </w:rPr>
        <w:t>Administration for Children and Families</w:t>
      </w:r>
    </w:p>
    <w:p w:rsidR="00EA4A65" w:rsidRPr="00EA4A65" w:rsidRDefault="00EA4A65" w:rsidP="00EA4A65">
      <w:pPr>
        <w:spacing w:after="0" w:line="240" w:lineRule="auto"/>
        <w:rPr>
          <w:rFonts w:asciiTheme="minorHAnsi" w:hAnsiTheme="minorHAnsi"/>
          <w:sz w:val="24"/>
          <w:szCs w:val="24"/>
        </w:rPr>
      </w:pPr>
      <w:r>
        <w:rPr>
          <w:rFonts w:asciiTheme="minorHAnsi" w:hAnsiTheme="minorHAnsi"/>
          <w:sz w:val="24"/>
          <w:szCs w:val="24"/>
        </w:rPr>
        <w:t>Administration for Children and Families</w:t>
      </w:r>
    </w:p>
    <w:p w:rsidR="00EA4A65" w:rsidRPr="00EA4A65" w:rsidRDefault="00EA4A65" w:rsidP="00EA4A65">
      <w:pPr>
        <w:spacing w:after="0" w:line="240" w:lineRule="auto"/>
        <w:rPr>
          <w:rFonts w:asciiTheme="minorHAnsi" w:hAnsiTheme="minorHAnsi"/>
          <w:sz w:val="24"/>
          <w:szCs w:val="24"/>
        </w:rPr>
      </w:pPr>
      <w:r>
        <w:rPr>
          <w:rFonts w:asciiTheme="minorHAnsi" w:hAnsiTheme="minorHAnsi"/>
          <w:sz w:val="24"/>
          <w:szCs w:val="24"/>
        </w:rPr>
        <w:t xml:space="preserve">U.S. </w:t>
      </w:r>
      <w:r w:rsidRPr="00EA4A65">
        <w:rPr>
          <w:rFonts w:asciiTheme="minorHAnsi" w:hAnsiTheme="minorHAnsi"/>
          <w:sz w:val="24"/>
          <w:szCs w:val="24"/>
        </w:rPr>
        <w:t>Department of Health &amp; Human Services</w:t>
      </w:r>
    </w:p>
    <w:p w:rsidR="00EA4A65" w:rsidRDefault="00EA4A65" w:rsidP="00EA4A65">
      <w:pPr>
        <w:spacing w:after="0" w:line="240" w:lineRule="auto"/>
        <w:rPr>
          <w:rFonts w:asciiTheme="minorHAnsi" w:hAnsiTheme="minorHAnsi"/>
          <w:sz w:val="24"/>
          <w:szCs w:val="24"/>
        </w:rPr>
      </w:pPr>
      <w:r>
        <w:rPr>
          <w:rFonts w:asciiTheme="minorHAnsi" w:hAnsiTheme="minorHAnsi"/>
          <w:sz w:val="24"/>
          <w:szCs w:val="24"/>
        </w:rPr>
        <w:t xml:space="preserve">(202) </w:t>
      </w:r>
      <w:r w:rsidRPr="00EA4A65">
        <w:rPr>
          <w:rFonts w:asciiTheme="minorHAnsi" w:hAnsiTheme="minorHAnsi"/>
          <w:sz w:val="24"/>
          <w:szCs w:val="24"/>
        </w:rPr>
        <w:t>205-8496</w:t>
      </w:r>
    </w:p>
    <w:p w:rsidR="00EA4A65" w:rsidRDefault="00EA4A65" w:rsidP="008D0FF3">
      <w:pPr>
        <w:spacing w:after="0" w:line="240" w:lineRule="auto"/>
        <w:rPr>
          <w:rFonts w:asciiTheme="minorHAnsi" w:hAnsiTheme="minorHAnsi"/>
          <w:sz w:val="24"/>
          <w:szCs w:val="24"/>
        </w:rPr>
      </w:pPr>
    </w:p>
    <w:p w:rsidR="00EA4A65" w:rsidRDefault="00EA4A65" w:rsidP="008D0FF3">
      <w:pPr>
        <w:spacing w:after="0" w:line="240" w:lineRule="auto"/>
        <w:rPr>
          <w:rFonts w:asciiTheme="minorHAnsi" w:hAnsiTheme="minorHAnsi"/>
          <w:sz w:val="24"/>
          <w:szCs w:val="24"/>
        </w:rPr>
      </w:pPr>
      <w:r>
        <w:rPr>
          <w:rFonts w:asciiTheme="minorHAnsi" w:hAnsiTheme="minorHAnsi"/>
          <w:sz w:val="24"/>
          <w:szCs w:val="24"/>
        </w:rPr>
        <w:t>Lisa Trivits</w:t>
      </w:r>
    </w:p>
    <w:p w:rsidR="00EA4A65" w:rsidRDefault="00EA4A65" w:rsidP="008D0FF3">
      <w:pPr>
        <w:spacing w:after="0" w:line="240" w:lineRule="auto"/>
        <w:rPr>
          <w:rFonts w:asciiTheme="minorHAnsi" w:hAnsiTheme="minorHAnsi"/>
          <w:sz w:val="24"/>
          <w:szCs w:val="24"/>
        </w:rPr>
      </w:pPr>
      <w:r>
        <w:rPr>
          <w:rFonts w:asciiTheme="minorHAnsi" w:hAnsiTheme="minorHAnsi"/>
          <w:sz w:val="24"/>
          <w:szCs w:val="24"/>
        </w:rPr>
        <w:t>Division of Children and Youth Policy</w:t>
      </w:r>
    </w:p>
    <w:p w:rsidR="00EA4A65" w:rsidRDefault="00EA4A65" w:rsidP="008D0FF3">
      <w:pPr>
        <w:spacing w:after="0" w:line="240" w:lineRule="auto"/>
        <w:rPr>
          <w:rFonts w:asciiTheme="minorHAnsi" w:hAnsiTheme="minorHAnsi"/>
          <w:sz w:val="24"/>
          <w:szCs w:val="24"/>
        </w:rPr>
      </w:pPr>
      <w:r>
        <w:rPr>
          <w:rFonts w:asciiTheme="minorHAnsi" w:hAnsiTheme="minorHAnsi"/>
          <w:sz w:val="24"/>
          <w:szCs w:val="24"/>
        </w:rPr>
        <w:t>Office of the Assistant Secretary for Planning and Evaluation</w:t>
      </w:r>
    </w:p>
    <w:p w:rsidR="00EA4A65" w:rsidRDefault="00EA4A65" w:rsidP="008D0FF3">
      <w:pPr>
        <w:spacing w:after="0" w:line="240" w:lineRule="auto"/>
        <w:rPr>
          <w:rFonts w:asciiTheme="minorHAnsi" w:hAnsiTheme="minorHAnsi"/>
          <w:sz w:val="24"/>
          <w:szCs w:val="24"/>
        </w:rPr>
      </w:pPr>
      <w:r>
        <w:rPr>
          <w:rFonts w:asciiTheme="minorHAnsi" w:hAnsiTheme="minorHAnsi"/>
          <w:sz w:val="24"/>
          <w:szCs w:val="24"/>
        </w:rPr>
        <w:t>U.S. Department of Health and Human Services</w:t>
      </w:r>
    </w:p>
    <w:p w:rsidR="00EA4A65" w:rsidRDefault="00EA4A65" w:rsidP="008D0FF3">
      <w:pPr>
        <w:spacing w:after="0" w:line="240" w:lineRule="auto"/>
        <w:rPr>
          <w:rFonts w:asciiTheme="minorHAnsi" w:hAnsiTheme="minorHAnsi"/>
          <w:sz w:val="24"/>
          <w:szCs w:val="24"/>
        </w:rPr>
      </w:pPr>
      <w:r>
        <w:rPr>
          <w:rFonts w:asciiTheme="minorHAnsi" w:hAnsiTheme="minorHAnsi"/>
          <w:sz w:val="24"/>
          <w:szCs w:val="24"/>
        </w:rPr>
        <w:t>(202) 205-5750</w:t>
      </w:r>
    </w:p>
    <w:p w:rsidR="00EA4A65" w:rsidRDefault="00EA4A65" w:rsidP="008D0FF3">
      <w:pPr>
        <w:spacing w:after="0" w:line="240" w:lineRule="auto"/>
        <w:rPr>
          <w:rFonts w:asciiTheme="minorHAnsi" w:hAnsiTheme="minorHAnsi"/>
          <w:sz w:val="24"/>
          <w:szCs w:val="24"/>
        </w:rPr>
      </w:pPr>
    </w:p>
    <w:p w:rsidR="00EA4A65" w:rsidRDefault="00EA4A65" w:rsidP="008D0FF3">
      <w:pPr>
        <w:spacing w:after="0" w:line="240" w:lineRule="auto"/>
        <w:rPr>
          <w:rFonts w:asciiTheme="minorHAnsi" w:hAnsiTheme="minorHAnsi"/>
          <w:sz w:val="24"/>
          <w:szCs w:val="24"/>
        </w:rPr>
      </w:pPr>
      <w:r>
        <w:rPr>
          <w:rFonts w:asciiTheme="minorHAnsi" w:hAnsiTheme="minorHAnsi"/>
          <w:sz w:val="24"/>
          <w:szCs w:val="24"/>
        </w:rPr>
        <w:t>Diana Tyson</w:t>
      </w:r>
    </w:p>
    <w:p w:rsidR="00EA4A65" w:rsidRDefault="00EA4A65" w:rsidP="00EA4A65">
      <w:pPr>
        <w:spacing w:after="0" w:line="240" w:lineRule="auto"/>
        <w:rPr>
          <w:rFonts w:asciiTheme="minorHAnsi" w:hAnsiTheme="minorHAnsi"/>
          <w:sz w:val="24"/>
          <w:szCs w:val="24"/>
        </w:rPr>
      </w:pPr>
      <w:r>
        <w:rPr>
          <w:rFonts w:asciiTheme="minorHAnsi" w:hAnsiTheme="minorHAnsi"/>
          <w:sz w:val="24"/>
          <w:szCs w:val="24"/>
        </w:rPr>
        <w:t>Division of Children and Youth Policy</w:t>
      </w:r>
    </w:p>
    <w:p w:rsidR="00EA4A65" w:rsidRDefault="00EA4A65" w:rsidP="00EA4A65">
      <w:pPr>
        <w:spacing w:after="0" w:line="240" w:lineRule="auto"/>
        <w:rPr>
          <w:rFonts w:asciiTheme="minorHAnsi" w:hAnsiTheme="minorHAnsi"/>
          <w:sz w:val="24"/>
          <w:szCs w:val="24"/>
        </w:rPr>
      </w:pPr>
      <w:r>
        <w:rPr>
          <w:rFonts w:asciiTheme="minorHAnsi" w:hAnsiTheme="minorHAnsi"/>
          <w:sz w:val="24"/>
          <w:szCs w:val="24"/>
        </w:rPr>
        <w:t>Office of the Assistant Secretary for Planning and Evaluation</w:t>
      </w:r>
    </w:p>
    <w:p w:rsidR="00EA4A65" w:rsidRDefault="00EA4A65" w:rsidP="00EA4A65">
      <w:pPr>
        <w:spacing w:after="0" w:line="240" w:lineRule="auto"/>
        <w:rPr>
          <w:rFonts w:asciiTheme="minorHAnsi" w:hAnsiTheme="minorHAnsi"/>
          <w:sz w:val="24"/>
          <w:szCs w:val="24"/>
        </w:rPr>
      </w:pPr>
      <w:r>
        <w:rPr>
          <w:rFonts w:asciiTheme="minorHAnsi" w:hAnsiTheme="minorHAnsi"/>
          <w:sz w:val="24"/>
          <w:szCs w:val="24"/>
        </w:rPr>
        <w:t>U.S. Department of Health and Human Services</w:t>
      </w:r>
    </w:p>
    <w:p w:rsidR="00EA4A65" w:rsidRDefault="00EA4A65" w:rsidP="00EA4A65">
      <w:pPr>
        <w:spacing w:after="0" w:line="240" w:lineRule="auto"/>
        <w:rPr>
          <w:rFonts w:asciiTheme="minorHAnsi" w:hAnsiTheme="minorHAnsi"/>
          <w:sz w:val="24"/>
          <w:szCs w:val="24"/>
        </w:rPr>
      </w:pPr>
      <w:r>
        <w:rPr>
          <w:rFonts w:asciiTheme="minorHAnsi" w:hAnsiTheme="minorHAnsi"/>
          <w:sz w:val="24"/>
          <w:szCs w:val="24"/>
        </w:rPr>
        <w:t>(202) 401-6670</w:t>
      </w:r>
    </w:p>
    <w:p w:rsidR="00EA4A65" w:rsidRDefault="00EA4A65" w:rsidP="008D0FF3">
      <w:pPr>
        <w:spacing w:after="0" w:line="240" w:lineRule="auto"/>
        <w:rPr>
          <w:rFonts w:asciiTheme="minorHAnsi" w:hAnsiTheme="minorHAnsi"/>
          <w:sz w:val="24"/>
          <w:szCs w:val="24"/>
        </w:rPr>
      </w:pPr>
    </w:p>
    <w:p w:rsidR="00EA4A65" w:rsidRDefault="00EA4A65" w:rsidP="008D0FF3">
      <w:pPr>
        <w:spacing w:after="0" w:line="240" w:lineRule="auto"/>
        <w:rPr>
          <w:rFonts w:asciiTheme="minorHAnsi" w:hAnsiTheme="minorHAnsi"/>
          <w:sz w:val="24"/>
          <w:szCs w:val="24"/>
        </w:rPr>
      </w:pPr>
      <w:r>
        <w:rPr>
          <w:rFonts w:asciiTheme="minorHAnsi" w:hAnsiTheme="minorHAnsi"/>
          <w:sz w:val="24"/>
          <w:szCs w:val="24"/>
        </w:rPr>
        <w:t>Amy Farb</w:t>
      </w:r>
    </w:p>
    <w:p w:rsidR="00EA4A65" w:rsidRDefault="00646BD2" w:rsidP="008D0FF3">
      <w:pPr>
        <w:spacing w:after="0" w:line="240" w:lineRule="auto"/>
        <w:rPr>
          <w:rFonts w:asciiTheme="minorHAnsi" w:hAnsiTheme="minorHAnsi"/>
          <w:sz w:val="24"/>
          <w:szCs w:val="24"/>
        </w:rPr>
      </w:pPr>
      <w:r>
        <w:rPr>
          <w:rFonts w:asciiTheme="minorHAnsi" w:hAnsiTheme="minorHAnsi"/>
          <w:sz w:val="24"/>
          <w:szCs w:val="24"/>
        </w:rPr>
        <w:t>Office of Adolescent Health</w:t>
      </w:r>
    </w:p>
    <w:p w:rsidR="00646BD2" w:rsidRDefault="00646BD2" w:rsidP="008D0FF3">
      <w:pPr>
        <w:spacing w:after="0" w:line="240" w:lineRule="auto"/>
        <w:rPr>
          <w:rFonts w:asciiTheme="minorHAnsi" w:hAnsiTheme="minorHAnsi"/>
          <w:sz w:val="24"/>
          <w:szCs w:val="24"/>
        </w:rPr>
      </w:pPr>
      <w:r>
        <w:rPr>
          <w:rFonts w:asciiTheme="minorHAnsi" w:hAnsiTheme="minorHAnsi"/>
          <w:sz w:val="24"/>
          <w:szCs w:val="24"/>
        </w:rPr>
        <w:t>Office of the Assistant Secretary for Health</w:t>
      </w:r>
    </w:p>
    <w:p w:rsidR="00646BD2" w:rsidRDefault="00646BD2" w:rsidP="008D0FF3">
      <w:pPr>
        <w:spacing w:after="0" w:line="240" w:lineRule="auto"/>
        <w:rPr>
          <w:rFonts w:asciiTheme="minorHAnsi" w:hAnsiTheme="minorHAnsi"/>
          <w:sz w:val="24"/>
          <w:szCs w:val="24"/>
        </w:rPr>
      </w:pPr>
      <w:r>
        <w:rPr>
          <w:rFonts w:asciiTheme="minorHAnsi" w:hAnsiTheme="minorHAnsi"/>
          <w:sz w:val="24"/>
          <w:szCs w:val="24"/>
        </w:rPr>
        <w:t>U.S. Department of Health and Human Services</w:t>
      </w:r>
    </w:p>
    <w:p w:rsidR="00646BD2" w:rsidRPr="008D0FF3" w:rsidRDefault="00646BD2" w:rsidP="008D0FF3">
      <w:pPr>
        <w:spacing w:after="0" w:line="240" w:lineRule="auto"/>
        <w:rPr>
          <w:rFonts w:asciiTheme="minorHAnsi" w:hAnsiTheme="minorHAnsi"/>
          <w:sz w:val="24"/>
          <w:szCs w:val="24"/>
        </w:rPr>
      </w:pPr>
      <w:r w:rsidRPr="00646BD2">
        <w:rPr>
          <w:rFonts w:asciiTheme="minorHAnsi" w:hAnsiTheme="minorHAnsi"/>
          <w:sz w:val="24"/>
          <w:szCs w:val="24"/>
        </w:rPr>
        <w:t>(240) 453-2836</w:t>
      </w:r>
    </w:p>
    <w:p w:rsidR="00E75322" w:rsidRPr="008D0FF3" w:rsidRDefault="00E75322" w:rsidP="00E75322">
      <w:pPr>
        <w:spacing w:line="240" w:lineRule="auto"/>
        <w:rPr>
          <w:rFonts w:asciiTheme="minorHAnsi" w:hAnsiTheme="minorHAnsi"/>
          <w:sz w:val="24"/>
          <w:szCs w:val="24"/>
        </w:rPr>
      </w:pPr>
    </w:p>
    <w:sectPr w:rsidR="00E75322" w:rsidRPr="008D0FF3" w:rsidSect="008D0FF3">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E36" w:rsidRDefault="00C84E36" w:rsidP="00945F7E">
      <w:pPr>
        <w:spacing w:after="0" w:line="240" w:lineRule="auto"/>
      </w:pPr>
      <w:r>
        <w:separator/>
      </w:r>
    </w:p>
  </w:endnote>
  <w:endnote w:type="continuationSeparator" w:id="0">
    <w:p w:rsidR="00C84E36" w:rsidRDefault="00C84E36" w:rsidP="00945F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E36" w:rsidRDefault="00C84E36" w:rsidP="00945F7E">
      <w:pPr>
        <w:spacing w:after="0" w:line="240" w:lineRule="auto"/>
      </w:pPr>
      <w:r>
        <w:separator/>
      </w:r>
    </w:p>
  </w:footnote>
  <w:footnote w:type="continuationSeparator" w:id="0">
    <w:p w:rsidR="00C84E36" w:rsidRDefault="00C84E36" w:rsidP="00945F7E">
      <w:pPr>
        <w:spacing w:after="0" w:line="240" w:lineRule="auto"/>
      </w:pPr>
      <w:r>
        <w:continuationSeparator/>
      </w:r>
    </w:p>
  </w:footnote>
  <w:footnote w:id="1">
    <w:p w:rsidR="00A51338" w:rsidRPr="000644C3" w:rsidRDefault="00A51338" w:rsidP="00945F7E">
      <w:pPr>
        <w:pStyle w:val="FootnoteText"/>
        <w:tabs>
          <w:tab w:val="clear" w:pos="432"/>
          <w:tab w:val="left" w:pos="0"/>
        </w:tabs>
        <w:spacing w:after="0"/>
        <w:ind w:firstLine="0"/>
        <w:rPr>
          <w:rFonts w:ascii="Times New Roman" w:hAnsi="Times New Roman"/>
          <w:sz w:val="16"/>
          <w:szCs w:val="16"/>
        </w:rPr>
      </w:pPr>
      <w:r>
        <w:rPr>
          <w:rStyle w:val="FootnoteReference"/>
          <w:rFonts w:eastAsia="Calibri"/>
        </w:rPr>
        <w:footnoteRef/>
      </w:r>
      <w:r>
        <w:t xml:space="preserve"> </w:t>
      </w:r>
      <w:r w:rsidRPr="000644C3">
        <w:rPr>
          <w:rFonts w:ascii="Times New Roman" w:hAnsi="Times New Roman"/>
          <w:sz w:val="16"/>
          <w:szCs w:val="16"/>
        </w:rPr>
        <w:t>PREP legislation outlines the six adulthood preparation subjects:</w:t>
      </w:r>
    </w:p>
    <w:p w:rsidR="00A51338" w:rsidRPr="000644C3" w:rsidRDefault="00A51338" w:rsidP="00945F7E">
      <w:pPr>
        <w:pStyle w:val="clause"/>
        <w:spacing w:before="0" w:beforeAutospacing="0" w:after="0" w:afterAutospacing="0"/>
        <w:ind w:left="720"/>
        <w:rPr>
          <w:sz w:val="16"/>
          <w:szCs w:val="16"/>
        </w:rPr>
      </w:pPr>
      <w:bookmarkStart w:id="0" w:name="act-513-b-2-c-i"/>
      <w:r w:rsidRPr="000644C3">
        <w:rPr>
          <w:sz w:val="16"/>
          <w:szCs w:val="16"/>
        </w:rPr>
        <w:t>(i)</w:t>
      </w:r>
      <w:bookmarkEnd w:id="0"/>
      <w:r>
        <w:rPr>
          <w:sz w:val="16"/>
          <w:szCs w:val="16"/>
          <w:vertAlign w:val="superscript"/>
        </w:rPr>
        <w:t xml:space="preserve"> </w:t>
      </w:r>
      <w:r w:rsidRPr="000644C3">
        <w:rPr>
          <w:sz w:val="16"/>
          <w:szCs w:val="16"/>
        </w:rPr>
        <w:t>Healthy relationships, Including, marriage and family interactions.</w:t>
      </w:r>
    </w:p>
    <w:p w:rsidR="00A51338" w:rsidRPr="000644C3" w:rsidRDefault="00A51338" w:rsidP="00945F7E">
      <w:pPr>
        <w:pStyle w:val="clause"/>
        <w:spacing w:before="0" w:beforeAutospacing="0" w:after="0" w:afterAutospacing="0"/>
        <w:ind w:left="720"/>
        <w:rPr>
          <w:sz w:val="16"/>
          <w:szCs w:val="16"/>
        </w:rPr>
      </w:pPr>
      <w:bookmarkStart w:id="1" w:name="act-513-b-2-c-ii"/>
      <w:r w:rsidRPr="000644C3">
        <w:rPr>
          <w:sz w:val="16"/>
          <w:szCs w:val="16"/>
        </w:rPr>
        <w:t>(ii)</w:t>
      </w:r>
      <w:bookmarkEnd w:id="1"/>
      <w:r w:rsidRPr="000644C3">
        <w:rPr>
          <w:sz w:val="16"/>
          <w:szCs w:val="16"/>
        </w:rPr>
        <w:t xml:space="preserve"> Adolescent development, such as the development of healthy attitudes and values about adolescent growth and development, body image, racial and ethnic diversity, and other related subjects.</w:t>
      </w:r>
    </w:p>
    <w:p w:rsidR="00A51338" w:rsidRPr="000644C3" w:rsidRDefault="00A51338" w:rsidP="00945F7E">
      <w:pPr>
        <w:pStyle w:val="clause"/>
        <w:spacing w:before="0" w:beforeAutospacing="0" w:after="0" w:afterAutospacing="0"/>
        <w:ind w:left="720"/>
        <w:rPr>
          <w:sz w:val="16"/>
          <w:szCs w:val="16"/>
        </w:rPr>
      </w:pPr>
      <w:bookmarkStart w:id="2" w:name="act-513-b-2-c-iii"/>
      <w:r w:rsidRPr="000644C3">
        <w:rPr>
          <w:sz w:val="16"/>
          <w:szCs w:val="16"/>
        </w:rPr>
        <w:t>(iii)</w:t>
      </w:r>
      <w:bookmarkEnd w:id="2"/>
      <w:r w:rsidRPr="000644C3">
        <w:rPr>
          <w:sz w:val="16"/>
          <w:szCs w:val="16"/>
        </w:rPr>
        <w:t xml:space="preserve"> Financial literacy.</w:t>
      </w:r>
    </w:p>
    <w:p w:rsidR="00A51338" w:rsidRPr="000644C3" w:rsidRDefault="00A51338" w:rsidP="00945F7E">
      <w:pPr>
        <w:pStyle w:val="clause"/>
        <w:spacing w:before="0" w:beforeAutospacing="0" w:after="0" w:afterAutospacing="0"/>
        <w:ind w:left="720"/>
        <w:rPr>
          <w:sz w:val="16"/>
          <w:szCs w:val="16"/>
        </w:rPr>
      </w:pPr>
      <w:bookmarkStart w:id="3" w:name="act-513-b-2-c-iv"/>
      <w:proofErr w:type="gramStart"/>
      <w:r w:rsidRPr="000644C3">
        <w:rPr>
          <w:sz w:val="16"/>
          <w:szCs w:val="16"/>
        </w:rPr>
        <w:t>(iv)</w:t>
      </w:r>
      <w:bookmarkEnd w:id="3"/>
      <w:r w:rsidRPr="000644C3">
        <w:rPr>
          <w:sz w:val="16"/>
          <w:szCs w:val="16"/>
        </w:rPr>
        <w:t xml:space="preserve"> Parent-child</w:t>
      </w:r>
      <w:proofErr w:type="gramEnd"/>
      <w:r w:rsidRPr="000644C3">
        <w:rPr>
          <w:sz w:val="16"/>
          <w:szCs w:val="16"/>
        </w:rPr>
        <w:t xml:space="preserve"> communication.</w:t>
      </w:r>
    </w:p>
    <w:p w:rsidR="00A51338" w:rsidRPr="000644C3" w:rsidRDefault="00A51338" w:rsidP="00945F7E">
      <w:pPr>
        <w:pStyle w:val="clause"/>
        <w:spacing w:before="0" w:beforeAutospacing="0" w:after="0" w:afterAutospacing="0"/>
        <w:ind w:left="720"/>
        <w:rPr>
          <w:sz w:val="16"/>
          <w:szCs w:val="16"/>
        </w:rPr>
      </w:pPr>
      <w:bookmarkStart w:id="4" w:name="act-513-b-2-c-v"/>
      <w:r w:rsidRPr="000644C3">
        <w:rPr>
          <w:sz w:val="16"/>
          <w:szCs w:val="16"/>
        </w:rPr>
        <w:t>(v)</w:t>
      </w:r>
      <w:bookmarkEnd w:id="4"/>
      <w:r w:rsidRPr="000644C3">
        <w:rPr>
          <w:sz w:val="16"/>
          <w:szCs w:val="16"/>
        </w:rPr>
        <w:t xml:space="preserve"> Educational and career success, such as developing skills for employment preparation, job seeking, independent living, financial self-sufficiency, and workplace productivity.</w:t>
      </w:r>
    </w:p>
    <w:p w:rsidR="00A51338" w:rsidRDefault="00A51338" w:rsidP="00945F7E">
      <w:pPr>
        <w:pStyle w:val="clause"/>
        <w:spacing w:before="0" w:beforeAutospacing="0" w:after="0" w:afterAutospacing="0"/>
        <w:ind w:left="720"/>
      </w:pPr>
      <w:bookmarkStart w:id="5" w:name="act-513-b-2-c-vi"/>
      <w:proofErr w:type="gramStart"/>
      <w:r w:rsidRPr="000644C3">
        <w:rPr>
          <w:sz w:val="16"/>
          <w:szCs w:val="16"/>
        </w:rPr>
        <w:t>(vi)</w:t>
      </w:r>
      <w:bookmarkEnd w:id="5"/>
      <w:r w:rsidRPr="000644C3">
        <w:rPr>
          <w:sz w:val="16"/>
          <w:szCs w:val="16"/>
        </w:rPr>
        <w:t xml:space="preserve"> Healthy</w:t>
      </w:r>
      <w:proofErr w:type="gramEnd"/>
      <w:r w:rsidRPr="000644C3">
        <w:rPr>
          <w:sz w:val="16"/>
          <w:szCs w:val="16"/>
        </w:rPr>
        <w:t xml:space="preserve"> life skills, such as goal-setting, decision making, negotiation, communication and interpersonal skills, and stress management.</w:t>
      </w:r>
    </w:p>
  </w:footnote>
  <w:footnote w:id="2">
    <w:p w:rsidR="0036381B" w:rsidRDefault="0036381B" w:rsidP="0036381B">
      <w:pPr>
        <w:pStyle w:val="FootnoteText"/>
      </w:pPr>
      <w:r>
        <w:rPr>
          <w:rStyle w:val="FootnoteReference"/>
        </w:rPr>
        <w:footnoteRef/>
      </w:r>
      <w:r>
        <w:t xml:space="preserve">   See the State Personal Responsibility Education Program (PREP) Funding Opportunity Announcement (p. 11), available at </w:t>
      </w:r>
      <w:r w:rsidRPr="00A51338">
        <w:t>http://www.acf.hhs.gov/grants/open/foa/view/HHS-2010-ACF-ACYF-PREP-0125</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916DD"/>
    <w:multiLevelType w:val="hybridMultilevel"/>
    <w:tmpl w:val="BDCE35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97C528C"/>
    <w:multiLevelType w:val="hybridMultilevel"/>
    <w:tmpl w:val="3D5C85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C71B3"/>
    <w:rsid w:val="00065743"/>
    <w:rsid w:val="000B2EF8"/>
    <w:rsid w:val="000E7A38"/>
    <w:rsid w:val="000F5DD9"/>
    <w:rsid w:val="00145EF5"/>
    <w:rsid w:val="00166E21"/>
    <w:rsid w:val="00182901"/>
    <w:rsid w:val="001A71DC"/>
    <w:rsid w:val="001B3B56"/>
    <w:rsid w:val="001F476D"/>
    <w:rsid w:val="0024105F"/>
    <w:rsid w:val="002F5EC0"/>
    <w:rsid w:val="00362517"/>
    <w:rsid w:val="0036381B"/>
    <w:rsid w:val="003D692D"/>
    <w:rsid w:val="003D6BA4"/>
    <w:rsid w:val="003F0F74"/>
    <w:rsid w:val="00425D54"/>
    <w:rsid w:val="00453EF4"/>
    <w:rsid w:val="005B6AEA"/>
    <w:rsid w:val="005F2C59"/>
    <w:rsid w:val="00646BD2"/>
    <w:rsid w:val="00672A13"/>
    <w:rsid w:val="0067757C"/>
    <w:rsid w:val="00702181"/>
    <w:rsid w:val="007C3028"/>
    <w:rsid w:val="008020A8"/>
    <w:rsid w:val="00813D13"/>
    <w:rsid w:val="00841642"/>
    <w:rsid w:val="00883618"/>
    <w:rsid w:val="008966AE"/>
    <w:rsid w:val="008A5F39"/>
    <w:rsid w:val="008D0FF3"/>
    <w:rsid w:val="00945F7E"/>
    <w:rsid w:val="009622FF"/>
    <w:rsid w:val="00962377"/>
    <w:rsid w:val="0097425B"/>
    <w:rsid w:val="00987F63"/>
    <w:rsid w:val="00990725"/>
    <w:rsid w:val="009D67BB"/>
    <w:rsid w:val="00A04D63"/>
    <w:rsid w:val="00A054AB"/>
    <w:rsid w:val="00A51338"/>
    <w:rsid w:val="00A75CD8"/>
    <w:rsid w:val="00AA2EAD"/>
    <w:rsid w:val="00AE050F"/>
    <w:rsid w:val="00B8424E"/>
    <w:rsid w:val="00BE4BAD"/>
    <w:rsid w:val="00C84E36"/>
    <w:rsid w:val="00CC7CEA"/>
    <w:rsid w:val="00D02D60"/>
    <w:rsid w:val="00D334C3"/>
    <w:rsid w:val="00D72A26"/>
    <w:rsid w:val="00DC6D2F"/>
    <w:rsid w:val="00E75322"/>
    <w:rsid w:val="00EA4A65"/>
    <w:rsid w:val="00EC71B3"/>
    <w:rsid w:val="00ED4571"/>
    <w:rsid w:val="00ED6797"/>
    <w:rsid w:val="00F030D4"/>
    <w:rsid w:val="00F05384"/>
    <w:rsid w:val="00F803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1B3"/>
    <w:pPr>
      <w:spacing w:after="20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EC71B3"/>
    <w:rPr>
      <w:rFonts w:cs="Times New Roman"/>
      <w:i/>
      <w:iCs/>
    </w:rPr>
  </w:style>
  <w:style w:type="paragraph" w:customStyle="1" w:styleId="NormalSS12">
    <w:name w:val="NormalSS 12"/>
    <w:basedOn w:val="Normal"/>
    <w:uiPriority w:val="99"/>
    <w:rsid w:val="003D6BA4"/>
    <w:pPr>
      <w:tabs>
        <w:tab w:val="left" w:pos="432"/>
      </w:tabs>
      <w:spacing w:after="240" w:line="240" w:lineRule="auto"/>
      <w:ind w:firstLine="432"/>
      <w:jc w:val="both"/>
    </w:pPr>
    <w:rPr>
      <w:rFonts w:ascii="Garamond" w:eastAsia="Times New Roman" w:hAnsi="Garamond"/>
      <w:sz w:val="24"/>
      <w:szCs w:val="24"/>
    </w:rPr>
  </w:style>
  <w:style w:type="paragraph" w:styleId="BalloonText">
    <w:name w:val="Balloon Text"/>
    <w:basedOn w:val="Normal"/>
    <w:link w:val="BalloonTextChar"/>
    <w:uiPriority w:val="99"/>
    <w:semiHidden/>
    <w:unhideWhenUsed/>
    <w:rsid w:val="001B3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B56"/>
    <w:rPr>
      <w:rFonts w:ascii="Tahoma" w:eastAsia="Calibri" w:hAnsi="Tahoma" w:cs="Tahoma"/>
      <w:sz w:val="16"/>
      <w:szCs w:val="16"/>
    </w:rPr>
  </w:style>
  <w:style w:type="character" w:styleId="CommentReference">
    <w:name w:val="annotation reference"/>
    <w:basedOn w:val="DefaultParagraphFont"/>
    <w:uiPriority w:val="99"/>
    <w:semiHidden/>
    <w:unhideWhenUsed/>
    <w:rsid w:val="001B3B56"/>
    <w:rPr>
      <w:sz w:val="16"/>
      <w:szCs w:val="16"/>
    </w:rPr>
  </w:style>
  <w:style w:type="paragraph" w:styleId="CommentText">
    <w:name w:val="annotation text"/>
    <w:basedOn w:val="Normal"/>
    <w:link w:val="CommentTextChar"/>
    <w:uiPriority w:val="99"/>
    <w:semiHidden/>
    <w:unhideWhenUsed/>
    <w:rsid w:val="001B3B56"/>
    <w:pPr>
      <w:spacing w:line="240" w:lineRule="auto"/>
    </w:pPr>
    <w:rPr>
      <w:sz w:val="20"/>
      <w:szCs w:val="20"/>
    </w:rPr>
  </w:style>
  <w:style w:type="character" w:customStyle="1" w:styleId="CommentTextChar">
    <w:name w:val="Comment Text Char"/>
    <w:basedOn w:val="DefaultParagraphFont"/>
    <w:link w:val="CommentText"/>
    <w:uiPriority w:val="99"/>
    <w:semiHidden/>
    <w:rsid w:val="001B3B5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B3B56"/>
    <w:rPr>
      <w:b/>
      <w:bCs/>
    </w:rPr>
  </w:style>
  <w:style w:type="character" w:customStyle="1" w:styleId="CommentSubjectChar">
    <w:name w:val="Comment Subject Char"/>
    <w:basedOn w:val="CommentTextChar"/>
    <w:link w:val="CommentSubject"/>
    <w:uiPriority w:val="99"/>
    <w:semiHidden/>
    <w:rsid w:val="001B3B56"/>
    <w:rPr>
      <w:rFonts w:ascii="Calibri" w:eastAsia="Calibri" w:hAnsi="Calibri" w:cs="Times New Roman"/>
      <w:b/>
      <w:bCs/>
      <w:sz w:val="20"/>
      <w:szCs w:val="20"/>
    </w:rPr>
  </w:style>
  <w:style w:type="paragraph" w:styleId="FootnoteText">
    <w:name w:val="footnote text"/>
    <w:aliases w:val="F1"/>
    <w:basedOn w:val="Normal"/>
    <w:link w:val="FootnoteTextChar"/>
    <w:rsid w:val="00945F7E"/>
    <w:pPr>
      <w:tabs>
        <w:tab w:val="left" w:pos="432"/>
      </w:tabs>
      <w:spacing w:after="120" w:line="240" w:lineRule="auto"/>
      <w:ind w:firstLine="432"/>
      <w:jc w:val="both"/>
    </w:pPr>
    <w:rPr>
      <w:rFonts w:ascii="Garamond" w:eastAsia="Times New Roman" w:hAnsi="Garamond"/>
      <w:sz w:val="20"/>
      <w:szCs w:val="24"/>
    </w:rPr>
  </w:style>
  <w:style w:type="character" w:customStyle="1" w:styleId="FootnoteTextChar">
    <w:name w:val="Footnote Text Char"/>
    <w:aliases w:val="F1 Char"/>
    <w:basedOn w:val="DefaultParagraphFont"/>
    <w:link w:val="FootnoteText"/>
    <w:rsid w:val="00945F7E"/>
    <w:rPr>
      <w:rFonts w:ascii="Garamond" w:eastAsia="Times New Roman" w:hAnsi="Garamond" w:cs="Times New Roman"/>
      <w:sz w:val="20"/>
      <w:szCs w:val="24"/>
    </w:rPr>
  </w:style>
  <w:style w:type="character" w:styleId="FootnoteReference">
    <w:name w:val="footnote reference"/>
    <w:basedOn w:val="DefaultParagraphFont"/>
    <w:uiPriority w:val="99"/>
    <w:rsid w:val="00945F7E"/>
    <w:rPr>
      <w:rFonts w:cs="Times New Roman"/>
      <w:spacing w:val="0"/>
      <w:position w:val="0"/>
      <w:u w:color="000080"/>
      <w:effect w:val="none"/>
      <w:vertAlign w:val="superscript"/>
    </w:rPr>
  </w:style>
  <w:style w:type="paragraph" w:customStyle="1" w:styleId="clause">
    <w:name w:val="clause"/>
    <w:basedOn w:val="Normal"/>
    <w:rsid w:val="00945F7E"/>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1A71DC"/>
    <w:pPr>
      <w:ind w:left="720"/>
      <w:contextualSpacing/>
    </w:pPr>
  </w:style>
  <w:style w:type="character" w:styleId="Hyperlink">
    <w:name w:val="Hyperlink"/>
    <w:basedOn w:val="DefaultParagraphFont"/>
    <w:uiPriority w:val="99"/>
    <w:unhideWhenUsed/>
    <w:rsid w:val="00F053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1B3"/>
    <w:pPr>
      <w:spacing w:after="20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EC71B3"/>
    <w:rPr>
      <w:rFonts w:cs="Times New Roman"/>
      <w:i/>
      <w:iCs/>
    </w:rPr>
  </w:style>
  <w:style w:type="paragraph" w:customStyle="1" w:styleId="NormalSS12">
    <w:name w:val="NormalSS 12"/>
    <w:basedOn w:val="Normal"/>
    <w:uiPriority w:val="99"/>
    <w:rsid w:val="003D6BA4"/>
    <w:pPr>
      <w:tabs>
        <w:tab w:val="left" w:pos="432"/>
      </w:tabs>
      <w:spacing w:after="240" w:line="240" w:lineRule="auto"/>
      <w:ind w:firstLine="432"/>
      <w:jc w:val="both"/>
    </w:pPr>
    <w:rPr>
      <w:rFonts w:ascii="Garamond" w:eastAsia="Times New Roman" w:hAnsi="Garamond"/>
      <w:sz w:val="24"/>
      <w:szCs w:val="24"/>
    </w:rPr>
  </w:style>
  <w:style w:type="paragraph" w:styleId="BalloonText">
    <w:name w:val="Balloon Text"/>
    <w:basedOn w:val="Normal"/>
    <w:link w:val="BalloonTextChar"/>
    <w:uiPriority w:val="99"/>
    <w:semiHidden/>
    <w:unhideWhenUsed/>
    <w:rsid w:val="001B3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B56"/>
    <w:rPr>
      <w:rFonts w:ascii="Tahoma" w:eastAsia="Calibri" w:hAnsi="Tahoma" w:cs="Tahoma"/>
      <w:sz w:val="16"/>
      <w:szCs w:val="16"/>
    </w:rPr>
  </w:style>
  <w:style w:type="character" w:styleId="CommentReference">
    <w:name w:val="annotation reference"/>
    <w:basedOn w:val="DefaultParagraphFont"/>
    <w:uiPriority w:val="99"/>
    <w:semiHidden/>
    <w:unhideWhenUsed/>
    <w:rsid w:val="001B3B56"/>
    <w:rPr>
      <w:sz w:val="16"/>
      <w:szCs w:val="16"/>
    </w:rPr>
  </w:style>
  <w:style w:type="paragraph" w:styleId="CommentText">
    <w:name w:val="annotation text"/>
    <w:basedOn w:val="Normal"/>
    <w:link w:val="CommentTextChar"/>
    <w:uiPriority w:val="99"/>
    <w:semiHidden/>
    <w:unhideWhenUsed/>
    <w:rsid w:val="001B3B56"/>
    <w:pPr>
      <w:spacing w:line="240" w:lineRule="auto"/>
    </w:pPr>
    <w:rPr>
      <w:sz w:val="20"/>
      <w:szCs w:val="20"/>
    </w:rPr>
  </w:style>
  <w:style w:type="character" w:customStyle="1" w:styleId="CommentTextChar">
    <w:name w:val="Comment Text Char"/>
    <w:basedOn w:val="DefaultParagraphFont"/>
    <w:link w:val="CommentText"/>
    <w:uiPriority w:val="99"/>
    <w:semiHidden/>
    <w:rsid w:val="001B3B5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B3B56"/>
    <w:rPr>
      <w:b/>
      <w:bCs/>
    </w:rPr>
  </w:style>
  <w:style w:type="character" w:customStyle="1" w:styleId="CommentSubjectChar">
    <w:name w:val="Comment Subject Char"/>
    <w:basedOn w:val="CommentTextChar"/>
    <w:link w:val="CommentSubject"/>
    <w:uiPriority w:val="99"/>
    <w:semiHidden/>
    <w:rsid w:val="001B3B56"/>
    <w:rPr>
      <w:rFonts w:ascii="Calibri" w:eastAsia="Calibri" w:hAnsi="Calibri" w:cs="Times New Roman"/>
      <w:b/>
      <w:bCs/>
      <w:sz w:val="20"/>
      <w:szCs w:val="20"/>
    </w:rPr>
  </w:style>
  <w:style w:type="paragraph" w:styleId="FootnoteText">
    <w:name w:val="footnote text"/>
    <w:aliases w:val="F1"/>
    <w:basedOn w:val="Normal"/>
    <w:link w:val="FootnoteTextChar"/>
    <w:rsid w:val="00945F7E"/>
    <w:pPr>
      <w:tabs>
        <w:tab w:val="left" w:pos="432"/>
      </w:tabs>
      <w:spacing w:after="120" w:line="240" w:lineRule="auto"/>
      <w:ind w:firstLine="432"/>
      <w:jc w:val="both"/>
    </w:pPr>
    <w:rPr>
      <w:rFonts w:ascii="Garamond" w:eastAsia="Times New Roman" w:hAnsi="Garamond"/>
      <w:sz w:val="20"/>
      <w:szCs w:val="24"/>
    </w:rPr>
  </w:style>
  <w:style w:type="character" w:customStyle="1" w:styleId="FootnoteTextChar">
    <w:name w:val="Footnote Text Char"/>
    <w:aliases w:val="F1 Char"/>
    <w:basedOn w:val="DefaultParagraphFont"/>
    <w:link w:val="FootnoteText"/>
    <w:rsid w:val="00945F7E"/>
    <w:rPr>
      <w:rFonts w:ascii="Garamond" w:eastAsia="Times New Roman" w:hAnsi="Garamond" w:cs="Times New Roman"/>
      <w:sz w:val="20"/>
      <w:szCs w:val="24"/>
    </w:rPr>
  </w:style>
  <w:style w:type="character" w:styleId="FootnoteReference">
    <w:name w:val="footnote reference"/>
    <w:basedOn w:val="DefaultParagraphFont"/>
    <w:uiPriority w:val="99"/>
    <w:rsid w:val="00945F7E"/>
    <w:rPr>
      <w:rFonts w:cs="Times New Roman"/>
      <w:spacing w:val="0"/>
      <w:position w:val="0"/>
      <w:u w:color="000080"/>
      <w:effect w:val="none"/>
      <w:vertAlign w:val="superscript"/>
    </w:rPr>
  </w:style>
  <w:style w:type="paragraph" w:customStyle="1" w:styleId="clause">
    <w:name w:val="clause"/>
    <w:basedOn w:val="Normal"/>
    <w:rsid w:val="00945F7E"/>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A1507-E249-4F81-880A-D3A094316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1271</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Reimherr</dc:creator>
  <cp:lastModifiedBy>ctac</cp:lastModifiedBy>
  <cp:revision>2</cp:revision>
  <dcterms:created xsi:type="dcterms:W3CDTF">2012-03-06T20:17:00Z</dcterms:created>
  <dcterms:modified xsi:type="dcterms:W3CDTF">2012-03-06T20:17:00Z</dcterms:modified>
</cp:coreProperties>
</file>