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FB7" w:rsidRDefault="00907FB7" w:rsidP="00907FB7">
      <w:pPr>
        <w:jc w:val="center"/>
        <w:outlineLvl w:val="0"/>
        <w:rPr>
          <w:rFonts w:ascii="Times New Roman" w:hAnsi="Times New Roman"/>
          <w:b/>
        </w:rPr>
      </w:pPr>
      <w:r w:rsidRPr="00521AEB">
        <w:rPr>
          <w:rFonts w:ascii="Times New Roman" w:hAnsi="Times New Roman"/>
          <w:b/>
        </w:rPr>
        <w:t>Supporting Statement</w:t>
      </w:r>
      <w:r w:rsidR="00074AC3">
        <w:rPr>
          <w:rFonts w:ascii="Times New Roman" w:hAnsi="Times New Roman"/>
          <w:b/>
        </w:rPr>
        <w:t xml:space="preserve"> for Form SSA-4588 </w:t>
      </w:r>
      <w:r w:rsidR="00C81639">
        <w:rPr>
          <w:rFonts w:ascii="Times New Roman" w:hAnsi="Times New Roman"/>
          <w:b/>
        </w:rPr>
        <w:t>and</w:t>
      </w:r>
    </w:p>
    <w:p w:rsidR="00C81639" w:rsidRPr="00521AEB" w:rsidRDefault="00C81639" w:rsidP="00907FB7">
      <w:pPr>
        <w:jc w:val="center"/>
        <w:outlineLvl w:val="0"/>
        <w:rPr>
          <w:rFonts w:ascii="Times New Roman" w:hAnsi="Times New Roman"/>
          <w:b/>
        </w:rPr>
      </w:pPr>
      <w:r>
        <w:rPr>
          <w:rFonts w:ascii="Times New Roman" w:hAnsi="Times New Roman"/>
          <w:b/>
        </w:rPr>
        <w:t>One-Time Payment Electronic Application</w:t>
      </w:r>
    </w:p>
    <w:p w:rsidR="00907FB7" w:rsidRPr="00521AEB" w:rsidRDefault="00907FB7" w:rsidP="00907FB7">
      <w:pPr>
        <w:jc w:val="center"/>
        <w:outlineLvl w:val="0"/>
        <w:rPr>
          <w:rFonts w:ascii="Times New Roman" w:hAnsi="Times New Roman"/>
          <w:b/>
        </w:rPr>
      </w:pPr>
      <w:r w:rsidRPr="00521AEB">
        <w:rPr>
          <w:rFonts w:ascii="Times New Roman" w:hAnsi="Times New Roman"/>
          <w:b/>
        </w:rPr>
        <w:t>You Can Make Your Payment by Credit Card</w:t>
      </w:r>
    </w:p>
    <w:p w:rsidR="00907FB7" w:rsidRPr="00521AEB" w:rsidRDefault="00907FB7" w:rsidP="00907FB7">
      <w:pPr>
        <w:jc w:val="center"/>
        <w:outlineLvl w:val="0"/>
        <w:rPr>
          <w:rFonts w:ascii="Times New Roman" w:hAnsi="Times New Roman"/>
          <w:b/>
        </w:rPr>
      </w:pPr>
      <w:r w:rsidRPr="00521AEB">
        <w:rPr>
          <w:rFonts w:ascii="Times New Roman" w:hAnsi="Times New Roman"/>
          <w:b/>
        </w:rPr>
        <w:t>OMB Control No. 0960-0462</w:t>
      </w:r>
    </w:p>
    <w:p w:rsidR="00907FB7" w:rsidRPr="00521AEB" w:rsidRDefault="00907FB7" w:rsidP="00907FB7">
      <w:pPr>
        <w:jc w:val="center"/>
        <w:rPr>
          <w:rFonts w:ascii="Times New Roman" w:hAnsi="Times New Roman"/>
          <w:b/>
        </w:rPr>
      </w:pPr>
      <w:r w:rsidRPr="00521AEB">
        <w:rPr>
          <w:rFonts w:ascii="Times New Roman" w:hAnsi="Times New Roman"/>
          <w:b/>
        </w:rPr>
        <w:t xml:space="preserve">                                                                                                                                                                                                                                                    </w:t>
      </w:r>
    </w:p>
    <w:p w:rsidR="00907FB7" w:rsidRPr="00521AEB" w:rsidRDefault="00907FB7" w:rsidP="00907FB7">
      <w:pPr>
        <w:jc w:val="center"/>
        <w:rPr>
          <w:rFonts w:ascii="Times New Roman" w:hAnsi="Times New Roman"/>
          <w:b/>
        </w:rPr>
      </w:pPr>
    </w:p>
    <w:p w:rsidR="00907FB7" w:rsidRPr="00521AEB" w:rsidRDefault="00907FB7" w:rsidP="00907FB7">
      <w:pPr>
        <w:outlineLvl w:val="0"/>
        <w:rPr>
          <w:rFonts w:ascii="Times New Roman" w:hAnsi="Times New Roman"/>
          <w:b/>
          <w:bCs/>
        </w:rPr>
      </w:pPr>
      <w:r w:rsidRPr="00521AEB">
        <w:rPr>
          <w:rFonts w:ascii="Times New Roman" w:hAnsi="Times New Roman"/>
          <w:b/>
          <w:bCs/>
        </w:rPr>
        <w:t>A.</w:t>
      </w:r>
      <w:r w:rsidRPr="00521AEB">
        <w:rPr>
          <w:rFonts w:ascii="Times New Roman" w:hAnsi="Times New Roman"/>
          <w:b/>
          <w:bCs/>
        </w:rPr>
        <w:tab/>
      </w:r>
      <w:r w:rsidRPr="00521AEB">
        <w:rPr>
          <w:rFonts w:ascii="Times New Roman" w:hAnsi="Times New Roman"/>
          <w:b/>
          <w:bCs/>
          <w:u w:val="single"/>
        </w:rPr>
        <w:t>Justification</w:t>
      </w:r>
    </w:p>
    <w:p w:rsidR="00907FB7" w:rsidRPr="00521AEB" w:rsidRDefault="00907FB7" w:rsidP="00907FB7">
      <w:pPr>
        <w:rPr>
          <w:rFonts w:ascii="Times New Roman" w:hAnsi="Times New Roman"/>
          <w:u w:val="single"/>
        </w:rPr>
      </w:pPr>
    </w:p>
    <w:p w:rsidR="00907FB7" w:rsidRPr="00AC7E40" w:rsidRDefault="00C67286" w:rsidP="00907FB7">
      <w:pPr>
        <w:numPr>
          <w:ilvl w:val="0"/>
          <w:numId w:val="1"/>
        </w:numPr>
        <w:rPr>
          <w:rFonts w:ascii="Times New Roman" w:hAnsi="Times New Roman"/>
          <w:b/>
          <w:snapToGrid w:val="0"/>
          <w:color w:val="000000"/>
        </w:rPr>
      </w:pPr>
      <w:r w:rsidRPr="00AC7E40">
        <w:rPr>
          <w:rFonts w:ascii="Times New Roman" w:hAnsi="Times New Roman"/>
          <w:b/>
          <w:bCs/>
        </w:rPr>
        <w:t>Introduction/Authoring Laws and Regulations -</w:t>
      </w:r>
      <w:r w:rsidR="00907FB7" w:rsidRPr="00AC7E40">
        <w:rPr>
          <w:rFonts w:ascii="Times New Roman" w:hAnsi="Times New Roman"/>
          <w:snapToGrid w:val="0"/>
          <w:color w:val="000000"/>
        </w:rPr>
        <w:t xml:space="preserve">Sections </w:t>
      </w:r>
      <w:r w:rsidR="00907FB7" w:rsidRPr="00AC7E40">
        <w:rPr>
          <w:rFonts w:ascii="Times New Roman" w:hAnsi="Times New Roman"/>
          <w:i/>
          <w:snapToGrid w:val="0"/>
          <w:color w:val="000000"/>
        </w:rPr>
        <w:t xml:space="preserve">204(a)(1)) </w:t>
      </w:r>
      <w:r w:rsidR="00907FB7" w:rsidRPr="00AC7E40">
        <w:rPr>
          <w:rFonts w:ascii="Times New Roman" w:hAnsi="Times New Roman"/>
          <w:snapToGrid w:val="0"/>
          <w:color w:val="000000"/>
        </w:rPr>
        <w:t>and</w:t>
      </w:r>
      <w:r w:rsidR="00907FB7" w:rsidRPr="00AC7E40">
        <w:rPr>
          <w:rFonts w:ascii="Times New Roman" w:hAnsi="Times New Roman"/>
          <w:i/>
          <w:snapToGrid w:val="0"/>
          <w:color w:val="000000"/>
        </w:rPr>
        <w:t xml:space="preserve"> 1631(b)(1) </w:t>
      </w:r>
      <w:r w:rsidR="00907FB7" w:rsidRPr="00AC7E40">
        <w:rPr>
          <w:rFonts w:ascii="Times New Roman" w:hAnsi="Times New Roman"/>
          <w:snapToGrid w:val="0"/>
          <w:color w:val="000000"/>
        </w:rPr>
        <w:t>of the</w:t>
      </w:r>
      <w:r w:rsidR="00907FB7" w:rsidRPr="00AC7E40">
        <w:rPr>
          <w:rFonts w:ascii="Times New Roman" w:hAnsi="Times New Roman"/>
          <w:i/>
          <w:snapToGrid w:val="0"/>
          <w:color w:val="000000"/>
        </w:rPr>
        <w:t xml:space="preserve"> </w:t>
      </w:r>
      <w:r w:rsidR="00907FB7" w:rsidRPr="00AC7E40">
        <w:rPr>
          <w:rFonts w:ascii="Times New Roman" w:hAnsi="Times New Roman"/>
          <w:snapToGrid w:val="0"/>
          <w:color w:val="000000"/>
        </w:rPr>
        <w:t>Social Security Act</w:t>
      </w:r>
      <w:r w:rsidR="00907FB7" w:rsidRPr="00AC7E40">
        <w:rPr>
          <w:rFonts w:ascii="Times New Roman" w:hAnsi="Times New Roman"/>
          <w:i/>
          <w:snapToGrid w:val="0"/>
          <w:color w:val="000000"/>
        </w:rPr>
        <w:t xml:space="preserve"> </w:t>
      </w:r>
      <w:r w:rsidR="00907FB7" w:rsidRPr="00AC7E40">
        <w:rPr>
          <w:rFonts w:ascii="Times New Roman" w:hAnsi="Times New Roman"/>
          <w:snapToGrid w:val="0"/>
          <w:color w:val="000000"/>
        </w:rPr>
        <w:t xml:space="preserve">give the Commissioner of </w:t>
      </w:r>
      <w:r w:rsidRPr="00AC7E40">
        <w:rPr>
          <w:rFonts w:ascii="Times New Roman" w:hAnsi="Times New Roman"/>
          <w:snapToGrid w:val="0"/>
          <w:color w:val="000000"/>
        </w:rPr>
        <w:t xml:space="preserve">the </w:t>
      </w:r>
      <w:r w:rsidR="00907FB7" w:rsidRPr="00AC7E40">
        <w:rPr>
          <w:rFonts w:ascii="Times New Roman" w:hAnsi="Times New Roman"/>
          <w:snapToGrid w:val="0"/>
          <w:color w:val="000000"/>
        </w:rPr>
        <w:t>Social Security</w:t>
      </w:r>
      <w:r w:rsidRPr="00AC7E40">
        <w:rPr>
          <w:rFonts w:ascii="Times New Roman" w:hAnsi="Times New Roman"/>
          <w:snapToGrid w:val="0"/>
          <w:color w:val="000000"/>
        </w:rPr>
        <w:t xml:space="preserve"> Administration (SSA) the authority to recover payment</w:t>
      </w:r>
      <w:r w:rsidR="00907FB7" w:rsidRPr="00AC7E40">
        <w:rPr>
          <w:rFonts w:ascii="Times New Roman" w:hAnsi="Times New Roman"/>
          <w:snapToGrid w:val="0"/>
          <w:color w:val="000000"/>
        </w:rPr>
        <w:t xml:space="preserve"> from overpaid individuals</w:t>
      </w:r>
      <w:r w:rsidR="00286E67" w:rsidRPr="00AC7E40">
        <w:rPr>
          <w:rFonts w:ascii="Times New Roman" w:hAnsi="Times New Roman"/>
          <w:snapToGrid w:val="0"/>
          <w:color w:val="000000"/>
        </w:rPr>
        <w:t xml:space="preserve"> collecting title II benefits and title XVI payments</w:t>
      </w:r>
      <w:r w:rsidR="00907FB7" w:rsidRPr="00AC7E40">
        <w:rPr>
          <w:rFonts w:ascii="Times New Roman" w:hAnsi="Times New Roman"/>
          <w:snapToGrid w:val="0"/>
          <w:color w:val="000000"/>
        </w:rPr>
        <w:t xml:space="preserve">.  </w:t>
      </w:r>
    </w:p>
    <w:p w:rsidR="00AC7E40" w:rsidRPr="00AC7E40" w:rsidRDefault="00AC7E40" w:rsidP="00AC7E40">
      <w:pPr>
        <w:ind w:left="1440"/>
        <w:rPr>
          <w:rFonts w:ascii="Times New Roman" w:hAnsi="Times New Roman"/>
          <w:b/>
          <w:snapToGrid w:val="0"/>
          <w:color w:val="000000"/>
        </w:rPr>
      </w:pPr>
    </w:p>
    <w:p w:rsidR="00794EA7" w:rsidRPr="00794EA7" w:rsidRDefault="00535D2D" w:rsidP="00794EA7">
      <w:pPr>
        <w:pStyle w:val="ListParagraph"/>
        <w:numPr>
          <w:ilvl w:val="0"/>
          <w:numId w:val="1"/>
        </w:numPr>
        <w:rPr>
          <w:rFonts w:ascii="Times New Roman" w:hAnsi="Times New Roman"/>
          <w:snapToGrid w:val="0"/>
          <w:color w:val="000000"/>
        </w:rPr>
      </w:pPr>
      <w:r w:rsidRPr="00794EA7">
        <w:rPr>
          <w:rFonts w:ascii="Times New Roman" w:hAnsi="Times New Roman"/>
          <w:b/>
        </w:rPr>
        <w:t>Description of C</w:t>
      </w:r>
      <w:r w:rsidR="00C67286" w:rsidRPr="00794EA7">
        <w:rPr>
          <w:rFonts w:ascii="Times New Roman" w:hAnsi="Times New Roman"/>
          <w:b/>
        </w:rPr>
        <w:t xml:space="preserve">ollection - </w:t>
      </w:r>
      <w:r w:rsidR="00794EA7" w:rsidRPr="00794EA7">
        <w:rPr>
          <w:rFonts w:ascii="Times New Roman" w:hAnsi="Times New Roman"/>
        </w:rPr>
        <w:t>SSA participates in the Card Acquiring Service, formerly referred to as the Plastic Card Network, headed by the U.S. Department of Treasury.  The objective of the service is to increase electronic collections received by the Government, and process these transactions in an efficient, timely, and cost-effective manner</w:t>
      </w:r>
      <w:r w:rsidR="00794EA7" w:rsidRPr="00794EA7">
        <w:rPr>
          <w:rFonts w:ascii="Times New Roman" w:hAnsi="Times New Roman"/>
          <w:snapToGrid w:val="0"/>
          <w:color w:val="000000"/>
        </w:rPr>
        <w:t xml:space="preserve">.  </w:t>
      </w:r>
      <w:r w:rsidR="00C67286" w:rsidRPr="00794EA7">
        <w:rPr>
          <w:rFonts w:ascii="Times New Roman" w:hAnsi="Times New Roman"/>
          <w:snapToGrid w:val="0"/>
          <w:color w:val="000000"/>
        </w:rPr>
        <w:t>When SSA determines an individual rec</w:t>
      </w:r>
      <w:r w:rsidR="00286E67" w:rsidRPr="00794EA7">
        <w:rPr>
          <w:rFonts w:ascii="Times New Roman" w:hAnsi="Times New Roman"/>
          <w:snapToGrid w:val="0"/>
          <w:color w:val="000000"/>
        </w:rPr>
        <w:t xml:space="preserve">eived an excess title II or XVI </w:t>
      </w:r>
      <w:r w:rsidR="00C67286" w:rsidRPr="00794EA7">
        <w:rPr>
          <w:rFonts w:ascii="Times New Roman" w:hAnsi="Times New Roman"/>
          <w:snapToGrid w:val="0"/>
          <w:color w:val="000000"/>
        </w:rPr>
        <w:t>payment, SSA reserves the right to collect the debt.  The SSA-4588 (You Can Make Your Payment by Credit Card), provides debtors the option to pay their title II and title XV</w:t>
      </w:r>
      <w:r w:rsidR="00FA643C" w:rsidRPr="00794EA7">
        <w:rPr>
          <w:rFonts w:ascii="Times New Roman" w:hAnsi="Times New Roman"/>
          <w:snapToGrid w:val="0"/>
          <w:color w:val="000000"/>
        </w:rPr>
        <w:t>I overpayments</w:t>
      </w:r>
      <w:r w:rsidR="00C67286" w:rsidRPr="00794EA7">
        <w:rPr>
          <w:rFonts w:ascii="Times New Roman" w:hAnsi="Times New Roman"/>
          <w:snapToGrid w:val="0"/>
          <w:color w:val="000000"/>
        </w:rPr>
        <w:t xml:space="preserve"> by MasterCard, VISA, Discover, American Express, or Din</w:t>
      </w:r>
      <w:r w:rsidR="00AC7E40" w:rsidRPr="00794EA7">
        <w:rPr>
          <w:rFonts w:ascii="Times New Roman" w:hAnsi="Times New Roman"/>
          <w:snapToGrid w:val="0"/>
          <w:color w:val="000000"/>
        </w:rPr>
        <w:t xml:space="preserve">ers Club credit cards. </w:t>
      </w:r>
    </w:p>
    <w:p w:rsidR="00794EA7" w:rsidRPr="00794EA7" w:rsidRDefault="00794EA7" w:rsidP="00794EA7">
      <w:pPr>
        <w:pStyle w:val="ListParagraph"/>
        <w:rPr>
          <w:rFonts w:ascii="Times New Roman" w:hAnsi="Times New Roman"/>
          <w:snapToGrid w:val="0"/>
          <w:color w:val="000000"/>
        </w:rPr>
      </w:pPr>
    </w:p>
    <w:p w:rsidR="003A317C" w:rsidRPr="00794EA7" w:rsidRDefault="00794EA7" w:rsidP="00794EA7">
      <w:pPr>
        <w:pStyle w:val="ListParagraph"/>
        <w:ind w:left="1440"/>
        <w:rPr>
          <w:rFonts w:ascii="Times New Roman" w:hAnsi="Times New Roman"/>
        </w:rPr>
      </w:pPr>
      <w:r>
        <w:rPr>
          <w:rFonts w:ascii="Times New Roman" w:hAnsi="Times New Roman"/>
          <w:snapToGrid w:val="0"/>
          <w:color w:val="000000"/>
        </w:rPr>
        <w:t xml:space="preserve">Form </w:t>
      </w:r>
      <w:r w:rsidR="00AC7E40" w:rsidRPr="00794EA7">
        <w:rPr>
          <w:rFonts w:ascii="Times New Roman" w:hAnsi="Times New Roman"/>
          <w:snapToGrid w:val="0"/>
          <w:color w:val="000000"/>
        </w:rPr>
        <w:t>SSA-4588</w:t>
      </w:r>
      <w:r w:rsidR="00C67286" w:rsidRPr="00794EA7">
        <w:rPr>
          <w:rFonts w:ascii="Times New Roman" w:hAnsi="Times New Roman"/>
          <w:snapToGrid w:val="0"/>
          <w:color w:val="000000"/>
        </w:rPr>
        <w:t xml:space="preserve"> gives the debtor the option to make a one-time payment or establish recurring monthly payments</w:t>
      </w:r>
      <w:r>
        <w:rPr>
          <w:rFonts w:ascii="Times New Roman" w:hAnsi="Times New Roman"/>
          <w:snapToGrid w:val="0"/>
          <w:color w:val="000000"/>
        </w:rPr>
        <w:t xml:space="preserve"> by credit card</w:t>
      </w:r>
      <w:r w:rsidR="00C67286" w:rsidRPr="00794EA7">
        <w:rPr>
          <w:rFonts w:ascii="Times New Roman" w:hAnsi="Times New Roman"/>
          <w:snapToGrid w:val="0"/>
          <w:color w:val="000000"/>
        </w:rPr>
        <w:t xml:space="preserve">.  Respondents are title II beneficiaries and title XVI recipients who have outstanding overpayments.  </w:t>
      </w:r>
      <w:r w:rsidR="00907FB7" w:rsidRPr="00794EA7">
        <w:rPr>
          <w:rFonts w:ascii="Times New Roman" w:hAnsi="Times New Roman"/>
        </w:rPr>
        <w:t xml:space="preserve">Collection via </w:t>
      </w:r>
      <w:r w:rsidR="00C67286" w:rsidRPr="00794EA7">
        <w:rPr>
          <w:rFonts w:ascii="Times New Roman" w:hAnsi="Times New Roman"/>
        </w:rPr>
        <w:t xml:space="preserve">credit </w:t>
      </w:r>
      <w:r w:rsidR="00286E67" w:rsidRPr="00794EA7">
        <w:rPr>
          <w:rFonts w:ascii="Times New Roman" w:hAnsi="Times New Roman"/>
        </w:rPr>
        <w:t>card is</w:t>
      </w:r>
      <w:r w:rsidR="00535D2D" w:rsidRPr="00794EA7">
        <w:rPr>
          <w:rFonts w:ascii="Times New Roman" w:hAnsi="Times New Roman"/>
        </w:rPr>
        <w:t xml:space="preserve"> voluntary for respondents.  </w:t>
      </w:r>
      <w:r w:rsidR="00907FB7" w:rsidRPr="00794EA7">
        <w:rPr>
          <w:rFonts w:ascii="Times New Roman" w:hAnsi="Times New Roman"/>
        </w:rPr>
        <w:t>The debtor completes the SSA-4588 once to start monthly recurring credit card p</w:t>
      </w:r>
      <w:r w:rsidR="00286E67" w:rsidRPr="00794EA7">
        <w:rPr>
          <w:rFonts w:ascii="Times New Roman" w:hAnsi="Times New Roman"/>
        </w:rPr>
        <w:t>ayments for a specified period, or for a one-time credit card payment.  The debtor can also make a one-time credit card payment by telephone.</w:t>
      </w:r>
    </w:p>
    <w:p w:rsidR="003A317C" w:rsidRPr="00521AEB" w:rsidRDefault="003A317C" w:rsidP="00907FB7">
      <w:pPr>
        <w:ind w:left="1440" w:hanging="720"/>
        <w:rPr>
          <w:rFonts w:ascii="Times New Roman" w:hAnsi="Times New Roman"/>
        </w:rPr>
      </w:pPr>
    </w:p>
    <w:p w:rsidR="00907FB7" w:rsidRDefault="00907FB7" w:rsidP="00AC7E40">
      <w:pPr>
        <w:ind w:left="1440" w:hanging="720"/>
        <w:rPr>
          <w:rFonts w:ascii="Times New Roman" w:hAnsi="Times New Roman"/>
        </w:rPr>
      </w:pPr>
      <w:r w:rsidRPr="00521AEB">
        <w:rPr>
          <w:rFonts w:ascii="Times New Roman" w:hAnsi="Times New Roman"/>
        </w:rPr>
        <w:tab/>
        <w:t xml:space="preserve">There are six versions </w:t>
      </w:r>
      <w:r w:rsidR="006C53D9" w:rsidRPr="00521AEB">
        <w:rPr>
          <w:rFonts w:ascii="Times New Roman" w:hAnsi="Times New Roman"/>
        </w:rPr>
        <w:t>of</w:t>
      </w:r>
      <w:r w:rsidRPr="00521AEB">
        <w:rPr>
          <w:rFonts w:ascii="Times New Roman" w:hAnsi="Times New Roman"/>
        </w:rPr>
        <w:t xml:space="preserve"> </w:t>
      </w:r>
      <w:r w:rsidR="00B553B9" w:rsidRPr="00521AEB">
        <w:rPr>
          <w:rFonts w:ascii="Times New Roman" w:hAnsi="Times New Roman"/>
        </w:rPr>
        <w:t>the SSA-4588,</w:t>
      </w:r>
      <w:r w:rsidRPr="00521AEB">
        <w:rPr>
          <w:rFonts w:ascii="Times New Roman" w:hAnsi="Times New Roman"/>
        </w:rPr>
        <w:t xml:space="preserve"> which are identical except for the toll-free telephone number and</w:t>
      </w:r>
      <w:r w:rsidR="006C53D9" w:rsidRPr="00521AEB">
        <w:rPr>
          <w:rFonts w:ascii="Times New Roman" w:hAnsi="Times New Roman"/>
        </w:rPr>
        <w:t xml:space="preserve"> the</w:t>
      </w:r>
      <w:r w:rsidR="00C67286" w:rsidRPr="00521AEB">
        <w:rPr>
          <w:rFonts w:ascii="Times New Roman" w:hAnsi="Times New Roman"/>
        </w:rPr>
        <w:t xml:space="preserve"> SSA p</w:t>
      </w:r>
      <w:r w:rsidR="006C53D9" w:rsidRPr="00521AEB">
        <w:rPr>
          <w:rFonts w:ascii="Times New Roman" w:hAnsi="Times New Roman"/>
        </w:rPr>
        <w:t xml:space="preserve">rogram </w:t>
      </w:r>
      <w:r w:rsidR="00C67286" w:rsidRPr="00521AEB">
        <w:rPr>
          <w:rFonts w:ascii="Times New Roman" w:hAnsi="Times New Roman"/>
        </w:rPr>
        <w:t>s</w:t>
      </w:r>
      <w:r w:rsidR="006C53D9" w:rsidRPr="00521AEB">
        <w:rPr>
          <w:rFonts w:ascii="Times New Roman" w:hAnsi="Times New Roman"/>
        </w:rPr>
        <w:t xml:space="preserve">ervice </w:t>
      </w:r>
      <w:r w:rsidR="00C67286" w:rsidRPr="00521AEB">
        <w:rPr>
          <w:rFonts w:ascii="Times New Roman" w:hAnsi="Times New Roman"/>
        </w:rPr>
        <w:t>c</w:t>
      </w:r>
      <w:r w:rsidR="006C53D9" w:rsidRPr="00521AEB">
        <w:rPr>
          <w:rFonts w:ascii="Times New Roman" w:hAnsi="Times New Roman"/>
        </w:rPr>
        <w:t>enter (PSC)</w:t>
      </w:r>
      <w:r w:rsidRPr="00521AEB">
        <w:rPr>
          <w:rFonts w:ascii="Times New Roman" w:hAnsi="Times New Roman"/>
        </w:rPr>
        <w:t xml:space="preserve"> of jurisdiction hour</w:t>
      </w:r>
      <w:r w:rsidR="00535D2D">
        <w:rPr>
          <w:rFonts w:ascii="Times New Roman" w:hAnsi="Times New Roman"/>
        </w:rPr>
        <w:t xml:space="preserve">s of operation.  We include the </w:t>
      </w:r>
      <w:r w:rsidRPr="00521AEB">
        <w:rPr>
          <w:rFonts w:ascii="Times New Roman" w:hAnsi="Times New Roman"/>
        </w:rPr>
        <w:t>phone number and hours of operations</w:t>
      </w:r>
      <w:r w:rsidR="00B553B9" w:rsidRPr="00521AEB">
        <w:rPr>
          <w:rFonts w:ascii="Times New Roman" w:hAnsi="Times New Roman"/>
        </w:rPr>
        <w:t>,</w:t>
      </w:r>
      <w:r w:rsidRPr="00521AEB">
        <w:rPr>
          <w:rFonts w:ascii="Times New Roman" w:hAnsi="Times New Roman"/>
        </w:rPr>
        <w:t xml:space="preserve"> so th</w:t>
      </w:r>
      <w:r w:rsidR="00B553B9" w:rsidRPr="00521AEB">
        <w:rPr>
          <w:rFonts w:ascii="Times New Roman" w:hAnsi="Times New Roman"/>
        </w:rPr>
        <w:t>e</w:t>
      </w:r>
      <w:r w:rsidRPr="00521AEB">
        <w:rPr>
          <w:rFonts w:ascii="Times New Roman" w:hAnsi="Times New Roman"/>
        </w:rPr>
        <w:t xml:space="preserve"> individual can contact the</w:t>
      </w:r>
      <w:r w:rsidR="00535D2D">
        <w:rPr>
          <w:rFonts w:ascii="Times New Roman" w:hAnsi="Times New Roman"/>
        </w:rPr>
        <w:t xml:space="preserve"> </w:t>
      </w:r>
      <w:r w:rsidR="006C53D9" w:rsidRPr="00521AEB">
        <w:rPr>
          <w:rFonts w:ascii="Times New Roman" w:hAnsi="Times New Roman"/>
        </w:rPr>
        <w:t>PSC</w:t>
      </w:r>
      <w:r w:rsidR="00535D2D">
        <w:rPr>
          <w:rFonts w:ascii="Times New Roman" w:hAnsi="Times New Roman"/>
        </w:rPr>
        <w:t xml:space="preserve"> in their geographical area</w:t>
      </w:r>
      <w:r w:rsidRPr="00521AEB">
        <w:rPr>
          <w:rFonts w:ascii="Times New Roman" w:hAnsi="Times New Roman"/>
        </w:rPr>
        <w:t xml:space="preserve">.  </w:t>
      </w:r>
    </w:p>
    <w:p w:rsidR="00907FB7" w:rsidRPr="00521AEB" w:rsidRDefault="00907FB7" w:rsidP="00907FB7">
      <w:pPr>
        <w:rPr>
          <w:rFonts w:ascii="Times New Roman" w:hAnsi="Times New Roman"/>
        </w:rPr>
      </w:pPr>
    </w:p>
    <w:p w:rsidR="00907FB7" w:rsidRPr="00AC7E40" w:rsidRDefault="00FA643C" w:rsidP="00AC7E40">
      <w:pPr>
        <w:pStyle w:val="ListParagraph"/>
        <w:numPr>
          <w:ilvl w:val="0"/>
          <w:numId w:val="1"/>
        </w:numPr>
        <w:rPr>
          <w:rFonts w:ascii="Times New Roman" w:hAnsi="Times New Roman"/>
        </w:rPr>
      </w:pPr>
      <w:r w:rsidRPr="00AC7E40">
        <w:rPr>
          <w:rFonts w:ascii="Times New Roman" w:hAnsi="Times New Roman"/>
          <w:b/>
          <w:bCs/>
        </w:rPr>
        <w:t xml:space="preserve">Use of Information Technology to Collect the Information - </w:t>
      </w:r>
      <w:r w:rsidR="00907FB7" w:rsidRPr="00AC7E40">
        <w:rPr>
          <w:rFonts w:ascii="Times New Roman" w:hAnsi="Times New Roman"/>
        </w:rPr>
        <w:t>SSA did not create an electronic version of</w:t>
      </w:r>
      <w:r w:rsidR="00794EA7">
        <w:rPr>
          <w:rFonts w:ascii="Times New Roman" w:hAnsi="Times New Roman"/>
        </w:rPr>
        <w:t xml:space="preserve"> the </w:t>
      </w:r>
      <w:r w:rsidR="00907FB7" w:rsidRPr="00AC7E40">
        <w:rPr>
          <w:rFonts w:ascii="Times New Roman" w:hAnsi="Times New Roman"/>
        </w:rPr>
        <w:t>SSA-4588 under the agency’s Government Paperwork Elimination Act (GPEA) plan because an original signature is required to establish recurring credit card payments.</w:t>
      </w:r>
      <w:r w:rsidR="00B553B9" w:rsidRPr="00AC7E40">
        <w:rPr>
          <w:rFonts w:ascii="Times New Roman" w:hAnsi="Times New Roman"/>
        </w:rPr>
        <w:t xml:space="preserve"> </w:t>
      </w:r>
      <w:r w:rsidR="00907FB7" w:rsidRPr="00AC7E40">
        <w:rPr>
          <w:rFonts w:ascii="Times New Roman" w:hAnsi="Times New Roman"/>
        </w:rPr>
        <w:t xml:space="preserve"> SSA keeps it on file as proof that the individual requested SSA to charge their credit card on a recurring monthly basis.  The forms require special technology to process the sensitive financial information collected by these forms. </w:t>
      </w:r>
      <w:r w:rsidR="009C3EA2" w:rsidRPr="00AC7E40">
        <w:rPr>
          <w:rFonts w:ascii="Times New Roman" w:hAnsi="Times New Roman"/>
        </w:rPr>
        <w:t xml:space="preserve"> </w:t>
      </w:r>
      <w:r w:rsidR="00907FB7" w:rsidRPr="00AC7E40">
        <w:rPr>
          <w:rFonts w:ascii="Times New Roman" w:hAnsi="Times New Roman"/>
        </w:rPr>
        <w:t xml:space="preserve">The debtor must complete the form and send </w:t>
      </w:r>
      <w:r w:rsidRPr="00AC7E40">
        <w:rPr>
          <w:rFonts w:ascii="Times New Roman" w:hAnsi="Times New Roman"/>
        </w:rPr>
        <w:t>it to the appropriate PSC</w:t>
      </w:r>
      <w:r w:rsidR="00907FB7" w:rsidRPr="00AC7E40">
        <w:rPr>
          <w:rFonts w:ascii="Times New Roman" w:hAnsi="Times New Roman"/>
        </w:rPr>
        <w:t xml:space="preserve">. </w:t>
      </w:r>
    </w:p>
    <w:p w:rsidR="00AC7E40" w:rsidRDefault="00AC7E40" w:rsidP="00AC7E40">
      <w:pPr>
        <w:pStyle w:val="ListParagraph"/>
        <w:ind w:left="1440"/>
        <w:rPr>
          <w:rFonts w:ascii="Times New Roman" w:hAnsi="Times New Roman"/>
          <w:b/>
          <w:bCs/>
        </w:rPr>
      </w:pPr>
    </w:p>
    <w:p w:rsidR="00AC7E40" w:rsidRPr="00521AEB" w:rsidRDefault="00AC7E40" w:rsidP="00AC7E40">
      <w:pPr>
        <w:ind w:left="1440"/>
        <w:rPr>
          <w:rFonts w:ascii="Times New Roman" w:hAnsi="Times New Roman"/>
        </w:rPr>
      </w:pPr>
      <w:r w:rsidRPr="00521AEB">
        <w:rPr>
          <w:rFonts w:ascii="Times New Roman" w:hAnsi="Times New Roman"/>
        </w:rPr>
        <w:t xml:space="preserve">SSA recently streamlined our credit card remittance process.  SSA employees, who take the telephone calls from individuals making a one-time credit card payment, now enter the information directly into an electronic </w:t>
      </w:r>
      <w:r w:rsidR="00581E3A">
        <w:rPr>
          <w:rFonts w:ascii="Times New Roman" w:hAnsi="Times New Roman"/>
        </w:rPr>
        <w:t xml:space="preserve">intranet </w:t>
      </w:r>
      <w:r w:rsidRPr="00521AEB">
        <w:rPr>
          <w:rFonts w:ascii="Times New Roman" w:hAnsi="Times New Roman"/>
        </w:rPr>
        <w:t>application rather than recording the informati</w:t>
      </w:r>
      <w:r>
        <w:rPr>
          <w:rFonts w:ascii="Times New Roman" w:hAnsi="Times New Roman"/>
        </w:rPr>
        <w:t xml:space="preserve">on on the SSA-4589 paper form.  </w:t>
      </w:r>
      <w:r w:rsidRPr="00521AEB">
        <w:rPr>
          <w:rFonts w:ascii="Times New Roman" w:hAnsi="Times New Roman"/>
        </w:rPr>
        <w:t xml:space="preserve">SSA is no longer using the SSA-4589 paper </w:t>
      </w:r>
      <w:r w:rsidRPr="00521AEB">
        <w:rPr>
          <w:rFonts w:ascii="Times New Roman" w:hAnsi="Times New Roman"/>
        </w:rPr>
        <w:lastRenderedPageBreak/>
        <w:t xml:space="preserve">form.  Individuals wishing to establish recurring monthly payments must still complete the SSA-4588 paper form </w:t>
      </w:r>
      <w:r>
        <w:rPr>
          <w:rFonts w:ascii="Times New Roman" w:hAnsi="Times New Roman"/>
        </w:rPr>
        <w:t>due to the original</w:t>
      </w:r>
      <w:r w:rsidRPr="00521AEB">
        <w:rPr>
          <w:rFonts w:ascii="Times New Roman" w:hAnsi="Times New Roman"/>
        </w:rPr>
        <w:t xml:space="preserve"> signature requirement.</w:t>
      </w:r>
    </w:p>
    <w:p w:rsidR="00907FB7" w:rsidRPr="00521AEB" w:rsidRDefault="00907FB7" w:rsidP="00907FB7">
      <w:pPr>
        <w:ind w:left="1440" w:hanging="720"/>
        <w:rPr>
          <w:rFonts w:ascii="Times New Roman" w:hAnsi="Times New Roman"/>
        </w:rPr>
      </w:pPr>
    </w:p>
    <w:p w:rsidR="00907FB7" w:rsidRPr="00521AEB" w:rsidRDefault="00907FB7" w:rsidP="00907FB7">
      <w:pPr>
        <w:ind w:left="1440" w:hanging="720"/>
        <w:rPr>
          <w:rFonts w:ascii="Times New Roman" w:hAnsi="Times New Roman"/>
          <w:b/>
        </w:rPr>
      </w:pPr>
      <w:r w:rsidRPr="00521AEB">
        <w:rPr>
          <w:rFonts w:ascii="Times New Roman" w:hAnsi="Times New Roman"/>
          <w:b/>
        </w:rPr>
        <w:t>4.</w:t>
      </w:r>
      <w:r w:rsidRPr="00521AEB">
        <w:rPr>
          <w:rFonts w:ascii="Times New Roman" w:hAnsi="Times New Roman"/>
        </w:rPr>
        <w:t xml:space="preserve"> </w:t>
      </w:r>
      <w:r w:rsidRPr="00521AEB">
        <w:rPr>
          <w:rFonts w:ascii="Times New Roman" w:hAnsi="Times New Roman"/>
        </w:rPr>
        <w:tab/>
      </w:r>
      <w:r w:rsidR="00FA643C" w:rsidRPr="00521AEB">
        <w:rPr>
          <w:rFonts w:ascii="Times New Roman" w:hAnsi="Times New Roman"/>
          <w:b/>
        </w:rPr>
        <w:t>Why We Cannot Use Duplicate Information</w:t>
      </w:r>
      <w:r w:rsidR="00FA643C" w:rsidRPr="00521AEB">
        <w:rPr>
          <w:rFonts w:ascii="Times New Roman" w:hAnsi="Times New Roman"/>
        </w:rPr>
        <w:t xml:space="preserve"> - </w:t>
      </w:r>
      <w:r w:rsidRPr="00521AEB">
        <w:rPr>
          <w:rFonts w:ascii="Times New Roman" w:hAnsi="Times New Roman"/>
        </w:rPr>
        <w:t xml:space="preserve">The nature of the information we are collecting and the manner in which we are collecting it preclude duplication.  SSA does not use another collection instrument to obtain similar data.  </w:t>
      </w:r>
    </w:p>
    <w:p w:rsidR="00907FB7" w:rsidRPr="00521AEB" w:rsidRDefault="00907FB7" w:rsidP="00907FB7">
      <w:pPr>
        <w:rPr>
          <w:rFonts w:ascii="Times New Roman" w:hAnsi="Times New Roman"/>
          <w:b/>
        </w:rPr>
      </w:pPr>
    </w:p>
    <w:p w:rsidR="00907FB7" w:rsidRPr="00521AEB" w:rsidRDefault="00907FB7" w:rsidP="00FA643C">
      <w:pPr>
        <w:ind w:left="1440" w:hanging="720"/>
        <w:rPr>
          <w:rFonts w:ascii="Times New Roman" w:hAnsi="Times New Roman"/>
        </w:rPr>
      </w:pPr>
      <w:r w:rsidRPr="00521AEB">
        <w:rPr>
          <w:rFonts w:ascii="Times New Roman" w:hAnsi="Times New Roman"/>
          <w:b/>
        </w:rPr>
        <w:t>5.</w:t>
      </w:r>
      <w:r w:rsidRPr="00521AEB">
        <w:rPr>
          <w:rFonts w:ascii="Times New Roman" w:hAnsi="Times New Roman"/>
          <w:b/>
        </w:rPr>
        <w:tab/>
      </w:r>
      <w:r w:rsidR="00FA643C" w:rsidRPr="00521AEB">
        <w:rPr>
          <w:rFonts w:ascii="Times New Roman" w:hAnsi="Times New Roman"/>
          <w:b/>
        </w:rPr>
        <w:t xml:space="preserve">Minimizing Burden on Small </w:t>
      </w:r>
      <w:r w:rsidR="00133292" w:rsidRPr="00521AEB">
        <w:rPr>
          <w:rFonts w:ascii="Times New Roman" w:hAnsi="Times New Roman"/>
          <w:b/>
        </w:rPr>
        <w:t>Respondents</w:t>
      </w:r>
      <w:r w:rsidR="00133292" w:rsidRPr="00521AEB">
        <w:rPr>
          <w:rFonts w:ascii="Times New Roman" w:hAnsi="Times New Roman"/>
        </w:rPr>
        <w:t xml:space="preserve"> -</w:t>
      </w:r>
      <w:r w:rsidR="00FA643C" w:rsidRPr="00521AEB">
        <w:rPr>
          <w:rFonts w:ascii="Times New Roman" w:hAnsi="Times New Roman"/>
        </w:rPr>
        <w:t xml:space="preserve"> </w:t>
      </w:r>
      <w:r w:rsidRPr="00521AEB">
        <w:rPr>
          <w:rFonts w:ascii="Times New Roman" w:hAnsi="Times New Roman"/>
        </w:rPr>
        <w:t xml:space="preserve">This collection does not affect small businesses or other small entities. </w:t>
      </w:r>
    </w:p>
    <w:p w:rsidR="00907FB7" w:rsidRPr="00521AEB" w:rsidRDefault="00907FB7" w:rsidP="00907FB7">
      <w:pPr>
        <w:ind w:left="1440" w:hanging="720"/>
        <w:rPr>
          <w:rFonts w:ascii="Times New Roman" w:hAnsi="Times New Roman"/>
          <w:b/>
        </w:rPr>
      </w:pPr>
    </w:p>
    <w:p w:rsidR="00907FB7" w:rsidRPr="00521AEB" w:rsidRDefault="00907FB7" w:rsidP="00907FB7">
      <w:pPr>
        <w:ind w:left="1440" w:hanging="720"/>
        <w:rPr>
          <w:rFonts w:ascii="Times New Roman" w:hAnsi="Times New Roman"/>
        </w:rPr>
      </w:pPr>
      <w:r w:rsidRPr="00521AEB">
        <w:rPr>
          <w:rFonts w:ascii="Times New Roman" w:hAnsi="Times New Roman"/>
          <w:b/>
        </w:rPr>
        <w:t>6.</w:t>
      </w:r>
      <w:r w:rsidRPr="00521AEB">
        <w:rPr>
          <w:rFonts w:ascii="Times New Roman" w:hAnsi="Times New Roman"/>
          <w:b/>
        </w:rPr>
        <w:tab/>
      </w:r>
      <w:r w:rsidR="00FA643C" w:rsidRPr="00521AEB">
        <w:rPr>
          <w:rFonts w:ascii="Times New Roman" w:hAnsi="Times New Roman"/>
          <w:b/>
        </w:rPr>
        <w:t>Consequences of Not Collecting Information or Collecting it Less Frequently</w:t>
      </w:r>
      <w:r w:rsidR="00FA643C" w:rsidRPr="00521AEB">
        <w:rPr>
          <w:rFonts w:ascii="Times New Roman" w:hAnsi="Times New Roman"/>
        </w:rPr>
        <w:t xml:space="preserve"> - </w:t>
      </w:r>
      <w:r w:rsidRPr="00521AEB">
        <w:rPr>
          <w:rFonts w:ascii="Times New Roman" w:hAnsi="Times New Roman"/>
        </w:rPr>
        <w:t>If SSA did not use the SSA-4588</w:t>
      </w:r>
      <w:r w:rsidR="00BA2A7F" w:rsidRPr="00521AEB">
        <w:rPr>
          <w:rFonts w:ascii="Times New Roman" w:hAnsi="Times New Roman"/>
        </w:rPr>
        <w:t xml:space="preserve"> and the telephone one-tim</w:t>
      </w:r>
      <w:r w:rsidR="00794EA7">
        <w:rPr>
          <w:rFonts w:ascii="Times New Roman" w:hAnsi="Times New Roman"/>
        </w:rPr>
        <w:t xml:space="preserve">e credit card payment </w:t>
      </w:r>
      <w:r w:rsidR="00BA2A7F" w:rsidRPr="00521AEB">
        <w:rPr>
          <w:rFonts w:ascii="Times New Roman" w:hAnsi="Times New Roman"/>
        </w:rPr>
        <w:t xml:space="preserve"> collection</w:t>
      </w:r>
      <w:r w:rsidRPr="00521AEB">
        <w:rPr>
          <w:rFonts w:ascii="Times New Roman" w:hAnsi="Times New Roman"/>
        </w:rPr>
        <w:t xml:space="preserve"> to collect this information, the agency would not be able to participate in the Card Acquiring Service, and therefore </w:t>
      </w:r>
      <w:r w:rsidR="00BA2A7F" w:rsidRPr="00521AEB">
        <w:rPr>
          <w:rFonts w:ascii="Times New Roman" w:hAnsi="Times New Roman"/>
        </w:rPr>
        <w:t xml:space="preserve">could </w:t>
      </w:r>
      <w:r w:rsidRPr="00521AEB">
        <w:rPr>
          <w:rFonts w:ascii="Times New Roman" w:hAnsi="Times New Roman"/>
        </w:rPr>
        <w:t>not process credit card payments fro</w:t>
      </w:r>
      <w:r w:rsidR="00FA643C" w:rsidRPr="00521AEB">
        <w:rPr>
          <w:rFonts w:ascii="Times New Roman" w:hAnsi="Times New Roman"/>
        </w:rPr>
        <w:t xml:space="preserve">m </w:t>
      </w:r>
      <w:r w:rsidR="00BA2A7F" w:rsidRPr="00521AEB">
        <w:rPr>
          <w:rFonts w:ascii="Times New Roman" w:hAnsi="Times New Roman"/>
        </w:rPr>
        <w:t xml:space="preserve">overpaid </w:t>
      </w:r>
      <w:r w:rsidR="00FA643C" w:rsidRPr="00521AEB">
        <w:rPr>
          <w:rFonts w:ascii="Times New Roman" w:hAnsi="Times New Roman"/>
        </w:rPr>
        <w:t>title II and title XVI recipients</w:t>
      </w:r>
      <w:r w:rsidRPr="00521AEB">
        <w:rPr>
          <w:rFonts w:ascii="Times New Roman" w:hAnsi="Times New Roman"/>
        </w:rPr>
        <w:t xml:space="preserve">.  </w:t>
      </w:r>
      <w:r w:rsidR="00BA2A7F" w:rsidRPr="00521AEB">
        <w:rPr>
          <w:rFonts w:ascii="Times New Roman" w:hAnsi="Times New Roman"/>
        </w:rPr>
        <w:t xml:space="preserve">We would fail in our compliance with the Government-wide </w:t>
      </w:r>
      <w:r w:rsidRPr="00521AEB">
        <w:rPr>
          <w:rFonts w:ascii="Times New Roman" w:hAnsi="Times New Roman"/>
        </w:rPr>
        <w:t>objective to incr</w:t>
      </w:r>
      <w:r w:rsidR="00BA2A7F" w:rsidRPr="00521AEB">
        <w:rPr>
          <w:rFonts w:ascii="Times New Roman" w:hAnsi="Times New Roman"/>
        </w:rPr>
        <w:t>ease electronic collections</w:t>
      </w:r>
      <w:r w:rsidRPr="00521AEB">
        <w:rPr>
          <w:rFonts w:ascii="Times New Roman" w:hAnsi="Times New Roman"/>
        </w:rPr>
        <w:t>, which allows for more efficient, timely, and cost-effective processing.  Since the respondents use the SSA-4588</w:t>
      </w:r>
      <w:r w:rsidR="00BA2A7F" w:rsidRPr="00521AEB">
        <w:rPr>
          <w:rFonts w:ascii="Times New Roman" w:hAnsi="Times New Roman"/>
        </w:rPr>
        <w:t xml:space="preserve"> and the telephone payment </w:t>
      </w:r>
      <w:r w:rsidR="00133292" w:rsidRPr="00521AEB">
        <w:rPr>
          <w:rFonts w:ascii="Times New Roman" w:hAnsi="Times New Roman"/>
        </w:rPr>
        <w:t>method at</w:t>
      </w:r>
      <w:r w:rsidRPr="00521AEB">
        <w:rPr>
          <w:rFonts w:ascii="Times New Roman" w:hAnsi="Times New Roman"/>
        </w:rPr>
        <w:t xml:space="preserve"> their discretion to make a payment by credit card, SSA cannot collect the information less frequently.  There are no technical or legal obstacles </w:t>
      </w:r>
      <w:r w:rsidR="00BA2A7F" w:rsidRPr="00521AEB">
        <w:rPr>
          <w:rFonts w:ascii="Times New Roman" w:hAnsi="Times New Roman"/>
        </w:rPr>
        <w:t>that prevent burden reduction.</w:t>
      </w:r>
      <w:r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521AEB" w:rsidRDefault="00907FB7" w:rsidP="00907FB7">
      <w:pPr>
        <w:ind w:left="1440" w:hanging="720"/>
        <w:rPr>
          <w:rFonts w:ascii="Times New Roman" w:hAnsi="Times New Roman"/>
          <w:b/>
        </w:rPr>
      </w:pPr>
      <w:r w:rsidRPr="00521AEB">
        <w:rPr>
          <w:rFonts w:ascii="Times New Roman" w:hAnsi="Times New Roman"/>
          <w:b/>
        </w:rPr>
        <w:t>7.</w:t>
      </w:r>
      <w:r w:rsidRPr="00521AEB">
        <w:rPr>
          <w:rFonts w:ascii="Times New Roman" w:hAnsi="Times New Roman"/>
          <w:b/>
        </w:rPr>
        <w:tab/>
      </w:r>
      <w:r w:rsidR="00BA2A7F" w:rsidRPr="00521AEB">
        <w:rPr>
          <w:rFonts w:ascii="Times New Roman" w:hAnsi="Times New Roman"/>
          <w:b/>
        </w:rPr>
        <w:t xml:space="preserve">Special Circumstances - </w:t>
      </w:r>
      <w:r w:rsidRPr="00521AEB">
        <w:rPr>
          <w:rFonts w:ascii="Times New Roman" w:hAnsi="Times New Roman"/>
        </w:rPr>
        <w:t>There are no special circumstances that would cause SSA to conduct this information collection in a manner inconsistent with 5 CFR 1320.5.</w:t>
      </w:r>
    </w:p>
    <w:p w:rsidR="00907FB7" w:rsidRPr="00521AEB" w:rsidRDefault="00907FB7" w:rsidP="00907FB7">
      <w:pPr>
        <w:rPr>
          <w:rFonts w:ascii="Times New Roman" w:hAnsi="Times New Roman"/>
        </w:rPr>
      </w:pPr>
    </w:p>
    <w:p w:rsidR="00907FB7" w:rsidRPr="00521AEB" w:rsidRDefault="00907FB7" w:rsidP="00907FB7">
      <w:pPr>
        <w:ind w:left="1440" w:hanging="720"/>
        <w:rPr>
          <w:rFonts w:ascii="Times New Roman" w:hAnsi="Times New Roman"/>
          <w:i/>
        </w:rPr>
      </w:pPr>
      <w:r w:rsidRPr="00521AEB">
        <w:rPr>
          <w:rFonts w:ascii="Times New Roman" w:hAnsi="Times New Roman"/>
          <w:b/>
        </w:rPr>
        <w:t>8.</w:t>
      </w:r>
      <w:r w:rsidRPr="00521AEB">
        <w:rPr>
          <w:rFonts w:ascii="Times New Roman" w:hAnsi="Times New Roman"/>
          <w:i/>
        </w:rPr>
        <w:tab/>
      </w:r>
      <w:r w:rsidR="00BA2A7F" w:rsidRPr="00521AEB">
        <w:rPr>
          <w:rFonts w:ascii="Times New Roman" w:hAnsi="Times New Roman"/>
          <w:b/>
        </w:rPr>
        <w:t xml:space="preserve">Solicitation of Public Comment and Other Consultations with the Public </w:t>
      </w:r>
      <w:r w:rsidR="00BA2A7F" w:rsidRPr="00521AEB">
        <w:rPr>
          <w:rFonts w:ascii="Times New Roman" w:hAnsi="Times New Roman"/>
        </w:rPr>
        <w:t>- SSA published the 60-day advance Feder</w:t>
      </w:r>
      <w:r w:rsidR="00EE41FB">
        <w:rPr>
          <w:rFonts w:ascii="Times New Roman" w:hAnsi="Times New Roman"/>
        </w:rPr>
        <w:t>al Register Notice on December 15, 2011 at 76 FR 78068</w:t>
      </w:r>
      <w:r w:rsidR="00BA2A7F" w:rsidRPr="00521AEB">
        <w:rPr>
          <w:rFonts w:ascii="Times New Roman" w:hAnsi="Times New Roman"/>
        </w:rPr>
        <w:t>, and SSA received no public comments.  SSA published the 30-day advance Feder</w:t>
      </w:r>
      <w:r w:rsidR="00AC7E40">
        <w:rPr>
          <w:rFonts w:ascii="Times New Roman" w:hAnsi="Times New Roman"/>
        </w:rPr>
        <w:t xml:space="preserve">al Register Notice on January 29, 2012 </w:t>
      </w:r>
      <w:r w:rsidR="00581E3A">
        <w:rPr>
          <w:rFonts w:ascii="Times New Roman" w:hAnsi="Times New Roman"/>
        </w:rPr>
        <w:t>at 77 FR 12350</w:t>
      </w:r>
      <w:r w:rsidR="00BA2A7F" w:rsidRPr="00521AEB">
        <w:rPr>
          <w:rFonts w:ascii="Times New Roman" w:hAnsi="Times New Roman"/>
        </w:rPr>
        <w:t>.  SSA had no outside consultations with members of the public.</w:t>
      </w:r>
      <w:r w:rsidRPr="00521AEB">
        <w:rPr>
          <w:rFonts w:ascii="Times New Roman" w:hAnsi="Times New Roman"/>
        </w:rPr>
        <w:t xml:space="preserve"> </w:t>
      </w:r>
    </w:p>
    <w:p w:rsidR="00907FB7" w:rsidRPr="00521AEB" w:rsidRDefault="00907FB7" w:rsidP="00907FB7">
      <w:pPr>
        <w:tabs>
          <w:tab w:val="left" w:pos="-720"/>
        </w:tabs>
        <w:suppressAutoHyphens/>
        <w:ind w:left="1440" w:hanging="720"/>
        <w:rPr>
          <w:rFonts w:ascii="Times New Roman" w:hAnsi="Times New Roman"/>
        </w:rPr>
      </w:pPr>
    </w:p>
    <w:p w:rsidR="00907FB7" w:rsidRPr="00521AEB" w:rsidRDefault="00907FB7" w:rsidP="00521AEB">
      <w:pPr>
        <w:ind w:left="1440" w:hanging="720"/>
        <w:rPr>
          <w:rFonts w:ascii="Times New Roman" w:hAnsi="Times New Roman"/>
          <w:b/>
        </w:rPr>
      </w:pPr>
      <w:r w:rsidRPr="00521AEB">
        <w:rPr>
          <w:rFonts w:ascii="Times New Roman" w:hAnsi="Times New Roman"/>
          <w:b/>
        </w:rPr>
        <w:t>9.</w:t>
      </w:r>
      <w:r w:rsidRPr="00521AEB">
        <w:rPr>
          <w:rFonts w:ascii="Times New Roman" w:hAnsi="Times New Roman"/>
          <w:b/>
        </w:rPr>
        <w:tab/>
      </w:r>
      <w:r w:rsidR="00BA2A7F" w:rsidRPr="00521AEB">
        <w:rPr>
          <w:rFonts w:ascii="Times New Roman" w:hAnsi="Times New Roman"/>
          <w:b/>
        </w:rPr>
        <w:t xml:space="preserve">Payment of Gifts to Respondents - </w:t>
      </w:r>
      <w:r w:rsidRPr="00521AEB">
        <w:rPr>
          <w:rFonts w:ascii="Times New Roman" w:hAnsi="Times New Roman"/>
        </w:rPr>
        <w:t>SSA does not provide payments or gifts to the respondents.</w:t>
      </w:r>
    </w:p>
    <w:p w:rsidR="00907FB7" w:rsidRPr="00521AEB" w:rsidRDefault="00907FB7" w:rsidP="00907FB7">
      <w:pPr>
        <w:rPr>
          <w:rFonts w:ascii="Times New Roman" w:hAnsi="Times New Roman"/>
        </w:rPr>
      </w:pPr>
    </w:p>
    <w:p w:rsidR="00907FB7" w:rsidRPr="00521AEB" w:rsidRDefault="00907FB7" w:rsidP="00521AEB">
      <w:pPr>
        <w:ind w:left="1440" w:hanging="810"/>
        <w:rPr>
          <w:rFonts w:ascii="Times New Roman" w:hAnsi="Times New Roman"/>
        </w:rPr>
      </w:pPr>
      <w:r w:rsidRPr="00521AEB">
        <w:rPr>
          <w:rFonts w:ascii="Times New Roman" w:hAnsi="Times New Roman"/>
          <w:b/>
        </w:rPr>
        <w:t>10.</w:t>
      </w:r>
      <w:r w:rsidRPr="00521AEB">
        <w:rPr>
          <w:rFonts w:ascii="Times New Roman" w:hAnsi="Times New Roman"/>
          <w:b/>
        </w:rPr>
        <w:tab/>
      </w:r>
      <w:r w:rsidR="00BA2A7F" w:rsidRPr="00521AEB">
        <w:rPr>
          <w:rFonts w:ascii="Times New Roman" w:hAnsi="Times New Roman"/>
          <w:b/>
        </w:rPr>
        <w:t xml:space="preserve">Assurances of Confidentiality - </w:t>
      </w:r>
      <w:r w:rsidRPr="00521AEB">
        <w:rPr>
          <w:rFonts w:ascii="Times New Roman" w:hAnsi="Times New Roman"/>
        </w:rPr>
        <w:t>SSA protects and holds confidential the information it collects in accordance with</w:t>
      </w:r>
      <w:r w:rsidRPr="00521AEB">
        <w:rPr>
          <w:rFonts w:ascii="Times New Roman" w:hAnsi="Times New Roman"/>
          <w:i/>
        </w:rPr>
        <w:t xml:space="preserve"> </w:t>
      </w:r>
      <w:r w:rsidRPr="00521AEB">
        <w:rPr>
          <w:rFonts w:ascii="Times New Roman" w:hAnsi="Times New Roman"/>
        </w:rPr>
        <w:t>42 U.S.C. 1306, 20 CFR 401 and 402, 5 U.S.C. 552 (Freedom of Information Act), 5 U.S.C. 552a (Privacy Act of 1974), and OMB Circular No. A</w:t>
      </w:r>
      <w:r w:rsidRPr="00521AEB">
        <w:rPr>
          <w:rFonts w:ascii="Times New Roman" w:hAnsi="Times New Roman"/>
        </w:rPr>
        <w:noBreakHyphen/>
        <w:t xml:space="preserve">130. </w:t>
      </w:r>
    </w:p>
    <w:p w:rsidR="00907FB7" w:rsidRPr="00521AEB" w:rsidRDefault="00907FB7" w:rsidP="00521AEB">
      <w:pPr>
        <w:ind w:left="1530" w:hanging="900"/>
        <w:rPr>
          <w:rFonts w:ascii="Times New Roman" w:hAnsi="Times New Roman"/>
        </w:rPr>
      </w:pPr>
    </w:p>
    <w:p w:rsidR="00907FB7" w:rsidRPr="00521AEB" w:rsidRDefault="00907FB7" w:rsidP="00907FB7">
      <w:pPr>
        <w:ind w:left="1440" w:hanging="720"/>
        <w:rPr>
          <w:rFonts w:ascii="Times New Roman" w:hAnsi="Times New Roman"/>
        </w:rPr>
      </w:pPr>
      <w:r w:rsidRPr="00521AEB">
        <w:rPr>
          <w:rFonts w:ascii="Times New Roman" w:hAnsi="Times New Roman"/>
          <w:b/>
        </w:rPr>
        <w:t xml:space="preserve">11.       </w:t>
      </w:r>
      <w:r w:rsidR="00BA2A7F" w:rsidRPr="00521AEB">
        <w:rPr>
          <w:rFonts w:ascii="Times New Roman" w:hAnsi="Times New Roman"/>
          <w:b/>
        </w:rPr>
        <w:t xml:space="preserve">Justification for Sensitive Questions - </w:t>
      </w:r>
      <w:r w:rsidRPr="00521AEB">
        <w:rPr>
          <w:rFonts w:ascii="Times New Roman" w:hAnsi="Times New Roman"/>
        </w:rPr>
        <w:t>The information collection does not contain any questions of a sensitive nature.</w:t>
      </w:r>
    </w:p>
    <w:p w:rsidR="00907FB7" w:rsidRPr="00521AEB" w:rsidRDefault="00907FB7" w:rsidP="00907FB7">
      <w:pPr>
        <w:rPr>
          <w:rFonts w:ascii="Times New Roman" w:hAnsi="Times New Roman"/>
        </w:rPr>
      </w:pPr>
    </w:p>
    <w:p w:rsidR="00907FB7" w:rsidRPr="00521AEB" w:rsidRDefault="00907FB7" w:rsidP="00907FB7">
      <w:pPr>
        <w:ind w:left="1440" w:hanging="720"/>
        <w:rPr>
          <w:rFonts w:ascii="Times New Roman" w:hAnsi="Times New Roman"/>
        </w:rPr>
      </w:pPr>
      <w:r w:rsidRPr="00521AEB">
        <w:rPr>
          <w:rFonts w:ascii="Times New Roman" w:hAnsi="Times New Roman"/>
          <w:b/>
        </w:rPr>
        <w:t>12.</w:t>
      </w:r>
      <w:r w:rsidRPr="00521AEB">
        <w:rPr>
          <w:rFonts w:ascii="Times New Roman" w:hAnsi="Times New Roman"/>
          <w:b/>
        </w:rPr>
        <w:tab/>
      </w:r>
      <w:r w:rsidR="00133292" w:rsidRPr="00521AEB">
        <w:rPr>
          <w:rFonts w:ascii="Times New Roman" w:hAnsi="Times New Roman"/>
          <w:b/>
        </w:rPr>
        <w:t xml:space="preserve">Estimates of Public Reporting Burden - </w:t>
      </w:r>
      <w:r w:rsidR="00133292" w:rsidRPr="00521AEB">
        <w:rPr>
          <w:rFonts w:ascii="Times New Roman" w:hAnsi="Times New Roman"/>
        </w:rPr>
        <w:t>The total burden</w:t>
      </w:r>
      <w:r w:rsidRPr="00521AEB">
        <w:rPr>
          <w:rFonts w:ascii="Times New Roman" w:hAnsi="Times New Roman"/>
        </w:rPr>
        <w:t xml:space="preserve"> is 16,477 hours. </w:t>
      </w:r>
      <w:r w:rsidR="00DE7D12" w:rsidRPr="00521AEB">
        <w:rPr>
          <w:rFonts w:ascii="Times New Roman" w:hAnsi="Times New Roman"/>
        </w:rPr>
        <w:t xml:space="preserve"> </w:t>
      </w:r>
      <w:r w:rsidRPr="00521AEB">
        <w:rPr>
          <w:rFonts w:ascii="Times New Roman" w:hAnsi="Times New Roman"/>
        </w:rPr>
        <w:t>This figure represents burden hours</w:t>
      </w:r>
      <w:r w:rsidR="00DE7D12" w:rsidRPr="00521AEB">
        <w:rPr>
          <w:rFonts w:ascii="Times New Roman" w:hAnsi="Times New Roman"/>
        </w:rPr>
        <w:t>,</w:t>
      </w:r>
      <w:r w:rsidRPr="00521AEB">
        <w:rPr>
          <w:rFonts w:ascii="Times New Roman" w:hAnsi="Times New Roman"/>
        </w:rPr>
        <w:t xml:space="preserve"> and we did not calculate a separate</w:t>
      </w:r>
      <w:r w:rsidR="00DE7D12" w:rsidRPr="00521AEB">
        <w:rPr>
          <w:rFonts w:ascii="Times New Roman" w:hAnsi="Times New Roman"/>
        </w:rPr>
        <w:t xml:space="preserve"> cost</w:t>
      </w:r>
      <w:r w:rsidRPr="00521AEB">
        <w:rPr>
          <w:rFonts w:ascii="Times New Roman" w:hAnsi="Times New Roman"/>
        </w:rPr>
        <w:t xml:space="preserve"> burden. </w:t>
      </w:r>
      <w:r w:rsidR="00DE7D12" w:rsidRPr="00521AEB">
        <w:rPr>
          <w:rFonts w:ascii="Times New Roman" w:hAnsi="Times New Roman"/>
        </w:rPr>
        <w:t xml:space="preserve"> </w:t>
      </w:r>
    </w:p>
    <w:p w:rsidR="00221102" w:rsidRPr="00521AEB" w:rsidRDefault="00221102" w:rsidP="00907FB7">
      <w:pPr>
        <w:ind w:left="1440" w:hanging="720"/>
        <w:rPr>
          <w:rFonts w:ascii="Times New Roman" w:hAnsi="Times New Roman"/>
        </w:rPr>
      </w:pPr>
    </w:p>
    <w:p w:rsidR="00907FB7" w:rsidRPr="00521AEB" w:rsidRDefault="00907FB7" w:rsidP="00907FB7">
      <w:pPr>
        <w:ind w:left="720"/>
        <w:rPr>
          <w:rFonts w:ascii="Times New Roman" w:hAnsi="Times New Roman"/>
        </w:rPr>
      </w:pPr>
    </w:p>
    <w:p w:rsidR="00133292" w:rsidRPr="00521AEB" w:rsidRDefault="00133292" w:rsidP="00907FB7">
      <w:pPr>
        <w:ind w:left="720"/>
        <w:rPr>
          <w:rFonts w:ascii="Times New Roman" w:hAnsi="Times New Roman"/>
        </w:rPr>
      </w:pPr>
    </w:p>
    <w:p w:rsidR="00133292" w:rsidRPr="00521AEB" w:rsidRDefault="00133292" w:rsidP="00907FB7">
      <w:pPr>
        <w:ind w:left="720"/>
        <w:rPr>
          <w:rFonts w:ascii="Times New Roman" w:hAnsi="Times New Roman"/>
        </w:rPr>
      </w:pPr>
    </w:p>
    <w:p w:rsidR="00907FB7" w:rsidRPr="00521AEB" w:rsidRDefault="00907FB7" w:rsidP="00907FB7">
      <w:pPr>
        <w:ind w:left="720"/>
        <w:rPr>
          <w:rFonts w:ascii="Times New Roman" w:hAnsi="Times New Roman"/>
        </w:rPr>
      </w:pPr>
    </w:p>
    <w:tbl>
      <w:tblPr>
        <w:tblStyle w:val="TableGrid"/>
        <w:tblW w:w="0" w:type="auto"/>
        <w:tblInd w:w="1447" w:type="dxa"/>
        <w:tblLayout w:type="fixed"/>
        <w:tblLook w:val="01E0"/>
      </w:tblPr>
      <w:tblGrid>
        <w:gridCol w:w="1620"/>
        <w:gridCol w:w="1530"/>
        <w:gridCol w:w="1530"/>
        <w:gridCol w:w="1710"/>
        <w:gridCol w:w="1530"/>
      </w:tblGrid>
      <w:tr w:rsidR="00EE41FB" w:rsidRPr="00521AEB" w:rsidTr="00EE41FB">
        <w:tc>
          <w:tcPr>
            <w:tcW w:w="1620" w:type="dxa"/>
          </w:tcPr>
          <w:p w:rsidR="00EE41FB" w:rsidRPr="00634B1F" w:rsidRDefault="00EE41FB" w:rsidP="00521AEB">
            <w:pPr>
              <w:rPr>
                <w:b/>
              </w:rPr>
            </w:pPr>
            <w:r w:rsidRPr="00634B1F">
              <w:rPr>
                <w:b/>
              </w:rPr>
              <w:t>Collection</w:t>
            </w:r>
          </w:p>
          <w:p w:rsidR="00EE41FB" w:rsidRPr="00634B1F" w:rsidRDefault="00EE41FB" w:rsidP="00521AEB">
            <w:pPr>
              <w:rPr>
                <w:b/>
              </w:rPr>
            </w:pPr>
            <w:r w:rsidRPr="00634B1F">
              <w:rPr>
                <w:b/>
              </w:rPr>
              <w:t>Method</w:t>
            </w:r>
          </w:p>
        </w:tc>
        <w:tc>
          <w:tcPr>
            <w:tcW w:w="1530" w:type="dxa"/>
          </w:tcPr>
          <w:p w:rsidR="00EE41FB" w:rsidRPr="00634B1F" w:rsidRDefault="00EE41FB" w:rsidP="00521AEB">
            <w:pPr>
              <w:rPr>
                <w:b/>
              </w:rPr>
            </w:pPr>
            <w:r w:rsidRPr="00634B1F">
              <w:rPr>
                <w:b/>
              </w:rPr>
              <w:t>Number of Respondents</w:t>
            </w:r>
          </w:p>
        </w:tc>
        <w:tc>
          <w:tcPr>
            <w:tcW w:w="1530" w:type="dxa"/>
          </w:tcPr>
          <w:p w:rsidR="00EE41FB" w:rsidRPr="00634B1F" w:rsidRDefault="00EE41FB" w:rsidP="00521AEB">
            <w:pPr>
              <w:rPr>
                <w:b/>
              </w:rPr>
            </w:pPr>
            <w:r w:rsidRPr="00634B1F">
              <w:rPr>
                <w:b/>
              </w:rPr>
              <w:t>Frequency of Response</w:t>
            </w:r>
          </w:p>
        </w:tc>
        <w:tc>
          <w:tcPr>
            <w:tcW w:w="1710" w:type="dxa"/>
          </w:tcPr>
          <w:p w:rsidR="00EE41FB" w:rsidRPr="00634B1F" w:rsidRDefault="00EE41FB" w:rsidP="00521AEB">
            <w:pPr>
              <w:rPr>
                <w:b/>
              </w:rPr>
            </w:pPr>
            <w:r w:rsidRPr="00634B1F">
              <w:rPr>
                <w:b/>
              </w:rPr>
              <w:t>Average Burden Per Response (minutes)</w:t>
            </w:r>
          </w:p>
        </w:tc>
        <w:tc>
          <w:tcPr>
            <w:tcW w:w="1530" w:type="dxa"/>
          </w:tcPr>
          <w:p w:rsidR="00EE41FB" w:rsidRPr="00634B1F" w:rsidRDefault="00EE41FB" w:rsidP="00EE41FB">
            <w:pPr>
              <w:rPr>
                <w:b/>
              </w:rPr>
            </w:pPr>
            <w:r w:rsidRPr="00634B1F">
              <w:rPr>
                <w:b/>
              </w:rPr>
              <w:t>Estimated Total Annual Burden (hours)</w:t>
            </w:r>
          </w:p>
        </w:tc>
      </w:tr>
      <w:tr w:rsidR="00EE41FB" w:rsidRPr="00521AEB" w:rsidTr="00EE41FB">
        <w:trPr>
          <w:trHeight w:val="368"/>
        </w:trPr>
        <w:tc>
          <w:tcPr>
            <w:tcW w:w="1620" w:type="dxa"/>
          </w:tcPr>
          <w:p w:rsidR="00EE41FB" w:rsidRPr="00521AEB" w:rsidRDefault="00EE41FB" w:rsidP="00521AEB">
            <w:r w:rsidRPr="00521AEB">
              <w:t>SSA-4588</w:t>
            </w:r>
          </w:p>
        </w:tc>
        <w:tc>
          <w:tcPr>
            <w:tcW w:w="1530" w:type="dxa"/>
          </w:tcPr>
          <w:p w:rsidR="00EE41FB" w:rsidRPr="00521AEB" w:rsidRDefault="00EE41FB" w:rsidP="00EE41FB">
            <w:pPr>
              <w:jc w:val="right"/>
            </w:pPr>
            <w:r w:rsidRPr="00521AEB">
              <w:t>13,200</w:t>
            </w:r>
          </w:p>
        </w:tc>
        <w:tc>
          <w:tcPr>
            <w:tcW w:w="1530" w:type="dxa"/>
          </w:tcPr>
          <w:p w:rsidR="00EE41FB" w:rsidRPr="00521AEB" w:rsidRDefault="00AC7E40" w:rsidP="00EE41FB">
            <w:pPr>
              <w:jc w:val="right"/>
            </w:pPr>
            <w:r>
              <w:t>1</w:t>
            </w:r>
          </w:p>
        </w:tc>
        <w:tc>
          <w:tcPr>
            <w:tcW w:w="1710" w:type="dxa"/>
          </w:tcPr>
          <w:p w:rsidR="00EE41FB" w:rsidRPr="00521AEB" w:rsidRDefault="00EE41FB" w:rsidP="00EE41FB">
            <w:pPr>
              <w:jc w:val="right"/>
            </w:pPr>
            <w:r w:rsidRPr="00521AEB">
              <w:t>10</w:t>
            </w:r>
          </w:p>
        </w:tc>
        <w:tc>
          <w:tcPr>
            <w:tcW w:w="1530" w:type="dxa"/>
          </w:tcPr>
          <w:p w:rsidR="00EE41FB" w:rsidRPr="00521AEB" w:rsidRDefault="00EE41FB" w:rsidP="00EE41FB">
            <w:pPr>
              <w:jc w:val="right"/>
            </w:pPr>
            <w:r w:rsidRPr="00521AEB">
              <w:t>2,200</w:t>
            </w:r>
          </w:p>
        </w:tc>
      </w:tr>
      <w:tr w:rsidR="00EE41FB" w:rsidRPr="00521AEB" w:rsidTr="00EE41FB">
        <w:trPr>
          <w:trHeight w:val="710"/>
        </w:trPr>
        <w:tc>
          <w:tcPr>
            <w:tcW w:w="1620" w:type="dxa"/>
          </w:tcPr>
          <w:p w:rsidR="00AC7E40" w:rsidRDefault="00AC7E40" w:rsidP="00521AEB">
            <w:r>
              <w:t>Telephone</w:t>
            </w:r>
            <w:r w:rsidR="00581E3A">
              <w:t xml:space="preserve"> (intranet)</w:t>
            </w:r>
          </w:p>
          <w:p w:rsidR="00EE41FB" w:rsidRPr="00521AEB" w:rsidRDefault="00EE41FB" w:rsidP="00521AEB">
            <w:r w:rsidRPr="00521AEB">
              <w:t>Application</w:t>
            </w:r>
          </w:p>
        </w:tc>
        <w:tc>
          <w:tcPr>
            <w:tcW w:w="1530" w:type="dxa"/>
          </w:tcPr>
          <w:p w:rsidR="00EE41FB" w:rsidRPr="00521AEB" w:rsidRDefault="00EE41FB" w:rsidP="00EE41FB">
            <w:pPr>
              <w:jc w:val="right"/>
            </w:pPr>
          </w:p>
          <w:p w:rsidR="00EE41FB" w:rsidRPr="00521AEB" w:rsidRDefault="00EE41FB" w:rsidP="00EE41FB">
            <w:pPr>
              <w:jc w:val="right"/>
            </w:pPr>
            <w:r w:rsidRPr="00521AEB">
              <w:t>171,320</w:t>
            </w:r>
          </w:p>
        </w:tc>
        <w:tc>
          <w:tcPr>
            <w:tcW w:w="1530" w:type="dxa"/>
          </w:tcPr>
          <w:p w:rsidR="00EE41FB" w:rsidRDefault="00EE41FB" w:rsidP="00EE41FB">
            <w:pPr>
              <w:jc w:val="right"/>
            </w:pPr>
          </w:p>
          <w:p w:rsidR="00AC7E40" w:rsidRPr="00521AEB" w:rsidRDefault="00AC7E40" w:rsidP="00EE41FB">
            <w:pPr>
              <w:jc w:val="right"/>
            </w:pPr>
            <w:r>
              <w:t>1</w:t>
            </w:r>
          </w:p>
        </w:tc>
        <w:tc>
          <w:tcPr>
            <w:tcW w:w="1710" w:type="dxa"/>
          </w:tcPr>
          <w:p w:rsidR="00EE41FB" w:rsidRPr="00521AEB" w:rsidRDefault="00EE41FB" w:rsidP="00EE41FB">
            <w:pPr>
              <w:jc w:val="right"/>
            </w:pPr>
          </w:p>
          <w:p w:rsidR="00EE41FB" w:rsidRPr="00521AEB" w:rsidRDefault="00EE41FB" w:rsidP="00EE41FB">
            <w:pPr>
              <w:jc w:val="right"/>
            </w:pPr>
            <w:r w:rsidRPr="00521AEB">
              <w:t>5</w:t>
            </w:r>
          </w:p>
        </w:tc>
        <w:tc>
          <w:tcPr>
            <w:tcW w:w="1530" w:type="dxa"/>
          </w:tcPr>
          <w:p w:rsidR="00EE41FB" w:rsidRPr="00521AEB" w:rsidRDefault="00EE41FB" w:rsidP="00EE41FB">
            <w:pPr>
              <w:jc w:val="right"/>
            </w:pPr>
          </w:p>
          <w:p w:rsidR="00EE41FB" w:rsidRPr="00521AEB" w:rsidRDefault="00EE41FB" w:rsidP="00EE41FB">
            <w:pPr>
              <w:jc w:val="right"/>
            </w:pPr>
            <w:r w:rsidRPr="00521AEB">
              <w:t>14,277</w:t>
            </w:r>
          </w:p>
        </w:tc>
      </w:tr>
      <w:tr w:rsidR="00EE41FB" w:rsidRPr="00521AEB" w:rsidTr="00EE41FB">
        <w:trPr>
          <w:trHeight w:val="701"/>
        </w:trPr>
        <w:tc>
          <w:tcPr>
            <w:tcW w:w="1620" w:type="dxa"/>
            <w:shd w:val="clear" w:color="auto" w:fill="FFFFFF" w:themeFill="background1"/>
          </w:tcPr>
          <w:p w:rsidR="00EE41FB" w:rsidRPr="00AC7E40" w:rsidRDefault="00EE41FB" w:rsidP="00521AEB">
            <w:pPr>
              <w:rPr>
                <w:b/>
              </w:rPr>
            </w:pPr>
          </w:p>
          <w:p w:rsidR="00EE41FB" w:rsidRPr="00AC7E40" w:rsidRDefault="00EE41FB" w:rsidP="00521AEB">
            <w:pPr>
              <w:rPr>
                <w:b/>
              </w:rPr>
            </w:pPr>
            <w:r w:rsidRPr="00AC7E40">
              <w:rPr>
                <w:b/>
              </w:rPr>
              <w:t>Total</w:t>
            </w:r>
          </w:p>
        </w:tc>
        <w:tc>
          <w:tcPr>
            <w:tcW w:w="1530" w:type="dxa"/>
            <w:shd w:val="clear" w:color="auto" w:fill="FFFFFF" w:themeFill="background1"/>
          </w:tcPr>
          <w:p w:rsidR="00EE41FB" w:rsidRPr="00AC7E40" w:rsidRDefault="00EE41FB" w:rsidP="00EE41FB">
            <w:pPr>
              <w:jc w:val="right"/>
              <w:rPr>
                <w:b/>
              </w:rPr>
            </w:pPr>
          </w:p>
          <w:p w:rsidR="00EE41FB" w:rsidRPr="00AC7E40" w:rsidRDefault="00EE41FB" w:rsidP="00EE41FB">
            <w:pPr>
              <w:jc w:val="right"/>
              <w:rPr>
                <w:b/>
              </w:rPr>
            </w:pPr>
            <w:r w:rsidRPr="00AC7E40">
              <w:rPr>
                <w:b/>
              </w:rPr>
              <w:t>184,520</w:t>
            </w:r>
          </w:p>
        </w:tc>
        <w:tc>
          <w:tcPr>
            <w:tcW w:w="1530" w:type="dxa"/>
            <w:shd w:val="clear" w:color="auto" w:fill="FFFFFF" w:themeFill="background1"/>
          </w:tcPr>
          <w:p w:rsidR="00EE41FB" w:rsidRPr="00AC7E40" w:rsidRDefault="00EE41FB" w:rsidP="00EE41FB">
            <w:pPr>
              <w:jc w:val="right"/>
              <w:rPr>
                <w:b/>
              </w:rPr>
            </w:pPr>
          </w:p>
          <w:p w:rsidR="00AC7E40" w:rsidRPr="00AC7E40" w:rsidRDefault="00AC7E40" w:rsidP="00EE41FB">
            <w:pPr>
              <w:jc w:val="right"/>
              <w:rPr>
                <w:b/>
              </w:rPr>
            </w:pPr>
            <w:r w:rsidRPr="00AC7E40">
              <w:rPr>
                <w:b/>
              </w:rPr>
              <w:t>1</w:t>
            </w:r>
          </w:p>
        </w:tc>
        <w:tc>
          <w:tcPr>
            <w:tcW w:w="1710" w:type="dxa"/>
            <w:shd w:val="clear" w:color="auto" w:fill="FFFFFF" w:themeFill="background1"/>
          </w:tcPr>
          <w:p w:rsidR="00EE41FB" w:rsidRPr="00AC7E40" w:rsidRDefault="00EE41FB" w:rsidP="00EE41FB">
            <w:pPr>
              <w:jc w:val="right"/>
              <w:rPr>
                <w:b/>
              </w:rPr>
            </w:pPr>
          </w:p>
        </w:tc>
        <w:tc>
          <w:tcPr>
            <w:tcW w:w="1530" w:type="dxa"/>
            <w:shd w:val="clear" w:color="auto" w:fill="FFFFFF" w:themeFill="background1"/>
          </w:tcPr>
          <w:p w:rsidR="00EE41FB" w:rsidRPr="00AC7E40" w:rsidRDefault="00EE41FB" w:rsidP="00EE41FB">
            <w:pPr>
              <w:jc w:val="right"/>
              <w:rPr>
                <w:b/>
              </w:rPr>
            </w:pPr>
          </w:p>
          <w:p w:rsidR="00EE41FB" w:rsidRPr="00AC7E40" w:rsidRDefault="00EE41FB" w:rsidP="00EE41FB">
            <w:pPr>
              <w:jc w:val="right"/>
              <w:rPr>
                <w:b/>
              </w:rPr>
            </w:pPr>
            <w:r w:rsidRPr="00AC7E40">
              <w:rPr>
                <w:b/>
              </w:rPr>
              <w:t>16,477</w:t>
            </w:r>
          </w:p>
        </w:tc>
      </w:tr>
    </w:tbl>
    <w:p w:rsidR="00907FB7" w:rsidRPr="00521AEB" w:rsidRDefault="00907FB7" w:rsidP="00907FB7">
      <w:pPr>
        <w:rPr>
          <w:rFonts w:ascii="Times New Roman" w:hAnsi="Times New Roman"/>
        </w:rPr>
      </w:pPr>
    </w:p>
    <w:p w:rsidR="00907FB7" w:rsidRPr="00521AEB" w:rsidRDefault="00907FB7" w:rsidP="00907FB7">
      <w:pPr>
        <w:rPr>
          <w:rFonts w:ascii="Times New Roman" w:hAnsi="Times New Roman"/>
        </w:rPr>
      </w:pPr>
    </w:p>
    <w:p w:rsidR="00907FB7" w:rsidRPr="00521AEB" w:rsidRDefault="00907FB7" w:rsidP="00133292">
      <w:pPr>
        <w:ind w:left="1440" w:hanging="720"/>
        <w:rPr>
          <w:rFonts w:ascii="Times New Roman" w:hAnsi="Times New Roman"/>
        </w:rPr>
      </w:pPr>
      <w:r w:rsidRPr="00521AEB">
        <w:rPr>
          <w:rFonts w:ascii="Times New Roman" w:hAnsi="Times New Roman"/>
          <w:b/>
        </w:rPr>
        <w:t>13.</w:t>
      </w:r>
      <w:r w:rsidRPr="00521AEB">
        <w:rPr>
          <w:rFonts w:ascii="Times New Roman" w:hAnsi="Times New Roman"/>
          <w:b/>
        </w:rPr>
        <w:tab/>
      </w:r>
      <w:r w:rsidR="00133292" w:rsidRPr="00521AEB">
        <w:rPr>
          <w:rFonts w:ascii="Times New Roman" w:hAnsi="Times New Roman"/>
          <w:b/>
        </w:rPr>
        <w:t xml:space="preserve">Cost to Respondents – </w:t>
      </w:r>
      <w:r w:rsidRPr="00521AEB">
        <w:rPr>
          <w:rFonts w:ascii="Times New Roman" w:hAnsi="Times New Roman"/>
        </w:rPr>
        <w:t>T</w:t>
      </w:r>
      <w:r w:rsidR="00133292" w:rsidRPr="00521AEB">
        <w:rPr>
          <w:rFonts w:ascii="Times New Roman" w:hAnsi="Times New Roman"/>
        </w:rPr>
        <w:t>here is no known cost burden to the respondents.</w:t>
      </w:r>
    </w:p>
    <w:p w:rsidR="00907FB7" w:rsidRPr="00521AEB" w:rsidRDefault="00907FB7" w:rsidP="00907FB7">
      <w:pPr>
        <w:rPr>
          <w:rFonts w:ascii="Times New Roman" w:hAnsi="Times New Roman"/>
          <w:b/>
        </w:rPr>
      </w:pPr>
    </w:p>
    <w:p w:rsidR="00907FB7" w:rsidRPr="00521AEB" w:rsidRDefault="00907FB7" w:rsidP="00907FB7">
      <w:pPr>
        <w:tabs>
          <w:tab w:val="left" w:pos="735"/>
        </w:tabs>
        <w:ind w:left="1440" w:hanging="1440"/>
        <w:rPr>
          <w:rFonts w:ascii="Times New Roman" w:hAnsi="Times New Roman"/>
        </w:rPr>
      </w:pPr>
      <w:r w:rsidRPr="00521AEB">
        <w:rPr>
          <w:rFonts w:ascii="Times New Roman" w:hAnsi="Times New Roman"/>
          <w:b/>
        </w:rPr>
        <w:tab/>
        <w:t>14.</w:t>
      </w:r>
      <w:r w:rsidRPr="00521AEB">
        <w:rPr>
          <w:rFonts w:ascii="Times New Roman" w:hAnsi="Times New Roman"/>
          <w:b/>
        </w:rPr>
        <w:tab/>
      </w:r>
      <w:r w:rsidR="00133292" w:rsidRPr="00521AEB">
        <w:rPr>
          <w:rFonts w:ascii="Times New Roman" w:hAnsi="Times New Roman"/>
          <w:b/>
        </w:rPr>
        <w:t xml:space="preserve">Annual Cost to the Federal Government - </w:t>
      </w:r>
      <w:r w:rsidRPr="00521AEB">
        <w:rPr>
          <w:rFonts w:ascii="Times New Roman" w:hAnsi="Times New Roman"/>
        </w:rPr>
        <w:t>The annual cost to the Federal Government is approximately $</w:t>
      </w:r>
      <w:r w:rsidR="00AF456D" w:rsidRPr="00521AEB">
        <w:rPr>
          <w:rFonts w:ascii="Times New Roman" w:hAnsi="Times New Roman"/>
        </w:rPr>
        <w:t>252,0</w:t>
      </w:r>
      <w:r w:rsidR="00221102" w:rsidRPr="00521AEB">
        <w:rPr>
          <w:rFonts w:ascii="Times New Roman" w:hAnsi="Times New Roman"/>
        </w:rPr>
        <w:t>00</w:t>
      </w:r>
      <w:r w:rsidRPr="00521AEB">
        <w:rPr>
          <w:rFonts w:ascii="Times New Roman" w:hAnsi="Times New Roman"/>
        </w:rPr>
        <w:t xml:space="preserve">.  This </w:t>
      </w:r>
      <w:r w:rsidR="00AE7769" w:rsidRPr="00521AEB">
        <w:rPr>
          <w:rFonts w:ascii="Times New Roman" w:hAnsi="Times New Roman"/>
        </w:rPr>
        <w:t>figure represents estimated</w:t>
      </w:r>
      <w:r w:rsidRPr="00521AEB">
        <w:rPr>
          <w:rFonts w:ascii="Times New Roman" w:hAnsi="Times New Roman"/>
        </w:rPr>
        <w:t xml:space="preserve"> costs for printing and processing the SSA-4588</w:t>
      </w:r>
      <w:r w:rsidR="000D4484" w:rsidRPr="00521AEB">
        <w:rPr>
          <w:rFonts w:ascii="Times New Roman" w:hAnsi="Times New Roman"/>
        </w:rPr>
        <w:t xml:space="preserve"> and </w:t>
      </w:r>
      <w:r w:rsidR="00794EA7">
        <w:rPr>
          <w:rFonts w:ascii="Times New Roman" w:hAnsi="Times New Roman"/>
        </w:rPr>
        <w:t>telephone</w:t>
      </w:r>
      <w:r w:rsidR="008C764D" w:rsidRPr="00521AEB">
        <w:rPr>
          <w:rFonts w:ascii="Times New Roman" w:hAnsi="Times New Roman"/>
        </w:rPr>
        <w:t xml:space="preserve"> application</w:t>
      </w:r>
      <w:r w:rsidR="00C40C6D" w:rsidRPr="00521AEB">
        <w:rPr>
          <w:rFonts w:ascii="Times New Roman" w:hAnsi="Times New Roman"/>
        </w:rPr>
        <w:t xml:space="preserve"> requests</w:t>
      </w:r>
      <w:r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521AEB" w:rsidRDefault="00907FB7" w:rsidP="00907FB7">
      <w:pPr>
        <w:ind w:left="1440" w:hanging="720"/>
        <w:rPr>
          <w:rFonts w:ascii="Times New Roman" w:hAnsi="Times New Roman"/>
          <w:i/>
        </w:rPr>
      </w:pPr>
      <w:r w:rsidRPr="00521AEB">
        <w:rPr>
          <w:rFonts w:ascii="Times New Roman" w:hAnsi="Times New Roman"/>
          <w:b/>
        </w:rPr>
        <w:t xml:space="preserve">15. </w:t>
      </w:r>
      <w:r w:rsidRPr="00521AEB">
        <w:rPr>
          <w:rFonts w:ascii="Times New Roman" w:hAnsi="Times New Roman"/>
          <w:b/>
        </w:rPr>
        <w:tab/>
      </w:r>
      <w:r w:rsidR="00133292" w:rsidRPr="00521AEB">
        <w:rPr>
          <w:rFonts w:ascii="Times New Roman" w:hAnsi="Times New Roman"/>
          <w:b/>
        </w:rPr>
        <w:t xml:space="preserve">Program Changes or Adjustments to the Information Collection - </w:t>
      </w:r>
      <w:r w:rsidR="00535D2D">
        <w:rPr>
          <w:rFonts w:ascii="Times New Roman" w:hAnsi="Times New Roman"/>
        </w:rPr>
        <w:t>When we last cleared this information collection</w:t>
      </w:r>
      <w:r w:rsidRPr="00521AEB">
        <w:rPr>
          <w:rFonts w:ascii="Times New Roman" w:hAnsi="Times New Roman"/>
        </w:rPr>
        <w:t xml:space="preserve"> in 2009, the burden was 3,625 hours.  However, we are currently reporting a burden of 16,47</w:t>
      </w:r>
      <w:r w:rsidR="00EE41FB">
        <w:rPr>
          <w:rFonts w:ascii="Times New Roman" w:hAnsi="Times New Roman"/>
        </w:rPr>
        <w:t xml:space="preserve">7 hours.  Our </w:t>
      </w:r>
      <w:r w:rsidR="003069C4" w:rsidRPr="00521AEB">
        <w:rPr>
          <w:rFonts w:ascii="Times New Roman" w:hAnsi="Times New Roman"/>
        </w:rPr>
        <w:t xml:space="preserve">data indicates an increase in the total number of respondents from 40,000 to 184,520.  </w:t>
      </w:r>
      <w:r w:rsidR="00581E3A">
        <w:rPr>
          <w:rFonts w:ascii="Times New Roman" w:hAnsi="Times New Roman"/>
        </w:rPr>
        <w:t>The reason for the increase is twofold:  1) r</w:t>
      </w:r>
      <w:r w:rsidR="00133292" w:rsidRPr="00521AEB">
        <w:rPr>
          <w:rFonts w:ascii="Times New Roman" w:hAnsi="Times New Roman"/>
        </w:rPr>
        <w:t xml:space="preserve">espondents are more familiar with paying debts </w:t>
      </w:r>
      <w:r w:rsidR="00A217E0">
        <w:rPr>
          <w:rFonts w:ascii="Times New Roman" w:hAnsi="Times New Roman"/>
        </w:rPr>
        <w:t>via credit card</w:t>
      </w:r>
      <w:r w:rsidR="00794EA7">
        <w:rPr>
          <w:rFonts w:ascii="Times New Roman" w:hAnsi="Times New Roman"/>
        </w:rPr>
        <w:t xml:space="preserve">; </w:t>
      </w:r>
      <w:r w:rsidR="00581E3A">
        <w:rPr>
          <w:rFonts w:ascii="Times New Roman" w:hAnsi="Times New Roman"/>
        </w:rPr>
        <w:t xml:space="preserve">and 2) </w:t>
      </w:r>
      <w:r w:rsidR="00586B77" w:rsidRPr="00521AEB">
        <w:rPr>
          <w:rFonts w:ascii="Times New Roman" w:hAnsi="Times New Roman"/>
        </w:rPr>
        <w:t xml:space="preserve">our credit card process has changed since </w:t>
      </w:r>
      <w:r w:rsidR="00535D2D">
        <w:rPr>
          <w:rFonts w:ascii="Times New Roman" w:hAnsi="Times New Roman"/>
        </w:rPr>
        <w:t>the last clearance</w:t>
      </w:r>
      <w:r w:rsidR="00133292" w:rsidRPr="00521AEB">
        <w:rPr>
          <w:rFonts w:ascii="Times New Roman" w:hAnsi="Times New Roman"/>
        </w:rPr>
        <w:t xml:space="preserve">, allowing the debtor </w:t>
      </w:r>
      <w:r w:rsidR="00586B77" w:rsidRPr="00521AEB">
        <w:rPr>
          <w:rFonts w:ascii="Times New Roman" w:hAnsi="Times New Roman"/>
        </w:rPr>
        <w:t xml:space="preserve">to make monthly recurring credit card payments via the SSA-4588 form. </w:t>
      </w:r>
      <w:r w:rsidR="003069C4" w:rsidRPr="00521AEB">
        <w:rPr>
          <w:rFonts w:ascii="Times New Roman" w:hAnsi="Times New Roman"/>
        </w:rPr>
        <w:t xml:space="preserve"> </w:t>
      </w:r>
    </w:p>
    <w:p w:rsidR="00907FB7" w:rsidRPr="00521AEB" w:rsidRDefault="00907FB7" w:rsidP="00907FB7">
      <w:pPr>
        <w:rPr>
          <w:rFonts w:ascii="Times New Roman" w:hAnsi="Times New Roman"/>
          <w:b/>
        </w:rPr>
      </w:pPr>
    </w:p>
    <w:p w:rsidR="00907FB7" w:rsidRPr="00521AEB" w:rsidRDefault="00907FB7" w:rsidP="00521AEB">
      <w:pPr>
        <w:ind w:left="1440" w:hanging="720"/>
        <w:rPr>
          <w:rFonts w:ascii="Times New Roman" w:hAnsi="Times New Roman"/>
        </w:rPr>
      </w:pPr>
      <w:r w:rsidRPr="00521AEB">
        <w:rPr>
          <w:rFonts w:ascii="Times New Roman" w:hAnsi="Times New Roman"/>
          <w:b/>
        </w:rPr>
        <w:t>16.</w:t>
      </w:r>
      <w:r w:rsidRPr="00521AEB">
        <w:rPr>
          <w:rFonts w:ascii="Times New Roman" w:hAnsi="Times New Roman"/>
          <w:b/>
        </w:rPr>
        <w:tab/>
      </w:r>
      <w:r w:rsidR="00133292" w:rsidRPr="00521AEB">
        <w:rPr>
          <w:rFonts w:ascii="Times New Roman" w:hAnsi="Times New Roman"/>
          <w:b/>
        </w:rPr>
        <w:t xml:space="preserve">Plans for Publication Information Collection Results - </w:t>
      </w:r>
      <w:r w:rsidRPr="00521AEB">
        <w:rPr>
          <w:rFonts w:ascii="Times New Roman" w:hAnsi="Times New Roman"/>
        </w:rPr>
        <w:t>SSA will not publish the results of the information collection.</w:t>
      </w:r>
    </w:p>
    <w:p w:rsidR="00907FB7" w:rsidRPr="00521AEB" w:rsidRDefault="00907FB7" w:rsidP="00907FB7">
      <w:pPr>
        <w:rPr>
          <w:rFonts w:ascii="Times New Roman" w:hAnsi="Times New Roman"/>
          <w:b/>
        </w:rPr>
      </w:pPr>
    </w:p>
    <w:p w:rsidR="00907FB7" w:rsidRPr="00521AEB" w:rsidRDefault="00907FB7" w:rsidP="00907FB7">
      <w:pPr>
        <w:ind w:left="1440" w:hanging="720"/>
        <w:rPr>
          <w:rFonts w:ascii="Times New Roman" w:hAnsi="Times New Roman"/>
        </w:rPr>
      </w:pPr>
      <w:r w:rsidRPr="00521AEB">
        <w:rPr>
          <w:rFonts w:ascii="Times New Roman" w:hAnsi="Times New Roman"/>
          <w:b/>
        </w:rPr>
        <w:t>17.</w:t>
      </w:r>
      <w:r w:rsidRPr="00521AEB">
        <w:rPr>
          <w:rFonts w:ascii="Times New Roman" w:hAnsi="Times New Roman"/>
          <w:b/>
        </w:rPr>
        <w:tab/>
      </w:r>
      <w:r w:rsidR="00133292" w:rsidRPr="00521AEB">
        <w:rPr>
          <w:rFonts w:ascii="Times New Roman" w:hAnsi="Times New Roman"/>
          <w:b/>
        </w:rPr>
        <w:t xml:space="preserve">Displaying the OMB Expiration Date - </w:t>
      </w:r>
      <w:r w:rsidRPr="00521AEB">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907FB7" w:rsidRPr="00521AEB" w:rsidRDefault="00907FB7" w:rsidP="00907FB7">
      <w:pPr>
        <w:rPr>
          <w:rFonts w:ascii="Times New Roman" w:hAnsi="Times New Roman"/>
        </w:rPr>
      </w:pPr>
    </w:p>
    <w:p w:rsidR="00907FB7" w:rsidRPr="00521AEB" w:rsidRDefault="00133292" w:rsidP="00907FB7">
      <w:pPr>
        <w:numPr>
          <w:ilvl w:val="0"/>
          <w:numId w:val="2"/>
        </w:numPr>
        <w:rPr>
          <w:rFonts w:ascii="Times New Roman" w:hAnsi="Times New Roman"/>
          <w:b/>
        </w:rPr>
      </w:pPr>
      <w:r w:rsidRPr="00521AEB">
        <w:rPr>
          <w:rFonts w:ascii="Times New Roman" w:hAnsi="Times New Roman"/>
          <w:b/>
        </w:rPr>
        <w:t>Exception to Certification Statement</w:t>
      </w:r>
      <w:r w:rsidRPr="00521AEB">
        <w:rPr>
          <w:rFonts w:ascii="Times New Roman" w:hAnsi="Times New Roman"/>
        </w:rPr>
        <w:t xml:space="preserve"> - </w:t>
      </w:r>
      <w:r w:rsidR="00907FB7" w:rsidRPr="00521AEB">
        <w:rPr>
          <w:rFonts w:ascii="Times New Roman" w:hAnsi="Times New Roman"/>
        </w:rPr>
        <w:t>SSA is not requesting an exception to the certification requirements at 5 CFR 1320.9 and related provisions at 5 CFR 1320.8(b)(3)</w:t>
      </w:r>
    </w:p>
    <w:p w:rsidR="00907FB7" w:rsidRPr="00521AEB" w:rsidRDefault="00907FB7" w:rsidP="00907FB7">
      <w:pPr>
        <w:ind w:left="720"/>
        <w:rPr>
          <w:rFonts w:ascii="Times New Roman" w:hAnsi="Times New Roman"/>
        </w:rPr>
      </w:pPr>
    </w:p>
    <w:p w:rsidR="00907FB7" w:rsidRPr="00521AEB" w:rsidRDefault="00907FB7" w:rsidP="00907FB7">
      <w:pPr>
        <w:outlineLvl w:val="0"/>
        <w:rPr>
          <w:rFonts w:ascii="Times New Roman" w:hAnsi="Times New Roman"/>
          <w:b/>
          <w:bCs/>
        </w:rPr>
      </w:pPr>
      <w:r w:rsidRPr="00521AEB">
        <w:rPr>
          <w:rFonts w:ascii="Times New Roman" w:hAnsi="Times New Roman"/>
          <w:b/>
          <w:bCs/>
        </w:rPr>
        <w:t>B.</w:t>
      </w:r>
      <w:r w:rsidRPr="00521AEB">
        <w:rPr>
          <w:rFonts w:ascii="Times New Roman" w:hAnsi="Times New Roman"/>
          <w:b/>
          <w:bCs/>
        </w:rPr>
        <w:tab/>
      </w:r>
      <w:r w:rsidRPr="00521AEB">
        <w:rPr>
          <w:rFonts w:ascii="Times New Roman" w:hAnsi="Times New Roman"/>
          <w:b/>
          <w:bCs/>
          <w:u w:val="single"/>
        </w:rPr>
        <w:t>Statistical Methods</w:t>
      </w:r>
      <w:r w:rsidRPr="00521AEB">
        <w:rPr>
          <w:rFonts w:ascii="Times New Roman" w:hAnsi="Times New Roman"/>
          <w:b/>
          <w:bCs/>
        </w:rPr>
        <w:t xml:space="preserve"> </w:t>
      </w:r>
    </w:p>
    <w:p w:rsidR="00907FB7" w:rsidRPr="00521AEB" w:rsidRDefault="00907FB7" w:rsidP="00907FB7">
      <w:pPr>
        <w:rPr>
          <w:rFonts w:ascii="Times New Roman" w:hAnsi="Times New Roman"/>
        </w:rPr>
      </w:pPr>
    </w:p>
    <w:p w:rsidR="00907FB7" w:rsidRPr="00521AEB" w:rsidRDefault="00907FB7" w:rsidP="00907FB7">
      <w:pPr>
        <w:ind w:left="720"/>
        <w:rPr>
          <w:rFonts w:ascii="Times New Roman" w:hAnsi="Times New Roman"/>
        </w:rPr>
      </w:pPr>
      <w:r w:rsidRPr="00521AEB">
        <w:rPr>
          <w:rFonts w:ascii="Times New Roman" w:hAnsi="Times New Roman"/>
        </w:rPr>
        <w:t>SSA does not use statistical methods for this information collection.</w:t>
      </w:r>
      <w:r w:rsidRPr="00521AEB">
        <w:rPr>
          <w:rFonts w:ascii="Times New Roman" w:hAnsi="Times New Roman"/>
          <w:bCs/>
        </w:rPr>
        <w:t xml:space="preserve"> </w:t>
      </w:r>
    </w:p>
    <w:sectPr w:rsidR="00907FB7" w:rsidRPr="00521AEB" w:rsidSect="00CA3C88">
      <w:headerReference w:type="even" r:id="rId7"/>
      <w:headerReference w:type="default" r:id="rId8"/>
      <w:footerReference w:type="default" r:id="rId9"/>
      <w:headerReference w:type="first" r:id="rId10"/>
      <w:footerReference w:type="first" r:id="rId11"/>
      <w:pgSz w:w="12240" w:h="15840" w:code="1"/>
      <w:pgMar w:top="1440" w:right="1440" w:bottom="144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E40" w:rsidRDefault="00AC7E40" w:rsidP="00F27132">
      <w:r>
        <w:separator/>
      </w:r>
    </w:p>
  </w:endnote>
  <w:endnote w:type="continuationSeparator" w:id="0">
    <w:p w:rsidR="00AC7E40" w:rsidRDefault="00AC7E40" w:rsidP="00F27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40" w:rsidRDefault="00AC7E40" w:rsidP="00CA3C88">
    <w:pPr>
      <w:pStyle w:val="Footer"/>
      <w:jc w:val="right"/>
    </w:pPr>
  </w:p>
  <w:p w:rsidR="00AC7E40" w:rsidRDefault="00C8521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6704D0">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40" w:rsidRDefault="00AC7E40" w:rsidP="00CA3C88">
    <w:pPr>
      <w:pStyle w:val="Footer"/>
      <w:jc w:val="right"/>
    </w:pPr>
    <w:r>
      <w:t xml:space="preserve">SSA-4588 &amp; SSA-4589 </w:t>
    </w:r>
    <w:fldSimple w:instr=" DATE \@ &quot;M/d/yyyy&quot; ">
      <w:r w:rsidR="006704D0">
        <w:rPr>
          <w:noProof/>
        </w:rPr>
        <w:t>2/29/2012</w:t>
      </w:r>
    </w:fldSimple>
  </w:p>
  <w:p w:rsidR="00AC7E40" w:rsidRDefault="00AC7E40" w:rsidP="00CA3C88">
    <w:pPr>
      <w:pStyle w:val="Footer"/>
      <w:jc w:val="right"/>
    </w:pPr>
  </w:p>
  <w:p w:rsidR="00AC7E40" w:rsidRDefault="00AC7E40" w:rsidP="00CA3C88">
    <w:pPr>
      <w:pStyle w:val="Footer"/>
      <w:jc w:val="right"/>
    </w:pPr>
  </w:p>
  <w:p w:rsidR="00AC7E40" w:rsidRDefault="00C85212" w:rsidP="00CA3C88">
    <w:pPr>
      <w:pStyle w:val="Footer"/>
      <w:jc w:val="center"/>
    </w:pPr>
    <w:r>
      <w:rPr>
        <w:rStyle w:val="PageNumber"/>
      </w:rPr>
      <w:fldChar w:fldCharType="begin"/>
    </w:r>
    <w:r w:rsidR="00AC7E40">
      <w:rPr>
        <w:rStyle w:val="PageNumber"/>
      </w:rPr>
      <w:instrText xml:space="preserve"> PAGE </w:instrText>
    </w:r>
    <w:r>
      <w:rPr>
        <w:rStyle w:val="PageNumber"/>
      </w:rPr>
      <w:fldChar w:fldCharType="separate"/>
    </w:r>
    <w:r w:rsidR="00AC7E40">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E40" w:rsidRDefault="00AC7E40" w:rsidP="00F27132">
      <w:r>
        <w:separator/>
      </w:r>
    </w:p>
  </w:footnote>
  <w:footnote w:type="continuationSeparator" w:id="0">
    <w:p w:rsidR="00AC7E40" w:rsidRDefault="00AC7E40" w:rsidP="00F27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40" w:rsidRDefault="00C85212">
    <w:pPr>
      <w:pStyle w:val="Header"/>
      <w:framePr w:wrap="around" w:vAnchor="text" w:hAnchor="margin" w:xAlign="right" w:y="1"/>
      <w:rPr>
        <w:rStyle w:val="PageNumber"/>
      </w:rPr>
    </w:pPr>
    <w:r>
      <w:rPr>
        <w:rStyle w:val="PageNumber"/>
      </w:rPr>
      <w:fldChar w:fldCharType="begin"/>
    </w:r>
    <w:r w:rsidR="00AC7E40">
      <w:rPr>
        <w:rStyle w:val="PageNumber"/>
      </w:rPr>
      <w:instrText xml:space="preserve">PAGE  </w:instrText>
    </w:r>
    <w:r>
      <w:rPr>
        <w:rStyle w:val="PageNumber"/>
      </w:rPr>
      <w:fldChar w:fldCharType="separate"/>
    </w:r>
    <w:r w:rsidR="00AC7E40">
      <w:rPr>
        <w:rStyle w:val="PageNumber"/>
        <w:noProof/>
      </w:rPr>
      <w:t>1</w:t>
    </w:r>
    <w:r>
      <w:rPr>
        <w:rStyle w:val="PageNumber"/>
      </w:rPr>
      <w:fldChar w:fldCharType="end"/>
    </w:r>
  </w:p>
  <w:p w:rsidR="00AC7E40" w:rsidRDefault="00AC7E4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40" w:rsidRDefault="00AC7E40">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E40" w:rsidRDefault="00AC7E40" w:rsidP="00CA3C8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877BC"/>
    <w:multiLevelType w:val="singleLevel"/>
    <w:tmpl w:val="4FFAA586"/>
    <w:lvl w:ilvl="0">
      <w:start w:val="18"/>
      <w:numFmt w:val="decimal"/>
      <w:lvlText w:val="%1."/>
      <w:lvlJc w:val="left"/>
      <w:pPr>
        <w:tabs>
          <w:tab w:val="num" w:pos="1440"/>
        </w:tabs>
        <w:ind w:left="1440" w:hanging="720"/>
      </w:pPr>
      <w:rPr>
        <w:rFonts w:hint="default"/>
      </w:rPr>
    </w:lvl>
  </w:abstractNum>
  <w:abstractNum w:abstractNumId="1">
    <w:nsid w:val="64DE6A88"/>
    <w:multiLevelType w:val="singleLevel"/>
    <w:tmpl w:val="ED9071A0"/>
    <w:lvl w:ilvl="0">
      <w:start w:val="1"/>
      <w:numFmt w:val="decimal"/>
      <w:lvlText w:val="%1."/>
      <w:lvlJc w:val="left"/>
      <w:pPr>
        <w:tabs>
          <w:tab w:val="num" w:pos="1440"/>
        </w:tabs>
        <w:ind w:left="1440" w:hanging="720"/>
      </w:pPr>
      <w:rPr>
        <w:rFonts w:hint="default"/>
        <w:b/>
        <w:strike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907FB7"/>
    <w:rsid w:val="00074AC3"/>
    <w:rsid w:val="000D4484"/>
    <w:rsid w:val="000D48A4"/>
    <w:rsid w:val="000E16D4"/>
    <w:rsid w:val="000F1B1B"/>
    <w:rsid w:val="000F2AB7"/>
    <w:rsid w:val="0012053B"/>
    <w:rsid w:val="00126BE2"/>
    <w:rsid w:val="00133292"/>
    <w:rsid w:val="00152A05"/>
    <w:rsid w:val="00171D7D"/>
    <w:rsid w:val="001A152B"/>
    <w:rsid w:val="001A4BD6"/>
    <w:rsid w:val="002110F2"/>
    <w:rsid w:val="00211D2A"/>
    <w:rsid w:val="00221102"/>
    <w:rsid w:val="002323BC"/>
    <w:rsid w:val="002451C2"/>
    <w:rsid w:val="00267E92"/>
    <w:rsid w:val="002762B1"/>
    <w:rsid w:val="00286E67"/>
    <w:rsid w:val="00296F2A"/>
    <w:rsid w:val="00300063"/>
    <w:rsid w:val="003069C4"/>
    <w:rsid w:val="00315C31"/>
    <w:rsid w:val="00322D5F"/>
    <w:rsid w:val="003277C5"/>
    <w:rsid w:val="00380E58"/>
    <w:rsid w:val="003977C9"/>
    <w:rsid w:val="003A317C"/>
    <w:rsid w:val="003F7688"/>
    <w:rsid w:val="004527FF"/>
    <w:rsid w:val="004B5151"/>
    <w:rsid w:val="004D5F6B"/>
    <w:rsid w:val="004E0F07"/>
    <w:rsid w:val="00521AEB"/>
    <w:rsid w:val="00535D2D"/>
    <w:rsid w:val="00581E3A"/>
    <w:rsid w:val="005827D8"/>
    <w:rsid w:val="00586B77"/>
    <w:rsid w:val="005A275D"/>
    <w:rsid w:val="0061489D"/>
    <w:rsid w:val="00634B1F"/>
    <w:rsid w:val="006507C2"/>
    <w:rsid w:val="00653EFD"/>
    <w:rsid w:val="00664DA4"/>
    <w:rsid w:val="00667CA3"/>
    <w:rsid w:val="006704D0"/>
    <w:rsid w:val="006869C3"/>
    <w:rsid w:val="006871F3"/>
    <w:rsid w:val="006A649A"/>
    <w:rsid w:val="006C53D9"/>
    <w:rsid w:val="00765A83"/>
    <w:rsid w:val="00767DE6"/>
    <w:rsid w:val="007749E7"/>
    <w:rsid w:val="00794EA7"/>
    <w:rsid w:val="00817BE3"/>
    <w:rsid w:val="00834579"/>
    <w:rsid w:val="00865D60"/>
    <w:rsid w:val="008C764D"/>
    <w:rsid w:val="00907FB7"/>
    <w:rsid w:val="009352B7"/>
    <w:rsid w:val="00940174"/>
    <w:rsid w:val="009C3EA2"/>
    <w:rsid w:val="009E0592"/>
    <w:rsid w:val="00A10AD8"/>
    <w:rsid w:val="00A217E0"/>
    <w:rsid w:val="00A26797"/>
    <w:rsid w:val="00A418BA"/>
    <w:rsid w:val="00A46C73"/>
    <w:rsid w:val="00A81796"/>
    <w:rsid w:val="00A91DC4"/>
    <w:rsid w:val="00AA682F"/>
    <w:rsid w:val="00AB69B7"/>
    <w:rsid w:val="00AC7E40"/>
    <w:rsid w:val="00AD7169"/>
    <w:rsid w:val="00AE7769"/>
    <w:rsid w:val="00AF456D"/>
    <w:rsid w:val="00B136A1"/>
    <w:rsid w:val="00B229F6"/>
    <w:rsid w:val="00B27C8C"/>
    <w:rsid w:val="00B35941"/>
    <w:rsid w:val="00B3776F"/>
    <w:rsid w:val="00B553B9"/>
    <w:rsid w:val="00B62AF2"/>
    <w:rsid w:val="00B80378"/>
    <w:rsid w:val="00BA2A7F"/>
    <w:rsid w:val="00BD1E4B"/>
    <w:rsid w:val="00C12B0C"/>
    <w:rsid w:val="00C40C6D"/>
    <w:rsid w:val="00C67286"/>
    <w:rsid w:val="00C81639"/>
    <w:rsid w:val="00C85212"/>
    <w:rsid w:val="00C9430C"/>
    <w:rsid w:val="00CA3C88"/>
    <w:rsid w:val="00CD1BB3"/>
    <w:rsid w:val="00D046E9"/>
    <w:rsid w:val="00D23469"/>
    <w:rsid w:val="00D5757C"/>
    <w:rsid w:val="00D6676B"/>
    <w:rsid w:val="00D67276"/>
    <w:rsid w:val="00DA1459"/>
    <w:rsid w:val="00DB2B29"/>
    <w:rsid w:val="00DE7D12"/>
    <w:rsid w:val="00E043DC"/>
    <w:rsid w:val="00E454B0"/>
    <w:rsid w:val="00E757DF"/>
    <w:rsid w:val="00EB5F73"/>
    <w:rsid w:val="00EE41FB"/>
    <w:rsid w:val="00F26393"/>
    <w:rsid w:val="00F27132"/>
    <w:rsid w:val="00F44238"/>
    <w:rsid w:val="00F5731F"/>
    <w:rsid w:val="00FA64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EB"/>
    <w:rPr>
      <w:sz w:val="24"/>
      <w:szCs w:val="24"/>
    </w:rPr>
  </w:style>
  <w:style w:type="paragraph" w:styleId="Heading1">
    <w:name w:val="heading 1"/>
    <w:basedOn w:val="Normal"/>
    <w:next w:val="Normal"/>
    <w:link w:val="Heading1Char"/>
    <w:uiPriority w:val="9"/>
    <w:qFormat/>
    <w:rsid w:val="00521A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21A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21A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21A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21A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21A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21AEB"/>
    <w:pPr>
      <w:spacing w:before="240" w:after="60"/>
      <w:outlineLvl w:val="6"/>
    </w:pPr>
  </w:style>
  <w:style w:type="paragraph" w:styleId="Heading8">
    <w:name w:val="heading 8"/>
    <w:basedOn w:val="Normal"/>
    <w:next w:val="Normal"/>
    <w:link w:val="Heading8Char"/>
    <w:uiPriority w:val="9"/>
    <w:semiHidden/>
    <w:unhideWhenUsed/>
    <w:qFormat/>
    <w:rsid w:val="00521AEB"/>
    <w:pPr>
      <w:spacing w:before="240" w:after="60"/>
      <w:outlineLvl w:val="7"/>
    </w:pPr>
    <w:rPr>
      <w:i/>
      <w:iCs/>
    </w:rPr>
  </w:style>
  <w:style w:type="paragraph" w:styleId="Heading9">
    <w:name w:val="heading 9"/>
    <w:basedOn w:val="Normal"/>
    <w:next w:val="Normal"/>
    <w:link w:val="Heading9Char"/>
    <w:uiPriority w:val="9"/>
    <w:semiHidden/>
    <w:unhideWhenUsed/>
    <w:qFormat/>
    <w:rsid w:val="00521A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07FB7"/>
    <w:pPr>
      <w:suppressAutoHyphens/>
      <w:ind w:left="1440" w:hanging="720"/>
    </w:pPr>
    <w:rPr>
      <w:rFonts w:ascii="Courier New" w:hAnsi="Courier New" w:cs="Courier New"/>
    </w:rPr>
  </w:style>
  <w:style w:type="character" w:customStyle="1" w:styleId="BodyTextIndentChar">
    <w:name w:val="Body Text Indent Char"/>
    <w:basedOn w:val="DefaultParagraphFont"/>
    <w:link w:val="BodyTextIndent"/>
    <w:rsid w:val="00907FB7"/>
    <w:rPr>
      <w:rFonts w:ascii="Courier New" w:eastAsia="Times New Roman" w:hAnsi="Courier New" w:cs="Courier New"/>
      <w:sz w:val="24"/>
      <w:szCs w:val="24"/>
      <w:lang w:eastAsia="zh-CN"/>
    </w:rPr>
  </w:style>
  <w:style w:type="paragraph" w:styleId="Header">
    <w:name w:val="header"/>
    <w:basedOn w:val="Normal"/>
    <w:link w:val="HeaderChar"/>
    <w:rsid w:val="00907FB7"/>
    <w:pPr>
      <w:tabs>
        <w:tab w:val="center" w:pos="4320"/>
        <w:tab w:val="right" w:pos="8640"/>
      </w:tabs>
    </w:pPr>
  </w:style>
  <w:style w:type="character" w:customStyle="1" w:styleId="HeaderChar">
    <w:name w:val="Header Char"/>
    <w:basedOn w:val="DefaultParagraphFont"/>
    <w:link w:val="Header"/>
    <w:rsid w:val="00907FB7"/>
    <w:rPr>
      <w:rFonts w:ascii="Times New Roman" w:eastAsia="Times New Roman" w:hAnsi="Times New Roman" w:cs="Times New Roman"/>
      <w:sz w:val="20"/>
      <w:szCs w:val="20"/>
      <w:lang w:eastAsia="zh-CN"/>
    </w:rPr>
  </w:style>
  <w:style w:type="character" w:styleId="PageNumber">
    <w:name w:val="page number"/>
    <w:basedOn w:val="DefaultParagraphFont"/>
    <w:rsid w:val="00907FB7"/>
  </w:style>
  <w:style w:type="paragraph" w:styleId="Footer">
    <w:name w:val="footer"/>
    <w:basedOn w:val="Normal"/>
    <w:link w:val="FooterChar"/>
    <w:rsid w:val="00907FB7"/>
    <w:pPr>
      <w:tabs>
        <w:tab w:val="center" w:pos="4320"/>
        <w:tab w:val="right" w:pos="8640"/>
      </w:tabs>
    </w:pPr>
  </w:style>
  <w:style w:type="character" w:customStyle="1" w:styleId="FooterChar">
    <w:name w:val="Footer Char"/>
    <w:basedOn w:val="DefaultParagraphFont"/>
    <w:link w:val="Footer"/>
    <w:rsid w:val="00907FB7"/>
    <w:rPr>
      <w:rFonts w:ascii="Times New Roman" w:eastAsia="Times New Roman" w:hAnsi="Times New Roman" w:cs="Times New Roman"/>
      <w:sz w:val="20"/>
      <w:szCs w:val="20"/>
      <w:lang w:eastAsia="zh-CN"/>
    </w:rPr>
  </w:style>
  <w:style w:type="table" w:styleId="TableGrid">
    <w:name w:val="Table Grid"/>
    <w:basedOn w:val="TableNormal"/>
    <w:rsid w:val="00907FB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521AEB"/>
    <w:rPr>
      <w:szCs w:val="32"/>
    </w:rPr>
  </w:style>
  <w:style w:type="character" w:styleId="Hyperlink">
    <w:name w:val="Hyperlink"/>
    <w:basedOn w:val="DefaultParagraphFont"/>
    <w:rsid w:val="00CA3C88"/>
    <w:rPr>
      <w:rFonts w:cs="Times New Roman"/>
      <w:color w:val="0000FF"/>
      <w:u w:val="single"/>
    </w:rPr>
  </w:style>
  <w:style w:type="character" w:styleId="CommentReference">
    <w:name w:val="annotation reference"/>
    <w:basedOn w:val="DefaultParagraphFont"/>
    <w:uiPriority w:val="99"/>
    <w:semiHidden/>
    <w:unhideWhenUsed/>
    <w:rsid w:val="002323BC"/>
    <w:rPr>
      <w:sz w:val="16"/>
      <w:szCs w:val="16"/>
    </w:rPr>
  </w:style>
  <w:style w:type="paragraph" w:styleId="CommentText">
    <w:name w:val="annotation text"/>
    <w:basedOn w:val="Normal"/>
    <w:link w:val="CommentTextChar"/>
    <w:uiPriority w:val="99"/>
    <w:semiHidden/>
    <w:unhideWhenUsed/>
    <w:rsid w:val="002323BC"/>
  </w:style>
  <w:style w:type="character" w:customStyle="1" w:styleId="CommentTextChar">
    <w:name w:val="Comment Text Char"/>
    <w:basedOn w:val="DefaultParagraphFont"/>
    <w:link w:val="CommentText"/>
    <w:uiPriority w:val="99"/>
    <w:semiHidden/>
    <w:rsid w:val="002323BC"/>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2323BC"/>
    <w:rPr>
      <w:b/>
      <w:bCs/>
    </w:rPr>
  </w:style>
  <w:style w:type="character" w:customStyle="1" w:styleId="CommentSubjectChar">
    <w:name w:val="Comment Subject Char"/>
    <w:basedOn w:val="CommentTextChar"/>
    <w:link w:val="CommentSubject"/>
    <w:uiPriority w:val="99"/>
    <w:semiHidden/>
    <w:rsid w:val="002323BC"/>
    <w:rPr>
      <w:b/>
      <w:bCs/>
    </w:rPr>
  </w:style>
  <w:style w:type="paragraph" w:styleId="BalloonText">
    <w:name w:val="Balloon Text"/>
    <w:basedOn w:val="Normal"/>
    <w:link w:val="BalloonTextChar"/>
    <w:uiPriority w:val="99"/>
    <w:semiHidden/>
    <w:unhideWhenUsed/>
    <w:rsid w:val="002323BC"/>
    <w:rPr>
      <w:rFonts w:ascii="Tahoma" w:hAnsi="Tahoma" w:cs="Tahoma"/>
      <w:sz w:val="16"/>
      <w:szCs w:val="16"/>
    </w:rPr>
  </w:style>
  <w:style w:type="character" w:customStyle="1" w:styleId="BalloonTextChar">
    <w:name w:val="Balloon Text Char"/>
    <w:basedOn w:val="DefaultParagraphFont"/>
    <w:link w:val="BalloonText"/>
    <w:uiPriority w:val="99"/>
    <w:semiHidden/>
    <w:rsid w:val="002323BC"/>
    <w:rPr>
      <w:rFonts w:ascii="Tahoma" w:eastAsia="Times New Roman" w:hAnsi="Tahoma" w:cs="Tahoma"/>
      <w:sz w:val="16"/>
      <w:szCs w:val="16"/>
      <w:lang w:eastAsia="zh-CN"/>
    </w:rPr>
  </w:style>
  <w:style w:type="character" w:customStyle="1" w:styleId="Heading1Char">
    <w:name w:val="Heading 1 Char"/>
    <w:basedOn w:val="DefaultParagraphFont"/>
    <w:link w:val="Heading1"/>
    <w:uiPriority w:val="9"/>
    <w:rsid w:val="00521A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21A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21A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21AEB"/>
    <w:rPr>
      <w:b/>
      <w:bCs/>
      <w:sz w:val="28"/>
      <w:szCs w:val="28"/>
    </w:rPr>
  </w:style>
  <w:style w:type="character" w:customStyle="1" w:styleId="Heading5Char">
    <w:name w:val="Heading 5 Char"/>
    <w:basedOn w:val="DefaultParagraphFont"/>
    <w:link w:val="Heading5"/>
    <w:uiPriority w:val="9"/>
    <w:semiHidden/>
    <w:rsid w:val="00521AEB"/>
    <w:rPr>
      <w:b/>
      <w:bCs/>
      <w:i/>
      <w:iCs/>
      <w:sz w:val="26"/>
      <w:szCs w:val="26"/>
    </w:rPr>
  </w:style>
  <w:style w:type="character" w:customStyle="1" w:styleId="Heading6Char">
    <w:name w:val="Heading 6 Char"/>
    <w:basedOn w:val="DefaultParagraphFont"/>
    <w:link w:val="Heading6"/>
    <w:uiPriority w:val="9"/>
    <w:semiHidden/>
    <w:rsid w:val="00521AEB"/>
    <w:rPr>
      <w:b/>
      <w:bCs/>
    </w:rPr>
  </w:style>
  <w:style w:type="character" w:customStyle="1" w:styleId="Heading7Char">
    <w:name w:val="Heading 7 Char"/>
    <w:basedOn w:val="DefaultParagraphFont"/>
    <w:link w:val="Heading7"/>
    <w:uiPriority w:val="9"/>
    <w:semiHidden/>
    <w:rsid w:val="00521AEB"/>
    <w:rPr>
      <w:sz w:val="24"/>
      <w:szCs w:val="24"/>
    </w:rPr>
  </w:style>
  <w:style w:type="character" w:customStyle="1" w:styleId="Heading8Char">
    <w:name w:val="Heading 8 Char"/>
    <w:basedOn w:val="DefaultParagraphFont"/>
    <w:link w:val="Heading8"/>
    <w:uiPriority w:val="9"/>
    <w:semiHidden/>
    <w:rsid w:val="00521AEB"/>
    <w:rPr>
      <w:i/>
      <w:iCs/>
      <w:sz w:val="24"/>
      <w:szCs w:val="24"/>
    </w:rPr>
  </w:style>
  <w:style w:type="character" w:customStyle="1" w:styleId="Heading9Char">
    <w:name w:val="Heading 9 Char"/>
    <w:basedOn w:val="DefaultParagraphFont"/>
    <w:link w:val="Heading9"/>
    <w:uiPriority w:val="9"/>
    <w:semiHidden/>
    <w:rsid w:val="00521AEB"/>
    <w:rPr>
      <w:rFonts w:asciiTheme="majorHAnsi" w:eastAsiaTheme="majorEastAsia" w:hAnsiTheme="majorHAnsi"/>
    </w:rPr>
  </w:style>
  <w:style w:type="paragraph" w:styleId="Title">
    <w:name w:val="Title"/>
    <w:basedOn w:val="Normal"/>
    <w:next w:val="Normal"/>
    <w:link w:val="TitleChar"/>
    <w:uiPriority w:val="10"/>
    <w:qFormat/>
    <w:rsid w:val="00521A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21A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21A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21AEB"/>
    <w:rPr>
      <w:rFonts w:asciiTheme="majorHAnsi" w:eastAsiaTheme="majorEastAsia" w:hAnsiTheme="majorHAnsi"/>
      <w:sz w:val="24"/>
      <w:szCs w:val="24"/>
    </w:rPr>
  </w:style>
  <w:style w:type="character" w:styleId="Strong">
    <w:name w:val="Strong"/>
    <w:basedOn w:val="DefaultParagraphFont"/>
    <w:uiPriority w:val="22"/>
    <w:qFormat/>
    <w:rsid w:val="00521AEB"/>
    <w:rPr>
      <w:b/>
      <w:bCs/>
    </w:rPr>
  </w:style>
  <w:style w:type="character" w:styleId="Emphasis">
    <w:name w:val="Emphasis"/>
    <w:basedOn w:val="DefaultParagraphFont"/>
    <w:uiPriority w:val="20"/>
    <w:qFormat/>
    <w:rsid w:val="00521AEB"/>
    <w:rPr>
      <w:rFonts w:asciiTheme="minorHAnsi" w:hAnsiTheme="minorHAnsi"/>
      <w:b/>
      <w:i/>
      <w:iCs/>
    </w:rPr>
  </w:style>
  <w:style w:type="paragraph" w:styleId="ListParagraph">
    <w:name w:val="List Paragraph"/>
    <w:basedOn w:val="Normal"/>
    <w:uiPriority w:val="34"/>
    <w:qFormat/>
    <w:rsid w:val="00521AEB"/>
    <w:pPr>
      <w:ind w:left="720"/>
      <w:contextualSpacing/>
    </w:pPr>
  </w:style>
  <w:style w:type="paragraph" w:styleId="Quote">
    <w:name w:val="Quote"/>
    <w:basedOn w:val="Normal"/>
    <w:next w:val="Normal"/>
    <w:link w:val="QuoteChar"/>
    <w:uiPriority w:val="29"/>
    <w:qFormat/>
    <w:rsid w:val="00521AEB"/>
    <w:rPr>
      <w:i/>
    </w:rPr>
  </w:style>
  <w:style w:type="character" w:customStyle="1" w:styleId="QuoteChar">
    <w:name w:val="Quote Char"/>
    <w:basedOn w:val="DefaultParagraphFont"/>
    <w:link w:val="Quote"/>
    <w:uiPriority w:val="29"/>
    <w:rsid w:val="00521AEB"/>
    <w:rPr>
      <w:i/>
      <w:sz w:val="24"/>
      <w:szCs w:val="24"/>
    </w:rPr>
  </w:style>
  <w:style w:type="paragraph" w:styleId="IntenseQuote">
    <w:name w:val="Intense Quote"/>
    <w:basedOn w:val="Normal"/>
    <w:next w:val="Normal"/>
    <w:link w:val="IntenseQuoteChar"/>
    <w:uiPriority w:val="30"/>
    <w:qFormat/>
    <w:rsid w:val="00521AEB"/>
    <w:pPr>
      <w:ind w:left="720" w:right="720"/>
    </w:pPr>
    <w:rPr>
      <w:b/>
      <w:i/>
      <w:szCs w:val="22"/>
    </w:rPr>
  </w:style>
  <w:style w:type="character" w:customStyle="1" w:styleId="IntenseQuoteChar">
    <w:name w:val="Intense Quote Char"/>
    <w:basedOn w:val="DefaultParagraphFont"/>
    <w:link w:val="IntenseQuote"/>
    <w:uiPriority w:val="30"/>
    <w:rsid w:val="00521AEB"/>
    <w:rPr>
      <w:b/>
      <w:i/>
      <w:sz w:val="24"/>
    </w:rPr>
  </w:style>
  <w:style w:type="character" w:styleId="SubtleEmphasis">
    <w:name w:val="Subtle Emphasis"/>
    <w:uiPriority w:val="19"/>
    <w:qFormat/>
    <w:rsid w:val="00521AEB"/>
    <w:rPr>
      <w:i/>
      <w:color w:val="5A5A5A" w:themeColor="text1" w:themeTint="A5"/>
    </w:rPr>
  </w:style>
  <w:style w:type="character" w:styleId="IntenseEmphasis">
    <w:name w:val="Intense Emphasis"/>
    <w:basedOn w:val="DefaultParagraphFont"/>
    <w:uiPriority w:val="21"/>
    <w:qFormat/>
    <w:rsid w:val="00521AEB"/>
    <w:rPr>
      <w:b/>
      <w:i/>
      <w:sz w:val="24"/>
      <w:szCs w:val="24"/>
      <w:u w:val="single"/>
    </w:rPr>
  </w:style>
  <w:style w:type="character" w:styleId="SubtleReference">
    <w:name w:val="Subtle Reference"/>
    <w:basedOn w:val="DefaultParagraphFont"/>
    <w:uiPriority w:val="31"/>
    <w:qFormat/>
    <w:rsid w:val="00521AEB"/>
    <w:rPr>
      <w:sz w:val="24"/>
      <w:szCs w:val="24"/>
      <w:u w:val="single"/>
    </w:rPr>
  </w:style>
  <w:style w:type="character" w:styleId="IntenseReference">
    <w:name w:val="Intense Reference"/>
    <w:basedOn w:val="DefaultParagraphFont"/>
    <w:uiPriority w:val="32"/>
    <w:qFormat/>
    <w:rsid w:val="00521AEB"/>
    <w:rPr>
      <w:b/>
      <w:sz w:val="24"/>
      <w:u w:val="single"/>
    </w:rPr>
  </w:style>
  <w:style w:type="character" w:styleId="BookTitle">
    <w:name w:val="Book Title"/>
    <w:basedOn w:val="DefaultParagraphFont"/>
    <w:uiPriority w:val="33"/>
    <w:qFormat/>
    <w:rsid w:val="00521A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21AEB"/>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12</cp:revision>
  <cp:lastPrinted>2011-10-05T21:00:00Z</cp:lastPrinted>
  <dcterms:created xsi:type="dcterms:W3CDTF">2011-12-06T21:10:00Z</dcterms:created>
  <dcterms:modified xsi:type="dcterms:W3CDTF">2012-02-29T19:32:00Z</dcterms:modified>
</cp:coreProperties>
</file>