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86" w:rsidRPr="00AF5855" w:rsidRDefault="00954E0F" w:rsidP="00954E0F">
      <w:pPr>
        <w:jc w:val="center"/>
        <w:rPr>
          <w:u w:val="single"/>
        </w:rPr>
      </w:pPr>
      <w:r>
        <w:rPr>
          <w:u w:val="single"/>
        </w:rPr>
        <w:t xml:space="preserve">VII – </w:t>
      </w:r>
      <w:bookmarkStart w:id="0" w:name="_GoBack"/>
      <w:bookmarkEnd w:id="0"/>
      <w:r w:rsidR="007B6D8A">
        <w:rPr>
          <w:u w:val="single"/>
        </w:rPr>
        <w:t>Other Inpatient and Outpatient</w:t>
      </w:r>
      <w:r w:rsidR="005C78C2">
        <w:rPr>
          <w:u w:val="single"/>
        </w:rPr>
        <w:t xml:space="preserve"> Facility</w:t>
      </w:r>
      <w:r w:rsidR="00043686" w:rsidRPr="00AF5855">
        <w:rPr>
          <w:u w:val="single"/>
        </w:rPr>
        <w:t xml:space="preserve"> Narrative Instruction</w:t>
      </w:r>
    </w:p>
    <w:p w:rsidR="005C78C2" w:rsidRDefault="00043686" w:rsidP="005C78C2">
      <w:r>
        <w:t>Regulations at 42 CFR 447.325 state that for “other inpatient and outpatient facility services” Medicaid agencies “may pay the customary charges of the provider but must not pay more than the prevailing charges in the locality for comparable services under</w:t>
      </w:r>
      <w:r w:rsidR="00BD55A4">
        <w:t xml:space="preserve"> comparable circumstances.”   </w:t>
      </w:r>
      <w:r w:rsidR="007B6D8A">
        <w:t xml:space="preserve">States that provide </w:t>
      </w:r>
      <w:r w:rsidR="007B6D8A" w:rsidRPr="007B6D8A">
        <w:t>Inpatient Psychi</w:t>
      </w:r>
      <w:r w:rsidR="007B6D8A">
        <w:t>atric Services for Individuals u</w:t>
      </w:r>
      <w:r w:rsidR="007B6D8A" w:rsidRPr="007B6D8A">
        <w:t>nder Age 21</w:t>
      </w:r>
      <w:r w:rsidR="007B6D8A">
        <w:t xml:space="preserve"> and </w:t>
      </w:r>
      <w:r w:rsidR="007B6D8A" w:rsidRPr="007B6D8A">
        <w:t>Serv</w:t>
      </w:r>
      <w:r w:rsidR="007B6D8A">
        <w:t>ices for Individuals age 65 or o</w:t>
      </w:r>
      <w:r w:rsidR="007B6D8A" w:rsidRPr="007B6D8A">
        <w:t>lder in an Institution for Mental Diseases</w:t>
      </w:r>
      <w:r w:rsidR="007B6D8A">
        <w:t xml:space="preserve"> should complete this template for all facilities that receive Medicaid payments</w:t>
      </w:r>
      <w:r>
        <w:t xml:space="preserve">.  </w:t>
      </w:r>
    </w:p>
    <w:p w:rsidR="007E137B" w:rsidRPr="001D0A34" w:rsidRDefault="007E137B" w:rsidP="001D0A34">
      <w:pPr>
        <w:pStyle w:val="ListParagraph"/>
        <w:numPr>
          <w:ilvl w:val="0"/>
          <w:numId w:val="7"/>
        </w:numPr>
        <w:rPr>
          <w:u w:val="single"/>
        </w:rPr>
      </w:pPr>
      <w:r w:rsidRPr="001D0A34">
        <w:rPr>
          <w:u w:val="single"/>
        </w:rPr>
        <w:t>Basis of the UPL Formula</w:t>
      </w:r>
    </w:p>
    <w:p w:rsidR="004617A5" w:rsidRDefault="00DB195D" w:rsidP="00043686">
      <w:r>
        <w:t>Unlike the UPL</w:t>
      </w:r>
      <w:r w:rsidR="00CC4379">
        <w:t>s</w:t>
      </w:r>
      <w:r>
        <w:t xml:space="preserve"> for the other Medicaid inst</w:t>
      </w:r>
      <w:r w:rsidR="005C78C2">
        <w:t>it</w:t>
      </w:r>
      <w:r>
        <w:t>utional payment</w:t>
      </w:r>
      <w:r w:rsidR="005E6257">
        <w:t>s,</w:t>
      </w:r>
      <w:r>
        <w:t xml:space="preserve"> which rely on an aggregate approach to ensure Medicaid payments are consistent with effi</w:t>
      </w:r>
      <w:r w:rsidR="007B6D8A">
        <w:t>ciency and economy, the “other inpatient and outpatient facility services” UPL</w:t>
      </w:r>
      <w:r w:rsidR="00CC4379">
        <w:t xml:space="preserve"> is applied on a facility-specific basis.   While t</w:t>
      </w:r>
      <w:r w:rsidR="007B6D8A">
        <w:t xml:space="preserve">he limit is facility-specific, states </w:t>
      </w:r>
      <w:r w:rsidR="00CC4379">
        <w:t xml:space="preserve">have considerable flexibility </w:t>
      </w:r>
      <w:r w:rsidR="005C78C2">
        <w:t xml:space="preserve">in setting payment rates for </w:t>
      </w:r>
      <w:r w:rsidR="00CC4379">
        <w:t>inpatient psychiatric services furnished</w:t>
      </w:r>
      <w:r w:rsidR="007B6D8A">
        <w:t xml:space="preserve"> by the facilities</w:t>
      </w:r>
      <w:r w:rsidR="00CC4379">
        <w:t xml:space="preserve">.  </w:t>
      </w:r>
      <w:r w:rsidR="007B6D8A">
        <w:t>The limit at 42 CFR 447.325 allows s</w:t>
      </w:r>
      <w:r w:rsidR="004617A5">
        <w:t xml:space="preserve">tates to pay </w:t>
      </w:r>
      <w:r w:rsidR="007B6D8A">
        <w:t xml:space="preserve">up to </w:t>
      </w:r>
      <w:r w:rsidR="004617A5">
        <w:t xml:space="preserve">the same rates a </w:t>
      </w:r>
      <w:r w:rsidR="005E6257">
        <w:t>facility</w:t>
      </w:r>
      <w:r w:rsidR="004617A5">
        <w:t xml:space="preserve"> would customarily charge and collect from other payers. </w:t>
      </w:r>
      <w:r w:rsidR="007B6D8A">
        <w:t xml:space="preserve"> </w:t>
      </w:r>
      <w:r w:rsidR="00BD55A4">
        <w:t>Where a s</w:t>
      </w:r>
      <w:r w:rsidR="004617A5">
        <w:t>tate elects to pay</w:t>
      </w:r>
      <w:r w:rsidR="007B6D8A">
        <w:t xml:space="preserve"> customary</w:t>
      </w:r>
      <w:r w:rsidR="004617A5">
        <w:t xml:space="preserve"> charges,</w:t>
      </w:r>
      <w:r w:rsidR="007B6D8A">
        <w:t xml:space="preserve"> the regulation also</w:t>
      </w:r>
      <w:r w:rsidR="004617A5">
        <w:t xml:space="preserve"> require</w:t>
      </w:r>
      <w:r w:rsidR="007B6D8A">
        <w:t xml:space="preserve">s the state </w:t>
      </w:r>
      <w:r w:rsidR="00BD55A4">
        <w:t xml:space="preserve">to </w:t>
      </w:r>
      <w:r w:rsidR="004617A5">
        <w:t xml:space="preserve">ensure </w:t>
      </w:r>
      <w:r w:rsidR="007B6D8A">
        <w:t xml:space="preserve">that </w:t>
      </w:r>
      <w:r w:rsidR="004617A5">
        <w:t>the cha</w:t>
      </w:r>
      <w:r w:rsidR="00C36D8E">
        <w:t>rges are reasonable</w:t>
      </w:r>
      <w:r w:rsidR="007B6D8A">
        <w:t xml:space="preserve"> and, </w:t>
      </w:r>
      <w:r w:rsidR="00D179EB">
        <w:t>if available</w:t>
      </w:r>
      <w:r w:rsidR="007B6D8A">
        <w:t>,</w:t>
      </w:r>
      <w:r w:rsidR="00D179EB">
        <w:t xml:space="preserve"> com</w:t>
      </w:r>
      <w:r w:rsidR="005C78C2">
        <w:t>pare them to prevailing charges</w:t>
      </w:r>
      <w:r w:rsidR="00D179EB">
        <w:t>.</w:t>
      </w:r>
      <w:r w:rsidR="00C36D8E">
        <w:t xml:space="preserve"> </w:t>
      </w:r>
    </w:p>
    <w:p w:rsidR="00043686" w:rsidRPr="00043686" w:rsidRDefault="00043686" w:rsidP="00043686">
      <w:r>
        <w:t>Check-boxes are provide</w:t>
      </w:r>
      <w:r w:rsidR="00BD55A4">
        <w:t>d</w:t>
      </w:r>
      <w:r>
        <w:t xml:space="preserve"> for states to affirm that the UPL demonstration address</w:t>
      </w:r>
      <w:r w:rsidR="00BD55A4">
        <w:t>es</w:t>
      </w:r>
      <w:r>
        <w:t xml:space="preserve"> </w:t>
      </w:r>
      <w:r w:rsidR="001D0A34">
        <w:t>the customary charge limit, and if customary charges are paid to the facilities, that the state compares those payments to the prevailing charges in the locality</w:t>
      </w:r>
      <w:r>
        <w:t>.</w:t>
      </w:r>
      <w:r w:rsidR="00AF5855">
        <w:t xml:space="preserve">  A text</w:t>
      </w:r>
      <w:r>
        <w:t xml:space="preserve"> box is provided for states to detail the formula used to calculate the limits. </w:t>
      </w:r>
      <w:r w:rsidR="00AF5855">
        <w:t xml:space="preserve"> Additionally, states should indicate the time period of the </w:t>
      </w:r>
      <w:r w:rsidR="003A798F">
        <w:t>demonstration data in the spaces</w:t>
      </w:r>
      <w:r w:rsidR="00AF5855">
        <w:t xml:space="preserve"> provided in this section</w:t>
      </w:r>
      <w:r w:rsidR="001D0A34">
        <w:t xml:space="preserve"> and confirm that the data is the most recently available to the state</w:t>
      </w:r>
      <w:r w:rsidR="00AF5855">
        <w:t xml:space="preserve">. </w:t>
      </w:r>
    </w:p>
    <w:p w:rsidR="00043686" w:rsidRPr="001D0A34" w:rsidRDefault="00BD55A4" w:rsidP="001D0A34">
      <w:pPr>
        <w:pStyle w:val="ListParagraph"/>
        <w:numPr>
          <w:ilvl w:val="0"/>
          <w:numId w:val="7"/>
        </w:numPr>
        <w:rPr>
          <w:u w:val="single"/>
        </w:rPr>
      </w:pPr>
      <w:r>
        <w:rPr>
          <w:u w:val="single"/>
        </w:rPr>
        <w:t>The Source of the Provider</w:t>
      </w:r>
      <w:r w:rsidR="00043686" w:rsidRPr="001D0A34">
        <w:rPr>
          <w:u w:val="single"/>
        </w:rPr>
        <w:t xml:space="preserve"> Customary Charge Data</w:t>
      </w:r>
    </w:p>
    <w:p w:rsidR="00043686" w:rsidRDefault="00043686" w:rsidP="00043686">
      <w:r>
        <w:t>This section covers the sources and adjustments made to the provider customary charge data.   The state may indicate that the sources of the charge data</w:t>
      </w:r>
      <w:r w:rsidR="007559E0">
        <w:t xml:space="preserve"> are either</w:t>
      </w:r>
      <w:r>
        <w:t xml:space="preserve"> claims data from the MMIS or other data sources.  </w:t>
      </w:r>
      <w:r w:rsidR="00641E49">
        <w:t xml:space="preserve"> If the state uses other data sources, a text box is provided to explain the data.   </w:t>
      </w:r>
      <w:r w:rsidR="00AF5855">
        <w:t>The state sh</w:t>
      </w:r>
      <w:r w:rsidR="00BD55A4">
        <w:t>ould note whether the provider</w:t>
      </w:r>
      <w:r w:rsidR="00AF5855">
        <w:t xml:space="preserve"> charges are uniform for all payers.  If the charges are uniform, this is a good indication that they meet the definition of the customary charge.  If the charges are not uniform, a text box is provided for the state to discuss how the data is used to calculate the customary charge.   A text box is provided for states to discuss how the state determines that the charge data used in the demonstration represents the same </w:t>
      </w:r>
      <w:r w:rsidR="001D0A34">
        <w:t>services</w:t>
      </w:r>
      <w:r w:rsidR="00AF5855">
        <w:t xml:space="preserve"> a</w:t>
      </w:r>
      <w:r w:rsidR="001D0A34">
        <w:t>s comparable to the services provided through Medicaid</w:t>
      </w:r>
      <w:r w:rsidR="00AF5855">
        <w:t xml:space="preserve">.  </w:t>
      </w:r>
    </w:p>
    <w:p w:rsidR="003A798F" w:rsidRPr="003A798F" w:rsidRDefault="003A798F" w:rsidP="001D0A34">
      <w:pPr>
        <w:pStyle w:val="ListParagraph"/>
        <w:numPr>
          <w:ilvl w:val="0"/>
          <w:numId w:val="7"/>
        </w:numPr>
        <w:spacing w:after="0" w:line="240" w:lineRule="auto"/>
        <w:rPr>
          <w:u w:val="single"/>
        </w:rPr>
      </w:pPr>
      <w:r w:rsidRPr="003A798F">
        <w:rPr>
          <w:u w:val="single"/>
        </w:rPr>
        <w:t>The Source of the Prevailing Charge Data</w:t>
      </w:r>
    </w:p>
    <w:p w:rsidR="003A798F" w:rsidRDefault="003A798F" w:rsidP="003A798F">
      <w:pPr>
        <w:spacing w:after="0" w:line="240" w:lineRule="auto"/>
      </w:pPr>
    </w:p>
    <w:p w:rsidR="003A798F" w:rsidRDefault="003A798F" w:rsidP="003A798F">
      <w:pPr>
        <w:spacing w:after="0" w:line="240" w:lineRule="auto"/>
      </w:pPr>
      <w:r>
        <w:t xml:space="preserve">The regulations limit provider payments to the prevailing charge in the locality for comparable services under comparable circumstances.   States should indicate the sources of the prevailing charge data in this section.  Additionally, states should explain how the charge data is adjusted to account for locality and how the data provides a representation of comparable services under comparable circumstances.   Text boxes are provided for those explanations. </w:t>
      </w:r>
    </w:p>
    <w:p w:rsidR="001D0A34" w:rsidRDefault="001D0A34" w:rsidP="003A798F">
      <w:pPr>
        <w:spacing w:after="0" w:line="240" w:lineRule="auto"/>
      </w:pPr>
    </w:p>
    <w:p w:rsidR="001D0A34" w:rsidRDefault="001D0A34" w:rsidP="003A798F">
      <w:pPr>
        <w:spacing w:after="0" w:line="240" w:lineRule="auto"/>
      </w:pPr>
      <w:r>
        <w:lastRenderedPageBreak/>
        <w:t>Additionally states are asked to confirm that the prevailing charge data is for the same services as those paid under Medicaid and, as applicable, explain any differences between the prevailing and Medicaid charge data.</w:t>
      </w:r>
    </w:p>
    <w:p w:rsidR="003A798F" w:rsidRPr="003A798F" w:rsidRDefault="003A798F" w:rsidP="003A798F">
      <w:pPr>
        <w:spacing w:after="0" w:line="240" w:lineRule="auto"/>
      </w:pPr>
    </w:p>
    <w:p w:rsidR="0029624F" w:rsidRPr="0029624F" w:rsidRDefault="00043686" w:rsidP="001D0A34">
      <w:pPr>
        <w:pStyle w:val="ListParagraph"/>
        <w:numPr>
          <w:ilvl w:val="0"/>
          <w:numId w:val="7"/>
        </w:numPr>
        <w:spacing w:after="0" w:line="240" w:lineRule="auto"/>
      </w:pPr>
      <w:r w:rsidRPr="00AF5855">
        <w:rPr>
          <w:u w:val="single"/>
        </w:rPr>
        <w:t>Source of Medicaid Payment Data</w:t>
      </w:r>
    </w:p>
    <w:p w:rsidR="0029624F" w:rsidRDefault="0029624F" w:rsidP="0029624F">
      <w:pPr>
        <w:spacing w:after="0" w:line="240" w:lineRule="auto"/>
        <w:rPr>
          <w:color w:val="000000"/>
        </w:rPr>
      </w:pPr>
    </w:p>
    <w:p w:rsidR="00043686" w:rsidRPr="0029624F" w:rsidRDefault="00043686" w:rsidP="0029624F">
      <w:pPr>
        <w:spacing w:after="0" w:line="240" w:lineRule="auto"/>
      </w:pPr>
      <w:r w:rsidRPr="0029624F">
        <w:rPr>
          <w:color w:val="000000"/>
        </w:rPr>
        <w:t xml:space="preserve">The </w:t>
      </w:r>
      <w:r w:rsidR="003A798F" w:rsidRPr="0029624F">
        <w:rPr>
          <w:color w:val="000000"/>
        </w:rPr>
        <w:t xml:space="preserve">customary and prevailing charge data </w:t>
      </w:r>
      <w:r w:rsidRPr="0029624F">
        <w:rPr>
          <w:color w:val="000000"/>
        </w:rPr>
        <w:t>is compared to the Medicaid payment data fr</w:t>
      </w:r>
      <w:r w:rsidR="003A798F" w:rsidRPr="0029624F">
        <w:rPr>
          <w:color w:val="000000"/>
        </w:rPr>
        <w:t>om the demonstration rate year.</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Medicaid payment data should be from the same date of service time period as the </w:t>
      </w:r>
      <w:r w:rsidR="003A798F">
        <w:rPr>
          <w:color w:val="000000"/>
        </w:rPr>
        <w:t>charge data used in the demonstration</w:t>
      </w:r>
      <w:r w:rsidRPr="00D36D0A">
        <w:rPr>
          <w:color w:val="000000"/>
        </w:rPr>
        <w:t xml:space="preserve">. If the state uses a different Medicaid payment time period, we have asked the state to provide an explanation.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UPL must include total payments made to </w:t>
      </w:r>
      <w:r w:rsidR="001D0A34">
        <w:rPr>
          <w:color w:val="000000"/>
        </w:rPr>
        <w:t>facility</w:t>
      </w:r>
      <w:r w:rsidRPr="00D36D0A">
        <w:rPr>
          <w:color w:val="000000"/>
        </w:rPr>
        <w:t xml:space="preserve"> providers (base and supplemental). </w:t>
      </w:r>
      <w:r w:rsidR="001D0A34">
        <w:rPr>
          <w:color w:val="000000"/>
        </w:rPr>
        <w:t xml:space="preserve"> </w:t>
      </w:r>
      <w:r w:rsidRPr="00D36D0A">
        <w:rPr>
          <w:color w:val="000000"/>
        </w:rPr>
        <w:t>State</w:t>
      </w:r>
      <w:r w:rsidR="001D0A34">
        <w:rPr>
          <w:color w:val="000000"/>
        </w:rPr>
        <w:t>s</w:t>
      </w:r>
      <w:r w:rsidRPr="00D36D0A">
        <w:rPr>
          <w:color w:val="000000"/>
        </w:rPr>
        <w:t xml:space="preserve"> must identify the base and supplemental payments separately within the demonstration. If any payments are made outside of the MMIS, we ask the state to explain those payments in the text box that is provided. </w:t>
      </w:r>
    </w:p>
    <w:p w:rsidR="00043686" w:rsidRPr="00D36D0A" w:rsidRDefault="003A798F" w:rsidP="00043686">
      <w:pPr>
        <w:numPr>
          <w:ilvl w:val="2"/>
          <w:numId w:val="5"/>
        </w:numPr>
        <w:autoSpaceDE w:val="0"/>
        <w:autoSpaceDN w:val="0"/>
        <w:adjustRightInd w:val="0"/>
        <w:spacing w:after="0" w:line="240" w:lineRule="auto"/>
        <w:ind w:left="360"/>
        <w:rPr>
          <w:color w:val="000000"/>
        </w:rPr>
      </w:pPr>
      <w:r>
        <w:rPr>
          <w:color w:val="000000"/>
        </w:rPr>
        <w:t>We</w:t>
      </w:r>
      <w:r w:rsidR="00043686" w:rsidRPr="00D36D0A">
        <w:rPr>
          <w:color w:val="000000"/>
        </w:rPr>
        <w:t xml:space="preserve"> recommend that states exclude cross-over claims from the Medicaid payment data. There is a check box for state to confirm that cross-over claims are excluded.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As part of the calculation, states should make adjustments for changes in </w:t>
      </w:r>
      <w:r w:rsidR="001D0A34">
        <w:rPr>
          <w:color w:val="000000"/>
        </w:rPr>
        <w:t>facility</w:t>
      </w:r>
      <w:r w:rsidRPr="00D36D0A">
        <w:rPr>
          <w:color w:val="000000"/>
        </w:rPr>
        <w:t xml:space="preserve">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The amounts reported on the CMS-</w:t>
      </w:r>
      <w:r w:rsidR="001D0A34">
        <w:rPr>
          <w:color w:val="000000"/>
        </w:rPr>
        <w:t>64 expenditure system for facility</w:t>
      </w:r>
      <w:r w:rsidRPr="00D36D0A">
        <w:rPr>
          <w:color w:val="000000"/>
        </w:rPr>
        <w:t xml:space="preserve"> payments should match or closely align with the amounts reflected in the base period for the UPL demonstration. We ask the state to verify the consistency with the reported expenditures and the UPL payment data and explain any inconsistencies. </w:t>
      </w:r>
    </w:p>
    <w:p w:rsidR="00043686" w:rsidRPr="004F2DEB" w:rsidRDefault="00043686" w:rsidP="00043686"/>
    <w:p w:rsidR="0029624F" w:rsidRDefault="00043686" w:rsidP="00A16C42">
      <w:pPr>
        <w:numPr>
          <w:ilvl w:val="0"/>
          <w:numId w:val="7"/>
        </w:numPr>
        <w:spacing w:after="0" w:line="240" w:lineRule="auto"/>
        <w:ind w:hanging="450"/>
      </w:pPr>
      <w:r w:rsidRPr="004F2DEB">
        <w:rPr>
          <w:u w:val="single"/>
        </w:rPr>
        <w:t>Trends and adjustments to the UPL Data</w:t>
      </w:r>
    </w:p>
    <w:p w:rsidR="00A16C42" w:rsidRPr="00A16C42" w:rsidRDefault="00A16C42" w:rsidP="00A16C42">
      <w:pPr>
        <w:spacing w:after="0" w:line="240" w:lineRule="auto"/>
        <w:ind w:left="1080"/>
      </w:pPr>
    </w:p>
    <w:p w:rsidR="00043686" w:rsidRPr="004F2DEB" w:rsidRDefault="00043686" w:rsidP="00043686">
      <w:pPr>
        <w:autoSpaceDE w:val="0"/>
        <w:autoSpaceDN w:val="0"/>
        <w:adjustRightInd w:val="0"/>
        <w:rPr>
          <w:color w:val="000000"/>
        </w:rPr>
      </w:pPr>
      <w:r w:rsidRPr="004F2DEB">
        <w:rPr>
          <w:color w:val="000000"/>
        </w:rPr>
        <w:t>Because UPL calculations rely on data from prior periods, states often trend the data to the current rate year using inflationary and volume adjustments. In addition, states may use completion factors for charge and payment data to compensate for claiming lags.</w:t>
      </w:r>
      <w:r w:rsidR="00A16C42">
        <w:rPr>
          <w:color w:val="000000"/>
        </w:rPr>
        <w:t xml:space="preserve"> </w:t>
      </w:r>
      <w:r w:rsidRPr="004F2DEB">
        <w:rPr>
          <w:color w:val="000000"/>
        </w:rPr>
        <w:t xml:space="preserve"> All trend sources and trending applications to the UPL data </w:t>
      </w:r>
      <w:r w:rsidR="003A798F">
        <w:rPr>
          <w:color w:val="000000"/>
        </w:rPr>
        <w:t xml:space="preserve">are described in this section. </w:t>
      </w:r>
    </w:p>
    <w:p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t>States should verify that trends are used for inflation and describe the inflationary trend source and application.</w:t>
      </w:r>
      <w:r w:rsidR="003A798F">
        <w:rPr>
          <w:color w:val="000000"/>
        </w:rPr>
        <w:t xml:space="preserve"> </w:t>
      </w:r>
      <w:r w:rsidRPr="004F2DEB">
        <w:rPr>
          <w:color w:val="000000"/>
        </w:rPr>
        <w:t>The trend data should be applied as a “mid-point to mid-point” application in order to accurately project the trended historic data into the current rate year.</w:t>
      </w:r>
    </w:p>
    <w:p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w:t>
      </w:r>
      <w:r w:rsidR="003A798F">
        <w:rPr>
          <w:color w:val="000000"/>
        </w:rPr>
        <w:t>the charge data</w:t>
      </w:r>
      <w:r w:rsidRPr="004F2DEB">
        <w:rPr>
          <w:color w:val="000000"/>
        </w:rPr>
        <w:t xml:space="preserve">. Within the narrative, states should verify that adjustments are used to account for increases (or decreases) in volume and describe the volume adjustment source and application. </w:t>
      </w:r>
    </w:p>
    <w:p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lastRenderedPageBreak/>
        <w:t xml:space="preserve">If the state adjusts UPL data using additional or alternative factors, we have requested an explanation and the basis for those adjustments in the text box provided. </w:t>
      </w:r>
    </w:p>
    <w:p w:rsidR="00043686" w:rsidRDefault="00043686" w:rsidP="00043686">
      <w:pPr>
        <w:numPr>
          <w:ilvl w:val="2"/>
          <w:numId w:val="4"/>
        </w:numPr>
        <w:autoSpaceDE w:val="0"/>
        <w:autoSpaceDN w:val="0"/>
        <w:adjustRightInd w:val="0"/>
        <w:spacing w:after="0" w:line="240" w:lineRule="auto"/>
        <w:ind w:left="360"/>
        <w:rPr>
          <w:color w:val="000000"/>
        </w:rPr>
      </w:pPr>
      <w:r w:rsidRPr="004F2DEB">
        <w:rPr>
          <w:color w:val="000000"/>
        </w:rPr>
        <w:t xml:space="preserve">States </w:t>
      </w:r>
      <w:r w:rsidR="003A798F">
        <w:rPr>
          <w:color w:val="000000"/>
        </w:rPr>
        <w:t>could</w:t>
      </w:r>
      <w:r w:rsidRPr="004F2DEB">
        <w:rPr>
          <w:color w:val="000000"/>
        </w:rPr>
        <w:t xml:space="preserve">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rsidR="00043686" w:rsidRPr="004F2DEB" w:rsidRDefault="00043686" w:rsidP="00043686">
      <w:pPr>
        <w:autoSpaceDE w:val="0"/>
        <w:autoSpaceDN w:val="0"/>
        <w:adjustRightInd w:val="0"/>
        <w:spacing w:after="0" w:line="240" w:lineRule="auto"/>
        <w:rPr>
          <w:color w:val="000000"/>
        </w:rPr>
      </w:pPr>
    </w:p>
    <w:p w:rsidR="00043686" w:rsidRDefault="00043686" w:rsidP="001D0A34">
      <w:pPr>
        <w:pStyle w:val="ListParagraph"/>
        <w:numPr>
          <w:ilvl w:val="0"/>
          <w:numId w:val="7"/>
        </w:numPr>
        <w:spacing w:after="0" w:line="240" w:lineRule="auto"/>
      </w:pPr>
      <w:r w:rsidRPr="00043686">
        <w:rPr>
          <w:u w:val="single"/>
        </w:rPr>
        <w:t>State UPL Data Demonstration Structure</w:t>
      </w:r>
      <w:r w:rsidRPr="004F2DEB">
        <w:t xml:space="preserve"> </w:t>
      </w:r>
    </w:p>
    <w:p w:rsidR="00043686" w:rsidRPr="004F2DEB" w:rsidRDefault="00043686" w:rsidP="00043686">
      <w:pPr>
        <w:pStyle w:val="ListParagraph"/>
        <w:spacing w:after="0" w:line="240" w:lineRule="auto"/>
        <w:ind w:left="1080"/>
      </w:pPr>
    </w:p>
    <w:p w:rsidR="00043686" w:rsidRPr="004F2DEB" w:rsidRDefault="00043686" w:rsidP="00043686">
      <w:r w:rsidRPr="004F2DEB">
        <w:t>This section describes t</w:t>
      </w:r>
      <w:r>
        <w:t xml:space="preserve">he structure of the </w:t>
      </w:r>
      <w:r w:rsidR="0029624F">
        <w:t xml:space="preserve">supporting </w:t>
      </w:r>
      <w:r>
        <w:t>UPL data</w:t>
      </w:r>
      <w:r w:rsidR="0029624F">
        <w:t xml:space="preserve">, which is provided by individual </w:t>
      </w:r>
      <w:r w:rsidR="00A16C42">
        <w:t>facility</w:t>
      </w:r>
      <w:r w:rsidR="0029624F">
        <w:t xml:space="preserve"> provider</w:t>
      </w:r>
      <w:r>
        <w:t xml:space="preserve">.  </w:t>
      </w:r>
    </w:p>
    <w:p w:rsidR="00043686" w:rsidRPr="004F2DEB" w:rsidRDefault="00043686" w:rsidP="00043686">
      <w:pPr>
        <w:numPr>
          <w:ilvl w:val="2"/>
          <w:numId w:val="3"/>
        </w:numPr>
        <w:spacing w:after="0" w:line="240" w:lineRule="auto"/>
        <w:ind w:left="360"/>
      </w:pPr>
      <w:r w:rsidRPr="004F2DEB">
        <w:t xml:space="preserve">The state is asked to assure that the UPL data demonstrates UPL compliance </w:t>
      </w:r>
      <w:r w:rsidR="003A798F">
        <w:t>for each provider</w:t>
      </w:r>
      <w:r w:rsidRPr="004F2DEB">
        <w:t xml:space="preserve">. </w:t>
      </w:r>
    </w:p>
    <w:p w:rsidR="00043686" w:rsidRPr="004F2DEB" w:rsidRDefault="00043686" w:rsidP="00043686">
      <w:pPr>
        <w:numPr>
          <w:ilvl w:val="2"/>
          <w:numId w:val="3"/>
        </w:numPr>
        <w:spacing w:after="0" w:line="240" w:lineRule="auto"/>
        <w:ind w:left="360"/>
      </w:pPr>
      <w:r w:rsidRPr="004F2DEB">
        <w:t xml:space="preserve">All Medicaid payments made to </w:t>
      </w:r>
      <w:r w:rsidR="00A16C42">
        <w:t>the facility</w:t>
      </w:r>
      <w:r w:rsidR="003A798F">
        <w:t xml:space="preserve"> providers </w:t>
      </w:r>
      <w:r w:rsidRPr="004F2DEB">
        <w:t xml:space="preserve">must be included in the demonstration. Base and supplemental payments should be separately identified. </w:t>
      </w:r>
    </w:p>
    <w:p w:rsidR="00043686" w:rsidRPr="004F2DEB" w:rsidRDefault="00043686" w:rsidP="00043686">
      <w:pPr>
        <w:tabs>
          <w:tab w:val="left" w:pos="720"/>
        </w:tabs>
        <w:ind w:hanging="2160"/>
        <w:rPr>
          <w:highlight w:val="cyan"/>
        </w:rPr>
      </w:pPr>
    </w:p>
    <w:p w:rsidR="00FB536E" w:rsidRDefault="00FB536E" w:rsidP="007E137B"/>
    <w:sectPr w:rsidR="00FB53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C42" w:rsidRDefault="00A16C42" w:rsidP="00A16C42">
      <w:pPr>
        <w:spacing w:after="0" w:line="240" w:lineRule="auto"/>
      </w:pPr>
      <w:r>
        <w:separator/>
      </w:r>
    </w:p>
  </w:endnote>
  <w:endnote w:type="continuationSeparator" w:id="0">
    <w:p w:rsidR="00A16C42" w:rsidRDefault="00A16C42" w:rsidP="00A1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280334"/>
      <w:docPartObj>
        <w:docPartGallery w:val="Page Numbers (Bottom of Page)"/>
        <w:docPartUnique/>
      </w:docPartObj>
    </w:sdtPr>
    <w:sdtEndPr>
      <w:rPr>
        <w:noProof/>
      </w:rPr>
    </w:sdtEndPr>
    <w:sdtContent>
      <w:p w:rsidR="00A16C42" w:rsidRDefault="00A16C42">
        <w:pPr>
          <w:pStyle w:val="Footer"/>
          <w:jc w:val="center"/>
        </w:pPr>
        <w:r>
          <w:fldChar w:fldCharType="begin"/>
        </w:r>
        <w:r>
          <w:instrText xml:space="preserve"> PAGE   \* MERGEFORMAT </w:instrText>
        </w:r>
        <w:r>
          <w:fldChar w:fldCharType="separate"/>
        </w:r>
        <w:r w:rsidR="00954E0F">
          <w:rPr>
            <w:noProof/>
          </w:rPr>
          <w:t>3</w:t>
        </w:r>
        <w:r>
          <w:rPr>
            <w:noProof/>
          </w:rPr>
          <w:fldChar w:fldCharType="end"/>
        </w:r>
      </w:p>
    </w:sdtContent>
  </w:sdt>
  <w:p w:rsidR="00A16C42" w:rsidRDefault="00A16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C42" w:rsidRDefault="00A16C42" w:rsidP="00A16C42">
      <w:pPr>
        <w:spacing w:after="0" w:line="240" w:lineRule="auto"/>
      </w:pPr>
      <w:r>
        <w:separator/>
      </w:r>
    </w:p>
  </w:footnote>
  <w:footnote w:type="continuationSeparator" w:id="0">
    <w:p w:rsidR="00A16C42" w:rsidRDefault="00A16C42" w:rsidP="00A16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72D"/>
    <w:multiLevelType w:val="hybridMultilevel"/>
    <w:tmpl w:val="9D46F68E"/>
    <w:lvl w:ilvl="0" w:tplc="6B169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33558"/>
    <w:multiLevelType w:val="hybridMultilevel"/>
    <w:tmpl w:val="118A4E4C"/>
    <w:lvl w:ilvl="0" w:tplc="04090013">
      <w:start w:val="1"/>
      <w:numFmt w:val="upperRoman"/>
      <w:lvlText w:val="%1."/>
      <w:lvlJc w:val="right"/>
      <w:pPr>
        <w:ind w:left="720" w:hanging="648"/>
      </w:pPr>
      <w:rPr>
        <w:rFonts w:hint="default"/>
      </w:rPr>
    </w:lvl>
    <w:lvl w:ilvl="1" w:tplc="04090019">
      <w:start w:val="1"/>
      <w:numFmt w:val="lowerLetter"/>
      <w:lvlText w:val="%2."/>
      <w:lvlJc w:val="left"/>
      <w:pPr>
        <w:ind w:left="1440" w:hanging="360"/>
      </w:pPr>
    </w:lvl>
    <w:lvl w:ilvl="2" w:tplc="885A7B70">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17BED"/>
    <w:multiLevelType w:val="hybridMultilevel"/>
    <w:tmpl w:val="880CD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43FF3"/>
    <w:multiLevelType w:val="hybridMultilevel"/>
    <w:tmpl w:val="0A1A08F2"/>
    <w:lvl w:ilvl="0" w:tplc="F1108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82B2C"/>
    <w:multiLevelType w:val="hybridMultilevel"/>
    <w:tmpl w:val="4C9EB58A"/>
    <w:lvl w:ilvl="0" w:tplc="C7886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4A5888"/>
    <w:multiLevelType w:val="hybridMultilevel"/>
    <w:tmpl w:val="4FE0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AA227C"/>
    <w:multiLevelType w:val="hybridMultilevel"/>
    <w:tmpl w:val="41608CB2"/>
    <w:lvl w:ilvl="0" w:tplc="04090013">
      <w:start w:val="1"/>
      <w:numFmt w:val="upperRoman"/>
      <w:lvlText w:val="%1."/>
      <w:lvlJc w:val="right"/>
      <w:pPr>
        <w:ind w:left="720" w:hanging="648"/>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7B"/>
    <w:rsid w:val="00043686"/>
    <w:rsid w:val="00127A27"/>
    <w:rsid w:val="001D0A34"/>
    <w:rsid w:val="0029624F"/>
    <w:rsid w:val="003A798F"/>
    <w:rsid w:val="004617A5"/>
    <w:rsid w:val="005C78C2"/>
    <w:rsid w:val="005E6257"/>
    <w:rsid w:val="00601B57"/>
    <w:rsid w:val="00641E49"/>
    <w:rsid w:val="006960F6"/>
    <w:rsid w:val="00716D74"/>
    <w:rsid w:val="007559E0"/>
    <w:rsid w:val="007B6D8A"/>
    <w:rsid w:val="007E137B"/>
    <w:rsid w:val="00954E0F"/>
    <w:rsid w:val="00955C0D"/>
    <w:rsid w:val="00A16C42"/>
    <w:rsid w:val="00AC6A86"/>
    <w:rsid w:val="00AF5855"/>
    <w:rsid w:val="00B82FA1"/>
    <w:rsid w:val="00BD55A4"/>
    <w:rsid w:val="00C36D8E"/>
    <w:rsid w:val="00CC4379"/>
    <w:rsid w:val="00D179EB"/>
    <w:rsid w:val="00DB195D"/>
    <w:rsid w:val="00E36756"/>
    <w:rsid w:val="00F50277"/>
    <w:rsid w:val="00FB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7B"/>
    <w:pPr>
      <w:ind w:left="720"/>
      <w:contextualSpacing/>
    </w:pPr>
  </w:style>
  <w:style w:type="character" w:styleId="CommentReference">
    <w:name w:val="annotation reference"/>
    <w:basedOn w:val="DefaultParagraphFont"/>
    <w:uiPriority w:val="99"/>
    <w:semiHidden/>
    <w:unhideWhenUsed/>
    <w:rsid w:val="00DB195D"/>
    <w:rPr>
      <w:sz w:val="16"/>
      <w:szCs w:val="16"/>
    </w:rPr>
  </w:style>
  <w:style w:type="paragraph" w:styleId="CommentText">
    <w:name w:val="annotation text"/>
    <w:basedOn w:val="Normal"/>
    <w:link w:val="CommentTextChar"/>
    <w:uiPriority w:val="99"/>
    <w:semiHidden/>
    <w:unhideWhenUsed/>
    <w:rsid w:val="00DB195D"/>
    <w:pPr>
      <w:spacing w:line="240" w:lineRule="auto"/>
    </w:pPr>
    <w:rPr>
      <w:sz w:val="20"/>
      <w:szCs w:val="20"/>
    </w:rPr>
  </w:style>
  <w:style w:type="character" w:customStyle="1" w:styleId="CommentTextChar">
    <w:name w:val="Comment Text Char"/>
    <w:basedOn w:val="DefaultParagraphFont"/>
    <w:link w:val="CommentText"/>
    <w:uiPriority w:val="99"/>
    <w:semiHidden/>
    <w:rsid w:val="00DB195D"/>
    <w:rPr>
      <w:sz w:val="20"/>
      <w:szCs w:val="20"/>
    </w:rPr>
  </w:style>
  <w:style w:type="paragraph" w:styleId="CommentSubject">
    <w:name w:val="annotation subject"/>
    <w:basedOn w:val="CommentText"/>
    <w:next w:val="CommentText"/>
    <w:link w:val="CommentSubjectChar"/>
    <w:uiPriority w:val="99"/>
    <w:semiHidden/>
    <w:unhideWhenUsed/>
    <w:rsid w:val="00DB195D"/>
    <w:rPr>
      <w:b/>
      <w:bCs/>
    </w:rPr>
  </w:style>
  <w:style w:type="character" w:customStyle="1" w:styleId="CommentSubjectChar">
    <w:name w:val="Comment Subject Char"/>
    <w:basedOn w:val="CommentTextChar"/>
    <w:link w:val="CommentSubject"/>
    <w:uiPriority w:val="99"/>
    <w:semiHidden/>
    <w:rsid w:val="00DB195D"/>
    <w:rPr>
      <w:b/>
      <w:bCs/>
      <w:sz w:val="20"/>
      <w:szCs w:val="20"/>
    </w:rPr>
  </w:style>
  <w:style w:type="paragraph" w:styleId="BalloonText">
    <w:name w:val="Balloon Text"/>
    <w:basedOn w:val="Normal"/>
    <w:link w:val="BalloonTextChar"/>
    <w:uiPriority w:val="99"/>
    <w:semiHidden/>
    <w:unhideWhenUsed/>
    <w:rsid w:val="00D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95D"/>
    <w:rPr>
      <w:rFonts w:ascii="Tahoma" w:hAnsi="Tahoma" w:cs="Tahoma"/>
      <w:sz w:val="16"/>
      <w:szCs w:val="16"/>
    </w:rPr>
  </w:style>
  <w:style w:type="paragraph" w:styleId="Header">
    <w:name w:val="header"/>
    <w:basedOn w:val="Normal"/>
    <w:link w:val="HeaderChar"/>
    <w:uiPriority w:val="99"/>
    <w:unhideWhenUsed/>
    <w:rsid w:val="00A1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42"/>
  </w:style>
  <w:style w:type="paragraph" w:styleId="Footer">
    <w:name w:val="footer"/>
    <w:basedOn w:val="Normal"/>
    <w:link w:val="FooterChar"/>
    <w:uiPriority w:val="99"/>
    <w:unhideWhenUsed/>
    <w:rsid w:val="00A1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7B"/>
    <w:pPr>
      <w:ind w:left="720"/>
      <w:contextualSpacing/>
    </w:pPr>
  </w:style>
  <w:style w:type="character" w:styleId="CommentReference">
    <w:name w:val="annotation reference"/>
    <w:basedOn w:val="DefaultParagraphFont"/>
    <w:uiPriority w:val="99"/>
    <w:semiHidden/>
    <w:unhideWhenUsed/>
    <w:rsid w:val="00DB195D"/>
    <w:rPr>
      <w:sz w:val="16"/>
      <w:szCs w:val="16"/>
    </w:rPr>
  </w:style>
  <w:style w:type="paragraph" w:styleId="CommentText">
    <w:name w:val="annotation text"/>
    <w:basedOn w:val="Normal"/>
    <w:link w:val="CommentTextChar"/>
    <w:uiPriority w:val="99"/>
    <w:semiHidden/>
    <w:unhideWhenUsed/>
    <w:rsid w:val="00DB195D"/>
    <w:pPr>
      <w:spacing w:line="240" w:lineRule="auto"/>
    </w:pPr>
    <w:rPr>
      <w:sz w:val="20"/>
      <w:szCs w:val="20"/>
    </w:rPr>
  </w:style>
  <w:style w:type="character" w:customStyle="1" w:styleId="CommentTextChar">
    <w:name w:val="Comment Text Char"/>
    <w:basedOn w:val="DefaultParagraphFont"/>
    <w:link w:val="CommentText"/>
    <w:uiPriority w:val="99"/>
    <w:semiHidden/>
    <w:rsid w:val="00DB195D"/>
    <w:rPr>
      <w:sz w:val="20"/>
      <w:szCs w:val="20"/>
    </w:rPr>
  </w:style>
  <w:style w:type="paragraph" w:styleId="CommentSubject">
    <w:name w:val="annotation subject"/>
    <w:basedOn w:val="CommentText"/>
    <w:next w:val="CommentText"/>
    <w:link w:val="CommentSubjectChar"/>
    <w:uiPriority w:val="99"/>
    <w:semiHidden/>
    <w:unhideWhenUsed/>
    <w:rsid w:val="00DB195D"/>
    <w:rPr>
      <w:b/>
      <w:bCs/>
    </w:rPr>
  </w:style>
  <w:style w:type="character" w:customStyle="1" w:styleId="CommentSubjectChar">
    <w:name w:val="Comment Subject Char"/>
    <w:basedOn w:val="CommentTextChar"/>
    <w:link w:val="CommentSubject"/>
    <w:uiPriority w:val="99"/>
    <w:semiHidden/>
    <w:rsid w:val="00DB195D"/>
    <w:rPr>
      <w:b/>
      <w:bCs/>
      <w:sz w:val="20"/>
      <w:szCs w:val="20"/>
    </w:rPr>
  </w:style>
  <w:style w:type="paragraph" w:styleId="BalloonText">
    <w:name w:val="Balloon Text"/>
    <w:basedOn w:val="Normal"/>
    <w:link w:val="BalloonTextChar"/>
    <w:uiPriority w:val="99"/>
    <w:semiHidden/>
    <w:unhideWhenUsed/>
    <w:rsid w:val="00D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95D"/>
    <w:rPr>
      <w:rFonts w:ascii="Tahoma" w:hAnsi="Tahoma" w:cs="Tahoma"/>
      <w:sz w:val="16"/>
      <w:szCs w:val="16"/>
    </w:rPr>
  </w:style>
  <w:style w:type="paragraph" w:styleId="Header">
    <w:name w:val="header"/>
    <w:basedOn w:val="Normal"/>
    <w:link w:val="HeaderChar"/>
    <w:uiPriority w:val="99"/>
    <w:unhideWhenUsed/>
    <w:rsid w:val="00A1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42"/>
  </w:style>
  <w:style w:type="paragraph" w:styleId="Footer">
    <w:name w:val="footer"/>
    <w:basedOn w:val="Normal"/>
    <w:link w:val="FooterChar"/>
    <w:uiPriority w:val="99"/>
    <w:unhideWhenUsed/>
    <w:rsid w:val="00A1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046855">
      <w:bodyDiv w:val="1"/>
      <w:marLeft w:val="0"/>
      <w:marRight w:val="0"/>
      <w:marTop w:val="0"/>
      <w:marBottom w:val="0"/>
      <w:divBdr>
        <w:top w:val="none" w:sz="0" w:space="0" w:color="auto"/>
        <w:left w:val="none" w:sz="0" w:space="0" w:color="auto"/>
        <w:bottom w:val="none" w:sz="0" w:space="0" w:color="auto"/>
        <w:right w:val="none" w:sz="0" w:space="0" w:color="auto"/>
      </w:divBdr>
      <w:divsChild>
        <w:div w:id="1781994105">
          <w:marLeft w:val="0"/>
          <w:marRight w:val="0"/>
          <w:marTop w:val="0"/>
          <w:marBottom w:val="0"/>
          <w:divBdr>
            <w:top w:val="none" w:sz="0" w:space="0" w:color="auto"/>
            <w:left w:val="none" w:sz="0" w:space="0" w:color="auto"/>
            <w:bottom w:val="none" w:sz="0" w:space="0" w:color="auto"/>
            <w:right w:val="none" w:sz="0" w:space="0" w:color="auto"/>
          </w:divBdr>
          <w:divsChild>
            <w:div w:id="99108241">
              <w:marLeft w:val="0"/>
              <w:marRight w:val="0"/>
              <w:marTop w:val="0"/>
              <w:marBottom w:val="0"/>
              <w:divBdr>
                <w:top w:val="none" w:sz="0" w:space="0" w:color="auto"/>
                <w:left w:val="none" w:sz="0" w:space="0" w:color="auto"/>
                <w:bottom w:val="none" w:sz="0" w:space="0" w:color="auto"/>
                <w:right w:val="none" w:sz="0" w:space="0" w:color="auto"/>
              </w:divBdr>
              <w:divsChild>
                <w:div w:id="1771272160">
                  <w:marLeft w:val="0"/>
                  <w:marRight w:val="0"/>
                  <w:marTop w:val="0"/>
                  <w:marBottom w:val="150"/>
                  <w:divBdr>
                    <w:top w:val="none" w:sz="0" w:space="0" w:color="auto"/>
                    <w:left w:val="none" w:sz="0" w:space="0" w:color="auto"/>
                    <w:bottom w:val="none" w:sz="0" w:space="0" w:color="auto"/>
                    <w:right w:val="none" w:sz="0" w:space="0" w:color="auto"/>
                  </w:divBdr>
                  <w:divsChild>
                    <w:div w:id="981081346">
                      <w:marLeft w:val="0"/>
                      <w:marRight w:val="0"/>
                      <w:marTop w:val="0"/>
                      <w:marBottom w:val="0"/>
                      <w:divBdr>
                        <w:top w:val="none" w:sz="0" w:space="0" w:color="auto"/>
                        <w:left w:val="none" w:sz="0" w:space="0" w:color="auto"/>
                        <w:bottom w:val="none" w:sz="0" w:space="0" w:color="auto"/>
                        <w:right w:val="none" w:sz="0" w:space="0" w:color="auto"/>
                      </w:divBdr>
                      <w:divsChild>
                        <w:div w:id="848981401">
                          <w:marLeft w:val="0"/>
                          <w:marRight w:val="0"/>
                          <w:marTop w:val="0"/>
                          <w:marBottom w:val="0"/>
                          <w:divBdr>
                            <w:top w:val="none" w:sz="0" w:space="0" w:color="auto"/>
                            <w:left w:val="none" w:sz="0" w:space="0" w:color="auto"/>
                            <w:bottom w:val="none" w:sz="0" w:space="0" w:color="auto"/>
                            <w:right w:val="none" w:sz="0" w:space="0" w:color="auto"/>
                          </w:divBdr>
                          <w:divsChild>
                            <w:div w:id="339086775">
                              <w:marLeft w:val="0"/>
                              <w:marRight w:val="0"/>
                              <w:marTop w:val="0"/>
                              <w:marBottom w:val="0"/>
                              <w:divBdr>
                                <w:top w:val="none" w:sz="0" w:space="0" w:color="auto"/>
                                <w:left w:val="none" w:sz="0" w:space="0" w:color="auto"/>
                                <w:bottom w:val="none" w:sz="0" w:space="0" w:color="auto"/>
                                <w:right w:val="none" w:sz="0" w:space="0" w:color="auto"/>
                              </w:divBdr>
                              <w:divsChild>
                                <w:div w:id="154927508">
                                  <w:marLeft w:val="0"/>
                                  <w:marRight w:val="0"/>
                                  <w:marTop w:val="0"/>
                                  <w:marBottom w:val="0"/>
                                  <w:divBdr>
                                    <w:top w:val="none" w:sz="0" w:space="0" w:color="auto"/>
                                    <w:left w:val="none" w:sz="0" w:space="0" w:color="auto"/>
                                    <w:bottom w:val="none" w:sz="0" w:space="0" w:color="auto"/>
                                    <w:right w:val="none" w:sz="0" w:space="0" w:color="auto"/>
                                  </w:divBdr>
                                  <w:divsChild>
                                    <w:div w:id="440490154">
                                      <w:marLeft w:val="0"/>
                                      <w:marRight w:val="0"/>
                                      <w:marTop w:val="0"/>
                                      <w:marBottom w:val="0"/>
                                      <w:divBdr>
                                        <w:top w:val="none" w:sz="0" w:space="0" w:color="auto"/>
                                        <w:left w:val="none" w:sz="0" w:space="0" w:color="auto"/>
                                        <w:bottom w:val="none" w:sz="0" w:space="0" w:color="auto"/>
                                        <w:right w:val="none" w:sz="0" w:space="0" w:color="auto"/>
                                      </w:divBdr>
                                      <w:divsChild>
                                        <w:div w:id="149292543">
                                          <w:marLeft w:val="0"/>
                                          <w:marRight w:val="0"/>
                                          <w:marTop w:val="0"/>
                                          <w:marBottom w:val="300"/>
                                          <w:divBdr>
                                            <w:top w:val="none" w:sz="0" w:space="0" w:color="auto"/>
                                            <w:left w:val="none" w:sz="0" w:space="0" w:color="auto"/>
                                            <w:bottom w:val="none" w:sz="0" w:space="0" w:color="auto"/>
                                            <w:right w:val="none" w:sz="0" w:space="0" w:color="auto"/>
                                          </w:divBdr>
                                          <w:divsChild>
                                            <w:div w:id="774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612788">
      <w:bodyDiv w:val="1"/>
      <w:marLeft w:val="0"/>
      <w:marRight w:val="0"/>
      <w:marTop w:val="0"/>
      <w:marBottom w:val="0"/>
      <w:divBdr>
        <w:top w:val="none" w:sz="0" w:space="0" w:color="auto"/>
        <w:left w:val="none" w:sz="0" w:space="0" w:color="auto"/>
        <w:bottom w:val="none" w:sz="0" w:space="0" w:color="auto"/>
        <w:right w:val="none" w:sz="0" w:space="0" w:color="auto"/>
      </w:divBdr>
      <w:divsChild>
        <w:div w:id="1890991694">
          <w:marLeft w:val="0"/>
          <w:marRight w:val="0"/>
          <w:marTop w:val="0"/>
          <w:marBottom w:val="0"/>
          <w:divBdr>
            <w:top w:val="none" w:sz="0" w:space="0" w:color="auto"/>
            <w:left w:val="none" w:sz="0" w:space="0" w:color="auto"/>
            <w:bottom w:val="none" w:sz="0" w:space="0" w:color="auto"/>
            <w:right w:val="none" w:sz="0" w:space="0" w:color="auto"/>
          </w:divBdr>
          <w:divsChild>
            <w:div w:id="722094595">
              <w:marLeft w:val="0"/>
              <w:marRight w:val="0"/>
              <w:marTop w:val="0"/>
              <w:marBottom w:val="0"/>
              <w:divBdr>
                <w:top w:val="none" w:sz="0" w:space="0" w:color="auto"/>
                <w:left w:val="none" w:sz="0" w:space="0" w:color="auto"/>
                <w:bottom w:val="none" w:sz="0" w:space="0" w:color="auto"/>
                <w:right w:val="none" w:sz="0" w:space="0" w:color="auto"/>
              </w:divBdr>
              <w:divsChild>
                <w:div w:id="937560106">
                  <w:marLeft w:val="0"/>
                  <w:marRight w:val="0"/>
                  <w:marTop w:val="0"/>
                  <w:marBottom w:val="150"/>
                  <w:divBdr>
                    <w:top w:val="none" w:sz="0" w:space="0" w:color="auto"/>
                    <w:left w:val="none" w:sz="0" w:space="0" w:color="auto"/>
                    <w:bottom w:val="none" w:sz="0" w:space="0" w:color="auto"/>
                    <w:right w:val="none" w:sz="0" w:space="0" w:color="auto"/>
                  </w:divBdr>
                  <w:divsChild>
                    <w:div w:id="841118589">
                      <w:marLeft w:val="0"/>
                      <w:marRight w:val="0"/>
                      <w:marTop w:val="0"/>
                      <w:marBottom w:val="0"/>
                      <w:divBdr>
                        <w:top w:val="none" w:sz="0" w:space="0" w:color="auto"/>
                        <w:left w:val="none" w:sz="0" w:space="0" w:color="auto"/>
                        <w:bottom w:val="none" w:sz="0" w:space="0" w:color="auto"/>
                        <w:right w:val="none" w:sz="0" w:space="0" w:color="auto"/>
                      </w:divBdr>
                      <w:divsChild>
                        <w:div w:id="105200785">
                          <w:marLeft w:val="0"/>
                          <w:marRight w:val="0"/>
                          <w:marTop w:val="0"/>
                          <w:marBottom w:val="0"/>
                          <w:divBdr>
                            <w:top w:val="none" w:sz="0" w:space="0" w:color="auto"/>
                            <w:left w:val="none" w:sz="0" w:space="0" w:color="auto"/>
                            <w:bottom w:val="none" w:sz="0" w:space="0" w:color="auto"/>
                            <w:right w:val="none" w:sz="0" w:space="0" w:color="auto"/>
                          </w:divBdr>
                          <w:divsChild>
                            <w:div w:id="62024331">
                              <w:marLeft w:val="0"/>
                              <w:marRight w:val="0"/>
                              <w:marTop w:val="0"/>
                              <w:marBottom w:val="0"/>
                              <w:divBdr>
                                <w:top w:val="none" w:sz="0" w:space="0" w:color="auto"/>
                                <w:left w:val="none" w:sz="0" w:space="0" w:color="auto"/>
                                <w:bottom w:val="none" w:sz="0" w:space="0" w:color="auto"/>
                                <w:right w:val="none" w:sz="0" w:space="0" w:color="auto"/>
                              </w:divBdr>
                              <w:divsChild>
                                <w:div w:id="41832460">
                                  <w:marLeft w:val="0"/>
                                  <w:marRight w:val="0"/>
                                  <w:marTop w:val="0"/>
                                  <w:marBottom w:val="0"/>
                                  <w:divBdr>
                                    <w:top w:val="none" w:sz="0" w:space="0" w:color="auto"/>
                                    <w:left w:val="none" w:sz="0" w:space="0" w:color="auto"/>
                                    <w:bottom w:val="none" w:sz="0" w:space="0" w:color="auto"/>
                                    <w:right w:val="none" w:sz="0" w:space="0" w:color="auto"/>
                                  </w:divBdr>
                                  <w:divsChild>
                                    <w:div w:id="1621649155">
                                      <w:marLeft w:val="0"/>
                                      <w:marRight w:val="0"/>
                                      <w:marTop w:val="0"/>
                                      <w:marBottom w:val="0"/>
                                      <w:divBdr>
                                        <w:top w:val="none" w:sz="0" w:space="0" w:color="auto"/>
                                        <w:left w:val="none" w:sz="0" w:space="0" w:color="auto"/>
                                        <w:bottom w:val="none" w:sz="0" w:space="0" w:color="auto"/>
                                        <w:right w:val="none" w:sz="0" w:space="0" w:color="auto"/>
                                      </w:divBdr>
                                      <w:divsChild>
                                        <w:div w:id="1177773643">
                                          <w:marLeft w:val="0"/>
                                          <w:marRight w:val="0"/>
                                          <w:marTop w:val="0"/>
                                          <w:marBottom w:val="300"/>
                                          <w:divBdr>
                                            <w:top w:val="none" w:sz="0" w:space="0" w:color="auto"/>
                                            <w:left w:val="none" w:sz="0" w:space="0" w:color="auto"/>
                                            <w:bottom w:val="none" w:sz="0" w:space="0" w:color="auto"/>
                                            <w:right w:val="none" w:sz="0" w:space="0" w:color="auto"/>
                                          </w:divBdr>
                                          <w:divsChild>
                                            <w:div w:id="7099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794108">
      <w:bodyDiv w:val="1"/>
      <w:marLeft w:val="0"/>
      <w:marRight w:val="0"/>
      <w:marTop w:val="0"/>
      <w:marBottom w:val="0"/>
      <w:divBdr>
        <w:top w:val="none" w:sz="0" w:space="0" w:color="auto"/>
        <w:left w:val="none" w:sz="0" w:space="0" w:color="auto"/>
        <w:bottom w:val="none" w:sz="0" w:space="0" w:color="auto"/>
        <w:right w:val="none" w:sz="0" w:space="0" w:color="auto"/>
      </w:divBdr>
      <w:divsChild>
        <w:div w:id="1972636102">
          <w:marLeft w:val="0"/>
          <w:marRight w:val="0"/>
          <w:marTop w:val="0"/>
          <w:marBottom w:val="0"/>
          <w:divBdr>
            <w:top w:val="none" w:sz="0" w:space="0" w:color="auto"/>
            <w:left w:val="none" w:sz="0" w:space="0" w:color="auto"/>
            <w:bottom w:val="none" w:sz="0" w:space="0" w:color="auto"/>
            <w:right w:val="none" w:sz="0" w:space="0" w:color="auto"/>
          </w:divBdr>
          <w:divsChild>
            <w:div w:id="104934546">
              <w:marLeft w:val="0"/>
              <w:marRight w:val="0"/>
              <w:marTop w:val="0"/>
              <w:marBottom w:val="0"/>
              <w:divBdr>
                <w:top w:val="none" w:sz="0" w:space="0" w:color="auto"/>
                <w:left w:val="none" w:sz="0" w:space="0" w:color="auto"/>
                <w:bottom w:val="none" w:sz="0" w:space="0" w:color="auto"/>
                <w:right w:val="none" w:sz="0" w:space="0" w:color="auto"/>
              </w:divBdr>
              <w:divsChild>
                <w:div w:id="1409615305">
                  <w:marLeft w:val="0"/>
                  <w:marRight w:val="0"/>
                  <w:marTop w:val="0"/>
                  <w:marBottom w:val="150"/>
                  <w:divBdr>
                    <w:top w:val="none" w:sz="0" w:space="0" w:color="auto"/>
                    <w:left w:val="none" w:sz="0" w:space="0" w:color="auto"/>
                    <w:bottom w:val="none" w:sz="0" w:space="0" w:color="auto"/>
                    <w:right w:val="none" w:sz="0" w:space="0" w:color="auto"/>
                  </w:divBdr>
                  <w:divsChild>
                    <w:div w:id="2139255531">
                      <w:marLeft w:val="0"/>
                      <w:marRight w:val="0"/>
                      <w:marTop w:val="0"/>
                      <w:marBottom w:val="0"/>
                      <w:divBdr>
                        <w:top w:val="none" w:sz="0" w:space="0" w:color="auto"/>
                        <w:left w:val="none" w:sz="0" w:space="0" w:color="auto"/>
                        <w:bottom w:val="none" w:sz="0" w:space="0" w:color="auto"/>
                        <w:right w:val="none" w:sz="0" w:space="0" w:color="auto"/>
                      </w:divBdr>
                      <w:divsChild>
                        <w:div w:id="1081370775">
                          <w:marLeft w:val="0"/>
                          <w:marRight w:val="0"/>
                          <w:marTop w:val="0"/>
                          <w:marBottom w:val="0"/>
                          <w:divBdr>
                            <w:top w:val="none" w:sz="0" w:space="0" w:color="auto"/>
                            <w:left w:val="none" w:sz="0" w:space="0" w:color="auto"/>
                            <w:bottom w:val="none" w:sz="0" w:space="0" w:color="auto"/>
                            <w:right w:val="none" w:sz="0" w:space="0" w:color="auto"/>
                          </w:divBdr>
                          <w:divsChild>
                            <w:div w:id="1768192761">
                              <w:marLeft w:val="0"/>
                              <w:marRight w:val="0"/>
                              <w:marTop w:val="0"/>
                              <w:marBottom w:val="0"/>
                              <w:divBdr>
                                <w:top w:val="none" w:sz="0" w:space="0" w:color="auto"/>
                                <w:left w:val="none" w:sz="0" w:space="0" w:color="auto"/>
                                <w:bottom w:val="none" w:sz="0" w:space="0" w:color="auto"/>
                                <w:right w:val="none" w:sz="0" w:space="0" w:color="auto"/>
                              </w:divBdr>
                              <w:divsChild>
                                <w:div w:id="845048889">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1107894597">
                                          <w:marLeft w:val="0"/>
                                          <w:marRight w:val="0"/>
                                          <w:marTop w:val="0"/>
                                          <w:marBottom w:val="300"/>
                                          <w:divBdr>
                                            <w:top w:val="none" w:sz="0" w:space="0" w:color="auto"/>
                                            <w:left w:val="none" w:sz="0" w:space="0" w:color="auto"/>
                                            <w:bottom w:val="none" w:sz="0" w:space="0" w:color="auto"/>
                                            <w:right w:val="none" w:sz="0" w:space="0" w:color="auto"/>
                                          </w:divBdr>
                                          <w:divsChild>
                                            <w:div w:id="10099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439397">
      <w:bodyDiv w:val="1"/>
      <w:marLeft w:val="0"/>
      <w:marRight w:val="0"/>
      <w:marTop w:val="0"/>
      <w:marBottom w:val="0"/>
      <w:divBdr>
        <w:top w:val="none" w:sz="0" w:space="0" w:color="auto"/>
        <w:left w:val="none" w:sz="0" w:space="0" w:color="auto"/>
        <w:bottom w:val="none" w:sz="0" w:space="0" w:color="auto"/>
        <w:right w:val="none" w:sz="0" w:space="0" w:color="auto"/>
      </w:divBdr>
      <w:divsChild>
        <w:div w:id="793668785">
          <w:marLeft w:val="0"/>
          <w:marRight w:val="0"/>
          <w:marTop w:val="0"/>
          <w:marBottom w:val="0"/>
          <w:divBdr>
            <w:top w:val="none" w:sz="0" w:space="0" w:color="auto"/>
            <w:left w:val="none" w:sz="0" w:space="0" w:color="auto"/>
            <w:bottom w:val="none" w:sz="0" w:space="0" w:color="auto"/>
            <w:right w:val="none" w:sz="0" w:space="0" w:color="auto"/>
          </w:divBdr>
          <w:divsChild>
            <w:div w:id="1077239779">
              <w:marLeft w:val="0"/>
              <w:marRight w:val="0"/>
              <w:marTop w:val="0"/>
              <w:marBottom w:val="0"/>
              <w:divBdr>
                <w:top w:val="none" w:sz="0" w:space="0" w:color="auto"/>
                <w:left w:val="none" w:sz="0" w:space="0" w:color="auto"/>
                <w:bottom w:val="none" w:sz="0" w:space="0" w:color="auto"/>
                <w:right w:val="none" w:sz="0" w:space="0" w:color="auto"/>
              </w:divBdr>
              <w:divsChild>
                <w:div w:id="1743986622">
                  <w:marLeft w:val="0"/>
                  <w:marRight w:val="0"/>
                  <w:marTop w:val="0"/>
                  <w:marBottom w:val="150"/>
                  <w:divBdr>
                    <w:top w:val="none" w:sz="0" w:space="0" w:color="auto"/>
                    <w:left w:val="none" w:sz="0" w:space="0" w:color="auto"/>
                    <w:bottom w:val="none" w:sz="0" w:space="0" w:color="auto"/>
                    <w:right w:val="none" w:sz="0" w:space="0" w:color="auto"/>
                  </w:divBdr>
                  <w:divsChild>
                    <w:div w:id="1234466523">
                      <w:marLeft w:val="0"/>
                      <w:marRight w:val="0"/>
                      <w:marTop w:val="0"/>
                      <w:marBottom w:val="0"/>
                      <w:divBdr>
                        <w:top w:val="none" w:sz="0" w:space="0" w:color="auto"/>
                        <w:left w:val="none" w:sz="0" w:space="0" w:color="auto"/>
                        <w:bottom w:val="none" w:sz="0" w:space="0" w:color="auto"/>
                        <w:right w:val="none" w:sz="0" w:space="0" w:color="auto"/>
                      </w:divBdr>
                      <w:divsChild>
                        <w:div w:id="1765029340">
                          <w:marLeft w:val="0"/>
                          <w:marRight w:val="0"/>
                          <w:marTop w:val="0"/>
                          <w:marBottom w:val="0"/>
                          <w:divBdr>
                            <w:top w:val="none" w:sz="0" w:space="0" w:color="auto"/>
                            <w:left w:val="none" w:sz="0" w:space="0" w:color="auto"/>
                            <w:bottom w:val="none" w:sz="0" w:space="0" w:color="auto"/>
                            <w:right w:val="none" w:sz="0" w:space="0" w:color="auto"/>
                          </w:divBdr>
                          <w:divsChild>
                            <w:div w:id="1038776805">
                              <w:marLeft w:val="0"/>
                              <w:marRight w:val="0"/>
                              <w:marTop w:val="0"/>
                              <w:marBottom w:val="0"/>
                              <w:divBdr>
                                <w:top w:val="none" w:sz="0" w:space="0" w:color="auto"/>
                                <w:left w:val="none" w:sz="0" w:space="0" w:color="auto"/>
                                <w:bottom w:val="none" w:sz="0" w:space="0" w:color="auto"/>
                                <w:right w:val="none" w:sz="0" w:space="0" w:color="auto"/>
                              </w:divBdr>
                              <w:divsChild>
                                <w:div w:id="1810659708">
                                  <w:marLeft w:val="0"/>
                                  <w:marRight w:val="0"/>
                                  <w:marTop w:val="0"/>
                                  <w:marBottom w:val="0"/>
                                  <w:divBdr>
                                    <w:top w:val="none" w:sz="0" w:space="0" w:color="auto"/>
                                    <w:left w:val="none" w:sz="0" w:space="0" w:color="auto"/>
                                    <w:bottom w:val="none" w:sz="0" w:space="0" w:color="auto"/>
                                    <w:right w:val="none" w:sz="0" w:space="0" w:color="auto"/>
                                  </w:divBdr>
                                  <w:divsChild>
                                    <w:div w:id="1623803344">
                                      <w:marLeft w:val="0"/>
                                      <w:marRight w:val="0"/>
                                      <w:marTop w:val="0"/>
                                      <w:marBottom w:val="0"/>
                                      <w:divBdr>
                                        <w:top w:val="none" w:sz="0" w:space="0" w:color="auto"/>
                                        <w:left w:val="none" w:sz="0" w:space="0" w:color="auto"/>
                                        <w:bottom w:val="none" w:sz="0" w:space="0" w:color="auto"/>
                                        <w:right w:val="none" w:sz="0" w:space="0" w:color="auto"/>
                                      </w:divBdr>
                                      <w:divsChild>
                                        <w:div w:id="102575400">
                                          <w:marLeft w:val="0"/>
                                          <w:marRight w:val="0"/>
                                          <w:marTop w:val="0"/>
                                          <w:marBottom w:val="300"/>
                                          <w:divBdr>
                                            <w:top w:val="none" w:sz="0" w:space="0" w:color="auto"/>
                                            <w:left w:val="none" w:sz="0" w:space="0" w:color="auto"/>
                                            <w:bottom w:val="none" w:sz="0" w:space="0" w:color="auto"/>
                                            <w:right w:val="none" w:sz="0" w:space="0" w:color="auto"/>
                                          </w:divBdr>
                                          <w:divsChild>
                                            <w:div w:id="20523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FALECIA SMITH</cp:lastModifiedBy>
  <cp:revision>5</cp:revision>
  <cp:lastPrinted>2013-08-07T12:03:00Z</cp:lastPrinted>
  <dcterms:created xsi:type="dcterms:W3CDTF">2013-08-06T12:39:00Z</dcterms:created>
  <dcterms:modified xsi:type="dcterms:W3CDTF">2013-09-11T19:54:00Z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-1721140747</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-336170539</vt:i4>
  </property>
</Properties>
</file>