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5D6806" w:rsidRDefault="00CB646D" w:rsidP="005D6806">
      <w:pPr>
        <w:spacing w:after="0" w:line="240" w:lineRule="auto"/>
        <w:jc w:val="center"/>
        <w:rPr>
          <w:rFonts w:eastAsia="Calibri" w:cs="Times New Roman"/>
          <w:b/>
          <w:bCs/>
          <w:spacing w:val="1"/>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A47F9A">
        <w:rPr>
          <w:rFonts w:cs="Times New Roman"/>
          <w:b/>
          <w:szCs w:val="24"/>
        </w:rPr>
        <w:t>4</w:t>
      </w:r>
      <w:r w:rsidR="00E93F3F">
        <w:rPr>
          <w:rFonts w:cs="Times New Roman"/>
          <w:b/>
          <w:szCs w:val="24"/>
        </w:rPr>
        <w:t xml:space="preserve"> </w:t>
      </w:r>
      <w:r w:rsidR="005D6806">
        <w:rPr>
          <w:rFonts w:eastAsia="Calibri" w:cs="Times New Roman"/>
          <w:b/>
          <w:bCs/>
          <w:spacing w:val="1"/>
          <w:szCs w:val="24"/>
        </w:rPr>
        <w:t>Medicaid Accountability – Upper Payment Limits</w:t>
      </w:r>
    </w:p>
    <w:p w:rsidR="005D6806" w:rsidRPr="00C22026" w:rsidRDefault="005D6806" w:rsidP="005D6806">
      <w:pPr>
        <w:spacing w:after="0" w:line="240" w:lineRule="auto"/>
        <w:jc w:val="center"/>
        <w:rPr>
          <w:rFonts w:cs="Times New Roman"/>
          <w:szCs w:val="24"/>
        </w:rPr>
      </w:pPr>
      <w:r>
        <w:rPr>
          <w:rFonts w:eastAsia="Calibri" w:cs="Times New Roman"/>
          <w:b/>
          <w:bCs/>
          <w:spacing w:val="1"/>
          <w:szCs w:val="24"/>
        </w:rPr>
        <w:t xml:space="preserve">ICF/ID, Clinic Services, Medicaid Qualified Practitioner Services and Other Inpatient &amp; Outpatient Facility Provider </w:t>
      </w:r>
    </w:p>
    <w:p w:rsidR="009004E1" w:rsidRDefault="009004E1" w:rsidP="009004E1">
      <w:pPr>
        <w:jc w:val="center"/>
        <w:rPr>
          <w:rFonts w:cs="Times New Roman"/>
          <w:b/>
          <w:szCs w:val="24"/>
        </w:rPr>
      </w:pP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3C1FA0" w:rsidP="008111D2">
      <w:pPr>
        <w:spacing w:after="0" w:line="240" w:lineRule="auto"/>
        <w:jc w:val="center"/>
        <w:rPr>
          <w:b/>
          <w:szCs w:val="24"/>
        </w:rPr>
      </w:pPr>
      <w:r>
        <w:rPr>
          <w:b/>
          <w:szCs w:val="24"/>
        </w:rPr>
        <w:t xml:space="preserve">September </w:t>
      </w:r>
      <w:r w:rsidR="00A47F9A">
        <w:rPr>
          <w:b/>
          <w:szCs w:val="24"/>
        </w:rPr>
        <w:t>30</w:t>
      </w:r>
      <w:r>
        <w:rPr>
          <w:b/>
          <w:szCs w:val="24"/>
        </w:rPr>
        <w:t>, 2013</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5D6806" w:rsidRDefault="009B19E8" w:rsidP="005D6806">
      <w:pPr>
        <w:spacing w:after="0" w:line="240" w:lineRule="auto"/>
        <w:rPr>
          <w:rFonts w:cs="Times New Roman"/>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r w:rsidR="005D6806">
        <w:rPr>
          <w:szCs w:val="24"/>
        </w:rPr>
        <w:t xml:space="preserve"> </w:t>
      </w:r>
      <w:r w:rsidR="005D6806">
        <w:rPr>
          <w:rFonts w:cs="Times New Roman"/>
        </w:rPr>
        <w:t xml:space="preserve">CMS issued a State Medicaid Director’s letter on March 18, 2013 (SMDL #13-003) that discusses these responsibilities and </w:t>
      </w:r>
      <w:proofErr w:type="gramStart"/>
      <w:r w:rsidR="005D6806">
        <w:rPr>
          <w:rFonts w:cs="Times New Roman"/>
        </w:rPr>
        <w:t>a new annual submission requirements</w:t>
      </w:r>
      <w:proofErr w:type="gramEnd"/>
      <w:r w:rsidR="005D6806">
        <w:rPr>
          <w:rFonts w:cs="Times New Roman"/>
        </w:rPr>
        <w:t xml:space="preserve"> for Medicaid upper payment limits.</w:t>
      </w:r>
    </w:p>
    <w:p w:rsidR="009B19E8" w:rsidRPr="008111D2" w:rsidRDefault="009B19E8" w:rsidP="008111D2">
      <w:pPr>
        <w:spacing w:after="0" w:line="240" w:lineRule="auto"/>
        <w:rPr>
          <w:szCs w:val="24"/>
        </w:rPr>
      </w:pP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5D6806" w:rsidRDefault="005D6806" w:rsidP="005D6806">
      <w:pPr>
        <w:spacing w:after="0" w:line="240" w:lineRule="auto"/>
        <w:rPr>
          <w:rFonts w:cs="Times New Roman"/>
        </w:rPr>
      </w:pPr>
      <w:r>
        <w:rPr>
          <w:rFonts w:cs="Times New Roman"/>
        </w:rPr>
        <w:t xml:space="preserve">Starting in 2013, we required states to submit annual upper payment limit (UPL) demonstrations on an annual basis.  Previously this information </w:t>
      </w:r>
      <w:proofErr w:type="gramStart"/>
      <w:r>
        <w:rPr>
          <w:rFonts w:cs="Times New Roman"/>
        </w:rPr>
        <w:t>was collected or updated only when a state was proposing an amendment to a reimbursement methodology in its Medicaid state plan</w:t>
      </w:r>
      <w:proofErr w:type="gramEnd"/>
      <w:r>
        <w:rPr>
          <w:rFonts w:cs="Times New Roman"/>
        </w:rPr>
        <w:t xml:space="preserve">.  Specifically, in 2013, we required that states submit UPL demonstrations for inpatient hospital services, outpatient hospital services, nursing facilities.  In 2014, state are required to submit annual UPL demonstrations for the services listed above and clinics, physician services (for states that reimburse targeted physician supplemental payments), intermediate care facilities for the developmentally disabled (ICF/DD), psychiatric residential treatment facilities (PRTFs) and institutes for mental disease (IMDs).   These annual demonstrations will include provider specific reporting on all payments made to the providers, including supplemental payments.  </w:t>
      </w:r>
    </w:p>
    <w:p w:rsidR="005D6806" w:rsidRDefault="005D6806" w:rsidP="005D6806">
      <w:pPr>
        <w:spacing w:after="0" w:line="240" w:lineRule="auto"/>
        <w:rPr>
          <w:rFonts w:cs="Times New Roman"/>
        </w:rPr>
      </w:pPr>
    </w:p>
    <w:p w:rsidR="005D6806" w:rsidRDefault="005D6806" w:rsidP="005D6806">
      <w:pPr>
        <w:spacing w:after="0" w:line="240" w:lineRule="auto"/>
        <w:rPr>
          <w:rFonts w:ascii="Calibri" w:hAnsi="Calibri" w:cs="Calibri"/>
          <w:color w:val="1F497D"/>
        </w:rPr>
      </w:pPr>
      <w:r>
        <w:rPr>
          <w:rFonts w:cs="Times New Roman"/>
        </w:rPr>
        <w:t xml:space="preserve">Through this process, states </w:t>
      </w:r>
      <w:proofErr w:type="gramStart"/>
      <w:r>
        <w:rPr>
          <w:rFonts w:cs="Times New Roman"/>
        </w:rPr>
        <w:t>are also asked</w:t>
      </w:r>
      <w:proofErr w:type="gramEnd"/>
      <w:r>
        <w:rPr>
          <w:rFonts w:cs="Times New Roman"/>
        </w:rPr>
        <w:t xml:space="preserve"> as part of the submission to identify the source of non-federal funding for the payments described in the UPL.  This is consistent with overall requirements to identify sources of non-federal funding set forth in section 1903(d</w:t>
      </w:r>
      <w:proofErr w:type="gramStart"/>
      <w:r>
        <w:rPr>
          <w:rFonts w:cs="Times New Roman"/>
        </w:rPr>
        <w:t>)(</w:t>
      </w:r>
      <w:proofErr w:type="gramEnd"/>
      <w:r>
        <w:rPr>
          <w:rFonts w:cs="Times New Roman"/>
        </w:rPr>
        <w:t>1) of the Social Security Act.  Such information will allow CMS and the state to have a better understanding of the variables surrounding rate levels, supplemental payments and total providers participating in the programs and the funding supporting each of the payments described in the UPL demonstration.</w:t>
      </w:r>
    </w:p>
    <w:p w:rsidR="00E93F3F" w:rsidRPr="00770E4C" w:rsidRDefault="00E93F3F" w:rsidP="00E93F3F">
      <w:pPr>
        <w:spacing w:after="0"/>
        <w:ind w:left="360"/>
        <w:rPr>
          <w:rFonts w:cs="Times New Roman"/>
          <w:sz w:val="20"/>
          <w:szCs w:val="20"/>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A47F9A">
        <w:rPr>
          <w:szCs w:val="24"/>
        </w:rPr>
        <w:t>39,316</w:t>
      </w:r>
      <w:r w:rsidRPr="008111D2">
        <w:rPr>
          <w:szCs w:val="24"/>
        </w:rPr>
        <w:t xml:space="preserve"> hours, leaving our burden ceiling at </w:t>
      </w:r>
      <w:r w:rsidR="00A47F9A">
        <w:rPr>
          <w:szCs w:val="24"/>
        </w:rPr>
        <w:t>46,924</w:t>
      </w:r>
      <w:bookmarkStart w:id="0" w:name="_GoBack"/>
      <w:bookmarkEnd w:id="0"/>
      <w:r w:rsidR="00043D0E" w:rsidRPr="008111D2">
        <w:rPr>
          <w:szCs w:val="24"/>
        </w:rPr>
        <w:t xml:space="preserve"> </w:t>
      </w:r>
      <w:r w:rsidRPr="008111D2">
        <w:rPr>
          <w:szCs w:val="24"/>
        </w:rPr>
        <w:t xml:space="preserve">hours. CMS estimates that each State will complete the collection of data and submission to CMS within </w:t>
      </w:r>
      <w:r w:rsidR="009004E1">
        <w:rPr>
          <w:szCs w:val="24"/>
        </w:rPr>
        <w:t>4</w:t>
      </w:r>
      <w:r w:rsidR="00E93F3F">
        <w:rPr>
          <w:szCs w:val="24"/>
        </w:rPr>
        <w:t>0</w:t>
      </w:r>
      <w:r w:rsidRPr="008111D2">
        <w:rPr>
          <w:szCs w:val="24"/>
        </w:rPr>
        <w:t xml:space="preserve"> hours. There is a potential universe of </w:t>
      </w:r>
      <w:r w:rsidR="009004E1">
        <w:rPr>
          <w:szCs w:val="24"/>
        </w:rPr>
        <w:t>5</w:t>
      </w:r>
      <w:r w:rsidR="006D4DD6">
        <w:rPr>
          <w:szCs w:val="24"/>
        </w:rPr>
        <w:t>6</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w:t>
      </w:r>
      <w:r w:rsidR="003663CA">
        <w:rPr>
          <w:szCs w:val="24"/>
        </w:rPr>
        <w:t>240</w:t>
      </w:r>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A47F9A">
        <w:rPr>
          <w:szCs w:val="24"/>
        </w:rPr>
        <w:t>October</w:t>
      </w:r>
      <w:r w:rsidR="00F303E4" w:rsidRPr="008111D2">
        <w:rPr>
          <w:szCs w:val="24"/>
        </w:rPr>
        <w:t xml:space="preserve"> 2013</w:t>
      </w:r>
      <w:r w:rsidRPr="008111D2">
        <w:rPr>
          <w:szCs w:val="24"/>
        </w:rPr>
        <w:t>.</w:t>
      </w:r>
    </w:p>
    <w:p w:rsidR="008111D2" w:rsidRPr="008111D2" w:rsidRDefault="008111D2" w:rsidP="008111D2">
      <w:pPr>
        <w:spacing w:after="0" w:line="240" w:lineRule="auto"/>
        <w:rPr>
          <w:szCs w:val="24"/>
        </w:rPr>
      </w:pP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Intermediate Care Facility for Individuals with Intellectual Disabilities (ICF/ID) Services Narrative Instructions</w:t>
      </w:r>
    </w:p>
    <w:p w:rsidR="007A5900" w:rsidRP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Intermediate Care Facility for Individuals with Intellectual Disabilities (ICF/ID) UPL Guidance</w:t>
      </w:r>
    </w:p>
    <w:p w:rsidR="007A5900" w:rsidRP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Clinic Services Narrative Instructions</w:t>
      </w:r>
    </w:p>
    <w:p w:rsidR="007A5900" w:rsidRP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Clinic Upper Payment Limit (UPL) Guidance</w:t>
      </w:r>
    </w:p>
    <w:p w:rsidR="007A5900" w:rsidRPr="007A5900" w:rsidRDefault="007A5900" w:rsidP="003C1FA0">
      <w:pPr>
        <w:pStyle w:val="ListParagraph"/>
        <w:numPr>
          <w:ilvl w:val="0"/>
          <w:numId w:val="11"/>
        </w:numPr>
        <w:rPr>
          <w:rFonts w:ascii="Times New Roman" w:hAnsi="Times New Roman"/>
          <w:sz w:val="24"/>
          <w:szCs w:val="24"/>
        </w:rPr>
      </w:pPr>
      <w:r w:rsidRPr="007A5900">
        <w:rPr>
          <w:rFonts w:ascii="Times New Roman" w:hAnsi="Times New Roman"/>
          <w:sz w:val="24"/>
          <w:szCs w:val="24"/>
        </w:rPr>
        <w:t>Medicaid Qualified Practitioner Services – Methodologies for Enhanced Payment Made to Physicians and Practitioners Associated with Academic Medical Centers and Safety Net Hospitals and Upper Payment Calculation</w:t>
      </w:r>
    </w:p>
    <w:p w:rsidR="007A5900" w:rsidRPr="007A5900" w:rsidRDefault="007A5900" w:rsidP="003C1FA0">
      <w:pPr>
        <w:pStyle w:val="ListParagraph"/>
        <w:numPr>
          <w:ilvl w:val="0"/>
          <w:numId w:val="11"/>
        </w:numPr>
        <w:outlineLvl w:val="0"/>
        <w:rPr>
          <w:rFonts w:ascii="Times New Roman" w:hAnsi="Times New Roman"/>
          <w:sz w:val="24"/>
          <w:szCs w:val="24"/>
        </w:rPr>
      </w:pPr>
      <w:r w:rsidRPr="007A5900">
        <w:rPr>
          <w:rFonts w:ascii="Times New Roman" w:hAnsi="Times New Roman"/>
          <w:sz w:val="24"/>
          <w:szCs w:val="24"/>
        </w:rPr>
        <w:t xml:space="preserve">Qualified Medicaid Practitioner Enhanced Payment and Average Commercial Rate (ACR) Supplemental Payment Demonstration Guidance </w:t>
      </w:r>
    </w:p>
    <w:p w:rsidR="007A5900" w:rsidRPr="007A5900" w:rsidRDefault="007A5900" w:rsidP="003C1FA0">
      <w:pPr>
        <w:pStyle w:val="ListParagraph"/>
        <w:numPr>
          <w:ilvl w:val="0"/>
          <w:numId w:val="11"/>
        </w:numPr>
        <w:spacing w:after="0" w:line="240" w:lineRule="auto"/>
        <w:rPr>
          <w:rFonts w:ascii="Times New Roman" w:hAnsi="Times New Roman"/>
          <w:sz w:val="24"/>
          <w:szCs w:val="24"/>
        </w:rPr>
      </w:pPr>
      <w:r w:rsidRPr="007A5900">
        <w:rPr>
          <w:rFonts w:ascii="Times New Roman" w:hAnsi="Times New Roman"/>
          <w:sz w:val="24"/>
          <w:szCs w:val="24"/>
        </w:rPr>
        <w:t>Other Inpatient and Outpatient Facility Narrative Instruction</w:t>
      </w:r>
    </w:p>
    <w:p w:rsidR="007A5900" w:rsidRPr="007A5900" w:rsidRDefault="007A5900" w:rsidP="003C1FA0">
      <w:pPr>
        <w:pStyle w:val="ListParagraph"/>
        <w:numPr>
          <w:ilvl w:val="0"/>
          <w:numId w:val="11"/>
        </w:numPr>
        <w:spacing w:after="0"/>
        <w:rPr>
          <w:rFonts w:ascii="Times New Roman" w:hAnsi="Times New Roman"/>
          <w:sz w:val="24"/>
          <w:szCs w:val="24"/>
        </w:rPr>
      </w:pPr>
      <w:r w:rsidRPr="007A5900">
        <w:rPr>
          <w:rFonts w:ascii="Times New Roman" w:hAnsi="Times New Roman"/>
          <w:sz w:val="24"/>
          <w:szCs w:val="24"/>
        </w:rPr>
        <w:t>Other Inpatient and Outpatient Facility Provider Narrative Instruction</w:t>
      </w:r>
    </w:p>
    <w:p w:rsidR="007A5900" w:rsidRPr="007A5900" w:rsidRDefault="007A5900" w:rsidP="003C1FA0">
      <w:pPr>
        <w:pStyle w:val="ListParagraph"/>
        <w:numPr>
          <w:ilvl w:val="0"/>
          <w:numId w:val="11"/>
        </w:numPr>
        <w:autoSpaceDE w:val="0"/>
        <w:autoSpaceDN w:val="0"/>
        <w:adjustRightInd w:val="0"/>
        <w:rPr>
          <w:rFonts w:ascii="Times New Roman" w:hAnsi="Times New Roman"/>
          <w:sz w:val="24"/>
          <w:szCs w:val="24"/>
        </w:rPr>
      </w:pPr>
      <w:r w:rsidRPr="007A5900">
        <w:rPr>
          <w:rFonts w:ascii="Times New Roman" w:hAnsi="Times New Roman"/>
          <w:sz w:val="24"/>
          <w:szCs w:val="24"/>
        </w:rPr>
        <w:t>Funding Questions</w:t>
      </w:r>
    </w:p>
    <w:p w:rsidR="007A5900" w:rsidRPr="007A5900" w:rsidRDefault="007A5900" w:rsidP="007A5900">
      <w:pPr>
        <w:spacing w:after="0" w:line="240" w:lineRule="auto"/>
        <w:ind w:left="-360"/>
        <w:rPr>
          <w:szCs w:val="24"/>
        </w:rPr>
      </w:pPr>
    </w:p>
    <w:sectPr w:rsidR="007A5900" w:rsidRPr="007A590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174C"/>
    <w:multiLevelType w:val="hybridMultilevel"/>
    <w:tmpl w:val="D93C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896D8D"/>
    <w:multiLevelType w:val="hybridMultilevel"/>
    <w:tmpl w:val="F5FC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6523A1"/>
    <w:multiLevelType w:val="hybridMultilevel"/>
    <w:tmpl w:val="250CBAD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3849D7"/>
    <w:multiLevelType w:val="hybridMultilevel"/>
    <w:tmpl w:val="00B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1"/>
  </w:num>
  <w:num w:numId="6">
    <w:abstractNumId w:val="2"/>
  </w:num>
  <w:num w:numId="7">
    <w:abstractNumId w:val="4"/>
  </w:num>
  <w:num w:numId="8">
    <w:abstractNumId w:val="10"/>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627C8"/>
    <w:rsid w:val="003663CA"/>
    <w:rsid w:val="003918B4"/>
    <w:rsid w:val="003C1FA0"/>
    <w:rsid w:val="003F4D04"/>
    <w:rsid w:val="00405CF9"/>
    <w:rsid w:val="00432C17"/>
    <w:rsid w:val="00467E98"/>
    <w:rsid w:val="00474257"/>
    <w:rsid w:val="00475EF8"/>
    <w:rsid w:val="00483058"/>
    <w:rsid w:val="004A0A30"/>
    <w:rsid w:val="004B13E8"/>
    <w:rsid w:val="0052333E"/>
    <w:rsid w:val="005D001F"/>
    <w:rsid w:val="005D6806"/>
    <w:rsid w:val="005E3B79"/>
    <w:rsid w:val="005E52BE"/>
    <w:rsid w:val="006026DA"/>
    <w:rsid w:val="00647812"/>
    <w:rsid w:val="00685368"/>
    <w:rsid w:val="006C0B96"/>
    <w:rsid w:val="006C4626"/>
    <w:rsid w:val="006D4DD6"/>
    <w:rsid w:val="006F4FF9"/>
    <w:rsid w:val="00707666"/>
    <w:rsid w:val="0071650B"/>
    <w:rsid w:val="00723A9E"/>
    <w:rsid w:val="007A5900"/>
    <w:rsid w:val="007D6E75"/>
    <w:rsid w:val="00802598"/>
    <w:rsid w:val="008111D2"/>
    <w:rsid w:val="00836E8F"/>
    <w:rsid w:val="00873459"/>
    <w:rsid w:val="0088756F"/>
    <w:rsid w:val="008C11BC"/>
    <w:rsid w:val="008D52D1"/>
    <w:rsid w:val="008F2AED"/>
    <w:rsid w:val="009004E1"/>
    <w:rsid w:val="009903AB"/>
    <w:rsid w:val="009B19E8"/>
    <w:rsid w:val="009C2F36"/>
    <w:rsid w:val="009E3FAC"/>
    <w:rsid w:val="00A138F7"/>
    <w:rsid w:val="00A47F9A"/>
    <w:rsid w:val="00A718B4"/>
    <w:rsid w:val="00AA37EC"/>
    <w:rsid w:val="00AB01BC"/>
    <w:rsid w:val="00AE1BD8"/>
    <w:rsid w:val="00B43BBD"/>
    <w:rsid w:val="00B532F3"/>
    <w:rsid w:val="00B87957"/>
    <w:rsid w:val="00BD32FA"/>
    <w:rsid w:val="00C2142E"/>
    <w:rsid w:val="00C94C5E"/>
    <w:rsid w:val="00CB241F"/>
    <w:rsid w:val="00CB646D"/>
    <w:rsid w:val="00CF6C1D"/>
    <w:rsid w:val="00D215B4"/>
    <w:rsid w:val="00D46C38"/>
    <w:rsid w:val="00DD794C"/>
    <w:rsid w:val="00DF098E"/>
    <w:rsid w:val="00E9107C"/>
    <w:rsid w:val="00E93F3F"/>
    <w:rsid w:val="00EA4AB1"/>
    <w:rsid w:val="00EE1AD1"/>
    <w:rsid w:val="00F04F6D"/>
    <w:rsid w:val="00F303E4"/>
    <w:rsid w:val="00FB3D21"/>
    <w:rsid w:val="00FE5A2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653875636">
      <w:bodyDiv w:val="1"/>
      <w:marLeft w:val="0"/>
      <w:marRight w:val="0"/>
      <w:marTop w:val="0"/>
      <w:marBottom w:val="0"/>
      <w:divBdr>
        <w:top w:val="none" w:sz="0" w:space="0" w:color="auto"/>
        <w:left w:val="none" w:sz="0" w:space="0" w:color="auto"/>
        <w:bottom w:val="none" w:sz="0" w:space="0" w:color="auto"/>
        <w:right w:val="none" w:sz="0" w:space="0" w:color="auto"/>
      </w:divBdr>
    </w:div>
    <w:div w:id="171908543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6</cp:revision>
  <cp:lastPrinted>2013-08-15T15:50:00Z</cp:lastPrinted>
  <dcterms:created xsi:type="dcterms:W3CDTF">2013-08-26T20:16:00Z</dcterms:created>
  <dcterms:modified xsi:type="dcterms:W3CDTF">2013-09-30T17:41:00Z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798249748</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8" name="_PreviousAdHocReviewCycleID">
    <vt:i4>1223358171</vt:i4>
  </property>
</Properties>
</file>