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B5" w:rsidRDefault="00071A25" w:rsidP="00071A25">
      <w:pPr>
        <w:jc w:val="center"/>
        <w:rPr>
          <w:b/>
          <w:sz w:val="28"/>
          <w:szCs w:val="28"/>
          <w:u w:val="single"/>
        </w:rPr>
      </w:pPr>
      <w:bookmarkStart w:id="0" w:name="_GoBack"/>
      <w:bookmarkEnd w:id="0"/>
      <w:r>
        <w:rPr>
          <w:b/>
          <w:sz w:val="28"/>
          <w:szCs w:val="28"/>
          <w:u w:val="single"/>
        </w:rPr>
        <w:t>Supporting Statement For Paperwork Reduction Act Submissions</w:t>
      </w:r>
    </w:p>
    <w:p w:rsidR="00071A25" w:rsidRDefault="003F205E" w:rsidP="00071A25">
      <w:pPr>
        <w:jc w:val="center"/>
        <w:rPr>
          <w:b/>
          <w:sz w:val="28"/>
          <w:szCs w:val="28"/>
          <w:u w:val="single"/>
        </w:rPr>
      </w:pPr>
      <w:r>
        <w:rPr>
          <w:b/>
          <w:sz w:val="28"/>
          <w:szCs w:val="28"/>
          <w:u w:val="single"/>
        </w:rPr>
        <w:t xml:space="preserve">Medicare Advantage </w:t>
      </w:r>
      <w:r w:rsidR="00DD5BA5">
        <w:rPr>
          <w:b/>
          <w:sz w:val="28"/>
          <w:szCs w:val="28"/>
          <w:u w:val="single"/>
        </w:rPr>
        <w:t>Chronic Care Improvement Program</w:t>
      </w:r>
      <w:r w:rsidR="00635FF6">
        <w:rPr>
          <w:b/>
          <w:sz w:val="28"/>
          <w:szCs w:val="28"/>
          <w:u w:val="single"/>
        </w:rPr>
        <w:t xml:space="preserve"> </w:t>
      </w:r>
      <w:r w:rsidR="00593696">
        <w:rPr>
          <w:b/>
          <w:sz w:val="28"/>
          <w:szCs w:val="28"/>
          <w:u w:val="single"/>
        </w:rPr>
        <w:t>(CCIP)</w:t>
      </w:r>
      <w:r w:rsidR="00451E7A">
        <w:rPr>
          <w:b/>
          <w:sz w:val="28"/>
          <w:szCs w:val="28"/>
          <w:u w:val="single"/>
        </w:rPr>
        <w:t xml:space="preserve"> and Quality </w:t>
      </w:r>
      <w:r w:rsidR="0071173D">
        <w:rPr>
          <w:b/>
          <w:sz w:val="28"/>
          <w:szCs w:val="28"/>
          <w:u w:val="single"/>
        </w:rPr>
        <w:t>Improvement (</w:t>
      </w:r>
      <w:r w:rsidR="00593696">
        <w:rPr>
          <w:b/>
          <w:sz w:val="28"/>
          <w:szCs w:val="28"/>
          <w:u w:val="single"/>
        </w:rPr>
        <w:t>QI)</w:t>
      </w:r>
      <w:r w:rsidR="00451E7A">
        <w:rPr>
          <w:b/>
          <w:sz w:val="28"/>
          <w:szCs w:val="28"/>
          <w:u w:val="single"/>
        </w:rPr>
        <w:t xml:space="preserve"> Project Reporting Tools</w:t>
      </w:r>
    </w:p>
    <w:p w:rsidR="00DD5BA5" w:rsidRDefault="00DD5BA5" w:rsidP="00071A25">
      <w:pPr>
        <w:jc w:val="center"/>
        <w:rPr>
          <w:b/>
          <w:sz w:val="28"/>
          <w:szCs w:val="28"/>
          <w:u w:val="single"/>
        </w:rPr>
      </w:pPr>
    </w:p>
    <w:p w:rsidR="00071A25" w:rsidRPr="00DD5BA5" w:rsidRDefault="00071A25" w:rsidP="002475DE">
      <w:r w:rsidRPr="00DD5BA5">
        <w:rPr>
          <w:b/>
          <w:u w:val="single"/>
        </w:rPr>
        <w:t>Background</w:t>
      </w:r>
    </w:p>
    <w:p w:rsidR="00C37091" w:rsidRDefault="00C37091" w:rsidP="002475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6053" w:rsidRDefault="0049336C" w:rsidP="002475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Social Security Act, §185</w:t>
      </w:r>
      <w:r w:rsidR="00907EE0">
        <w:t>2 e(1), (2)</w:t>
      </w:r>
      <w:r w:rsidR="008E7072">
        <w:t>,</w:t>
      </w:r>
      <w:r w:rsidR="00907EE0">
        <w:t xml:space="preserve"> and (3)(a)(i)</w:t>
      </w:r>
      <w:r w:rsidR="00C37091">
        <w:t>,</w:t>
      </w:r>
      <w:r w:rsidR="00907EE0">
        <w:t xml:space="preserve"> and regulations at</w:t>
      </w:r>
      <w:r w:rsidR="00C37091">
        <w:t xml:space="preserve"> Part 42, </w:t>
      </w:r>
      <w:r w:rsidR="00634A9A">
        <w:t>§</w:t>
      </w:r>
      <w:r w:rsidR="00C37091">
        <w:t>422.</w:t>
      </w:r>
      <w:r w:rsidR="00E06053">
        <w:t>152</w:t>
      </w:r>
      <w:r w:rsidR="00C37091">
        <w:t xml:space="preserve"> d</w:t>
      </w:r>
      <w:r w:rsidR="00071A25">
        <w:t>escrib</w:t>
      </w:r>
      <w:r w:rsidR="00E06053">
        <w:t>e CMS’ regulatory authority to require</w:t>
      </w:r>
      <w:r w:rsidR="00907EE0">
        <w:t xml:space="preserve"> each</w:t>
      </w:r>
      <w:r w:rsidR="00E06053">
        <w:t xml:space="preserve"> </w:t>
      </w:r>
      <w:r w:rsidR="00907EE0">
        <w:t>Medicare Advantage Organization</w:t>
      </w:r>
      <w:r w:rsidR="00E06053">
        <w:t xml:space="preserve"> (MAO)</w:t>
      </w:r>
      <w:r w:rsidR="00907EE0">
        <w:t xml:space="preserve"> </w:t>
      </w:r>
      <w:r w:rsidR="00072360">
        <w:t xml:space="preserve">coordinated care plan </w:t>
      </w:r>
      <w:r w:rsidR="00907EE0">
        <w:t>that offers one or more MA</w:t>
      </w:r>
      <w:r w:rsidR="00761C6D">
        <w:t xml:space="preserve"> </w:t>
      </w:r>
      <w:r w:rsidR="00907EE0">
        <w:t>plan</w:t>
      </w:r>
      <w:r w:rsidR="00634A9A">
        <w:t>s</w:t>
      </w:r>
      <w:r w:rsidR="00907EE0">
        <w:t xml:space="preserve"> </w:t>
      </w:r>
      <w:r w:rsidR="00761C6D">
        <w:t>to</w:t>
      </w:r>
      <w:r w:rsidR="00E06053">
        <w:t xml:space="preserve"> have an ongoing quality assessment and performance improvement program.  This program must include </w:t>
      </w:r>
      <w:r w:rsidR="00E83FD6">
        <w:t>assessing</w:t>
      </w:r>
      <w:r w:rsidR="00E06053">
        <w:t xml:space="preserve"> performance using standard measures required by </w:t>
      </w:r>
      <w:r w:rsidR="00634A9A">
        <w:t>the Center for Medicare and Medicaid Services (CMS)</w:t>
      </w:r>
      <w:r w:rsidR="00E06053">
        <w:t>, and report</w:t>
      </w:r>
      <w:r w:rsidR="00E83FD6">
        <w:t>ing</w:t>
      </w:r>
      <w:r w:rsidR="00E06053">
        <w:t xml:space="preserve"> its performance to CMS. </w:t>
      </w:r>
    </w:p>
    <w:p w:rsidR="00E06053" w:rsidRDefault="00E06053" w:rsidP="002475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1A25" w:rsidRDefault="00634A9A" w:rsidP="002475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MAOs </w:t>
      </w:r>
      <w:r w:rsidR="00B37C8C">
        <w:t xml:space="preserve">will submit </w:t>
      </w:r>
      <w:r>
        <w:t xml:space="preserve">their Chronic Care Improvement Programs (CCIPs) and </w:t>
      </w:r>
      <w:r w:rsidR="00FE47B7">
        <w:t>Quality</w:t>
      </w:r>
      <w:r w:rsidR="00071A25">
        <w:t xml:space="preserve"> Improvement Project (QIP</w:t>
      </w:r>
      <w:r>
        <w:t>s</w:t>
      </w:r>
      <w:r w:rsidR="00FE47B7">
        <w:t xml:space="preserve">) </w:t>
      </w:r>
      <w:r w:rsidR="00072360">
        <w:t xml:space="preserve">using the revised </w:t>
      </w:r>
      <w:r>
        <w:t xml:space="preserve">CCIP and </w:t>
      </w:r>
      <w:r w:rsidR="00B37C8C">
        <w:t xml:space="preserve">QIP Reporting </w:t>
      </w:r>
      <w:r>
        <w:t>T</w:t>
      </w:r>
      <w:r w:rsidR="00072360">
        <w:t>ools that are included in this collection</w:t>
      </w:r>
      <w:r w:rsidR="00E83FD6">
        <w:t xml:space="preserve">. </w:t>
      </w:r>
      <w:r w:rsidR="008718FD">
        <w:t xml:space="preserve">The tools have been </w:t>
      </w:r>
      <w:r w:rsidR="00710FC6">
        <w:t>redesigned:</w:t>
      </w:r>
      <w:r w:rsidR="008718FD">
        <w:t xml:space="preserve"> (1) to decrease the response burden through limiting the amount of narrative required and using an automated system</w:t>
      </w:r>
      <w:r w:rsidR="0009080A">
        <w:t>;</w:t>
      </w:r>
      <w:r w:rsidR="008718FD">
        <w:t xml:space="preserve"> (2) to be more aligned </w:t>
      </w:r>
      <w:r w:rsidR="00710FC6">
        <w:t>w</w:t>
      </w:r>
      <w:r w:rsidR="008718FD">
        <w:t>ith the standard QI reporting format</w:t>
      </w:r>
      <w:r w:rsidR="00E83FD6">
        <w:t>;</w:t>
      </w:r>
      <w:r w:rsidR="008718FD">
        <w:t xml:space="preserve"> an</w:t>
      </w:r>
      <w:r w:rsidR="00E83FD6">
        <w:t>d</w:t>
      </w:r>
      <w:r w:rsidR="008718FD">
        <w:t xml:space="preserve"> (3)</w:t>
      </w:r>
      <w:r w:rsidR="00E83FD6">
        <w:t xml:space="preserve"> to</w:t>
      </w:r>
      <w:r w:rsidR="008718FD">
        <w:t xml:space="preserve"> improv</w:t>
      </w:r>
      <w:r w:rsidR="00E83FD6">
        <w:t>e</w:t>
      </w:r>
      <w:r w:rsidR="008718FD">
        <w:t xml:space="preserve"> the information provided by MAOs by using more structured reporting tools</w:t>
      </w:r>
      <w:r w:rsidR="00CD5CE1">
        <w:t xml:space="preserve">.  </w:t>
      </w:r>
      <w:r w:rsidR="00072360">
        <w:t>CMS believes the new reporting tools will provide a simpler, easier way for MAOs to report the required data</w:t>
      </w:r>
      <w:r w:rsidR="00CD5CE1">
        <w:t xml:space="preserve">.  </w:t>
      </w:r>
      <w:r w:rsidR="00F042A1">
        <w:t>The</w:t>
      </w:r>
      <w:r w:rsidR="00E83FD6">
        <w:t xml:space="preserve"> new tool</w:t>
      </w:r>
      <w:r w:rsidR="00072360">
        <w:t xml:space="preserve"> will </w:t>
      </w:r>
      <w:r w:rsidR="00F042A1">
        <w:t xml:space="preserve">also </w:t>
      </w:r>
      <w:r w:rsidR="00E83FD6">
        <w:t>generate</w:t>
      </w:r>
      <w:r w:rsidR="00F042A1">
        <w:t xml:space="preserve"> consistency in reporting among plans so that collected data can be used more efficiently</w:t>
      </w:r>
      <w:r w:rsidR="008718FD">
        <w:t xml:space="preserve"> by CMS and the plans</w:t>
      </w:r>
      <w:r w:rsidR="00F042A1">
        <w:t>.</w:t>
      </w:r>
    </w:p>
    <w:p w:rsidR="00F042A1" w:rsidRDefault="00F042A1" w:rsidP="002475DE"/>
    <w:p w:rsidR="00F042A1" w:rsidRDefault="00D15FD0" w:rsidP="002475DE">
      <w:r>
        <w:rPr>
          <w:b/>
          <w:u w:val="single"/>
        </w:rPr>
        <w:t>A</w:t>
      </w:r>
      <w:r w:rsidR="00F042A1">
        <w:rPr>
          <w:b/>
          <w:u w:val="single"/>
        </w:rPr>
        <w:t>.  Justification</w:t>
      </w:r>
    </w:p>
    <w:p w:rsidR="00F042A1" w:rsidRDefault="00F042A1" w:rsidP="002475DE"/>
    <w:p w:rsidR="00F042A1" w:rsidRDefault="00F042A1" w:rsidP="002475DE">
      <w:r>
        <w:t>1.</w:t>
      </w:r>
      <w:r>
        <w:tab/>
      </w:r>
      <w:r>
        <w:rPr>
          <w:u w:val="single"/>
        </w:rPr>
        <w:t>Need and Legal Basis</w:t>
      </w:r>
    </w:p>
    <w:p w:rsidR="00314FAA" w:rsidRDefault="00314FAA" w:rsidP="002475DE"/>
    <w:p w:rsidR="00607121" w:rsidRDefault="00607121" w:rsidP="002475DE">
      <w:pPr>
        <w:widowControl w:val="0"/>
        <w:autoSpaceDE w:val="0"/>
        <w:autoSpaceDN w:val="0"/>
        <w:adjustRightInd w:val="0"/>
      </w:pPr>
      <w:r>
        <w:t xml:space="preserve">Quality </w:t>
      </w:r>
      <w:r w:rsidR="00593696">
        <w:t>I</w:t>
      </w:r>
      <w:r>
        <w:t>mprovement</w:t>
      </w:r>
      <w:r w:rsidR="00634A9A">
        <w:t xml:space="preserve"> (QI)</w:t>
      </w:r>
      <w:r>
        <w:t xml:space="preserve"> is a major initiative for CMS</w:t>
      </w:r>
      <w:r w:rsidR="00080439">
        <w:t xml:space="preserve">.  </w:t>
      </w:r>
      <w:r w:rsidR="00634A9A" w:rsidRPr="009330D8" w:rsidDel="00CA7DCA">
        <w:t xml:space="preserve">The </w:t>
      </w:r>
      <w:r w:rsidR="00634A9A">
        <w:t xml:space="preserve">enactment in 2010 </w:t>
      </w:r>
      <w:r w:rsidR="00634A9A" w:rsidRPr="009330D8" w:rsidDel="00CA7DCA">
        <w:t xml:space="preserve">of the Affordable Care Act (ACA) provides CMS with an opportunity to review its </w:t>
      </w:r>
      <w:r w:rsidR="00634A9A">
        <w:t xml:space="preserve">QI </w:t>
      </w:r>
      <w:r w:rsidR="00634A9A" w:rsidRPr="009330D8" w:rsidDel="00CA7DCA">
        <w:t>program for the MAO</w:t>
      </w:r>
      <w:r w:rsidR="00634A9A">
        <w:t>s</w:t>
      </w:r>
      <w:r w:rsidR="00080439">
        <w:t xml:space="preserve">.  </w:t>
      </w:r>
      <w:r>
        <w:t xml:space="preserve">It is critical to </w:t>
      </w:r>
      <w:r w:rsidR="00E83FD6">
        <w:t>CMS’</w:t>
      </w:r>
      <w:r>
        <w:t xml:space="preserve"> mission to expand its efforts to </w:t>
      </w:r>
      <w:r w:rsidR="008718FD">
        <w:t xml:space="preserve">identify </w:t>
      </w:r>
      <w:r>
        <w:t xml:space="preserve">and evaluate MAOs’ </w:t>
      </w:r>
      <w:r w:rsidR="008718FD">
        <w:t xml:space="preserve">QI </w:t>
      </w:r>
      <w:r>
        <w:t>efforts</w:t>
      </w:r>
      <w:r w:rsidR="008718FD">
        <w:t>.</w:t>
      </w:r>
      <w:r>
        <w:t xml:space="preserve"> </w:t>
      </w:r>
    </w:p>
    <w:p w:rsidR="00607121" w:rsidRDefault="00607121" w:rsidP="002475DE"/>
    <w:p w:rsidR="00961A0C" w:rsidRDefault="00796FB9" w:rsidP="00961A0C">
      <w:r w:rsidRPr="00C54129">
        <w:t>MAOs are required by CMS regulations at 42 CFR 422.152(a)(1), (2)</w:t>
      </w:r>
      <w:r w:rsidR="00B374F1">
        <w:t>,</w:t>
      </w:r>
      <w:r w:rsidRPr="00C54129">
        <w:t xml:space="preserve"> and (3) to have</w:t>
      </w:r>
      <w:r>
        <w:t xml:space="preserve"> an</w:t>
      </w:r>
      <w:r w:rsidRPr="00C54129">
        <w:t xml:space="preserve"> ong</w:t>
      </w:r>
      <w:r>
        <w:t xml:space="preserve">oing QI program </w:t>
      </w:r>
      <w:r w:rsidRPr="00C54129">
        <w:t>that meets CMS requirements</w:t>
      </w:r>
      <w:r>
        <w:t xml:space="preserve"> and includes </w:t>
      </w:r>
      <w:r w:rsidR="00421C64" w:rsidRPr="00F41112">
        <w:rPr>
          <w:bCs/>
          <w:iCs/>
        </w:rPr>
        <w:t xml:space="preserve">at least one CCIP and one QIP that they can report to CMS upon request.  </w:t>
      </w:r>
      <w:r w:rsidR="00961A0C">
        <w:rPr>
          <w:bCs/>
          <w:iCs/>
        </w:rPr>
        <w:t>Every MAO must have a QI</w:t>
      </w:r>
      <w:r w:rsidR="00961A0C" w:rsidRPr="00F41112">
        <w:rPr>
          <w:bCs/>
          <w:iCs/>
        </w:rPr>
        <w:t xml:space="preserve"> program </w:t>
      </w:r>
      <w:r w:rsidR="00961A0C">
        <w:rPr>
          <w:bCs/>
          <w:iCs/>
        </w:rPr>
        <w:t xml:space="preserve">that </w:t>
      </w:r>
      <w:r w:rsidR="00961A0C" w:rsidRPr="00F41112">
        <w:rPr>
          <w:bCs/>
          <w:iCs/>
        </w:rPr>
        <w:t>monitor</w:t>
      </w:r>
      <w:r w:rsidR="00961A0C">
        <w:rPr>
          <w:bCs/>
          <w:iCs/>
        </w:rPr>
        <w:t>s</w:t>
      </w:r>
      <w:r w:rsidR="00961A0C" w:rsidRPr="00F41112">
        <w:rPr>
          <w:bCs/>
          <w:iCs/>
        </w:rPr>
        <w:t xml:space="preserve"> and identif</w:t>
      </w:r>
      <w:r w:rsidR="00961A0C">
        <w:rPr>
          <w:bCs/>
          <w:iCs/>
        </w:rPr>
        <w:t>ies</w:t>
      </w:r>
      <w:r w:rsidR="00961A0C" w:rsidRPr="00F41112">
        <w:rPr>
          <w:bCs/>
          <w:iCs/>
        </w:rPr>
        <w:t xml:space="preserve"> areas where implementing appropriate interventions would improve patien</w:t>
      </w:r>
      <w:r w:rsidR="00961A0C">
        <w:rPr>
          <w:bCs/>
          <w:iCs/>
        </w:rPr>
        <w:t xml:space="preserve">t outcomes and patient safety.  </w:t>
      </w:r>
      <w:r w:rsidR="00961A0C" w:rsidRPr="00F41112">
        <w:rPr>
          <w:bCs/>
          <w:iCs/>
        </w:rPr>
        <w:t>The goal of the QI Program is to</w:t>
      </w:r>
      <w:r w:rsidR="00961A0C" w:rsidRPr="00421C64">
        <w:t xml:space="preserve"> </w:t>
      </w:r>
      <w:r w:rsidR="00961A0C">
        <w:t xml:space="preserve">demonstrate </w:t>
      </w:r>
      <w:r w:rsidR="00961A0C" w:rsidRPr="00C54129">
        <w:t>a favorable effect on health outcomes</w:t>
      </w:r>
      <w:r w:rsidR="00961A0C">
        <w:t>,</w:t>
      </w:r>
      <w:r w:rsidR="00961A0C" w:rsidRPr="00C54129">
        <w:t xml:space="preserve"> enrollee satisfaction, and encourage providers to participate in CMS </w:t>
      </w:r>
      <w:r w:rsidR="00961A0C">
        <w:t xml:space="preserve">QI initiatives </w:t>
      </w:r>
      <w:r w:rsidR="00961A0C">
        <w:rPr>
          <w:bCs/>
          <w:iCs/>
        </w:rPr>
        <w:t>that result</w:t>
      </w:r>
      <w:r w:rsidR="00961A0C" w:rsidRPr="00F41112">
        <w:rPr>
          <w:bCs/>
          <w:iCs/>
        </w:rPr>
        <w:t xml:space="preserve"> in high quality healthcare being delivered to our beneficiaries at all times.  </w:t>
      </w:r>
    </w:p>
    <w:p w:rsidR="00FE0331" w:rsidRDefault="00FE0331" w:rsidP="002475DE">
      <w:pPr>
        <w:rPr>
          <w:bCs/>
          <w:iCs/>
        </w:rPr>
      </w:pPr>
    </w:p>
    <w:p w:rsidR="00FE0331" w:rsidRPr="00E54D86" w:rsidRDefault="00FE0331" w:rsidP="00FE0331">
      <w:pPr>
        <w:pStyle w:val="Default"/>
      </w:pPr>
      <w:r w:rsidRPr="00E54D86">
        <w:t xml:space="preserve">CCIPs and QIPs are an important part of </w:t>
      </w:r>
      <w:r w:rsidR="001B0267">
        <w:t>CMS’</w:t>
      </w:r>
      <w:r w:rsidR="004502E1">
        <w:t xml:space="preserve"> </w:t>
      </w:r>
      <w:r w:rsidRPr="00E54D86">
        <w:t xml:space="preserve">overall QI strategy. </w:t>
      </w:r>
      <w:r w:rsidR="00961A0C" w:rsidRPr="00E54D86">
        <w:t xml:space="preserve"> </w:t>
      </w:r>
      <w:r w:rsidR="005F623D">
        <w:t>A</w:t>
      </w:r>
      <w:r w:rsidRPr="00E54D86">
        <w:t xml:space="preserve">ll MAOs, including those offering </w:t>
      </w:r>
      <w:r w:rsidR="00961A0C" w:rsidRPr="00E54D86">
        <w:t>special needs plans (</w:t>
      </w:r>
      <w:r w:rsidRPr="00E54D86">
        <w:t>SNPs</w:t>
      </w:r>
      <w:r w:rsidR="00961A0C" w:rsidRPr="00E54D86">
        <w:t>)</w:t>
      </w:r>
      <w:r w:rsidRPr="00E54D86">
        <w:t xml:space="preserve">, must develop, implement, and submit to CMS at least one CCIP and one QIP for each of their plans. </w:t>
      </w:r>
      <w:r w:rsidR="005F623D">
        <w:t xml:space="preserve"> </w:t>
      </w:r>
      <w:r w:rsidRPr="00E54D86">
        <w:t xml:space="preserve">CMS may also require that MAOs submit CCIPs and QIPs on specific topics. </w:t>
      </w:r>
      <w:r w:rsidR="00961A0C" w:rsidRPr="00E54D86">
        <w:t xml:space="preserve"> </w:t>
      </w:r>
      <w:r w:rsidR="001B0267">
        <w:t xml:space="preserve">(CMS has, in fact, identified required topics for both the CCIP and QIP for Contract Year (CY) 2012, as discussed in further detail below.)  </w:t>
      </w:r>
      <w:r w:rsidRPr="00E54D86">
        <w:t xml:space="preserve">Also, as part of their ongoing </w:t>
      </w:r>
      <w:r w:rsidR="00961A0C" w:rsidRPr="00E54D86">
        <w:lastRenderedPageBreak/>
        <w:t xml:space="preserve">QI </w:t>
      </w:r>
      <w:r w:rsidRPr="00E54D86">
        <w:t xml:space="preserve">programs, MAOs must encourage their providers to participate in CMS and Department of Health and Human Services (HHS) QI initiatives. </w:t>
      </w:r>
      <w:r w:rsidR="00961A0C" w:rsidRPr="00E54D86">
        <w:t xml:space="preserve"> </w:t>
      </w:r>
    </w:p>
    <w:p w:rsidR="00961A0C" w:rsidRPr="00E54D86" w:rsidRDefault="00961A0C" w:rsidP="00FE0331">
      <w:pPr>
        <w:pStyle w:val="Default"/>
      </w:pPr>
    </w:p>
    <w:p w:rsidR="00FE0331" w:rsidRPr="00E54D86" w:rsidRDefault="00961A0C" w:rsidP="00FE0331">
      <w:r w:rsidRPr="00E54D86">
        <w:t>In 2011</w:t>
      </w:r>
      <w:r w:rsidR="00FE0331" w:rsidRPr="00E54D86">
        <w:t>, HHS released its National Strategy for Quality Improvement in Health Care (NQS)</w:t>
      </w:r>
      <w:r w:rsidR="005F623D">
        <w:t xml:space="preserve"> and a National Prevention Strategy (NPS).</w:t>
      </w:r>
      <w:r w:rsidR="00FE0331" w:rsidRPr="00E54D86">
        <w:t xml:space="preserve"> </w:t>
      </w:r>
      <w:r w:rsidRPr="00E54D86">
        <w:t xml:space="preserve"> </w:t>
      </w:r>
      <w:r w:rsidR="00FE0331" w:rsidRPr="00E54D86">
        <w:t>One of the goals under the NQS is “promoting the most effective prevention and treatment of the leading causes of mortality, starting with cardiovascular disease</w:t>
      </w:r>
      <w:r w:rsidR="00977E5B">
        <w:t>,</w:t>
      </w:r>
      <w:r w:rsidR="00FE0331" w:rsidRPr="00E54D86">
        <w:t>”</w:t>
      </w:r>
      <w:r w:rsidR="005F623D">
        <w:t xml:space="preserve"> consistent with the Million Hearts initiative</w:t>
      </w:r>
      <w:r w:rsidR="00977E5B">
        <w:t xml:space="preserve"> that is being implemented on a nationwide basis</w:t>
      </w:r>
      <w:r w:rsidR="005F623D">
        <w:t xml:space="preserve">.  </w:t>
      </w:r>
      <w:r w:rsidR="00FE0331" w:rsidRPr="00E54D86">
        <w:t xml:space="preserve">In order to better align the MA QI program with the HHS quality and prevention initiatives, we are requiring all MAOs </w:t>
      </w:r>
      <w:r w:rsidR="001B0267">
        <w:t xml:space="preserve">to </w:t>
      </w:r>
      <w:r w:rsidR="00FE0331" w:rsidRPr="00E54D86">
        <w:t xml:space="preserve">develop and implement a CCIP </w:t>
      </w:r>
      <w:r w:rsidR="001B0267">
        <w:t xml:space="preserve">which </w:t>
      </w:r>
      <w:r w:rsidR="00FE0331" w:rsidRPr="00E54D86">
        <w:t>focus</w:t>
      </w:r>
      <w:r w:rsidR="001B0267">
        <w:t>es</w:t>
      </w:r>
      <w:r w:rsidR="00FE0331" w:rsidRPr="00E54D86">
        <w:t xml:space="preserve"> on decreasing cardiovascular disease</w:t>
      </w:r>
      <w:r w:rsidR="001B0267">
        <w:t xml:space="preserve"> amongst at-risk enrollees</w:t>
      </w:r>
      <w:r w:rsidR="00977E5B">
        <w:t xml:space="preserve"> beginning CY 2012</w:t>
      </w:r>
      <w:r w:rsidR="00FE0331" w:rsidRPr="00E54D86">
        <w:t xml:space="preserve">. </w:t>
      </w:r>
      <w:r w:rsidR="001B0267">
        <w:t xml:space="preserve">This CCIP is to </w:t>
      </w:r>
      <w:r w:rsidR="004A586E">
        <w:t xml:space="preserve">be in place for </w:t>
      </w:r>
      <w:r w:rsidR="001B0267">
        <w:t xml:space="preserve">5 years.  All MAOs will therefore </w:t>
      </w:r>
      <w:r w:rsidR="004A586E">
        <w:t xml:space="preserve">initially </w:t>
      </w:r>
      <w:r w:rsidR="001B0267">
        <w:t xml:space="preserve">submit the “plan” section </w:t>
      </w:r>
      <w:r w:rsidR="004A586E">
        <w:t>of the reporting tool</w:t>
      </w:r>
      <w:r w:rsidR="00977E5B">
        <w:t>,</w:t>
      </w:r>
      <w:r w:rsidR="004A586E">
        <w:t xml:space="preserve"> which outlines the expectations, basic approach to addressing topic, and the interventions to be operationalized. </w:t>
      </w:r>
      <w:r w:rsidRPr="00E54D86">
        <w:t xml:space="preserve"> </w:t>
      </w:r>
      <w:r w:rsidR="00FE0331" w:rsidRPr="00E54D86">
        <w:t xml:space="preserve">MAOs may </w:t>
      </w:r>
      <w:r w:rsidR="004A586E">
        <w:t xml:space="preserve">voluntarily </w:t>
      </w:r>
      <w:r w:rsidR="00FE0331" w:rsidRPr="00E54D86">
        <w:t>develop and implement additional CCIPs, but they will be required to submit and conduct at least one CCIP on decreasing cardiovascular disease for each of their plans.</w:t>
      </w:r>
      <w:r w:rsidR="001B0267">
        <w:t xml:space="preserve">  </w:t>
      </w:r>
    </w:p>
    <w:p w:rsidR="00FE0331" w:rsidRPr="00E54D86" w:rsidRDefault="00FE0331" w:rsidP="00FE0331"/>
    <w:p w:rsidR="00FE0331" w:rsidRPr="00E54D86" w:rsidRDefault="00FE0331" w:rsidP="00FE0331">
      <w:r w:rsidRPr="00E54D86">
        <w:t>In addition, HHS has announced the Partnership for Patients Initiative</w:t>
      </w:r>
      <w:r w:rsidR="00977E5B">
        <w:t>, another nationwide initiative,</w:t>
      </w:r>
      <w:r w:rsidRPr="00E54D86">
        <w:t xml:space="preserve"> to improve care and to lower costs. </w:t>
      </w:r>
      <w:r w:rsidR="00961A0C" w:rsidRPr="00E54D86">
        <w:t xml:space="preserve"> </w:t>
      </w:r>
      <w:r w:rsidRPr="00E54D86">
        <w:t xml:space="preserve">One aspect of this national initiative is to decrease hospital readmissions. </w:t>
      </w:r>
      <w:r w:rsidR="007C62D2" w:rsidRPr="00E54D86">
        <w:t xml:space="preserve"> </w:t>
      </w:r>
      <w:r w:rsidRPr="00E54D86">
        <w:t xml:space="preserve">Because of the importance of the HHS initiative, we are requiring all MAOs </w:t>
      </w:r>
      <w:r w:rsidR="004A586E">
        <w:t xml:space="preserve">to </w:t>
      </w:r>
      <w:r w:rsidRPr="00E54D86">
        <w:t xml:space="preserve">develop </w:t>
      </w:r>
      <w:r w:rsidR="005F623D">
        <w:t xml:space="preserve">and implement </w:t>
      </w:r>
      <w:r w:rsidRPr="00E54D86">
        <w:t>a QIP that addresses plan all</w:t>
      </w:r>
      <w:r w:rsidR="005F623D">
        <w:t>-</w:t>
      </w:r>
      <w:r w:rsidRPr="00E54D86">
        <w:t>cause readmission for each of their plans</w:t>
      </w:r>
      <w:r w:rsidR="00977E5B">
        <w:t xml:space="preserve"> for CY 2012</w:t>
      </w:r>
      <w:r w:rsidRPr="00E54D86">
        <w:t xml:space="preserve">. </w:t>
      </w:r>
      <w:r w:rsidR="007C62D2" w:rsidRPr="00E54D86">
        <w:t xml:space="preserve"> </w:t>
      </w:r>
      <w:r w:rsidR="00EE7585">
        <w:t xml:space="preserve">This QIP is to be in place for 3 years.  </w:t>
      </w:r>
      <w:r w:rsidRPr="00E54D86">
        <w:t>We believe that the QIP will be an important tool in helping MAOs identify barriers to decreasing hospital re-admissions and to develop interventions that can serve as best practices in providing high quality care</w:t>
      </w:r>
      <w:r w:rsidR="005F623D">
        <w:t xml:space="preserve"> over time</w:t>
      </w:r>
      <w:r w:rsidRPr="00E54D86">
        <w:t xml:space="preserve">. </w:t>
      </w:r>
      <w:r w:rsidR="004A586E">
        <w:t xml:space="preserve">As with the CCIP, </w:t>
      </w:r>
      <w:r w:rsidRPr="00E54D86">
        <w:t>MAOs may</w:t>
      </w:r>
      <w:r w:rsidR="004A586E">
        <w:t xml:space="preserve"> also voluntarily</w:t>
      </w:r>
      <w:r w:rsidRPr="00E54D86">
        <w:t xml:space="preserve"> develop and implement additional QIPs on any clinical or non-clinical topic that is relevant to their target populations and related to other areas identified for QI.</w:t>
      </w:r>
    </w:p>
    <w:p w:rsidR="005F623D" w:rsidRPr="00E54D86" w:rsidRDefault="005F623D" w:rsidP="002475DE"/>
    <w:p w:rsidR="00314FAA" w:rsidRPr="00E54D86" w:rsidRDefault="00314FAA" w:rsidP="002475DE">
      <w:r w:rsidRPr="00E54D86">
        <w:t>2.</w:t>
      </w:r>
      <w:r w:rsidRPr="00E54D86">
        <w:tab/>
      </w:r>
      <w:r w:rsidRPr="00E54D86">
        <w:rPr>
          <w:u w:val="single"/>
        </w:rPr>
        <w:t>Information Users</w:t>
      </w:r>
    </w:p>
    <w:p w:rsidR="00314FAA" w:rsidRPr="00E54D86" w:rsidRDefault="00314FAA" w:rsidP="002475DE"/>
    <w:p w:rsidR="00C82DAD" w:rsidRPr="00E54D86" w:rsidRDefault="0079621A" w:rsidP="002475DE">
      <w:r>
        <w:t>Information collected using the CCIP and QIP reporting tools is an integral resource for oversight, monitoring, compliance, and auditing activities necessary to ensure high quality value-based health care for Medicare beneficiaries.  Data will be used by CMS Central and Regional Office staff, MAOs, Quality Improvement Organizations (QIOs), and CMS contractors</w:t>
      </w:r>
      <w:r w:rsidR="004A586E">
        <w:t xml:space="preserve"> for these purposes</w:t>
      </w:r>
      <w:r>
        <w:t xml:space="preserve">. </w:t>
      </w:r>
    </w:p>
    <w:p w:rsidR="00E54D86" w:rsidRPr="00E54D86" w:rsidRDefault="00E54D86" w:rsidP="002475DE"/>
    <w:p w:rsidR="002C5B70" w:rsidRPr="00E54D86" w:rsidRDefault="002C5B70" w:rsidP="002475DE">
      <w:r>
        <w:t xml:space="preserve">We </w:t>
      </w:r>
      <w:r w:rsidR="00956F9E">
        <w:t xml:space="preserve">also </w:t>
      </w:r>
      <w:r>
        <w:t>expect the</w:t>
      </w:r>
      <w:r w:rsidR="00EC6086">
        <w:t xml:space="preserve"> CCIP and QIP </w:t>
      </w:r>
      <w:r>
        <w:t xml:space="preserve">initiatives to be instrumental </w:t>
      </w:r>
      <w:r w:rsidR="0002762E">
        <w:t>in</w:t>
      </w:r>
      <w:r>
        <w:t xml:space="preserve"> inform</w:t>
      </w:r>
      <w:r w:rsidR="0002762E">
        <w:t>ing</w:t>
      </w:r>
      <w:r>
        <w:t xml:space="preserve"> policy for the MA program and provid</w:t>
      </w:r>
      <w:r w:rsidR="0002762E">
        <w:t>ing</w:t>
      </w:r>
      <w:r>
        <w:t xml:space="preserve"> </w:t>
      </w:r>
      <w:r w:rsidR="004A586E">
        <w:t xml:space="preserve">ongoing </w:t>
      </w:r>
      <w:r>
        <w:t xml:space="preserve">support </w:t>
      </w:r>
      <w:r w:rsidR="004A586E">
        <w:t xml:space="preserve">and feedback </w:t>
      </w:r>
      <w:r>
        <w:t xml:space="preserve">to </w:t>
      </w:r>
      <w:r w:rsidR="004A586E">
        <w:t xml:space="preserve">both </w:t>
      </w:r>
      <w:r w:rsidR="0002762E">
        <w:t>MAOs</w:t>
      </w:r>
      <w:r w:rsidR="00EC6086">
        <w:t xml:space="preserve"> and CMS</w:t>
      </w:r>
      <w:r w:rsidR="004A586E">
        <w:t xml:space="preserve">, which is expected to result in </w:t>
      </w:r>
      <w:r>
        <w:t>improve</w:t>
      </w:r>
      <w:r w:rsidR="004A586E">
        <w:t>d</w:t>
      </w:r>
      <w:r>
        <w:t xml:space="preserve"> QI activities</w:t>
      </w:r>
      <w:r w:rsidR="004A586E">
        <w:t xml:space="preserve"> and</w:t>
      </w:r>
      <w:r w:rsidR="00977E5B">
        <w:t>,</w:t>
      </w:r>
      <w:r w:rsidR="004A586E">
        <w:t xml:space="preserve"> therefore, higher quality healthcare for enrolled beneficiaries</w:t>
      </w:r>
      <w:r>
        <w:t xml:space="preserve"> over time.  </w:t>
      </w:r>
      <w:r w:rsidR="00EC6086">
        <w:t>In the future, we</w:t>
      </w:r>
      <w:r w:rsidR="00F6546F">
        <w:t xml:space="preserve"> </w:t>
      </w:r>
      <w:r w:rsidR="00977E5B">
        <w:t>may</w:t>
      </w:r>
      <w:r w:rsidR="00EC6086">
        <w:t xml:space="preserve"> also consider </w:t>
      </w:r>
      <w:r w:rsidR="004A586E">
        <w:t>incorporating elements of the</w:t>
      </w:r>
      <w:r w:rsidR="00EC6086">
        <w:t xml:space="preserve"> CCIPs and QIPs in </w:t>
      </w:r>
      <w:r w:rsidR="00977E5B">
        <w:t xml:space="preserve">the </w:t>
      </w:r>
      <w:r w:rsidR="00EC6086">
        <w:t xml:space="preserve">MA </w:t>
      </w:r>
      <w:r w:rsidR="00977E5B">
        <w:t>star</w:t>
      </w:r>
      <w:r w:rsidR="00EC6086">
        <w:t xml:space="preserve"> ratings</w:t>
      </w:r>
      <w:r w:rsidR="00977E5B">
        <w:t>, which determine the level of quality bonus payments for MA plans</w:t>
      </w:r>
      <w:r w:rsidR="00EC6086">
        <w:t xml:space="preserve">. </w:t>
      </w:r>
      <w:r>
        <w:t xml:space="preserve"> </w:t>
      </w:r>
    </w:p>
    <w:p w:rsidR="00E54D86" w:rsidRDefault="00E54D86" w:rsidP="002475DE"/>
    <w:p w:rsidR="00C82DAD" w:rsidRDefault="00C82DAD" w:rsidP="002475DE">
      <w:r>
        <w:t>3.</w:t>
      </w:r>
      <w:r>
        <w:tab/>
      </w:r>
      <w:r>
        <w:rPr>
          <w:u w:val="single"/>
        </w:rPr>
        <w:t>Use of Information Technology</w:t>
      </w:r>
    </w:p>
    <w:p w:rsidR="00C82DAD" w:rsidRDefault="00C82DAD" w:rsidP="002475DE"/>
    <w:p w:rsidR="00C82DAD" w:rsidRDefault="00083F97" w:rsidP="002475DE">
      <w:r>
        <w:lastRenderedPageBreak/>
        <w:t>Technology is used in the collection, processing and storage of the data.   Specifically, MAOs must complete and submit the QIP and CCIP</w:t>
      </w:r>
      <w:r w:rsidR="00072360">
        <w:t xml:space="preserve"> reporting</w:t>
      </w:r>
      <w:r>
        <w:t xml:space="preserve"> tools in CMS’ Health Plan Management System (HPMS).  The submission is</w:t>
      </w:r>
      <w:r w:rsidR="00E83FD6">
        <w:t xml:space="preserve"> now</w:t>
      </w:r>
      <w:r>
        <w:t xml:space="preserve"> 100% electronic. </w:t>
      </w:r>
    </w:p>
    <w:p w:rsidR="003B3A77" w:rsidRDefault="003B3A77" w:rsidP="002475DE"/>
    <w:p w:rsidR="003B3A77" w:rsidRDefault="003B3A77" w:rsidP="002475DE">
      <w:r>
        <w:t>4.</w:t>
      </w:r>
      <w:r>
        <w:tab/>
      </w:r>
      <w:r>
        <w:rPr>
          <w:u w:val="single"/>
        </w:rPr>
        <w:t>Duplication of Efforts</w:t>
      </w:r>
    </w:p>
    <w:p w:rsidR="003B3A77" w:rsidRDefault="003B3A77" w:rsidP="002475DE">
      <w:r>
        <w:t>This collection does not contain duplication of similar information.</w:t>
      </w:r>
    </w:p>
    <w:p w:rsidR="003B3A77" w:rsidRDefault="003B3A77" w:rsidP="002475DE"/>
    <w:p w:rsidR="003B3A77" w:rsidRDefault="003B3A77" w:rsidP="002475DE">
      <w:r>
        <w:t>5.</w:t>
      </w:r>
      <w:r>
        <w:tab/>
      </w:r>
      <w:r>
        <w:rPr>
          <w:u w:val="single"/>
        </w:rPr>
        <w:t>Small Business</w:t>
      </w:r>
    </w:p>
    <w:p w:rsidR="003B3A77" w:rsidRDefault="003B3A77" w:rsidP="002475DE"/>
    <w:p w:rsidR="003B3A77" w:rsidRDefault="003B3A77" w:rsidP="002475DE">
      <w:r>
        <w:t>This collection does not impose a significant impact on small businesses and other entities.</w:t>
      </w:r>
    </w:p>
    <w:p w:rsidR="003B3A77" w:rsidRDefault="003B3A77" w:rsidP="002475DE"/>
    <w:p w:rsidR="003B3A77" w:rsidRDefault="003B3A77" w:rsidP="002475DE">
      <w:r>
        <w:t>6.</w:t>
      </w:r>
      <w:r>
        <w:tab/>
      </w:r>
      <w:r>
        <w:rPr>
          <w:u w:val="single"/>
        </w:rPr>
        <w:t>Less Frequent Collection</w:t>
      </w:r>
    </w:p>
    <w:p w:rsidR="003B3A77" w:rsidRDefault="003B3A77" w:rsidP="002475DE"/>
    <w:p w:rsidR="003B3A77" w:rsidRDefault="003B3A77" w:rsidP="002475DE">
      <w:r>
        <w:t>Less frequent collection of the data from MAOs would severely limit CMS’ ability to perform accurate and timely oversight, monitoring, compliance</w:t>
      </w:r>
      <w:r w:rsidR="00593696">
        <w:t>,</w:t>
      </w:r>
      <w:r w:rsidR="00001108">
        <w:t xml:space="preserve"> and auditing activities regarding </w:t>
      </w:r>
      <w:r w:rsidR="00C30450">
        <w:t xml:space="preserve">the overall QI program including the CCIPs </w:t>
      </w:r>
      <w:r w:rsidR="00001108">
        <w:t xml:space="preserve">and </w:t>
      </w:r>
      <w:r w:rsidR="00C30450">
        <w:t>Q</w:t>
      </w:r>
      <w:r w:rsidR="00001108">
        <w:t>IPs.</w:t>
      </w:r>
    </w:p>
    <w:p w:rsidR="00001108" w:rsidRDefault="00001108" w:rsidP="002475DE"/>
    <w:p w:rsidR="00001108" w:rsidRDefault="00001108" w:rsidP="002475DE">
      <w:r>
        <w:t>7.</w:t>
      </w:r>
      <w:r>
        <w:tab/>
      </w:r>
      <w:r>
        <w:rPr>
          <w:u w:val="single"/>
        </w:rPr>
        <w:t>Special Circumstances</w:t>
      </w:r>
    </w:p>
    <w:p w:rsidR="00001108" w:rsidRDefault="00001108" w:rsidP="002475DE"/>
    <w:p w:rsidR="00001108" w:rsidRDefault="00001108" w:rsidP="002475DE">
      <w:r>
        <w:t>No special circumstances apply.</w:t>
      </w:r>
    </w:p>
    <w:p w:rsidR="00001108" w:rsidRDefault="00001108" w:rsidP="002475DE"/>
    <w:p w:rsidR="0036387A" w:rsidRDefault="00001108" w:rsidP="002475DE">
      <w:pPr>
        <w:rPr>
          <w:u w:val="single"/>
        </w:rPr>
      </w:pPr>
      <w:r>
        <w:t>8.</w:t>
      </w:r>
      <w:r>
        <w:tab/>
      </w:r>
      <w:r>
        <w:rPr>
          <w:u w:val="single"/>
        </w:rPr>
        <w:t>Federal Register/Outside Consultation</w:t>
      </w:r>
    </w:p>
    <w:p w:rsidR="0036387A" w:rsidRDefault="0036387A" w:rsidP="002475DE">
      <w:pPr>
        <w:rPr>
          <w:u w:val="single"/>
        </w:rPr>
      </w:pPr>
    </w:p>
    <w:tbl>
      <w:tblPr>
        <w:tblW w:w="5000" w:type="pct"/>
        <w:tblCellSpacing w:w="22" w:type="dxa"/>
        <w:tblCellMar>
          <w:left w:w="0" w:type="dxa"/>
          <w:right w:w="0" w:type="dxa"/>
        </w:tblCellMar>
        <w:tblLook w:val="04A0" w:firstRow="1" w:lastRow="0" w:firstColumn="1" w:lastColumn="0" w:noHBand="0" w:noVBand="1"/>
      </w:tblPr>
      <w:tblGrid>
        <w:gridCol w:w="9478"/>
      </w:tblGrid>
      <w:tr w:rsidR="00F17144" w:rsidTr="00634A9A">
        <w:trPr>
          <w:tblCellSpacing w:w="22" w:type="dxa"/>
        </w:trPr>
        <w:tc>
          <w:tcPr>
            <w:tcW w:w="0" w:type="auto"/>
            <w:tcMar>
              <w:top w:w="15" w:type="dxa"/>
              <w:left w:w="15" w:type="dxa"/>
              <w:bottom w:w="15" w:type="dxa"/>
              <w:right w:w="15" w:type="dxa"/>
            </w:tcMar>
            <w:vAlign w:val="center"/>
            <w:hideMark/>
          </w:tcPr>
          <w:p w:rsidR="00F17144" w:rsidRDefault="00F17144" w:rsidP="002475DE">
            <w:pPr>
              <w:rPr>
                <w:rFonts w:eastAsia="Calibri"/>
              </w:rPr>
            </w:pPr>
            <w:r>
              <w:t>Federal Register Notices &amp; Comments</w:t>
            </w:r>
          </w:p>
        </w:tc>
      </w:tr>
      <w:tr w:rsidR="00F17144" w:rsidTr="00634A9A">
        <w:trPr>
          <w:tblCellSpacing w:w="22"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17144" w:rsidRDefault="00F17144" w:rsidP="002475DE">
            <w:pPr>
              <w:rPr>
                <w:rFonts w:eastAsia="Calibri"/>
              </w:rPr>
            </w:pPr>
            <w:r>
              <w:t xml:space="preserve">60 Day Notice: </w:t>
            </w:r>
          </w:p>
          <w:tbl>
            <w:tblPr>
              <w:tblW w:w="4000" w:type="pct"/>
              <w:tblCellSpacing w:w="22" w:type="dxa"/>
              <w:tblCellMar>
                <w:left w:w="0" w:type="dxa"/>
                <w:right w:w="0" w:type="dxa"/>
              </w:tblCellMar>
              <w:tblLook w:val="04A0" w:firstRow="1" w:lastRow="0" w:firstColumn="1" w:lastColumn="0" w:noHBand="0" w:noVBand="1"/>
            </w:tblPr>
            <w:tblGrid>
              <w:gridCol w:w="1710"/>
              <w:gridCol w:w="108"/>
              <w:gridCol w:w="2554"/>
              <w:gridCol w:w="108"/>
              <w:gridCol w:w="2862"/>
              <w:gridCol w:w="130"/>
            </w:tblGrid>
            <w:tr w:rsidR="00F17144" w:rsidTr="00634A9A">
              <w:trPr>
                <w:tblCellSpacing w:w="22" w:type="dxa"/>
              </w:trPr>
              <w:tc>
                <w:tcPr>
                  <w:tcW w:w="0" w:type="auto"/>
                  <w:tcMar>
                    <w:top w:w="15" w:type="dxa"/>
                    <w:left w:w="15" w:type="dxa"/>
                    <w:bottom w:w="15" w:type="dxa"/>
                    <w:right w:w="15" w:type="dxa"/>
                  </w:tcMar>
                  <w:vAlign w:val="center"/>
                  <w:hideMark/>
                </w:tcPr>
                <w:p w:rsidR="00F17144" w:rsidRDefault="00F17144" w:rsidP="002475DE">
                  <w:pPr>
                    <w:rPr>
                      <w:rFonts w:eastAsia="Calibri"/>
                    </w:rPr>
                  </w:pPr>
                  <w:r>
                    <w:t>Volume  </w:t>
                  </w:r>
                </w:p>
              </w:tc>
              <w:tc>
                <w:tcPr>
                  <w:tcW w:w="0" w:type="auto"/>
                  <w:tcMar>
                    <w:top w:w="15" w:type="dxa"/>
                    <w:left w:w="15" w:type="dxa"/>
                    <w:bottom w:w="15" w:type="dxa"/>
                    <w:right w:w="15" w:type="dxa"/>
                  </w:tcMar>
                  <w:vAlign w:val="center"/>
                  <w:hideMark/>
                </w:tcPr>
                <w:p w:rsidR="00F17144" w:rsidRDefault="00F17144" w:rsidP="002475DE">
                  <w:pPr>
                    <w:rPr>
                      <w:rFonts w:ascii="Calibri" w:hAnsi="Calibri"/>
                      <w:sz w:val="22"/>
                      <w:szCs w:val="22"/>
                    </w:rPr>
                  </w:pPr>
                </w:p>
              </w:tc>
              <w:tc>
                <w:tcPr>
                  <w:tcW w:w="0" w:type="auto"/>
                  <w:tcMar>
                    <w:top w:w="15" w:type="dxa"/>
                    <w:left w:w="15" w:type="dxa"/>
                    <w:bottom w:w="15" w:type="dxa"/>
                    <w:right w:w="15" w:type="dxa"/>
                  </w:tcMar>
                  <w:vAlign w:val="center"/>
                  <w:hideMark/>
                </w:tcPr>
                <w:p w:rsidR="00F17144" w:rsidRDefault="00F17144" w:rsidP="002475DE">
                  <w:pPr>
                    <w:rPr>
                      <w:rFonts w:eastAsia="Calibri"/>
                    </w:rPr>
                  </w:pPr>
                  <w:r>
                    <w:t>Page number  </w:t>
                  </w:r>
                </w:p>
              </w:tc>
              <w:tc>
                <w:tcPr>
                  <w:tcW w:w="0" w:type="auto"/>
                  <w:tcMar>
                    <w:top w:w="15" w:type="dxa"/>
                    <w:left w:w="15" w:type="dxa"/>
                    <w:bottom w:w="15" w:type="dxa"/>
                    <w:right w:w="15" w:type="dxa"/>
                  </w:tcMar>
                  <w:vAlign w:val="center"/>
                  <w:hideMark/>
                </w:tcPr>
                <w:p w:rsidR="00F17144" w:rsidRDefault="00F17144" w:rsidP="002475DE">
                  <w:pPr>
                    <w:rPr>
                      <w:rFonts w:ascii="Calibri" w:hAnsi="Calibri"/>
                      <w:sz w:val="22"/>
                      <w:szCs w:val="22"/>
                    </w:rPr>
                  </w:pPr>
                </w:p>
              </w:tc>
              <w:tc>
                <w:tcPr>
                  <w:tcW w:w="0" w:type="auto"/>
                  <w:tcMar>
                    <w:top w:w="15" w:type="dxa"/>
                    <w:left w:w="15" w:type="dxa"/>
                    <w:bottom w:w="15" w:type="dxa"/>
                    <w:right w:w="15" w:type="dxa"/>
                  </w:tcMar>
                  <w:vAlign w:val="center"/>
                  <w:hideMark/>
                </w:tcPr>
                <w:p w:rsidR="00F17144" w:rsidRDefault="00F17144" w:rsidP="002475DE"/>
                <w:p w:rsidR="00F17144" w:rsidRDefault="00F17144" w:rsidP="002475DE">
                  <w:r>
                    <w:t xml:space="preserve">Publication date </w:t>
                  </w:r>
                </w:p>
                <w:p w:rsidR="00F17144" w:rsidRDefault="00F17144" w:rsidP="002475DE">
                  <w:pPr>
                    <w:rPr>
                      <w:rFonts w:eastAsia="Calibri"/>
                    </w:rPr>
                  </w:pPr>
                </w:p>
              </w:tc>
              <w:tc>
                <w:tcPr>
                  <w:tcW w:w="0" w:type="auto"/>
                  <w:tcMar>
                    <w:top w:w="15" w:type="dxa"/>
                    <w:left w:w="15" w:type="dxa"/>
                    <w:bottom w:w="15" w:type="dxa"/>
                    <w:right w:w="15" w:type="dxa"/>
                  </w:tcMar>
                  <w:vAlign w:val="center"/>
                  <w:hideMark/>
                </w:tcPr>
                <w:p w:rsidR="00F17144" w:rsidRDefault="00F17144" w:rsidP="002475DE">
                  <w:pPr>
                    <w:rPr>
                      <w:rFonts w:eastAsia="Calibri"/>
                    </w:rPr>
                  </w:pPr>
                </w:p>
              </w:tc>
            </w:tr>
          </w:tbl>
          <w:p w:rsidR="00F17144" w:rsidRDefault="00F17144" w:rsidP="002475DE">
            <w:r>
              <w:t xml:space="preserve">Number of Comments  </w:t>
            </w:r>
          </w:p>
          <w:p w:rsidR="00F17144" w:rsidRDefault="00F17144" w:rsidP="002475DE">
            <w:r>
              <w:t xml:space="preserve">   </w:t>
            </w:r>
          </w:p>
        </w:tc>
      </w:tr>
      <w:tr w:rsidR="00F17144" w:rsidTr="00634A9A">
        <w:trPr>
          <w:tblCellSpacing w:w="22"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17144" w:rsidRDefault="00F17144" w:rsidP="002475DE"/>
          <w:p w:rsidR="00F17144" w:rsidRDefault="00F17144" w:rsidP="002475DE">
            <w:pPr>
              <w:rPr>
                <w:rFonts w:eastAsia="Calibri"/>
              </w:rPr>
            </w:pPr>
            <w:r>
              <w:t xml:space="preserve">30 Day Notice: </w:t>
            </w:r>
          </w:p>
          <w:tbl>
            <w:tblPr>
              <w:tblW w:w="4000" w:type="pct"/>
              <w:tblCellSpacing w:w="22" w:type="dxa"/>
              <w:tblCellMar>
                <w:left w:w="0" w:type="dxa"/>
                <w:right w:w="0" w:type="dxa"/>
              </w:tblCellMar>
              <w:tblLook w:val="04A0" w:firstRow="1" w:lastRow="0" w:firstColumn="1" w:lastColumn="0" w:noHBand="0" w:noVBand="1"/>
            </w:tblPr>
            <w:tblGrid>
              <w:gridCol w:w="1541"/>
              <w:gridCol w:w="110"/>
              <w:gridCol w:w="2411"/>
              <w:gridCol w:w="110"/>
              <w:gridCol w:w="3168"/>
              <w:gridCol w:w="132"/>
            </w:tblGrid>
            <w:tr w:rsidR="00F17144" w:rsidTr="00634A9A">
              <w:trPr>
                <w:tblCellSpacing w:w="22" w:type="dxa"/>
              </w:trPr>
              <w:tc>
                <w:tcPr>
                  <w:tcW w:w="0" w:type="auto"/>
                  <w:tcMar>
                    <w:top w:w="15" w:type="dxa"/>
                    <w:left w:w="15" w:type="dxa"/>
                    <w:bottom w:w="15" w:type="dxa"/>
                    <w:right w:w="15" w:type="dxa"/>
                  </w:tcMar>
                  <w:vAlign w:val="center"/>
                  <w:hideMark/>
                </w:tcPr>
                <w:p w:rsidR="00F17144" w:rsidRDefault="00F17144" w:rsidP="002475DE"/>
                <w:p w:rsidR="00F17144" w:rsidRDefault="00F17144" w:rsidP="002475DE">
                  <w:r>
                    <w:t xml:space="preserve">Volume </w:t>
                  </w:r>
                </w:p>
                <w:p w:rsidR="00F17144" w:rsidRDefault="00F17144" w:rsidP="002475DE"/>
                <w:p w:rsidR="00F17144" w:rsidRDefault="00F17144" w:rsidP="002475DE">
                  <w:pPr>
                    <w:rPr>
                      <w:rFonts w:eastAsia="Calibri"/>
                    </w:rPr>
                  </w:pPr>
                  <w:r>
                    <w:t xml:space="preserve"> </w:t>
                  </w:r>
                </w:p>
              </w:tc>
              <w:tc>
                <w:tcPr>
                  <w:tcW w:w="0" w:type="auto"/>
                  <w:tcMar>
                    <w:top w:w="15" w:type="dxa"/>
                    <w:left w:w="15" w:type="dxa"/>
                    <w:bottom w:w="15" w:type="dxa"/>
                    <w:right w:w="15" w:type="dxa"/>
                  </w:tcMar>
                  <w:vAlign w:val="center"/>
                  <w:hideMark/>
                </w:tcPr>
                <w:p w:rsidR="00F17144" w:rsidRDefault="00F17144" w:rsidP="002475DE">
                  <w:pPr>
                    <w:rPr>
                      <w:rFonts w:ascii="Calibri" w:hAnsi="Calibri"/>
                      <w:sz w:val="22"/>
                      <w:szCs w:val="22"/>
                    </w:rPr>
                  </w:pPr>
                </w:p>
              </w:tc>
              <w:tc>
                <w:tcPr>
                  <w:tcW w:w="0" w:type="auto"/>
                  <w:tcMar>
                    <w:top w:w="15" w:type="dxa"/>
                    <w:left w:w="15" w:type="dxa"/>
                    <w:bottom w:w="15" w:type="dxa"/>
                    <w:right w:w="15" w:type="dxa"/>
                  </w:tcMar>
                  <w:vAlign w:val="center"/>
                  <w:hideMark/>
                </w:tcPr>
                <w:p w:rsidR="00F17144" w:rsidRDefault="00F17144" w:rsidP="002475DE">
                  <w:r>
                    <w:t xml:space="preserve">Page number </w:t>
                  </w:r>
                </w:p>
                <w:p w:rsidR="00F17144" w:rsidRDefault="00F17144" w:rsidP="002475DE">
                  <w:pPr>
                    <w:rPr>
                      <w:rFonts w:eastAsia="Calibri"/>
                    </w:rPr>
                  </w:pPr>
                </w:p>
              </w:tc>
              <w:tc>
                <w:tcPr>
                  <w:tcW w:w="0" w:type="auto"/>
                  <w:tcMar>
                    <w:top w:w="15" w:type="dxa"/>
                    <w:left w:w="15" w:type="dxa"/>
                    <w:bottom w:w="15" w:type="dxa"/>
                    <w:right w:w="15" w:type="dxa"/>
                  </w:tcMar>
                  <w:vAlign w:val="center"/>
                  <w:hideMark/>
                </w:tcPr>
                <w:p w:rsidR="00F17144" w:rsidRDefault="00F17144" w:rsidP="002475DE">
                  <w:pPr>
                    <w:rPr>
                      <w:rFonts w:ascii="Calibri" w:hAnsi="Calibri"/>
                      <w:sz w:val="22"/>
                      <w:szCs w:val="22"/>
                    </w:rPr>
                  </w:pPr>
                </w:p>
              </w:tc>
              <w:tc>
                <w:tcPr>
                  <w:tcW w:w="0" w:type="auto"/>
                  <w:tcMar>
                    <w:top w:w="15" w:type="dxa"/>
                    <w:left w:w="15" w:type="dxa"/>
                    <w:bottom w:w="15" w:type="dxa"/>
                    <w:right w:w="15" w:type="dxa"/>
                  </w:tcMar>
                  <w:vAlign w:val="center"/>
                  <w:hideMark/>
                </w:tcPr>
                <w:p w:rsidR="00F17144" w:rsidRDefault="00F17144" w:rsidP="002475DE"/>
                <w:p w:rsidR="00F17144" w:rsidRDefault="00F17144" w:rsidP="002475DE">
                  <w:r>
                    <w:t>Publication date  </w:t>
                  </w:r>
                </w:p>
                <w:p w:rsidR="00F17144" w:rsidRDefault="00F17144" w:rsidP="002475DE"/>
                <w:p w:rsidR="00F17144" w:rsidRDefault="00F17144" w:rsidP="002475DE">
                  <w:pPr>
                    <w:rPr>
                      <w:rFonts w:eastAsia="Calibri"/>
                    </w:rPr>
                  </w:pPr>
                </w:p>
              </w:tc>
              <w:tc>
                <w:tcPr>
                  <w:tcW w:w="0" w:type="auto"/>
                  <w:tcMar>
                    <w:top w:w="15" w:type="dxa"/>
                    <w:left w:w="15" w:type="dxa"/>
                    <w:bottom w:w="15" w:type="dxa"/>
                    <w:right w:w="15" w:type="dxa"/>
                  </w:tcMar>
                  <w:vAlign w:val="center"/>
                  <w:hideMark/>
                </w:tcPr>
                <w:p w:rsidR="00F17144" w:rsidRDefault="00F17144" w:rsidP="002475DE">
                  <w:pPr>
                    <w:rPr>
                      <w:rFonts w:eastAsia="Calibri"/>
                    </w:rPr>
                  </w:pPr>
                  <w:r>
                    <w:t xml:space="preserve"> </w:t>
                  </w:r>
                </w:p>
              </w:tc>
            </w:tr>
          </w:tbl>
          <w:p w:rsidR="00F17144" w:rsidRDefault="00F17144" w:rsidP="002475DE">
            <w:pPr>
              <w:rPr>
                <w:rFonts w:ascii="Calibri" w:hAnsi="Calibri"/>
                <w:sz w:val="22"/>
                <w:szCs w:val="22"/>
              </w:rPr>
            </w:pPr>
          </w:p>
        </w:tc>
      </w:tr>
    </w:tbl>
    <w:p w:rsidR="00F17144" w:rsidRDefault="00F17144" w:rsidP="002475DE"/>
    <w:p w:rsidR="00920743" w:rsidRDefault="00920743" w:rsidP="002475DE">
      <w:r>
        <w:t>9.</w:t>
      </w:r>
      <w:r>
        <w:tab/>
      </w:r>
      <w:r>
        <w:rPr>
          <w:u w:val="single"/>
        </w:rPr>
        <w:t>Payments/Gifts to Respondents</w:t>
      </w:r>
    </w:p>
    <w:p w:rsidR="00920743" w:rsidRDefault="00920743" w:rsidP="002475DE"/>
    <w:p w:rsidR="00920743" w:rsidRDefault="00920743" w:rsidP="002475DE">
      <w:r>
        <w:t>There are no payments/gifts to respondents associated with this information collection request.</w:t>
      </w:r>
    </w:p>
    <w:p w:rsidR="00920743" w:rsidRDefault="00920743" w:rsidP="002475DE"/>
    <w:p w:rsidR="00920743" w:rsidRDefault="002A1438" w:rsidP="002475DE">
      <w:r>
        <w:t>10.</w:t>
      </w:r>
      <w:r>
        <w:tab/>
      </w:r>
      <w:r>
        <w:rPr>
          <w:u w:val="single"/>
        </w:rPr>
        <w:t>Confidentiality</w:t>
      </w:r>
    </w:p>
    <w:p w:rsidR="002A1438" w:rsidRDefault="002A1438" w:rsidP="002475DE"/>
    <w:p w:rsidR="00F17144" w:rsidRDefault="00F17144" w:rsidP="002475DE">
      <w:r>
        <w:t xml:space="preserve">Consistent with federal government and CMS policies, CMS will protect the confidentiality of the requested proprietary information.  Specifically, only information within </w:t>
      </w:r>
      <w:r w:rsidR="00FF5BBF">
        <w:t>this collection</w:t>
      </w:r>
      <w:r>
        <w:t xml:space="preserve"> (or attachments thereto) that constitutes a trade secret, privileged or confidential information, (as such terms are interpreted under the Freedom of Information Act and applicable case law), and is clearly labeled as such by the </w:t>
      </w:r>
      <w:r w:rsidR="00FF5BBF">
        <w:t>respondent</w:t>
      </w:r>
      <w:r>
        <w:t>, and which includes an explanation of how it meets one of the expectations specified n 45 CFR Part 5, will be protected from release by CMS under 5 U.S.C</w:t>
      </w:r>
      <w:r w:rsidR="00FF5BBF">
        <w:t>. §</w:t>
      </w:r>
      <w:r>
        <w:t>552(b)(4).  Information not labeled as trades secret, privileged, or confidential or not including an explanation of why it meets one or more of the FOIA exceptions in 45 CFR Part 5 will not be withheld from release under 5 U.S. C. § 552(b)(4).</w:t>
      </w:r>
    </w:p>
    <w:p w:rsidR="002A1438" w:rsidRDefault="002A1438" w:rsidP="002475DE"/>
    <w:p w:rsidR="002A1438" w:rsidRDefault="002A1438" w:rsidP="002475DE">
      <w:r>
        <w:t>11.</w:t>
      </w:r>
      <w:r>
        <w:tab/>
      </w:r>
      <w:r>
        <w:rPr>
          <w:u w:val="single"/>
        </w:rPr>
        <w:t>Sensitive Questions</w:t>
      </w:r>
    </w:p>
    <w:p w:rsidR="002A1438" w:rsidRDefault="002A1438" w:rsidP="002475DE"/>
    <w:p w:rsidR="002A1438" w:rsidRDefault="002A1438" w:rsidP="002475DE">
      <w:r>
        <w:t>CMS will adhere to all statues, regulations, and agency policies.</w:t>
      </w:r>
    </w:p>
    <w:p w:rsidR="00B37FA0" w:rsidRDefault="00B37FA0" w:rsidP="002475DE"/>
    <w:p w:rsidR="00B37FA0" w:rsidRDefault="00B37FA0" w:rsidP="002475DE">
      <w:r>
        <w:t>12.</w:t>
      </w:r>
      <w:r>
        <w:tab/>
      </w:r>
      <w:r>
        <w:rPr>
          <w:u w:val="single"/>
        </w:rPr>
        <w:t>Burden Estimates (Hours and Wages)</w:t>
      </w:r>
    </w:p>
    <w:p w:rsidR="00B37FA0" w:rsidRDefault="00B37FA0" w:rsidP="002475DE"/>
    <w:p w:rsidR="006C3480" w:rsidRPr="00956D42" w:rsidRDefault="006C3480" w:rsidP="002475DE">
      <w:pPr>
        <w:rPr>
          <w:u w:val="single"/>
        </w:rPr>
      </w:pPr>
      <w:r w:rsidRPr="00956D42">
        <w:rPr>
          <w:u w:val="single"/>
        </w:rPr>
        <w:t>Original Estimate:</w:t>
      </w:r>
    </w:p>
    <w:p w:rsidR="00FF5BBF" w:rsidRDefault="00FF5BBF" w:rsidP="002475DE">
      <w:r>
        <w:t>CMS estimates that</w:t>
      </w:r>
      <w:r w:rsidR="00451E7A">
        <w:t xml:space="preserve"> it</w:t>
      </w:r>
      <w:r w:rsidR="0097491B">
        <w:t xml:space="preserve"> will take 5 hours for a respondent to complete </w:t>
      </w:r>
      <w:r w:rsidR="004B17E8">
        <w:t xml:space="preserve">the </w:t>
      </w:r>
      <w:r w:rsidR="00C30450">
        <w:t>CC</w:t>
      </w:r>
      <w:r w:rsidR="00E019B4">
        <w:t xml:space="preserve">IP </w:t>
      </w:r>
      <w:r w:rsidR="004B17E8">
        <w:t>reporting tool</w:t>
      </w:r>
      <w:r w:rsidR="00593696">
        <w:t xml:space="preserve"> and 5 hours to complete the QI project reporting tool.</w:t>
      </w:r>
      <w:r w:rsidR="00CD5CE1">
        <w:t xml:space="preserve">  </w:t>
      </w:r>
      <w:r>
        <w:t xml:space="preserve">These estimates are based </w:t>
      </w:r>
      <w:r w:rsidR="00C30450">
        <w:t xml:space="preserve">on </w:t>
      </w:r>
      <w:r>
        <w:t>an internal assessment of the</w:t>
      </w:r>
      <w:r w:rsidR="0097491B">
        <w:t xml:space="preserve"> information being requested in the reporting tools</w:t>
      </w:r>
      <w:r>
        <w:t xml:space="preserve">.  </w:t>
      </w:r>
    </w:p>
    <w:p w:rsidR="00FF5BBF" w:rsidRDefault="00FF5BBF" w:rsidP="002475DE"/>
    <w:p w:rsidR="006C3480" w:rsidRPr="00956D42" w:rsidRDefault="006C3480" w:rsidP="002475DE">
      <w:pPr>
        <w:rPr>
          <w:u w:val="single"/>
        </w:rPr>
      </w:pPr>
      <w:r w:rsidRPr="00956D42">
        <w:rPr>
          <w:u w:val="single"/>
        </w:rPr>
        <w:t>New Estimate:</w:t>
      </w:r>
    </w:p>
    <w:p w:rsidR="00476FF2" w:rsidRDefault="009108D4" w:rsidP="009108D4">
      <w:r>
        <w:t xml:space="preserve">Based on feedback received during the 60 –day comment period, CMS has </w:t>
      </w:r>
      <w:r w:rsidRPr="009108D4">
        <w:t>increased the burden</w:t>
      </w:r>
      <w:r>
        <w:t xml:space="preserve"> estimates </w:t>
      </w:r>
      <w:r w:rsidRPr="009108D4">
        <w:t xml:space="preserve">to </w:t>
      </w:r>
      <w:r>
        <w:t xml:space="preserve">complete the CCIP reporting tool and the QIP reporting tool.  </w:t>
      </w:r>
      <w:r w:rsidRPr="009108D4">
        <w:t xml:space="preserve">Specifically, </w:t>
      </w:r>
      <w:r>
        <w:t xml:space="preserve">Industry comments indicated that CMS </w:t>
      </w:r>
      <w:r w:rsidRPr="009108D4">
        <w:t>should i</w:t>
      </w:r>
      <w:r>
        <w:t xml:space="preserve">ncrease </w:t>
      </w:r>
      <w:r w:rsidRPr="009108D4">
        <w:t>the number of</w:t>
      </w:r>
      <w:r>
        <w:t xml:space="preserve"> hours to accommodate for the narrative portions of the CCIP and QIP tools.  Therefore, we added an additional 10 burden hours to each reporting tool. CMS now estimates that it will take 15 hours for a respondent to complete the CCIP reporting tool and 15 hours to complete the QIP reporting tool.  In the near future, CMS intends to conduct an evaluation of the new CCIP and QIP reporting tools with MAOs to better assess the burden hours needed to complete the CCIP and QIP reporting</w:t>
      </w:r>
      <w:r>
        <w:rPr>
          <w:color w:val="1F497D"/>
        </w:rPr>
        <w:t xml:space="preserve"> </w:t>
      </w:r>
      <w:r>
        <w:t xml:space="preserve">tools using our automated submission process. </w:t>
      </w:r>
    </w:p>
    <w:p w:rsidR="00263175" w:rsidRPr="006C3480" w:rsidRDefault="0049341C" w:rsidP="002475DE">
      <w:r>
        <w:t xml:space="preserve"> </w:t>
      </w:r>
      <w:r w:rsidR="00263175" w:rsidRPr="006C3480">
        <w:br w:type="page"/>
      </w:r>
    </w:p>
    <w:p w:rsidR="00263175" w:rsidRDefault="00263175" w:rsidP="002475DE">
      <w:pPr>
        <w:rPr>
          <w:b/>
        </w:rPr>
      </w:pPr>
      <w:r>
        <w:rPr>
          <w:b/>
        </w:rPr>
        <w:t>The total annual hours requested is calculated as follows:</w:t>
      </w:r>
    </w:p>
    <w:p w:rsidR="00263175" w:rsidRDefault="00263175" w:rsidP="002475DE"/>
    <w:p w:rsidR="00263175" w:rsidRDefault="00263175" w:rsidP="002475DE">
      <w:pPr>
        <w:jc w:val="center"/>
        <w:rPr>
          <w:b/>
        </w:rPr>
      </w:pPr>
      <w:r>
        <w:rPr>
          <w:b/>
        </w:rPr>
        <w:t>Table 1</w:t>
      </w:r>
    </w:p>
    <w:p w:rsidR="00263175" w:rsidRDefault="00263175" w:rsidP="002475DE">
      <w:pPr>
        <w:jc w:val="center"/>
        <w:rPr>
          <w:b/>
        </w:rPr>
      </w:pPr>
      <w:r>
        <w:rPr>
          <w:b/>
        </w:rPr>
        <w:t>Summary of Hours Burden by Type of Report</w:t>
      </w:r>
    </w:p>
    <w:p w:rsidR="00263175" w:rsidRDefault="00263175" w:rsidP="002475DE">
      <w:pPr>
        <w:jc w:val="center"/>
        <w:rPr>
          <w:b/>
        </w:rPr>
      </w:pPr>
    </w:p>
    <w:p w:rsidR="00263175" w:rsidRDefault="00263175" w:rsidP="002475DE">
      <w:r>
        <w:t xml:space="preserve">In total, CMS estimates that it will receive </w:t>
      </w:r>
      <w:r w:rsidR="00836AA1">
        <w:t>1</w:t>
      </w:r>
      <w:r w:rsidR="00F5268C">
        <w:t>,</w:t>
      </w:r>
      <w:r w:rsidR="00836AA1">
        <w:t>904</w:t>
      </w:r>
      <w:r>
        <w:t xml:space="preserve"> responses</w:t>
      </w:r>
      <w:r w:rsidR="00CD5CE1">
        <w:t xml:space="preserve">.  </w:t>
      </w:r>
      <w:r>
        <w:t xml:space="preserve">This would amount to </w:t>
      </w:r>
      <w:r w:rsidR="00D16877">
        <w:t>28</w:t>
      </w:r>
      <w:r w:rsidR="00593696">
        <w:t>,</w:t>
      </w:r>
      <w:r w:rsidR="00836AA1">
        <w:t>5</w:t>
      </w:r>
      <w:r w:rsidR="00D16877">
        <w:t>6</w:t>
      </w:r>
      <w:r w:rsidR="00836AA1">
        <w:t>0</w:t>
      </w:r>
      <w:r>
        <w:t xml:space="preserve"> total annual hours. </w:t>
      </w:r>
      <w:r w:rsidR="00AA5058">
        <w:t xml:space="preserve">The expected number of reports is based on the number of MAO contract numbers and the number of </w:t>
      </w:r>
      <w:r w:rsidR="0009080A">
        <w:t>S</w:t>
      </w:r>
      <w:r w:rsidR="00593696">
        <w:t xml:space="preserve">pecial </w:t>
      </w:r>
      <w:r w:rsidR="0009080A">
        <w:t>N</w:t>
      </w:r>
      <w:r w:rsidR="00593696">
        <w:t xml:space="preserve">eeds </w:t>
      </w:r>
      <w:r w:rsidR="0009080A">
        <w:t>P</w:t>
      </w:r>
      <w:r w:rsidR="00AA5058">
        <w:t>lans</w:t>
      </w:r>
      <w:r w:rsidR="0009080A">
        <w:t xml:space="preserve"> (SNPs)</w:t>
      </w:r>
      <w:r w:rsidR="0097491B">
        <w:t>.</w:t>
      </w:r>
    </w:p>
    <w:p w:rsidR="00C027FF" w:rsidRDefault="00C027FF" w:rsidP="002475DE"/>
    <w:tbl>
      <w:tblPr>
        <w:tblW w:w="7200" w:type="dxa"/>
        <w:tblInd w:w="108" w:type="dxa"/>
        <w:tblLook w:val="04A0" w:firstRow="1" w:lastRow="0" w:firstColumn="1" w:lastColumn="0" w:noHBand="0" w:noVBand="1"/>
      </w:tblPr>
      <w:tblGrid>
        <w:gridCol w:w="3049"/>
        <w:gridCol w:w="1001"/>
        <w:gridCol w:w="1170"/>
        <w:gridCol w:w="1980"/>
      </w:tblGrid>
      <w:tr w:rsidR="00D16877" w:rsidRPr="00D16877" w:rsidTr="00D16877">
        <w:trPr>
          <w:trHeight w:val="765"/>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D16877" w:rsidRPr="000B6BCB" w:rsidRDefault="00D16877" w:rsidP="00D16877">
            <w:pPr>
              <w:rPr>
                <w:b/>
                <w:bCs/>
                <w:sz w:val="16"/>
                <w:szCs w:val="16"/>
              </w:rPr>
            </w:pPr>
            <w:r w:rsidRPr="000B6BCB">
              <w:rPr>
                <w:b/>
                <w:bCs/>
                <w:sz w:val="16"/>
                <w:szCs w:val="16"/>
              </w:rPr>
              <w:t>Report/Responses</w:t>
            </w:r>
          </w:p>
        </w:tc>
        <w:tc>
          <w:tcPr>
            <w:tcW w:w="1001" w:type="dxa"/>
            <w:tcBorders>
              <w:top w:val="single" w:sz="4" w:space="0" w:color="auto"/>
              <w:left w:val="nil"/>
              <w:bottom w:val="single" w:sz="4" w:space="0" w:color="auto"/>
              <w:right w:val="single" w:sz="4" w:space="0" w:color="auto"/>
            </w:tcBorders>
            <w:shd w:val="clear" w:color="auto" w:fill="auto"/>
            <w:hideMark/>
          </w:tcPr>
          <w:p w:rsidR="00D16877" w:rsidRPr="000B6BCB" w:rsidRDefault="00D16877" w:rsidP="00D16877">
            <w:pPr>
              <w:rPr>
                <w:b/>
                <w:bCs/>
                <w:color w:val="000000"/>
                <w:sz w:val="16"/>
                <w:szCs w:val="16"/>
              </w:rPr>
            </w:pPr>
            <w:r w:rsidRPr="000B6BCB">
              <w:rPr>
                <w:b/>
                <w:bCs/>
                <w:color w:val="000000"/>
                <w:sz w:val="16"/>
                <w:szCs w:val="16"/>
              </w:rPr>
              <w:t>CCIP</w:t>
            </w:r>
          </w:p>
        </w:tc>
        <w:tc>
          <w:tcPr>
            <w:tcW w:w="1170" w:type="dxa"/>
            <w:tcBorders>
              <w:top w:val="single" w:sz="4" w:space="0" w:color="auto"/>
              <w:left w:val="nil"/>
              <w:bottom w:val="single" w:sz="4" w:space="0" w:color="auto"/>
              <w:right w:val="single" w:sz="4" w:space="0" w:color="auto"/>
            </w:tcBorders>
            <w:shd w:val="clear" w:color="auto" w:fill="auto"/>
            <w:hideMark/>
          </w:tcPr>
          <w:p w:rsidR="00D16877" w:rsidRPr="000B6BCB" w:rsidRDefault="00D16877" w:rsidP="00D16877">
            <w:pPr>
              <w:rPr>
                <w:b/>
                <w:bCs/>
                <w:color w:val="000000"/>
                <w:sz w:val="16"/>
                <w:szCs w:val="16"/>
              </w:rPr>
            </w:pPr>
            <w:r w:rsidRPr="000B6BCB">
              <w:rPr>
                <w:b/>
                <w:bCs/>
                <w:color w:val="000000"/>
                <w:sz w:val="16"/>
                <w:szCs w:val="16"/>
              </w:rPr>
              <w:t>QIP</w:t>
            </w:r>
          </w:p>
        </w:tc>
        <w:tc>
          <w:tcPr>
            <w:tcW w:w="1980" w:type="dxa"/>
            <w:tcBorders>
              <w:top w:val="single" w:sz="4" w:space="0" w:color="auto"/>
              <w:left w:val="nil"/>
              <w:bottom w:val="single" w:sz="4" w:space="0" w:color="auto"/>
              <w:right w:val="single" w:sz="4" w:space="0" w:color="auto"/>
            </w:tcBorders>
            <w:shd w:val="clear" w:color="auto" w:fill="auto"/>
            <w:hideMark/>
          </w:tcPr>
          <w:p w:rsidR="00D16877" w:rsidRPr="000B6BCB" w:rsidRDefault="00D16877" w:rsidP="00D16877">
            <w:pPr>
              <w:rPr>
                <w:b/>
                <w:bCs/>
                <w:color w:val="000000"/>
                <w:sz w:val="16"/>
                <w:szCs w:val="16"/>
              </w:rPr>
            </w:pPr>
            <w:r w:rsidRPr="000B6BCB">
              <w:rPr>
                <w:b/>
                <w:bCs/>
                <w:color w:val="000000"/>
                <w:sz w:val="16"/>
                <w:szCs w:val="16"/>
              </w:rPr>
              <w:t>Summary</w:t>
            </w:r>
          </w:p>
        </w:tc>
      </w:tr>
      <w:tr w:rsidR="00D16877" w:rsidRPr="00D16877" w:rsidTr="00D16877">
        <w:trPr>
          <w:trHeight w:val="422"/>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D16877" w:rsidRPr="00D16877" w:rsidRDefault="00D16877" w:rsidP="00D16877">
            <w:pPr>
              <w:rPr>
                <w:b/>
                <w:bCs/>
                <w:sz w:val="16"/>
                <w:szCs w:val="16"/>
              </w:rPr>
            </w:pPr>
            <w:r w:rsidRPr="00D16877">
              <w:rPr>
                <w:b/>
                <w:bCs/>
                <w:sz w:val="16"/>
                <w:szCs w:val="16"/>
              </w:rPr>
              <w:t>Expected Report/ Responses</w:t>
            </w:r>
          </w:p>
        </w:tc>
        <w:tc>
          <w:tcPr>
            <w:tcW w:w="1001"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952</w:t>
            </w:r>
          </w:p>
        </w:tc>
        <w:tc>
          <w:tcPr>
            <w:tcW w:w="117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952</w:t>
            </w:r>
          </w:p>
        </w:tc>
        <w:tc>
          <w:tcPr>
            <w:tcW w:w="198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1904</w:t>
            </w:r>
          </w:p>
        </w:tc>
      </w:tr>
      <w:tr w:rsidR="00D16877" w:rsidRPr="00D94FFB" w:rsidTr="00D16877">
        <w:trPr>
          <w:trHeight w:val="44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D16877" w:rsidRPr="00D94FFB" w:rsidRDefault="00D16877" w:rsidP="00D16877">
            <w:pPr>
              <w:rPr>
                <w:b/>
                <w:bCs/>
                <w:sz w:val="16"/>
                <w:szCs w:val="16"/>
              </w:rPr>
            </w:pPr>
            <w:r w:rsidRPr="00D94FFB">
              <w:rPr>
                <w:b/>
                <w:bCs/>
                <w:sz w:val="16"/>
                <w:szCs w:val="16"/>
              </w:rPr>
              <w:t>Part 1: Plan Section</w:t>
            </w:r>
          </w:p>
        </w:tc>
        <w:tc>
          <w:tcPr>
            <w:tcW w:w="1001" w:type="dxa"/>
            <w:tcBorders>
              <w:top w:val="single" w:sz="4" w:space="0" w:color="auto"/>
              <w:left w:val="nil"/>
              <w:bottom w:val="single" w:sz="4" w:space="0" w:color="auto"/>
              <w:right w:val="single" w:sz="4" w:space="0" w:color="auto"/>
            </w:tcBorders>
            <w:shd w:val="clear" w:color="auto" w:fill="auto"/>
            <w:hideMark/>
          </w:tcPr>
          <w:p w:rsidR="00D16877" w:rsidRPr="00D94FFB" w:rsidRDefault="00D16877" w:rsidP="00D16877">
            <w:pPr>
              <w:rPr>
                <w:bCs/>
                <w:color w:val="000000"/>
                <w:sz w:val="16"/>
                <w:szCs w:val="16"/>
              </w:rPr>
            </w:pPr>
            <w:r w:rsidRPr="00D94FFB">
              <w:rPr>
                <w:bCs/>
                <w:color w:val="000000"/>
                <w:sz w:val="16"/>
                <w:szCs w:val="16"/>
              </w:rPr>
              <w:t>2</w:t>
            </w:r>
          </w:p>
        </w:tc>
        <w:tc>
          <w:tcPr>
            <w:tcW w:w="1170" w:type="dxa"/>
            <w:tcBorders>
              <w:top w:val="single" w:sz="4" w:space="0" w:color="auto"/>
              <w:left w:val="nil"/>
              <w:bottom w:val="single" w:sz="4" w:space="0" w:color="auto"/>
              <w:right w:val="single" w:sz="4" w:space="0" w:color="auto"/>
            </w:tcBorders>
            <w:shd w:val="clear" w:color="auto" w:fill="auto"/>
            <w:hideMark/>
          </w:tcPr>
          <w:p w:rsidR="00D16877" w:rsidRPr="00D94FFB" w:rsidRDefault="00D16877" w:rsidP="00D16877">
            <w:pPr>
              <w:rPr>
                <w:bCs/>
                <w:color w:val="000000"/>
                <w:sz w:val="16"/>
                <w:szCs w:val="16"/>
              </w:rPr>
            </w:pPr>
            <w:r w:rsidRPr="00D94FFB">
              <w:rPr>
                <w:bCs/>
                <w:color w:val="000000"/>
                <w:sz w:val="16"/>
                <w:szCs w:val="16"/>
              </w:rPr>
              <w:t>2</w:t>
            </w:r>
          </w:p>
        </w:tc>
        <w:tc>
          <w:tcPr>
            <w:tcW w:w="1980" w:type="dxa"/>
            <w:tcBorders>
              <w:top w:val="single" w:sz="4" w:space="0" w:color="auto"/>
              <w:left w:val="nil"/>
              <w:bottom w:val="single" w:sz="4" w:space="0" w:color="auto"/>
              <w:right w:val="single" w:sz="4" w:space="0" w:color="auto"/>
            </w:tcBorders>
            <w:shd w:val="clear" w:color="auto" w:fill="auto"/>
            <w:hideMark/>
          </w:tcPr>
          <w:p w:rsidR="00D16877" w:rsidRPr="00D94FFB" w:rsidRDefault="00D16877" w:rsidP="00D16877">
            <w:pPr>
              <w:rPr>
                <w:bCs/>
                <w:color w:val="000000"/>
                <w:sz w:val="16"/>
                <w:szCs w:val="16"/>
              </w:rPr>
            </w:pPr>
            <w:r w:rsidRPr="00D94FFB">
              <w:rPr>
                <w:bCs/>
                <w:color w:val="000000"/>
                <w:sz w:val="16"/>
                <w:szCs w:val="16"/>
              </w:rPr>
              <w:t>4</w:t>
            </w:r>
          </w:p>
        </w:tc>
      </w:tr>
      <w:tr w:rsidR="00D16877" w:rsidRPr="00D16877" w:rsidTr="00D16877">
        <w:trPr>
          <w:trHeight w:val="44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D16877" w:rsidRPr="00D16877" w:rsidRDefault="00D16877" w:rsidP="00D16877">
            <w:pPr>
              <w:rPr>
                <w:b/>
                <w:bCs/>
                <w:sz w:val="16"/>
                <w:szCs w:val="16"/>
              </w:rPr>
            </w:pPr>
            <w:r w:rsidRPr="00D16877">
              <w:rPr>
                <w:b/>
                <w:bCs/>
                <w:sz w:val="16"/>
                <w:szCs w:val="16"/>
              </w:rPr>
              <w:t>Part 2: Do Section</w:t>
            </w:r>
          </w:p>
        </w:tc>
        <w:tc>
          <w:tcPr>
            <w:tcW w:w="1001"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5</w:t>
            </w:r>
          </w:p>
        </w:tc>
        <w:tc>
          <w:tcPr>
            <w:tcW w:w="117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5</w:t>
            </w:r>
          </w:p>
        </w:tc>
        <w:tc>
          <w:tcPr>
            <w:tcW w:w="198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10</w:t>
            </w:r>
          </w:p>
        </w:tc>
      </w:tr>
      <w:tr w:rsidR="00D16877" w:rsidRPr="00D16877" w:rsidTr="00D16877">
        <w:trPr>
          <w:trHeight w:val="44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D16877" w:rsidRPr="00D16877" w:rsidRDefault="00D16877" w:rsidP="00D16877">
            <w:pPr>
              <w:rPr>
                <w:b/>
                <w:bCs/>
                <w:sz w:val="16"/>
                <w:szCs w:val="16"/>
              </w:rPr>
            </w:pPr>
            <w:r w:rsidRPr="00D16877">
              <w:rPr>
                <w:b/>
                <w:bCs/>
                <w:sz w:val="16"/>
                <w:szCs w:val="16"/>
              </w:rPr>
              <w:t>Part 3: Study Section</w:t>
            </w:r>
          </w:p>
        </w:tc>
        <w:tc>
          <w:tcPr>
            <w:tcW w:w="1001"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5</w:t>
            </w:r>
          </w:p>
        </w:tc>
        <w:tc>
          <w:tcPr>
            <w:tcW w:w="117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5</w:t>
            </w:r>
          </w:p>
        </w:tc>
        <w:tc>
          <w:tcPr>
            <w:tcW w:w="198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10</w:t>
            </w:r>
          </w:p>
        </w:tc>
      </w:tr>
      <w:tr w:rsidR="00D16877" w:rsidRPr="00D16877" w:rsidTr="00D16877">
        <w:trPr>
          <w:trHeight w:val="44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D16877" w:rsidRPr="00D16877" w:rsidRDefault="00D16877" w:rsidP="00D16877">
            <w:pPr>
              <w:rPr>
                <w:b/>
                <w:bCs/>
                <w:sz w:val="16"/>
                <w:szCs w:val="16"/>
              </w:rPr>
            </w:pPr>
            <w:r w:rsidRPr="00D16877">
              <w:rPr>
                <w:b/>
                <w:bCs/>
                <w:sz w:val="16"/>
                <w:szCs w:val="16"/>
              </w:rPr>
              <w:t>Part 4: Act Section</w:t>
            </w:r>
          </w:p>
        </w:tc>
        <w:tc>
          <w:tcPr>
            <w:tcW w:w="1001"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3</w:t>
            </w:r>
          </w:p>
        </w:tc>
        <w:tc>
          <w:tcPr>
            <w:tcW w:w="117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3</w:t>
            </w:r>
          </w:p>
        </w:tc>
        <w:tc>
          <w:tcPr>
            <w:tcW w:w="198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6</w:t>
            </w:r>
          </w:p>
        </w:tc>
      </w:tr>
      <w:tr w:rsidR="00D16877" w:rsidRPr="00D16877" w:rsidTr="00D16877">
        <w:trPr>
          <w:trHeight w:val="350"/>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D16877" w:rsidRPr="00D16877" w:rsidRDefault="00D16877" w:rsidP="00D16877">
            <w:pPr>
              <w:rPr>
                <w:b/>
                <w:bCs/>
                <w:sz w:val="16"/>
                <w:szCs w:val="16"/>
              </w:rPr>
            </w:pPr>
            <w:r w:rsidRPr="00D16877">
              <w:rPr>
                <w:b/>
                <w:bCs/>
                <w:sz w:val="16"/>
                <w:szCs w:val="16"/>
              </w:rPr>
              <w:t>Overall # of hours per report</w:t>
            </w:r>
          </w:p>
        </w:tc>
        <w:tc>
          <w:tcPr>
            <w:tcW w:w="1001"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15</w:t>
            </w:r>
          </w:p>
        </w:tc>
        <w:tc>
          <w:tcPr>
            <w:tcW w:w="117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15</w:t>
            </w:r>
          </w:p>
        </w:tc>
        <w:tc>
          <w:tcPr>
            <w:tcW w:w="1980" w:type="dxa"/>
            <w:tcBorders>
              <w:top w:val="single" w:sz="4" w:space="0" w:color="auto"/>
              <w:left w:val="nil"/>
              <w:bottom w:val="single" w:sz="4" w:space="0" w:color="auto"/>
              <w:right w:val="single" w:sz="4" w:space="0" w:color="auto"/>
            </w:tcBorders>
            <w:shd w:val="clear" w:color="auto" w:fill="auto"/>
            <w:hideMark/>
          </w:tcPr>
          <w:p w:rsidR="00D16877" w:rsidRPr="00E350CB" w:rsidRDefault="00D16877" w:rsidP="00D16877">
            <w:pPr>
              <w:rPr>
                <w:bCs/>
                <w:color w:val="000000"/>
                <w:sz w:val="16"/>
                <w:szCs w:val="16"/>
              </w:rPr>
            </w:pPr>
            <w:r w:rsidRPr="00E350CB">
              <w:rPr>
                <w:bCs/>
                <w:color w:val="000000"/>
                <w:sz w:val="16"/>
                <w:szCs w:val="16"/>
              </w:rPr>
              <w:t>30</w:t>
            </w:r>
          </w:p>
        </w:tc>
      </w:tr>
      <w:tr w:rsidR="00D16877" w:rsidRPr="00D16877" w:rsidTr="00D16877">
        <w:trPr>
          <w:trHeight w:val="765"/>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D16877" w:rsidRPr="00D16877" w:rsidRDefault="00D16877" w:rsidP="00D16877">
            <w:pPr>
              <w:rPr>
                <w:b/>
                <w:bCs/>
                <w:sz w:val="16"/>
                <w:szCs w:val="16"/>
              </w:rPr>
            </w:pPr>
            <w:r w:rsidRPr="00D16877">
              <w:rPr>
                <w:b/>
                <w:bCs/>
                <w:sz w:val="16"/>
                <w:szCs w:val="16"/>
              </w:rPr>
              <w:t>Annual Burden hours</w:t>
            </w:r>
          </w:p>
        </w:tc>
        <w:tc>
          <w:tcPr>
            <w:tcW w:w="1001" w:type="dxa"/>
            <w:tcBorders>
              <w:top w:val="single" w:sz="4" w:space="0" w:color="auto"/>
              <w:left w:val="nil"/>
              <w:bottom w:val="single" w:sz="4" w:space="0" w:color="auto"/>
              <w:right w:val="single" w:sz="4" w:space="0" w:color="auto"/>
            </w:tcBorders>
            <w:shd w:val="clear" w:color="auto" w:fill="auto"/>
            <w:hideMark/>
          </w:tcPr>
          <w:p w:rsidR="00D16877" w:rsidRPr="00D16877" w:rsidRDefault="00D16877" w:rsidP="00D16877">
            <w:pPr>
              <w:rPr>
                <w:b/>
                <w:bCs/>
                <w:color w:val="000000"/>
                <w:sz w:val="16"/>
                <w:szCs w:val="16"/>
              </w:rPr>
            </w:pPr>
            <w:r w:rsidRPr="00D16877">
              <w:rPr>
                <w:b/>
                <w:bCs/>
                <w:color w:val="000000"/>
                <w:sz w:val="16"/>
                <w:szCs w:val="16"/>
              </w:rPr>
              <w:t>14280</w:t>
            </w:r>
          </w:p>
        </w:tc>
        <w:tc>
          <w:tcPr>
            <w:tcW w:w="1170" w:type="dxa"/>
            <w:tcBorders>
              <w:top w:val="single" w:sz="4" w:space="0" w:color="auto"/>
              <w:left w:val="nil"/>
              <w:bottom w:val="single" w:sz="4" w:space="0" w:color="auto"/>
              <w:right w:val="single" w:sz="4" w:space="0" w:color="auto"/>
            </w:tcBorders>
            <w:shd w:val="clear" w:color="auto" w:fill="auto"/>
            <w:hideMark/>
          </w:tcPr>
          <w:p w:rsidR="00D16877" w:rsidRPr="00D16877" w:rsidRDefault="00D16877" w:rsidP="00D16877">
            <w:pPr>
              <w:rPr>
                <w:b/>
                <w:bCs/>
                <w:color w:val="000000"/>
                <w:sz w:val="16"/>
                <w:szCs w:val="16"/>
              </w:rPr>
            </w:pPr>
            <w:r w:rsidRPr="00D16877">
              <w:rPr>
                <w:b/>
                <w:bCs/>
                <w:color w:val="000000"/>
                <w:sz w:val="16"/>
                <w:szCs w:val="16"/>
              </w:rPr>
              <w:t>14280</w:t>
            </w:r>
          </w:p>
        </w:tc>
        <w:tc>
          <w:tcPr>
            <w:tcW w:w="1980" w:type="dxa"/>
            <w:tcBorders>
              <w:top w:val="single" w:sz="4" w:space="0" w:color="auto"/>
              <w:left w:val="nil"/>
              <w:bottom w:val="single" w:sz="4" w:space="0" w:color="auto"/>
              <w:right w:val="single" w:sz="4" w:space="0" w:color="auto"/>
            </w:tcBorders>
            <w:shd w:val="clear" w:color="auto" w:fill="auto"/>
            <w:hideMark/>
          </w:tcPr>
          <w:p w:rsidR="00D16877" w:rsidRPr="00D16877" w:rsidRDefault="00D16877" w:rsidP="00D16877">
            <w:pPr>
              <w:rPr>
                <w:b/>
                <w:bCs/>
                <w:color w:val="000000"/>
                <w:sz w:val="16"/>
                <w:szCs w:val="16"/>
              </w:rPr>
            </w:pPr>
            <w:r w:rsidRPr="00D16877">
              <w:rPr>
                <w:b/>
                <w:bCs/>
                <w:color w:val="000000"/>
                <w:sz w:val="16"/>
                <w:szCs w:val="16"/>
              </w:rPr>
              <w:t>28560</w:t>
            </w:r>
          </w:p>
        </w:tc>
      </w:tr>
    </w:tbl>
    <w:p w:rsidR="00184036" w:rsidRDefault="00184036" w:rsidP="002475DE">
      <w:pPr>
        <w:jc w:val="center"/>
        <w:rPr>
          <w:b/>
        </w:rPr>
      </w:pPr>
      <w:r>
        <w:rPr>
          <w:b/>
        </w:rPr>
        <w:t>Table 2</w:t>
      </w:r>
    </w:p>
    <w:p w:rsidR="00184036" w:rsidRPr="0007535F" w:rsidRDefault="00184036" w:rsidP="002475DE">
      <w:pPr>
        <w:jc w:val="center"/>
        <w:rPr>
          <w:b/>
        </w:rPr>
      </w:pPr>
      <w:r w:rsidRPr="0007535F">
        <w:rPr>
          <w:b/>
        </w:rPr>
        <w:t xml:space="preserve">Total Wage </w:t>
      </w:r>
      <w:r w:rsidR="00C30450">
        <w:rPr>
          <w:b/>
        </w:rPr>
        <w:t>B</w:t>
      </w:r>
      <w:r w:rsidRPr="0007535F">
        <w:rPr>
          <w:b/>
        </w:rPr>
        <w:t xml:space="preserve">urden by </w:t>
      </w:r>
      <w:r>
        <w:rPr>
          <w:b/>
        </w:rPr>
        <w:t>Report</w:t>
      </w:r>
    </w:p>
    <w:p w:rsidR="00184036" w:rsidRPr="0007535F" w:rsidRDefault="00184036" w:rsidP="002475DE">
      <w:pPr>
        <w:rPr>
          <w:b/>
        </w:rPr>
      </w:pPr>
    </w:p>
    <w:p w:rsidR="00184036" w:rsidRPr="0007535F" w:rsidRDefault="00184036" w:rsidP="002475DE">
      <w:pPr>
        <w:rPr>
          <w:b/>
        </w:rPr>
      </w:pPr>
      <w:r w:rsidRPr="0007535F">
        <w:t xml:space="preserve">The estimated wage burden for the </w:t>
      </w:r>
      <w:r w:rsidR="00C30450">
        <w:t>CC</w:t>
      </w:r>
      <w:r>
        <w:t xml:space="preserve">IP and </w:t>
      </w:r>
      <w:r w:rsidR="00C30450">
        <w:t>Q</w:t>
      </w:r>
      <w:r>
        <w:t xml:space="preserve">IP reports </w:t>
      </w:r>
      <w:r w:rsidRPr="0007535F">
        <w:t>is $</w:t>
      </w:r>
      <w:r w:rsidR="00D16877">
        <w:t>1,</w:t>
      </w:r>
      <w:r w:rsidR="00AA5058">
        <w:t>5</w:t>
      </w:r>
      <w:r w:rsidR="00D16877">
        <w:t>70</w:t>
      </w:r>
      <w:r>
        <w:t>,</w:t>
      </w:r>
      <w:r w:rsidR="00D16877">
        <w:t>8</w:t>
      </w:r>
      <w:r>
        <w:t xml:space="preserve">00 </w:t>
      </w:r>
      <w:r w:rsidRPr="0007535F">
        <w:t>based on an estimate wage rate of $</w:t>
      </w:r>
      <w:r w:rsidR="00AA5058">
        <w:t>5</w:t>
      </w:r>
      <w:r w:rsidRPr="0007535F">
        <w:t>5.00 per hour wage</w:t>
      </w:r>
      <w:r>
        <w:t>.</w:t>
      </w:r>
    </w:p>
    <w:p w:rsidR="00184036" w:rsidRDefault="00184036" w:rsidP="002475DE"/>
    <w:tbl>
      <w:tblPr>
        <w:tblW w:w="8280" w:type="dxa"/>
        <w:tblInd w:w="108" w:type="dxa"/>
        <w:tblLayout w:type="fixed"/>
        <w:tblLook w:val="0000" w:firstRow="0" w:lastRow="0" w:firstColumn="0" w:lastColumn="0" w:noHBand="0" w:noVBand="0"/>
      </w:tblPr>
      <w:tblGrid>
        <w:gridCol w:w="3060"/>
        <w:gridCol w:w="2160"/>
        <w:gridCol w:w="1620"/>
        <w:gridCol w:w="1440"/>
      </w:tblGrid>
      <w:tr w:rsidR="00D16877" w:rsidRPr="00D16877" w:rsidTr="00D94FFB">
        <w:trPr>
          <w:trHeight w:val="610"/>
        </w:trPr>
        <w:tc>
          <w:tcPr>
            <w:tcW w:w="3060" w:type="dxa"/>
            <w:tcBorders>
              <w:top w:val="single" w:sz="8" w:space="0" w:color="auto"/>
              <w:left w:val="single" w:sz="8" w:space="0" w:color="auto"/>
              <w:bottom w:val="single" w:sz="4" w:space="0" w:color="auto"/>
              <w:right w:val="single" w:sz="4" w:space="0" w:color="auto"/>
            </w:tcBorders>
            <w:shd w:val="clear" w:color="auto" w:fill="auto"/>
            <w:vAlign w:val="center"/>
          </w:tcPr>
          <w:p w:rsidR="00D16877" w:rsidRPr="00373DBF" w:rsidRDefault="00D16877" w:rsidP="00D16877">
            <w:pPr>
              <w:rPr>
                <w:b/>
                <w:bCs/>
                <w:sz w:val="16"/>
                <w:szCs w:val="16"/>
              </w:rPr>
            </w:pPr>
            <w:r w:rsidRPr="00373DBF">
              <w:rPr>
                <w:b/>
                <w:bCs/>
                <w:sz w:val="16"/>
                <w:szCs w:val="16"/>
              </w:rPr>
              <w:t>Report/Responses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
                <w:bCs/>
                <w:color w:val="000000"/>
                <w:sz w:val="16"/>
                <w:szCs w:val="16"/>
              </w:rPr>
            </w:pPr>
            <w:r w:rsidRPr="00373DBF">
              <w:rPr>
                <w:b/>
                <w:bCs/>
                <w:color w:val="000000"/>
                <w:sz w:val="16"/>
                <w:szCs w:val="16"/>
              </w:rPr>
              <w:t>CCIP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
                <w:bCs/>
                <w:color w:val="000000"/>
                <w:sz w:val="16"/>
                <w:szCs w:val="16"/>
              </w:rPr>
            </w:pPr>
            <w:r w:rsidRPr="00373DBF">
              <w:rPr>
                <w:b/>
                <w:bCs/>
                <w:color w:val="000000"/>
                <w:sz w:val="16"/>
                <w:szCs w:val="16"/>
              </w:rPr>
              <w:t>QIP</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
                <w:bCs/>
                <w:color w:val="000000"/>
                <w:sz w:val="16"/>
                <w:szCs w:val="16"/>
              </w:rPr>
            </w:pPr>
            <w:r w:rsidRPr="00373DBF">
              <w:rPr>
                <w:b/>
                <w:bCs/>
                <w:color w:val="000000"/>
                <w:sz w:val="16"/>
                <w:szCs w:val="16"/>
              </w:rPr>
              <w:t>Total</w:t>
            </w:r>
          </w:p>
        </w:tc>
      </w:tr>
      <w:tr w:rsidR="00D16877" w:rsidRPr="00D16877" w:rsidTr="00D94FFB">
        <w:trPr>
          <w:trHeight w:val="610"/>
        </w:trPr>
        <w:tc>
          <w:tcPr>
            <w:tcW w:w="3060" w:type="dxa"/>
            <w:tcBorders>
              <w:top w:val="single" w:sz="8" w:space="0" w:color="auto"/>
              <w:left w:val="single" w:sz="8" w:space="0" w:color="auto"/>
              <w:bottom w:val="single" w:sz="4" w:space="0" w:color="auto"/>
              <w:right w:val="single" w:sz="4" w:space="0" w:color="auto"/>
            </w:tcBorders>
            <w:shd w:val="clear" w:color="auto" w:fill="auto"/>
            <w:vAlign w:val="center"/>
          </w:tcPr>
          <w:p w:rsidR="00D16877" w:rsidRPr="00373DBF" w:rsidRDefault="00D16877" w:rsidP="00D16877">
            <w:pPr>
              <w:rPr>
                <w:b/>
                <w:bCs/>
                <w:sz w:val="16"/>
                <w:szCs w:val="16"/>
              </w:rPr>
            </w:pPr>
            <w:r w:rsidRPr="00373DBF">
              <w:rPr>
                <w:b/>
                <w:bCs/>
                <w:sz w:val="16"/>
                <w:szCs w:val="16"/>
              </w:rPr>
              <w:t>Annual burden Hours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Cs/>
                <w:color w:val="000000"/>
                <w:sz w:val="16"/>
                <w:szCs w:val="16"/>
              </w:rPr>
            </w:pPr>
            <w:r w:rsidRPr="00373DBF">
              <w:rPr>
                <w:bCs/>
                <w:color w:val="000000"/>
                <w:sz w:val="16"/>
                <w:szCs w:val="16"/>
              </w:rPr>
              <w:t>14280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Cs/>
                <w:color w:val="000000"/>
                <w:sz w:val="16"/>
                <w:szCs w:val="16"/>
              </w:rPr>
            </w:pPr>
            <w:r w:rsidRPr="00373DBF">
              <w:rPr>
                <w:bCs/>
                <w:color w:val="000000"/>
                <w:sz w:val="16"/>
                <w:szCs w:val="16"/>
              </w:rPr>
              <w:t>14280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Cs/>
                <w:color w:val="000000"/>
                <w:sz w:val="16"/>
                <w:szCs w:val="16"/>
              </w:rPr>
            </w:pPr>
            <w:r w:rsidRPr="00373DBF">
              <w:rPr>
                <w:bCs/>
                <w:color w:val="000000"/>
                <w:sz w:val="16"/>
                <w:szCs w:val="16"/>
              </w:rPr>
              <w:t>28560</w:t>
            </w:r>
          </w:p>
        </w:tc>
      </w:tr>
      <w:tr w:rsidR="00D16877" w:rsidRPr="00D16877" w:rsidTr="00D94FFB">
        <w:trPr>
          <w:trHeight w:val="610"/>
        </w:trPr>
        <w:tc>
          <w:tcPr>
            <w:tcW w:w="3060" w:type="dxa"/>
            <w:tcBorders>
              <w:top w:val="single" w:sz="8" w:space="0" w:color="auto"/>
              <w:left w:val="single" w:sz="8" w:space="0" w:color="auto"/>
              <w:bottom w:val="single" w:sz="4" w:space="0" w:color="auto"/>
              <w:right w:val="single" w:sz="4" w:space="0" w:color="auto"/>
            </w:tcBorders>
            <w:shd w:val="clear" w:color="auto" w:fill="auto"/>
            <w:vAlign w:val="center"/>
          </w:tcPr>
          <w:p w:rsidR="00D16877" w:rsidRPr="00373DBF" w:rsidRDefault="00D16877" w:rsidP="00D16877">
            <w:pPr>
              <w:rPr>
                <w:b/>
                <w:bCs/>
                <w:sz w:val="16"/>
                <w:szCs w:val="16"/>
              </w:rPr>
            </w:pPr>
            <w:r w:rsidRPr="00373DBF">
              <w:rPr>
                <w:b/>
                <w:bCs/>
                <w:sz w:val="16"/>
                <w:szCs w:val="16"/>
              </w:rPr>
              <w:t xml:space="preserve"> Hourly Wages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Cs/>
                <w:color w:val="000000"/>
                <w:sz w:val="16"/>
                <w:szCs w:val="16"/>
              </w:rPr>
            </w:pPr>
            <w:r w:rsidRPr="00373DBF">
              <w:rPr>
                <w:bCs/>
                <w:color w:val="000000"/>
                <w:sz w:val="16"/>
                <w:szCs w:val="16"/>
              </w:rPr>
              <w:t xml:space="preserve">$55.00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Cs/>
                <w:color w:val="000000"/>
                <w:sz w:val="16"/>
                <w:szCs w:val="16"/>
              </w:rPr>
            </w:pPr>
            <w:r w:rsidRPr="00373DBF">
              <w:rPr>
                <w:bCs/>
                <w:color w:val="000000"/>
                <w:sz w:val="16"/>
                <w:szCs w:val="16"/>
              </w:rPr>
              <w:t xml:space="preserve">$55.00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Cs/>
                <w:color w:val="000000"/>
                <w:sz w:val="16"/>
                <w:szCs w:val="16"/>
              </w:rPr>
            </w:pPr>
            <w:r w:rsidRPr="00373DBF">
              <w:rPr>
                <w:bCs/>
                <w:color w:val="000000"/>
                <w:sz w:val="16"/>
                <w:szCs w:val="16"/>
              </w:rPr>
              <w:t xml:space="preserve">$55.00 </w:t>
            </w:r>
          </w:p>
        </w:tc>
      </w:tr>
      <w:tr w:rsidR="00D16877" w:rsidRPr="00D16877" w:rsidTr="00D94FFB">
        <w:trPr>
          <w:trHeight w:val="610"/>
        </w:trPr>
        <w:tc>
          <w:tcPr>
            <w:tcW w:w="3060" w:type="dxa"/>
            <w:tcBorders>
              <w:top w:val="single" w:sz="8" w:space="0" w:color="auto"/>
              <w:left w:val="single" w:sz="8" w:space="0" w:color="auto"/>
              <w:bottom w:val="single" w:sz="4" w:space="0" w:color="auto"/>
              <w:right w:val="single" w:sz="4" w:space="0" w:color="auto"/>
            </w:tcBorders>
            <w:shd w:val="clear" w:color="auto" w:fill="auto"/>
            <w:vAlign w:val="center"/>
          </w:tcPr>
          <w:p w:rsidR="00D16877" w:rsidRPr="00373DBF" w:rsidRDefault="00D16877" w:rsidP="00D16877">
            <w:pPr>
              <w:rPr>
                <w:b/>
                <w:bCs/>
                <w:sz w:val="16"/>
                <w:szCs w:val="16"/>
              </w:rPr>
            </w:pPr>
            <w:r w:rsidRPr="00373DBF">
              <w:rPr>
                <w:b/>
                <w:bCs/>
                <w:sz w:val="16"/>
                <w:szCs w:val="16"/>
              </w:rPr>
              <w:t>Total Wage burden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
                <w:bCs/>
                <w:color w:val="000000"/>
                <w:sz w:val="16"/>
                <w:szCs w:val="16"/>
              </w:rPr>
            </w:pPr>
            <w:r w:rsidRPr="00373DBF">
              <w:rPr>
                <w:b/>
                <w:bCs/>
                <w:color w:val="000000"/>
                <w:sz w:val="16"/>
                <w:szCs w:val="16"/>
              </w:rPr>
              <w:t xml:space="preserve">$785,400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
                <w:bCs/>
                <w:color w:val="000000"/>
                <w:sz w:val="16"/>
                <w:szCs w:val="16"/>
              </w:rPr>
            </w:pPr>
            <w:r w:rsidRPr="00373DBF">
              <w:rPr>
                <w:b/>
                <w:bCs/>
                <w:color w:val="000000"/>
                <w:sz w:val="16"/>
                <w:szCs w:val="16"/>
              </w:rPr>
              <w:t xml:space="preserve">$785,400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16877" w:rsidRPr="00373DBF" w:rsidRDefault="00D16877" w:rsidP="00D16877">
            <w:pPr>
              <w:rPr>
                <w:b/>
                <w:bCs/>
                <w:color w:val="000000"/>
                <w:sz w:val="16"/>
                <w:szCs w:val="16"/>
              </w:rPr>
            </w:pPr>
            <w:r w:rsidRPr="00373DBF">
              <w:rPr>
                <w:b/>
                <w:bCs/>
                <w:color w:val="000000"/>
                <w:sz w:val="16"/>
                <w:szCs w:val="16"/>
              </w:rPr>
              <w:t xml:space="preserve">$1,570,800 </w:t>
            </w:r>
          </w:p>
        </w:tc>
      </w:tr>
    </w:tbl>
    <w:p w:rsidR="00D7405C" w:rsidRDefault="00D7405C" w:rsidP="002475DE">
      <w:pPr>
        <w:pStyle w:val="Heading1"/>
        <w:jc w:val="left"/>
      </w:pPr>
    </w:p>
    <w:p w:rsidR="00EA2E7B" w:rsidRDefault="00EA2E7B" w:rsidP="002475DE">
      <w:pPr>
        <w:rPr>
          <w:b/>
        </w:rPr>
      </w:pPr>
      <w:r>
        <w:br w:type="page"/>
      </w:r>
    </w:p>
    <w:p w:rsidR="00D7405C" w:rsidRDefault="00D7405C" w:rsidP="002475DE">
      <w:pPr>
        <w:pStyle w:val="Heading1"/>
        <w:jc w:val="left"/>
      </w:pPr>
    </w:p>
    <w:p w:rsidR="003104B4" w:rsidRDefault="003104B4" w:rsidP="002475DE">
      <w:pPr>
        <w:pStyle w:val="Heading1"/>
      </w:pPr>
      <w:r>
        <w:t>Table 3</w:t>
      </w:r>
    </w:p>
    <w:p w:rsidR="003104B4" w:rsidRDefault="003104B4" w:rsidP="002475DE">
      <w:pPr>
        <w:jc w:val="center"/>
        <w:rPr>
          <w:b/>
        </w:rPr>
      </w:pPr>
      <w:r>
        <w:rPr>
          <w:b/>
        </w:rPr>
        <w:t>Summary of Burden Hours Comparison CY2010 to CY2011</w:t>
      </w:r>
    </w:p>
    <w:p w:rsidR="003104B4" w:rsidRDefault="003104B4" w:rsidP="002475DE">
      <w:pPr>
        <w:ind w:left="-630"/>
        <w:rPr>
          <w:b/>
          <w:sz w:val="18"/>
          <w:szCs w:val="18"/>
        </w:rPr>
      </w:pPr>
    </w:p>
    <w:p w:rsidR="003104B4" w:rsidRDefault="003104B4" w:rsidP="002475DE">
      <w:r w:rsidRPr="008F1A22">
        <w:t xml:space="preserve">The overall </w:t>
      </w:r>
      <w:r w:rsidR="00D16877">
        <w:t xml:space="preserve">annual </w:t>
      </w:r>
      <w:r w:rsidRPr="008F1A22">
        <w:t xml:space="preserve">burden </w:t>
      </w:r>
      <w:r w:rsidR="00451E7A" w:rsidRPr="008F1A22">
        <w:t>hour</w:t>
      </w:r>
      <w:r w:rsidR="00451E7A">
        <w:t>s</w:t>
      </w:r>
      <w:r w:rsidR="00451E7A" w:rsidRPr="008F1A22">
        <w:t xml:space="preserve"> </w:t>
      </w:r>
      <w:r w:rsidR="00451E7A">
        <w:t xml:space="preserve">has </w:t>
      </w:r>
      <w:r w:rsidR="00D16877">
        <w:t>increased</w:t>
      </w:r>
      <w:r w:rsidR="00C30450">
        <w:t xml:space="preserve"> by</w:t>
      </w:r>
      <w:r>
        <w:t xml:space="preserve"> </w:t>
      </w:r>
      <w:r w:rsidR="00D16877">
        <w:t>1</w:t>
      </w:r>
      <w:r w:rsidR="00D42F20">
        <w:t>4</w:t>
      </w:r>
      <w:r w:rsidR="00F5268C">
        <w:t>,</w:t>
      </w:r>
      <w:r w:rsidR="00D16877">
        <w:t>7</w:t>
      </w:r>
      <w:r w:rsidR="00D42F20">
        <w:t>70</w:t>
      </w:r>
      <w:r w:rsidRPr="008F1A22">
        <w:t xml:space="preserve"> hours (CY201</w:t>
      </w:r>
      <w:r w:rsidR="00E350CB">
        <w:t>0</w:t>
      </w:r>
      <w:r w:rsidRPr="008F1A22">
        <w:t xml:space="preserve"> </w:t>
      </w:r>
      <w:r w:rsidR="00F5268C">
        <w:t>b</w:t>
      </w:r>
      <w:r w:rsidRPr="008F1A22">
        <w:t>urden hours-CY201</w:t>
      </w:r>
      <w:r w:rsidR="00E350CB">
        <w:t>1</w:t>
      </w:r>
      <w:r w:rsidR="00F5268C">
        <w:t xml:space="preserve"> b</w:t>
      </w:r>
      <w:r w:rsidRPr="008F1A22">
        <w:t>urden hours)</w:t>
      </w:r>
      <w:r w:rsidR="00CD5CE1">
        <w:t xml:space="preserve">.  </w:t>
      </w:r>
      <w:r w:rsidRPr="008F1A22">
        <w:t>The overall number of</w:t>
      </w:r>
      <w:r>
        <w:t xml:space="preserve"> expected</w:t>
      </w:r>
      <w:r w:rsidRPr="008F1A22">
        <w:t xml:space="preserve"> respondent</w:t>
      </w:r>
      <w:r>
        <w:t>s</w:t>
      </w:r>
      <w:r w:rsidRPr="008F1A22">
        <w:t xml:space="preserve"> </w:t>
      </w:r>
      <w:r>
        <w:t xml:space="preserve">has </w:t>
      </w:r>
      <w:r w:rsidR="00D7405C">
        <w:t>increase</w:t>
      </w:r>
      <w:r w:rsidR="00C30450">
        <w:t>d</w:t>
      </w:r>
      <w:r w:rsidR="00D7405C">
        <w:t xml:space="preserve"> by </w:t>
      </w:r>
      <w:r w:rsidR="00D42F20">
        <w:t>1</w:t>
      </w:r>
      <w:r w:rsidR="00593696">
        <w:t>,</w:t>
      </w:r>
      <w:r w:rsidR="00D42F20">
        <w:t>116.</w:t>
      </w:r>
      <w:r w:rsidRPr="008F1A22">
        <w:t xml:space="preserve">     </w:t>
      </w:r>
    </w:p>
    <w:p w:rsidR="00D16877" w:rsidRPr="008F1A22" w:rsidRDefault="00D16877" w:rsidP="002475DE"/>
    <w:p w:rsidR="00D16877" w:rsidRDefault="00D16877" w:rsidP="002475DE">
      <w:pPr>
        <w:rPr>
          <w: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1377"/>
        <w:gridCol w:w="1137"/>
        <w:gridCol w:w="1045"/>
        <w:gridCol w:w="241"/>
        <w:gridCol w:w="1259"/>
        <w:gridCol w:w="1137"/>
        <w:gridCol w:w="1133"/>
      </w:tblGrid>
      <w:tr w:rsidR="00D16877" w:rsidRPr="0007535F" w:rsidTr="00D16877">
        <w:tc>
          <w:tcPr>
            <w:tcW w:w="647" w:type="dxa"/>
          </w:tcPr>
          <w:p w:rsidR="00D16877" w:rsidRPr="0007535F" w:rsidRDefault="00D16877" w:rsidP="00D16877">
            <w:pPr>
              <w:rPr>
                <w:b/>
                <w:sz w:val="18"/>
                <w:szCs w:val="18"/>
              </w:rPr>
            </w:pPr>
          </w:p>
        </w:tc>
        <w:tc>
          <w:tcPr>
            <w:tcW w:w="1377" w:type="dxa"/>
          </w:tcPr>
          <w:p w:rsidR="00D16877" w:rsidRPr="0007535F" w:rsidRDefault="00D16877" w:rsidP="00D16877">
            <w:pPr>
              <w:rPr>
                <w:b/>
                <w:sz w:val="18"/>
                <w:szCs w:val="18"/>
              </w:rPr>
            </w:pPr>
            <w:r w:rsidRPr="0007535F">
              <w:rPr>
                <w:b/>
                <w:sz w:val="18"/>
                <w:szCs w:val="18"/>
              </w:rPr>
              <w:t>CY201</w:t>
            </w:r>
            <w:r>
              <w:rPr>
                <w:b/>
                <w:sz w:val="18"/>
                <w:szCs w:val="18"/>
              </w:rPr>
              <w:t xml:space="preserve">0 </w:t>
            </w:r>
            <w:r w:rsidRPr="0007535F">
              <w:rPr>
                <w:b/>
                <w:sz w:val="18"/>
                <w:szCs w:val="18"/>
              </w:rPr>
              <w:t>Number of Respondents</w:t>
            </w:r>
          </w:p>
        </w:tc>
        <w:tc>
          <w:tcPr>
            <w:tcW w:w="1137" w:type="dxa"/>
          </w:tcPr>
          <w:p w:rsidR="00D16877" w:rsidRPr="0007535F" w:rsidRDefault="00D16877" w:rsidP="00D16877">
            <w:pPr>
              <w:rPr>
                <w:b/>
                <w:sz w:val="18"/>
                <w:szCs w:val="18"/>
              </w:rPr>
            </w:pPr>
            <w:r>
              <w:rPr>
                <w:b/>
                <w:sz w:val="18"/>
                <w:szCs w:val="18"/>
              </w:rPr>
              <w:t xml:space="preserve">2010 </w:t>
            </w:r>
            <w:r w:rsidRPr="0007535F">
              <w:rPr>
                <w:b/>
                <w:sz w:val="18"/>
                <w:szCs w:val="18"/>
              </w:rPr>
              <w:t>(hours)</w:t>
            </w:r>
          </w:p>
          <w:p w:rsidR="00D16877" w:rsidRPr="0007535F" w:rsidRDefault="00D16877" w:rsidP="00D16877">
            <w:pPr>
              <w:rPr>
                <w:b/>
                <w:sz w:val="18"/>
                <w:szCs w:val="18"/>
              </w:rPr>
            </w:pPr>
            <w:r w:rsidRPr="0007535F">
              <w:rPr>
                <w:b/>
                <w:sz w:val="18"/>
                <w:szCs w:val="18"/>
              </w:rPr>
              <w:t>Estimates</w:t>
            </w:r>
          </w:p>
        </w:tc>
        <w:tc>
          <w:tcPr>
            <w:tcW w:w="1045" w:type="dxa"/>
          </w:tcPr>
          <w:p w:rsidR="00D16877" w:rsidRDefault="00D16877" w:rsidP="00D16877">
            <w:pPr>
              <w:rPr>
                <w:b/>
                <w:sz w:val="18"/>
                <w:szCs w:val="18"/>
              </w:rPr>
            </w:pPr>
            <w:r>
              <w:rPr>
                <w:b/>
                <w:sz w:val="18"/>
                <w:szCs w:val="18"/>
              </w:rPr>
              <w:t>CY2010</w:t>
            </w:r>
          </w:p>
          <w:p w:rsidR="00D16877" w:rsidRPr="0007535F" w:rsidRDefault="00D16877" w:rsidP="00D16877">
            <w:pPr>
              <w:rPr>
                <w:b/>
                <w:sz w:val="18"/>
                <w:szCs w:val="18"/>
              </w:rPr>
            </w:pPr>
            <w:r w:rsidRPr="0007535F">
              <w:rPr>
                <w:b/>
                <w:sz w:val="18"/>
                <w:szCs w:val="18"/>
              </w:rPr>
              <w:t>Annual Burden Hours</w:t>
            </w:r>
          </w:p>
        </w:tc>
        <w:tc>
          <w:tcPr>
            <w:tcW w:w="241" w:type="dxa"/>
            <w:shd w:val="clear" w:color="auto" w:fill="0D0D0D"/>
          </w:tcPr>
          <w:p w:rsidR="00D16877" w:rsidRPr="0007535F" w:rsidRDefault="00D16877" w:rsidP="00D16877">
            <w:pPr>
              <w:rPr>
                <w:b/>
                <w:sz w:val="18"/>
                <w:szCs w:val="18"/>
              </w:rPr>
            </w:pPr>
          </w:p>
        </w:tc>
        <w:tc>
          <w:tcPr>
            <w:tcW w:w="1259" w:type="dxa"/>
          </w:tcPr>
          <w:p w:rsidR="00D16877" w:rsidRPr="0007535F" w:rsidRDefault="00D16877" w:rsidP="00D16877">
            <w:pPr>
              <w:rPr>
                <w:b/>
                <w:sz w:val="18"/>
                <w:szCs w:val="18"/>
              </w:rPr>
            </w:pPr>
            <w:r w:rsidRPr="0007535F">
              <w:rPr>
                <w:b/>
                <w:sz w:val="18"/>
                <w:szCs w:val="18"/>
              </w:rPr>
              <w:t>Number of Respondents</w:t>
            </w:r>
          </w:p>
        </w:tc>
        <w:tc>
          <w:tcPr>
            <w:tcW w:w="1137" w:type="dxa"/>
          </w:tcPr>
          <w:p w:rsidR="00D16877" w:rsidRPr="0007535F" w:rsidRDefault="00D16877" w:rsidP="00D16877">
            <w:pPr>
              <w:rPr>
                <w:b/>
                <w:sz w:val="18"/>
                <w:szCs w:val="18"/>
              </w:rPr>
            </w:pPr>
            <w:r w:rsidRPr="0007535F">
              <w:rPr>
                <w:b/>
                <w:sz w:val="18"/>
                <w:szCs w:val="18"/>
              </w:rPr>
              <w:t>201</w:t>
            </w:r>
            <w:r>
              <w:rPr>
                <w:b/>
                <w:sz w:val="18"/>
                <w:szCs w:val="18"/>
              </w:rPr>
              <w:t>1</w:t>
            </w:r>
            <w:r w:rsidRPr="0007535F">
              <w:rPr>
                <w:b/>
                <w:sz w:val="18"/>
                <w:szCs w:val="18"/>
              </w:rPr>
              <w:t>(hours)</w:t>
            </w:r>
          </w:p>
          <w:p w:rsidR="00D16877" w:rsidRPr="0007535F" w:rsidRDefault="00D16877" w:rsidP="00D16877">
            <w:pPr>
              <w:rPr>
                <w:b/>
                <w:sz w:val="18"/>
                <w:szCs w:val="18"/>
              </w:rPr>
            </w:pPr>
            <w:r w:rsidRPr="0007535F">
              <w:rPr>
                <w:b/>
                <w:sz w:val="18"/>
                <w:szCs w:val="18"/>
              </w:rPr>
              <w:t>Estimates</w:t>
            </w:r>
          </w:p>
        </w:tc>
        <w:tc>
          <w:tcPr>
            <w:tcW w:w="1133" w:type="dxa"/>
          </w:tcPr>
          <w:p w:rsidR="00D16877" w:rsidRPr="0007535F" w:rsidRDefault="00D16877" w:rsidP="00D16877">
            <w:pPr>
              <w:rPr>
                <w:b/>
                <w:sz w:val="18"/>
                <w:szCs w:val="18"/>
              </w:rPr>
            </w:pPr>
            <w:r w:rsidRPr="0007535F">
              <w:rPr>
                <w:b/>
                <w:sz w:val="18"/>
                <w:szCs w:val="18"/>
              </w:rPr>
              <w:t xml:space="preserve"> CY201</w:t>
            </w:r>
            <w:r>
              <w:rPr>
                <w:b/>
                <w:sz w:val="18"/>
                <w:szCs w:val="18"/>
              </w:rPr>
              <w:t xml:space="preserve">1 </w:t>
            </w:r>
            <w:r w:rsidRPr="0007535F">
              <w:rPr>
                <w:b/>
                <w:sz w:val="18"/>
                <w:szCs w:val="18"/>
              </w:rPr>
              <w:t>Annual</w:t>
            </w:r>
          </w:p>
          <w:p w:rsidR="00D16877" w:rsidRPr="0007535F" w:rsidRDefault="00D16877" w:rsidP="00D16877">
            <w:pPr>
              <w:rPr>
                <w:b/>
                <w:sz w:val="18"/>
                <w:szCs w:val="18"/>
              </w:rPr>
            </w:pPr>
            <w:r w:rsidRPr="0007535F">
              <w:rPr>
                <w:b/>
                <w:sz w:val="18"/>
                <w:szCs w:val="18"/>
              </w:rPr>
              <w:t xml:space="preserve">Burden  </w:t>
            </w:r>
          </w:p>
          <w:p w:rsidR="00D16877" w:rsidRPr="0007535F" w:rsidRDefault="00D16877" w:rsidP="00D16877">
            <w:pPr>
              <w:rPr>
                <w:b/>
                <w:sz w:val="18"/>
                <w:szCs w:val="18"/>
              </w:rPr>
            </w:pPr>
            <w:r w:rsidRPr="0007535F">
              <w:rPr>
                <w:b/>
                <w:sz w:val="18"/>
                <w:szCs w:val="18"/>
              </w:rPr>
              <w:t>Hours</w:t>
            </w:r>
          </w:p>
        </w:tc>
      </w:tr>
      <w:tr w:rsidR="00D16877" w:rsidRPr="0007535F" w:rsidTr="00D16877">
        <w:trPr>
          <w:trHeight w:val="278"/>
        </w:trPr>
        <w:tc>
          <w:tcPr>
            <w:tcW w:w="647" w:type="dxa"/>
          </w:tcPr>
          <w:p w:rsidR="00D16877" w:rsidRPr="0007535F" w:rsidRDefault="00D16877" w:rsidP="00D16877">
            <w:pPr>
              <w:rPr>
                <w:bCs/>
                <w:sz w:val="18"/>
                <w:szCs w:val="18"/>
              </w:rPr>
            </w:pPr>
            <w:r>
              <w:rPr>
                <w:bCs/>
                <w:sz w:val="18"/>
                <w:szCs w:val="18"/>
              </w:rPr>
              <w:t>CCIP</w:t>
            </w:r>
          </w:p>
        </w:tc>
        <w:tc>
          <w:tcPr>
            <w:tcW w:w="1377" w:type="dxa"/>
          </w:tcPr>
          <w:p w:rsidR="00D16877" w:rsidRPr="0007535F" w:rsidRDefault="00D16877" w:rsidP="00D16877">
            <w:pPr>
              <w:rPr>
                <w:bCs/>
                <w:sz w:val="18"/>
                <w:szCs w:val="18"/>
              </w:rPr>
            </w:pPr>
            <w:r>
              <w:rPr>
                <w:bCs/>
                <w:sz w:val="18"/>
                <w:szCs w:val="18"/>
              </w:rPr>
              <w:t>394</w:t>
            </w:r>
          </w:p>
        </w:tc>
        <w:tc>
          <w:tcPr>
            <w:tcW w:w="1137" w:type="dxa"/>
          </w:tcPr>
          <w:p w:rsidR="00D16877" w:rsidRPr="0007535F" w:rsidRDefault="00D16877" w:rsidP="00D16877">
            <w:pPr>
              <w:rPr>
                <w:bCs/>
                <w:sz w:val="18"/>
                <w:szCs w:val="18"/>
              </w:rPr>
            </w:pPr>
            <w:r>
              <w:rPr>
                <w:bCs/>
                <w:sz w:val="18"/>
                <w:szCs w:val="18"/>
              </w:rPr>
              <w:t>17.5</w:t>
            </w:r>
          </w:p>
        </w:tc>
        <w:tc>
          <w:tcPr>
            <w:tcW w:w="1045" w:type="dxa"/>
          </w:tcPr>
          <w:p w:rsidR="00D16877" w:rsidRPr="0007535F" w:rsidRDefault="00D16877" w:rsidP="00D16877">
            <w:pPr>
              <w:rPr>
                <w:bCs/>
                <w:sz w:val="18"/>
                <w:szCs w:val="18"/>
              </w:rPr>
            </w:pPr>
            <w:r>
              <w:rPr>
                <w:bCs/>
                <w:sz w:val="18"/>
                <w:szCs w:val="18"/>
              </w:rPr>
              <w:t>6895</w:t>
            </w:r>
          </w:p>
        </w:tc>
        <w:tc>
          <w:tcPr>
            <w:tcW w:w="241" w:type="dxa"/>
            <w:shd w:val="clear" w:color="auto" w:fill="0D0D0D"/>
          </w:tcPr>
          <w:p w:rsidR="00D16877" w:rsidRPr="0007535F" w:rsidRDefault="00D16877" w:rsidP="00D16877">
            <w:pPr>
              <w:rPr>
                <w:bCs/>
                <w:sz w:val="18"/>
                <w:szCs w:val="18"/>
              </w:rPr>
            </w:pPr>
          </w:p>
        </w:tc>
        <w:tc>
          <w:tcPr>
            <w:tcW w:w="1259" w:type="dxa"/>
          </w:tcPr>
          <w:p w:rsidR="00D16877" w:rsidRPr="0007535F" w:rsidRDefault="00D16877" w:rsidP="00D16877">
            <w:pPr>
              <w:rPr>
                <w:bCs/>
                <w:sz w:val="18"/>
                <w:szCs w:val="18"/>
              </w:rPr>
            </w:pPr>
            <w:r>
              <w:rPr>
                <w:bCs/>
                <w:sz w:val="18"/>
                <w:szCs w:val="18"/>
              </w:rPr>
              <w:t>952</w:t>
            </w:r>
          </w:p>
        </w:tc>
        <w:tc>
          <w:tcPr>
            <w:tcW w:w="1137" w:type="dxa"/>
          </w:tcPr>
          <w:p w:rsidR="00D16877" w:rsidRPr="0007535F" w:rsidRDefault="00D16877" w:rsidP="00D16877">
            <w:pPr>
              <w:rPr>
                <w:bCs/>
                <w:sz w:val="18"/>
                <w:szCs w:val="18"/>
              </w:rPr>
            </w:pPr>
            <w:r>
              <w:rPr>
                <w:bCs/>
                <w:sz w:val="18"/>
                <w:szCs w:val="18"/>
              </w:rPr>
              <w:t>15</w:t>
            </w:r>
          </w:p>
        </w:tc>
        <w:tc>
          <w:tcPr>
            <w:tcW w:w="1133" w:type="dxa"/>
          </w:tcPr>
          <w:p w:rsidR="00D16877" w:rsidRPr="0007535F" w:rsidRDefault="00D16877" w:rsidP="00D16877">
            <w:pPr>
              <w:rPr>
                <w:bCs/>
                <w:sz w:val="18"/>
                <w:szCs w:val="18"/>
              </w:rPr>
            </w:pPr>
            <w:r>
              <w:rPr>
                <w:bCs/>
                <w:sz w:val="18"/>
                <w:szCs w:val="18"/>
              </w:rPr>
              <w:t>14280</w:t>
            </w:r>
          </w:p>
        </w:tc>
      </w:tr>
      <w:tr w:rsidR="00D16877" w:rsidTr="00D16877">
        <w:tc>
          <w:tcPr>
            <w:tcW w:w="647" w:type="dxa"/>
          </w:tcPr>
          <w:p w:rsidR="00D16877" w:rsidRDefault="00D16877" w:rsidP="00D16877">
            <w:pPr>
              <w:rPr>
                <w:bCs/>
                <w:sz w:val="18"/>
                <w:szCs w:val="18"/>
              </w:rPr>
            </w:pPr>
            <w:r>
              <w:rPr>
                <w:bCs/>
                <w:sz w:val="18"/>
                <w:szCs w:val="18"/>
              </w:rPr>
              <w:t xml:space="preserve">Q1P </w:t>
            </w:r>
          </w:p>
        </w:tc>
        <w:tc>
          <w:tcPr>
            <w:tcW w:w="1377" w:type="dxa"/>
          </w:tcPr>
          <w:p w:rsidR="00D16877" w:rsidRDefault="00D16877" w:rsidP="00D16877">
            <w:pPr>
              <w:rPr>
                <w:bCs/>
                <w:sz w:val="18"/>
                <w:szCs w:val="18"/>
              </w:rPr>
            </w:pPr>
            <w:r>
              <w:rPr>
                <w:bCs/>
                <w:sz w:val="18"/>
                <w:szCs w:val="18"/>
              </w:rPr>
              <w:t>394</w:t>
            </w:r>
          </w:p>
        </w:tc>
        <w:tc>
          <w:tcPr>
            <w:tcW w:w="1137" w:type="dxa"/>
          </w:tcPr>
          <w:p w:rsidR="00D16877" w:rsidRDefault="00D16877" w:rsidP="00D16877">
            <w:pPr>
              <w:rPr>
                <w:bCs/>
                <w:sz w:val="18"/>
                <w:szCs w:val="18"/>
              </w:rPr>
            </w:pPr>
            <w:r>
              <w:rPr>
                <w:bCs/>
                <w:sz w:val="18"/>
                <w:szCs w:val="18"/>
              </w:rPr>
              <w:t>17.5</w:t>
            </w:r>
          </w:p>
        </w:tc>
        <w:tc>
          <w:tcPr>
            <w:tcW w:w="1045" w:type="dxa"/>
          </w:tcPr>
          <w:p w:rsidR="00D16877" w:rsidRDefault="00D16877" w:rsidP="00D16877">
            <w:pPr>
              <w:rPr>
                <w:bCs/>
                <w:sz w:val="18"/>
                <w:szCs w:val="18"/>
              </w:rPr>
            </w:pPr>
            <w:r>
              <w:rPr>
                <w:bCs/>
                <w:sz w:val="18"/>
                <w:szCs w:val="18"/>
              </w:rPr>
              <w:t>6895</w:t>
            </w:r>
          </w:p>
        </w:tc>
        <w:tc>
          <w:tcPr>
            <w:tcW w:w="241" w:type="dxa"/>
            <w:shd w:val="clear" w:color="auto" w:fill="0D0D0D"/>
          </w:tcPr>
          <w:p w:rsidR="00D16877" w:rsidRPr="0007535F" w:rsidRDefault="00D16877" w:rsidP="00D16877">
            <w:pPr>
              <w:rPr>
                <w:bCs/>
                <w:sz w:val="18"/>
                <w:szCs w:val="18"/>
              </w:rPr>
            </w:pPr>
          </w:p>
        </w:tc>
        <w:tc>
          <w:tcPr>
            <w:tcW w:w="1259" w:type="dxa"/>
          </w:tcPr>
          <w:p w:rsidR="00D16877" w:rsidRDefault="00D16877" w:rsidP="00D16877">
            <w:pPr>
              <w:rPr>
                <w:bCs/>
                <w:sz w:val="18"/>
                <w:szCs w:val="18"/>
              </w:rPr>
            </w:pPr>
            <w:r>
              <w:rPr>
                <w:bCs/>
                <w:sz w:val="18"/>
                <w:szCs w:val="18"/>
              </w:rPr>
              <w:t>952</w:t>
            </w:r>
          </w:p>
        </w:tc>
        <w:tc>
          <w:tcPr>
            <w:tcW w:w="1137" w:type="dxa"/>
          </w:tcPr>
          <w:p w:rsidR="00D16877" w:rsidRDefault="00D16877" w:rsidP="00D16877">
            <w:pPr>
              <w:rPr>
                <w:bCs/>
                <w:sz w:val="18"/>
                <w:szCs w:val="18"/>
              </w:rPr>
            </w:pPr>
            <w:r>
              <w:rPr>
                <w:bCs/>
                <w:sz w:val="18"/>
                <w:szCs w:val="18"/>
              </w:rPr>
              <w:t>15</w:t>
            </w:r>
          </w:p>
        </w:tc>
        <w:tc>
          <w:tcPr>
            <w:tcW w:w="1133" w:type="dxa"/>
          </w:tcPr>
          <w:p w:rsidR="00D16877" w:rsidRDefault="00D16877" w:rsidP="00D16877">
            <w:pPr>
              <w:rPr>
                <w:bCs/>
                <w:sz w:val="18"/>
                <w:szCs w:val="18"/>
              </w:rPr>
            </w:pPr>
            <w:r>
              <w:rPr>
                <w:bCs/>
                <w:sz w:val="18"/>
                <w:szCs w:val="18"/>
              </w:rPr>
              <w:t>14280</w:t>
            </w:r>
          </w:p>
        </w:tc>
      </w:tr>
      <w:tr w:rsidR="00D16877" w:rsidRPr="0007535F" w:rsidTr="00D16877">
        <w:tc>
          <w:tcPr>
            <w:tcW w:w="647" w:type="dxa"/>
          </w:tcPr>
          <w:p w:rsidR="00D16877" w:rsidRDefault="00D16877" w:rsidP="00D16877">
            <w:pPr>
              <w:rPr>
                <w:b/>
                <w:bCs/>
                <w:sz w:val="18"/>
                <w:szCs w:val="18"/>
              </w:rPr>
            </w:pPr>
            <w:r>
              <w:rPr>
                <w:b/>
                <w:bCs/>
                <w:sz w:val="18"/>
                <w:szCs w:val="18"/>
              </w:rPr>
              <w:t>Total</w:t>
            </w:r>
          </w:p>
        </w:tc>
        <w:tc>
          <w:tcPr>
            <w:tcW w:w="1377" w:type="dxa"/>
          </w:tcPr>
          <w:p w:rsidR="00D16877" w:rsidRPr="0007535F" w:rsidRDefault="00D16877" w:rsidP="00D16877">
            <w:pPr>
              <w:rPr>
                <w:b/>
                <w:bCs/>
                <w:sz w:val="18"/>
                <w:szCs w:val="18"/>
              </w:rPr>
            </w:pPr>
            <w:r>
              <w:rPr>
                <w:b/>
                <w:bCs/>
                <w:sz w:val="18"/>
                <w:szCs w:val="18"/>
              </w:rPr>
              <w:t>788</w:t>
            </w:r>
          </w:p>
        </w:tc>
        <w:tc>
          <w:tcPr>
            <w:tcW w:w="1137" w:type="dxa"/>
          </w:tcPr>
          <w:p w:rsidR="00D16877" w:rsidRPr="0007535F" w:rsidRDefault="00D16877" w:rsidP="00D16877">
            <w:pPr>
              <w:rPr>
                <w:b/>
                <w:bCs/>
                <w:sz w:val="18"/>
                <w:szCs w:val="18"/>
              </w:rPr>
            </w:pPr>
          </w:p>
        </w:tc>
        <w:tc>
          <w:tcPr>
            <w:tcW w:w="1045" w:type="dxa"/>
          </w:tcPr>
          <w:p w:rsidR="00D16877" w:rsidRPr="0007535F" w:rsidRDefault="00D16877" w:rsidP="00D16877">
            <w:pPr>
              <w:rPr>
                <w:b/>
                <w:bCs/>
                <w:sz w:val="18"/>
                <w:szCs w:val="18"/>
              </w:rPr>
            </w:pPr>
            <w:r>
              <w:rPr>
                <w:b/>
                <w:bCs/>
                <w:sz w:val="18"/>
                <w:szCs w:val="18"/>
              </w:rPr>
              <w:t>13790</w:t>
            </w:r>
          </w:p>
        </w:tc>
        <w:tc>
          <w:tcPr>
            <w:tcW w:w="241" w:type="dxa"/>
            <w:shd w:val="clear" w:color="auto" w:fill="0D0D0D"/>
          </w:tcPr>
          <w:p w:rsidR="00D16877" w:rsidRPr="0007535F" w:rsidRDefault="00D16877" w:rsidP="00D16877">
            <w:pPr>
              <w:rPr>
                <w:b/>
                <w:bCs/>
                <w:sz w:val="18"/>
                <w:szCs w:val="18"/>
              </w:rPr>
            </w:pPr>
          </w:p>
        </w:tc>
        <w:tc>
          <w:tcPr>
            <w:tcW w:w="1259" w:type="dxa"/>
          </w:tcPr>
          <w:p w:rsidR="00D16877" w:rsidRPr="0007535F" w:rsidRDefault="00D16877" w:rsidP="00D16877">
            <w:pPr>
              <w:rPr>
                <w:b/>
                <w:bCs/>
                <w:sz w:val="18"/>
                <w:szCs w:val="18"/>
              </w:rPr>
            </w:pPr>
            <w:r>
              <w:rPr>
                <w:b/>
                <w:bCs/>
                <w:sz w:val="18"/>
                <w:szCs w:val="18"/>
              </w:rPr>
              <w:t>1904</w:t>
            </w:r>
          </w:p>
        </w:tc>
        <w:tc>
          <w:tcPr>
            <w:tcW w:w="1137" w:type="dxa"/>
          </w:tcPr>
          <w:p w:rsidR="00D16877" w:rsidRPr="0007535F" w:rsidRDefault="00D16877" w:rsidP="00D16877">
            <w:pPr>
              <w:rPr>
                <w:b/>
                <w:bCs/>
                <w:sz w:val="18"/>
                <w:szCs w:val="18"/>
              </w:rPr>
            </w:pPr>
          </w:p>
        </w:tc>
        <w:tc>
          <w:tcPr>
            <w:tcW w:w="1133" w:type="dxa"/>
          </w:tcPr>
          <w:p w:rsidR="00D16877" w:rsidRPr="0007535F" w:rsidRDefault="00D16877" w:rsidP="00D16877">
            <w:pPr>
              <w:rPr>
                <w:b/>
                <w:bCs/>
                <w:sz w:val="18"/>
                <w:szCs w:val="18"/>
              </w:rPr>
            </w:pPr>
            <w:r>
              <w:rPr>
                <w:b/>
                <w:bCs/>
                <w:sz w:val="18"/>
                <w:szCs w:val="18"/>
              </w:rPr>
              <w:t>28560</w:t>
            </w:r>
          </w:p>
        </w:tc>
      </w:tr>
    </w:tbl>
    <w:p w:rsidR="00D16877" w:rsidRDefault="00D16877" w:rsidP="002475DE">
      <w:pPr>
        <w:rPr>
          <w:b/>
        </w:rPr>
      </w:pPr>
    </w:p>
    <w:p w:rsidR="00C027FF" w:rsidRDefault="00C027FF" w:rsidP="002475DE"/>
    <w:p w:rsidR="00A8334F" w:rsidRDefault="00A8334F" w:rsidP="002475DE">
      <w:pPr>
        <w:rPr>
          <w:i/>
          <w:u w:val="single"/>
        </w:rPr>
      </w:pPr>
      <w:r>
        <w:rPr>
          <w:i/>
          <w:u w:val="single"/>
        </w:rPr>
        <w:t>Estimate of total annual cost burden to respondents from collection of information – (a) total capital and start-up cost; (b) total operation and maintenance</w:t>
      </w:r>
    </w:p>
    <w:p w:rsidR="00A8334F" w:rsidRDefault="00A8334F" w:rsidP="002475DE">
      <w:pPr>
        <w:rPr>
          <w:i/>
          <w:u w:val="single"/>
        </w:rPr>
      </w:pPr>
    </w:p>
    <w:p w:rsidR="00A8334F" w:rsidRDefault="00A8334F" w:rsidP="002475DE">
      <w:r>
        <w:t>Not applicable.  The entities that apply are ongoing health organizations that voluntarily elect to pursue a CMS M</w:t>
      </w:r>
      <w:r w:rsidR="00593696">
        <w:t>edicare Advantage</w:t>
      </w:r>
      <w:r>
        <w:t xml:space="preserve"> contract to offer health coverage to beneficiaries.</w:t>
      </w:r>
    </w:p>
    <w:p w:rsidR="009366A1" w:rsidRPr="003B7301" w:rsidRDefault="009366A1" w:rsidP="002475DE"/>
    <w:p w:rsidR="00B37FA0" w:rsidRDefault="00B37FA0" w:rsidP="002475DE">
      <w:r>
        <w:t>13.</w:t>
      </w:r>
      <w:r>
        <w:tab/>
      </w:r>
      <w:r>
        <w:rPr>
          <w:u w:val="single"/>
        </w:rPr>
        <w:t>Capital Costs</w:t>
      </w:r>
    </w:p>
    <w:p w:rsidR="00B37FA0" w:rsidRDefault="00B37FA0" w:rsidP="002475DE"/>
    <w:p w:rsidR="00B37FA0" w:rsidRDefault="00D7405C" w:rsidP="002475DE">
      <w:r>
        <w:t>We do not anticipate additional capital costs.</w:t>
      </w:r>
      <w:r w:rsidR="0081308B">
        <w:t xml:space="preserve">  </w:t>
      </w:r>
      <w:r>
        <w:t xml:space="preserve">CMS requirements do not require the acquisition of new systems or the development of new technology to complete these reports.  </w:t>
      </w:r>
    </w:p>
    <w:p w:rsidR="00B37FA0" w:rsidRDefault="00B37FA0" w:rsidP="002475DE"/>
    <w:p w:rsidR="00B37FA0" w:rsidRDefault="00B37FA0" w:rsidP="002475DE">
      <w:pPr>
        <w:rPr>
          <w:u w:val="single"/>
        </w:rPr>
      </w:pPr>
      <w:r>
        <w:t>14.</w:t>
      </w:r>
      <w:r>
        <w:tab/>
      </w:r>
      <w:r>
        <w:rPr>
          <w:u w:val="single"/>
        </w:rPr>
        <w:t>Cost to Federal Government</w:t>
      </w:r>
    </w:p>
    <w:p w:rsidR="00CC4853" w:rsidRDefault="00AD7F31" w:rsidP="002475DE">
      <w:r>
        <w:br/>
        <w:t>CMS</w:t>
      </w:r>
      <w:r w:rsidR="00CE5736">
        <w:t xml:space="preserve"> is</w:t>
      </w:r>
      <w:r>
        <w:t xml:space="preserve">sued a </w:t>
      </w:r>
      <w:r w:rsidR="00593696">
        <w:t>R</w:t>
      </w:r>
      <w:r>
        <w:t xml:space="preserve">equest for </w:t>
      </w:r>
      <w:r w:rsidR="00593696">
        <w:t>P</w:t>
      </w:r>
      <w:r>
        <w:t xml:space="preserve">roposal (RFP) </w:t>
      </w:r>
      <w:r w:rsidR="000E6E55">
        <w:t xml:space="preserve">to </w:t>
      </w:r>
      <w:r>
        <w:t>a contractor t</w:t>
      </w:r>
      <w:r w:rsidR="00CE5736">
        <w:t>o</w:t>
      </w:r>
      <w:r w:rsidR="000E6E55">
        <w:t xml:space="preserve"> </w:t>
      </w:r>
      <w:r w:rsidR="00CE5736">
        <w:t>review</w:t>
      </w:r>
      <w:r>
        <w:t>, scor</w:t>
      </w:r>
      <w:r w:rsidR="00CE5736">
        <w:t>e</w:t>
      </w:r>
      <w:r w:rsidR="00593696">
        <w:t>,</w:t>
      </w:r>
      <w:r>
        <w:t xml:space="preserve"> and </w:t>
      </w:r>
      <w:r w:rsidRPr="002A5A25">
        <w:t>analyz</w:t>
      </w:r>
      <w:r w:rsidR="00CE5736">
        <w:t>e the</w:t>
      </w:r>
      <w:r w:rsidRPr="002A5A25">
        <w:t xml:space="preserve"> </w:t>
      </w:r>
      <w:r w:rsidR="00C30450">
        <w:t>CC</w:t>
      </w:r>
      <w:r w:rsidRPr="002A5A25">
        <w:t xml:space="preserve">IP and </w:t>
      </w:r>
      <w:r w:rsidR="00C30450">
        <w:t>Q</w:t>
      </w:r>
      <w:r w:rsidRPr="002A5A25">
        <w:t xml:space="preserve">IP submissions/data. </w:t>
      </w:r>
      <w:r w:rsidR="00CC4853">
        <w:t xml:space="preserve">The estimated cost for review and evaluation of the MAO’s </w:t>
      </w:r>
      <w:r w:rsidR="00C30450">
        <w:t>CC</w:t>
      </w:r>
      <w:r w:rsidR="00CC4853">
        <w:t xml:space="preserve">IP and </w:t>
      </w:r>
      <w:r w:rsidR="00C30450">
        <w:t>Q</w:t>
      </w:r>
      <w:r w:rsidR="00CC4853">
        <w:t>IP submission is</w:t>
      </w:r>
      <w:r w:rsidR="000E6E55">
        <w:t xml:space="preserve"> $1,675,520. </w:t>
      </w:r>
      <w:r w:rsidR="00CC4853">
        <w:t xml:space="preserve">This estimated cost is based on the budgeted amount per review and estimate wages of key reviewers and support staff. </w:t>
      </w:r>
    </w:p>
    <w:p w:rsidR="00EA2E7B" w:rsidRDefault="00EA2E7B" w:rsidP="002475DE">
      <w:pPr>
        <w:rPr>
          <w:i/>
          <w:u w:val="single"/>
        </w:rPr>
      </w:pPr>
    </w:p>
    <w:p w:rsidR="00CC4853" w:rsidRDefault="00CC4853" w:rsidP="002475DE">
      <w:pPr>
        <w:rPr>
          <w:i/>
          <w:u w:val="single"/>
        </w:rPr>
      </w:pPr>
      <w:r>
        <w:rPr>
          <w:i/>
          <w:u w:val="single"/>
        </w:rPr>
        <w:t xml:space="preserve">Annualized </w:t>
      </w:r>
      <w:r w:rsidR="00C30450">
        <w:rPr>
          <w:i/>
          <w:u w:val="single"/>
        </w:rPr>
        <w:t>C</w:t>
      </w:r>
      <w:r>
        <w:rPr>
          <w:i/>
          <w:u w:val="single"/>
        </w:rPr>
        <w:t>ost to Federal Government</w:t>
      </w:r>
    </w:p>
    <w:p w:rsidR="00CC4853" w:rsidRDefault="00CC4853" w:rsidP="002475D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816"/>
        <w:gridCol w:w="2952"/>
      </w:tblGrid>
      <w:tr w:rsidR="00CA7404" w:rsidTr="0026537E">
        <w:tc>
          <w:tcPr>
            <w:tcW w:w="1980" w:type="dxa"/>
          </w:tcPr>
          <w:p w:rsidR="00CA7404" w:rsidRDefault="00CA7404" w:rsidP="002475DE">
            <w:r>
              <w:t>Contractor Reviewers</w:t>
            </w:r>
          </w:p>
        </w:tc>
        <w:tc>
          <w:tcPr>
            <w:tcW w:w="3816" w:type="dxa"/>
          </w:tcPr>
          <w:p w:rsidR="00CA7404" w:rsidRDefault="007505BA" w:rsidP="002475DE">
            <w:r>
              <w:t>6</w:t>
            </w:r>
            <w:r w:rsidR="002B0D39">
              <w:t xml:space="preserve"> </w:t>
            </w:r>
            <w:r w:rsidR="00B25E6B">
              <w:t>hours x $</w:t>
            </w:r>
            <w:r w:rsidR="00812517">
              <w:t>55</w:t>
            </w:r>
            <w:r w:rsidR="00B25E6B">
              <w:t>.00 x 1904 report</w:t>
            </w:r>
            <w:r w:rsidR="0081308B">
              <w:t>s</w:t>
            </w:r>
          </w:p>
        </w:tc>
        <w:tc>
          <w:tcPr>
            <w:tcW w:w="2952" w:type="dxa"/>
          </w:tcPr>
          <w:p w:rsidR="00CA7404" w:rsidRDefault="00B25E6B" w:rsidP="002475DE">
            <w:r>
              <w:t>$</w:t>
            </w:r>
            <w:r w:rsidR="00812517">
              <w:t>628</w:t>
            </w:r>
            <w:r w:rsidR="007505BA">
              <w:t>,</w:t>
            </w:r>
            <w:r w:rsidR="00812517">
              <w:t>320</w:t>
            </w:r>
          </w:p>
        </w:tc>
      </w:tr>
      <w:tr w:rsidR="00CC4853" w:rsidTr="0026537E">
        <w:tc>
          <w:tcPr>
            <w:tcW w:w="1980" w:type="dxa"/>
          </w:tcPr>
          <w:p w:rsidR="00CC4853" w:rsidRDefault="00CE5736" w:rsidP="002475DE">
            <w:r>
              <w:t xml:space="preserve">CMS </w:t>
            </w:r>
            <w:r w:rsidR="00CC4853">
              <w:t>S</w:t>
            </w:r>
            <w:r>
              <w:t>ubject Matter Expert</w:t>
            </w:r>
            <w:r w:rsidR="00C30450">
              <w:t xml:space="preserve"> </w:t>
            </w:r>
            <w:r>
              <w:t>(SME)</w:t>
            </w:r>
          </w:p>
        </w:tc>
        <w:tc>
          <w:tcPr>
            <w:tcW w:w="3816" w:type="dxa"/>
          </w:tcPr>
          <w:p w:rsidR="00CC4853" w:rsidRDefault="00CC4853" w:rsidP="002475DE">
            <w:r>
              <w:t>4 hours x $5</w:t>
            </w:r>
            <w:r w:rsidR="00CE5736">
              <w:t>5</w:t>
            </w:r>
            <w:r>
              <w:t xml:space="preserve">.00/hr x </w:t>
            </w:r>
            <w:r w:rsidR="00CE5736">
              <w:t>1904 report</w:t>
            </w:r>
            <w:r w:rsidR="0081308B">
              <w:t>s</w:t>
            </w:r>
          </w:p>
        </w:tc>
        <w:tc>
          <w:tcPr>
            <w:tcW w:w="2952" w:type="dxa"/>
          </w:tcPr>
          <w:p w:rsidR="00CC4853" w:rsidRDefault="00B25E6B" w:rsidP="002475DE">
            <w:r>
              <w:t>$418,880</w:t>
            </w:r>
          </w:p>
        </w:tc>
      </w:tr>
      <w:tr w:rsidR="00CC4853" w:rsidTr="0026537E">
        <w:tc>
          <w:tcPr>
            <w:tcW w:w="1980" w:type="dxa"/>
          </w:tcPr>
          <w:p w:rsidR="00CC4853" w:rsidRDefault="00CE5736" w:rsidP="002475DE">
            <w:r>
              <w:t xml:space="preserve">CMS Regional Office </w:t>
            </w:r>
            <w:r w:rsidR="00CC4853">
              <w:t>Acct. Manager</w:t>
            </w:r>
          </w:p>
        </w:tc>
        <w:tc>
          <w:tcPr>
            <w:tcW w:w="3816" w:type="dxa"/>
          </w:tcPr>
          <w:p w:rsidR="00CC4853" w:rsidRDefault="00CE5736" w:rsidP="002475DE">
            <w:r>
              <w:t>6</w:t>
            </w:r>
            <w:r w:rsidR="00CC4853">
              <w:t xml:space="preserve"> hours x $5</w:t>
            </w:r>
            <w:r>
              <w:t>5</w:t>
            </w:r>
            <w:r w:rsidR="00CC4853">
              <w:t xml:space="preserve">.00/hr x </w:t>
            </w:r>
            <w:r>
              <w:t>1904 reports</w:t>
            </w:r>
            <w:r w:rsidR="00CC4853">
              <w:t xml:space="preserve"> </w:t>
            </w:r>
          </w:p>
        </w:tc>
        <w:tc>
          <w:tcPr>
            <w:tcW w:w="2952" w:type="dxa"/>
          </w:tcPr>
          <w:p w:rsidR="00CC4853" w:rsidRDefault="002B0D39" w:rsidP="002475DE">
            <w:r>
              <w:t>$</w:t>
            </w:r>
            <w:r w:rsidR="007505BA">
              <w:t>6</w:t>
            </w:r>
            <w:r>
              <w:t>28,320</w:t>
            </w:r>
          </w:p>
        </w:tc>
      </w:tr>
      <w:tr w:rsidR="00CC4853" w:rsidTr="0026537E">
        <w:tc>
          <w:tcPr>
            <w:tcW w:w="1980" w:type="dxa"/>
          </w:tcPr>
          <w:p w:rsidR="00CC4853" w:rsidRDefault="00CC4853" w:rsidP="002475DE">
            <w:r>
              <w:t>Total</w:t>
            </w:r>
          </w:p>
        </w:tc>
        <w:tc>
          <w:tcPr>
            <w:tcW w:w="3816" w:type="dxa"/>
          </w:tcPr>
          <w:p w:rsidR="00CC4853" w:rsidRDefault="00CC4853" w:rsidP="002475DE"/>
        </w:tc>
        <w:tc>
          <w:tcPr>
            <w:tcW w:w="2952" w:type="dxa"/>
          </w:tcPr>
          <w:p w:rsidR="00CC4853" w:rsidRDefault="007505BA" w:rsidP="002475DE">
            <w:r>
              <w:t>$1,</w:t>
            </w:r>
            <w:r w:rsidR="00812517">
              <w:t>675</w:t>
            </w:r>
            <w:r>
              <w:t>,</w:t>
            </w:r>
            <w:r w:rsidR="00812517">
              <w:t>520</w:t>
            </w:r>
          </w:p>
        </w:tc>
      </w:tr>
    </w:tbl>
    <w:p w:rsidR="0026537E" w:rsidRDefault="0026537E" w:rsidP="002475DE"/>
    <w:p w:rsidR="0081308B" w:rsidRDefault="0081308B" w:rsidP="0026537E">
      <w:pPr>
        <w:tabs>
          <w:tab w:val="left" w:pos="-90"/>
        </w:tabs>
        <w:ind w:left="-90"/>
      </w:pPr>
      <w:r>
        <w:t>The estimated approximated cost for per application review is $</w:t>
      </w:r>
      <w:r w:rsidR="00812517">
        <w:t>88</w:t>
      </w:r>
      <w:r>
        <w:t>0 ($1,</w:t>
      </w:r>
      <w:r w:rsidR="000E6E55">
        <w:t>675,520</w:t>
      </w:r>
      <w:r>
        <w:t xml:space="preserve"> divided by 1</w:t>
      </w:r>
      <w:r w:rsidR="00262D36">
        <w:t>,</w:t>
      </w:r>
      <w:r>
        <w:t>904 applications)</w:t>
      </w:r>
    </w:p>
    <w:p w:rsidR="0081308B" w:rsidRDefault="0081308B" w:rsidP="002475DE"/>
    <w:p w:rsidR="00B37FA0" w:rsidRDefault="00B37FA0" w:rsidP="002475DE">
      <w:r>
        <w:t>15.</w:t>
      </w:r>
      <w:r>
        <w:tab/>
      </w:r>
      <w:r>
        <w:rPr>
          <w:u w:val="single"/>
        </w:rPr>
        <w:t>Changes to Burden</w:t>
      </w:r>
    </w:p>
    <w:p w:rsidR="00B37FA0" w:rsidRDefault="00B37FA0" w:rsidP="002475DE"/>
    <w:p w:rsidR="0097491B" w:rsidRPr="00051991" w:rsidRDefault="00E26540" w:rsidP="002475DE">
      <w:r>
        <w:rPr>
          <w:u w:val="single"/>
        </w:rPr>
        <w:t xml:space="preserve">Increase </w:t>
      </w:r>
      <w:r w:rsidR="0097491B" w:rsidRPr="00051991">
        <w:rPr>
          <w:u w:val="single"/>
        </w:rPr>
        <w:t xml:space="preserve">Burden Hours per </w:t>
      </w:r>
      <w:r w:rsidR="00446C90">
        <w:rPr>
          <w:u w:val="single"/>
        </w:rPr>
        <w:t>Reporting Tool</w:t>
      </w:r>
      <w:r w:rsidR="0097491B" w:rsidRPr="00051991">
        <w:t>:</w:t>
      </w:r>
    </w:p>
    <w:p w:rsidR="0097491B" w:rsidRDefault="0097491B" w:rsidP="002475DE">
      <w:pPr>
        <w:rPr>
          <w:sz w:val="23"/>
          <w:szCs w:val="23"/>
        </w:rPr>
      </w:pPr>
    </w:p>
    <w:p w:rsidR="00451E7A" w:rsidRDefault="00446C90" w:rsidP="00446C90">
      <w:r>
        <w:t>Based on feedback received during the 60-day comment period, CMS has increased the burden hours to complete each reporting tool from 5 hours to 15 hours</w:t>
      </w:r>
      <w:r w:rsidR="00E26540">
        <w:t xml:space="preserve">. </w:t>
      </w:r>
      <w:r>
        <w:t xml:space="preserve">Prior to the 60-day comment period for this collection, CMS </w:t>
      </w:r>
      <w:r w:rsidR="00E26540">
        <w:t xml:space="preserve">submitted </w:t>
      </w:r>
      <w:r>
        <w:t xml:space="preserve">an estimate of 5 burden hours per tool.  </w:t>
      </w:r>
    </w:p>
    <w:p w:rsidR="001441CD" w:rsidRDefault="001441CD" w:rsidP="002475DE">
      <w:pPr>
        <w:rPr>
          <w:sz w:val="23"/>
          <w:szCs w:val="23"/>
        </w:rPr>
      </w:pPr>
    </w:p>
    <w:p w:rsidR="0097491B" w:rsidRDefault="00557B3E" w:rsidP="002475DE">
      <w:pPr>
        <w:rPr>
          <w:sz w:val="23"/>
          <w:szCs w:val="23"/>
        </w:rPr>
      </w:pPr>
      <w:r>
        <w:rPr>
          <w:sz w:val="23"/>
          <w:szCs w:val="23"/>
          <w:u w:val="single"/>
        </w:rPr>
        <w:t xml:space="preserve">Increase </w:t>
      </w:r>
      <w:r w:rsidR="0097491B">
        <w:rPr>
          <w:sz w:val="23"/>
          <w:szCs w:val="23"/>
          <w:u w:val="single"/>
        </w:rPr>
        <w:t>Overall</w:t>
      </w:r>
      <w:r w:rsidR="0097491B" w:rsidRPr="003914AE">
        <w:rPr>
          <w:sz w:val="23"/>
          <w:szCs w:val="23"/>
          <w:u w:val="single"/>
        </w:rPr>
        <w:t xml:space="preserve"> Burden of Hour</w:t>
      </w:r>
      <w:r w:rsidR="0097491B">
        <w:rPr>
          <w:sz w:val="23"/>
          <w:szCs w:val="23"/>
          <w:u w:val="single"/>
        </w:rPr>
        <w:t xml:space="preserve"> and Respondent</w:t>
      </w:r>
      <w:r w:rsidR="0097491B" w:rsidRPr="003914AE">
        <w:rPr>
          <w:sz w:val="23"/>
          <w:szCs w:val="23"/>
          <w:u w:val="single"/>
        </w:rPr>
        <w:t>s:</w:t>
      </w:r>
      <w:r w:rsidR="0097491B">
        <w:rPr>
          <w:sz w:val="23"/>
          <w:szCs w:val="23"/>
          <w:u w:val="single"/>
        </w:rPr>
        <w:t xml:space="preserve"> </w:t>
      </w:r>
      <w:r w:rsidR="0097491B">
        <w:rPr>
          <w:sz w:val="23"/>
          <w:szCs w:val="23"/>
        </w:rPr>
        <w:t xml:space="preserve">   </w:t>
      </w:r>
    </w:p>
    <w:p w:rsidR="0097491B" w:rsidRDefault="0097491B" w:rsidP="002475DE"/>
    <w:p w:rsidR="00B37FA0" w:rsidRDefault="00306C73" w:rsidP="002475DE">
      <w:r>
        <w:t xml:space="preserve">The new estimate number of burden hours to complete each tool and </w:t>
      </w:r>
      <w:r w:rsidR="006D20B9">
        <w:t xml:space="preserve">the </w:t>
      </w:r>
      <w:r>
        <w:t xml:space="preserve">increase in the number of expected respondents caused an increased in the overall annual burden (see Table 3 above). </w:t>
      </w:r>
      <w:r w:rsidR="00557B3E">
        <w:t xml:space="preserve">CMS mandates that all </w:t>
      </w:r>
      <w:r w:rsidR="007676DF">
        <w:t xml:space="preserve">contracted </w:t>
      </w:r>
      <w:r w:rsidR="00557B3E">
        <w:t>MAO</w:t>
      </w:r>
      <w:r w:rsidR="007676DF">
        <w:t>s submit a</w:t>
      </w:r>
      <w:r w:rsidR="00593696">
        <w:t>t</w:t>
      </w:r>
      <w:r w:rsidR="007676DF">
        <w:t xml:space="preserve"> least one </w:t>
      </w:r>
      <w:r w:rsidR="0093175E">
        <w:t xml:space="preserve">CCIP </w:t>
      </w:r>
      <w:r w:rsidR="00451E7A">
        <w:t>and</w:t>
      </w:r>
      <w:r w:rsidR="007676DF">
        <w:t xml:space="preserve"> one </w:t>
      </w:r>
      <w:r w:rsidR="0093175E">
        <w:t xml:space="preserve">QIP </w:t>
      </w:r>
      <w:r w:rsidR="007676DF">
        <w:t>per contract.</w:t>
      </w:r>
      <w:r w:rsidR="00557B3E">
        <w:t xml:space="preserve"> </w:t>
      </w:r>
      <w:r w:rsidR="0097491B">
        <w:t xml:space="preserve"> </w:t>
      </w:r>
    </w:p>
    <w:p w:rsidR="00B37FA0" w:rsidRDefault="00B37FA0" w:rsidP="002475DE"/>
    <w:p w:rsidR="00B37FA0" w:rsidRDefault="00B37FA0" w:rsidP="002475DE">
      <w:r>
        <w:t>16.</w:t>
      </w:r>
      <w:r>
        <w:tab/>
      </w:r>
      <w:r>
        <w:rPr>
          <w:u w:val="single"/>
        </w:rPr>
        <w:t>Publication/Tabulation Dates</w:t>
      </w:r>
    </w:p>
    <w:p w:rsidR="008B0324" w:rsidRDefault="008B0324" w:rsidP="002475DE"/>
    <w:p w:rsidR="008E13CC" w:rsidRDefault="008E13CC" w:rsidP="002475DE">
      <w:r>
        <w:t>CMS anticipates that we will publically report the CCIP and QIP findings.  The CCIP and QIP information will be updated following review by the MAO and CMS and will be publicly reported on or before December 31 of each calendar year.</w:t>
      </w:r>
    </w:p>
    <w:p w:rsidR="00A8334F" w:rsidRDefault="00A8334F" w:rsidP="002475DE"/>
    <w:p w:rsidR="00B37FA0" w:rsidRDefault="00B37FA0" w:rsidP="002475DE">
      <w:r>
        <w:t>17.</w:t>
      </w:r>
      <w:r>
        <w:tab/>
      </w:r>
      <w:r>
        <w:rPr>
          <w:u w:val="single"/>
        </w:rPr>
        <w:t>Expiration Date</w:t>
      </w:r>
    </w:p>
    <w:p w:rsidR="00B37FA0" w:rsidRDefault="00B37FA0" w:rsidP="002475DE"/>
    <w:p w:rsidR="00A8334F" w:rsidRPr="00186528" w:rsidRDefault="00A8334F" w:rsidP="002475DE">
      <w:r w:rsidRPr="00186528">
        <w:t>CMS is not requesting an exemption from displaying the expiration date</w:t>
      </w:r>
      <w:r>
        <w:t>.</w:t>
      </w:r>
      <w:r w:rsidR="002475DE">
        <w:t xml:space="preserve"> Requested expiration date: March 31, 2014</w:t>
      </w:r>
      <w:r w:rsidR="00CD5CE1">
        <w:t>.</w:t>
      </w:r>
    </w:p>
    <w:p w:rsidR="00B37FA0" w:rsidRDefault="00A8334F" w:rsidP="002475DE">
      <w:r>
        <w:t xml:space="preserve"> </w:t>
      </w:r>
    </w:p>
    <w:p w:rsidR="00B37FA0" w:rsidRDefault="00B37FA0" w:rsidP="002475DE">
      <w:r>
        <w:t>18.</w:t>
      </w:r>
      <w:r>
        <w:tab/>
      </w:r>
      <w:r>
        <w:rPr>
          <w:u w:val="single"/>
        </w:rPr>
        <w:t>Certification Statement</w:t>
      </w:r>
    </w:p>
    <w:p w:rsidR="00B37FA0" w:rsidRDefault="00B37FA0" w:rsidP="002475DE"/>
    <w:p w:rsidR="00B37FA0" w:rsidRDefault="00A8334F" w:rsidP="002475DE">
      <w:r>
        <w:t>There are no exceptions to the certification statement</w:t>
      </w:r>
      <w:r w:rsidR="00B37FA0">
        <w:t>.</w:t>
      </w:r>
    </w:p>
    <w:p w:rsidR="00B37FA0" w:rsidRDefault="00B37FA0" w:rsidP="002475DE"/>
    <w:p w:rsidR="00B37FA0" w:rsidRDefault="00D15FD0" w:rsidP="002475DE">
      <w:r>
        <w:rPr>
          <w:b/>
          <w:u w:val="single"/>
        </w:rPr>
        <w:t>B</w:t>
      </w:r>
      <w:r w:rsidR="00075C16">
        <w:rPr>
          <w:b/>
          <w:u w:val="single"/>
        </w:rPr>
        <w:t>.</w:t>
      </w:r>
      <w:r w:rsidR="00075C16">
        <w:rPr>
          <w:b/>
          <w:u w:val="single"/>
        </w:rPr>
        <w:tab/>
        <w:t>Collections of Information Employing Statistical Methods</w:t>
      </w:r>
    </w:p>
    <w:p w:rsidR="00075C16" w:rsidRDefault="00075C16" w:rsidP="002475DE"/>
    <w:p w:rsidR="00075C16" w:rsidRPr="00075C16" w:rsidRDefault="00075C16" w:rsidP="002475DE">
      <w:r>
        <w:t>This information collection does not employ any statistical analyses.</w:t>
      </w:r>
    </w:p>
    <w:p w:rsidR="00071A25" w:rsidRDefault="00071A25" w:rsidP="00071A25">
      <w:pPr>
        <w:jc w:val="center"/>
        <w:rPr>
          <w:sz w:val="28"/>
          <w:szCs w:val="28"/>
        </w:rPr>
      </w:pPr>
    </w:p>
    <w:p w:rsidR="00071A25" w:rsidRPr="00071A25" w:rsidRDefault="00071A25" w:rsidP="00071A25">
      <w:pPr>
        <w:jc w:val="center"/>
        <w:rPr>
          <w:sz w:val="28"/>
          <w:szCs w:val="28"/>
        </w:rPr>
      </w:pPr>
    </w:p>
    <w:sectPr w:rsidR="00071A25" w:rsidRPr="00071A25" w:rsidSect="00476FF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C4" w:rsidRDefault="00B27DC4" w:rsidP="00476FF2">
      <w:r>
        <w:separator/>
      </w:r>
    </w:p>
  </w:endnote>
  <w:endnote w:type="continuationSeparator" w:id="0">
    <w:p w:rsidR="00B27DC4" w:rsidRDefault="00B27DC4" w:rsidP="0047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5626"/>
      <w:docPartObj>
        <w:docPartGallery w:val="Page Numbers (Bottom of Page)"/>
        <w:docPartUnique/>
      </w:docPartObj>
    </w:sdtPr>
    <w:sdtEndPr/>
    <w:sdtContent>
      <w:p w:rsidR="006F6765" w:rsidRDefault="003A29E6">
        <w:pPr>
          <w:pStyle w:val="Footer"/>
          <w:jc w:val="center"/>
        </w:pPr>
        <w:r>
          <w:fldChar w:fldCharType="begin"/>
        </w:r>
        <w:r w:rsidR="00671FC7">
          <w:instrText xml:space="preserve"> PAGE   \* MERGEFORMAT </w:instrText>
        </w:r>
        <w:r>
          <w:fldChar w:fldCharType="separate"/>
        </w:r>
        <w:r w:rsidR="00266D32">
          <w:rPr>
            <w:noProof/>
          </w:rPr>
          <w:t>2</w:t>
        </w:r>
        <w:r>
          <w:rPr>
            <w:noProof/>
          </w:rPr>
          <w:fldChar w:fldCharType="end"/>
        </w:r>
      </w:p>
    </w:sdtContent>
  </w:sdt>
  <w:p w:rsidR="006F6765" w:rsidRDefault="006F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C4" w:rsidRDefault="00B27DC4" w:rsidP="00476FF2">
      <w:r>
        <w:separator/>
      </w:r>
    </w:p>
  </w:footnote>
  <w:footnote w:type="continuationSeparator" w:id="0">
    <w:p w:rsidR="00B27DC4" w:rsidRDefault="00B27DC4" w:rsidP="00476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CE7"/>
    <w:multiLevelType w:val="hybridMultilevel"/>
    <w:tmpl w:val="94CAA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192C39"/>
    <w:multiLevelType w:val="hybridMultilevel"/>
    <w:tmpl w:val="C2B63B38"/>
    <w:lvl w:ilvl="0" w:tplc="90D022B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C27F50"/>
    <w:multiLevelType w:val="hybridMultilevel"/>
    <w:tmpl w:val="D810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49758C"/>
    <w:multiLevelType w:val="hybridMultilevel"/>
    <w:tmpl w:val="B448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31621"/>
    <w:multiLevelType w:val="hybridMultilevel"/>
    <w:tmpl w:val="2D6A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8F5A37"/>
    <w:multiLevelType w:val="hybridMultilevel"/>
    <w:tmpl w:val="96F23A2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501B5C81"/>
    <w:multiLevelType w:val="hybridMultilevel"/>
    <w:tmpl w:val="F742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B86A78"/>
    <w:multiLevelType w:val="hybridMultilevel"/>
    <w:tmpl w:val="C7C44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75C80"/>
    <w:rsid w:val="00001108"/>
    <w:rsid w:val="0002762E"/>
    <w:rsid w:val="0004715F"/>
    <w:rsid w:val="00071A25"/>
    <w:rsid w:val="00072360"/>
    <w:rsid w:val="00075C16"/>
    <w:rsid w:val="00080439"/>
    <w:rsid w:val="00083F97"/>
    <w:rsid w:val="00085D94"/>
    <w:rsid w:val="0009080A"/>
    <w:rsid w:val="000B6BCB"/>
    <w:rsid w:val="000C688E"/>
    <w:rsid w:val="000D567F"/>
    <w:rsid w:val="000E6E55"/>
    <w:rsid w:val="00117D17"/>
    <w:rsid w:val="001441CD"/>
    <w:rsid w:val="001470C8"/>
    <w:rsid w:val="0017199F"/>
    <w:rsid w:val="00176948"/>
    <w:rsid w:val="0017763A"/>
    <w:rsid w:val="00184036"/>
    <w:rsid w:val="001B0267"/>
    <w:rsid w:val="001C0480"/>
    <w:rsid w:val="001D78B1"/>
    <w:rsid w:val="00200F33"/>
    <w:rsid w:val="00222D14"/>
    <w:rsid w:val="002450E3"/>
    <w:rsid w:val="002475DE"/>
    <w:rsid w:val="00262D36"/>
    <w:rsid w:val="00263175"/>
    <w:rsid w:val="0026537E"/>
    <w:rsid w:val="00266D32"/>
    <w:rsid w:val="00272F04"/>
    <w:rsid w:val="00286B50"/>
    <w:rsid w:val="002916A9"/>
    <w:rsid w:val="002A1438"/>
    <w:rsid w:val="002A14A4"/>
    <w:rsid w:val="002B0D39"/>
    <w:rsid w:val="002B4C44"/>
    <w:rsid w:val="002C5B70"/>
    <w:rsid w:val="00306C73"/>
    <w:rsid w:val="003104B4"/>
    <w:rsid w:val="00314FAA"/>
    <w:rsid w:val="0034795F"/>
    <w:rsid w:val="0036387A"/>
    <w:rsid w:val="00373DBF"/>
    <w:rsid w:val="003A29E6"/>
    <w:rsid w:val="003B3A77"/>
    <w:rsid w:val="003B7301"/>
    <w:rsid w:val="003F205E"/>
    <w:rsid w:val="00411EEC"/>
    <w:rsid w:val="00421C64"/>
    <w:rsid w:val="00446C90"/>
    <w:rsid w:val="00447463"/>
    <w:rsid w:val="004502E1"/>
    <w:rsid w:val="00451E7A"/>
    <w:rsid w:val="00476FF2"/>
    <w:rsid w:val="0049336C"/>
    <w:rsid w:val="0049341C"/>
    <w:rsid w:val="004A586E"/>
    <w:rsid w:val="004B17E8"/>
    <w:rsid w:val="004C52F5"/>
    <w:rsid w:val="00521BA2"/>
    <w:rsid w:val="00556A21"/>
    <w:rsid w:val="00557B3E"/>
    <w:rsid w:val="00593696"/>
    <w:rsid w:val="005D11F8"/>
    <w:rsid w:val="005D1D1F"/>
    <w:rsid w:val="005F623D"/>
    <w:rsid w:val="00605318"/>
    <w:rsid w:val="00607121"/>
    <w:rsid w:val="00634A9A"/>
    <w:rsid w:val="00635FF6"/>
    <w:rsid w:val="00671FC7"/>
    <w:rsid w:val="00676F00"/>
    <w:rsid w:val="006C3480"/>
    <w:rsid w:val="006D20B9"/>
    <w:rsid w:val="006D5F3A"/>
    <w:rsid w:val="006E399A"/>
    <w:rsid w:val="006F6765"/>
    <w:rsid w:val="00710FC6"/>
    <w:rsid w:val="0071173D"/>
    <w:rsid w:val="007455D4"/>
    <w:rsid w:val="007505BA"/>
    <w:rsid w:val="00761C6D"/>
    <w:rsid w:val="007676DF"/>
    <w:rsid w:val="007759F7"/>
    <w:rsid w:val="00775C80"/>
    <w:rsid w:val="00793450"/>
    <w:rsid w:val="0079621A"/>
    <w:rsid w:val="00796FB9"/>
    <w:rsid w:val="007B5ECF"/>
    <w:rsid w:val="007C62D2"/>
    <w:rsid w:val="007D6437"/>
    <w:rsid w:val="00812517"/>
    <w:rsid w:val="0081308B"/>
    <w:rsid w:val="008156FD"/>
    <w:rsid w:val="0082760C"/>
    <w:rsid w:val="00836AA1"/>
    <w:rsid w:val="008718FD"/>
    <w:rsid w:val="008B0324"/>
    <w:rsid w:val="008E13CC"/>
    <w:rsid w:val="008E7072"/>
    <w:rsid w:val="00907EE0"/>
    <w:rsid w:val="009108D4"/>
    <w:rsid w:val="00920743"/>
    <w:rsid w:val="009308FD"/>
    <w:rsid w:val="0093175E"/>
    <w:rsid w:val="009366A1"/>
    <w:rsid w:val="009560F8"/>
    <w:rsid w:val="00956D42"/>
    <w:rsid w:val="00956F9E"/>
    <w:rsid w:val="00960554"/>
    <w:rsid w:val="00961A0C"/>
    <w:rsid w:val="0097491B"/>
    <w:rsid w:val="00975877"/>
    <w:rsid w:val="00977E5B"/>
    <w:rsid w:val="009802CB"/>
    <w:rsid w:val="009A54C0"/>
    <w:rsid w:val="009A61B5"/>
    <w:rsid w:val="009D59E9"/>
    <w:rsid w:val="00A23865"/>
    <w:rsid w:val="00A53254"/>
    <w:rsid w:val="00A8334F"/>
    <w:rsid w:val="00AA2B1B"/>
    <w:rsid w:val="00AA5058"/>
    <w:rsid w:val="00AD7F31"/>
    <w:rsid w:val="00AF4FBD"/>
    <w:rsid w:val="00B22CD9"/>
    <w:rsid w:val="00B25E6B"/>
    <w:rsid w:val="00B27DC4"/>
    <w:rsid w:val="00B374F1"/>
    <w:rsid w:val="00B37C8C"/>
    <w:rsid w:val="00B37FA0"/>
    <w:rsid w:val="00B60D09"/>
    <w:rsid w:val="00B94DD2"/>
    <w:rsid w:val="00BA2DC7"/>
    <w:rsid w:val="00BC4823"/>
    <w:rsid w:val="00C027FF"/>
    <w:rsid w:val="00C16720"/>
    <w:rsid w:val="00C27C08"/>
    <w:rsid w:val="00C30450"/>
    <w:rsid w:val="00C356DE"/>
    <w:rsid w:val="00C37091"/>
    <w:rsid w:val="00C670F0"/>
    <w:rsid w:val="00C82DAD"/>
    <w:rsid w:val="00CA7404"/>
    <w:rsid w:val="00CB5869"/>
    <w:rsid w:val="00CC380C"/>
    <w:rsid w:val="00CC4853"/>
    <w:rsid w:val="00CD5CE1"/>
    <w:rsid w:val="00CE5736"/>
    <w:rsid w:val="00CF116D"/>
    <w:rsid w:val="00CF4937"/>
    <w:rsid w:val="00CF7903"/>
    <w:rsid w:val="00D15FD0"/>
    <w:rsid w:val="00D16877"/>
    <w:rsid w:val="00D42F20"/>
    <w:rsid w:val="00D514AA"/>
    <w:rsid w:val="00D54A9A"/>
    <w:rsid w:val="00D7405C"/>
    <w:rsid w:val="00D94FFB"/>
    <w:rsid w:val="00D9778D"/>
    <w:rsid w:val="00DC4AA3"/>
    <w:rsid w:val="00DD19F3"/>
    <w:rsid w:val="00DD5BA5"/>
    <w:rsid w:val="00DF41AB"/>
    <w:rsid w:val="00E019B4"/>
    <w:rsid w:val="00E06053"/>
    <w:rsid w:val="00E17F0F"/>
    <w:rsid w:val="00E26540"/>
    <w:rsid w:val="00E350CB"/>
    <w:rsid w:val="00E544A3"/>
    <w:rsid w:val="00E54D86"/>
    <w:rsid w:val="00E72C8A"/>
    <w:rsid w:val="00E83FD6"/>
    <w:rsid w:val="00E94B2C"/>
    <w:rsid w:val="00EA2E7B"/>
    <w:rsid w:val="00EA59B2"/>
    <w:rsid w:val="00EB1E3D"/>
    <w:rsid w:val="00EC51EE"/>
    <w:rsid w:val="00EC6086"/>
    <w:rsid w:val="00EC6511"/>
    <w:rsid w:val="00EE7585"/>
    <w:rsid w:val="00F042A1"/>
    <w:rsid w:val="00F16943"/>
    <w:rsid w:val="00F17144"/>
    <w:rsid w:val="00F2634C"/>
    <w:rsid w:val="00F3221E"/>
    <w:rsid w:val="00F342D6"/>
    <w:rsid w:val="00F5268C"/>
    <w:rsid w:val="00F6546F"/>
    <w:rsid w:val="00FB2F2D"/>
    <w:rsid w:val="00FE0331"/>
    <w:rsid w:val="00FE47B7"/>
    <w:rsid w:val="00FE5E3C"/>
    <w:rsid w:val="00FF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4A4"/>
    <w:rPr>
      <w:sz w:val="24"/>
      <w:szCs w:val="24"/>
    </w:rPr>
  </w:style>
  <w:style w:type="paragraph" w:styleId="Heading1">
    <w:name w:val="heading 1"/>
    <w:basedOn w:val="Normal"/>
    <w:next w:val="Normal"/>
    <w:link w:val="Heading1Char"/>
    <w:qFormat/>
    <w:rsid w:val="003104B4"/>
    <w:pPr>
      <w:keepNext/>
      <w:widowControl w:val="0"/>
      <w:autoSpaceDE w:val="0"/>
      <w:autoSpaceDN w:val="0"/>
      <w:adjustRightInd w:val="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387A"/>
    <w:rPr>
      <w:color w:val="0000FF"/>
      <w:u w:val="single"/>
    </w:rPr>
  </w:style>
  <w:style w:type="paragraph" w:styleId="BalloonText">
    <w:name w:val="Balloon Text"/>
    <w:basedOn w:val="Normal"/>
    <w:semiHidden/>
    <w:rsid w:val="001470C8"/>
    <w:rPr>
      <w:rFonts w:ascii="Tahoma" w:hAnsi="Tahoma" w:cs="Tahoma"/>
      <w:sz w:val="16"/>
      <w:szCs w:val="16"/>
    </w:rPr>
  </w:style>
  <w:style w:type="paragraph" w:styleId="Revision">
    <w:name w:val="Revision"/>
    <w:hidden/>
    <w:uiPriority w:val="99"/>
    <w:semiHidden/>
    <w:rsid w:val="00263175"/>
    <w:rPr>
      <w:sz w:val="24"/>
      <w:szCs w:val="24"/>
    </w:rPr>
  </w:style>
  <w:style w:type="character" w:customStyle="1" w:styleId="Heading1Char">
    <w:name w:val="Heading 1 Char"/>
    <w:basedOn w:val="DefaultParagraphFont"/>
    <w:link w:val="Heading1"/>
    <w:rsid w:val="003104B4"/>
    <w:rPr>
      <w:b/>
      <w:sz w:val="24"/>
      <w:szCs w:val="24"/>
    </w:rPr>
  </w:style>
  <w:style w:type="character" w:styleId="CommentReference">
    <w:name w:val="annotation reference"/>
    <w:basedOn w:val="DefaultParagraphFont"/>
    <w:rsid w:val="00072360"/>
    <w:rPr>
      <w:sz w:val="16"/>
      <w:szCs w:val="16"/>
    </w:rPr>
  </w:style>
  <w:style w:type="paragraph" w:styleId="CommentText">
    <w:name w:val="annotation text"/>
    <w:basedOn w:val="Normal"/>
    <w:link w:val="CommentTextChar"/>
    <w:rsid w:val="00072360"/>
    <w:rPr>
      <w:sz w:val="20"/>
      <w:szCs w:val="20"/>
    </w:rPr>
  </w:style>
  <w:style w:type="character" w:customStyle="1" w:styleId="CommentTextChar">
    <w:name w:val="Comment Text Char"/>
    <w:basedOn w:val="DefaultParagraphFont"/>
    <w:link w:val="CommentText"/>
    <w:rsid w:val="00072360"/>
  </w:style>
  <w:style w:type="paragraph" w:styleId="CommentSubject">
    <w:name w:val="annotation subject"/>
    <w:basedOn w:val="CommentText"/>
    <w:next w:val="CommentText"/>
    <w:link w:val="CommentSubjectChar"/>
    <w:rsid w:val="00072360"/>
    <w:rPr>
      <w:b/>
      <w:bCs/>
    </w:rPr>
  </w:style>
  <w:style w:type="character" w:customStyle="1" w:styleId="CommentSubjectChar">
    <w:name w:val="Comment Subject Char"/>
    <w:basedOn w:val="CommentTextChar"/>
    <w:link w:val="CommentSubject"/>
    <w:rsid w:val="00072360"/>
    <w:rPr>
      <w:b/>
      <w:bCs/>
    </w:rPr>
  </w:style>
  <w:style w:type="paragraph" w:styleId="ListParagraph">
    <w:name w:val="List Paragraph"/>
    <w:basedOn w:val="Normal"/>
    <w:uiPriority w:val="34"/>
    <w:qFormat/>
    <w:rsid w:val="006D20B9"/>
    <w:pPr>
      <w:ind w:left="720"/>
      <w:contextualSpacing/>
    </w:pPr>
  </w:style>
  <w:style w:type="paragraph" w:styleId="Header">
    <w:name w:val="header"/>
    <w:basedOn w:val="Normal"/>
    <w:link w:val="HeaderChar"/>
    <w:rsid w:val="00476FF2"/>
    <w:pPr>
      <w:tabs>
        <w:tab w:val="center" w:pos="4680"/>
        <w:tab w:val="right" w:pos="9360"/>
      </w:tabs>
    </w:pPr>
  </w:style>
  <w:style w:type="character" w:customStyle="1" w:styleId="HeaderChar">
    <w:name w:val="Header Char"/>
    <w:basedOn w:val="DefaultParagraphFont"/>
    <w:link w:val="Header"/>
    <w:rsid w:val="00476FF2"/>
    <w:rPr>
      <w:sz w:val="24"/>
      <w:szCs w:val="24"/>
    </w:rPr>
  </w:style>
  <w:style w:type="paragraph" w:styleId="Footer">
    <w:name w:val="footer"/>
    <w:basedOn w:val="Normal"/>
    <w:link w:val="FooterChar"/>
    <w:uiPriority w:val="99"/>
    <w:rsid w:val="00476FF2"/>
    <w:pPr>
      <w:tabs>
        <w:tab w:val="center" w:pos="4680"/>
        <w:tab w:val="right" w:pos="9360"/>
      </w:tabs>
    </w:pPr>
  </w:style>
  <w:style w:type="character" w:customStyle="1" w:styleId="FooterChar">
    <w:name w:val="Footer Char"/>
    <w:basedOn w:val="DefaultParagraphFont"/>
    <w:link w:val="Footer"/>
    <w:uiPriority w:val="99"/>
    <w:rsid w:val="00476FF2"/>
    <w:rPr>
      <w:sz w:val="24"/>
      <w:szCs w:val="24"/>
    </w:rPr>
  </w:style>
  <w:style w:type="paragraph" w:customStyle="1" w:styleId="Default">
    <w:name w:val="Default"/>
    <w:rsid w:val="00FE033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1976">
      <w:bodyDiv w:val="1"/>
      <w:marLeft w:val="0"/>
      <w:marRight w:val="0"/>
      <w:marTop w:val="0"/>
      <w:marBottom w:val="0"/>
      <w:divBdr>
        <w:top w:val="none" w:sz="0" w:space="0" w:color="auto"/>
        <w:left w:val="none" w:sz="0" w:space="0" w:color="auto"/>
        <w:bottom w:val="none" w:sz="0" w:space="0" w:color="auto"/>
        <w:right w:val="none" w:sz="0" w:space="0" w:color="auto"/>
      </w:divBdr>
    </w:div>
    <w:div w:id="634332653">
      <w:bodyDiv w:val="1"/>
      <w:marLeft w:val="0"/>
      <w:marRight w:val="0"/>
      <w:marTop w:val="0"/>
      <w:marBottom w:val="0"/>
      <w:divBdr>
        <w:top w:val="none" w:sz="0" w:space="0" w:color="auto"/>
        <w:left w:val="none" w:sz="0" w:space="0" w:color="auto"/>
        <w:bottom w:val="none" w:sz="0" w:space="0" w:color="auto"/>
        <w:right w:val="none" w:sz="0" w:space="0" w:color="auto"/>
      </w:divBdr>
    </w:div>
    <w:div w:id="691801511">
      <w:bodyDiv w:val="1"/>
      <w:marLeft w:val="0"/>
      <w:marRight w:val="0"/>
      <w:marTop w:val="0"/>
      <w:marBottom w:val="0"/>
      <w:divBdr>
        <w:top w:val="none" w:sz="0" w:space="0" w:color="auto"/>
        <w:left w:val="none" w:sz="0" w:space="0" w:color="auto"/>
        <w:bottom w:val="none" w:sz="0" w:space="0" w:color="auto"/>
        <w:right w:val="none" w:sz="0" w:space="0" w:color="auto"/>
      </w:divBdr>
    </w:div>
    <w:div w:id="758410400">
      <w:bodyDiv w:val="1"/>
      <w:marLeft w:val="0"/>
      <w:marRight w:val="0"/>
      <w:marTop w:val="0"/>
      <w:marBottom w:val="0"/>
      <w:divBdr>
        <w:top w:val="none" w:sz="0" w:space="0" w:color="auto"/>
        <w:left w:val="none" w:sz="0" w:space="0" w:color="auto"/>
        <w:bottom w:val="none" w:sz="0" w:space="0" w:color="auto"/>
        <w:right w:val="none" w:sz="0" w:space="0" w:color="auto"/>
      </w:divBdr>
    </w:div>
    <w:div w:id="1836845098">
      <w:bodyDiv w:val="1"/>
      <w:marLeft w:val="0"/>
      <w:marRight w:val="0"/>
      <w:marTop w:val="0"/>
      <w:marBottom w:val="0"/>
      <w:divBdr>
        <w:top w:val="none" w:sz="0" w:space="0" w:color="auto"/>
        <w:left w:val="none" w:sz="0" w:space="0" w:color="auto"/>
        <w:bottom w:val="none" w:sz="0" w:space="0" w:color="auto"/>
        <w:right w:val="none" w:sz="0" w:space="0" w:color="auto"/>
      </w:divBdr>
    </w:div>
    <w:div w:id="21349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E844-C8AB-4316-9661-C8FAB2E7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LinksUpToDate>false</LinksUpToDate>
  <CharactersWithSpaces>13096</CharactersWithSpaces>
  <SharedDoc>false</SharedDoc>
  <HLinks>
    <vt:vector size="6" baseType="variant">
      <vt:variant>
        <vt:i4>3211322</vt:i4>
      </vt:variant>
      <vt:variant>
        <vt:i4>0</vt:i4>
      </vt:variant>
      <vt:variant>
        <vt:i4>0</vt:i4>
      </vt:variant>
      <vt:variant>
        <vt:i4>5</vt:i4>
      </vt:variant>
      <vt:variant>
        <vt:lpwstr>http://www.cms.hhs.gov/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Gary Ross</dc:creator>
  <cp:lastModifiedBy>CTAC</cp:lastModifiedBy>
  <cp:revision>2</cp:revision>
  <cp:lastPrinted>2012-05-07T19:37:00Z</cp:lastPrinted>
  <dcterms:created xsi:type="dcterms:W3CDTF">2012-06-20T14:35:00Z</dcterms:created>
  <dcterms:modified xsi:type="dcterms:W3CDTF">2012-06-20T14:35:00Z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1351067087</vt:i4>
  </property>
  <property fmtid="{D5CDD505-2E9C-101B-9397-08002B2CF9AE}" pid="4" name="_EmailSubject">
    <vt:lpwstr>ROCIS 0938-1023</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-1915838888</vt:i4>
  </property>
  <property fmtid="{D5CDD505-2E9C-101B-9397-08002B2CF9AE}" pid="8" name="_ReviewingToolsShownOnce">
    <vt:lpwstr/>
  </property>
</Properties>
</file>