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F1" w:rsidRDefault="00D56DF1" w:rsidP="00D56DF1">
      <w:pPr>
        <w:spacing w:after="0" w:line="240" w:lineRule="auto"/>
        <w:jc w:val="center"/>
        <w:rPr>
          <w:rFonts w:cs="Calibri"/>
          <w:b/>
        </w:rPr>
      </w:pPr>
      <w:r>
        <w:rPr>
          <w:rFonts w:cs="Calibri"/>
          <w:b/>
        </w:rPr>
        <w:t xml:space="preserve">Audience Research </w:t>
      </w:r>
      <w:r w:rsidR="00DD6355">
        <w:rPr>
          <w:rFonts w:cs="Calibri"/>
          <w:b/>
        </w:rPr>
        <w:t xml:space="preserve">on </w:t>
      </w:r>
      <w:r>
        <w:rPr>
          <w:rFonts w:cs="Calibri"/>
          <w:b/>
        </w:rPr>
        <w:t xml:space="preserve">Self-Management Education </w:t>
      </w:r>
    </w:p>
    <w:p w:rsidR="00D56DF1" w:rsidRPr="0002078C" w:rsidRDefault="00D56DF1" w:rsidP="00D56DF1">
      <w:pPr>
        <w:spacing w:after="0" w:line="240" w:lineRule="auto"/>
        <w:jc w:val="center"/>
        <w:rPr>
          <w:rFonts w:cs="Calibri"/>
          <w:b/>
        </w:rPr>
      </w:pPr>
    </w:p>
    <w:p w:rsidR="00D56DF1" w:rsidRPr="0002078C" w:rsidRDefault="00D56DF1" w:rsidP="00D56DF1">
      <w:pPr>
        <w:jc w:val="center"/>
        <w:rPr>
          <w:rFonts w:cs="Calibri"/>
          <w:b/>
        </w:rPr>
      </w:pPr>
      <w:r w:rsidRPr="0002078C">
        <w:rPr>
          <w:rFonts w:cs="Calibri"/>
          <w:b/>
        </w:rPr>
        <w:t>Attachment 1 to the HMTS Expedited Review Form</w:t>
      </w:r>
    </w:p>
    <w:p w:rsidR="00D56DF1" w:rsidRPr="0002078C" w:rsidRDefault="00D56DF1">
      <w:pPr>
        <w:pStyle w:val="TOCHeading"/>
        <w:rPr>
          <w:rFonts w:ascii="Calibri" w:hAnsi="Calibri"/>
          <w:sz w:val="22"/>
          <w:szCs w:val="22"/>
        </w:rPr>
      </w:pPr>
      <w:r w:rsidRPr="0002078C">
        <w:rPr>
          <w:rFonts w:ascii="Calibri" w:hAnsi="Calibri"/>
          <w:sz w:val="22"/>
          <w:szCs w:val="22"/>
        </w:rPr>
        <w:t>Contents</w:t>
      </w:r>
    </w:p>
    <w:p w:rsidR="00B13C7F" w:rsidRDefault="00DC5F7A">
      <w:pPr>
        <w:pStyle w:val="TOC2"/>
        <w:tabs>
          <w:tab w:val="right" w:leader="dot" w:pos="10070"/>
        </w:tabs>
        <w:rPr>
          <w:rFonts w:asciiTheme="minorHAnsi" w:eastAsiaTheme="minorEastAsia" w:hAnsiTheme="minorHAnsi" w:cstheme="minorBidi"/>
          <w:noProof/>
          <w:sz w:val="24"/>
          <w:szCs w:val="24"/>
        </w:rPr>
      </w:pPr>
      <w:r w:rsidRPr="002B12F5">
        <w:fldChar w:fldCharType="begin"/>
      </w:r>
      <w:r w:rsidR="00D56DF1" w:rsidRPr="002B12F5">
        <w:instrText xml:space="preserve"> TOC \o "1-3" \h \z \u </w:instrText>
      </w:r>
      <w:r w:rsidRPr="002B12F5">
        <w:fldChar w:fldCharType="separate"/>
      </w:r>
      <w:r w:rsidR="00B13C7F" w:rsidRPr="00C80865">
        <w:rPr>
          <w:rFonts w:cs="Calibri"/>
          <w:noProof/>
        </w:rPr>
        <w:t>Attachment 1a: Research Plan</w:t>
      </w:r>
      <w:r w:rsidR="00B13C7F">
        <w:rPr>
          <w:noProof/>
        </w:rPr>
        <w:tab/>
      </w:r>
      <w:r w:rsidR="00B13C7F">
        <w:rPr>
          <w:noProof/>
        </w:rPr>
        <w:fldChar w:fldCharType="begin"/>
      </w:r>
      <w:r w:rsidR="00B13C7F">
        <w:rPr>
          <w:noProof/>
        </w:rPr>
        <w:instrText xml:space="preserve"> PAGEREF _Toc229195214 \h </w:instrText>
      </w:r>
      <w:r w:rsidR="00B13C7F">
        <w:rPr>
          <w:noProof/>
        </w:rPr>
      </w:r>
      <w:r w:rsidR="00B13C7F">
        <w:rPr>
          <w:noProof/>
        </w:rPr>
        <w:fldChar w:fldCharType="separate"/>
      </w:r>
      <w:r w:rsidR="00B13C7F">
        <w:rPr>
          <w:noProof/>
        </w:rPr>
        <w:t>1</w:t>
      </w:r>
      <w:r w:rsidR="00B13C7F">
        <w:rPr>
          <w:noProof/>
        </w:rPr>
        <w:fldChar w:fldCharType="end"/>
      </w:r>
    </w:p>
    <w:p w:rsidR="00B13C7F" w:rsidRDefault="00B13C7F">
      <w:pPr>
        <w:pStyle w:val="TOC2"/>
        <w:tabs>
          <w:tab w:val="right" w:leader="dot" w:pos="10070"/>
        </w:tabs>
        <w:rPr>
          <w:rFonts w:asciiTheme="minorHAnsi" w:eastAsiaTheme="minorEastAsia" w:hAnsiTheme="minorHAnsi" w:cstheme="minorBidi"/>
          <w:noProof/>
          <w:sz w:val="24"/>
          <w:szCs w:val="24"/>
        </w:rPr>
      </w:pPr>
      <w:r w:rsidRPr="00C80865">
        <w:rPr>
          <w:noProof/>
        </w:rPr>
        <w:t>Attachment 1b : Burden Hours and Distribution of Respondents</w:t>
      </w:r>
      <w:r>
        <w:rPr>
          <w:noProof/>
        </w:rPr>
        <w:tab/>
      </w:r>
      <w:r>
        <w:rPr>
          <w:noProof/>
        </w:rPr>
        <w:fldChar w:fldCharType="begin"/>
      </w:r>
      <w:r>
        <w:rPr>
          <w:noProof/>
        </w:rPr>
        <w:instrText xml:space="preserve"> PAGEREF _Toc229195215 \h </w:instrText>
      </w:r>
      <w:r>
        <w:rPr>
          <w:noProof/>
        </w:rPr>
      </w:r>
      <w:r>
        <w:rPr>
          <w:noProof/>
        </w:rPr>
        <w:fldChar w:fldCharType="separate"/>
      </w:r>
      <w:r>
        <w:rPr>
          <w:noProof/>
        </w:rPr>
        <w:t>4</w:t>
      </w:r>
      <w:r>
        <w:rPr>
          <w:noProof/>
        </w:rPr>
        <w:fldChar w:fldCharType="end"/>
      </w:r>
    </w:p>
    <w:p w:rsidR="00B13C7F" w:rsidRDefault="00B13C7F">
      <w:pPr>
        <w:pStyle w:val="TOC2"/>
        <w:tabs>
          <w:tab w:val="right" w:leader="dot" w:pos="10070"/>
        </w:tabs>
        <w:rPr>
          <w:rFonts w:asciiTheme="minorHAnsi" w:eastAsiaTheme="minorEastAsia" w:hAnsiTheme="minorHAnsi" w:cstheme="minorBidi"/>
          <w:noProof/>
          <w:sz w:val="24"/>
          <w:szCs w:val="24"/>
        </w:rPr>
      </w:pPr>
      <w:r>
        <w:rPr>
          <w:noProof/>
        </w:rPr>
        <w:t>Attachment 1c : Focus Group Justification of Incentive Use</w:t>
      </w:r>
      <w:r>
        <w:rPr>
          <w:noProof/>
        </w:rPr>
        <w:tab/>
      </w:r>
      <w:r>
        <w:rPr>
          <w:noProof/>
        </w:rPr>
        <w:fldChar w:fldCharType="begin"/>
      </w:r>
      <w:r>
        <w:rPr>
          <w:noProof/>
        </w:rPr>
        <w:instrText xml:space="preserve"> PAGEREF _Toc229195216 \h </w:instrText>
      </w:r>
      <w:r>
        <w:rPr>
          <w:noProof/>
        </w:rPr>
      </w:r>
      <w:r>
        <w:rPr>
          <w:noProof/>
        </w:rPr>
        <w:fldChar w:fldCharType="separate"/>
      </w:r>
      <w:r>
        <w:rPr>
          <w:noProof/>
        </w:rPr>
        <w:t>6</w:t>
      </w:r>
      <w:r>
        <w:rPr>
          <w:noProof/>
        </w:rPr>
        <w:fldChar w:fldCharType="end"/>
      </w:r>
    </w:p>
    <w:p w:rsidR="00D56DF1" w:rsidRDefault="00DC5F7A">
      <w:r w:rsidRPr="002B12F5">
        <w:fldChar w:fldCharType="end"/>
      </w:r>
    </w:p>
    <w:p w:rsidR="00D56DF1" w:rsidRDefault="00D56DF1" w:rsidP="00D56DF1">
      <w:pPr>
        <w:pStyle w:val="TOC2"/>
        <w:tabs>
          <w:tab w:val="right" w:leader="dot" w:pos="10070"/>
        </w:tabs>
        <w:rPr>
          <w:rFonts w:cs="Calibri"/>
        </w:rPr>
        <w:sectPr w:rsidR="00D56DF1">
          <w:headerReference w:type="default" r:id="rId8"/>
          <w:footerReference w:type="default" r:id="rId9"/>
          <w:footerReference w:type="first" r:id="rId10"/>
          <w:pgSz w:w="12240" w:h="15840"/>
          <w:pgMar w:top="1440" w:right="1080" w:bottom="1440" w:left="1080" w:header="720" w:footer="720" w:gutter="0"/>
          <w:pgNumType w:start="0"/>
          <w:cols w:space="720"/>
          <w:titlePg/>
          <w:docGrid w:linePitch="360"/>
        </w:sectPr>
      </w:pPr>
    </w:p>
    <w:p w:rsidR="00D56DF1" w:rsidRPr="0002078C" w:rsidRDefault="00D56DF1" w:rsidP="00D56DF1">
      <w:pPr>
        <w:pStyle w:val="Heading2"/>
        <w:rPr>
          <w:rFonts w:cs="Calibri"/>
        </w:rPr>
      </w:pPr>
      <w:bookmarkStart w:id="0" w:name="_Toc352075183"/>
      <w:bookmarkStart w:id="1" w:name="_Toc229195214"/>
      <w:r w:rsidRPr="0002078C">
        <w:rPr>
          <w:rFonts w:cs="Calibri"/>
        </w:rPr>
        <w:lastRenderedPageBreak/>
        <w:t>Attachment 1a: Research Plan</w:t>
      </w:r>
      <w:bookmarkEnd w:id="0"/>
      <w:bookmarkEnd w:id="1"/>
    </w:p>
    <w:p w:rsidR="00D56DF1" w:rsidRDefault="00D56DF1" w:rsidP="00D56DF1">
      <w:pPr>
        <w:spacing w:after="0" w:line="240" w:lineRule="auto"/>
        <w:jc w:val="center"/>
        <w:rPr>
          <w:rFonts w:cs="Calibri"/>
          <w:b/>
        </w:rPr>
      </w:pPr>
      <w:r>
        <w:rPr>
          <w:rFonts w:cs="Calibri"/>
          <w:b/>
        </w:rPr>
        <w:t xml:space="preserve">Audience Research </w:t>
      </w:r>
      <w:r w:rsidR="00DD6355">
        <w:rPr>
          <w:rFonts w:cs="Calibri"/>
          <w:b/>
        </w:rPr>
        <w:t xml:space="preserve">on </w:t>
      </w:r>
      <w:r>
        <w:rPr>
          <w:rFonts w:cs="Calibri"/>
          <w:b/>
        </w:rPr>
        <w:t xml:space="preserve">Self-Management Education </w:t>
      </w:r>
    </w:p>
    <w:p w:rsidR="00DD6355" w:rsidRDefault="00DD6355" w:rsidP="00D56DF1">
      <w:pPr>
        <w:jc w:val="center"/>
        <w:rPr>
          <w:rFonts w:cs="Calibri"/>
          <w:b/>
          <w:bCs/>
        </w:rPr>
      </w:pPr>
    </w:p>
    <w:p w:rsidR="00D56DF1" w:rsidRPr="0002078C" w:rsidRDefault="00D56DF1" w:rsidP="00D56DF1">
      <w:pPr>
        <w:jc w:val="center"/>
        <w:rPr>
          <w:rFonts w:cs="Calibri"/>
          <w:b/>
        </w:rPr>
      </w:pPr>
      <w:r w:rsidRPr="0002078C">
        <w:rPr>
          <w:rFonts w:cs="Calibri"/>
          <w:b/>
          <w:bCs/>
        </w:rPr>
        <w:t>Attachment 1</w:t>
      </w:r>
      <w:r w:rsidR="00952A6D">
        <w:rPr>
          <w:rFonts w:cs="Calibri"/>
          <w:b/>
          <w:bCs/>
        </w:rPr>
        <w:t>a</w:t>
      </w:r>
      <w:r w:rsidRPr="0002078C">
        <w:rPr>
          <w:rFonts w:cs="Calibri"/>
          <w:b/>
          <w:bCs/>
        </w:rPr>
        <w:t xml:space="preserve"> to the HMTS Expedited Review Form</w:t>
      </w:r>
    </w:p>
    <w:p w:rsidR="00D56DF1" w:rsidRPr="0002078C" w:rsidRDefault="001E4338" w:rsidP="00D56DF1">
      <w:pPr>
        <w:spacing w:after="0" w:line="240" w:lineRule="auto"/>
        <w:jc w:val="center"/>
        <w:rPr>
          <w:rFonts w:eastAsia="Times New Roman" w:cs="Calibri"/>
          <w:b/>
          <w:color w:val="000000"/>
        </w:rPr>
      </w:pPr>
      <w:r>
        <w:rPr>
          <w:rFonts w:eastAsia="Times New Roman" w:cs="Calibri"/>
          <w:b/>
          <w:color w:val="000000"/>
        </w:rPr>
        <w:t>May 16</w:t>
      </w:r>
      <w:r w:rsidR="00D56DF1">
        <w:rPr>
          <w:rFonts w:eastAsia="Times New Roman" w:cs="Calibri"/>
          <w:b/>
          <w:color w:val="000000"/>
        </w:rPr>
        <w:t>, 2013</w:t>
      </w:r>
    </w:p>
    <w:p w:rsidR="00D56DF1" w:rsidRDefault="00D56DF1">
      <w:pPr>
        <w:rPr>
          <w:rFonts w:eastAsia="Times New Roman" w:cs="Calibri"/>
          <w:b/>
          <w:color w:val="000000"/>
        </w:rPr>
      </w:pPr>
    </w:p>
    <w:p w:rsidR="00D56DF1" w:rsidRDefault="00D56DF1" w:rsidP="00D56DF1">
      <w:pPr>
        <w:rPr>
          <w:b/>
        </w:rPr>
      </w:pPr>
      <w:r>
        <w:rPr>
          <w:b/>
        </w:rPr>
        <w:t xml:space="preserve">Background </w:t>
      </w:r>
    </w:p>
    <w:p w:rsidR="00D56DF1" w:rsidRDefault="00D56DF1" w:rsidP="00D56DF1">
      <w:pPr>
        <w:autoSpaceDE w:val="0"/>
        <w:autoSpaceDN w:val="0"/>
        <w:adjustRightInd w:val="0"/>
      </w:pPr>
      <w:r w:rsidRPr="008A00C5">
        <w:t xml:space="preserve">The </w:t>
      </w:r>
      <w:r>
        <w:t xml:space="preserve">Centers for Disease Control and Prevention (CDC) is exploring the feasibility of developing a communication campaign to promote self-management education (SME) to people with a variety of chronic conditions, including arthritis, diabetes, heart disease, and others. </w:t>
      </w:r>
    </w:p>
    <w:p w:rsidR="00D56DF1" w:rsidRPr="0066663B" w:rsidRDefault="00D56DF1" w:rsidP="00D56DF1">
      <w:r w:rsidRPr="0066663B">
        <w:t>As an initial phase in the research process to explore the feasibility of a general SME campaign, a targeted literature review, a</w:t>
      </w:r>
      <w:r>
        <w:t>n</w:t>
      </w:r>
      <w:r w:rsidRPr="0066663B">
        <w:t xml:space="preserve"> environment</w:t>
      </w:r>
      <w:r>
        <w:t>al scan</w:t>
      </w:r>
      <w:r w:rsidRPr="0066663B">
        <w:t>, and interviews with key stakeholders were conducted to guide the research plan. The objectives of this situational analysis included:</w:t>
      </w:r>
    </w:p>
    <w:p w:rsidR="00D56DF1" w:rsidRPr="0066663B" w:rsidRDefault="00D56DF1" w:rsidP="00D56DF1">
      <w:pPr>
        <w:numPr>
          <w:ilvl w:val="0"/>
          <w:numId w:val="20"/>
        </w:numPr>
        <w:spacing w:after="0" w:line="240" w:lineRule="auto"/>
      </w:pPr>
      <w:r w:rsidRPr="0066663B">
        <w:t>Determining the degree to which the findings from previously conducted arthritis research apply to other chronic conditions</w:t>
      </w:r>
    </w:p>
    <w:p w:rsidR="00D56DF1" w:rsidRPr="0066663B" w:rsidRDefault="00D56DF1" w:rsidP="00D56DF1">
      <w:pPr>
        <w:numPr>
          <w:ilvl w:val="0"/>
          <w:numId w:val="20"/>
        </w:numPr>
        <w:spacing w:after="0" w:line="240" w:lineRule="auto"/>
      </w:pPr>
      <w:r w:rsidRPr="0066663B">
        <w:t>Exploring audience characteristics to better define the campaign’s target audience</w:t>
      </w:r>
    </w:p>
    <w:p w:rsidR="00D56DF1" w:rsidRPr="0066663B" w:rsidRDefault="00D56DF1" w:rsidP="00D56DF1">
      <w:pPr>
        <w:numPr>
          <w:ilvl w:val="0"/>
          <w:numId w:val="20"/>
        </w:numPr>
        <w:spacing w:after="0" w:line="240" w:lineRule="auto"/>
      </w:pPr>
      <w:r w:rsidRPr="0066663B">
        <w:t>Learning how other disease groups and/or organizations are promoting their SME programs</w:t>
      </w:r>
    </w:p>
    <w:p w:rsidR="00D56DF1" w:rsidRPr="0066663B" w:rsidRDefault="00D56DF1" w:rsidP="00D56DF1">
      <w:pPr>
        <w:numPr>
          <w:ilvl w:val="0"/>
          <w:numId w:val="20"/>
        </w:numPr>
        <w:spacing w:after="0" w:line="240" w:lineRule="auto"/>
      </w:pPr>
      <w:r w:rsidRPr="0066663B">
        <w:t>Connecting with others working in this arena to gather their input on the promotion of SME</w:t>
      </w:r>
    </w:p>
    <w:p w:rsidR="00D56DF1" w:rsidRPr="0066663B" w:rsidRDefault="00D56DF1" w:rsidP="00D56DF1">
      <w:pPr>
        <w:numPr>
          <w:ilvl w:val="0"/>
          <w:numId w:val="20"/>
        </w:numPr>
        <w:spacing w:after="0" w:line="240" w:lineRule="auto"/>
      </w:pPr>
      <w:r w:rsidRPr="0066663B">
        <w:t>Informing a logic model depicting how a promotional campaign may contribute to an individual’s decision to seek out a SME program</w:t>
      </w:r>
    </w:p>
    <w:p w:rsidR="00D56DF1" w:rsidRDefault="00D56DF1" w:rsidP="00D56DF1">
      <w:pPr>
        <w:autoSpaceDE w:val="0"/>
        <w:autoSpaceDN w:val="0"/>
        <w:adjustRightInd w:val="0"/>
      </w:pPr>
    </w:p>
    <w:p w:rsidR="00D56DF1" w:rsidRDefault="00D56DF1" w:rsidP="00D56DF1">
      <w:pPr>
        <w:autoSpaceDE w:val="0"/>
        <w:autoSpaceDN w:val="0"/>
        <w:adjustRightInd w:val="0"/>
      </w:pPr>
      <w:r>
        <w:t xml:space="preserve">The next phase of the feasibility study will focus on eliciting, developing, and refining concepts, messages, and possible channels to raise awareness among people with a chronic condition.  </w:t>
      </w:r>
    </w:p>
    <w:p w:rsidR="00D56DF1" w:rsidRDefault="00D56DF1" w:rsidP="00D56DF1">
      <w:pPr>
        <w:rPr>
          <w:b/>
        </w:rPr>
      </w:pPr>
      <w:r>
        <w:rPr>
          <w:b/>
        </w:rPr>
        <w:t xml:space="preserve">Methodology and Research Design </w:t>
      </w:r>
    </w:p>
    <w:p w:rsidR="00D56DF1" w:rsidRPr="00E162EF" w:rsidRDefault="00D56DF1" w:rsidP="00D56DF1">
      <w:pPr>
        <w:widowControl w:val="0"/>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pPr>
      <w:r>
        <w:t xml:space="preserve">FHI 360 </w:t>
      </w:r>
      <w:r w:rsidRPr="00E162EF">
        <w:t xml:space="preserve">will </w:t>
      </w:r>
      <w:r>
        <w:t xml:space="preserve">conduct focus groups with the key audience to </w:t>
      </w:r>
      <w:r w:rsidRPr="00E162EF">
        <w:t xml:space="preserve">test </w:t>
      </w:r>
      <w:r>
        <w:t xml:space="preserve">concepts </w:t>
      </w:r>
      <w:r w:rsidRPr="00E162EF">
        <w:t xml:space="preserve">aimed </w:t>
      </w:r>
      <w:r>
        <w:t>at</w:t>
      </w:r>
      <w:r w:rsidRPr="00E162EF">
        <w:t xml:space="preserve"> </w:t>
      </w:r>
      <w:r>
        <w:t>exploring</w:t>
      </w:r>
      <w:r w:rsidRPr="00E162EF">
        <w:t xml:space="preserve"> different ways to impart information, demonstrate benefits, address barriers and increase receptiveness to SME programs</w:t>
      </w:r>
      <w:r>
        <w:t xml:space="preserve">. </w:t>
      </w:r>
      <w:r w:rsidRPr="000C5520">
        <w:t xml:space="preserve">Focus groups are valuable in exploring consumer reactions to </w:t>
      </w:r>
      <w:r>
        <w:t xml:space="preserve">design and </w:t>
      </w:r>
      <w:r w:rsidRPr="000C5520">
        <w:t>message concepts before additional resources are put into their development.</w:t>
      </w:r>
      <w:r>
        <w:t xml:space="preserve"> The objectives of the research task are to: </w:t>
      </w:r>
    </w:p>
    <w:p w:rsidR="00D56DF1" w:rsidRDefault="00D56DF1" w:rsidP="00D56DF1">
      <w:pPr>
        <w:pStyle w:val="ListParagraph"/>
        <w:numPr>
          <w:ilvl w:val="0"/>
          <w:numId w:val="19"/>
        </w:numPr>
        <w:autoSpaceDE w:val="0"/>
        <w:autoSpaceDN w:val="0"/>
        <w:adjustRightInd w:val="0"/>
        <w:spacing w:after="0" w:line="240" w:lineRule="auto"/>
      </w:pPr>
      <w:r>
        <w:t xml:space="preserve">Explore differences in target audiences’ attitudes toward and awareness of SME </w:t>
      </w:r>
    </w:p>
    <w:p w:rsidR="00D56DF1" w:rsidRDefault="00D56DF1" w:rsidP="00D56DF1">
      <w:pPr>
        <w:pStyle w:val="ListParagraph"/>
        <w:numPr>
          <w:ilvl w:val="0"/>
          <w:numId w:val="19"/>
        </w:numPr>
        <w:autoSpaceDE w:val="0"/>
        <w:autoSpaceDN w:val="0"/>
        <w:adjustRightInd w:val="0"/>
        <w:spacing w:after="0" w:line="240" w:lineRule="auto"/>
      </w:pPr>
      <w:r>
        <w:t>Test messages about SME to assess comprehension, relevance, benefits, and credibility</w:t>
      </w:r>
    </w:p>
    <w:p w:rsidR="00D56DF1" w:rsidRDefault="00D56DF1" w:rsidP="00D56DF1">
      <w:pPr>
        <w:pStyle w:val="ListParagraph"/>
        <w:numPr>
          <w:ilvl w:val="0"/>
          <w:numId w:val="19"/>
        </w:numPr>
        <w:autoSpaceDE w:val="0"/>
        <w:autoSpaceDN w:val="0"/>
        <w:adjustRightInd w:val="0"/>
        <w:spacing w:after="0" w:line="240" w:lineRule="auto"/>
      </w:pPr>
      <w:r>
        <w:t>Explore differences in target audiences’ reactions to the messages</w:t>
      </w:r>
    </w:p>
    <w:p w:rsidR="00D56DF1" w:rsidRDefault="00D56DF1" w:rsidP="00D56DF1">
      <w:pPr>
        <w:pStyle w:val="ListParagraph"/>
        <w:numPr>
          <w:ilvl w:val="0"/>
          <w:numId w:val="19"/>
        </w:numPr>
        <w:autoSpaceDE w:val="0"/>
        <w:autoSpaceDN w:val="0"/>
        <w:adjustRightInd w:val="0"/>
        <w:spacing w:after="0" w:line="240" w:lineRule="auto"/>
      </w:pPr>
      <w:r>
        <w:t>Assess audiences’ preferred channels</w:t>
      </w:r>
    </w:p>
    <w:p w:rsidR="00D56DF1" w:rsidRDefault="00D56DF1" w:rsidP="00D56DF1">
      <w:pPr>
        <w:autoSpaceDE w:val="0"/>
        <w:autoSpaceDN w:val="0"/>
        <w:adjustRightInd w:val="0"/>
      </w:pPr>
    </w:p>
    <w:p w:rsidR="00D56DF1" w:rsidRDefault="00D56DF1" w:rsidP="00D56DF1">
      <w:pPr>
        <w:pStyle w:val="ListParagraph"/>
        <w:autoSpaceDE w:val="0"/>
        <w:autoSpaceDN w:val="0"/>
        <w:adjustRightInd w:val="0"/>
      </w:pPr>
    </w:p>
    <w:p w:rsidR="002D5D87" w:rsidDel="002D5D87" w:rsidRDefault="00D56DF1" w:rsidP="00D56DF1">
      <w:r w:rsidRPr="007B4B75">
        <w:lastRenderedPageBreak/>
        <w:t>The research will be conducted in two phases</w:t>
      </w:r>
      <w:r w:rsidR="002D5D87">
        <w:t xml:space="preserve">: </w:t>
      </w:r>
    </w:p>
    <w:p w:rsidR="002D5D87" w:rsidRPr="002D5D87" w:rsidRDefault="00D56DF1" w:rsidP="002D5D87">
      <w:pPr>
        <w:pStyle w:val="ListParagraph"/>
        <w:numPr>
          <w:ilvl w:val="0"/>
          <w:numId w:val="21"/>
        </w:numPr>
        <w:spacing w:line="240" w:lineRule="auto"/>
      </w:pPr>
      <w:r w:rsidRPr="002D5D87">
        <w:t>Phase I – Preliminary Concept and Channels Testing</w:t>
      </w:r>
      <w:r w:rsidR="002D5D87" w:rsidRPr="002D5D87">
        <w:t>,</w:t>
      </w:r>
      <w:r w:rsidRPr="002D5D87">
        <w:t xml:space="preserve"> and </w:t>
      </w:r>
    </w:p>
    <w:p w:rsidR="00D56DF1" w:rsidRPr="002D5D87" w:rsidRDefault="00D56DF1" w:rsidP="002D5D87">
      <w:pPr>
        <w:pStyle w:val="ListParagraph"/>
        <w:numPr>
          <w:ilvl w:val="0"/>
          <w:numId w:val="21"/>
        </w:numPr>
        <w:spacing w:line="240" w:lineRule="auto"/>
      </w:pPr>
      <w:r w:rsidRPr="002D5D87">
        <w:t>Phase II – Revised Concept</w:t>
      </w:r>
      <w:r w:rsidR="00A740E4" w:rsidRPr="002D5D87">
        <w:t xml:space="preserve"> and Channels</w:t>
      </w:r>
      <w:r w:rsidRPr="002D5D87">
        <w:t xml:space="preserve"> Testing. </w:t>
      </w:r>
    </w:p>
    <w:p w:rsidR="00D56DF1" w:rsidRPr="007F1465" w:rsidRDefault="00D56DF1" w:rsidP="00D56DF1">
      <w:r w:rsidRPr="002D5D87">
        <w:t xml:space="preserve">Phase I: The objective of the first </w:t>
      </w:r>
      <w:r w:rsidR="002D5D87" w:rsidRPr="002D5D87">
        <w:t xml:space="preserve">phase </w:t>
      </w:r>
      <w:r w:rsidRPr="002D5D87">
        <w:t xml:space="preserve">of </w:t>
      </w:r>
      <w:r w:rsidR="002D5D87" w:rsidRPr="002D5D87">
        <w:t xml:space="preserve">focus group </w:t>
      </w:r>
      <w:r w:rsidRPr="002D5D87">
        <w:t>testing is to distill from a number of message concepts the most resonating and appealing messages for further exploration</w:t>
      </w:r>
      <w:r w:rsidRPr="004D6A34">
        <w:t>.</w:t>
      </w:r>
      <w:r>
        <w:t xml:space="preserve"> </w:t>
      </w:r>
      <w:r w:rsidR="00AC78F1">
        <w:t xml:space="preserve"> Potential channels for messages will be tested as well.</w:t>
      </w:r>
    </w:p>
    <w:p w:rsidR="00ED0632" w:rsidRDefault="00D56DF1" w:rsidP="00D56DF1">
      <w:r>
        <w:t xml:space="preserve">Phase II: The objective of the second phase of </w:t>
      </w:r>
      <w:r w:rsidR="002D5D87">
        <w:t xml:space="preserve">focus group </w:t>
      </w:r>
      <w:r>
        <w:t xml:space="preserve">testing is to </w:t>
      </w:r>
      <w:r w:rsidR="002D5D87">
        <w:t xml:space="preserve">test </w:t>
      </w:r>
      <w:r w:rsidRPr="004D6A34">
        <w:t>revise</w:t>
      </w:r>
      <w:r w:rsidR="002D5D87">
        <w:t>d</w:t>
      </w:r>
      <w:r w:rsidRPr="004D6A34">
        <w:t xml:space="preserve"> concepts and channels</w:t>
      </w:r>
      <w:r w:rsidR="002D5D87">
        <w:t xml:space="preserve">. </w:t>
      </w:r>
      <w:r w:rsidR="00A740E4">
        <w:t xml:space="preserve">Phase II research will be informed by </w:t>
      </w:r>
      <w:r>
        <w:t xml:space="preserve">the previous phase of </w:t>
      </w:r>
      <w:r w:rsidR="002D5D87">
        <w:t xml:space="preserve">focus group </w:t>
      </w:r>
      <w:r>
        <w:t>research as well as discussions with CDC</w:t>
      </w:r>
      <w:r w:rsidRPr="00E342DF">
        <w:t xml:space="preserve">. </w:t>
      </w:r>
    </w:p>
    <w:p w:rsidR="00D56DF1" w:rsidRDefault="00D56DF1" w:rsidP="00D56DF1">
      <w:r>
        <w:t xml:space="preserve">For each phase of </w:t>
      </w:r>
      <w:r w:rsidR="002D5D87">
        <w:t xml:space="preserve">focus group </w:t>
      </w:r>
      <w:r>
        <w:t>research, FHI 360 research staff will develop instruments, recruit respondents, conduct the focus groups, analyze the data collected, and summarize key findings in two topline reports</w:t>
      </w:r>
      <w:r w:rsidR="00A740E4">
        <w:t xml:space="preserve"> (one report per phase)</w:t>
      </w:r>
      <w:r>
        <w:t xml:space="preserve">. </w:t>
      </w:r>
      <w:r w:rsidR="00104281" w:rsidRPr="002D5D87">
        <w:t>FHI 360 will analyze all responses in aggregate form.  Information transmitted to CDC will be de-identified.  Summary reports will not identify any individuals</w:t>
      </w:r>
      <w:r w:rsidR="001E4338">
        <w:t>.</w:t>
      </w:r>
    </w:p>
    <w:p w:rsidR="00D56DF1" w:rsidRPr="00A81569" w:rsidRDefault="00D56DF1" w:rsidP="00D56DF1">
      <w:pPr>
        <w:spacing w:after="120"/>
      </w:pPr>
      <w:r w:rsidRPr="00A81569">
        <w:rPr>
          <w:b/>
        </w:rPr>
        <w:t>Site Selection</w:t>
      </w:r>
      <w:r w:rsidRPr="00A81569">
        <w:t xml:space="preserve"> </w:t>
      </w:r>
    </w:p>
    <w:p w:rsidR="00D56DF1" w:rsidRDefault="00D56DF1" w:rsidP="00D56DF1">
      <w:r>
        <w:t xml:space="preserve">FHI 360 considered the following criteria when selecting the locations for Phase I and Phase II of </w:t>
      </w:r>
      <w:r w:rsidR="002D5D87">
        <w:t xml:space="preserve">focus group </w:t>
      </w:r>
      <w:r>
        <w:t xml:space="preserve">testing: </w:t>
      </w:r>
    </w:p>
    <w:p w:rsidR="00D56DF1" w:rsidRDefault="00D56DF1" w:rsidP="00D56DF1">
      <w:pPr>
        <w:numPr>
          <w:ilvl w:val="0"/>
          <w:numId w:val="3"/>
        </w:numPr>
        <w:spacing w:after="0" w:line="240" w:lineRule="auto"/>
        <w:ind w:left="720"/>
      </w:pPr>
      <w:r>
        <w:t>Geographical distribution</w:t>
      </w:r>
    </w:p>
    <w:p w:rsidR="00D56DF1" w:rsidRDefault="00D56DF1" w:rsidP="00D56DF1">
      <w:pPr>
        <w:numPr>
          <w:ilvl w:val="0"/>
          <w:numId w:val="4"/>
        </w:numPr>
        <w:spacing w:after="0" w:line="240" w:lineRule="auto"/>
      </w:pPr>
      <w:r>
        <w:t>Diversity of population</w:t>
      </w:r>
    </w:p>
    <w:p w:rsidR="00D56DF1" w:rsidRDefault="00D56DF1" w:rsidP="00D56DF1">
      <w:pPr>
        <w:numPr>
          <w:ilvl w:val="0"/>
          <w:numId w:val="4"/>
        </w:numPr>
        <w:spacing w:after="0" w:line="240" w:lineRule="auto"/>
      </w:pPr>
      <w:r>
        <w:t>Diversity of medical options, including SME (rural participants will be recruited in at least one market)</w:t>
      </w:r>
    </w:p>
    <w:p w:rsidR="00D56DF1" w:rsidRDefault="00D56DF1" w:rsidP="00D56DF1">
      <w:pPr>
        <w:ind w:left="360"/>
      </w:pPr>
    </w:p>
    <w:p w:rsidR="00D56DF1" w:rsidRPr="002016C6" w:rsidRDefault="00D56DF1" w:rsidP="00D56DF1">
      <w:pPr>
        <w:rPr>
          <w:i/>
        </w:rPr>
      </w:pPr>
      <w:r w:rsidRPr="002016C6">
        <w:rPr>
          <w:i/>
        </w:rPr>
        <w:t>Phase I</w:t>
      </w:r>
    </w:p>
    <w:p w:rsidR="00D56DF1" w:rsidRDefault="00D56DF1" w:rsidP="00D56DF1">
      <w:pPr>
        <w:rPr>
          <w:rFonts w:cs="Calibri"/>
        </w:rPr>
      </w:pPr>
      <w:r>
        <w:t>For Phase I of testing, FHI 360 proposes conducting a total of 6 focus groups divided between three locations: Richmond, Virginia (East)</w:t>
      </w:r>
      <w:r w:rsidR="008110AE">
        <w:t>;</w:t>
      </w:r>
      <w:r>
        <w:t xml:space="preserve"> Chicago, Illinois (Mid-West</w:t>
      </w:r>
      <w:r w:rsidR="008110AE">
        <w:t xml:space="preserve">); </w:t>
      </w:r>
      <w:r>
        <w:t xml:space="preserve">and Phoenix, Arizona, </w:t>
      </w:r>
      <w:r w:rsidR="008110AE">
        <w:t>(</w:t>
      </w:r>
      <w:r>
        <w:t>West</w:t>
      </w:r>
      <w:r w:rsidRPr="00A837CE">
        <w:rPr>
          <w:rFonts w:cs="Calibri"/>
        </w:rPr>
        <w:t>).</w:t>
      </w:r>
      <w:r w:rsidR="005262A2" w:rsidRPr="00A837CE">
        <w:rPr>
          <w:rFonts w:cs="Calibri"/>
        </w:rPr>
        <w:t xml:space="preserve"> </w:t>
      </w:r>
      <w:r w:rsidR="005262A2" w:rsidRPr="00B84AA3">
        <w:rPr>
          <w:rFonts w:cs="Calibri"/>
        </w:rPr>
        <w:t>For each focus group</w:t>
      </w:r>
      <w:r w:rsidR="00FD4BE8">
        <w:rPr>
          <w:rFonts w:cs="Calibri"/>
        </w:rPr>
        <w:t>,</w:t>
      </w:r>
      <w:r w:rsidR="005262A2" w:rsidRPr="00B84AA3">
        <w:rPr>
          <w:rFonts w:cs="Calibri"/>
        </w:rPr>
        <w:t xml:space="preserve"> 10 </w:t>
      </w:r>
      <w:r w:rsidR="002D5D87">
        <w:rPr>
          <w:rFonts w:cs="Calibri"/>
        </w:rPr>
        <w:t xml:space="preserve">participants will be recruited </w:t>
      </w:r>
      <w:r w:rsidR="005262A2" w:rsidRPr="00B84AA3">
        <w:rPr>
          <w:rFonts w:cs="Calibri"/>
        </w:rPr>
        <w:t>for 8</w:t>
      </w:r>
      <w:r w:rsidR="001E4338">
        <w:rPr>
          <w:rFonts w:cs="Calibri"/>
        </w:rPr>
        <w:t>-10</w:t>
      </w:r>
      <w:r w:rsidR="005262A2" w:rsidRPr="00B84AA3">
        <w:rPr>
          <w:rFonts w:cs="Calibri"/>
        </w:rPr>
        <w:t xml:space="preserve"> participants to show</w:t>
      </w:r>
      <w:r w:rsidR="005262A2" w:rsidRPr="00A837CE">
        <w:rPr>
          <w:rFonts w:cs="Calibri"/>
        </w:rPr>
        <w:t xml:space="preserve">. </w:t>
      </w:r>
      <w:r w:rsidRPr="00A837CE">
        <w:rPr>
          <w:rFonts w:cs="Calibri"/>
        </w:rPr>
        <w:t>The research design for the first phase is presented in table 1 below:</w:t>
      </w:r>
    </w:p>
    <w:p w:rsidR="00DD6355" w:rsidRPr="00A837CE" w:rsidRDefault="00DD6355" w:rsidP="00D56DF1">
      <w:pPr>
        <w:rPr>
          <w:rFonts w:cs="Calibri"/>
        </w:rPr>
      </w:pPr>
    </w:p>
    <w:p w:rsidR="00D56DF1" w:rsidRPr="00CA7110" w:rsidRDefault="00D56DF1" w:rsidP="008110AE">
      <w:pPr>
        <w:spacing w:after="0"/>
        <w:rPr>
          <w:b/>
        </w:rPr>
      </w:pPr>
      <w:r w:rsidRPr="00B84AA3">
        <w:rPr>
          <w:rFonts w:cs="Calibri"/>
          <w:b/>
        </w:rPr>
        <w:t xml:space="preserve">Table 1: </w:t>
      </w:r>
      <w:r w:rsidR="008110AE" w:rsidRPr="00B84AA3">
        <w:rPr>
          <w:rFonts w:cs="Calibri"/>
          <w:b/>
        </w:rPr>
        <w:t xml:space="preserve">Phase I focus </w:t>
      </w:r>
      <w:r w:rsidRPr="00B84AA3">
        <w:rPr>
          <w:rFonts w:cs="Calibri"/>
          <w:b/>
        </w:rPr>
        <w:t>groups with</w:t>
      </w:r>
      <w:r w:rsidRPr="00CA7110">
        <w:rPr>
          <w:b/>
        </w:rPr>
        <w:t xml:space="preserve"> persons with chronic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0"/>
        <w:gridCol w:w="1449"/>
        <w:gridCol w:w="1534"/>
        <w:gridCol w:w="1535"/>
      </w:tblGrid>
      <w:tr w:rsidR="00D56DF1" w:rsidRPr="003D7FDD">
        <w:tc>
          <w:tcPr>
            <w:tcW w:w="3438"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Audience</w:t>
            </w:r>
          </w:p>
        </w:tc>
        <w:tc>
          <w:tcPr>
            <w:tcW w:w="1620"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Richmond, VA</w:t>
            </w:r>
          </w:p>
        </w:tc>
        <w:tc>
          <w:tcPr>
            <w:tcW w:w="1449"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Chicago, IL</w:t>
            </w:r>
          </w:p>
        </w:tc>
        <w:tc>
          <w:tcPr>
            <w:tcW w:w="1534"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Phoenix, AZ</w:t>
            </w:r>
          </w:p>
        </w:tc>
        <w:tc>
          <w:tcPr>
            <w:tcW w:w="1535"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TOTAL</w:t>
            </w:r>
          </w:p>
        </w:tc>
      </w:tr>
      <w:tr w:rsidR="00D56DF1" w:rsidRPr="003D7FDD">
        <w:tc>
          <w:tcPr>
            <w:tcW w:w="3438" w:type="dxa"/>
            <w:shd w:val="clear" w:color="auto" w:fill="auto"/>
          </w:tcPr>
          <w:p w:rsidR="00D56DF1" w:rsidRPr="00264C62" w:rsidRDefault="00D56DF1" w:rsidP="00D56DF1">
            <w:pPr>
              <w:rPr>
                <w:rFonts w:ascii="Arial" w:hAnsi="Arial" w:cs="Arial"/>
                <w:sz w:val="18"/>
                <w:szCs w:val="18"/>
              </w:rPr>
            </w:pPr>
            <w:r w:rsidRPr="00264C62">
              <w:rPr>
                <w:rFonts w:ascii="Arial" w:hAnsi="Arial" w:cs="Arial"/>
                <w:sz w:val="18"/>
                <w:szCs w:val="18"/>
              </w:rPr>
              <w:t xml:space="preserve">Women with 1 or more chronic condition </w:t>
            </w:r>
          </w:p>
        </w:tc>
        <w:tc>
          <w:tcPr>
            <w:tcW w:w="1620"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449"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534"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535" w:type="dxa"/>
            <w:shd w:val="clear" w:color="auto" w:fill="auto"/>
          </w:tcPr>
          <w:p w:rsidR="00D56DF1" w:rsidRPr="00264C62" w:rsidRDefault="00D56DF1" w:rsidP="00D56DF1">
            <w:pPr>
              <w:jc w:val="center"/>
              <w:rPr>
                <w:rFonts w:ascii="Arial" w:hAnsi="Arial" w:cs="Arial"/>
                <w:sz w:val="20"/>
                <w:szCs w:val="20"/>
              </w:rPr>
            </w:pPr>
            <w:r w:rsidRPr="00264C62">
              <w:rPr>
                <w:rFonts w:ascii="Arial" w:hAnsi="Arial" w:cs="Arial"/>
                <w:sz w:val="20"/>
                <w:szCs w:val="20"/>
              </w:rPr>
              <w:t>3</w:t>
            </w:r>
          </w:p>
        </w:tc>
      </w:tr>
      <w:tr w:rsidR="00D56DF1" w:rsidRPr="003D7FDD">
        <w:tc>
          <w:tcPr>
            <w:tcW w:w="3438" w:type="dxa"/>
            <w:shd w:val="clear" w:color="auto" w:fill="auto"/>
          </w:tcPr>
          <w:p w:rsidR="00D56DF1" w:rsidRPr="00264C62" w:rsidRDefault="00D56DF1" w:rsidP="00D56DF1">
            <w:pPr>
              <w:rPr>
                <w:rFonts w:ascii="Arial" w:hAnsi="Arial" w:cs="Arial"/>
                <w:sz w:val="18"/>
                <w:szCs w:val="18"/>
              </w:rPr>
            </w:pPr>
            <w:r w:rsidRPr="00264C62">
              <w:rPr>
                <w:rFonts w:ascii="Arial" w:hAnsi="Arial" w:cs="Arial"/>
                <w:sz w:val="18"/>
                <w:szCs w:val="18"/>
              </w:rPr>
              <w:t xml:space="preserve">Men with 1 or more chronic condition </w:t>
            </w:r>
          </w:p>
        </w:tc>
        <w:tc>
          <w:tcPr>
            <w:tcW w:w="1620"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449"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534"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535" w:type="dxa"/>
            <w:shd w:val="clear" w:color="auto" w:fill="auto"/>
          </w:tcPr>
          <w:p w:rsidR="00D56DF1" w:rsidRPr="00264C62" w:rsidRDefault="00D56DF1" w:rsidP="00D56DF1">
            <w:pPr>
              <w:jc w:val="center"/>
              <w:rPr>
                <w:rFonts w:ascii="Arial" w:hAnsi="Arial" w:cs="Arial"/>
                <w:sz w:val="20"/>
                <w:szCs w:val="20"/>
              </w:rPr>
            </w:pPr>
            <w:r w:rsidRPr="00264C62">
              <w:rPr>
                <w:rFonts w:ascii="Arial" w:hAnsi="Arial" w:cs="Arial"/>
                <w:sz w:val="20"/>
                <w:szCs w:val="20"/>
              </w:rPr>
              <w:t>3</w:t>
            </w:r>
          </w:p>
        </w:tc>
      </w:tr>
      <w:tr w:rsidR="00D56DF1" w:rsidRPr="003D7FDD">
        <w:tc>
          <w:tcPr>
            <w:tcW w:w="3438" w:type="dxa"/>
            <w:shd w:val="clear" w:color="auto" w:fill="auto"/>
          </w:tcPr>
          <w:p w:rsidR="00D56DF1" w:rsidRPr="00264C62" w:rsidRDefault="00D56DF1" w:rsidP="00D56DF1">
            <w:pPr>
              <w:rPr>
                <w:rFonts w:ascii="Arial" w:hAnsi="Arial" w:cs="Arial"/>
                <w:b/>
                <w:sz w:val="20"/>
                <w:szCs w:val="20"/>
              </w:rPr>
            </w:pPr>
            <w:r w:rsidRPr="00264C62">
              <w:rPr>
                <w:rFonts w:ascii="Arial" w:hAnsi="Arial" w:cs="Arial"/>
                <w:b/>
                <w:sz w:val="20"/>
                <w:szCs w:val="20"/>
              </w:rPr>
              <w:t>TOTAL</w:t>
            </w:r>
          </w:p>
        </w:tc>
        <w:tc>
          <w:tcPr>
            <w:tcW w:w="1620" w:type="dxa"/>
            <w:shd w:val="clear" w:color="auto" w:fill="auto"/>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2</w:t>
            </w:r>
          </w:p>
        </w:tc>
        <w:tc>
          <w:tcPr>
            <w:tcW w:w="1449" w:type="dxa"/>
            <w:shd w:val="clear" w:color="auto" w:fill="auto"/>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2</w:t>
            </w:r>
          </w:p>
        </w:tc>
        <w:tc>
          <w:tcPr>
            <w:tcW w:w="1534" w:type="dxa"/>
            <w:shd w:val="clear" w:color="auto" w:fill="auto"/>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2</w:t>
            </w:r>
          </w:p>
        </w:tc>
        <w:tc>
          <w:tcPr>
            <w:tcW w:w="1535" w:type="dxa"/>
            <w:shd w:val="clear" w:color="auto" w:fill="auto"/>
          </w:tcPr>
          <w:p w:rsidR="00D56DF1" w:rsidRPr="006F77EF" w:rsidRDefault="00D56DF1" w:rsidP="00D56DF1">
            <w:pPr>
              <w:jc w:val="center"/>
              <w:rPr>
                <w:rStyle w:val="CommentReference"/>
              </w:rPr>
            </w:pPr>
            <w:r w:rsidRPr="00264C62">
              <w:rPr>
                <w:rStyle w:val="CommentReference"/>
                <w:rFonts w:ascii="Arial" w:hAnsi="Arial" w:cs="Arial"/>
                <w:b/>
                <w:sz w:val="20"/>
                <w:szCs w:val="20"/>
              </w:rPr>
              <w:t>6</w:t>
            </w:r>
          </w:p>
        </w:tc>
      </w:tr>
    </w:tbl>
    <w:p w:rsidR="00D56DF1" w:rsidRDefault="00D56DF1" w:rsidP="00D56DF1">
      <w:pPr>
        <w:widowControl w:val="0"/>
        <w:tabs>
          <w:tab w:val="left" w:pos="360"/>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b/>
          <w:i/>
        </w:rPr>
      </w:pPr>
    </w:p>
    <w:p w:rsidR="00FD4BE8" w:rsidRDefault="00FD4BE8">
      <w:pPr>
        <w:spacing w:after="0" w:line="240" w:lineRule="auto"/>
        <w:rPr>
          <w:i/>
        </w:rPr>
      </w:pPr>
      <w:r>
        <w:rPr>
          <w:i/>
        </w:rPr>
        <w:br w:type="page"/>
      </w:r>
    </w:p>
    <w:p w:rsidR="00D56DF1" w:rsidRPr="002016C6" w:rsidRDefault="00D56DF1" w:rsidP="00D56DF1">
      <w:pPr>
        <w:rPr>
          <w:i/>
        </w:rPr>
      </w:pPr>
      <w:r w:rsidRPr="002016C6">
        <w:rPr>
          <w:i/>
        </w:rPr>
        <w:lastRenderedPageBreak/>
        <w:t>Phase II</w:t>
      </w:r>
    </w:p>
    <w:p w:rsidR="00D56DF1" w:rsidRDefault="00D56DF1" w:rsidP="00D56DF1">
      <w:r>
        <w:t>For Phase II of testing, FHI 360 proposes conducting a total of 6 focus groups divided between three locations: Atlanta, GA (East</w:t>
      </w:r>
      <w:r w:rsidR="00FD4BE8">
        <w:t xml:space="preserve">); </w:t>
      </w:r>
      <w:r>
        <w:t>Houston, Texas (South-West</w:t>
      </w:r>
      <w:r w:rsidR="00FD4BE8">
        <w:t xml:space="preserve">); </w:t>
      </w:r>
      <w:r>
        <w:t>and De</w:t>
      </w:r>
      <w:r w:rsidR="008110AE">
        <w:t xml:space="preserve">s </w:t>
      </w:r>
      <w:r>
        <w:t xml:space="preserve">Moines, Iowa (Mid-West). </w:t>
      </w:r>
      <w:r w:rsidR="00FD4BE8" w:rsidRPr="00B84AA3">
        <w:rPr>
          <w:rFonts w:cs="Calibri"/>
        </w:rPr>
        <w:t>For each focus group</w:t>
      </w:r>
      <w:r w:rsidR="00FD4BE8">
        <w:rPr>
          <w:rFonts w:cs="Calibri"/>
        </w:rPr>
        <w:t>,</w:t>
      </w:r>
      <w:r w:rsidR="00FD4BE8" w:rsidRPr="00B84AA3">
        <w:rPr>
          <w:rFonts w:cs="Calibri"/>
        </w:rPr>
        <w:t xml:space="preserve"> 10 </w:t>
      </w:r>
      <w:r w:rsidR="00FD4BE8">
        <w:rPr>
          <w:rFonts w:cs="Calibri"/>
        </w:rPr>
        <w:t xml:space="preserve">participants will be recruited </w:t>
      </w:r>
      <w:r w:rsidR="00FD4BE8" w:rsidRPr="00B84AA3">
        <w:rPr>
          <w:rFonts w:cs="Calibri"/>
        </w:rPr>
        <w:t>for 8 participants to show</w:t>
      </w:r>
      <w:r w:rsidR="00FD4BE8" w:rsidRPr="00A837CE">
        <w:rPr>
          <w:rFonts w:cs="Calibri"/>
        </w:rPr>
        <w:t>.</w:t>
      </w:r>
      <w:r w:rsidR="005262A2" w:rsidRPr="005262A2">
        <w:rPr>
          <w:rFonts w:cs="Calibri"/>
        </w:rPr>
        <w:t xml:space="preserve"> </w:t>
      </w:r>
      <w:r>
        <w:t>The research design for the second phase is presented in table 2 below:</w:t>
      </w:r>
    </w:p>
    <w:p w:rsidR="00133210" w:rsidRDefault="00133210" w:rsidP="00D56DF1"/>
    <w:p w:rsidR="00D56DF1" w:rsidRPr="009E0DA1" w:rsidRDefault="00D56DF1" w:rsidP="008110AE">
      <w:pPr>
        <w:spacing w:after="0"/>
        <w:rPr>
          <w:b/>
        </w:rPr>
      </w:pPr>
      <w:r>
        <w:rPr>
          <w:b/>
        </w:rPr>
        <w:t>Table 2</w:t>
      </w:r>
      <w:r w:rsidRPr="00CA7110">
        <w:rPr>
          <w:b/>
        </w:rPr>
        <w:t xml:space="preserve">: </w:t>
      </w:r>
      <w:r w:rsidR="008110AE">
        <w:rPr>
          <w:b/>
        </w:rPr>
        <w:t>Phase II focus</w:t>
      </w:r>
      <w:r w:rsidRPr="00CA7110">
        <w:rPr>
          <w:b/>
        </w:rPr>
        <w:t xml:space="preserve"> groups with persons with chronic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620"/>
        <w:gridCol w:w="1449"/>
        <w:gridCol w:w="1791"/>
        <w:gridCol w:w="1278"/>
      </w:tblGrid>
      <w:tr w:rsidR="00D56DF1" w:rsidRPr="003D7FDD">
        <w:tc>
          <w:tcPr>
            <w:tcW w:w="3438"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Audience</w:t>
            </w:r>
          </w:p>
        </w:tc>
        <w:tc>
          <w:tcPr>
            <w:tcW w:w="1620" w:type="dxa"/>
            <w:shd w:val="clear" w:color="auto" w:fill="D9D9D9"/>
          </w:tcPr>
          <w:p w:rsidR="00D56DF1" w:rsidRPr="00264C62" w:rsidRDefault="00D56DF1" w:rsidP="00D56DF1">
            <w:pPr>
              <w:jc w:val="center"/>
              <w:rPr>
                <w:rFonts w:ascii="Arial" w:hAnsi="Arial" w:cs="Arial"/>
                <w:b/>
                <w:sz w:val="20"/>
                <w:szCs w:val="20"/>
              </w:rPr>
            </w:pPr>
            <w:r>
              <w:rPr>
                <w:rFonts w:ascii="Arial" w:hAnsi="Arial" w:cs="Arial"/>
                <w:b/>
                <w:sz w:val="20"/>
                <w:szCs w:val="20"/>
              </w:rPr>
              <w:t>Atlanta, GA</w:t>
            </w:r>
          </w:p>
        </w:tc>
        <w:tc>
          <w:tcPr>
            <w:tcW w:w="1449" w:type="dxa"/>
            <w:shd w:val="clear" w:color="auto" w:fill="D9D9D9"/>
          </w:tcPr>
          <w:p w:rsidR="00D56DF1" w:rsidRPr="00264C62" w:rsidRDefault="00D56DF1" w:rsidP="00D56DF1">
            <w:pPr>
              <w:jc w:val="center"/>
              <w:rPr>
                <w:rFonts w:ascii="Arial" w:hAnsi="Arial" w:cs="Arial"/>
                <w:b/>
                <w:sz w:val="20"/>
                <w:szCs w:val="20"/>
              </w:rPr>
            </w:pPr>
            <w:r>
              <w:rPr>
                <w:rFonts w:ascii="Arial" w:hAnsi="Arial" w:cs="Arial"/>
                <w:b/>
                <w:sz w:val="20"/>
                <w:szCs w:val="20"/>
              </w:rPr>
              <w:t>Houston, TX</w:t>
            </w:r>
          </w:p>
        </w:tc>
        <w:tc>
          <w:tcPr>
            <w:tcW w:w="1791" w:type="dxa"/>
            <w:shd w:val="clear" w:color="auto" w:fill="D9D9D9"/>
          </w:tcPr>
          <w:p w:rsidR="00D56DF1" w:rsidRPr="00264C62" w:rsidRDefault="00D56DF1" w:rsidP="00D56DF1">
            <w:pPr>
              <w:jc w:val="center"/>
              <w:rPr>
                <w:rFonts w:ascii="Arial" w:hAnsi="Arial" w:cs="Arial"/>
                <w:b/>
                <w:sz w:val="20"/>
                <w:szCs w:val="20"/>
              </w:rPr>
            </w:pPr>
            <w:r>
              <w:rPr>
                <w:rFonts w:ascii="Arial" w:hAnsi="Arial" w:cs="Arial"/>
                <w:b/>
                <w:sz w:val="20"/>
                <w:szCs w:val="20"/>
              </w:rPr>
              <w:t>Des Moines, IA</w:t>
            </w:r>
          </w:p>
        </w:tc>
        <w:tc>
          <w:tcPr>
            <w:tcW w:w="1278" w:type="dxa"/>
            <w:shd w:val="clear" w:color="auto" w:fill="D9D9D9"/>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TOTAL</w:t>
            </w:r>
          </w:p>
        </w:tc>
      </w:tr>
      <w:tr w:rsidR="00D56DF1" w:rsidRPr="003D7FDD">
        <w:tc>
          <w:tcPr>
            <w:tcW w:w="3438" w:type="dxa"/>
            <w:shd w:val="clear" w:color="auto" w:fill="auto"/>
          </w:tcPr>
          <w:p w:rsidR="00D56DF1" w:rsidRPr="00264C62" w:rsidRDefault="00D56DF1" w:rsidP="00D56DF1">
            <w:pPr>
              <w:rPr>
                <w:rFonts w:ascii="Arial" w:hAnsi="Arial" w:cs="Arial"/>
                <w:sz w:val="18"/>
                <w:szCs w:val="18"/>
              </w:rPr>
            </w:pPr>
            <w:r w:rsidRPr="00264C62">
              <w:rPr>
                <w:rFonts w:ascii="Arial" w:hAnsi="Arial" w:cs="Arial"/>
                <w:sz w:val="18"/>
                <w:szCs w:val="18"/>
              </w:rPr>
              <w:t xml:space="preserve">Women with 1 or more chronic condition </w:t>
            </w:r>
          </w:p>
        </w:tc>
        <w:tc>
          <w:tcPr>
            <w:tcW w:w="1620"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449"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791"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278" w:type="dxa"/>
            <w:shd w:val="clear" w:color="auto" w:fill="auto"/>
          </w:tcPr>
          <w:p w:rsidR="00D56DF1" w:rsidRPr="00264C62" w:rsidRDefault="00D56DF1" w:rsidP="00D56DF1">
            <w:pPr>
              <w:jc w:val="center"/>
              <w:rPr>
                <w:rFonts w:ascii="Arial" w:hAnsi="Arial" w:cs="Arial"/>
                <w:sz w:val="20"/>
                <w:szCs w:val="20"/>
              </w:rPr>
            </w:pPr>
            <w:r w:rsidRPr="00264C62">
              <w:rPr>
                <w:rFonts w:ascii="Arial" w:hAnsi="Arial" w:cs="Arial"/>
                <w:sz w:val="20"/>
                <w:szCs w:val="20"/>
              </w:rPr>
              <w:t>3</w:t>
            </w:r>
          </w:p>
        </w:tc>
      </w:tr>
      <w:tr w:rsidR="00D56DF1" w:rsidRPr="003D7FDD">
        <w:tc>
          <w:tcPr>
            <w:tcW w:w="3438" w:type="dxa"/>
            <w:shd w:val="clear" w:color="auto" w:fill="auto"/>
          </w:tcPr>
          <w:p w:rsidR="00D56DF1" w:rsidRPr="00264C62" w:rsidRDefault="00D56DF1" w:rsidP="00D56DF1">
            <w:pPr>
              <w:rPr>
                <w:rFonts w:ascii="Arial" w:hAnsi="Arial" w:cs="Arial"/>
                <w:sz w:val="18"/>
                <w:szCs w:val="18"/>
              </w:rPr>
            </w:pPr>
            <w:r w:rsidRPr="00264C62">
              <w:rPr>
                <w:rFonts w:ascii="Arial" w:hAnsi="Arial" w:cs="Arial"/>
                <w:sz w:val="18"/>
                <w:szCs w:val="18"/>
              </w:rPr>
              <w:t xml:space="preserve">Men with 1 or more chronic condition </w:t>
            </w:r>
          </w:p>
        </w:tc>
        <w:tc>
          <w:tcPr>
            <w:tcW w:w="1620"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449"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791" w:type="dxa"/>
            <w:shd w:val="clear" w:color="auto" w:fill="auto"/>
            <w:vAlign w:val="center"/>
          </w:tcPr>
          <w:p w:rsidR="00D56DF1" w:rsidRPr="00264C62" w:rsidRDefault="00D56DF1" w:rsidP="00D56DF1">
            <w:pPr>
              <w:jc w:val="center"/>
              <w:rPr>
                <w:rFonts w:ascii="Arial" w:hAnsi="Arial" w:cs="Arial"/>
                <w:sz w:val="20"/>
                <w:szCs w:val="20"/>
              </w:rPr>
            </w:pPr>
            <w:r w:rsidRPr="00264C62">
              <w:rPr>
                <w:rFonts w:ascii="Arial" w:hAnsi="Arial" w:cs="Arial"/>
                <w:sz w:val="20"/>
                <w:szCs w:val="20"/>
              </w:rPr>
              <w:t>1</w:t>
            </w:r>
          </w:p>
        </w:tc>
        <w:tc>
          <w:tcPr>
            <w:tcW w:w="1278" w:type="dxa"/>
            <w:shd w:val="clear" w:color="auto" w:fill="auto"/>
          </w:tcPr>
          <w:p w:rsidR="00D56DF1" w:rsidRPr="00264C62" w:rsidRDefault="00D56DF1" w:rsidP="00D56DF1">
            <w:pPr>
              <w:jc w:val="center"/>
              <w:rPr>
                <w:rFonts w:ascii="Arial" w:hAnsi="Arial" w:cs="Arial"/>
                <w:sz w:val="20"/>
                <w:szCs w:val="20"/>
              </w:rPr>
            </w:pPr>
            <w:r w:rsidRPr="00264C62">
              <w:rPr>
                <w:rFonts w:ascii="Arial" w:hAnsi="Arial" w:cs="Arial"/>
                <w:sz w:val="20"/>
                <w:szCs w:val="20"/>
              </w:rPr>
              <w:t>3</w:t>
            </w:r>
          </w:p>
        </w:tc>
      </w:tr>
      <w:tr w:rsidR="00D56DF1" w:rsidRPr="003D7FDD">
        <w:tc>
          <w:tcPr>
            <w:tcW w:w="3438" w:type="dxa"/>
            <w:shd w:val="clear" w:color="auto" w:fill="auto"/>
          </w:tcPr>
          <w:p w:rsidR="00D56DF1" w:rsidRPr="00264C62" w:rsidRDefault="00D56DF1" w:rsidP="00D56DF1">
            <w:pPr>
              <w:rPr>
                <w:rFonts w:ascii="Arial" w:hAnsi="Arial" w:cs="Arial"/>
                <w:b/>
                <w:sz w:val="20"/>
                <w:szCs w:val="20"/>
              </w:rPr>
            </w:pPr>
            <w:r w:rsidRPr="00264C62">
              <w:rPr>
                <w:rFonts w:ascii="Arial" w:hAnsi="Arial" w:cs="Arial"/>
                <w:b/>
                <w:sz w:val="20"/>
                <w:szCs w:val="20"/>
              </w:rPr>
              <w:t>TOTAL</w:t>
            </w:r>
          </w:p>
        </w:tc>
        <w:tc>
          <w:tcPr>
            <w:tcW w:w="1620" w:type="dxa"/>
            <w:shd w:val="clear" w:color="auto" w:fill="auto"/>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2</w:t>
            </w:r>
          </w:p>
        </w:tc>
        <w:tc>
          <w:tcPr>
            <w:tcW w:w="1449" w:type="dxa"/>
            <w:shd w:val="clear" w:color="auto" w:fill="auto"/>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2</w:t>
            </w:r>
          </w:p>
        </w:tc>
        <w:tc>
          <w:tcPr>
            <w:tcW w:w="1791" w:type="dxa"/>
            <w:shd w:val="clear" w:color="auto" w:fill="auto"/>
          </w:tcPr>
          <w:p w:rsidR="00D56DF1" w:rsidRPr="00264C62" w:rsidRDefault="00D56DF1" w:rsidP="00D56DF1">
            <w:pPr>
              <w:jc w:val="center"/>
              <w:rPr>
                <w:rFonts w:ascii="Arial" w:hAnsi="Arial" w:cs="Arial"/>
                <w:b/>
                <w:sz w:val="20"/>
                <w:szCs w:val="20"/>
              </w:rPr>
            </w:pPr>
            <w:r w:rsidRPr="00264C62">
              <w:rPr>
                <w:rFonts w:ascii="Arial" w:hAnsi="Arial" w:cs="Arial"/>
                <w:b/>
                <w:sz w:val="20"/>
                <w:szCs w:val="20"/>
              </w:rPr>
              <w:t>2</w:t>
            </w:r>
          </w:p>
        </w:tc>
        <w:tc>
          <w:tcPr>
            <w:tcW w:w="1278" w:type="dxa"/>
            <w:shd w:val="clear" w:color="auto" w:fill="auto"/>
          </w:tcPr>
          <w:p w:rsidR="00D56DF1" w:rsidRPr="006F77EF" w:rsidRDefault="00D56DF1" w:rsidP="00D56DF1">
            <w:pPr>
              <w:jc w:val="center"/>
              <w:rPr>
                <w:rStyle w:val="CommentReference"/>
              </w:rPr>
            </w:pPr>
            <w:r w:rsidRPr="00264C62">
              <w:rPr>
                <w:rStyle w:val="CommentReference"/>
                <w:rFonts w:ascii="Arial" w:hAnsi="Arial" w:cs="Arial"/>
                <w:b/>
                <w:sz w:val="20"/>
                <w:szCs w:val="20"/>
              </w:rPr>
              <w:t>6</w:t>
            </w:r>
          </w:p>
        </w:tc>
      </w:tr>
    </w:tbl>
    <w:p w:rsidR="00D56DF1" w:rsidRDefault="00D56DF1" w:rsidP="00D56DF1">
      <w:pPr>
        <w:rPr>
          <w:b/>
        </w:rPr>
      </w:pPr>
    </w:p>
    <w:p w:rsidR="00D56DF1" w:rsidRPr="0002078C" w:rsidRDefault="00D56DF1" w:rsidP="00D56DF1">
      <w:pPr>
        <w:pStyle w:val="Heading2"/>
        <w:rPr>
          <w:rFonts w:eastAsia="Calibri"/>
        </w:rPr>
      </w:pPr>
      <w:bookmarkStart w:id="2" w:name="_Toc352075184"/>
      <w:r>
        <w:rPr>
          <w:rFonts w:eastAsia="Calibri"/>
        </w:rPr>
        <w:br w:type="page"/>
      </w:r>
      <w:bookmarkStart w:id="3" w:name="_Toc229195215"/>
      <w:r w:rsidRPr="0002078C">
        <w:rPr>
          <w:rFonts w:eastAsia="Calibri"/>
        </w:rPr>
        <w:lastRenderedPageBreak/>
        <w:t xml:space="preserve">Attachment </w:t>
      </w:r>
      <w:proofErr w:type="gramStart"/>
      <w:r w:rsidRPr="0002078C">
        <w:rPr>
          <w:rFonts w:eastAsia="Calibri"/>
        </w:rPr>
        <w:t>1b :</w:t>
      </w:r>
      <w:proofErr w:type="gramEnd"/>
      <w:r w:rsidRPr="0002078C">
        <w:rPr>
          <w:rFonts w:eastAsia="Calibri"/>
        </w:rPr>
        <w:t xml:space="preserve"> Burden Hours and Distribution of Respondents</w:t>
      </w:r>
      <w:bookmarkEnd w:id="2"/>
      <w:bookmarkEnd w:id="3"/>
    </w:p>
    <w:p w:rsidR="00D56DF1" w:rsidRDefault="00D56DF1" w:rsidP="00D56DF1">
      <w:pPr>
        <w:spacing w:after="0" w:line="240" w:lineRule="auto"/>
        <w:rPr>
          <w:rFonts w:cs="Calibri"/>
          <w:i/>
          <w:iCs/>
        </w:rPr>
      </w:pPr>
    </w:p>
    <w:p w:rsidR="00D56DF1" w:rsidRDefault="00D56DF1" w:rsidP="00D56DF1">
      <w:pPr>
        <w:spacing w:after="0" w:line="240" w:lineRule="auto"/>
        <w:jc w:val="center"/>
        <w:rPr>
          <w:rFonts w:cs="Calibri"/>
          <w:b/>
        </w:rPr>
      </w:pPr>
      <w:r>
        <w:rPr>
          <w:rFonts w:cs="Calibri"/>
          <w:b/>
        </w:rPr>
        <w:t xml:space="preserve">Audience Research </w:t>
      </w:r>
      <w:r w:rsidR="00DD6355">
        <w:rPr>
          <w:rFonts w:cs="Calibri"/>
          <w:b/>
        </w:rPr>
        <w:t xml:space="preserve">on </w:t>
      </w:r>
      <w:r>
        <w:rPr>
          <w:rFonts w:cs="Calibri"/>
          <w:b/>
        </w:rPr>
        <w:t xml:space="preserve">Self-Management Education </w:t>
      </w:r>
    </w:p>
    <w:p w:rsidR="00D56DF1" w:rsidRDefault="00D56DF1" w:rsidP="00D56DF1">
      <w:pPr>
        <w:jc w:val="center"/>
        <w:rPr>
          <w:rFonts w:cs="Calibri"/>
          <w:b/>
          <w:bCs/>
        </w:rPr>
      </w:pPr>
    </w:p>
    <w:p w:rsidR="00D56DF1" w:rsidRDefault="00D56DF1" w:rsidP="00D56DF1">
      <w:pPr>
        <w:jc w:val="center"/>
        <w:rPr>
          <w:rFonts w:cs="Calibri"/>
          <w:b/>
          <w:bCs/>
        </w:rPr>
      </w:pPr>
      <w:r w:rsidRPr="0002078C">
        <w:rPr>
          <w:rFonts w:cs="Calibri"/>
          <w:b/>
          <w:bCs/>
        </w:rPr>
        <w:t>Attachment 1</w:t>
      </w:r>
      <w:r w:rsidR="00952A6D">
        <w:rPr>
          <w:rFonts w:cs="Calibri"/>
          <w:b/>
          <w:bCs/>
        </w:rPr>
        <w:t>b</w:t>
      </w:r>
      <w:r w:rsidRPr="0002078C">
        <w:rPr>
          <w:rFonts w:cs="Calibri"/>
          <w:b/>
          <w:bCs/>
        </w:rPr>
        <w:t xml:space="preserve"> to the HMTS Expedited Review Form</w:t>
      </w:r>
    </w:p>
    <w:p w:rsidR="00FD4BE8" w:rsidRPr="0002078C" w:rsidRDefault="001E4338" w:rsidP="00FD4BE8">
      <w:pPr>
        <w:spacing w:after="0" w:line="240" w:lineRule="auto"/>
        <w:jc w:val="center"/>
        <w:rPr>
          <w:rFonts w:eastAsia="Times New Roman" w:cs="Calibri"/>
          <w:b/>
          <w:color w:val="000000"/>
        </w:rPr>
      </w:pPr>
      <w:r>
        <w:rPr>
          <w:rFonts w:eastAsia="Times New Roman" w:cs="Calibri"/>
          <w:b/>
          <w:color w:val="000000"/>
        </w:rPr>
        <w:t>May 16</w:t>
      </w:r>
      <w:r w:rsidR="00FD4BE8">
        <w:rPr>
          <w:rFonts w:eastAsia="Times New Roman" w:cs="Calibri"/>
          <w:b/>
          <w:color w:val="000000"/>
        </w:rPr>
        <w:t>, 2013</w:t>
      </w:r>
    </w:p>
    <w:p w:rsidR="00FD4BE8" w:rsidRPr="0002078C" w:rsidRDefault="00FD4BE8" w:rsidP="00D56DF1">
      <w:pPr>
        <w:jc w:val="center"/>
        <w:rPr>
          <w:rFonts w:cs="Calibri"/>
          <w:b/>
        </w:rPr>
      </w:pPr>
    </w:p>
    <w:p w:rsidR="00D56DF1" w:rsidRDefault="00D56DF1" w:rsidP="00D56DF1">
      <w:pPr>
        <w:rPr>
          <w:rFonts w:cs="Calibri"/>
          <w:b/>
          <w:sz w:val="28"/>
          <w:szCs w:val="28"/>
        </w:rPr>
      </w:pPr>
      <w:r w:rsidRPr="0002078C">
        <w:rPr>
          <w:rFonts w:cs="Calibri"/>
          <w:b/>
          <w:sz w:val="28"/>
          <w:szCs w:val="28"/>
        </w:rPr>
        <w:t>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474"/>
        <w:gridCol w:w="1425"/>
        <w:gridCol w:w="1472"/>
        <w:gridCol w:w="1215"/>
        <w:gridCol w:w="974"/>
      </w:tblGrid>
      <w:tr w:rsidR="008110AE">
        <w:tc>
          <w:tcPr>
            <w:tcW w:w="1728" w:type="dxa"/>
            <w:shd w:val="clear" w:color="auto" w:fill="D9D9D9"/>
            <w:vAlign w:val="center"/>
          </w:tcPr>
          <w:p w:rsidR="008110AE" w:rsidRPr="00264C62" w:rsidRDefault="008110AE" w:rsidP="00133210">
            <w:pPr>
              <w:spacing w:after="0"/>
              <w:jc w:val="center"/>
              <w:rPr>
                <w:rFonts w:cs="Calibri"/>
              </w:rPr>
            </w:pPr>
            <w:r w:rsidRPr="00264C62">
              <w:rPr>
                <w:rFonts w:cs="Calibri"/>
              </w:rPr>
              <w:t>Type of Respondents</w:t>
            </w:r>
          </w:p>
        </w:tc>
        <w:tc>
          <w:tcPr>
            <w:tcW w:w="2474" w:type="dxa"/>
            <w:shd w:val="clear" w:color="auto" w:fill="D9D9D9"/>
            <w:vAlign w:val="center"/>
          </w:tcPr>
          <w:p w:rsidR="008110AE" w:rsidRPr="00264C62" w:rsidRDefault="008110AE" w:rsidP="00133210">
            <w:pPr>
              <w:spacing w:after="0"/>
              <w:jc w:val="center"/>
              <w:rPr>
                <w:rFonts w:cs="Calibri"/>
              </w:rPr>
            </w:pPr>
            <w:r w:rsidRPr="00264C62">
              <w:rPr>
                <w:rFonts w:cs="Calibri"/>
              </w:rPr>
              <w:t>Form Name</w:t>
            </w:r>
          </w:p>
        </w:tc>
        <w:tc>
          <w:tcPr>
            <w:tcW w:w="1425" w:type="dxa"/>
            <w:shd w:val="clear" w:color="auto" w:fill="D9D9D9"/>
            <w:vAlign w:val="center"/>
          </w:tcPr>
          <w:p w:rsidR="008110AE" w:rsidRPr="00264C62" w:rsidRDefault="008110AE" w:rsidP="00133210">
            <w:pPr>
              <w:spacing w:after="0"/>
              <w:jc w:val="center"/>
              <w:rPr>
                <w:rFonts w:cs="Calibri"/>
              </w:rPr>
            </w:pPr>
            <w:r w:rsidRPr="00264C62">
              <w:rPr>
                <w:rFonts w:cs="Calibri"/>
              </w:rPr>
              <w:t>Number of Respondents</w:t>
            </w:r>
          </w:p>
        </w:tc>
        <w:tc>
          <w:tcPr>
            <w:tcW w:w="1472" w:type="dxa"/>
            <w:shd w:val="clear" w:color="auto" w:fill="D9D9D9"/>
            <w:vAlign w:val="center"/>
          </w:tcPr>
          <w:p w:rsidR="008110AE" w:rsidRPr="00264C62" w:rsidRDefault="008110AE" w:rsidP="00133210">
            <w:pPr>
              <w:spacing w:after="0"/>
              <w:jc w:val="center"/>
              <w:rPr>
                <w:rFonts w:cs="Calibri"/>
              </w:rPr>
            </w:pPr>
            <w:r w:rsidRPr="00264C62">
              <w:rPr>
                <w:rFonts w:cs="Calibri"/>
              </w:rPr>
              <w:t>Number of Responses per Respondent</w:t>
            </w:r>
          </w:p>
        </w:tc>
        <w:tc>
          <w:tcPr>
            <w:tcW w:w="1215" w:type="dxa"/>
            <w:shd w:val="clear" w:color="auto" w:fill="D9D9D9"/>
            <w:vAlign w:val="center"/>
          </w:tcPr>
          <w:p w:rsidR="008110AE" w:rsidRPr="00264C62" w:rsidRDefault="008110AE" w:rsidP="00133210">
            <w:pPr>
              <w:spacing w:after="0"/>
              <w:jc w:val="center"/>
              <w:rPr>
                <w:rFonts w:cs="Calibri"/>
              </w:rPr>
            </w:pPr>
            <w:r w:rsidRPr="00264C62">
              <w:rPr>
                <w:rFonts w:cs="Calibri"/>
              </w:rPr>
              <w:t>Burden per Response (in hr)</w:t>
            </w:r>
          </w:p>
        </w:tc>
        <w:tc>
          <w:tcPr>
            <w:tcW w:w="974" w:type="dxa"/>
            <w:shd w:val="clear" w:color="auto" w:fill="D9D9D9"/>
            <w:vAlign w:val="center"/>
          </w:tcPr>
          <w:p w:rsidR="008110AE" w:rsidRPr="00264C62" w:rsidRDefault="008110AE" w:rsidP="00133210">
            <w:pPr>
              <w:spacing w:after="0"/>
              <w:jc w:val="center"/>
              <w:rPr>
                <w:rFonts w:cs="Calibri"/>
              </w:rPr>
            </w:pPr>
            <w:r w:rsidRPr="00264C62">
              <w:rPr>
                <w:rFonts w:cs="Calibri"/>
              </w:rPr>
              <w:t>Total Burden (in hr)</w:t>
            </w:r>
          </w:p>
        </w:tc>
      </w:tr>
      <w:tr w:rsidR="008110AE">
        <w:tc>
          <w:tcPr>
            <w:tcW w:w="1728" w:type="dxa"/>
            <w:vMerge w:val="restart"/>
            <w:shd w:val="clear" w:color="auto" w:fill="auto"/>
            <w:vAlign w:val="center"/>
          </w:tcPr>
          <w:p w:rsidR="008110AE" w:rsidRPr="00264C62" w:rsidRDefault="008110AE" w:rsidP="00133210">
            <w:pPr>
              <w:spacing w:after="0"/>
              <w:jc w:val="center"/>
              <w:rPr>
                <w:rFonts w:cs="Calibri"/>
              </w:rPr>
            </w:pPr>
            <w:r>
              <w:rPr>
                <w:rFonts w:cs="Calibri"/>
              </w:rPr>
              <w:t>Individuals</w:t>
            </w:r>
            <w:r w:rsidRPr="00264C62">
              <w:rPr>
                <w:rFonts w:cs="Calibri"/>
              </w:rPr>
              <w:t xml:space="preserve"> with 1 or more chronic condition</w:t>
            </w:r>
            <w:r w:rsidR="00BC2DD2">
              <w:rPr>
                <w:rFonts w:cs="Calibri"/>
              </w:rPr>
              <w:t>s</w:t>
            </w:r>
            <w:r w:rsidRPr="00264C62">
              <w:rPr>
                <w:rFonts w:cs="Calibri"/>
              </w:rPr>
              <w:t xml:space="preserve"> </w:t>
            </w:r>
          </w:p>
        </w:tc>
        <w:tc>
          <w:tcPr>
            <w:tcW w:w="2474" w:type="dxa"/>
            <w:shd w:val="clear" w:color="auto" w:fill="auto"/>
            <w:vAlign w:val="center"/>
          </w:tcPr>
          <w:p w:rsidR="008110AE" w:rsidRPr="00264C62" w:rsidRDefault="008110AE" w:rsidP="00A837CE">
            <w:pPr>
              <w:spacing w:after="0"/>
              <w:jc w:val="center"/>
              <w:rPr>
                <w:rFonts w:cs="Calibri"/>
              </w:rPr>
            </w:pPr>
            <w:r>
              <w:rPr>
                <w:rFonts w:cs="Calibri"/>
              </w:rPr>
              <w:t>Focus</w:t>
            </w:r>
            <w:r w:rsidRPr="00264C62">
              <w:rPr>
                <w:rFonts w:cs="Calibri"/>
              </w:rPr>
              <w:t xml:space="preserve"> Group </w:t>
            </w:r>
            <w:r w:rsidR="00A837CE">
              <w:rPr>
                <w:rFonts w:cs="Calibri"/>
              </w:rPr>
              <w:t>Eligibility</w:t>
            </w:r>
            <w:r w:rsidR="00A837CE" w:rsidRPr="00264C62">
              <w:rPr>
                <w:rFonts w:cs="Calibri"/>
              </w:rPr>
              <w:t xml:space="preserve"> </w:t>
            </w:r>
            <w:r w:rsidRPr="00264C62">
              <w:rPr>
                <w:rFonts w:cs="Calibri"/>
              </w:rPr>
              <w:t>Screener</w:t>
            </w:r>
            <w:r>
              <w:rPr>
                <w:rFonts w:cs="Calibri"/>
              </w:rPr>
              <w:t xml:space="preserve"> (Phase I and Phase II)</w:t>
            </w:r>
          </w:p>
        </w:tc>
        <w:tc>
          <w:tcPr>
            <w:tcW w:w="1425" w:type="dxa"/>
            <w:shd w:val="clear" w:color="auto" w:fill="auto"/>
            <w:vAlign w:val="center"/>
          </w:tcPr>
          <w:p w:rsidR="008110AE" w:rsidRPr="00264C62" w:rsidRDefault="008110AE" w:rsidP="00133210">
            <w:pPr>
              <w:spacing w:after="0"/>
              <w:jc w:val="center"/>
              <w:rPr>
                <w:rFonts w:cs="Calibri"/>
              </w:rPr>
            </w:pPr>
            <w:r>
              <w:rPr>
                <w:rFonts w:cs="Calibri"/>
              </w:rPr>
              <w:t>120</w:t>
            </w:r>
          </w:p>
        </w:tc>
        <w:tc>
          <w:tcPr>
            <w:tcW w:w="1472" w:type="dxa"/>
            <w:shd w:val="clear" w:color="auto" w:fill="auto"/>
            <w:vAlign w:val="center"/>
          </w:tcPr>
          <w:p w:rsidR="008110AE" w:rsidRPr="00264C62" w:rsidRDefault="008110AE" w:rsidP="00133210">
            <w:pPr>
              <w:spacing w:after="0"/>
              <w:jc w:val="center"/>
              <w:rPr>
                <w:rFonts w:cs="Calibri"/>
              </w:rPr>
            </w:pPr>
            <w:r w:rsidRPr="00264C62">
              <w:rPr>
                <w:rFonts w:cs="Calibri"/>
              </w:rPr>
              <w:t>1</w:t>
            </w:r>
          </w:p>
        </w:tc>
        <w:tc>
          <w:tcPr>
            <w:tcW w:w="1215" w:type="dxa"/>
            <w:shd w:val="clear" w:color="auto" w:fill="auto"/>
            <w:vAlign w:val="center"/>
          </w:tcPr>
          <w:p w:rsidR="008110AE" w:rsidRPr="00264C62" w:rsidRDefault="008110AE" w:rsidP="00133210">
            <w:pPr>
              <w:spacing w:after="0"/>
              <w:jc w:val="center"/>
              <w:rPr>
                <w:rFonts w:cs="Calibri"/>
              </w:rPr>
            </w:pPr>
            <w:r w:rsidRPr="00264C62">
              <w:rPr>
                <w:rFonts w:cs="Calibri"/>
              </w:rPr>
              <w:t>10/60</w:t>
            </w:r>
          </w:p>
        </w:tc>
        <w:tc>
          <w:tcPr>
            <w:tcW w:w="974" w:type="dxa"/>
            <w:shd w:val="clear" w:color="auto" w:fill="auto"/>
            <w:vAlign w:val="center"/>
          </w:tcPr>
          <w:p w:rsidR="008110AE" w:rsidRPr="00264C62" w:rsidRDefault="008110AE" w:rsidP="00133210">
            <w:pPr>
              <w:spacing w:after="0"/>
              <w:jc w:val="center"/>
              <w:rPr>
                <w:rFonts w:cs="Calibri"/>
              </w:rPr>
            </w:pPr>
            <w:r>
              <w:rPr>
                <w:rFonts w:cs="Calibri"/>
              </w:rPr>
              <w:t>20</w:t>
            </w:r>
          </w:p>
        </w:tc>
      </w:tr>
      <w:tr w:rsidR="008110AE">
        <w:tc>
          <w:tcPr>
            <w:tcW w:w="1728" w:type="dxa"/>
            <w:vMerge/>
            <w:shd w:val="clear" w:color="auto" w:fill="auto"/>
            <w:vAlign w:val="center"/>
          </w:tcPr>
          <w:p w:rsidR="008110AE" w:rsidRPr="00264C62" w:rsidRDefault="008110AE" w:rsidP="00133210">
            <w:pPr>
              <w:spacing w:after="0"/>
              <w:jc w:val="center"/>
              <w:rPr>
                <w:rFonts w:cs="Calibri"/>
              </w:rPr>
            </w:pPr>
          </w:p>
        </w:tc>
        <w:tc>
          <w:tcPr>
            <w:tcW w:w="2474" w:type="dxa"/>
            <w:shd w:val="clear" w:color="auto" w:fill="auto"/>
            <w:vAlign w:val="center"/>
          </w:tcPr>
          <w:p w:rsidR="008110AE" w:rsidRPr="00264C62" w:rsidRDefault="008110AE" w:rsidP="00133210">
            <w:pPr>
              <w:spacing w:after="0"/>
              <w:jc w:val="center"/>
              <w:rPr>
                <w:rFonts w:cs="Calibri"/>
              </w:rPr>
            </w:pPr>
            <w:r w:rsidRPr="00264C62">
              <w:rPr>
                <w:rFonts w:cs="Calibri"/>
              </w:rPr>
              <w:t xml:space="preserve">Moderator’s Guide for </w:t>
            </w:r>
            <w:r>
              <w:rPr>
                <w:rFonts w:cs="Calibri"/>
              </w:rPr>
              <w:t xml:space="preserve">Phase I </w:t>
            </w:r>
            <w:r w:rsidRPr="00264C62">
              <w:rPr>
                <w:rFonts w:cs="Calibri"/>
              </w:rPr>
              <w:t xml:space="preserve">Focus Groups </w:t>
            </w:r>
          </w:p>
        </w:tc>
        <w:tc>
          <w:tcPr>
            <w:tcW w:w="1425" w:type="dxa"/>
            <w:shd w:val="clear" w:color="auto" w:fill="auto"/>
            <w:vAlign w:val="center"/>
          </w:tcPr>
          <w:p w:rsidR="008110AE" w:rsidRPr="00264C62" w:rsidRDefault="008110AE" w:rsidP="00133210">
            <w:pPr>
              <w:spacing w:after="0"/>
              <w:jc w:val="center"/>
              <w:rPr>
                <w:rFonts w:cs="Calibri"/>
              </w:rPr>
            </w:pPr>
            <w:r>
              <w:rPr>
                <w:rFonts w:cs="Calibri"/>
              </w:rPr>
              <w:t>60</w:t>
            </w:r>
          </w:p>
        </w:tc>
        <w:tc>
          <w:tcPr>
            <w:tcW w:w="1472" w:type="dxa"/>
            <w:shd w:val="clear" w:color="auto" w:fill="auto"/>
            <w:vAlign w:val="center"/>
          </w:tcPr>
          <w:p w:rsidR="008110AE" w:rsidRPr="00264C62" w:rsidRDefault="008110AE" w:rsidP="00133210">
            <w:pPr>
              <w:spacing w:after="0"/>
              <w:jc w:val="center"/>
              <w:rPr>
                <w:rFonts w:cs="Calibri"/>
              </w:rPr>
            </w:pPr>
            <w:r w:rsidRPr="00264C62">
              <w:rPr>
                <w:rFonts w:cs="Calibri"/>
              </w:rPr>
              <w:t>1</w:t>
            </w:r>
          </w:p>
        </w:tc>
        <w:tc>
          <w:tcPr>
            <w:tcW w:w="1215" w:type="dxa"/>
            <w:shd w:val="clear" w:color="auto" w:fill="auto"/>
            <w:vAlign w:val="center"/>
          </w:tcPr>
          <w:p w:rsidR="008110AE" w:rsidRPr="00264C62" w:rsidRDefault="008110AE" w:rsidP="00133210">
            <w:pPr>
              <w:spacing w:after="0"/>
              <w:jc w:val="center"/>
              <w:rPr>
                <w:rFonts w:cs="Calibri"/>
              </w:rPr>
            </w:pPr>
            <w:r w:rsidRPr="00264C62">
              <w:rPr>
                <w:rFonts w:cs="Calibri"/>
              </w:rPr>
              <w:t>90/60</w:t>
            </w:r>
          </w:p>
        </w:tc>
        <w:tc>
          <w:tcPr>
            <w:tcW w:w="974" w:type="dxa"/>
            <w:shd w:val="clear" w:color="auto" w:fill="auto"/>
            <w:vAlign w:val="center"/>
          </w:tcPr>
          <w:p w:rsidR="008110AE" w:rsidRPr="00264C62" w:rsidRDefault="008110AE" w:rsidP="00133210">
            <w:pPr>
              <w:spacing w:after="0"/>
              <w:jc w:val="center"/>
              <w:rPr>
                <w:rFonts w:cs="Calibri"/>
              </w:rPr>
            </w:pPr>
            <w:r>
              <w:rPr>
                <w:rFonts w:cs="Calibri"/>
              </w:rPr>
              <w:t>90</w:t>
            </w:r>
          </w:p>
        </w:tc>
      </w:tr>
      <w:tr w:rsidR="008110AE">
        <w:tc>
          <w:tcPr>
            <w:tcW w:w="1728" w:type="dxa"/>
            <w:vMerge/>
            <w:shd w:val="clear" w:color="auto" w:fill="auto"/>
            <w:vAlign w:val="center"/>
          </w:tcPr>
          <w:p w:rsidR="008110AE" w:rsidRPr="00264C62" w:rsidRDefault="008110AE" w:rsidP="00133210">
            <w:pPr>
              <w:spacing w:after="0"/>
              <w:jc w:val="center"/>
              <w:rPr>
                <w:rFonts w:cs="Calibri"/>
              </w:rPr>
            </w:pPr>
          </w:p>
        </w:tc>
        <w:tc>
          <w:tcPr>
            <w:tcW w:w="2474" w:type="dxa"/>
            <w:shd w:val="clear" w:color="auto" w:fill="auto"/>
            <w:vAlign w:val="center"/>
          </w:tcPr>
          <w:p w:rsidR="008110AE" w:rsidRPr="00264C62" w:rsidRDefault="008110AE" w:rsidP="00133210">
            <w:pPr>
              <w:spacing w:after="0"/>
              <w:jc w:val="center"/>
              <w:rPr>
                <w:rFonts w:cs="Calibri"/>
              </w:rPr>
            </w:pPr>
            <w:r w:rsidRPr="00264C62">
              <w:rPr>
                <w:rFonts w:cs="Calibri"/>
              </w:rPr>
              <w:t xml:space="preserve">Moderator’s Guide for </w:t>
            </w:r>
            <w:r>
              <w:rPr>
                <w:rFonts w:cs="Calibri"/>
              </w:rPr>
              <w:t xml:space="preserve">Phase II </w:t>
            </w:r>
            <w:r w:rsidRPr="00264C62">
              <w:rPr>
                <w:rFonts w:cs="Calibri"/>
              </w:rPr>
              <w:t xml:space="preserve">Focus Groups </w:t>
            </w:r>
          </w:p>
        </w:tc>
        <w:tc>
          <w:tcPr>
            <w:tcW w:w="1425" w:type="dxa"/>
            <w:shd w:val="clear" w:color="auto" w:fill="auto"/>
            <w:vAlign w:val="center"/>
          </w:tcPr>
          <w:p w:rsidR="008110AE" w:rsidRDefault="008110AE" w:rsidP="00133210">
            <w:pPr>
              <w:spacing w:after="0"/>
              <w:jc w:val="center"/>
              <w:rPr>
                <w:rFonts w:cs="Calibri"/>
              </w:rPr>
            </w:pPr>
            <w:r>
              <w:rPr>
                <w:rFonts w:cs="Calibri"/>
              </w:rPr>
              <w:t>60</w:t>
            </w:r>
          </w:p>
        </w:tc>
        <w:tc>
          <w:tcPr>
            <w:tcW w:w="1472" w:type="dxa"/>
            <w:shd w:val="clear" w:color="auto" w:fill="auto"/>
            <w:vAlign w:val="center"/>
          </w:tcPr>
          <w:p w:rsidR="008110AE" w:rsidRPr="00264C62" w:rsidRDefault="008110AE" w:rsidP="00133210">
            <w:pPr>
              <w:spacing w:after="0"/>
              <w:jc w:val="center"/>
              <w:rPr>
                <w:rFonts w:cs="Calibri"/>
              </w:rPr>
            </w:pPr>
            <w:r>
              <w:rPr>
                <w:rFonts w:cs="Calibri"/>
              </w:rPr>
              <w:t>1</w:t>
            </w:r>
          </w:p>
        </w:tc>
        <w:tc>
          <w:tcPr>
            <w:tcW w:w="1215" w:type="dxa"/>
            <w:shd w:val="clear" w:color="auto" w:fill="auto"/>
            <w:vAlign w:val="center"/>
          </w:tcPr>
          <w:p w:rsidR="008110AE" w:rsidRPr="00264C62" w:rsidRDefault="008110AE" w:rsidP="00133210">
            <w:pPr>
              <w:spacing w:after="0"/>
              <w:jc w:val="center"/>
              <w:rPr>
                <w:rFonts w:cs="Calibri"/>
              </w:rPr>
            </w:pPr>
            <w:r w:rsidRPr="00264C62">
              <w:rPr>
                <w:rFonts w:cs="Calibri"/>
              </w:rPr>
              <w:t>90/60</w:t>
            </w:r>
          </w:p>
        </w:tc>
        <w:tc>
          <w:tcPr>
            <w:tcW w:w="974" w:type="dxa"/>
            <w:shd w:val="clear" w:color="auto" w:fill="auto"/>
            <w:vAlign w:val="center"/>
          </w:tcPr>
          <w:p w:rsidR="008110AE" w:rsidRDefault="008110AE" w:rsidP="00133210">
            <w:pPr>
              <w:spacing w:after="0"/>
              <w:jc w:val="center"/>
              <w:rPr>
                <w:rFonts w:cs="Calibri"/>
              </w:rPr>
            </w:pPr>
            <w:r>
              <w:rPr>
                <w:rFonts w:cs="Calibri"/>
              </w:rPr>
              <w:t>90</w:t>
            </w:r>
          </w:p>
        </w:tc>
      </w:tr>
      <w:tr w:rsidR="008110AE">
        <w:tc>
          <w:tcPr>
            <w:tcW w:w="8314" w:type="dxa"/>
            <w:gridSpan w:val="5"/>
            <w:shd w:val="clear" w:color="auto" w:fill="auto"/>
            <w:vAlign w:val="center"/>
          </w:tcPr>
          <w:p w:rsidR="008110AE" w:rsidRPr="00264C62" w:rsidRDefault="008110AE" w:rsidP="00133210">
            <w:pPr>
              <w:spacing w:after="0"/>
              <w:jc w:val="right"/>
              <w:rPr>
                <w:rFonts w:cs="Calibri"/>
              </w:rPr>
            </w:pPr>
            <w:r w:rsidRPr="00264C62">
              <w:rPr>
                <w:rFonts w:cs="Calibri"/>
              </w:rPr>
              <w:t>Total</w:t>
            </w:r>
          </w:p>
        </w:tc>
        <w:tc>
          <w:tcPr>
            <w:tcW w:w="974" w:type="dxa"/>
            <w:shd w:val="clear" w:color="auto" w:fill="auto"/>
            <w:vAlign w:val="center"/>
          </w:tcPr>
          <w:p w:rsidR="008110AE" w:rsidRPr="00264C62" w:rsidRDefault="008110AE" w:rsidP="00133210">
            <w:pPr>
              <w:spacing w:after="0"/>
              <w:jc w:val="center"/>
              <w:rPr>
                <w:rFonts w:cs="Calibri"/>
                <w:b/>
              </w:rPr>
            </w:pPr>
            <w:r>
              <w:rPr>
                <w:rFonts w:cs="Calibri"/>
                <w:b/>
              </w:rPr>
              <w:t>200</w:t>
            </w:r>
          </w:p>
        </w:tc>
      </w:tr>
    </w:tbl>
    <w:p w:rsidR="008110AE" w:rsidRPr="0002078C" w:rsidRDefault="008110AE" w:rsidP="00D56DF1">
      <w:pPr>
        <w:rPr>
          <w:rFonts w:cs="Calibri"/>
          <w:b/>
          <w:sz w:val="28"/>
          <w:szCs w:val="28"/>
        </w:rPr>
      </w:pPr>
    </w:p>
    <w:p w:rsidR="00D56DF1"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rsidR="00D56DF1"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rsidR="00D56DF1"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rsidR="00D56DF1"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sz w:val="28"/>
          <w:szCs w:val="28"/>
        </w:rPr>
      </w:pPr>
    </w:p>
    <w:p w:rsidR="008110AE" w:rsidRDefault="008110AE">
      <w:pPr>
        <w:spacing w:after="0" w:line="240" w:lineRule="auto"/>
        <w:rPr>
          <w:b/>
          <w:sz w:val="28"/>
          <w:szCs w:val="28"/>
        </w:rPr>
      </w:pPr>
      <w:r>
        <w:rPr>
          <w:b/>
          <w:sz w:val="28"/>
          <w:szCs w:val="28"/>
        </w:rPr>
        <w:br w:type="page"/>
      </w:r>
    </w:p>
    <w:p w:rsidR="00D56DF1" w:rsidRPr="0011740D" w:rsidRDefault="00D56DF1"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8"/>
          <w:szCs w:val="28"/>
        </w:rPr>
      </w:pPr>
      <w:r>
        <w:rPr>
          <w:b/>
          <w:sz w:val="28"/>
          <w:szCs w:val="28"/>
        </w:rPr>
        <w:lastRenderedPageBreak/>
        <w:t>Total Number of R</w:t>
      </w:r>
      <w:r w:rsidRPr="0011740D">
        <w:rPr>
          <w:b/>
          <w:sz w:val="28"/>
          <w:szCs w:val="28"/>
        </w:rPr>
        <w:t xml:space="preserve">espondents </w:t>
      </w:r>
      <w:r>
        <w:rPr>
          <w:b/>
          <w:sz w:val="28"/>
          <w:szCs w:val="28"/>
        </w:rPr>
        <w:t>and Distribution by Region</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1873"/>
        <w:gridCol w:w="2140"/>
        <w:gridCol w:w="2408"/>
      </w:tblGrid>
      <w:tr w:rsidR="00D56DF1">
        <w:trPr>
          <w:trHeight w:val="1175"/>
        </w:trPr>
        <w:tc>
          <w:tcPr>
            <w:tcW w:w="3228" w:type="dxa"/>
            <w:shd w:val="clear" w:color="auto" w:fill="F2F2F2"/>
            <w:vAlign w:val="center"/>
          </w:tcPr>
          <w:p w:rsidR="00D56DF1" w:rsidRPr="00264C62" w:rsidRDefault="00D56DF1" w:rsidP="00D56DF1">
            <w:pPr>
              <w:jc w:val="center"/>
              <w:rPr>
                <w:b/>
              </w:rPr>
            </w:pPr>
            <w:r w:rsidRPr="00264C62">
              <w:rPr>
                <w:b/>
              </w:rPr>
              <w:t>Type of discussion group</w:t>
            </w:r>
          </w:p>
        </w:tc>
        <w:tc>
          <w:tcPr>
            <w:tcW w:w="1873" w:type="dxa"/>
            <w:shd w:val="clear" w:color="auto" w:fill="F2F2F2"/>
          </w:tcPr>
          <w:p w:rsidR="00D56DF1" w:rsidRPr="00264C62" w:rsidRDefault="00D56DF1" w:rsidP="00D56DF1">
            <w:pPr>
              <w:jc w:val="center"/>
              <w:rPr>
                <w:b/>
              </w:rPr>
            </w:pPr>
          </w:p>
          <w:p w:rsidR="00D56DF1" w:rsidRPr="00264C62" w:rsidRDefault="00D56DF1" w:rsidP="00D56DF1">
            <w:pPr>
              <w:jc w:val="center"/>
              <w:rPr>
                <w:b/>
              </w:rPr>
            </w:pPr>
            <w:r w:rsidRPr="00264C62">
              <w:rPr>
                <w:b/>
              </w:rPr>
              <w:t xml:space="preserve">Total # of groups </w:t>
            </w:r>
            <w:r w:rsidRPr="00264C62">
              <w:rPr>
                <w:b/>
                <w:i/>
                <w:sz w:val="16"/>
                <w:szCs w:val="16"/>
              </w:rPr>
              <w:t>(across all 3 regions*)</w:t>
            </w:r>
          </w:p>
        </w:tc>
        <w:tc>
          <w:tcPr>
            <w:tcW w:w="2140" w:type="dxa"/>
            <w:shd w:val="clear" w:color="auto" w:fill="F2F2F2"/>
            <w:vAlign w:val="center"/>
          </w:tcPr>
          <w:p w:rsidR="00D56DF1" w:rsidRPr="00264C62" w:rsidRDefault="00D56DF1" w:rsidP="00D56DF1">
            <w:pPr>
              <w:jc w:val="center"/>
              <w:rPr>
                <w:b/>
              </w:rPr>
            </w:pPr>
            <w:r w:rsidRPr="00264C62">
              <w:rPr>
                <w:b/>
              </w:rPr>
              <w:t>Total # of respondents that will be recruited for each group</w:t>
            </w:r>
          </w:p>
        </w:tc>
        <w:tc>
          <w:tcPr>
            <w:tcW w:w="2408" w:type="dxa"/>
            <w:shd w:val="clear" w:color="auto" w:fill="F2F2F2"/>
            <w:vAlign w:val="center"/>
          </w:tcPr>
          <w:p w:rsidR="00D56DF1" w:rsidRPr="00264C62" w:rsidRDefault="00D56DF1" w:rsidP="00CF44D2">
            <w:pPr>
              <w:jc w:val="center"/>
              <w:rPr>
                <w:b/>
              </w:rPr>
            </w:pPr>
            <w:r w:rsidRPr="00264C62">
              <w:rPr>
                <w:b/>
              </w:rPr>
              <w:t xml:space="preserve">Total # of respondents </w:t>
            </w:r>
          </w:p>
        </w:tc>
      </w:tr>
      <w:tr w:rsidR="00D56DF1">
        <w:trPr>
          <w:trHeight w:val="792"/>
        </w:trPr>
        <w:tc>
          <w:tcPr>
            <w:tcW w:w="3228" w:type="dxa"/>
            <w:shd w:val="clear" w:color="auto" w:fill="auto"/>
            <w:vAlign w:val="center"/>
          </w:tcPr>
          <w:p w:rsidR="00D56DF1" w:rsidRPr="00264C62" w:rsidRDefault="00CF44D2" w:rsidP="00BC2DD2">
            <w:pPr>
              <w:jc w:val="center"/>
              <w:rPr>
                <w:sz w:val="20"/>
                <w:szCs w:val="20"/>
              </w:rPr>
            </w:pPr>
            <w:r>
              <w:rPr>
                <w:sz w:val="20"/>
                <w:szCs w:val="20"/>
              </w:rPr>
              <w:t xml:space="preserve">Phase I </w:t>
            </w:r>
            <w:r w:rsidR="00D56DF1" w:rsidRPr="00264C62">
              <w:rPr>
                <w:sz w:val="20"/>
                <w:szCs w:val="20"/>
              </w:rPr>
              <w:t>Focus Groups with</w:t>
            </w:r>
            <w:r w:rsidR="00BC2DD2">
              <w:rPr>
                <w:sz w:val="20"/>
                <w:szCs w:val="20"/>
              </w:rPr>
              <w:t xml:space="preserve"> </w:t>
            </w:r>
            <w:r w:rsidR="00BC2DD2" w:rsidRPr="00BC2DD2">
              <w:rPr>
                <w:sz w:val="20"/>
                <w:szCs w:val="20"/>
              </w:rPr>
              <w:t>individuals with 1 or more chronic conditions</w:t>
            </w:r>
            <w:r w:rsidR="00BC2DD2" w:rsidRPr="00264C62">
              <w:rPr>
                <w:rFonts w:cs="Calibri"/>
              </w:rPr>
              <w:t xml:space="preserve"> </w:t>
            </w:r>
          </w:p>
        </w:tc>
        <w:tc>
          <w:tcPr>
            <w:tcW w:w="1873" w:type="dxa"/>
            <w:shd w:val="clear" w:color="auto" w:fill="auto"/>
            <w:vAlign w:val="center"/>
          </w:tcPr>
          <w:p w:rsidR="00FD0DD1" w:rsidRDefault="00FD0DD1" w:rsidP="00D56DF1">
            <w:pPr>
              <w:jc w:val="center"/>
              <w:rPr>
                <w:sz w:val="20"/>
                <w:szCs w:val="20"/>
              </w:rPr>
            </w:pPr>
          </w:p>
          <w:p w:rsidR="00D56DF1" w:rsidRPr="00264C62" w:rsidRDefault="00D56DF1" w:rsidP="00D56DF1">
            <w:pPr>
              <w:jc w:val="center"/>
              <w:rPr>
                <w:sz w:val="20"/>
                <w:szCs w:val="20"/>
              </w:rPr>
            </w:pPr>
            <w:r w:rsidRPr="00264C62">
              <w:rPr>
                <w:sz w:val="20"/>
                <w:szCs w:val="20"/>
              </w:rPr>
              <w:t>6</w:t>
            </w:r>
          </w:p>
          <w:p w:rsidR="00D56DF1" w:rsidRPr="00264C62" w:rsidRDefault="00D56DF1" w:rsidP="00D56DF1">
            <w:pPr>
              <w:jc w:val="center"/>
              <w:rPr>
                <w:i/>
                <w:sz w:val="20"/>
                <w:szCs w:val="20"/>
              </w:rPr>
            </w:pPr>
            <w:r w:rsidRPr="00264C62">
              <w:rPr>
                <w:i/>
                <w:sz w:val="20"/>
                <w:szCs w:val="20"/>
              </w:rPr>
              <w:t>(2 in each region)</w:t>
            </w:r>
          </w:p>
        </w:tc>
        <w:tc>
          <w:tcPr>
            <w:tcW w:w="2140" w:type="dxa"/>
            <w:shd w:val="clear" w:color="auto" w:fill="auto"/>
            <w:vAlign w:val="center"/>
          </w:tcPr>
          <w:p w:rsidR="00D56DF1" w:rsidRPr="00264C62" w:rsidRDefault="00D56DF1" w:rsidP="00D56DF1">
            <w:pPr>
              <w:jc w:val="center"/>
              <w:rPr>
                <w:sz w:val="20"/>
                <w:szCs w:val="20"/>
              </w:rPr>
            </w:pPr>
            <w:r w:rsidRPr="00264C62">
              <w:rPr>
                <w:sz w:val="20"/>
                <w:szCs w:val="20"/>
              </w:rPr>
              <w:t>10</w:t>
            </w:r>
          </w:p>
        </w:tc>
        <w:tc>
          <w:tcPr>
            <w:tcW w:w="2408" w:type="dxa"/>
            <w:shd w:val="clear" w:color="auto" w:fill="auto"/>
            <w:vAlign w:val="center"/>
          </w:tcPr>
          <w:p w:rsidR="00D56DF1" w:rsidRPr="00264C62" w:rsidRDefault="00D56DF1" w:rsidP="00D56DF1">
            <w:pPr>
              <w:jc w:val="center"/>
              <w:rPr>
                <w:sz w:val="20"/>
                <w:szCs w:val="20"/>
              </w:rPr>
            </w:pPr>
            <w:r w:rsidRPr="00264C62">
              <w:rPr>
                <w:b/>
                <w:sz w:val="20"/>
                <w:szCs w:val="20"/>
              </w:rPr>
              <w:t xml:space="preserve">60 </w:t>
            </w:r>
            <w:r w:rsidRPr="00264C62">
              <w:rPr>
                <w:sz w:val="20"/>
                <w:szCs w:val="20"/>
              </w:rPr>
              <w:t>respondents</w:t>
            </w:r>
          </w:p>
        </w:tc>
      </w:tr>
      <w:tr w:rsidR="00D56DF1">
        <w:trPr>
          <w:trHeight w:val="779"/>
        </w:trPr>
        <w:tc>
          <w:tcPr>
            <w:tcW w:w="3228" w:type="dxa"/>
            <w:shd w:val="clear" w:color="auto" w:fill="auto"/>
            <w:vAlign w:val="center"/>
          </w:tcPr>
          <w:p w:rsidR="00D56DF1" w:rsidRPr="00264C62" w:rsidRDefault="00CF44D2" w:rsidP="00BC2DD2">
            <w:pPr>
              <w:jc w:val="center"/>
              <w:rPr>
                <w:sz w:val="20"/>
                <w:szCs w:val="20"/>
              </w:rPr>
            </w:pPr>
            <w:r>
              <w:rPr>
                <w:sz w:val="20"/>
                <w:szCs w:val="20"/>
              </w:rPr>
              <w:t xml:space="preserve">Phase II </w:t>
            </w:r>
            <w:r w:rsidR="00D56DF1" w:rsidRPr="00264C62">
              <w:rPr>
                <w:sz w:val="20"/>
                <w:szCs w:val="20"/>
              </w:rPr>
              <w:t>Focus Groups with</w:t>
            </w:r>
            <w:r w:rsidR="00BC2DD2">
              <w:rPr>
                <w:sz w:val="20"/>
                <w:szCs w:val="20"/>
              </w:rPr>
              <w:t xml:space="preserve"> </w:t>
            </w:r>
            <w:r w:rsidR="00BC2DD2" w:rsidRPr="00BC2DD2">
              <w:rPr>
                <w:sz w:val="20"/>
                <w:szCs w:val="20"/>
              </w:rPr>
              <w:t>individuals with 1 or more chronic conditions</w:t>
            </w:r>
            <w:r w:rsidR="00BC2DD2" w:rsidRPr="00264C62">
              <w:rPr>
                <w:rFonts w:cs="Calibri"/>
              </w:rPr>
              <w:t xml:space="preserve"> </w:t>
            </w:r>
          </w:p>
        </w:tc>
        <w:tc>
          <w:tcPr>
            <w:tcW w:w="1873" w:type="dxa"/>
            <w:shd w:val="clear" w:color="auto" w:fill="auto"/>
            <w:vAlign w:val="center"/>
          </w:tcPr>
          <w:p w:rsidR="00FD0DD1" w:rsidRDefault="00FD0DD1" w:rsidP="00D56DF1">
            <w:pPr>
              <w:jc w:val="center"/>
              <w:rPr>
                <w:sz w:val="20"/>
                <w:szCs w:val="20"/>
              </w:rPr>
            </w:pPr>
          </w:p>
          <w:p w:rsidR="00D56DF1" w:rsidRPr="00264C62" w:rsidRDefault="00D56DF1" w:rsidP="00D56DF1">
            <w:pPr>
              <w:jc w:val="center"/>
              <w:rPr>
                <w:sz w:val="20"/>
                <w:szCs w:val="20"/>
              </w:rPr>
            </w:pPr>
            <w:r w:rsidRPr="00264C62">
              <w:rPr>
                <w:sz w:val="20"/>
                <w:szCs w:val="20"/>
              </w:rPr>
              <w:t>6</w:t>
            </w:r>
          </w:p>
          <w:p w:rsidR="00D56DF1" w:rsidRPr="00264C62" w:rsidRDefault="00D56DF1" w:rsidP="00D56DF1">
            <w:pPr>
              <w:jc w:val="center"/>
              <w:rPr>
                <w:i/>
                <w:sz w:val="20"/>
                <w:szCs w:val="20"/>
              </w:rPr>
            </w:pPr>
            <w:r w:rsidRPr="00264C62">
              <w:rPr>
                <w:i/>
                <w:sz w:val="20"/>
                <w:szCs w:val="20"/>
              </w:rPr>
              <w:t>(2 in each region)</w:t>
            </w:r>
          </w:p>
        </w:tc>
        <w:tc>
          <w:tcPr>
            <w:tcW w:w="2140" w:type="dxa"/>
            <w:shd w:val="clear" w:color="auto" w:fill="auto"/>
            <w:vAlign w:val="center"/>
          </w:tcPr>
          <w:p w:rsidR="00D56DF1" w:rsidRPr="00264C62" w:rsidRDefault="00D56DF1" w:rsidP="00D56DF1">
            <w:pPr>
              <w:jc w:val="center"/>
              <w:rPr>
                <w:sz w:val="20"/>
                <w:szCs w:val="20"/>
              </w:rPr>
            </w:pPr>
            <w:r w:rsidRPr="00264C62">
              <w:rPr>
                <w:sz w:val="20"/>
                <w:szCs w:val="20"/>
              </w:rPr>
              <w:t>10</w:t>
            </w:r>
          </w:p>
        </w:tc>
        <w:tc>
          <w:tcPr>
            <w:tcW w:w="2408" w:type="dxa"/>
            <w:shd w:val="clear" w:color="auto" w:fill="auto"/>
            <w:vAlign w:val="center"/>
          </w:tcPr>
          <w:p w:rsidR="00D56DF1" w:rsidRPr="00264C62" w:rsidRDefault="00D56DF1" w:rsidP="00D56DF1">
            <w:pPr>
              <w:jc w:val="center"/>
              <w:rPr>
                <w:sz w:val="20"/>
                <w:szCs w:val="20"/>
              </w:rPr>
            </w:pPr>
            <w:r w:rsidRPr="00264C62">
              <w:rPr>
                <w:b/>
                <w:sz w:val="20"/>
                <w:szCs w:val="20"/>
              </w:rPr>
              <w:t xml:space="preserve">60 </w:t>
            </w:r>
            <w:r w:rsidRPr="00264C62">
              <w:rPr>
                <w:sz w:val="20"/>
                <w:szCs w:val="20"/>
              </w:rPr>
              <w:t>respondents</w:t>
            </w:r>
          </w:p>
        </w:tc>
      </w:tr>
      <w:tr w:rsidR="00D56DF1">
        <w:trPr>
          <w:trHeight w:val="962"/>
        </w:trPr>
        <w:tc>
          <w:tcPr>
            <w:tcW w:w="7241" w:type="dxa"/>
            <w:gridSpan w:val="3"/>
            <w:tcBorders>
              <w:left w:val="nil"/>
              <w:bottom w:val="nil"/>
            </w:tcBorders>
            <w:shd w:val="clear" w:color="auto" w:fill="auto"/>
          </w:tcPr>
          <w:p w:rsidR="00D56DF1" w:rsidRPr="00264C62" w:rsidRDefault="00D56DF1" w:rsidP="00D56DF1">
            <w:pPr>
              <w:tabs>
                <w:tab w:val="left" w:pos="3600"/>
              </w:tabs>
              <w:rPr>
                <w:sz w:val="16"/>
              </w:rPr>
            </w:pPr>
            <w:r w:rsidRPr="00264C62">
              <w:rPr>
                <w:b/>
                <w:sz w:val="16"/>
                <w:szCs w:val="20"/>
              </w:rPr>
              <w:t>*</w:t>
            </w:r>
            <w:r w:rsidRPr="00264C62">
              <w:rPr>
                <w:sz w:val="16"/>
              </w:rPr>
              <w:t xml:space="preserve">Phase I: (1) East; (2) </w:t>
            </w:r>
            <w:r w:rsidR="008110AE">
              <w:rPr>
                <w:sz w:val="16"/>
              </w:rPr>
              <w:t>Mid-West</w:t>
            </w:r>
            <w:r w:rsidRPr="00264C62">
              <w:rPr>
                <w:sz w:val="16"/>
              </w:rPr>
              <w:t>;</w:t>
            </w:r>
            <w:r w:rsidR="008110AE">
              <w:rPr>
                <w:sz w:val="16"/>
              </w:rPr>
              <w:t xml:space="preserve"> and</w:t>
            </w:r>
            <w:r w:rsidRPr="00264C62">
              <w:rPr>
                <w:sz w:val="16"/>
              </w:rPr>
              <w:t xml:space="preserve"> (3) </w:t>
            </w:r>
            <w:r w:rsidR="008110AE">
              <w:rPr>
                <w:sz w:val="16"/>
              </w:rPr>
              <w:t>West</w:t>
            </w:r>
            <w:r w:rsidRPr="00264C62">
              <w:rPr>
                <w:sz w:val="16"/>
              </w:rPr>
              <w:t xml:space="preserve">. Phase II: (1) East; (2) </w:t>
            </w:r>
            <w:r w:rsidR="008110AE">
              <w:rPr>
                <w:sz w:val="16"/>
              </w:rPr>
              <w:t>South-West</w:t>
            </w:r>
            <w:r w:rsidRPr="00264C62">
              <w:rPr>
                <w:sz w:val="16"/>
              </w:rPr>
              <w:t xml:space="preserve">; (3) </w:t>
            </w:r>
            <w:r w:rsidR="008110AE">
              <w:rPr>
                <w:sz w:val="16"/>
              </w:rPr>
              <w:t>Mid-West</w:t>
            </w:r>
            <w:r w:rsidRPr="00264C62">
              <w:rPr>
                <w:sz w:val="16"/>
              </w:rPr>
              <w:t>.</w:t>
            </w:r>
          </w:p>
          <w:p w:rsidR="00D56DF1" w:rsidRDefault="00D56DF1" w:rsidP="00D56DF1">
            <w:pPr>
              <w:tabs>
                <w:tab w:val="left" w:pos="3600"/>
              </w:tabs>
            </w:pPr>
          </w:p>
          <w:p w:rsidR="00D56DF1" w:rsidRPr="00264C62" w:rsidRDefault="00D56DF1" w:rsidP="00D56DF1">
            <w:pPr>
              <w:jc w:val="center"/>
              <w:rPr>
                <w:sz w:val="20"/>
                <w:szCs w:val="20"/>
              </w:rPr>
            </w:pPr>
          </w:p>
        </w:tc>
        <w:tc>
          <w:tcPr>
            <w:tcW w:w="2408" w:type="dxa"/>
            <w:tcBorders>
              <w:bottom w:val="single" w:sz="4" w:space="0" w:color="auto"/>
            </w:tcBorders>
            <w:shd w:val="clear" w:color="auto" w:fill="auto"/>
          </w:tcPr>
          <w:p w:rsidR="00CF44D2" w:rsidRPr="00264C62" w:rsidRDefault="00D56DF1" w:rsidP="00CF44D2">
            <w:pPr>
              <w:jc w:val="center"/>
              <w:rPr>
                <w:b/>
                <w:sz w:val="28"/>
                <w:szCs w:val="28"/>
              </w:rPr>
            </w:pPr>
            <w:r w:rsidRPr="00264C62">
              <w:rPr>
                <w:b/>
                <w:sz w:val="28"/>
                <w:szCs w:val="28"/>
              </w:rPr>
              <w:t xml:space="preserve">120 </w:t>
            </w:r>
            <w:r w:rsidRPr="00264C62">
              <w:rPr>
                <w:sz w:val="20"/>
                <w:szCs w:val="20"/>
              </w:rPr>
              <w:t>respondents</w:t>
            </w:r>
          </w:p>
        </w:tc>
      </w:tr>
    </w:tbl>
    <w:p w:rsidR="007C20E5" w:rsidRDefault="00CF44D2" w:rsidP="00D56D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b/>
          <w:i/>
          <w:sz w:val="16"/>
          <w:szCs w:val="16"/>
        </w:rPr>
      </w:pP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r>
        <w:rPr>
          <w:b/>
          <w:i/>
          <w:sz w:val="16"/>
          <w:szCs w:val="16"/>
        </w:rPr>
        <w:tab/>
      </w:r>
    </w:p>
    <w:p w:rsidR="007C20E5" w:rsidRDefault="007C20E5">
      <w:pPr>
        <w:spacing w:after="0" w:line="240" w:lineRule="auto"/>
        <w:rPr>
          <w:b/>
          <w:i/>
          <w:sz w:val="16"/>
          <w:szCs w:val="16"/>
        </w:rPr>
      </w:pPr>
      <w:r>
        <w:rPr>
          <w:b/>
          <w:i/>
          <w:sz w:val="16"/>
          <w:szCs w:val="16"/>
        </w:rPr>
        <w:br w:type="page"/>
      </w:r>
    </w:p>
    <w:p w:rsidR="007C20E5" w:rsidRPr="007C20E5" w:rsidRDefault="007C20E5" w:rsidP="00B13C7F">
      <w:pPr>
        <w:pStyle w:val="Heading2"/>
      </w:pPr>
      <w:bookmarkStart w:id="4" w:name="_Toc229195216"/>
      <w:r w:rsidRPr="007C20E5">
        <w:lastRenderedPageBreak/>
        <w:t xml:space="preserve">Attachment </w:t>
      </w:r>
      <w:proofErr w:type="gramStart"/>
      <w:r w:rsidRPr="007C20E5">
        <w:t>1</w:t>
      </w:r>
      <w:r>
        <w:t>c</w:t>
      </w:r>
      <w:r w:rsidRPr="007C20E5">
        <w:t xml:space="preserve"> :</w:t>
      </w:r>
      <w:proofErr w:type="gramEnd"/>
      <w:r w:rsidRPr="007C20E5">
        <w:t xml:space="preserve"> Focus Group Justification of Incentive Use</w:t>
      </w:r>
      <w:bookmarkEnd w:id="4"/>
    </w:p>
    <w:p w:rsidR="007C20E5" w:rsidRDefault="007C20E5" w:rsidP="007C20E5">
      <w:pPr>
        <w:spacing w:after="0" w:line="240" w:lineRule="auto"/>
        <w:jc w:val="center"/>
        <w:rPr>
          <w:rFonts w:cs="Calibri"/>
          <w:b/>
        </w:rPr>
      </w:pPr>
    </w:p>
    <w:p w:rsidR="007C20E5" w:rsidRDefault="007C20E5" w:rsidP="007C20E5">
      <w:pPr>
        <w:spacing w:after="0" w:line="240" w:lineRule="auto"/>
        <w:jc w:val="center"/>
        <w:rPr>
          <w:rFonts w:cs="Calibri"/>
          <w:b/>
        </w:rPr>
      </w:pPr>
      <w:r>
        <w:rPr>
          <w:rFonts w:cs="Calibri"/>
          <w:b/>
        </w:rPr>
        <w:t xml:space="preserve">Audience Research </w:t>
      </w:r>
      <w:r w:rsidR="00DD6355">
        <w:rPr>
          <w:rFonts w:cs="Calibri"/>
          <w:b/>
        </w:rPr>
        <w:t xml:space="preserve">on </w:t>
      </w:r>
      <w:bookmarkStart w:id="5" w:name="_GoBack"/>
      <w:bookmarkEnd w:id="5"/>
      <w:r>
        <w:rPr>
          <w:rFonts w:cs="Calibri"/>
          <w:b/>
        </w:rPr>
        <w:t xml:space="preserve">Self-Management Education </w:t>
      </w:r>
    </w:p>
    <w:p w:rsidR="007C20E5" w:rsidRDefault="007C20E5" w:rsidP="007C20E5">
      <w:pPr>
        <w:jc w:val="center"/>
        <w:rPr>
          <w:rFonts w:cs="Calibri"/>
          <w:b/>
          <w:bCs/>
        </w:rPr>
      </w:pPr>
    </w:p>
    <w:p w:rsidR="007C20E5" w:rsidRPr="0002078C" w:rsidRDefault="007C20E5" w:rsidP="007C20E5">
      <w:pPr>
        <w:jc w:val="center"/>
        <w:rPr>
          <w:rFonts w:cs="Calibri"/>
          <w:b/>
        </w:rPr>
      </w:pPr>
      <w:r w:rsidRPr="0002078C">
        <w:rPr>
          <w:rFonts w:cs="Calibri"/>
          <w:b/>
          <w:bCs/>
        </w:rPr>
        <w:t>Attachment 1</w:t>
      </w:r>
      <w:r>
        <w:rPr>
          <w:rFonts w:cs="Calibri"/>
          <w:b/>
          <w:bCs/>
        </w:rPr>
        <w:t>a</w:t>
      </w:r>
      <w:r w:rsidRPr="0002078C">
        <w:rPr>
          <w:rFonts w:cs="Calibri"/>
          <w:b/>
          <w:bCs/>
        </w:rPr>
        <w:t xml:space="preserve"> to the HMTS Expedited Review Form</w:t>
      </w:r>
    </w:p>
    <w:p w:rsidR="007C20E5" w:rsidRPr="0002078C" w:rsidRDefault="007C20E5" w:rsidP="007C20E5">
      <w:pPr>
        <w:spacing w:after="0" w:line="240" w:lineRule="auto"/>
        <w:jc w:val="center"/>
        <w:rPr>
          <w:rFonts w:eastAsia="Times New Roman" w:cs="Calibri"/>
          <w:b/>
          <w:color w:val="000000"/>
        </w:rPr>
      </w:pPr>
      <w:r>
        <w:rPr>
          <w:rFonts w:eastAsia="Times New Roman" w:cs="Calibri"/>
          <w:b/>
          <w:color w:val="000000"/>
        </w:rPr>
        <w:t xml:space="preserve">May </w:t>
      </w:r>
      <w:r w:rsidR="001E4338">
        <w:rPr>
          <w:rFonts w:eastAsia="Times New Roman" w:cs="Calibri"/>
          <w:b/>
          <w:color w:val="000000"/>
        </w:rPr>
        <w:t>16</w:t>
      </w:r>
      <w:r>
        <w:rPr>
          <w:rFonts w:eastAsia="Times New Roman" w:cs="Calibri"/>
          <w:b/>
          <w:color w:val="000000"/>
        </w:rPr>
        <w:t>, 2013</w:t>
      </w:r>
    </w:p>
    <w:p w:rsidR="008C5974" w:rsidRDefault="008C5974" w:rsidP="007C20E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cs="Calibri"/>
          <w:i/>
          <w:iCs/>
        </w:rPr>
      </w:pPr>
    </w:p>
    <w:p w:rsidR="008C5974" w:rsidRPr="00013DBE" w:rsidRDefault="008C5974" w:rsidP="008C5974">
      <w:pPr>
        <w:rPr>
          <w:rFonts w:asciiTheme="minorHAnsi" w:hAnsiTheme="minorHAnsi"/>
        </w:rPr>
      </w:pPr>
      <w:r w:rsidRPr="00013DBE">
        <w:rPr>
          <w:rFonts w:asciiTheme="minorHAnsi" w:hAnsiTheme="minorHAnsi"/>
        </w:rPr>
        <w:t xml:space="preserve">All participants will receive a $50 incentive. </w:t>
      </w:r>
      <w:r w:rsidR="00A434B6">
        <w:rPr>
          <w:rFonts w:asciiTheme="minorHAnsi" w:hAnsiTheme="minorHAnsi"/>
        </w:rPr>
        <w:t xml:space="preserve"> </w:t>
      </w:r>
      <w:r w:rsidRPr="00013DBE">
        <w:rPr>
          <w:rFonts w:asciiTheme="minorHAnsi" w:hAnsiTheme="minorHAnsi"/>
        </w:rPr>
        <w:t xml:space="preserve">With respect to the level of incentive, Krueger and Casey, in the publication “Focus Group: A Practical Guide for Applied Research” (2009), indicate the following: </w:t>
      </w:r>
      <w:r w:rsidRPr="00013DBE">
        <w:rPr>
          <w:rFonts w:asciiTheme="minorHAnsi" w:hAnsiTheme="minorHAnsi"/>
          <w:i/>
        </w:rPr>
        <w:t>“At the time of this writing, amounts of $50 to $75 usually work for pub</w:t>
      </w:r>
      <w:r w:rsidR="00053310">
        <w:rPr>
          <w:rFonts w:asciiTheme="minorHAnsi" w:hAnsiTheme="minorHAnsi"/>
          <w:i/>
        </w:rPr>
        <w:t>lic and nonprofit studies.</w:t>
      </w:r>
      <w:r w:rsidRPr="00013DBE">
        <w:rPr>
          <w:rFonts w:asciiTheme="minorHAnsi" w:hAnsiTheme="minorHAnsi"/>
          <w:i/>
        </w:rPr>
        <w:t>”</w:t>
      </w:r>
      <w:r w:rsidRPr="00013DBE">
        <w:rPr>
          <w:rStyle w:val="FootnoteReference"/>
          <w:rFonts w:asciiTheme="minorHAnsi" w:hAnsiTheme="minorHAnsi"/>
          <w:i/>
        </w:rPr>
        <w:footnoteReference w:id="1"/>
      </w:r>
      <w:r w:rsidRPr="00013DBE">
        <w:rPr>
          <w:rFonts w:asciiTheme="minorHAnsi" w:hAnsiTheme="minorHAnsi"/>
        </w:rPr>
        <w:t xml:space="preserve"> </w:t>
      </w:r>
      <w:r w:rsidR="00747071">
        <w:rPr>
          <w:rFonts w:asciiTheme="minorHAnsi" w:hAnsiTheme="minorHAnsi"/>
        </w:rPr>
        <w:t xml:space="preserve">The U.S. Food and Drug Administration (FDA) </w:t>
      </w:r>
      <w:r w:rsidR="00A434B6">
        <w:rPr>
          <w:rFonts w:asciiTheme="minorHAnsi" w:hAnsiTheme="minorHAnsi"/>
        </w:rPr>
        <w:t xml:space="preserve">has previously </w:t>
      </w:r>
      <w:r w:rsidR="00747071">
        <w:rPr>
          <w:rFonts w:asciiTheme="minorHAnsi" w:hAnsiTheme="minorHAnsi"/>
        </w:rPr>
        <w:t>received OMB approval to provide a $75 incentive to participants (prescription drug users and their caregivers) in a series of 2011 focus groups.</w:t>
      </w:r>
      <w:r w:rsidR="00747071">
        <w:rPr>
          <w:rStyle w:val="FootnoteReference"/>
          <w:rFonts w:asciiTheme="minorHAnsi" w:hAnsiTheme="minorHAnsi"/>
        </w:rPr>
        <w:footnoteReference w:id="2"/>
      </w:r>
      <w:r w:rsidR="00747071">
        <w:rPr>
          <w:rFonts w:asciiTheme="minorHAnsi" w:hAnsiTheme="minorHAnsi"/>
        </w:rPr>
        <w:t xml:space="preserve">  </w:t>
      </w:r>
      <w:r w:rsidRPr="00013DBE">
        <w:rPr>
          <w:rFonts w:asciiTheme="minorHAnsi" w:hAnsiTheme="minorHAnsi"/>
        </w:rPr>
        <w:t xml:space="preserve">Therefore, the proposed $50 incentive represents the minimal level of incentive deemed suitable for focus group participants in the recent past.  </w:t>
      </w:r>
      <w:r w:rsidR="00747071">
        <w:rPr>
          <w:rFonts w:asciiTheme="minorHAnsi" w:hAnsiTheme="minorHAnsi"/>
        </w:rPr>
        <w:t>Additionally, the incentive is less than the amount approved by the OMB for focus group research with a similar audience.</w:t>
      </w:r>
    </w:p>
    <w:p w:rsidR="008C5974" w:rsidRPr="00013DBE" w:rsidRDefault="008C5974" w:rsidP="008C5974">
      <w:pPr>
        <w:rPr>
          <w:rFonts w:asciiTheme="minorHAnsi" w:hAnsiTheme="minorHAnsi"/>
        </w:rPr>
      </w:pPr>
      <w:r w:rsidRPr="00013DBE">
        <w:rPr>
          <w:rFonts w:asciiTheme="minorHAnsi" w:hAnsiTheme="minorHAnsi"/>
        </w:rPr>
        <w:t xml:space="preserve">The $50 incentive will be a cash incentive rather than an alternate form of incentive (e.g., gift card to a store) because guidance on focus group research also suggests that </w:t>
      </w:r>
      <w:r w:rsidRPr="00013DBE">
        <w:rPr>
          <w:rFonts w:asciiTheme="minorHAnsi" w:hAnsiTheme="minorHAnsi"/>
          <w:i/>
        </w:rPr>
        <w:t>“incentives should be selected that have universal value to participants; what may be valuable to one person may have little value to other. This is one reason money is employed most often.”</w:t>
      </w:r>
      <w:r w:rsidRPr="00013DBE">
        <w:rPr>
          <w:rStyle w:val="FootnoteReference"/>
          <w:rFonts w:asciiTheme="minorHAnsi" w:hAnsiTheme="minorHAnsi"/>
        </w:rPr>
        <w:footnoteReference w:id="3"/>
      </w:r>
      <w:r w:rsidRPr="00013DBE">
        <w:rPr>
          <w:rFonts w:asciiTheme="minorHAnsi" w:hAnsiTheme="minorHAnsi"/>
          <w:i/>
        </w:rPr>
        <w:t xml:space="preserve"> </w:t>
      </w:r>
      <w:r w:rsidRPr="00013DBE">
        <w:rPr>
          <w:rFonts w:asciiTheme="minorHAnsi" w:hAnsiTheme="minorHAnsi"/>
        </w:rPr>
        <w:t>The</w:t>
      </w:r>
      <w:r w:rsidR="00A434B6">
        <w:rPr>
          <w:rFonts w:asciiTheme="minorHAnsi" w:hAnsiTheme="minorHAnsi"/>
        </w:rPr>
        <w:t xml:space="preserve"> </w:t>
      </w:r>
      <w:r w:rsidRPr="00013DBE">
        <w:rPr>
          <w:rFonts w:asciiTheme="minorHAnsi" w:hAnsiTheme="minorHAnsi"/>
        </w:rPr>
        <w:t xml:space="preserve">focus group </w:t>
      </w:r>
      <w:r w:rsidR="00A434B6" w:rsidRPr="00013DBE">
        <w:rPr>
          <w:rFonts w:asciiTheme="minorHAnsi" w:hAnsiTheme="minorHAnsi"/>
        </w:rPr>
        <w:t xml:space="preserve">participants </w:t>
      </w:r>
      <w:r w:rsidR="00A434B6">
        <w:rPr>
          <w:rFonts w:asciiTheme="minorHAnsi" w:hAnsiTheme="minorHAnsi"/>
        </w:rPr>
        <w:t>will</w:t>
      </w:r>
      <w:r w:rsidRPr="00013DBE">
        <w:rPr>
          <w:rFonts w:asciiTheme="minorHAnsi" w:hAnsiTheme="minorHAnsi"/>
        </w:rPr>
        <w:t xml:space="preserve"> receive the incentive in cash at the focus group facility immediately after the conclusion of the discussion groups. </w:t>
      </w:r>
    </w:p>
    <w:p w:rsidR="00D56DF1" w:rsidRPr="00B13C7F" w:rsidRDefault="00A434B6" w:rsidP="00B13C7F">
      <w:pPr>
        <w:rPr>
          <w:rFonts w:asciiTheme="minorHAnsi" w:hAnsiTheme="minorHAnsi"/>
        </w:rPr>
      </w:pPr>
      <w:r>
        <w:rPr>
          <w:rFonts w:asciiTheme="minorHAnsi" w:hAnsiTheme="minorHAnsi"/>
        </w:rPr>
        <w:t>Use of incentives may reduce the time to complete recruitment, reduce “no-shows”, increase level of participant engagement during the focus group, and result in long-term savings.</w:t>
      </w:r>
      <w:r>
        <w:rPr>
          <w:rStyle w:val="FootnoteReference"/>
          <w:rFonts w:asciiTheme="minorHAnsi" w:hAnsiTheme="minorHAnsi"/>
        </w:rPr>
        <w:footnoteReference w:id="4"/>
      </w:r>
      <w:r>
        <w:rPr>
          <w:rFonts w:asciiTheme="minorHAnsi" w:hAnsiTheme="minorHAnsi"/>
        </w:rPr>
        <w:t xml:space="preserve"> </w:t>
      </w:r>
      <w:r w:rsidR="008C5974" w:rsidRPr="00013DBE">
        <w:rPr>
          <w:rFonts w:asciiTheme="minorHAnsi" w:hAnsiTheme="minorHAnsi"/>
        </w:rPr>
        <w:t xml:space="preserve">Appropriate incentives are key to the success of research efforts and to preventing over-burdening the public. </w:t>
      </w:r>
      <w:r w:rsidR="008C5974" w:rsidRPr="00013DBE">
        <w:rPr>
          <w:rFonts w:asciiTheme="minorHAnsi" w:hAnsiTheme="minorHAnsi"/>
          <w:i/>
        </w:rPr>
        <w:t>“Incentives are needed because it takes effort to participate in a focus group… it [also] serves as a stimulus to attend the session. The primary f</w:t>
      </w:r>
      <w:r w:rsidR="008C5974">
        <w:rPr>
          <w:rFonts w:asciiTheme="minorHAnsi" w:hAnsiTheme="minorHAnsi"/>
          <w:i/>
        </w:rPr>
        <w:t xml:space="preserve">unction </w:t>
      </w:r>
      <w:r w:rsidR="008C5974" w:rsidRPr="00013DBE">
        <w:rPr>
          <w:rFonts w:asciiTheme="minorHAnsi" w:hAnsiTheme="minorHAnsi"/>
          <w:i/>
        </w:rPr>
        <w:t xml:space="preserve">of the incentive is to get participants to show up for the focus group—and </w:t>
      </w:r>
      <w:r w:rsidR="008C5974">
        <w:rPr>
          <w:rFonts w:asciiTheme="minorHAnsi" w:hAnsiTheme="minorHAnsi"/>
          <w:i/>
        </w:rPr>
        <w:t xml:space="preserve">to </w:t>
      </w:r>
      <w:r w:rsidR="008C5974" w:rsidRPr="00013DBE">
        <w:rPr>
          <w:rFonts w:asciiTheme="minorHAnsi" w:hAnsiTheme="minorHAnsi"/>
          <w:i/>
        </w:rPr>
        <w:t>show up on time.”</w:t>
      </w:r>
      <w:r w:rsidR="008C5974" w:rsidRPr="00013DBE">
        <w:rPr>
          <w:rStyle w:val="FootnoteReference"/>
          <w:rFonts w:asciiTheme="minorHAnsi" w:hAnsiTheme="minorHAnsi"/>
        </w:rPr>
        <w:footnoteReference w:id="5"/>
      </w:r>
      <w:r w:rsidR="008C5974" w:rsidRPr="00013DBE">
        <w:rPr>
          <w:rFonts w:asciiTheme="minorHAnsi" w:hAnsiTheme="minorHAnsi"/>
        </w:rPr>
        <w:t xml:space="preserve"> In other words, even when individuals agree to participate, insufficient incentive may result in a greater likelihood of participants not showing up to participate in the discussion (i.e., “no-shows”). This may not only negatively impact the ability to gather the necessary data but, additionally, the time that would have already been spent in the recruitment of these participants would therefore translate into unnecessary burden to the public. Additionally, because there are costs associated with recruiting each participant (even for no-shows), when participants are no-shows it involves expenditures that could otherwise be avoided.    </w:t>
      </w:r>
    </w:p>
    <w:sectPr w:rsidR="00D56DF1" w:rsidRPr="00B13C7F" w:rsidSect="00D56DF1">
      <w:footerReference w:type="default" r:id="rId11"/>
      <w:footerReference w:type="first" r:id="rId12"/>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8CA" w:rsidRDefault="00FE18CA" w:rsidP="00D56DF1">
      <w:pPr>
        <w:spacing w:after="0" w:line="240" w:lineRule="auto"/>
      </w:pPr>
      <w:r>
        <w:separator/>
      </w:r>
    </w:p>
  </w:endnote>
  <w:endnote w:type="continuationSeparator" w:id="0">
    <w:p w:rsidR="00FE18CA" w:rsidRDefault="00FE18CA" w:rsidP="00D5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D" w:rsidRDefault="00952300">
    <w:pPr>
      <w:pStyle w:val="Footer"/>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6057900</wp:posOffset>
              </wp:positionH>
              <wp:positionV relativeFrom="paragraph">
                <wp:posOffset>-344805</wp:posOffset>
              </wp:positionV>
              <wp:extent cx="800100" cy="9144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rect">
                        <a:avLst/>
                      </a:prstGeom>
                      <a:solidFill>
                        <a:srgbClr val="FFFFFF"/>
                      </a:solidFill>
                      <a:ln w="19050">
                        <a:solidFill>
                          <a:srgbClr val="FFFFFF"/>
                        </a:solidFill>
                        <a:miter lim="800000"/>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77pt;margin-top:-27.15pt;width:63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" strokecolor="white" strokeweight="1.5pt">
              <v:shadow opacity="22938f" offset="0"/>
              <v:textbox inset=",7.2pt,,7.2pt"/>
            </v:rect>
          </w:pict>
        </mc:Fallback>
      </mc:AlternateContent>
    </w:r>
    <w:r w:rsidR="00FE18CA">
      <w:fldChar w:fldCharType="begin"/>
    </w:r>
    <w:r w:rsidR="00FE18CA">
      <w:instrText xml:space="preserve"> PAGE   \* MERGEFORMAT </w:instrText>
    </w:r>
    <w:r w:rsidR="00FE18CA">
      <w:fldChar w:fldCharType="separate"/>
    </w:r>
    <w:r w:rsidR="0047791D">
      <w:rPr>
        <w:noProof/>
      </w:rPr>
      <w:t>1</w:t>
    </w:r>
    <w:r w:rsidR="00FE18CA">
      <w:rPr>
        <w:noProof/>
      </w:rPr>
      <w:fldChar w:fldCharType="end"/>
    </w:r>
  </w:p>
  <w:p w:rsidR="0047791D" w:rsidRDefault="004779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D" w:rsidRDefault="0047791D">
    <w:pPr>
      <w:pStyle w:val="Footer"/>
      <w:jc w:val="right"/>
    </w:pPr>
  </w:p>
  <w:p w:rsidR="0047791D" w:rsidRDefault="004779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D" w:rsidRDefault="00FE18CA">
    <w:pPr>
      <w:pStyle w:val="Footer"/>
      <w:jc w:val="right"/>
    </w:pPr>
    <w:r>
      <w:fldChar w:fldCharType="begin"/>
    </w:r>
    <w:r>
      <w:instrText xml:space="preserve"> PAGE   \* MERGEFORMAT </w:instrText>
    </w:r>
    <w:r>
      <w:fldChar w:fldCharType="separate"/>
    </w:r>
    <w:r w:rsidR="00DD6355">
      <w:rPr>
        <w:noProof/>
      </w:rPr>
      <w:t>6</w:t>
    </w:r>
    <w:r>
      <w:rPr>
        <w:noProof/>
      </w:rPr>
      <w:fldChar w:fldCharType="end"/>
    </w:r>
  </w:p>
  <w:p w:rsidR="0047791D" w:rsidRDefault="004779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D" w:rsidRDefault="00FE18CA">
    <w:pPr>
      <w:pStyle w:val="Footer"/>
      <w:jc w:val="right"/>
    </w:pPr>
    <w:r>
      <w:fldChar w:fldCharType="begin"/>
    </w:r>
    <w:r>
      <w:instrText xml:space="preserve"> PAGE   \* MERGEFORMAT </w:instrText>
    </w:r>
    <w:r>
      <w:fldChar w:fldCharType="separate"/>
    </w:r>
    <w:r w:rsidR="00DD6355">
      <w:rPr>
        <w:noProof/>
      </w:rPr>
      <w:t>1</w:t>
    </w:r>
    <w:r>
      <w:rPr>
        <w:noProof/>
      </w:rPr>
      <w:fldChar w:fldCharType="end"/>
    </w:r>
  </w:p>
  <w:p w:rsidR="0047791D" w:rsidRDefault="004779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8CA" w:rsidRDefault="00FE18CA" w:rsidP="00D56DF1">
      <w:pPr>
        <w:spacing w:after="0" w:line="240" w:lineRule="auto"/>
      </w:pPr>
      <w:r>
        <w:separator/>
      </w:r>
    </w:p>
  </w:footnote>
  <w:footnote w:type="continuationSeparator" w:id="0">
    <w:p w:rsidR="00FE18CA" w:rsidRDefault="00FE18CA" w:rsidP="00D56DF1">
      <w:pPr>
        <w:spacing w:after="0" w:line="240" w:lineRule="auto"/>
      </w:pPr>
      <w:r>
        <w:continuationSeparator/>
      </w:r>
    </w:p>
  </w:footnote>
  <w:footnote w:id="1">
    <w:p w:rsidR="0047791D" w:rsidRPr="00905E3A" w:rsidRDefault="0047791D" w:rsidP="008C5974">
      <w:pPr>
        <w:pStyle w:val="FootnoteText"/>
        <w:rPr>
          <w:sz w:val="18"/>
          <w:szCs w:val="18"/>
        </w:rPr>
      </w:pPr>
      <w:r w:rsidRPr="00905E3A">
        <w:rPr>
          <w:rStyle w:val="FootnoteReference"/>
          <w:sz w:val="18"/>
          <w:szCs w:val="18"/>
        </w:rPr>
        <w:footnoteRef/>
      </w:r>
      <w:r w:rsidRPr="00905E3A">
        <w:rPr>
          <w:sz w:val="18"/>
          <w:szCs w:val="18"/>
        </w:rPr>
        <w:t xml:space="preserve"> Krueger, R.A. (2009). Focus Groups: A Practical Guide for Applied Research (4th ed.). Thousand Oaks, CA: Sage Publications.</w:t>
      </w:r>
    </w:p>
  </w:footnote>
  <w:footnote w:id="2">
    <w:p w:rsidR="0047791D" w:rsidRDefault="0047791D">
      <w:pPr>
        <w:pStyle w:val="FootnoteText"/>
      </w:pPr>
      <w:r>
        <w:rPr>
          <w:rStyle w:val="FootnoteReference"/>
        </w:rPr>
        <w:footnoteRef/>
      </w:r>
      <w:r>
        <w:t xml:space="preserve"> </w:t>
      </w:r>
      <w:r w:rsidRPr="0047791D">
        <w:rPr>
          <w:sz w:val="18"/>
          <w:szCs w:val="18"/>
        </w:rPr>
        <w:t xml:space="preserve">ICF Macro. </w:t>
      </w:r>
      <w:proofErr w:type="gramStart"/>
      <w:r w:rsidRPr="0047791D">
        <w:rPr>
          <w:sz w:val="18"/>
          <w:szCs w:val="18"/>
        </w:rPr>
        <w:t>(2012). Focus Group Report on Consumer Perceptions of Prescription Drug Companies.</w:t>
      </w:r>
      <w:proofErr w:type="gramEnd"/>
      <w:r>
        <w:rPr>
          <w:sz w:val="18"/>
          <w:szCs w:val="18"/>
        </w:rPr>
        <w:t xml:space="preserve"> </w:t>
      </w:r>
      <w:r w:rsidRPr="0047791D">
        <w:rPr>
          <w:sz w:val="18"/>
          <w:szCs w:val="18"/>
        </w:rPr>
        <w:t xml:space="preserve">U.S. Food and Drug Administration. </w:t>
      </w:r>
    </w:p>
  </w:footnote>
  <w:footnote w:id="3">
    <w:p w:rsidR="0047791D" w:rsidRPr="00905E3A" w:rsidRDefault="0047791D" w:rsidP="008C5974">
      <w:pPr>
        <w:pStyle w:val="FootnoteText"/>
        <w:rPr>
          <w:sz w:val="18"/>
          <w:szCs w:val="18"/>
        </w:rPr>
      </w:pPr>
      <w:r w:rsidRPr="00905E3A">
        <w:rPr>
          <w:rStyle w:val="FootnoteReference"/>
          <w:sz w:val="18"/>
          <w:szCs w:val="18"/>
        </w:rPr>
        <w:footnoteRef/>
      </w:r>
      <w:r w:rsidRPr="00905E3A">
        <w:rPr>
          <w:sz w:val="18"/>
          <w:szCs w:val="18"/>
        </w:rPr>
        <w:t xml:space="preserve"> Stewart, D.W. &amp; </w:t>
      </w:r>
      <w:proofErr w:type="spellStart"/>
      <w:r w:rsidRPr="00905E3A">
        <w:rPr>
          <w:sz w:val="18"/>
          <w:szCs w:val="18"/>
        </w:rPr>
        <w:t>Shamdasani</w:t>
      </w:r>
      <w:proofErr w:type="spellEnd"/>
      <w:r w:rsidRPr="00905E3A">
        <w:rPr>
          <w:sz w:val="18"/>
          <w:szCs w:val="18"/>
        </w:rPr>
        <w:t>, P.N. (1990). Focus Groups: Theory and Practice. Newbury Park, CA: Sage Publications.</w:t>
      </w:r>
    </w:p>
  </w:footnote>
  <w:footnote w:id="4">
    <w:p w:rsidR="00A434B6" w:rsidRPr="00A434B6" w:rsidRDefault="00A434B6" w:rsidP="00A434B6">
      <w:pPr>
        <w:pStyle w:val="ListParagraph"/>
        <w:spacing w:after="0"/>
        <w:ind w:left="0"/>
      </w:pPr>
      <w:r>
        <w:rPr>
          <w:rStyle w:val="FootnoteReference"/>
        </w:rPr>
        <w:footnoteRef/>
      </w:r>
      <w:r>
        <w:t xml:space="preserve"> </w:t>
      </w:r>
      <w:proofErr w:type="spellStart"/>
      <w:r w:rsidRPr="00A434B6">
        <w:rPr>
          <w:sz w:val="18"/>
          <w:szCs w:val="18"/>
        </w:rPr>
        <w:t>Marriner</w:t>
      </w:r>
      <w:proofErr w:type="spellEnd"/>
      <w:r w:rsidRPr="00A434B6">
        <w:rPr>
          <w:sz w:val="18"/>
          <w:szCs w:val="18"/>
        </w:rPr>
        <w:t xml:space="preserve">, V. (2011) </w:t>
      </w:r>
      <w:r w:rsidRPr="00A434B6">
        <w:rPr>
          <w:i/>
          <w:sz w:val="18"/>
          <w:szCs w:val="18"/>
        </w:rPr>
        <w:t>Qualitative Research Incentives: 5 Reasons Why More is Better</w:t>
      </w:r>
      <w:r w:rsidRPr="00A434B6">
        <w:rPr>
          <w:sz w:val="18"/>
          <w:szCs w:val="18"/>
        </w:rPr>
        <w:t xml:space="preserve">. </w:t>
      </w:r>
      <w:proofErr w:type="gramStart"/>
      <w:r w:rsidRPr="00A434B6">
        <w:rPr>
          <w:sz w:val="18"/>
          <w:szCs w:val="18"/>
        </w:rPr>
        <w:t>The Research Bunker</w:t>
      </w:r>
      <w:r>
        <w:rPr>
          <w:sz w:val="18"/>
          <w:szCs w:val="18"/>
        </w:rPr>
        <w:t>.</w:t>
      </w:r>
      <w:proofErr w:type="gramEnd"/>
      <w:r>
        <w:rPr>
          <w:sz w:val="18"/>
          <w:szCs w:val="18"/>
        </w:rPr>
        <w:t xml:space="preserve"> Retrieved on May 2, 2013, </w:t>
      </w:r>
      <w:r w:rsidRPr="00A434B6">
        <w:rPr>
          <w:rFonts w:ascii="Times New Roman" w:eastAsia="Times New Roman" w:hAnsi="Times New Roman"/>
          <w:sz w:val="18"/>
          <w:szCs w:val="18"/>
        </w:rPr>
        <w:t xml:space="preserve">from </w:t>
      </w:r>
      <w:hyperlink r:id="rId1" w:history="1">
        <w:r w:rsidRPr="00A434B6">
          <w:rPr>
            <w:rFonts w:ascii="Times New Roman" w:eastAsia="Times New Roman" w:hAnsi="Times New Roman"/>
            <w:sz w:val="18"/>
            <w:szCs w:val="18"/>
          </w:rPr>
          <w:t>http://rmsbunkerblog.wordpress.com/2011/03/14/qualitative-research-incentives-5-reasons-why-more-is-better/</w:t>
        </w:r>
      </w:hyperlink>
    </w:p>
  </w:footnote>
  <w:footnote w:id="5">
    <w:p w:rsidR="0047791D" w:rsidRDefault="0047791D" w:rsidP="008C5974">
      <w:pPr>
        <w:pStyle w:val="FootnoteText"/>
      </w:pPr>
      <w:r w:rsidRPr="00905E3A">
        <w:rPr>
          <w:rStyle w:val="FootnoteReference"/>
          <w:sz w:val="18"/>
          <w:szCs w:val="18"/>
        </w:rPr>
        <w:footnoteRef/>
      </w:r>
      <w:r w:rsidRPr="00905E3A">
        <w:rPr>
          <w:sz w:val="18"/>
          <w:szCs w:val="18"/>
        </w:rPr>
        <w:t xml:space="preserve"> Krueger, R.A. (2009). Focus Groups: A Practical Guide for Applied Research (4th ed.). Thousand Oaks, CA: Sage Publications.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91D" w:rsidRDefault="0047791D" w:rsidP="00D56DF1">
    <w:pPr>
      <w:pStyle w:val="Header"/>
      <w:ind w:left="3960" w:firstLine="3960"/>
    </w:pPr>
  </w:p>
  <w:p w:rsidR="0047791D" w:rsidRDefault="00477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5CD3"/>
    <w:multiLevelType w:val="hybridMultilevel"/>
    <w:tmpl w:val="B2DE9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AA6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2A420F"/>
    <w:multiLevelType w:val="hybridMultilevel"/>
    <w:tmpl w:val="07F4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3105B"/>
    <w:multiLevelType w:val="hybridMultilevel"/>
    <w:tmpl w:val="2596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F42CE"/>
    <w:multiLevelType w:val="hybridMultilevel"/>
    <w:tmpl w:val="340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9E3CA8"/>
    <w:multiLevelType w:val="hybridMultilevel"/>
    <w:tmpl w:val="51C8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02651"/>
    <w:multiLevelType w:val="hybridMultilevel"/>
    <w:tmpl w:val="72D4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3780E"/>
    <w:multiLevelType w:val="hybridMultilevel"/>
    <w:tmpl w:val="9B96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076D7"/>
    <w:multiLevelType w:val="hybridMultilevel"/>
    <w:tmpl w:val="ABB6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40D30"/>
    <w:multiLevelType w:val="hybridMultilevel"/>
    <w:tmpl w:val="5456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AF0171"/>
    <w:multiLevelType w:val="hybridMultilevel"/>
    <w:tmpl w:val="DB34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DB79C8"/>
    <w:multiLevelType w:val="hybridMultilevel"/>
    <w:tmpl w:val="84D8D02A"/>
    <w:lvl w:ilvl="0" w:tplc="185AB6E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1339E"/>
    <w:multiLevelType w:val="hybridMultilevel"/>
    <w:tmpl w:val="EDDEFF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7AF618C"/>
    <w:multiLevelType w:val="hybridMultilevel"/>
    <w:tmpl w:val="E0C4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126E5"/>
    <w:multiLevelType w:val="hybridMultilevel"/>
    <w:tmpl w:val="BBF0797A"/>
    <w:lvl w:ilvl="0" w:tplc="724E54FA">
      <w:start w:val="1"/>
      <w:numFmt w:val="bullet"/>
      <w:pStyle w:val="BodyBullet1"/>
      <w:lvlText w:val=""/>
      <w:lvlJc w:val="left"/>
      <w:pPr>
        <w:tabs>
          <w:tab w:val="num" w:pos="0"/>
        </w:tabs>
        <w:ind w:left="216" w:hanging="216"/>
      </w:pPr>
      <w:rPr>
        <w:rFonts w:ascii="Symbol" w:hAnsi="Symbol" w:hint="default"/>
        <w:color w:val="B1B19F"/>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3777E46"/>
    <w:multiLevelType w:val="hybridMultilevel"/>
    <w:tmpl w:val="286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986551"/>
    <w:multiLevelType w:val="hybridMultilevel"/>
    <w:tmpl w:val="3644367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Aria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Arial"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Arial"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774B54D4"/>
    <w:multiLevelType w:val="hybridMultilevel"/>
    <w:tmpl w:val="FF82B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ACE7608"/>
    <w:multiLevelType w:val="hybridMultilevel"/>
    <w:tmpl w:val="B81E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0C4A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0"/>
  </w:num>
  <w:num w:numId="3">
    <w:abstractNumId w:val="17"/>
  </w:num>
  <w:num w:numId="4">
    <w:abstractNumId w:val="19"/>
  </w:num>
  <w:num w:numId="5">
    <w:abstractNumId w:val="5"/>
  </w:num>
  <w:num w:numId="6">
    <w:abstractNumId w:val="18"/>
  </w:num>
  <w:num w:numId="7">
    <w:abstractNumId w:val="16"/>
  </w:num>
  <w:num w:numId="8">
    <w:abstractNumId w:val="2"/>
  </w:num>
  <w:num w:numId="9">
    <w:abstractNumId w:val="8"/>
  </w:num>
  <w:num w:numId="10">
    <w:abstractNumId w:val="6"/>
  </w:num>
  <w:num w:numId="11">
    <w:abstractNumId w:val="13"/>
  </w:num>
  <w:num w:numId="12">
    <w:abstractNumId w:val="1"/>
  </w:num>
  <w:num w:numId="13">
    <w:abstractNumId w:val="20"/>
  </w:num>
  <w:num w:numId="14">
    <w:abstractNumId w:val="14"/>
  </w:num>
  <w:num w:numId="15">
    <w:abstractNumId w:val="9"/>
  </w:num>
  <w:num w:numId="16">
    <w:abstractNumId w:val="7"/>
  </w:num>
  <w:num w:numId="17">
    <w:abstractNumId w:val="12"/>
  </w:num>
  <w:num w:numId="18">
    <w:abstractNumId w:val="4"/>
  </w:num>
  <w:num w:numId="19">
    <w:abstractNumId w:val="3"/>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B9"/>
    <w:rsid w:val="000013C1"/>
    <w:rsid w:val="00053310"/>
    <w:rsid w:val="00064DB9"/>
    <w:rsid w:val="000E07B0"/>
    <w:rsid w:val="00104281"/>
    <w:rsid w:val="00133210"/>
    <w:rsid w:val="001E4338"/>
    <w:rsid w:val="002D5D87"/>
    <w:rsid w:val="004227EB"/>
    <w:rsid w:val="0047791D"/>
    <w:rsid w:val="004C6318"/>
    <w:rsid w:val="005262A2"/>
    <w:rsid w:val="00747071"/>
    <w:rsid w:val="007C20E5"/>
    <w:rsid w:val="008110AE"/>
    <w:rsid w:val="00817E69"/>
    <w:rsid w:val="008C5974"/>
    <w:rsid w:val="008E20BE"/>
    <w:rsid w:val="009433F7"/>
    <w:rsid w:val="00952300"/>
    <w:rsid w:val="00952A6D"/>
    <w:rsid w:val="00961693"/>
    <w:rsid w:val="00A434B6"/>
    <w:rsid w:val="00A740E4"/>
    <w:rsid w:val="00A837CE"/>
    <w:rsid w:val="00AC78F1"/>
    <w:rsid w:val="00AF3808"/>
    <w:rsid w:val="00B0772B"/>
    <w:rsid w:val="00B13C7F"/>
    <w:rsid w:val="00B169AF"/>
    <w:rsid w:val="00B43BA8"/>
    <w:rsid w:val="00B84AA3"/>
    <w:rsid w:val="00BC2DD2"/>
    <w:rsid w:val="00CF44D2"/>
    <w:rsid w:val="00D30C6E"/>
    <w:rsid w:val="00D56DF1"/>
    <w:rsid w:val="00DC5F7A"/>
    <w:rsid w:val="00DD6355"/>
    <w:rsid w:val="00DE6CF6"/>
    <w:rsid w:val="00E70BBC"/>
    <w:rsid w:val="00E9795E"/>
    <w:rsid w:val="00ED0632"/>
    <w:rsid w:val="00FA02B4"/>
    <w:rsid w:val="00FD0DD1"/>
    <w:rsid w:val="00FD4BE8"/>
    <w:rsid w:val="00FE1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styleId="FootnoteText">
    <w:name w:val="footnote text"/>
    <w:basedOn w:val="Normal"/>
    <w:link w:val="FootnoteTextChar"/>
    <w:uiPriority w:val="99"/>
    <w:semiHidden/>
    <w:unhideWhenUsed/>
    <w:rsid w:val="008C597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C5974"/>
    <w:rPr>
      <w:rFonts w:ascii="Times New Roman" w:eastAsia="Times New Roman" w:hAnsi="Times New Roman"/>
    </w:rPr>
  </w:style>
  <w:style w:type="character" w:styleId="FootnoteReference">
    <w:name w:val="footnote reference"/>
    <w:basedOn w:val="DefaultParagraphFont"/>
    <w:uiPriority w:val="99"/>
    <w:semiHidden/>
    <w:unhideWhenUsed/>
    <w:rsid w:val="008C59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BB"/>
    <w:pPr>
      <w:spacing w:after="200" w:line="276" w:lineRule="auto"/>
    </w:pPr>
    <w:rPr>
      <w:sz w:val="22"/>
      <w:szCs w:val="22"/>
    </w:rPr>
  </w:style>
  <w:style w:type="paragraph" w:styleId="Heading1">
    <w:name w:val="heading 1"/>
    <w:basedOn w:val="Normal"/>
    <w:next w:val="Normal"/>
    <w:link w:val="Heading1Char"/>
    <w:uiPriority w:val="9"/>
    <w:qFormat/>
    <w:rsid w:val="00413C0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D1580"/>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764B5"/>
    <w:pPr>
      <w:spacing w:after="0" w:line="240" w:lineRule="auto"/>
    </w:pPr>
    <w:rPr>
      <w:rFonts w:ascii="Tahoma" w:hAnsi="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basedOn w:val="DefaultParagraphFont"/>
    <w:uiPriority w:val="99"/>
    <w:semiHidden/>
    <w:rsid w:val="0013529E"/>
    <w:rPr>
      <w:rFonts w:ascii="Lucida Grande" w:hAnsi="Lucida Grande"/>
      <w:sz w:val="18"/>
      <w:szCs w:val="18"/>
    </w:rPr>
  </w:style>
  <w:style w:type="paragraph" w:customStyle="1" w:styleId="BodyBullet1">
    <w:name w:val="Body Bullet 1"/>
    <w:basedOn w:val="Normal"/>
    <w:rsid w:val="00064DB9"/>
    <w:pPr>
      <w:numPr>
        <w:numId w:val="1"/>
      </w:numPr>
      <w:spacing w:before="100" w:after="100" w:line="341" w:lineRule="auto"/>
    </w:pPr>
    <w:rPr>
      <w:rFonts w:ascii="Arial" w:hAnsi="Arial"/>
      <w:szCs w:val="24"/>
    </w:rPr>
  </w:style>
  <w:style w:type="paragraph" w:styleId="ListParagraph">
    <w:name w:val="List Paragraph"/>
    <w:basedOn w:val="Normal"/>
    <w:uiPriority w:val="34"/>
    <w:qFormat/>
    <w:rsid w:val="007225AB"/>
    <w:pPr>
      <w:ind w:left="720"/>
      <w:contextualSpacing/>
    </w:pPr>
  </w:style>
  <w:style w:type="paragraph" w:styleId="Subtitle">
    <w:name w:val="Subtitle"/>
    <w:basedOn w:val="Normal"/>
    <w:next w:val="Normal"/>
    <w:link w:val="SubtitleChar"/>
    <w:uiPriority w:val="11"/>
    <w:qFormat/>
    <w:rsid w:val="007225A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7225AB"/>
    <w:rPr>
      <w:rFonts w:ascii="Cambria" w:eastAsia="Times New Roman" w:hAnsi="Cambria" w:cs="Times New Roman"/>
      <w:i/>
      <w:iCs/>
      <w:color w:val="4F81BD"/>
      <w:spacing w:val="15"/>
      <w:sz w:val="24"/>
      <w:szCs w:val="24"/>
    </w:rPr>
  </w:style>
  <w:style w:type="table" w:styleId="TableGrid">
    <w:name w:val="Table Grid"/>
    <w:basedOn w:val="TableNormal"/>
    <w:uiPriority w:val="59"/>
    <w:rsid w:val="009806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4B5"/>
  </w:style>
  <w:style w:type="paragraph" w:styleId="Footer">
    <w:name w:val="footer"/>
    <w:basedOn w:val="Normal"/>
    <w:link w:val="FooterChar"/>
    <w:uiPriority w:val="99"/>
    <w:unhideWhenUsed/>
    <w:rsid w:val="00276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4B5"/>
  </w:style>
  <w:style w:type="character" w:customStyle="1" w:styleId="BalloonTextChar1">
    <w:name w:val="Balloon Text Char1"/>
    <w:link w:val="BalloonText"/>
    <w:uiPriority w:val="99"/>
    <w:semiHidden/>
    <w:rsid w:val="002764B5"/>
    <w:rPr>
      <w:rFonts w:ascii="Tahoma" w:hAnsi="Tahoma" w:cs="Tahoma"/>
      <w:sz w:val="16"/>
      <w:szCs w:val="16"/>
    </w:rPr>
  </w:style>
  <w:style w:type="character" w:styleId="CommentReference">
    <w:name w:val="annotation reference"/>
    <w:uiPriority w:val="99"/>
    <w:semiHidden/>
    <w:unhideWhenUsed/>
    <w:rsid w:val="00D669DB"/>
    <w:rPr>
      <w:sz w:val="18"/>
      <w:szCs w:val="18"/>
    </w:rPr>
  </w:style>
  <w:style w:type="paragraph" w:styleId="CommentText">
    <w:name w:val="annotation text"/>
    <w:basedOn w:val="Normal"/>
    <w:link w:val="CommentTextChar"/>
    <w:uiPriority w:val="99"/>
    <w:semiHidden/>
    <w:unhideWhenUsed/>
    <w:rsid w:val="00D669DB"/>
    <w:pPr>
      <w:spacing w:line="240" w:lineRule="auto"/>
    </w:pPr>
    <w:rPr>
      <w:sz w:val="24"/>
      <w:szCs w:val="24"/>
    </w:rPr>
  </w:style>
  <w:style w:type="character" w:customStyle="1" w:styleId="CommentTextChar">
    <w:name w:val="Comment Text Char"/>
    <w:link w:val="CommentText"/>
    <w:uiPriority w:val="99"/>
    <w:semiHidden/>
    <w:rsid w:val="00D669DB"/>
    <w:rPr>
      <w:sz w:val="24"/>
      <w:szCs w:val="24"/>
    </w:rPr>
  </w:style>
  <w:style w:type="paragraph" w:styleId="CommentSubject">
    <w:name w:val="annotation subject"/>
    <w:basedOn w:val="CommentText"/>
    <w:next w:val="CommentText"/>
    <w:link w:val="CommentSubjectChar"/>
    <w:uiPriority w:val="99"/>
    <w:semiHidden/>
    <w:unhideWhenUsed/>
    <w:rsid w:val="00D669DB"/>
    <w:rPr>
      <w:b/>
      <w:bCs/>
      <w:sz w:val="20"/>
      <w:szCs w:val="20"/>
    </w:rPr>
  </w:style>
  <w:style w:type="character" w:customStyle="1" w:styleId="CommentSubjectChar">
    <w:name w:val="Comment Subject Char"/>
    <w:link w:val="CommentSubject"/>
    <w:uiPriority w:val="99"/>
    <w:semiHidden/>
    <w:rsid w:val="00D669DB"/>
    <w:rPr>
      <w:b/>
      <w:bCs/>
      <w:sz w:val="20"/>
      <w:szCs w:val="20"/>
    </w:rPr>
  </w:style>
  <w:style w:type="character" w:customStyle="1" w:styleId="Heading2Char">
    <w:name w:val="Heading 2 Char"/>
    <w:link w:val="Heading2"/>
    <w:uiPriority w:val="9"/>
    <w:rsid w:val="00FD1580"/>
    <w:rPr>
      <w:rFonts w:eastAsia="Times New Roman" w:cs="Times New Roman"/>
      <w:b/>
      <w:bCs/>
      <w:sz w:val="40"/>
      <w:szCs w:val="26"/>
      <w:u w:val="single"/>
    </w:rPr>
  </w:style>
  <w:style w:type="character" w:styleId="Hyperlink">
    <w:name w:val="Hyperlink"/>
    <w:uiPriority w:val="99"/>
    <w:unhideWhenUsed/>
    <w:rsid w:val="00BE32E4"/>
    <w:rPr>
      <w:color w:val="0000FF"/>
      <w:u w:val="single"/>
    </w:rPr>
  </w:style>
  <w:style w:type="paragraph" w:styleId="TOC1">
    <w:name w:val="toc 1"/>
    <w:basedOn w:val="Normal"/>
    <w:next w:val="Normal"/>
    <w:autoRedefine/>
    <w:uiPriority w:val="39"/>
    <w:unhideWhenUsed/>
    <w:rsid w:val="00DE6CF6"/>
    <w:pPr>
      <w:tabs>
        <w:tab w:val="right" w:leader="dot" w:pos="9350"/>
      </w:tabs>
      <w:spacing w:after="0" w:line="240" w:lineRule="auto"/>
    </w:pPr>
    <w:rPr>
      <w:rFonts w:cs="Calibri"/>
      <w:szCs w:val="24"/>
    </w:rPr>
  </w:style>
  <w:style w:type="character" w:customStyle="1" w:styleId="Heading1Char">
    <w:name w:val="Heading 1 Char"/>
    <w:link w:val="Heading1"/>
    <w:uiPriority w:val="9"/>
    <w:rsid w:val="00413C0D"/>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413C0D"/>
    <w:pPr>
      <w:outlineLvl w:val="9"/>
    </w:pPr>
  </w:style>
  <w:style w:type="paragraph" w:styleId="TOC2">
    <w:name w:val="toc 2"/>
    <w:basedOn w:val="Normal"/>
    <w:next w:val="Normal"/>
    <w:autoRedefine/>
    <w:uiPriority w:val="39"/>
    <w:unhideWhenUsed/>
    <w:rsid w:val="00413C0D"/>
    <w:pPr>
      <w:spacing w:after="100"/>
      <w:ind w:left="220"/>
    </w:pPr>
  </w:style>
  <w:style w:type="paragraph" w:styleId="FootnoteText">
    <w:name w:val="footnote text"/>
    <w:basedOn w:val="Normal"/>
    <w:link w:val="FootnoteTextChar"/>
    <w:uiPriority w:val="99"/>
    <w:semiHidden/>
    <w:unhideWhenUsed/>
    <w:rsid w:val="008C5974"/>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C5974"/>
    <w:rPr>
      <w:rFonts w:ascii="Times New Roman" w:eastAsia="Times New Roman" w:hAnsi="Times New Roman"/>
    </w:rPr>
  </w:style>
  <w:style w:type="character" w:styleId="FootnoteReference">
    <w:name w:val="footnote reference"/>
    <w:basedOn w:val="DefaultParagraphFont"/>
    <w:uiPriority w:val="99"/>
    <w:semiHidden/>
    <w:unhideWhenUsed/>
    <w:rsid w:val="008C5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msbunkerblog.wordpress.com/2011/03/14/qualitative-research-incentives-5-reasons-why-more-is-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8807</CharactersWithSpaces>
  <SharedDoc>false</SharedDoc>
  <HLinks>
    <vt:vector size="42" baseType="variant">
      <vt:variant>
        <vt:i4>1703985</vt:i4>
      </vt:variant>
      <vt:variant>
        <vt:i4>29</vt:i4>
      </vt:variant>
      <vt:variant>
        <vt:i4>0</vt:i4>
      </vt:variant>
      <vt:variant>
        <vt:i4>5</vt:i4>
      </vt:variant>
      <vt:variant>
        <vt:lpwstr/>
      </vt:variant>
      <vt:variant>
        <vt:lpwstr>_Toc353262785</vt:lpwstr>
      </vt:variant>
      <vt:variant>
        <vt:i4>1703985</vt:i4>
      </vt:variant>
      <vt:variant>
        <vt:i4>23</vt:i4>
      </vt:variant>
      <vt:variant>
        <vt:i4>0</vt:i4>
      </vt:variant>
      <vt:variant>
        <vt:i4>5</vt:i4>
      </vt:variant>
      <vt:variant>
        <vt:lpwstr/>
      </vt:variant>
      <vt:variant>
        <vt:lpwstr>_Toc353262784</vt:lpwstr>
      </vt:variant>
      <vt:variant>
        <vt:i4>1048630</vt:i4>
      </vt:variant>
      <vt:variant>
        <vt:i4>17</vt:i4>
      </vt:variant>
      <vt:variant>
        <vt:i4>0</vt:i4>
      </vt:variant>
      <vt:variant>
        <vt:i4>5</vt:i4>
      </vt:variant>
      <vt:variant>
        <vt:lpwstr/>
      </vt:variant>
      <vt:variant>
        <vt:lpwstr>_Toc352074064</vt:lpwstr>
      </vt:variant>
      <vt:variant>
        <vt:i4>1376315</vt:i4>
      </vt:variant>
      <vt:variant>
        <vt:i4>14</vt:i4>
      </vt:variant>
      <vt:variant>
        <vt:i4>0</vt:i4>
      </vt:variant>
      <vt:variant>
        <vt:i4>5</vt:i4>
      </vt:variant>
      <vt:variant>
        <vt:lpwstr/>
      </vt:variant>
      <vt:variant>
        <vt:lpwstr>_Toc349916099</vt:lpwstr>
      </vt:variant>
      <vt:variant>
        <vt:i4>1376315</vt:i4>
      </vt:variant>
      <vt:variant>
        <vt:i4>11</vt:i4>
      </vt:variant>
      <vt:variant>
        <vt:i4>0</vt:i4>
      </vt:variant>
      <vt:variant>
        <vt:i4>5</vt:i4>
      </vt:variant>
      <vt:variant>
        <vt:lpwstr/>
      </vt:variant>
      <vt:variant>
        <vt:lpwstr>_Toc349916098</vt:lpwstr>
      </vt:variant>
      <vt:variant>
        <vt:i4>1376306</vt:i4>
      </vt:variant>
      <vt:variant>
        <vt:i4>5</vt:i4>
      </vt:variant>
      <vt:variant>
        <vt:i4>0</vt:i4>
      </vt:variant>
      <vt:variant>
        <vt:i4>5</vt:i4>
      </vt:variant>
      <vt:variant>
        <vt:lpwstr/>
      </vt:variant>
      <vt:variant>
        <vt:lpwstr>_Toc350517059</vt:lpwstr>
      </vt:variant>
      <vt:variant>
        <vt:i4>1376306</vt:i4>
      </vt:variant>
      <vt:variant>
        <vt:i4>2</vt:i4>
      </vt:variant>
      <vt:variant>
        <vt:i4>0</vt:i4>
      </vt:variant>
      <vt:variant>
        <vt:i4>5</vt:i4>
      </vt:variant>
      <vt:variant>
        <vt:lpwstr/>
      </vt:variant>
      <vt:variant>
        <vt:lpwstr>_Toc350517058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3</cp:revision>
  <cp:lastPrinted>2013-03-26T14:52:00Z</cp:lastPrinted>
  <dcterms:created xsi:type="dcterms:W3CDTF">2013-05-23T20:55:00Z</dcterms:created>
  <dcterms:modified xsi:type="dcterms:W3CDTF">2013-05-23T20:56:00Z</dcterms:modified>
</cp:coreProperties>
</file>