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114" w:rsidRDefault="002A3114" w:rsidP="002A3114">
      <w:pPr>
        <w:spacing w:after="0"/>
        <w:jc w:val="center"/>
        <w:rPr>
          <w:sz w:val="24"/>
          <w:szCs w:val="24"/>
        </w:rPr>
      </w:pPr>
      <w:bookmarkStart w:id="0" w:name="_GoBack"/>
      <w:bookmarkEnd w:id="0"/>
      <w:r>
        <w:rPr>
          <w:sz w:val="24"/>
          <w:szCs w:val="24"/>
        </w:rPr>
        <w:t>ATTACHMENT B: Protocol Detail</w:t>
      </w:r>
    </w:p>
    <w:p w:rsidR="008E0228" w:rsidRDefault="008E0228" w:rsidP="008E0228">
      <w:pPr>
        <w:spacing w:after="0"/>
        <w:rPr>
          <w:sz w:val="24"/>
          <w:szCs w:val="24"/>
        </w:rPr>
      </w:pPr>
    </w:p>
    <w:p w:rsidR="008E0228" w:rsidRPr="000D16C4" w:rsidRDefault="008E0228" w:rsidP="008E0228">
      <w:pPr>
        <w:spacing w:after="0"/>
        <w:jc w:val="center"/>
        <w:rPr>
          <w:b/>
          <w:sz w:val="24"/>
          <w:szCs w:val="24"/>
        </w:rPr>
      </w:pPr>
      <w:r>
        <w:rPr>
          <w:b/>
          <w:sz w:val="24"/>
          <w:szCs w:val="24"/>
        </w:rPr>
        <w:t xml:space="preserve">Spanish Language </w:t>
      </w:r>
      <w:r w:rsidRPr="000D16C4">
        <w:rPr>
          <w:b/>
          <w:sz w:val="24"/>
          <w:szCs w:val="24"/>
        </w:rPr>
        <w:t>Message Testing:  Detonation of Improvised Nuclear Device</w:t>
      </w:r>
    </w:p>
    <w:p w:rsidR="008E0228" w:rsidRDefault="008E0228" w:rsidP="008E0228">
      <w:pPr>
        <w:spacing w:after="0"/>
        <w:jc w:val="center"/>
        <w:rPr>
          <w:sz w:val="24"/>
          <w:szCs w:val="24"/>
        </w:rPr>
      </w:pPr>
    </w:p>
    <w:p w:rsidR="008E0228" w:rsidRDefault="008E0228" w:rsidP="008E0228">
      <w:pPr>
        <w:spacing w:after="0"/>
        <w:jc w:val="center"/>
        <w:rPr>
          <w:sz w:val="24"/>
          <w:szCs w:val="24"/>
        </w:rPr>
      </w:pPr>
      <w:r>
        <w:rPr>
          <w:sz w:val="24"/>
          <w:szCs w:val="24"/>
        </w:rPr>
        <w:t>Leeanna Allen, MPH</w:t>
      </w:r>
    </w:p>
    <w:p w:rsidR="008E0228" w:rsidRDefault="008E0228" w:rsidP="008E0228">
      <w:pPr>
        <w:spacing w:after="0"/>
        <w:jc w:val="center"/>
        <w:rPr>
          <w:sz w:val="24"/>
          <w:szCs w:val="24"/>
        </w:rPr>
      </w:pPr>
      <w:r>
        <w:rPr>
          <w:sz w:val="24"/>
          <w:szCs w:val="24"/>
        </w:rPr>
        <w:t>Karen Carera, Ph.D.</w:t>
      </w:r>
    </w:p>
    <w:p w:rsidR="008E0228" w:rsidRDefault="008E0228" w:rsidP="008E0228">
      <w:pPr>
        <w:spacing w:after="0"/>
        <w:jc w:val="center"/>
        <w:rPr>
          <w:sz w:val="24"/>
          <w:szCs w:val="24"/>
        </w:rPr>
      </w:pPr>
      <w:proofErr w:type="spellStart"/>
      <w:r>
        <w:rPr>
          <w:sz w:val="24"/>
          <w:szCs w:val="24"/>
        </w:rPr>
        <w:t>Florie</w:t>
      </w:r>
      <w:proofErr w:type="spellEnd"/>
      <w:r>
        <w:rPr>
          <w:sz w:val="24"/>
          <w:szCs w:val="24"/>
        </w:rPr>
        <w:t xml:space="preserve"> Tucker, MSN, MBA</w:t>
      </w:r>
    </w:p>
    <w:p w:rsidR="008E0228" w:rsidRDefault="008E0228" w:rsidP="008E0228">
      <w:pPr>
        <w:spacing w:after="0"/>
        <w:jc w:val="center"/>
        <w:rPr>
          <w:sz w:val="24"/>
          <w:szCs w:val="24"/>
        </w:rPr>
      </w:pPr>
      <w:r>
        <w:rPr>
          <w:sz w:val="24"/>
          <w:szCs w:val="24"/>
        </w:rPr>
        <w:t>Oak Ridge Institute for Science and Education</w:t>
      </w:r>
    </w:p>
    <w:p w:rsidR="008E0228" w:rsidRDefault="008E0228" w:rsidP="008E0228">
      <w:pPr>
        <w:spacing w:after="0"/>
        <w:jc w:val="center"/>
        <w:rPr>
          <w:sz w:val="24"/>
          <w:szCs w:val="24"/>
        </w:rPr>
      </w:pPr>
    </w:p>
    <w:p w:rsidR="008E0228" w:rsidRDefault="008E0228" w:rsidP="008E0228">
      <w:pPr>
        <w:spacing w:after="0"/>
        <w:jc w:val="center"/>
        <w:rPr>
          <w:sz w:val="24"/>
          <w:szCs w:val="24"/>
        </w:rPr>
      </w:pPr>
      <w:r>
        <w:rPr>
          <w:sz w:val="24"/>
          <w:szCs w:val="24"/>
        </w:rPr>
        <w:t xml:space="preserve">Carol </w:t>
      </w:r>
      <w:proofErr w:type="spellStart"/>
      <w:r>
        <w:rPr>
          <w:sz w:val="24"/>
          <w:szCs w:val="24"/>
        </w:rPr>
        <w:t>McCurley</w:t>
      </w:r>
      <w:proofErr w:type="spellEnd"/>
    </w:p>
    <w:p w:rsidR="008E0228" w:rsidRDefault="008E0228" w:rsidP="008E0228">
      <w:pPr>
        <w:spacing w:after="0"/>
        <w:jc w:val="center"/>
        <w:rPr>
          <w:sz w:val="24"/>
          <w:szCs w:val="24"/>
        </w:rPr>
      </w:pPr>
      <w:r>
        <w:rPr>
          <w:sz w:val="24"/>
          <w:szCs w:val="24"/>
        </w:rPr>
        <w:t>Centers for Disease Control and Prevention</w:t>
      </w:r>
    </w:p>
    <w:p w:rsidR="008E0228" w:rsidRDefault="008E0228" w:rsidP="008E0228">
      <w:pPr>
        <w:spacing w:after="0"/>
        <w:jc w:val="center"/>
        <w:rPr>
          <w:sz w:val="24"/>
          <w:szCs w:val="24"/>
        </w:rPr>
      </w:pPr>
      <w:r>
        <w:rPr>
          <w:sz w:val="24"/>
          <w:szCs w:val="24"/>
        </w:rPr>
        <w:t>Katrina Pollard</w:t>
      </w:r>
    </w:p>
    <w:p w:rsidR="008E0228" w:rsidRDefault="008E0228" w:rsidP="008E0228">
      <w:pPr>
        <w:spacing w:after="0"/>
        <w:jc w:val="center"/>
        <w:rPr>
          <w:sz w:val="24"/>
          <w:szCs w:val="24"/>
        </w:rPr>
      </w:pPr>
      <w:r>
        <w:rPr>
          <w:sz w:val="24"/>
          <w:szCs w:val="24"/>
        </w:rPr>
        <w:t>Centers for Disease Control and Prevention</w:t>
      </w:r>
    </w:p>
    <w:p w:rsidR="008E0228" w:rsidRDefault="008E0228" w:rsidP="008E0228">
      <w:pPr>
        <w:spacing w:after="0"/>
        <w:rPr>
          <w:sz w:val="24"/>
          <w:szCs w:val="24"/>
        </w:rPr>
      </w:pPr>
    </w:p>
    <w:p w:rsidR="008E0228" w:rsidRPr="00E3603B" w:rsidRDefault="008E0228" w:rsidP="008E0228">
      <w:pPr>
        <w:spacing w:after="0"/>
        <w:rPr>
          <w:b/>
          <w:sz w:val="24"/>
          <w:szCs w:val="24"/>
        </w:rPr>
      </w:pPr>
      <w:r w:rsidRPr="00E3603B">
        <w:rPr>
          <w:b/>
          <w:sz w:val="24"/>
          <w:szCs w:val="24"/>
        </w:rPr>
        <w:t>Background</w:t>
      </w:r>
    </w:p>
    <w:p w:rsidR="008E0228" w:rsidRDefault="008E0228" w:rsidP="008E0228">
      <w:pPr>
        <w:rPr>
          <w:sz w:val="24"/>
          <w:szCs w:val="24"/>
        </w:rPr>
      </w:pPr>
      <w:r>
        <w:rPr>
          <w:sz w:val="24"/>
          <w:szCs w:val="24"/>
        </w:rPr>
        <w:t xml:space="preserve">Detonation of an Improvised Nuclear Device (IND) in a metropolitan area of the United States would be catastrophic.  Planning for such an event is critical to the nation’s overall preparedness for emergency events. Amidst the calamity ensuing from a nuclear detonation, a crucial task for federal, state, and local authorities will be communicating clear and consistent messages to the public.  Effective communications will be a critical factor in saving lives and minimizing injury. </w:t>
      </w:r>
    </w:p>
    <w:p w:rsidR="008E0228" w:rsidRDefault="008E0228" w:rsidP="008E0228">
      <w:pPr>
        <w:rPr>
          <w:sz w:val="24"/>
          <w:szCs w:val="24"/>
          <w:u w:val="single"/>
        </w:rPr>
      </w:pPr>
      <w:r>
        <w:rPr>
          <w:sz w:val="24"/>
          <w:szCs w:val="24"/>
        </w:rPr>
        <w:t>In 2009-2010, the Nuclear Detonation Response Communications Working Group, a federal interagency group of communications and radiation technical experts, developed key messages for affected communities, as well as the rest of the nation, to be used during the immediate aftermath of an IND detonation.  These messages are intended to provide key life-saving protective action guidance as well as responses to questions anticipated in such an event. Although incident-specific messages will still be needed, these messages will enable decision makers and communicators to provide consistent, well developed information about a variety of concerns that will arise.</w:t>
      </w:r>
    </w:p>
    <w:p w:rsidR="008E0228" w:rsidRDefault="008E0228" w:rsidP="008E0228">
      <w:pPr>
        <w:spacing w:after="0"/>
        <w:rPr>
          <w:sz w:val="24"/>
          <w:szCs w:val="24"/>
        </w:rPr>
      </w:pPr>
      <w:r>
        <w:rPr>
          <w:sz w:val="24"/>
          <w:szCs w:val="24"/>
        </w:rPr>
        <w:t xml:space="preserve">The Radiation Studies Branch of the Centers for Disease Control and Prevention (CDC) provides basic information on radiation and its health effects as well as emergency instructions for individuals and families.  CDC was part of the interagency group which developed the key messages for communities affected by the detonation of an IND.  To help ensure the quality of those messages, CDC wishes to test them with the public.  The Oak Ridge Institute for Science and Education (ORISE) is to provide technical assistance. </w:t>
      </w:r>
    </w:p>
    <w:p w:rsidR="008E0228" w:rsidRDefault="008E0228" w:rsidP="008E0228">
      <w:pPr>
        <w:spacing w:after="0"/>
        <w:rPr>
          <w:sz w:val="24"/>
          <w:szCs w:val="24"/>
        </w:rPr>
      </w:pPr>
      <w:r>
        <w:rPr>
          <w:sz w:val="24"/>
          <w:szCs w:val="24"/>
        </w:rPr>
        <w:t xml:space="preserve"> </w:t>
      </w:r>
    </w:p>
    <w:p w:rsidR="008E0228" w:rsidRDefault="008E0228" w:rsidP="008E0228">
      <w:pPr>
        <w:spacing w:after="0"/>
        <w:rPr>
          <w:sz w:val="24"/>
          <w:szCs w:val="24"/>
        </w:rPr>
      </w:pPr>
      <w:r>
        <w:rPr>
          <w:sz w:val="24"/>
          <w:szCs w:val="24"/>
        </w:rPr>
        <w:t>This protocol sets forth the plan for message testing.  It addresses:</w:t>
      </w:r>
    </w:p>
    <w:p w:rsidR="008E0228" w:rsidRPr="001E71EA" w:rsidRDefault="008E0228" w:rsidP="008E0228">
      <w:pPr>
        <w:numPr>
          <w:ilvl w:val="0"/>
          <w:numId w:val="1"/>
        </w:numPr>
        <w:spacing w:after="0" w:line="240" w:lineRule="auto"/>
        <w:rPr>
          <w:sz w:val="24"/>
          <w:szCs w:val="24"/>
        </w:rPr>
      </w:pPr>
      <w:r w:rsidRPr="001E71EA">
        <w:rPr>
          <w:sz w:val="24"/>
          <w:szCs w:val="24"/>
        </w:rPr>
        <w:lastRenderedPageBreak/>
        <w:t>Objective</w:t>
      </w:r>
    </w:p>
    <w:p w:rsidR="008E0228" w:rsidRPr="001E71EA" w:rsidRDefault="008E0228" w:rsidP="008E0228">
      <w:pPr>
        <w:numPr>
          <w:ilvl w:val="0"/>
          <w:numId w:val="1"/>
        </w:numPr>
        <w:spacing w:after="0" w:line="240" w:lineRule="auto"/>
        <w:rPr>
          <w:sz w:val="24"/>
          <w:szCs w:val="24"/>
        </w:rPr>
      </w:pPr>
      <w:r w:rsidRPr="001E71EA">
        <w:rPr>
          <w:sz w:val="24"/>
          <w:szCs w:val="24"/>
        </w:rPr>
        <w:t>Target Audience</w:t>
      </w:r>
    </w:p>
    <w:p w:rsidR="008E0228" w:rsidRDefault="008E0228" w:rsidP="008E0228">
      <w:pPr>
        <w:numPr>
          <w:ilvl w:val="0"/>
          <w:numId w:val="1"/>
        </w:numPr>
        <w:spacing w:after="0" w:line="240" w:lineRule="auto"/>
        <w:rPr>
          <w:sz w:val="24"/>
          <w:szCs w:val="24"/>
        </w:rPr>
      </w:pPr>
      <w:r w:rsidRPr="001E71EA">
        <w:rPr>
          <w:sz w:val="24"/>
          <w:szCs w:val="24"/>
        </w:rPr>
        <w:t>Audience Segmentation/Screening</w:t>
      </w:r>
    </w:p>
    <w:p w:rsidR="008E0228" w:rsidRPr="000D04D0" w:rsidRDefault="008E0228" w:rsidP="008E0228">
      <w:pPr>
        <w:numPr>
          <w:ilvl w:val="0"/>
          <w:numId w:val="1"/>
        </w:numPr>
        <w:spacing w:after="0" w:line="240" w:lineRule="auto"/>
        <w:rPr>
          <w:sz w:val="24"/>
          <w:szCs w:val="24"/>
        </w:rPr>
      </w:pPr>
      <w:r w:rsidRPr="001E71EA">
        <w:rPr>
          <w:sz w:val="24"/>
          <w:szCs w:val="24"/>
        </w:rPr>
        <w:t>Methods of Data Collection</w:t>
      </w:r>
    </w:p>
    <w:p w:rsidR="008E0228" w:rsidRPr="001E71EA" w:rsidRDefault="008E0228" w:rsidP="008E0228">
      <w:pPr>
        <w:numPr>
          <w:ilvl w:val="0"/>
          <w:numId w:val="1"/>
        </w:numPr>
        <w:spacing w:after="0" w:line="240" w:lineRule="auto"/>
        <w:rPr>
          <w:sz w:val="24"/>
          <w:szCs w:val="24"/>
        </w:rPr>
      </w:pPr>
      <w:r w:rsidRPr="001E71EA">
        <w:rPr>
          <w:sz w:val="24"/>
          <w:szCs w:val="24"/>
        </w:rPr>
        <w:t>Recruiting</w:t>
      </w:r>
    </w:p>
    <w:p w:rsidR="008E0228" w:rsidRPr="001E71EA" w:rsidRDefault="008E0228" w:rsidP="008E0228">
      <w:pPr>
        <w:numPr>
          <w:ilvl w:val="0"/>
          <w:numId w:val="1"/>
        </w:numPr>
        <w:spacing w:after="0" w:line="240" w:lineRule="auto"/>
        <w:rPr>
          <w:sz w:val="24"/>
          <w:szCs w:val="24"/>
        </w:rPr>
      </w:pPr>
      <w:r w:rsidRPr="001E71EA">
        <w:rPr>
          <w:sz w:val="24"/>
          <w:szCs w:val="24"/>
        </w:rPr>
        <w:t>Schedule</w:t>
      </w:r>
    </w:p>
    <w:p w:rsidR="008E0228" w:rsidRPr="001E71EA" w:rsidRDefault="008E0228" w:rsidP="008E0228">
      <w:pPr>
        <w:numPr>
          <w:ilvl w:val="0"/>
          <w:numId w:val="1"/>
        </w:numPr>
        <w:spacing w:after="0" w:line="240" w:lineRule="auto"/>
        <w:rPr>
          <w:sz w:val="24"/>
          <w:szCs w:val="24"/>
        </w:rPr>
      </w:pPr>
      <w:r w:rsidRPr="001E71EA">
        <w:rPr>
          <w:sz w:val="24"/>
          <w:szCs w:val="24"/>
        </w:rPr>
        <w:t>Informed Consent</w:t>
      </w:r>
    </w:p>
    <w:p w:rsidR="008E0228" w:rsidRDefault="008E0228" w:rsidP="008E0228">
      <w:pPr>
        <w:numPr>
          <w:ilvl w:val="0"/>
          <w:numId w:val="1"/>
        </w:numPr>
        <w:spacing w:after="0" w:line="240" w:lineRule="auto"/>
        <w:rPr>
          <w:sz w:val="24"/>
          <w:szCs w:val="24"/>
        </w:rPr>
      </w:pPr>
      <w:r w:rsidRPr="001E71EA">
        <w:rPr>
          <w:sz w:val="24"/>
          <w:szCs w:val="24"/>
        </w:rPr>
        <w:t>Handling of Data Records</w:t>
      </w:r>
    </w:p>
    <w:p w:rsidR="008E0228" w:rsidRDefault="008E0228" w:rsidP="008E0228">
      <w:pPr>
        <w:spacing w:after="0"/>
        <w:rPr>
          <w:sz w:val="24"/>
          <w:szCs w:val="24"/>
        </w:rPr>
      </w:pPr>
    </w:p>
    <w:p w:rsidR="008E0228" w:rsidRPr="00B62446" w:rsidRDefault="008E0228" w:rsidP="008E0228">
      <w:pPr>
        <w:spacing w:after="0"/>
        <w:rPr>
          <w:b/>
          <w:sz w:val="24"/>
          <w:szCs w:val="24"/>
        </w:rPr>
      </w:pPr>
      <w:r>
        <w:rPr>
          <w:b/>
          <w:sz w:val="24"/>
          <w:szCs w:val="24"/>
        </w:rPr>
        <w:t>O</w:t>
      </w:r>
      <w:r w:rsidRPr="00B62446">
        <w:rPr>
          <w:b/>
          <w:sz w:val="24"/>
          <w:szCs w:val="24"/>
        </w:rPr>
        <w:t>bjective</w:t>
      </w:r>
    </w:p>
    <w:p w:rsidR="008E0228" w:rsidRPr="00B62446" w:rsidRDefault="008E0228" w:rsidP="008E0228">
      <w:pPr>
        <w:spacing w:after="0"/>
        <w:rPr>
          <w:sz w:val="24"/>
          <w:szCs w:val="24"/>
        </w:rPr>
      </w:pPr>
      <w:r w:rsidRPr="00B62446">
        <w:rPr>
          <w:rFonts w:cs="Arial"/>
          <w:bCs/>
          <w:sz w:val="24"/>
          <w:szCs w:val="24"/>
        </w:rPr>
        <w:t xml:space="preserve">Explore the </w:t>
      </w:r>
      <w:r>
        <w:rPr>
          <w:rFonts w:cs="Arial"/>
          <w:bCs/>
          <w:sz w:val="24"/>
          <w:szCs w:val="24"/>
        </w:rPr>
        <w:t xml:space="preserve">relevance, comprehensibility, credibility, and </w:t>
      </w:r>
      <w:r w:rsidRPr="00B62446">
        <w:rPr>
          <w:rFonts w:cs="Arial"/>
          <w:bCs/>
          <w:sz w:val="24"/>
          <w:szCs w:val="24"/>
        </w:rPr>
        <w:t xml:space="preserve">effectiveness of </w:t>
      </w:r>
      <w:r>
        <w:rPr>
          <w:rFonts w:cs="Arial"/>
          <w:bCs/>
          <w:sz w:val="24"/>
          <w:szCs w:val="24"/>
        </w:rPr>
        <w:t>Spanish-language translations of selected protective action messages developed</w:t>
      </w:r>
      <w:r w:rsidRPr="00B62446">
        <w:rPr>
          <w:rFonts w:cs="Arial"/>
          <w:bCs/>
          <w:sz w:val="24"/>
          <w:szCs w:val="24"/>
        </w:rPr>
        <w:t xml:space="preserve"> by </w:t>
      </w:r>
      <w:r>
        <w:rPr>
          <w:rFonts w:cs="Arial"/>
          <w:bCs/>
          <w:sz w:val="24"/>
          <w:szCs w:val="24"/>
        </w:rPr>
        <w:t xml:space="preserve">the </w:t>
      </w:r>
      <w:r>
        <w:rPr>
          <w:sz w:val="24"/>
          <w:szCs w:val="24"/>
        </w:rPr>
        <w:t>Nuclear Detonation Response Communications Working Group</w:t>
      </w:r>
      <w:r w:rsidRPr="00B62446">
        <w:rPr>
          <w:rFonts w:cs="Arial"/>
          <w:bCs/>
          <w:sz w:val="24"/>
          <w:szCs w:val="24"/>
        </w:rPr>
        <w:t>.</w:t>
      </w:r>
    </w:p>
    <w:p w:rsidR="008E0228" w:rsidRDefault="008E0228" w:rsidP="008E0228">
      <w:pPr>
        <w:spacing w:after="0"/>
        <w:rPr>
          <w:b/>
          <w:i/>
          <w:sz w:val="24"/>
          <w:szCs w:val="24"/>
        </w:rPr>
      </w:pPr>
    </w:p>
    <w:p w:rsidR="008E0228" w:rsidRPr="00B06B44" w:rsidRDefault="008E0228" w:rsidP="008E0228">
      <w:pPr>
        <w:spacing w:after="0"/>
        <w:rPr>
          <w:b/>
          <w:sz w:val="24"/>
          <w:szCs w:val="24"/>
        </w:rPr>
      </w:pPr>
      <w:r w:rsidRPr="00B06B44">
        <w:rPr>
          <w:b/>
          <w:sz w:val="24"/>
          <w:szCs w:val="24"/>
        </w:rPr>
        <w:t>Target Audience</w:t>
      </w:r>
    </w:p>
    <w:p w:rsidR="008E0228" w:rsidRPr="00B06B44" w:rsidRDefault="008E0228" w:rsidP="008E0228">
      <w:pPr>
        <w:spacing w:after="0"/>
        <w:rPr>
          <w:sz w:val="24"/>
          <w:szCs w:val="24"/>
        </w:rPr>
      </w:pPr>
      <w:r w:rsidRPr="00B06B44">
        <w:rPr>
          <w:sz w:val="24"/>
          <w:szCs w:val="24"/>
        </w:rPr>
        <w:t>The target audience for this study is the general public</w:t>
      </w:r>
      <w:r>
        <w:rPr>
          <w:sz w:val="24"/>
          <w:szCs w:val="24"/>
        </w:rPr>
        <w:t>, who speak Spanish as their primary language</w:t>
      </w:r>
      <w:r w:rsidRPr="00B06B44">
        <w:rPr>
          <w:sz w:val="24"/>
          <w:szCs w:val="24"/>
        </w:rPr>
        <w:t>.</w:t>
      </w:r>
    </w:p>
    <w:p w:rsidR="008E0228" w:rsidRDefault="008E0228" w:rsidP="008E0228">
      <w:pPr>
        <w:spacing w:after="0"/>
        <w:rPr>
          <w:sz w:val="24"/>
          <w:szCs w:val="24"/>
        </w:rPr>
      </w:pPr>
    </w:p>
    <w:p w:rsidR="008E0228" w:rsidRPr="00B62446" w:rsidRDefault="008E0228" w:rsidP="008E0228">
      <w:pPr>
        <w:spacing w:after="0"/>
        <w:rPr>
          <w:b/>
          <w:sz w:val="24"/>
          <w:szCs w:val="24"/>
        </w:rPr>
      </w:pPr>
      <w:r w:rsidRPr="00B62446">
        <w:rPr>
          <w:b/>
          <w:sz w:val="24"/>
          <w:szCs w:val="24"/>
        </w:rPr>
        <w:t>Audience Segmentation and Screening</w:t>
      </w:r>
    </w:p>
    <w:p w:rsidR="008E0228" w:rsidRDefault="008E0228" w:rsidP="008E0228">
      <w:pPr>
        <w:spacing w:after="0"/>
        <w:rPr>
          <w:sz w:val="24"/>
          <w:szCs w:val="24"/>
        </w:rPr>
      </w:pPr>
      <w:r>
        <w:rPr>
          <w:sz w:val="24"/>
          <w:szCs w:val="24"/>
        </w:rPr>
        <w:t>Testing will take place in two major metropolitan areas with large Spanish-speaking populations.</w:t>
      </w:r>
    </w:p>
    <w:p w:rsidR="008E0228" w:rsidRDefault="008E0228" w:rsidP="008E0228">
      <w:pPr>
        <w:spacing w:after="0"/>
        <w:rPr>
          <w:sz w:val="24"/>
          <w:szCs w:val="24"/>
        </w:rPr>
      </w:pPr>
    </w:p>
    <w:p w:rsidR="008E0228" w:rsidRDefault="008E0228" w:rsidP="008E0228">
      <w:pPr>
        <w:spacing w:after="0"/>
        <w:rPr>
          <w:sz w:val="24"/>
          <w:szCs w:val="24"/>
        </w:rPr>
      </w:pPr>
      <w:r>
        <w:rPr>
          <w:sz w:val="24"/>
          <w:szCs w:val="24"/>
        </w:rPr>
        <w:t>Across groups at each location, the respondents will provide approximate representation reflective of the community (with the exceptions described below) in terms of:</w:t>
      </w:r>
    </w:p>
    <w:p w:rsidR="008E0228" w:rsidRDefault="008E0228" w:rsidP="008E0228">
      <w:pPr>
        <w:numPr>
          <w:ilvl w:val="0"/>
          <w:numId w:val="5"/>
        </w:numPr>
        <w:spacing w:after="0"/>
        <w:rPr>
          <w:sz w:val="24"/>
          <w:szCs w:val="24"/>
        </w:rPr>
      </w:pPr>
      <w:r>
        <w:rPr>
          <w:sz w:val="24"/>
          <w:szCs w:val="24"/>
        </w:rPr>
        <w:t>Gender</w:t>
      </w:r>
    </w:p>
    <w:p w:rsidR="008E0228" w:rsidRPr="00D21894" w:rsidRDefault="008E0228" w:rsidP="008E0228">
      <w:pPr>
        <w:numPr>
          <w:ilvl w:val="0"/>
          <w:numId w:val="5"/>
        </w:numPr>
        <w:spacing w:after="0"/>
        <w:rPr>
          <w:sz w:val="24"/>
          <w:szCs w:val="24"/>
        </w:rPr>
      </w:pPr>
      <w:r>
        <w:rPr>
          <w:sz w:val="24"/>
          <w:szCs w:val="24"/>
        </w:rPr>
        <w:t>Age</w:t>
      </w:r>
    </w:p>
    <w:p w:rsidR="008E0228" w:rsidRDefault="008E0228" w:rsidP="008E0228">
      <w:pPr>
        <w:numPr>
          <w:ilvl w:val="0"/>
          <w:numId w:val="5"/>
        </w:numPr>
        <w:spacing w:after="0"/>
        <w:rPr>
          <w:sz w:val="24"/>
          <w:szCs w:val="24"/>
        </w:rPr>
      </w:pPr>
      <w:r>
        <w:rPr>
          <w:sz w:val="24"/>
          <w:szCs w:val="24"/>
        </w:rPr>
        <w:t>Education</w:t>
      </w:r>
    </w:p>
    <w:p w:rsidR="008E0228" w:rsidRDefault="008E0228" w:rsidP="008E0228">
      <w:pPr>
        <w:spacing w:after="0"/>
        <w:rPr>
          <w:sz w:val="24"/>
          <w:szCs w:val="24"/>
        </w:rPr>
      </w:pPr>
    </w:p>
    <w:p w:rsidR="008E0228" w:rsidRDefault="008E0228" w:rsidP="008E0228">
      <w:pPr>
        <w:spacing w:after="0"/>
        <w:rPr>
          <w:sz w:val="24"/>
          <w:szCs w:val="24"/>
        </w:rPr>
      </w:pPr>
      <w:r>
        <w:rPr>
          <w:sz w:val="24"/>
          <w:szCs w:val="24"/>
        </w:rPr>
        <w:t>It is understood that with the small number of respondents per group, and the relatively small number of respondents per city, it will not be possible to have respondents representing all combinations of characteristics in one group or even across groups for that city.</w:t>
      </w:r>
    </w:p>
    <w:p w:rsidR="008E0228" w:rsidRDefault="008E0228" w:rsidP="008E0228">
      <w:pPr>
        <w:spacing w:after="0"/>
        <w:rPr>
          <w:sz w:val="24"/>
          <w:szCs w:val="24"/>
        </w:rPr>
      </w:pPr>
    </w:p>
    <w:p w:rsidR="008E0228" w:rsidRDefault="008E0228" w:rsidP="008E0228">
      <w:pPr>
        <w:spacing w:after="0"/>
        <w:rPr>
          <w:sz w:val="24"/>
          <w:szCs w:val="24"/>
        </w:rPr>
      </w:pPr>
      <w:r>
        <w:rPr>
          <w:sz w:val="24"/>
          <w:szCs w:val="24"/>
        </w:rPr>
        <w:t>All participants will:</w:t>
      </w:r>
    </w:p>
    <w:p w:rsidR="008E0228" w:rsidRDefault="008E0228" w:rsidP="008E0228">
      <w:pPr>
        <w:numPr>
          <w:ilvl w:val="0"/>
          <w:numId w:val="6"/>
        </w:numPr>
        <w:spacing w:after="0"/>
        <w:rPr>
          <w:sz w:val="24"/>
          <w:szCs w:val="24"/>
        </w:rPr>
      </w:pPr>
      <w:r>
        <w:rPr>
          <w:sz w:val="24"/>
          <w:szCs w:val="24"/>
        </w:rPr>
        <w:t>Be at least 18 years of age</w:t>
      </w:r>
    </w:p>
    <w:p w:rsidR="008E0228" w:rsidRDefault="008E0228" w:rsidP="008E0228">
      <w:pPr>
        <w:numPr>
          <w:ilvl w:val="0"/>
          <w:numId w:val="6"/>
        </w:numPr>
        <w:spacing w:after="0"/>
        <w:rPr>
          <w:sz w:val="24"/>
          <w:szCs w:val="24"/>
        </w:rPr>
      </w:pPr>
      <w:r>
        <w:rPr>
          <w:sz w:val="24"/>
          <w:szCs w:val="24"/>
        </w:rPr>
        <w:t>Have at least a High School Diploma</w:t>
      </w:r>
    </w:p>
    <w:p w:rsidR="008E0228" w:rsidRDefault="008E0228" w:rsidP="008E0228">
      <w:pPr>
        <w:numPr>
          <w:ilvl w:val="0"/>
          <w:numId w:val="6"/>
        </w:numPr>
        <w:spacing w:after="0"/>
        <w:rPr>
          <w:sz w:val="24"/>
          <w:szCs w:val="24"/>
        </w:rPr>
      </w:pPr>
      <w:r>
        <w:rPr>
          <w:sz w:val="24"/>
          <w:szCs w:val="24"/>
        </w:rPr>
        <w:t>Be comfortable conversing in Spanish</w:t>
      </w:r>
    </w:p>
    <w:p w:rsidR="008E0228" w:rsidRDefault="008E0228" w:rsidP="008E0228">
      <w:pPr>
        <w:spacing w:after="0"/>
        <w:rPr>
          <w:sz w:val="24"/>
          <w:szCs w:val="24"/>
        </w:rPr>
      </w:pPr>
    </w:p>
    <w:p w:rsidR="008E0228" w:rsidRDefault="008E0228" w:rsidP="008E0228">
      <w:pPr>
        <w:spacing w:after="0"/>
        <w:rPr>
          <w:sz w:val="24"/>
          <w:szCs w:val="24"/>
        </w:rPr>
      </w:pPr>
      <w:r>
        <w:rPr>
          <w:sz w:val="24"/>
          <w:szCs w:val="24"/>
        </w:rPr>
        <w:t>No respondents or members of their immediate family will be employed in any of the following fields:</w:t>
      </w:r>
    </w:p>
    <w:p w:rsidR="008E0228" w:rsidRDefault="008E0228" w:rsidP="008E0228">
      <w:pPr>
        <w:numPr>
          <w:ilvl w:val="0"/>
          <w:numId w:val="7"/>
        </w:numPr>
        <w:spacing w:after="0"/>
        <w:rPr>
          <w:sz w:val="24"/>
          <w:szCs w:val="24"/>
        </w:rPr>
      </w:pPr>
      <w:r>
        <w:rPr>
          <w:sz w:val="24"/>
          <w:szCs w:val="24"/>
        </w:rPr>
        <w:lastRenderedPageBreak/>
        <w:t>Advertising</w:t>
      </w:r>
    </w:p>
    <w:p w:rsidR="008E0228" w:rsidRDefault="008E0228" w:rsidP="008E0228">
      <w:pPr>
        <w:numPr>
          <w:ilvl w:val="0"/>
          <w:numId w:val="7"/>
        </w:numPr>
        <w:spacing w:after="0"/>
        <w:rPr>
          <w:sz w:val="24"/>
          <w:szCs w:val="24"/>
        </w:rPr>
      </w:pPr>
      <w:r>
        <w:rPr>
          <w:sz w:val="24"/>
          <w:szCs w:val="24"/>
        </w:rPr>
        <w:t>Public relations</w:t>
      </w:r>
    </w:p>
    <w:p w:rsidR="008E0228" w:rsidRDefault="008E0228" w:rsidP="008E0228">
      <w:pPr>
        <w:numPr>
          <w:ilvl w:val="0"/>
          <w:numId w:val="7"/>
        </w:numPr>
        <w:spacing w:after="0"/>
        <w:rPr>
          <w:sz w:val="24"/>
          <w:szCs w:val="24"/>
        </w:rPr>
      </w:pPr>
      <w:r>
        <w:rPr>
          <w:sz w:val="24"/>
          <w:szCs w:val="24"/>
        </w:rPr>
        <w:t>Market research</w:t>
      </w:r>
    </w:p>
    <w:p w:rsidR="008E0228" w:rsidRDefault="008E0228" w:rsidP="008E0228">
      <w:pPr>
        <w:numPr>
          <w:ilvl w:val="0"/>
          <w:numId w:val="7"/>
        </w:numPr>
        <w:spacing w:after="0"/>
        <w:rPr>
          <w:sz w:val="24"/>
          <w:szCs w:val="24"/>
        </w:rPr>
      </w:pPr>
      <w:r>
        <w:rPr>
          <w:sz w:val="24"/>
          <w:szCs w:val="24"/>
        </w:rPr>
        <w:t>Media</w:t>
      </w:r>
    </w:p>
    <w:p w:rsidR="008E0228" w:rsidRDefault="008E0228" w:rsidP="008E0228">
      <w:pPr>
        <w:numPr>
          <w:ilvl w:val="0"/>
          <w:numId w:val="7"/>
        </w:numPr>
        <w:spacing w:after="0"/>
        <w:rPr>
          <w:sz w:val="24"/>
          <w:szCs w:val="24"/>
        </w:rPr>
      </w:pPr>
      <w:r>
        <w:rPr>
          <w:sz w:val="24"/>
          <w:szCs w:val="24"/>
        </w:rPr>
        <w:t>Health care</w:t>
      </w:r>
    </w:p>
    <w:p w:rsidR="008E0228" w:rsidRDefault="008E0228" w:rsidP="008E0228">
      <w:pPr>
        <w:numPr>
          <w:ilvl w:val="0"/>
          <w:numId w:val="7"/>
        </w:numPr>
        <w:spacing w:after="0"/>
        <w:rPr>
          <w:sz w:val="24"/>
          <w:szCs w:val="24"/>
        </w:rPr>
      </w:pPr>
      <w:r>
        <w:rPr>
          <w:sz w:val="24"/>
          <w:szCs w:val="24"/>
        </w:rPr>
        <w:t>Public Health</w:t>
      </w:r>
    </w:p>
    <w:p w:rsidR="008E0228" w:rsidRDefault="008E0228" w:rsidP="008E0228">
      <w:pPr>
        <w:numPr>
          <w:ilvl w:val="0"/>
          <w:numId w:val="7"/>
        </w:numPr>
        <w:spacing w:after="0"/>
        <w:rPr>
          <w:sz w:val="24"/>
          <w:szCs w:val="24"/>
        </w:rPr>
      </w:pPr>
      <w:r>
        <w:rPr>
          <w:sz w:val="24"/>
          <w:szCs w:val="24"/>
        </w:rPr>
        <w:t>Health physics or related fields involved with radiation</w:t>
      </w:r>
    </w:p>
    <w:p w:rsidR="008E0228" w:rsidRDefault="008E0228" w:rsidP="008E0228">
      <w:pPr>
        <w:spacing w:after="0"/>
        <w:rPr>
          <w:sz w:val="24"/>
          <w:szCs w:val="24"/>
        </w:rPr>
      </w:pPr>
    </w:p>
    <w:p w:rsidR="008E0228" w:rsidRDefault="008E0228" w:rsidP="008E0228">
      <w:pPr>
        <w:spacing w:after="0"/>
        <w:rPr>
          <w:sz w:val="24"/>
          <w:szCs w:val="24"/>
        </w:rPr>
      </w:pPr>
      <w:r>
        <w:rPr>
          <w:sz w:val="24"/>
          <w:szCs w:val="24"/>
        </w:rPr>
        <w:t>No respondents will have earned a postgraduate degree.</w:t>
      </w:r>
    </w:p>
    <w:p w:rsidR="008E0228" w:rsidRDefault="008E0228" w:rsidP="008E0228">
      <w:pPr>
        <w:spacing w:after="0"/>
        <w:rPr>
          <w:sz w:val="24"/>
          <w:szCs w:val="24"/>
        </w:rPr>
      </w:pPr>
    </w:p>
    <w:p w:rsidR="008E0228" w:rsidRDefault="008E0228" w:rsidP="008E0228">
      <w:pPr>
        <w:spacing w:after="0"/>
        <w:rPr>
          <w:sz w:val="24"/>
          <w:szCs w:val="24"/>
        </w:rPr>
      </w:pPr>
      <w:r>
        <w:rPr>
          <w:sz w:val="24"/>
          <w:szCs w:val="24"/>
        </w:rPr>
        <w:t>The screening instrument is included as Appendix A.</w:t>
      </w:r>
    </w:p>
    <w:p w:rsidR="008E0228" w:rsidRDefault="008E0228" w:rsidP="008E0228">
      <w:pPr>
        <w:spacing w:after="0"/>
        <w:rPr>
          <w:sz w:val="24"/>
          <w:szCs w:val="24"/>
        </w:rPr>
      </w:pPr>
    </w:p>
    <w:p w:rsidR="008E0228" w:rsidRDefault="008E0228" w:rsidP="008E0228">
      <w:pPr>
        <w:spacing w:after="0"/>
        <w:rPr>
          <w:sz w:val="24"/>
          <w:szCs w:val="24"/>
        </w:rPr>
      </w:pPr>
      <w:r w:rsidRPr="00EA1308">
        <w:rPr>
          <w:b/>
          <w:sz w:val="24"/>
          <w:szCs w:val="24"/>
        </w:rPr>
        <w:t>Methods of Data Collection</w:t>
      </w:r>
    </w:p>
    <w:p w:rsidR="008E0228" w:rsidRDefault="008E0228" w:rsidP="008E0228">
      <w:pPr>
        <w:spacing w:after="0"/>
      </w:pPr>
      <w:r>
        <w:t>Data are to be collected by means of focus groups where eight prospective respondents are to be recruited.    Discussions are expected to last 90 minutes.</w:t>
      </w:r>
    </w:p>
    <w:p w:rsidR="008E0228" w:rsidRDefault="008E0228" w:rsidP="008E0228">
      <w:pPr>
        <w:spacing w:after="0"/>
      </w:pPr>
    </w:p>
    <w:p w:rsidR="008E0228" w:rsidRDefault="008E0228" w:rsidP="008E0228">
      <w:pPr>
        <w:spacing w:after="0"/>
      </w:pPr>
      <w:r>
        <w:t>The moderator’s guide is included as Appendix B.</w:t>
      </w:r>
    </w:p>
    <w:p w:rsidR="008E0228" w:rsidRDefault="008E0228" w:rsidP="008E0228">
      <w:pPr>
        <w:spacing w:after="0"/>
        <w:ind w:left="750"/>
      </w:pPr>
    </w:p>
    <w:p w:rsidR="008E0228" w:rsidRPr="0048218A" w:rsidRDefault="008E0228" w:rsidP="008E0228">
      <w:pPr>
        <w:spacing w:after="0"/>
        <w:rPr>
          <w:u w:val="single"/>
        </w:rPr>
      </w:pPr>
      <w:r w:rsidRPr="0048218A">
        <w:rPr>
          <w:u w:val="single"/>
        </w:rPr>
        <w:t>For all</w:t>
      </w:r>
    </w:p>
    <w:p w:rsidR="008E0228" w:rsidRDefault="008E0228" w:rsidP="008E0228">
      <w:pPr>
        <w:spacing w:after="0"/>
      </w:pPr>
      <w:r>
        <w:t>Focus groups are to be conducted at commercial market research facilities, using a professional moderator who will facilitate the group in Spanish.</w:t>
      </w:r>
    </w:p>
    <w:p w:rsidR="008E0228" w:rsidRDefault="008E0228" w:rsidP="008E0228">
      <w:pPr>
        <w:spacing w:after="0"/>
      </w:pPr>
    </w:p>
    <w:p w:rsidR="008E0228" w:rsidRPr="00126A88" w:rsidRDefault="008E0228" w:rsidP="008E0228">
      <w:pPr>
        <w:spacing w:after="0"/>
      </w:pPr>
      <w:r>
        <w:t>Observers from</w:t>
      </w:r>
      <w:r w:rsidRPr="00126A88">
        <w:t xml:space="preserve"> CDC, ORISE, and </w:t>
      </w:r>
      <w:r>
        <w:t>the interagency working group</w:t>
      </w:r>
      <w:r w:rsidRPr="00126A88">
        <w:t xml:space="preserve"> may observe the groups from behind one-way mirrors.  </w:t>
      </w:r>
      <w:r>
        <w:t>There will be a simultaneous translation of the focus groups for the observation groups.</w:t>
      </w:r>
    </w:p>
    <w:p w:rsidR="008E0228" w:rsidRPr="00126A88" w:rsidRDefault="008E0228" w:rsidP="008E0228">
      <w:pPr>
        <w:spacing w:after="0"/>
      </w:pPr>
    </w:p>
    <w:p w:rsidR="008E0228" w:rsidRPr="00126A88" w:rsidRDefault="008E0228" w:rsidP="008E0228">
      <w:pPr>
        <w:spacing w:after="0"/>
      </w:pPr>
      <w:r w:rsidRPr="00126A88">
        <w:t xml:space="preserve">All sessions will be conducted in </w:t>
      </w:r>
      <w:r>
        <w:t>Spanish</w:t>
      </w:r>
      <w:r w:rsidRPr="00126A88">
        <w:t xml:space="preserve">.  Participants will be screened for those comfortable conversing </w:t>
      </w:r>
      <w:r w:rsidRPr="00AA3676">
        <w:t xml:space="preserve">in Spanish. </w:t>
      </w:r>
    </w:p>
    <w:p w:rsidR="008E0228" w:rsidRPr="00126A88" w:rsidRDefault="008E0228" w:rsidP="008E0228">
      <w:pPr>
        <w:spacing w:after="0"/>
      </w:pPr>
      <w:r w:rsidRPr="00126A88">
        <w:t xml:space="preserve"> </w:t>
      </w:r>
    </w:p>
    <w:p w:rsidR="008E0228" w:rsidRDefault="008E0228" w:rsidP="008E0228">
      <w:pPr>
        <w:spacing w:after="0"/>
      </w:pPr>
      <w:r>
        <w:t>Sessions will be recorded (audio only), and t</w:t>
      </w:r>
      <w:r w:rsidRPr="00126A88">
        <w:t xml:space="preserve">ranscripts </w:t>
      </w:r>
      <w:r>
        <w:t xml:space="preserve">will </w:t>
      </w:r>
      <w:r w:rsidRPr="00126A88">
        <w:t>be prepared.  Facilities will pro</w:t>
      </w:r>
      <w:r>
        <w:t>vide two copies of audio recordings</w:t>
      </w:r>
      <w:r w:rsidRPr="00126A88">
        <w:t xml:space="preserve"> of each session.  No videotaping is to be conducted.</w:t>
      </w:r>
      <w:r>
        <w:t xml:space="preserve"> </w:t>
      </w:r>
    </w:p>
    <w:p w:rsidR="008E0228" w:rsidRPr="00126A88" w:rsidRDefault="008E0228" w:rsidP="008E0228">
      <w:pPr>
        <w:spacing w:after="0"/>
      </w:pPr>
    </w:p>
    <w:p w:rsidR="008E0228" w:rsidRPr="0068427B" w:rsidRDefault="008E0228" w:rsidP="008E0228">
      <w:pPr>
        <w:rPr>
          <w:b/>
          <w:u w:val="single"/>
        </w:rPr>
      </w:pPr>
      <w:r w:rsidRPr="00145D7C">
        <w:rPr>
          <w:b/>
          <w:u w:val="single"/>
        </w:rPr>
        <w:t>Determining Payments to Focus Group Participants</w:t>
      </w:r>
    </w:p>
    <w:p w:rsidR="008E0228" w:rsidRPr="00145D7C" w:rsidRDefault="008E0228" w:rsidP="008E0228">
      <w:r w:rsidRPr="00145D7C">
        <w:t xml:space="preserve">The cost of participant acquisition includes two main components, the recruiting fee and </w:t>
      </w:r>
      <w:r>
        <w:t xml:space="preserve">the incentive. </w:t>
      </w:r>
      <w:r w:rsidRPr="00145D7C">
        <w:t xml:space="preserve">The </w:t>
      </w:r>
      <w:r>
        <w:t>recruiting fee</w:t>
      </w:r>
      <w:r w:rsidRPr="00145D7C">
        <w:t xml:space="preserve"> is for the time it takes to secure qualified participants for each focus group. The incentive is </w:t>
      </w:r>
      <w:r>
        <w:t>a token of appreciation for participants’</w:t>
      </w:r>
      <w:r w:rsidRPr="00145D7C">
        <w:t xml:space="preserve"> time and involvement with the project.</w:t>
      </w:r>
      <w:r>
        <w:t xml:space="preserve"> Incentive</w:t>
      </w:r>
      <w:r w:rsidRPr="00145D7C">
        <w:t xml:space="preserve"> amounts are impacted by a number of variables</w:t>
      </w:r>
      <w:r>
        <w:t xml:space="preserve"> for this project,</w:t>
      </w:r>
      <w:r w:rsidRPr="00145D7C">
        <w:t xml:space="preserve"> including the following: </w:t>
      </w:r>
    </w:p>
    <w:p w:rsidR="008E0228" w:rsidRDefault="008E0228" w:rsidP="008E0228">
      <w:pPr>
        <w:numPr>
          <w:ilvl w:val="0"/>
          <w:numId w:val="27"/>
        </w:numPr>
        <w:spacing w:after="0" w:line="240" w:lineRule="auto"/>
      </w:pPr>
      <w:r>
        <w:t>Total participation time of 1.5 hours: l</w:t>
      </w:r>
      <w:r w:rsidRPr="00145D7C">
        <w:t>ength of the</w:t>
      </w:r>
      <w:r>
        <w:t xml:space="preserve"> focus</w:t>
      </w:r>
      <w:r w:rsidRPr="00145D7C">
        <w:t xml:space="preserve"> group </w:t>
      </w:r>
    </w:p>
    <w:p w:rsidR="008E0228" w:rsidRDefault="008E0228" w:rsidP="008E0228">
      <w:pPr>
        <w:numPr>
          <w:ilvl w:val="0"/>
          <w:numId w:val="27"/>
        </w:numPr>
        <w:spacing w:after="0" w:line="240" w:lineRule="auto"/>
      </w:pPr>
      <w:r w:rsidRPr="00145D7C">
        <w:lastRenderedPageBreak/>
        <w:t>Specifications that each</w:t>
      </w:r>
      <w:r>
        <w:t xml:space="preserve"> participant has to meet to participate in the study. </w:t>
      </w:r>
      <w:r w:rsidRPr="00145D7C">
        <w:t>The higher incentive is needed to improve coverage of specialized respondents who are</w:t>
      </w:r>
      <w:r>
        <w:t xml:space="preserve"> Spanish speakers from various countries</w:t>
      </w:r>
      <w:r w:rsidRPr="00145D7C">
        <w:t>. These respondents are critical for this project, as the messages and materials to be tested a</w:t>
      </w:r>
      <w:r>
        <w:t>re targeted for this population during an emergency event.</w:t>
      </w:r>
    </w:p>
    <w:p w:rsidR="008E0228" w:rsidRPr="00145D7C" w:rsidRDefault="008E0228" w:rsidP="008E0228">
      <w:pPr>
        <w:spacing w:after="0" w:line="240" w:lineRule="auto"/>
        <w:ind w:left="1080"/>
      </w:pPr>
    </w:p>
    <w:p w:rsidR="008E0228" w:rsidRPr="00145D7C" w:rsidRDefault="008E0228" w:rsidP="008E0228">
      <w:r>
        <w:t>Gift cards</w:t>
      </w:r>
      <w:r w:rsidRPr="00145D7C">
        <w:t xml:space="preserve"> are neutral (not connected with a comp</w:t>
      </w:r>
      <w:r>
        <w:t>any, service or product) and have</w:t>
      </w:r>
      <w:r w:rsidRPr="00145D7C">
        <w:t xml:space="preserve"> universal utility</w:t>
      </w:r>
      <w:r>
        <w:t xml:space="preserve">. </w:t>
      </w:r>
      <w:r w:rsidRPr="00145D7C">
        <w:t xml:space="preserve">It is usually more cost-effective and efficient to </w:t>
      </w:r>
      <w:r>
        <w:t xml:space="preserve">offer a monetary incentive perceived as attractive by the participant, as </w:t>
      </w:r>
      <w:r w:rsidRPr="00145D7C">
        <w:t xml:space="preserve">this mitigates the cost of the recruit. This recruiting fee is a variable cost that has to be paid each time a participant is recruited.  </w:t>
      </w:r>
      <w:r>
        <w:t>Incentives are given to</w:t>
      </w:r>
      <w:r w:rsidRPr="00145D7C">
        <w:t xml:space="preserve"> each actual participant and not to those who do not attend the group.  </w:t>
      </w:r>
    </w:p>
    <w:p w:rsidR="008E0228" w:rsidRDefault="008E0228" w:rsidP="008E0228">
      <w:r>
        <w:t>The incentive</w:t>
      </w:r>
      <w:r w:rsidRPr="00145D7C">
        <w:t xml:space="preserve"> serves as a </w:t>
      </w:r>
      <w:r>
        <w:t>token of appreciation</w:t>
      </w:r>
      <w:r w:rsidRPr="00145D7C">
        <w:t xml:space="preserve"> to participants for their time and engagement in the project</w:t>
      </w:r>
      <w:r>
        <w:t xml:space="preserve">. </w:t>
      </w:r>
      <w:r w:rsidRPr="00145D7C">
        <w:t>The amounts need to be high enough that participants feel like it is wo</w:t>
      </w:r>
      <w:r>
        <w:t xml:space="preserve">rth their time to participate and </w:t>
      </w:r>
      <w:r w:rsidRPr="00145D7C">
        <w:t xml:space="preserve">cannot be so low that participants perceive their time and candid responses </w:t>
      </w:r>
      <w:r>
        <w:t xml:space="preserve">are under-valued. </w:t>
      </w:r>
      <w:r w:rsidRPr="00145D7C">
        <w:t xml:space="preserve">Likewise, </w:t>
      </w:r>
      <w:r>
        <w:t>incentives</w:t>
      </w:r>
      <w:r w:rsidRPr="00145D7C">
        <w:t xml:space="preserve"> cannot be so high that </w:t>
      </w:r>
      <w:r>
        <w:t xml:space="preserve">participants become skeptical as to the intention of the focus group. </w:t>
      </w:r>
      <w:r w:rsidRPr="00145D7C">
        <w:t>Recruiters know from experience what various segments in</w:t>
      </w:r>
      <w:r>
        <w:t xml:space="preserve"> the market expect to receive. </w:t>
      </w:r>
      <w:r w:rsidRPr="00145D7C">
        <w:t xml:space="preserve">Recruiters have no monetary incentive to recommend </w:t>
      </w:r>
      <w:r>
        <w:t>an incentive</w:t>
      </w:r>
      <w:r w:rsidRPr="00145D7C">
        <w:t xml:space="preserve"> to participants other than what their experience dictates the market requires, because the </w:t>
      </w:r>
      <w:r>
        <w:t>incentive</w:t>
      </w:r>
      <w:r w:rsidRPr="00145D7C">
        <w:t xml:space="preserve"> to participants is just that. The full amount goes to the participants. The recruiter is paid for the time they expect it to take to recruit qualified participants, i.e., participants who meet the research criteria. In our experience, it is most cost effective to </w:t>
      </w:r>
      <w:r>
        <w:t>offer</w:t>
      </w:r>
      <w:r w:rsidRPr="00145D7C">
        <w:t xml:space="preserve"> the recruiter-recommended </w:t>
      </w:r>
      <w:r>
        <w:t>incentive</w:t>
      </w:r>
      <w:r w:rsidRPr="00145D7C">
        <w:t xml:space="preserve">, as </w:t>
      </w:r>
      <w:proofErr w:type="gramStart"/>
      <w:r w:rsidRPr="00145D7C">
        <w:t>this results</w:t>
      </w:r>
      <w:proofErr w:type="gramEnd"/>
      <w:r w:rsidRPr="00145D7C">
        <w:t xml:space="preserve"> in better show rates and lower recruiting fees. </w:t>
      </w:r>
      <w:r>
        <w:t xml:space="preserve">Therefore, the incentive recommended for this project is $40 per participant. </w:t>
      </w:r>
    </w:p>
    <w:p w:rsidR="008E0228" w:rsidRPr="00D57AAF" w:rsidRDefault="008E0228" w:rsidP="008E0228">
      <w:pPr>
        <w:spacing w:after="0"/>
        <w:rPr>
          <w:b/>
        </w:rPr>
      </w:pPr>
      <w:r w:rsidRPr="00D57AAF">
        <w:rPr>
          <w:b/>
        </w:rPr>
        <w:t>Recruiting</w:t>
      </w:r>
    </w:p>
    <w:p w:rsidR="008E0228" w:rsidRDefault="008E0228" w:rsidP="008E0228">
      <w:pPr>
        <w:spacing w:after="0"/>
      </w:pPr>
      <w:r>
        <w:t>Recruiting will be conducted through the market research facilities at which sessions are to be conducted, under the supervision of ORISE.  Variations from this protocol must be approved by OMB and ORISE.</w:t>
      </w:r>
    </w:p>
    <w:p w:rsidR="008E0228" w:rsidRDefault="008E0228" w:rsidP="008E0228">
      <w:pPr>
        <w:spacing w:after="0"/>
      </w:pPr>
    </w:p>
    <w:p w:rsidR="008E0228" w:rsidRDefault="008E0228" w:rsidP="008E0228">
      <w:pPr>
        <w:spacing w:after="0"/>
      </w:pPr>
      <w:r>
        <w:t>Facilities will provide only the first name and qualifications for screening criteria.  No personal identifiers (e.g., last name, last initial, address, completed screening instruments) are to be provided to ORISE or CDC.</w:t>
      </w:r>
    </w:p>
    <w:p w:rsidR="008E0228" w:rsidRDefault="008E0228" w:rsidP="008E0228">
      <w:pPr>
        <w:spacing w:after="0"/>
      </w:pPr>
    </w:p>
    <w:p w:rsidR="008E0228" w:rsidRDefault="008E0228" w:rsidP="008E0228">
      <w:pPr>
        <w:spacing w:after="0"/>
      </w:pPr>
      <w:r>
        <w:t>Numbers of prospective respondents to be recruited are as follows (from Methods of Data Collection, above; and Schedule, below)</w:t>
      </w:r>
    </w:p>
    <w:p w:rsidR="008E0228" w:rsidRDefault="008E0228" w:rsidP="008E0228">
      <w:pPr>
        <w:numPr>
          <w:ilvl w:val="0"/>
          <w:numId w:val="9"/>
        </w:numPr>
        <w:spacing w:after="0"/>
      </w:pPr>
      <w:r>
        <w:t>8 prospective respondents per group</w:t>
      </w:r>
    </w:p>
    <w:p w:rsidR="008E0228" w:rsidRDefault="008E0228" w:rsidP="008E0228">
      <w:pPr>
        <w:numPr>
          <w:ilvl w:val="0"/>
          <w:numId w:val="9"/>
        </w:numPr>
        <w:spacing w:after="0"/>
      </w:pPr>
      <w:r>
        <w:t>3 groups per city-day</w:t>
      </w:r>
    </w:p>
    <w:p w:rsidR="008E0228" w:rsidRDefault="008E0228" w:rsidP="008E0228">
      <w:pPr>
        <w:numPr>
          <w:ilvl w:val="0"/>
          <w:numId w:val="9"/>
        </w:numPr>
        <w:spacing w:after="0"/>
      </w:pPr>
      <w:r>
        <w:t>2 cities</w:t>
      </w:r>
    </w:p>
    <w:p w:rsidR="008E0228" w:rsidRDefault="008E0228" w:rsidP="008E0228">
      <w:pPr>
        <w:numPr>
          <w:ilvl w:val="0"/>
          <w:numId w:val="9"/>
        </w:numPr>
        <w:spacing w:after="0"/>
      </w:pPr>
      <w:r>
        <w:t>6 groups total</w:t>
      </w:r>
    </w:p>
    <w:p w:rsidR="008E0228" w:rsidRDefault="008E0228" w:rsidP="008E0228">
      <w:pPr>
        <w:numPr>
          <w:ilvl w:val="0"/>
          <w:numId w:val="9"/>
        </w:numPr>
        <w:spacing w:after="0"/>
      </w:pPr>
      <w:r>
        <w:t>48 prospective respondents total</w:t>
      </w:r>
    </w:p>
    <w:p w:rsidR="008E0228" w:rsidRDefault="008E0228" w:rsidP="008E0228">
      <w:pPr>
        <w:spacing w:after="0"/>
      </w:pPr>
    </w:p>
    <w:p w:rsidR="008E0228" w:rsidRDefault="008E0228" w:rsidP="008E0228">
      <w:pPr>
        <w:spacing w:after="0"/>
      </w:pPr>
      <w:r>
        <w:t>Any changes must be approved by OMB and ORISE before they are made.</w:t>
      </w:r>
    </w:p>
    <w:p w:rsidR="008E0228" w:rsidRDefault="008E0228" w:rsidP="008E0228">
      <w:pPr>
        <w:spacing w:after="0"/>
      </w:pPr>
    </w:p>
    <w:p w:rsidR="008E0228" w:rsidRDefault="008E0228" w:rsidP="008E0228">
      <w:pPr>
        <w:spacing w:after="0"/>
      </w:pPr>
      <w:r w:rsidRPr="00637973">
        <w:rPr>
          <w:b/>
        </w:rPr>
        <w:lastRenderedPageBreak/>
        <w:t>Schedule</w:t>
      </w:r>
    </w:p>
    <w:p w:rsidR="008E0228" w:rsidRDefault="008E0228" w:rsidP="008E0228">
      <w:pPr>
        <w:spacing w:after="0"/>
        <w:rPr>
          <w:sz w:val="24"/>
          <w:szCs w:val="24"/>
        </w:rPr>
      </w:pPr>
      <w:r>
        <w:rPr>
          <w:sz w:val="24"/>
          <w:szCs w:val="24"/>
        </w:rPr>
        <w:t>In each city data are to be collected in one day, with groups conducted as follows:</w:t>
      </w:r>
    </w:p>
    <w:p w:rsidR="008E0228" w:rsidRPr="008E0228" w:rsidRDefault="008E0228" w:rsidP="008E0228">
      <w:pPr>
        <w:numPr>
          <w:ilvl w:val="0"/>
          <w:numId w:val="11"/>
        </w:numPr>
        <w:spacing w:after="0"/>
        <w:rPr>
          <w:sz w:val="24"/>
          <w:szCs w:val="24"/>
        </w:rPr>
      </w:pPr>
      <w:r>
        <w:rPr>
          <w:sz w:val="24"/>
          <w:szCs w:val="24"/>
        </w:rPr>
        <w:t>3:30 – 5:00 pm local time</w:t>
      </w:r>
      <w:r>
        <w:rPr>
          <w:sz w:val="24"/>
          <w:szCs w:val="24"/>
        </w:rPr>
        <w:tab/>
        <w:t>Group 1</w:t>
      </w:r>
    </w:p>
    <w:p w:rsidR="008E0228" w:rsidRDefault="008E0228" w:rsidP="008E0228">
      <w:pPr>
        <w:numPr>
          <w:ilvl w:val="0"/>
          <w:numId w:val="11"/>
        </w:numPr>
        <w:spacing w:after="0"/>
        <w:rPr>
          <w:sz w:val="24"/>
          <w:szCs w:val="24"/>
        </w:rPr>
      </w:pPr>
      <w:r w:rsidRPr="004B0613">
        <w:rPr>
          <w:sz w:val="24"/>
          <w:szCs w:val="24"/>
        </w:rPr>
        <w:t>6:00 – 7:30</w:t>
      </w:r>
      <w:r w:rsidRPr="004B0613">
        <w:rPr>
          <w:sz w:val="24"/>
          <w:szCs w:val="24"/>
        </w:rPr>
        <w:tab/>
      </w:r>
      <w:r>
        <w:rPr>
          <w:sz w:val="24"/>
          <w:szCs w:val="24"/>
        </w:rPr>
        <w:tab/>
      </w:r>
      <w:r>
        <w:rPr>
          <w:sz w:val="24"/>
          <w:szCs w:val="24"/>
        </w:rPr>
        <w:tab/>
        <w:t>Group 2</w:t>
      </w:r>
    </w:p>
    <w:p w:rsidR="008E0228" w:rsidRPr="004B0613" w:rsidRDefault="008E0228" w:rsidP="008E0228">
      <w:pPr>
        <w:numPr>
          <w:ilvl w:val="0"/>
          <w:numId w:val="11"/>
        </w:numPr>
        <w:spacing w:after="0"/>
        <w:rPr>
          <w:sz w:val="24"/>
          <w:szCs w:val="24"/>
        </w:rPr>
      </w:pPr>
      <w:r>
        <w:rPr>
          <w:sz w:val="24"/>
          <w:szCs w:val="24"/>
        </w:rPr>
        <w:t>8:00 – 9:30</w:t>
      </w:r>
      <w:r>
        <w:rPr>
          <w:sz w:val="24"/>
          <w:szCs w:val="24"/>
        </w:rPr>
        <w:tab/>
      </w:r>
      <w:r>
        <w:rPr>
          <w:sz w:val="24"/>
          <w:szCs w:val="24"/>
        </w:rPr>
        <w:tab/>
      </w:r>
      <w:r>
        <w:rPr>
          <w:sz w:val="24"/>
          <w:szCs w:val="24"/>
        </w:rPr>
        <w:tab/>
        <w:t>Group 3</w:t>
      </w:r>
    </w:p>
    <w:p w:rsidR="008E0228" w:rsidRDefault="008E0228" w:rsidP="008E0228">
      <w:pPr>
        <w:spacing w:after="0"/>
        <w:rPr>
          <w:sz w:val="24"/>
          <w:szCs w:val="24"/>
        </w:rPr>
      </w:pPr>
    </w:p>
    <w:p w:rsidR="008E0228" w:rsidRDefault="008E0228" w:rsidP="008E0228">
      <w:pPr>
        <w:spacing w:after="0"/>
        <w:rPr>
          <w:b/>
          <w:sz w:val="24"/>
          <w:szCs w:val="24"/>
        </w:rPr>
      </w:pPr>
    </w:p>
    <w:p w:rsidR="008E0228" w:rsidRPr="00690FA7" w:rsidRDefault="008E0228" w:rsidP="008E0228">
      <w:pPr>
        <w:spacing w:after="0"/>
        <w:rPr>
          <w:b/>
          <w:sz w:val="24"/>
          <w:szCs w:val="24"/>
        </w:rPr>
      </w:pPr>
      <w:r w:rsidRPr="00690FA7">
        <w:rPr>
          <w:b/>
          <w:sz w:val="24"/>
          <w:szCs w:val="24"/>
        </w:rPr>
        <w:t>Participant Information</w:t>
      </w:r>
    </w:p>
    <w:p w:rsidR="008E0228" w:rsidRPr="00690FA7" w:rsidRDefault="008E0228" w:rsidP="008E0228">
      <w:pPr>
        <w:spacing w:after="0"/>
        <w:rPr>
          <w:sz w:val="24"/>
          <w:szCs w:val="24"/>
        </w:rPr>
      </w:pPr>
      <w:r w:rsidRPr="00690FA7">
        <w:rPr>
          <w:sz w:val="24"/>
          <w:szCs w:val="24"/>
        </w:rPr>
        <w:t>Prior to participating in the study, each prospective respondent will receive an information sheet providing such information as sponsorship of the study, their rights as participants, risks and benefits in participating, and contacts for more information.  Because this study presents no more than minimal risk, signatures for informed consent will not be required.  Information Sheet</w:t>
      </w:r>
      <w:r>
        <w:rPr>
          <w:sz w:val="24"/>
          <w:szCs w:val="24"/>
        </w:rPr>
        <w:t>s</w:t>
      </w:r>
      <w:r w:rsidRPr="00690FA7">
        <w:rPr>
          <w:sz w:val="24"/>
          <w:szCs w:val="24"/>
        </w:rPr>
        <w:t xml:space="preserve"> </w:t>
      </w:r>
      <w:r>
        <w:rPr>
          <w:sz w:val="24"/>
          <w:szCs w:val="24"/>
        </w:rPr>
        <w:t>are</w:t>
      </w:r>
      <w:r w:rsidRPr="00690FA7">
        <w:rPr>
          <w:sz w:val="24"/>
          <w:szCs w:val="24"/>
        </w:rPr>
        <w:t xml:space="preserve"> included in Appendix </w:t>
      </w:r>
      <w:r>
        <w:rPr>
          <w:sz w:val="24"/>
          <w:szCs w:val="24"/>
        </w:rPr>
        <w:t>C at the end of this document</w:t>
      </w:r>
      <w:r w:rsidRPr="00690FA7">
        <w:rPr>
          <w:sz w:val="24"/>
          <w:szCs w:val="24"/>
        </w:rPr>
        <w:t>.</w:t>
      </w:r>
    </w:p>
    <w:p w:rsidR="008E0228" w:rsidRPr="00690FA7" w:rsidRDefault="008E0228" w:rsidP="008E0228">
      <w:pPr>
        <w:spacing w:after="0"/>
        <w:rPr>
          <w:sz w:val="24"/>
          <w:szCs w:val="24"/>
        </w:rPr>
      </w:pPr>
    </w:p>
    <w:p w:rsidR="008E0228" w:rsidRDefault="008E0228" w:rsidP="008E0228">
      <w:pPr>
        <w:spacing w:after="0"/>
        <w:rPr>
          <w:sz w:val="24"/>
          <w:szCs w:val="24"/>
        </w:rPr>
      </w:pPr>
      <w:r w:rsidRPr="00690FA7">
        <w:rPr>
          <w:sz w:val="24"/>
          <w:szCs w:val="24"/>
        </w:rPr>
        <w:t xml:space="preserve">ORISE personnel will address any questions the participants have regarding the study before the session begins.  </w:t>
      </w:r>
    </w:p>
    <w:p w:rsidR="008E0228" w:rsidRDefault="008E0228" w:rsidP="008E0228">
      <w:pPr>
        <w:spacing w:after="0"/>
        <w:rPr>
          <w:sz w:val="24"/>
          <w:szCs w:val="24"/>
        </w:rPr>
      </w:pPr>
    </w:p>
    <w:p w:rsidR="008E0228" w:rsidRDefault="008E0228" w:rsidP="008E0228">
      <w:pPr>
        <w:spacing w:after="0"/>
        <w:rPr>
          <w:sz w:val="24"/>
          <w:szCs w:val="24"/>
        </w:rPr>
      </w:pPr>
      <w:r>
        <w:rPr>
          <w:sz w:val="24"/>
          <w:szCs w:val="24"/>
        </w:rPr>
        <w:t xml:space="preserve">The possibility exists that some participants will find contemplation of such subject matter upsetting.  </w:t>
      </w:r>
      <w:r w:rsidRPr="00690FA7">
        <w:rPr>
          <w:sz w:val="24"/>
          <w:szCs w:val="24"/>
        </w:rPr>
        <w:t xml:space="preserve">A </w:t>
      </w:r>
      <w:r>
        <w:rPr>
          <w:sz w:val="24"/>
          <w:szCs w:val="24"/>
        </w:rPr>
        <w:t>subject-matter expert</w:t>
      </w:r>
      <w:r w:rsidRPr="00690FA7">
        <w:rPr>
          <w:sz w:val="24"/>
          <w:szCs w:val="24"/>
        </w:rPr>
        <w:t xml:space="preserve"> </w:t>
      </w:r>
      <w:r>
        <w:rPr>
          <w:sz w:val="24"/>
          <w:szCs w:val="24"/>
        </w:rPr>
        <w:t>will come in to each group at its conclusion, make a few brief remarks (e.g., thank respondents for their contribution to an important effort), and answer questions for several minutes</w:t>
      </w:r>
      <w:r w:rsidRPr="00690FA7">
        <w:rPr>
          <w:sz w:val="24"/>
          <w:szCs w:val="24"/>
        </w:rPr>
        <w:t>.</w:t>
      </w:r>
      <w:r>
        <w:rPr>
          <w:sz w:val="24"/>
          <w:szCs w:val="24"/>
        </w:rPr>
        <w:t xml:space="preserve">  If no subject-matter expert is available, participants will receive contact information for CDC’s Radiation Studies Branch.  </w:t>
      </w:r>
    </w:p>
    <w:p w:rsidR="008E0228" w:rsidRDefault="008E0228" w:rsidP="008E0228">
      <w:pPr>
        <w:spacing w:after="0"/>
        <w:rPr>
          <w:sz w:val="24"/>
          <w:szCs w:val="24"/>
        </w:rPr>
      </w:pPr>
    </w:p>
    <w:p w:rsidR="008E0228" w:rsidRDefault="008E0228" w:rsidP="008E0228">
      <w:pPr>
        <w:spacing w:after="0"/>
        <w:rPr>
          <w:sz w:val="24"/>
        </w:rPr>
      </w:pPr>
      <w:r w:rsidRPr="00690FA7">
        <w:rPr>
          <w:b/>
          <w:sz w:val="24"/>
          <w:szCs w:val="24"/>
        </w:rPr>
        <w:t>Handling of Data and Records</w:t>
      </w:r>
    </w:p>
    <w:p w:rsidR="008E0228" w:rsidRDefault="008E0228" w:rsidP="008E0228">
      <w:pPr>
        <w:pStyle w:val="a"/>
        <w:tabs>
          <w:tab w:val="left" w:pos="-1440"/>
        </w:tabs>
        <w:ind w:left="0" w:firstLine="0"/>
        <w:rPr>
          <w:rFonts w:ascii="Calibri" w:hAnsi="Calibri"/>
          <w:sz w:val="24"/>
        </w:rPr>
      </w:pPr>
      <w:r>
        <w:rPr>
          <w:rFonts w:ascii="Calibri" w:eastAsia="Calibri" w:hAnsi="Calibri"/>
          <w:sz w:val="24"/>
        </w:rPr>
        <w:t>ORISE will m</w:t>
      </w:r>
      <w:r w:rsidRPr="00690FA7">
        <w:rPr>
          <w:rFonts w:ascii="Calibri" w:hAnsi="Calibri"/>
          <w:sz w:val="24"/>
        </w:rPr>
        <w:t>aintain no identifiers connecting any data collect</w:t>
      </w:r>
      <w:r>
        <w:rPr>
          <w:rFonts w:ascii="Calibri" w:hAnsi="Calibri"/>
          <w:sz w:val="24"/>
        </w:rPr>
        <w:t>ed to any particular respondent</w:t>
      </w:r>
      <w:r w:rsidRPr="00690FA7">
        <w:rPr>
          <w:rFonts w:ascii="Calibri" w:hAnsi="Calibri"/>
          <w:sz w:val="24"/>
        </w:rPr>
        <w:t>; neither will it provide any personal identifiers to CDC or others</w:t>
      </w:r>
      <w:r>
        <w:rPr>
          <w:rFonts w:ascii="Calibri" w:hAnsi="Calibri"/>
          <w:sz w:val="24"/>
        </w:rPr>
        <w:t>.  F</w:t>
      </w:r>
      <w:r w:rsidRPr="00690FA7">
        <w:rPr>
          <w:rFonts w:ascii="Calibri" w:hAnsi="Calibri"/>
          <w:sz w:val="24"/>
        </w:rPr>
        <w:t xml:space="preserve">irms which conduct recruiting and host sessions will be required to not provide personal identifiers to ORISE or </w:t>
      </w:r>
      <w:r>
        <w:rPr>
          <w:rFonts w:ascii="Calibri" w:hAnsi="Calibri"/>
          <w:sz w:val="24"/>
        </w:rPr>
        <w:t>CDC.</w:t>
      </w:r>
    </w:p>
    <w:p w:rsidR="008E0228" w:rsidRDefault="008E0228" w:rsidP="008E0228">
      <w:pPr>
        <w:pStyle w:val="a"/>
        <w:tabs>
          <w:tab w:val="left" w:pos="-1440"/>
        </w:tabs>
        <w:ind w:left="0" w:firstLine="0"/>
        <w:rPr>
          <w:rFonts w:ascii="Calibri" w:hAnsi="Calibri"/>
          <w:sz w:val="24"/>
        </w:rPr>
      </w:pPr>
    </w:p>
    <w:p w:rsidR="008E0228" w:rsidRPr="00690FA7" w:rsidRDefault="008E0228" w:rsidP="008E0228">
      <w:pPr>
        <w:pStyle w:val="a"/>
        <w:tabs>
          <w:tab w:val="left" w:pos="-1440"/>
        </w:tabs>
        <w:ind w:left="0" w:firstLine="0"/>
        <w:rPr>
          <w:rFonts w:ascii="Calibri" w:hAnsi="Calibri"/>
          <w:sz w:val="24"/>
        </w:rPr>
      </w:pPr>
      <w:r>
        <w:rPr>
          <w:rFonts w:ascii="Calibri" w:hAnsi="Calibri"/>
          <w:sz w:val="24"/>
        </w:rPr>
        <w:t>Additionally, ORISE will:</w:t>
      </w:r>
    </w:p>
    <w:p w:rsidR="008E0228" w:rsidRPr="00690FA7" w:rsidRDefault="008E0228" w:rsidP="008E0228">
      <w:pPr>
        <w:pStyle w:val="a"/>
        <w:numPr>
          <w:ilvl w:val="0"/>
          <w:numId w:val="10"/>
        </w:numPr>
        <w:tabs>
          <w:tab w:val="left" w:pos="-1440"/>
        </w:tabs>
        <w:rPr>
          <w:rFonts w:ascii="Calibri" w:hAnsi="Calibri"/>
          <w:sz w:val="24"/>
        </w:rPr>
      </w:pPr>
      <w:r w:rsidRPr="00690FA7">
        <w:rPr>
          <w:rFonts w:ascii="Calibri" w:hAnsi="Calibri"/>
          <w:sz w:val="24"/>
        </w:rPr>
        <w:t>Retain one set of audio recordings, and at least one copy of any rep</w:t>
      </w:r>
      <w:r>
        <w:rPr>
          <w:rFonts w:ascii="Calibri" w:hAnsi="Calibri"/>
          <w:sz w:val="24"/>
        </w:rPr>
        <w:t>ort it produces</w:t>
      </w:r>
    </w:p>
    <w:p w:rsidR="008E0228" w:rsidRPr="00690FA7" w:rsidRDefault="008E0228" w:rsidP="008E0228">
      <w:pPr>
        <w:pStyle w:val="a"/>
        <w:numPr>
          <w:ilvl w:val="0"/>
          <w:numId w:val="10"/>
        </w:numPr>
        <w:tabs>
          <w:tab w:val="left" w:pos="-1440"/>
        </w:tabs>
        <w:rPr>
          <w:rFonts w:ascii="Calibri" w:hAnsi="Calibri"/>
          <w:sz w:val="24"/>
        </w:rPr>
      </w:pPr>
      <w:r w:rsidRPr="00690FA7">
        <w:rPr>
          <w:rFonts w:ascii="Calibri" w:hAnsi="Calibri"/>
          <w:sz w:val="24"/>
        </w:rPr>
        <w:t>Develop a report in an agreed-upon format summarizing the responses provided by participants; the report will contain no personal identifiers -- that is, information sufficient to determine the identity of any participant (e.g. first and l</w:t>
      </w:r>
      <w:r>
        <w:rPr>
          <w:rFonts w:ascii="Calibri" w:hAnsi="Calibri"/>
          <w:sz w:val="24"/>
        </w:rPr>
        <w:t>ast name, address)</w:t>
      </w:r>
    </w:p>
    <w:p w:rsidR="008E0228" w:rsidRPr="00690FA7" w:rsidRDefault="008E0228" w:rsidP="008E0228">
      <w:pPr>
        <w:pStyle w:val="a"/>
        <w:numPr>
          <w:ilvl w:val="0"/>
          <w:numId w:val="10"/>
        </w:numPr>
        <w:tabs>
          <w:tab w:val="left" w:pos="-1440"/>
        </w:tabs>
        <w:rPr>
          <w:rFonts w:ascii="Calibri" w:hAnsi="Calibri"/>
          <w:sz w:val="24"/>
        </w:rPr>
      </w:pPr>
      <w:r w:rsidRPr="00690FA7">
        <w:rPr>
          <w:rFonts w:ascii="Calibri" w:hAnsi="Calibri"/>
          <w:sz w:val="24"/>
        </w:rPr>
        <w:t xml:space="preserve">Deliver the report and one set of </w:t>
      </w:r>
      <w:r>
        <w:rPr>
          <w:rFonts w:ascii="Calibri" w:hAnsi="Calibri"/>
          <w:sz w:val="24"/>
        </w:rPr>
        <w:t>recordings</w:t>
      </w:r>
      <w:r w:rsidRPr="00690FA7">
        <w:rPr>
          <w:rFonts w:ascii="Calibri" w:hAnsi="Calibri"/>
          <w:sz w:val="24"/>
        </w:rPr>
        <w:t xml:space="preserve"> to CDC;</w:t>
      </w:r>
    </w:p>
    <w:p w:rsidR="008E0228" w:rsidRPr="00690FA7" w:rsidRDefault="008E0228" w:rsidP="008E0228">
      <w:pPr>
        <w:pStyle w:val="a"/>
        <w:numPr>
          <w:ilvl w:val="0"/>
          <w:numId w:val="10"/>
        </w:numPr>
        <w:tabs>
          <w:tab w:val="left" w:pos="-1440"/>
        </w:tabs>
        <w:rPr>
          <w:rFonts w:ascii="Calibri" w:hAnsi="Calibri"/>
          <w:sz w:val="24"/>
        </w:rPr>
      </w:pPr>
      <w:r w:rsidRPr="00690FA7">
        <w:rPr>
          <w:rFonts w:ascii="Calibri" w:hAnsi="Calibri"/>
          <w:sz w:val="24"/>
        </w:rPr>
        <w:t>Not deliver to CDC or others any personal identifiers of participants;</w:t>
      </w:r>
    </w:p>
    <w:p w:rsidR="008E0228" w:rsidRDefault="008E0228" w:rsidP="008E0228">
      <w:pPr>
        <w:pStyle w:val="a"/>
        <w:numPr>
          <w:ilvl w:val="0"/>
          <w:numId w:val="10"/>
        </w:numPr>
        <w:tabs>
          <w:tab w:val="left" w:pos="-1440"/>
        </w:tabs>
        <w:rPr>
          <w:rFonts w:ascii="Calibri" w:hAnsi="Calibri"/>
          <w:sz w:val="24"/>
        </w:rPr>
      </w:pPr>
      <w:r w:rsidRPr="00690FA7">
        <w:rPr>
          <w:rFonts w:ascii="Calibri" w:hAnsi="Calibri"/>
          <w:sz w:val="24"/>
        </w:rPr>
        <w:t>Retain records and audio recordings for three years, then burn, shred, or otherwise destroy them.</w:t>
      </w:r>
    </w:p>
    <w:p w:rsidR="00721DB8" w:rsidRDefault="00721DB8" w:rsidP="00721DB8">
      <w:pPr>
        <w:pStyle w:val="a"/>
        <w:tabs>
          <w:tab w:val="left" w:pos="-1440"/>
        </w:tabs>
        <w:ind w:left="0" w:firstLine="0"/>
        <w:rPr>
          <w:rFonts w:ascii="Calibri" w:hAnsi="Calibri"/>
          <w:sz w:val="24"/>
        </w:rPr>
      </w:pPr>
    </w:p>
    <w:sectPr w:rsidR="00721DB8" w:rsidSect="002A311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4E08" w:rsidRDefault="00204E08" w:rsidP="00E97C1B">
      <w:pPr>
        <w:spacing w:after="0" w:line="240" w:lineRule="auto"/>
      </w:pPr>
      <w:r>
        <w:separator/>
      </w:r>
    </w:p>
  </w:endnote>
  <w:endnote w:type="continuationSeparator" w:id="0">
    <w:p w:rsidR="00204E08" w:rsidRDefault="00204E08" w:rsidP="00E97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542" w:rsidRDefault="006B2542" w:rsidP="00E97C1B">
    <w:pPr>
      <w:pStyle w:val="Footer"/>
      <w:tabs>
        <w:tab w:val="clear" w:pos="9360"/>
      </w:tabs>
    </w:pPr>
    <w:r>
      <w:t xml:space="preserve">RSB/IND </w:t>
    </w:r>
    <w:proofErr w:type="spellStart"/>
    <w:r>
      <w:t>Msg</w:t>
    </w:r>
    <w:proofErr w:type="spellEnd"/>
    <w:r>
      <w:t xml:space="preserve"> Test</w:t>
    </w:r>
    <w:r>
      <w:tab/>
      <w:t>v.9252012</w:t>
    </w:r>
    <w:r>
      <w:tab/>
    </w:r>
    <w:r>
      <w:tab/>
    </w:r>
    <w:r>
      <w:tab/>
    </w:r>
    <w:r>
      <w:tab/>
    </w:r>
    <w:r>
      <w:tab/>
      <w:t xml:space="preserve">Page </w:t>
    </w:r>
    <w:r w:rsidR="00F31364">
      <w:fldChar w:fldCharType="begin"/>
    </w:r>
    <w:r w:rsidR="0045171A">
      <w:instrText xml:space="preserve"> PAGE   \* MERGEFORMAT </w:instrText>
    </w:r>
    <w:r w:rsidR="00F31364">
      <w:fldChar w:fldCharType="separate"/>
    </w:r>
    <w:r w:rsidR="00DE42A8">
      <w:rPr>
        <w:noProof/>
      </w:rPr>
      <w:t>1</w:t>
    </w:r>
    <w:r w:rsidR="00F31364">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4E08" w:rsidRDefault="00204E08" w:rsidP="00E97C1B">
      <w:pPr>
        <w:spacing w:after="0" w:line="240" w:lineRule="auto"/>
      </w:pPr>
      <w:r>
        <w:separator/>
      </w:r>
    </w:p>
  </w:footnote>
  <w:footnote w:type="continuationSeparator" w:id="0">
    <w:p w:rsidR="00204E08" w:rsidRDefault="00204E08" w:rsidP="00E97C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01BB0"/>
    <w:multiLevelType w:val="hybridMultilevel"/>
    <w:tmpl w:val="D47080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FB0C04"/>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0AFD4E2A"/>
    <w:multiLevelType w:val="hybridMultilevel"/>
    <w:tmpl w:val="B77A61B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15871789"/>
    <w:multiLevelType w:val="hybridMultilevel"/>
    <w:tmpl w:val="0C8A80CA"/>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4">
    <w:nsid w:val="1CCC6BD2"/>
    <w:multiLevelType w:val="hybridMultilevel"/>
    <w:tmpl w:val="4FB8D2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D19F8"/>
    <w:multiLevelType w:val="hybridMultilevel"/>
    <w:tmpl w:val="D54AF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406CCA"/>
    <w:multiLevelType w:val="hybridMultilevel"/>
    <w:tmpl w:val="AE7EB8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6F75C1"/>
    <w:multiLevelType w:val="hybridMultilevel"/>
    <w:tmpl w:val="4BFEA352"/>
    <w:lvl w:ilvl="0" w:tplc="677EC1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BA75110"/>
    <w:multiLevelType w:val="hybridMultilevel"/>
    <w:tmpl w:val="5860C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6429D7"/>
    <w:multiLevelType w:val="hybridMultilevel"/>
    <w:tmpl w:val="78DC19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79F14D2"/>
    <w:multiLevelType w:val="hybridMultilevel"/>
    <w:tmpl w:val="DFB6E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4F7F09"/>
    <w:multiLevelType w:val="hybridMultilevel"/>
    <w:tmpl w:val="A4FAA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7B1C06"/>
    <w:multiLevelType w:val="hybridMultilevel"/>
    <w:tmpl w:val="8E468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5D6B7B"/>
    <w:multiLevelType w:val="hybridMultilevel"/>
    <w:tmpl w:val="C71AD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9FB71EE"/>
    <w:multiLevelType w:val="hybridMultilevel"/>
    <w:tmpl w:val="085C0C64"/>
    <w:lvl w:ilvl="0" w:tplc="A85ECFEA">
      <w:start w:val="1"/>
      <w:numFmt w:val="decimal"/>
      <w:lvlText w:val="%1."/>
      <w:lvlJc w:val="left"/>
      <w:pPr>
        <w:tabs>
          <w:tab w:val="num" w:pos="756"/>
        </w:tabs>
        <w:ind w:left="756" w:hanging="576"/>
      </w:pPr>
      <w:rPr>
        <w:rFonts w:hint="default"/>
        <w:b w:val="0"/>
        <w:bCs/>
      </w:rPr>
    </w:lvl>
    <w:lvl w:ilvl="1" w:tplc="BCC0BA7A">
      <w:start w:val="1"/>
      <w:numFmt w:val="decimalZero"/>
      <w:lvlText w:val="%2"/>
      <w:lvlJc w:val="left"/>
      <w:pPr>
        <w:tabs>
          <w:tab w:val="num" w:pos="-846"/>
        </w:tabs>
        <w:ind w:left="-846" w:hanging="360"/>
      </w:pPr>
      <w:rPr>
        <w:rFonts w:ascii="Times New Roman" w:hAnsi="Times New Roman" w:cs="Times New Roman" w:hint="default"/>
        <w:b w:val="0"/>
        <w:i w:val="0"/>
      </w:rPr>
    </w:lvl>
    <w:lvl w:ilvl="2" w:tplc="BA421310">
      <w:numFmt w:val="bullet"/>
      <w:lvlText w:val="•"/>
      <w:lvlJc w:val="left"/>
      <w:pPr>
        <w:ind w:left="54" w:hanging="360"/>
      </w:pPr>
      <w:rPr>
        <w:rFonts w:ascii="Times New Roman" w:eastAsia="Calibri" w:hAnsi="Times New Roman" w:cs="Times New Roman" w:hint="default"/>
      </w:rPr>
    </w:lvl>
    <w:lvl w:ilvl="3" w:tplc="0409000F" w:tentative="1">
      <w:start w:val="1"/>
      <w:numFmt w:val="decimal"/>
      <w:lvlText w:val="%4."/>
      <w:lvlJc w:val="left"/>
      <w:pPr>
        <w:tabs>
          <w:tab w:val="num" w:pos="594"/>
        </w:tabs>
        <w:ind w:left="594" w:hanging="360"/>
      </w:pPr>
    </w:lvl>
    <w:lvl w:ilvl="4" w:tplc="04090019" w:tentative="1">
      <w:start w:val="1"/>
      <w:numFmt w:val="lowerLetter"/>
      <w:lvlText w:val="%5."/>
      <w:lvlJc w:val="left"/>
      <w:pPr>
        <w:tabs>
          <w:tab w:val="num" w:pos="1314"/>
        </w:tabs>
        <w:ind w:left="1314" w:hanging="360"/>
      </w:pPr>
    </w:lvl>
    <w:lvl w:ilvl="5" w:tplc="0409001B" w:tentative="1">
      <w:start w:val="1"/>
      <w:numFmt w:val="lowerRoman"/>
      <w:lvlText w:val="%6."/>
      <w:lvlJc w:val="right"/>
      <w:pPr>
        <w:tabs>
          <w:tab w:val="num" w:pos="2034"/>
        </w:tabs>
        <w:ind w:left="2034" w:hanging="180"/>
      </w:pPr>
    </w:lvl>
    <w:lvl w:ilvl="6" w:tplc="0409000F" w:tentative="1">
      <w:start w:val="1"/>
      <w:numFmt w:val="decimal"/>
      <w:lvlText w:val="%7."/>
      <w:lvlJc w:val="left"/>
      <w:pPr>
        <w:tabs>
          <w:tab w:val="num" w:pos="2754"/>
        </w:tabs>
        <w:ind w:left="2754" w:hanging="360"/>
      </w:pPr>
    </w:lvl>
    <w:lvl w:ilvl="7" w:tplc="04090019" w:tentative="1">
      <w:start w:val="1"/>
      <w:numFmt w:val="lowerLetter"/>
      <w:lvlText w:val="%8."/>
      <w:lvlJc w:val="left"/>
      <w:pPr>
        <w:tabs>
          <w:tab w:val="num" w:pos="3474"/>
        </w:tabs>
        <w:ind w:left="3474" w:hanging="360"/>
      </w:pPr>
    </w:lvl>
    <w:lvl w:ilvl="8" w:tplc="0409001B" w:tentative="1">
      <w:start w:val="1"/>
      <w:numFmt w:val="lowerRoman"/>
      <w:lvlText w:val="%9."/>
      <w:lvlJc w:val="right"/>
      <w:pPr>
        <w:tabs>
          <w:tab w:val="num" w:pos="4194"/>
        </w:tabs>
        <w:ind w:left="4194" w:hanging="180"/>
      </w:pPr>
    </w:lvl>
  </w:abstractNum>
  <w:abstractNum w:abstractNumId="15">
    <w:nsid w:val="4F0B2CBD"/>
    <w:multiLevelType w:val="hybridMultilevel"/>
    <w:tmpl w:val="A352FF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F1C1B09"/>
    <w:multiLevelType w:val="hybridMultilevel"/>
    <w:tmpl w:val="CBAAA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FFA6783"/>
    <w:multiLevelType w:val="hybridMultilevel"/>
    <w:tmpl w:val="CE426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CB84149"/>
    <w:multiLevelType w:val="hybridMultilevel"/>
    <w:tmpl w:val="9EEA2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D4F6E9C"/>
    <w:multiLevelType w:val="hybridMultilevel"/>
    <w:tmpl w:val="6B2E33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E3E3086"/>
    <w:multiLevelType w:val="hybridMultilevel"/>
    <w:tmpl w:val="7354E0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15131AF"/>
    <w:multiLevelType w:val="hybridMultilevel"/>
    <w:tmpl w:val="7B946970"/>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721970B7"/>
    <w:multiLevelType w:val="hybridMultilevel"/>
    <w:tmpl w:val="F4782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2A607DC"/>
    <w:multiLevelType w:val="hybridMultilevel"/>
    <w:tmpl w:val="535C4C80"/>
    <w:lvl w:ilvl="0" w:tplc="CCCC53D2">
      <w:numFmt w:val="bullet"/>
      <w:lvlText w:val="•"/>
      <w:lvlJc w:val="left"/>
      <w:pPr>
        <w:ind w:left="2160" w:hanging="360"/>
      </w:pPr>
      <w:rPr>
        <w:rFonts w:ascii="Arial" w:eastAsia="Calibri"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75D83E14"/>
    <w:multiLevelType w:val="hybridMultilevel"/>
    <w:tmpl w:val="A9E068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8731805"/>
    <w:multiLevelType w:val="hybridMultilevel"/>
    <w:tmpl w:val="4EB03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9A21046"/>
    <w:multiLevelType w:val="hybridMultilevel"/>
    <w:tmpl w:val="1F80B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5"/>
  </w:num>
  <w:num w:numId="3">
    <w:abstractNumId w:val="10"/>
  </w:num>
  <w:num w:numId="4">
    <w:abstractNumId w:val="6"/>
  </w:num>
  <w:num w:numId="5">
    <w:abstractNumId w:val="11"/>
  </w:num>
  <w:num w:numId="6">
    <w:abstractNumId w:val="8"/>
  </w:num>
  <w:num w:numId="7">
    <w:abstractNumId w:val="26"/>
  </w:num>
  <w:num w:numId="8">
    <w:abstractNumId w:val="3"/>
  </w:num>
  <w:num w:numId="9">
    <w:abstractNumId w:val="22"/>
  </w:num>
  <w:num w:numId="10">
    <w:abstractNumId w:val="9"/>
  </w:num>
  <w:num w:numId="11">
    <w:abstractNumId w:val="25"/>
  </w:num>
  <w:num w:numId="12">
    <w:abstractNumId w:val="16"/>
  </w:num>
  <w:num w:numId="13">
    <w:abstractNumId w:val="14"/>
  </w:num>
  <w:num w:numId="14">
    <w:abstractNumId w:val="23"/>
  </w:num>
  <w:num w:numId="15">
    <w:abstractNumId w:val="17"/>
  </w:num>
  <w:num w:numId="16">
    <w:abstractNumId w:val="1"/>
  </w:num>
  <w:num w:numId="17">
    <w:abstractNumId w:val="20"/>
  </w:num>
  <w:num w:numId="18">
    <w:abstractNumId w:val="2"/>
  </w:num>
  <w:num w:numId="19">
    <w:abstractNumId w:val="12"/>
  </w:num>
  <w:num w:numId="20">
    <w:abstractNumId w:val="24"/>
  </w:num>
  <w:num w:numId="21">
    <w:abstractNumId w:val="4"/>
  </w:num>
  <w:num w:numId="22">
    <w:abstractNumId w:val="13"/>
  </w:num>
  <w:num w:numId="23">
    <w:abstractNumId w:val="19"/>
  </w:num>
  <w:num w:numId="24">
    <w:abstractNumId w:val="0"/>
  </w:num>
  <w:num w:numId="25">
    <w:abstractNumId w:val="18"/>
  </w:num>
  <w:num w:numId="26">
    <w:abstractNumId w:val="7"/>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03B"/>
    <w:rsid w:val="00002F7F"/>
    <w:rsid w:val="00017A0E"/>
    <w:rsid w:val="00036FD4"/>
    <w:rsid w:val="00064EF0"/>
    <w:rsid w:val="0007482C"/>
    <w:rsid w:val="000749FA"/>
    <w:rsid w:val="00095AD5"/>
    <w:rsid w:val="000A51AD"/>
    <w:rsid w:val="000C5AB9"/>
    <w:rsid w:val="000D16C4"/>
    <w:rsid w:val="000D2D71"/>
    <w:rsid w:val="000D7F6C"/>
    <w:rsid w:val="000E5D4D"/>
    <w:rsid w:val="00105132"/>
    <w:rsid w:val="00106880"/>
    <w:rsid w:val="00107BD9"/>
    <w:rsid w:val="0011391E"/>
    <w:rsid w:val="00130049"/>
    <w:rsid w:val="0013583F"/>
    <w:rsid w:val="00165D79"/>
    <w:rsid w:val="00193669"/>
    <w:rsid w:val="00196E4C"/>
    <w:rsid w:val="001D26B4"/>
    <w:rsid w:val="001E0D1E"/>
    <w:rsid w:val="00204E08"/>
    <w:rsid w:val="00223141"/>
    <w:rsid w:val="0022391A"/>
    <w:rsid w:val="00264FB6"/>
    <w:rsid w:val="00265785"/>
    <w:rsid w:val="00277CDA"/>
    <w:rsid w:val="0028014A"/>
    <w:rsid w:val="002A0AB0"/>
    <w:rsid w:val="002A3114"/>
    <w:rsid w:val="002B3D09"/>
    <w:rsid w:val="002C3F66"/>
    <w:rsid w:val="002C4BA6"/>
    <w:rsid w:val="00305497"/>
    <w:rsid w:val="00307401"/>
    <w:rsid w:val="003442F8"/>
    <w:rsid w:val="003506D0"/>
    <w:rsid w:val="00372282"/>
    <w:rsid w:val="00372AA7"/>
    <w:rsid w:val="00386D89"/>
    <w:rsid w:val="003933AE"/>
    <w:rsid w:val="003A5B99"/>
    <w:rsid w:val="003D0A51"/>
    <w:rsid w:val="003D0ADE"/>
    <w:rsid w:val="003D1818"/>
    <w:rsid w:val="003D2C5F"/>
    <w:rsid w:val="004154F8"/>
    <w:rsid w:val="00420328"/>
    <w:rsid w:val="00437CB0"/>
    <w:rsid w:val="00437E6D"/>
    <w:rsid w:val="0045171A"/>
    <w:rsid w:val="00467B7F"/>
    <w:rsid w:val="00473331"/>
    <w:rsid w:val="00477A1E"/>
    <w:rsid w:val="00481E08"/>
    <w:rsid w:val="00487374"/>
    <w:rsid w:val="004A4250"/>
    <w:rsid w:val="004B0613"/>
    <w:rsid w:val="004C5C34"/>
    <w:rsid w:val="004F4C70"/>
    <w:rsid w:val="005049B6"/>
    <w:rsid w:val="00511A9C"/>
    <w:rsid w:val="00545AB3"/>
    <w:rsid w:val="005718F7"/>
    <w:rsid w:val="00571FC8"/>
    <w:rsid w:val="005C1684"/>
    <w:rsid w:val="00625A87"/>
    <w:rsid w:val="00637973"/>
    <w:rsid w:val="00647436"/>
    <w:rsid w:val="006715EC"/>
    <w:rsid w:val="00673FAE"/>
    <w:rsid w:val="0068427B"/>
    <w:rsid w:val="00697CAA"/>
    <w:rsid w:val="006A50F3"/>
    <w:rsid w:val="006A6460"/>
    <w:rsid w:val="006B2542"/>
    <w:rsid w:val="006F0789"/>
    <w:rsid w:val="00721DB8"/>
    <w:rsid w:val="00732613"/>
    <w:rsid w:val="007B05E0"/>
    <w:rsid w:val="007B4CEA"/>
    <w:rsid w:val="007D115C"/>
    <w:rsid w:val="007D3CCF"/>
    <w:rsid w:val="007E40C3"/>
    <w:rsid w:val="00802AF8"/>
    <w:rsid w:val="00845CE6"/>
    <w:rsid w:val="008C2450"/>
    <w:rsid w:val="008D23E9"/>
    <w:rsid w:val="008D6BC5"/>
    <w:rsid w:val="008E0228"/>
    <w:rsid w:val="008E4B4B"/>
    <w:rsid w:val="008E7BAF"/>
    <w:rsid w:val="009053F2"/>
    <w:rsid w:val="00910680"/>
    <w:rsid w:val="00921F4E"/>
    <w:rsid w:val="00954BC6"/>
    <w:rsid w:val="009620BD"/>
    <w:rsid w:val="00984074"/>
    <w:rsid w:val="009A6242"/>
    <w:rsid w:val="009C4A8B"/>
    <w:rsid w:val="009C7ECB"/>
    <w:rsid w:val="009E7C45"/>
    <w:rsid w:val="009F73C0"/>
    <w:rsid w:val="00A22A8B"/>
    <w:rsid w:val="00A46C1D"/>
    <w:rsid w:val="00A56C95"/>
    <w:rsid w:val="00AA3676"/>
    <w:rsid w:val="00AC010A"/>
    <w:rsid w:val="00AC420C"/>
    <w:rsid w:val="00AC6497"/>
    <w:rsid w:val="00AD6B3A"/>
    <w:rsid w:val="00AF587C"/>
    <w:rsid w:val="00AF7925"/>
    <w:rsid w:val="00B011B8"/>
    <w:rsid w:val="00B06B44"/>
    <w:rsid w:val="00B11894"/>
    <w:rsid w:val="00B62446"/>
    <w:rsid w:val="00B66BE0"/>
    <w:rsid w:val="00B70EF8"/>
    <w:rsid w:val="00B96530"/>
    <w:rsid w:val="00B975EC"/>
    <w:rsid w:val="00BA53F3"/>
    <w:rsid w:val="00BB056A"/>
    <w:rsid w:val="00BB0E31"/>
    <w:rsid w:val="00BB2FA3"/>
    <w:rsid w:val="00BF16AF"/>
    <w:rsid w:val="00C11200"/>
    <w:rsid w:val="00C30673"/>
    <w:rsid w:val="00C4417C"/>
    <w:rsid w:val="00C51378"/>
    <w:rsid w:val="00C71493"/>
    <w:rsid w:val="00C81548"/>
    <w:rsid w:val="00C86333"/>
    <w:rsid w:val="00C94284"/>
    <w:rsid w:val="00CF4117"/>
    <w:rsid w:val="00D05BC0"/>
    <w:rsid w:val="00D21894"/>
    <w:rsid w:val="00D222BB"/>
    <w:rsid w:val="00D30309"/>
    <w:rsid w:val="00D44648"/>
    <w:rsid w:val="00D448A3"/>
    <w:rsid w:val="00D57AAF"/>
    <w:rsid w:val="00D66712"/>
    <w:rsid w:val="00D77CF6"/>
    <w:rsid w:val="00D84D09"/>
    <w:rsid w:val="00D9123F"/>
    <w:rsid w:val="00DA70E7"/>
    <w:rsid w:val="00DD48F9"/>
    <w:rsid w:val="00DE1A8E"/>
    <w:rsid w:val="00DE42A8"/>
    <w:rsid w:val="00E3603B"/>
    <w:rsid w:val="00E504DB"/>
    <w:rsid w:val="00E7656B"/>
    <w:rsid w:val="00E837C4"/>
    <w:rsid w:val="00E97C1B"/>
    <w:rsid w:val="00EA1308"/>
    <w:rsid w:val="00EA64FC"/>
    <w:rsid w:val="00EB0EA3"/>
    <w:rsid w:val="00EB53F5"/>
    <w:rsid w:val="00F0245F"/>
    <w:rsid w:val="00F268E8"/>
    <w:rsid w:val="00F31364"/>
    <w:rsid w:val="00F33641"/>
    <w:rsid w:val="00F3622D"/>
    <w:rsid w:val="00F45E0C"/>
    <w:rsid w:val="00F54BA7"/>
    <w:rsid w:val="00FD22DD"/>
    <w:rsid w:val="00FF4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4F8"/>
    <w:pPr>
      <w:spacing w:after="200" w:line="276" w:lineRule="auto"/>
    </w:pPr>
    <w:rPr>
      <w:sz w:val="22"/>
      <w:szCs w:val="22"/>
    </w:rPr>
  </w:style>
  <w:style w:type="paragraph" w:styleId="Heading1">
    <w:name w:val="heading 1"/>
    <w:basedOn w:val="Normal"/>
    <w:next w:val="Normal"/>
    <w:link w:val="Heading1Char"/>
    <w:uiPriority w:val="9"/>
    <w:qFormat/>
    <w:rsid w:val="00910680"/>
    <w:pPr>
      <w:keepNext/>
      <w:numPr>
        <w:numId w:val="16"/>
      </w:numPr>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910680"/>
    <w:pPr>
      <w:keepNext/>
      <w:numPr>
        <w:ilvl w:val="1"/>
        <w:numId w:val="16"/>
      </w:numPr>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910680"/>
    <w:pPr>
      <w:keepNext/>
      <w:numPr>
        <w:ilvl w:val="2"/>
        <w:numId w:val="16"/>
      </w:numPr>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910680"/>
    <w:pPr>
      <w:keepNext/>
      <w:numPr>
        <w:ilvl w:val="3"/>
        <w:numId w:val="16"/>
      </w:numPr>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910680"/>
    <w:pPr>
      <w:numPr>
        <w:ilvl w:val="4"/>
        <w:numId w:val="16"/>
      </w:num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semiHidden/>
    <w:unhideWhenUsed/>
    <w:qFormat/>
    <w:rsid w:val="00910680"/>
    <w:pPr>
      <w:numPr>
        <w:ilvl w:val="5"/>
        <w:numId w:val="16"/>
      </w:numPr>
      <w:spacing w:before="240" w:after="60"/>
      <w:outlineLvl w:val="5"/>
    </w:pPr>
    <w:rPr>
      <w:rFonts w:eastAsia="Times New Roman"/>
      <w:b/>
      <w:bCs/>
    </w:rPr>
  </w:style>
  <w:style w:type="paragraph" w:styleId="Heading7">
    <w:name w:val="heading 7"/>
    <w:basedOn w:val="Normal"/>
    <w:next w:val="Normal"/>
    <w:link w:val="Heading7Char"/>
    <w:uiPriority w:val="9"/>
    <w:semiHidden/>
    <w:unhideWhenUsed/>
    <w:qFormat/>
    <w:rsid w:val="00910680"/>
    <w:pPr>
      <w:numPr>
        <w:ilvl w:val="6"/>
        <w:numId w:val="16"/>
      </w:numPr>
      <w:spacing w:before="240" w:after="60"/>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910680"/>
    <w:pPr>
      <w:numPr>
        <w:ilvl w:val="7"/>
        <w:numId w:val="16"/>
      </w:numPr>
      <w:spacing w:before="240" w:after="60"/>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910680"/>
    <w:pPr>
      <w:numPr>
        <w:ilvl w:val="8"/>
        <w:numId w:val="16"/>
      </w:num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basedOn w:val="Normal"/>
    <w:rsid w:val="00CF4117"/>
    <w:pPr>
      <w:widowControl w:val="0"/>
      <w:autoSpaceDE w:val="0"/>
      <w:autoSpaceDN w:val="0"/>
      <w:adjustRightInd w:val="0"/>
      <w:spacing w:after="0" w:line="240" w:lineRule="auto"/>
      <w:ind w:left="720" w:hanging="720"/>
    </w:pPr>
    <w:rPr>
      <w:rFonts w:ascii="Times New Roman" w:eastAsia="Times New Roman" w:hAnsi="Times New Roman"/>
      <w:sz w:val="20"/>
      <w:szCs w:val="24"/>
    </w:rPr>
  </w:style>
  <w:style w:type="paragraph" w:customStyle="1" w:styleId="Default">
    <w:name w:val="Default"/>
    <w:rsid w:val="00437E6D"/>
    <w:pPr>
      <w:autoSpaceDE w:val="0"/>
      <w:autoSpaceDN w:val="0"/>
      <w:adjustRightInd w:val="0"/>
    </w:pPr>
    <w:rPr>
      <w:rFonts w:ascii="Arial" w:hAnsi="Arial" w:cs="Arial"/>
      <w:color w:val="000000"/>
      <w:sz w:val="24"/>
      <w:szCs w:val="24"/>
    </w:rPr>
  </w:style>
  <w:style w:type="paragraph" w:styleId="BodyText">
    <w:name w:val="Body Text"/>
    <w:basedOn w:val="Normal"/>
    <w:link w:val="BodyTextChar"/>
    <w:rsid w:val="00545AB3"/>
    <w:pPr>
      <w:spacing w:after="0" w:line="240" w:lineRule="auto"/>
    </w:pPr>
    <w:rPr>
      <w:rFonts w:ascii="Arial" w:eastAsia="Times New Roman" w:hAnsi="Arial" w:cs="Arial"/>
      <w:i/>
      <w:iCs/>
      <w:szCs w:val="24"/>
    </w:rPr>
  </w:style>
  <w:style w:type="character" w:customStyle="1" w:styleId="BodyTextChar">
    <w:name w:val="Body Text Char"/>
    <w:basedOn w:val="DefaultParagraphFont"/>
    <w:link w:val="BodyText"/>
    <w:rsid w:val="00545AB3"/>
    <w:rPr>
      <w:rFonts w:ascii="Arial" w:eastAsia="Times New Roman" w:hAnsi="Arial" w:cs="Arial"/>
      <w:i/>
      <w:iCs/>
      <w:sz w:val="22"/>
      <w:szCs w:val="24"/>
    </w:rPr>
  </w:style>
  <w:style w:type="character" w:customStyle="1" w:styleId="Heading1Char">
    <w:name w:val="Heading 1 Char"/>
    <w:basedOn w:val="DefaultParagraphFont"/>
    <w:link w:val="Heading1"/>
    <w:uiPriority w:val="9"/>
    <w:rsid w:val="00910680"/>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910680"/>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910680"/>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910680"/>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910680"/>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910680"/>
    <w:rPr>
      <w:rFonts w:ascii="Calibri" w:eastAsia="Times New Roman" w:hAnsi="Calibri" w:cs="Times New Roman"/>
      <w:b/>
      <w:bCs/>
      <w:sz w:val="22"/>
      <w:szCs w:val="22"/>
    </w:rPr>
  </w:style>
  <w:style w:type="character" w:customStyle="1" w:styleId="Heading7Char">
    <w:name w:val="Heading 7 Char"/>
    <w:basedOn w:val="DefaultParagraphFont"/>
    <w:link w:val="Heading7"/>
    <w:uiPriority w:val="9"/>
    <w:semiHidden/>
    <w:rsid w:val="00910680"/>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910680"/>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910680"/>
    <w:rPr>
      <w:rFonts w:ascii="Cambria" w:eastAsia="Times New Roman" w:hAnsi="Cambria" w:cs="Times New Roman"/>
      <w:sz w:val="22"/>
      <w:szCs w:val="22"/>
    </w:rPr>
  </w:style>
  <w:style w:type="paragraph" w:styleId="Header">
    <w:name w:val="header"/>
    <w:basedOn w:val="Normal"/>
    <w:link w:val="HeaderChar"/>
    <w:uiPriority w:val="99"/>
    <w:semiHidden/>
    <w:unhideWhenUsed/>
    <w:rsid w:val="00E97C1B"/>
    <w:pPr>
      <w:tabs>
        <w:tab w:val="center" w:pos="4680"/>
        <w:tab w:val="right" w:pos="9360"/>
      </w:tabs>
    </w:pPr>
  </w:style>
  <w:style w:type="character" w:customStyle="1" w:styleId="HeaderChar">
    <w:name w:val="Header Char"/>
    <w:basedOn w:val="DefaultParagraphFont"/>
    <w:link w:val="Header"/>
    <w:uiPriority w:val="99"/>
    <w:semiHidden/>
    <w:rsid w:val="00E97C1B"/>
    <w:rPr>
      <w:sz w:val="22"/>
      <w:szCs w:val="22"/>
    </w:rPr>
  </w:style>
  <w:style w:type="paragraph" w:styleId="Footer">
    <w:name w:val="footer"/>
    <w:basedOn w:val="Normal"/>
    <w:link w:val="FooterChar"/>
    <w:uiPriority w:val="99"/>
    <w:semiHidden/>
    <w:unhideWhenUsed/>
    <w:rsid w:val="00E97C1B"/>
    <w:pPr>
      <w:tabs>
        <w:tab w:val="center" w:pos="4680"/>
        <w:tab w:val="right" w:pos="9360"/>
      </w:tabs>
    </w:pPr>
  </w:style>
  <w:style w:type="character" w:customStyle="1" w:styleId="FooterChar">
    <w:name w:val="Footer Char"/>
    <w:basedOn w:val="DefaultParagraphFont"/>
    <w:link w:val="Footer"/>
    <w:uiPriority w:val="99"/>
    <w:semiHidden/>
    <w:rsid w:val="00E97C1B"/>
    <w:rPr>
      <w:sz w:val="22"/>
      <w:szCs w:val="22"/>
    </w:rPr>
  </w:style>
  <w:style w:type="paragraph" w:styleId="BalloonText">
    <w:name w:val="Balloon Text"/>
    <w:basedOn w:val="Normal"/>
    <w:link w:val="BalloonTextChar"/>
    <w:uiPriority w:val="99"/>
    <w:semiHidden/>
    <w:unhideWhenUsed/>
    <w:rsid w:val="00E97C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7C1B"/>
    <w:rPr>
      <w:rFonts w:ascii="Tahoma" w:hAnsi="Tahoma" w:cs="Tahoma"/>
      <w:sz w:val="16"/>
      <w:szCs w:val="16"/>
    </w:rPr>
  </w:style>
  <w:style w:type="paragraph" w:styleId="ListParagraph">
    <w:name w:val="List Paragraph"/>
    <w:basedOn w:val="Normal"/>
    <w:uiPriority w:val="34"/>
    <w:qFormat/>
    <w:rsid w:val="00307401"/>
    <w:pPr>
      <w:ind w:left="720"/>
      <w:contextualSpacing/>
    </w:pPr>
  </w:style>
  <w:style w:type="character" w:styleId="CommentReference">
    <w:name w:val="annotation reference"/>
    <w:basedOn w:val="DefaultParagraphFont"/>
    <w:uiPriority w:val="99"/>
    <w:semiHidden/>
    <w:unhideWhenUsed/>
    <w:rsid w:val="00EB53F5"/>
    <w:rPr>
      <w:sz w:val="16"/>
      <w:szCs w:val="16"/>
    </w:rPr>
  </w:style>
  <w:style w:type="paragraph" w:styleId="CommentText">
    <w:name w:val="annotation text"/>
    <w:basedOn w:val="Normal"/>
    <w:link w:val="CommentTextChar"/>
    <w:uiPriority w:val="99"/>
    <w:semiHidden/>
    <w:unhideWhenUsed/>
    <w:rsid w:val="00EB53F5"/>
    <w:rPr>
      <w:sz w:val="20"/>
      <w:szCs w:val="20"/>
    </w:rPr>
  </w:style>
  <w:style w:type="character" w:customStyle="1" w:styleId="CommentTextChar">
    <w:name w:val="Comment Text Char"/>
    <w:basedOn w:val="DefaultParagraphFont"/>
    <w:link w:val="CommentText"/>
    <w:uiPriority w:val="99"/>
    <w:semiHidden/>
    <w:rsid w:val="00EB53F5"/>
  </w:style>
  <w:style w:type="paragraph" w:styleId="CommentSubject">
    <w:name w:val="annotation subject"/>
    <w:basedOn w:val="CommentText"/>
    <w:next w:val="CommentText"/>
    <w:link w:val="CommentSubjectChar"/>
    <w:uiPriority w:val="99"/>
    <w:semiHidden/>
    <w:unhideWhenUsed/>
    <w:rsid w:val="00EB53F5"/>
    <w:rPr>
      <w:b/>
      <w:bCs/>
    </w:rPr>
  </w:style>
  <w:style w:type="character" w:customStyle="1" w:styleId="CommentSubjectChar">
    <w:name w:val="Comment Subject Char"/>
    <w:basedOn w:val="CommentTextChar"/>
    <w:link w:val="CommentSubject"/>
    <w:uiPriority w:val="99"/>
    <w:semiHidden/>
    <w:rsid w:val="00EB53F5"/>
    <w:rPr>
      <w:b/>
      <w:bCs/>
    </w:rPr>
  </w:style>
  <w:style w:type="table" w:styleId="TableGrid">
    <w:name w:val="Table Grid"/>
    <w:basedOn w:val="TableNormal"/>
    <w:uiPriority w:val="59"/>
    <w:rsid w:val="00802AF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44648"/>
    <w:rPr>
      <w:sz w:val="22"/>
      <w:szCs w:val="22"/>
    </w:rPr>
  </w:style>
  <w:style w:type="character" w:styleId="Hyperlink">
    <w:name w:val="Hyperlink"/>
    <w:basedOn w:val="DefaultParagraphFont"/>
    <w:uiPriority w:val="99"/>
    <w:unhideWhenUsed/>
    <w:rsid w:val="009F73C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4F8"/>
    <w:pPr>
      <w:spacing w:after="200" w:line="276" w:lineRule="auto"/>
    </w:pPr>
    <w:rPr>
      <w:sz w:val="22"/>
      <w:szCs w:val="22"/>
    </w:rPr>
  </w:style>
  <w:style w:type="paragraph" w:styleId="Heading1">
    <w:name w:val="heading 1"/>
    <w:basedOn w:val="Normal"/>
    <w:next w:val="Normal"/>
    <w:link w:val="Heading1Char"/>
    <w:uiPriority w:val="9"/>
    <w:qFormat/>
    <w:rsid w:val="00910680"/>
    <w:pPr>
      <w:keepNext/>
      <w:numPr>
        <w:numId w:val="16"/>
      </w:numPr>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910680"/>
    <w:pPr>
      <w:keepNext/>
      <w:numPr>
        <w:ilvl w:val="1"/>
        <w:numId w:val="16"/>
      </w:numPr>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910680"/>
    <w:pPr>
      <w:keepNext/>
      <w:numPr>
        <w:ilvl w:val="2"/>
        <w:numId w:val="16"/>
      </w:numPr>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910680"/>
    <w:pPr>
      <w:keepNext/>
      <w:numPr>
        <w:ilvl w:val="3"/>
        <w:numId w:val="16"/>
      </w:numPr>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910680"/>
    <w:pPr>
      <w:numPr>
        <w:ilvl w:val="4"/>
        <w:numId w:val="16"/>
      </w:num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semiHidden/>
    <w:unhideWhenUsed/>
    <w:qFormat/>
    <w:rsid w:val="00910680"/>
    <w:pPr>
      <w:numPr>
        <w:ilvl w:val="5"/>
        <w:numId w:val="16"/>
      </w:numPr>
      <w:spacing w:before="240" w:after="60"/>
      <w:outlineLvl w:val="5"/>
    </w:pPr>
    <w:rPr>
      <w:rFonts w:eastAsia="Times New Roman"/>
      <w:b/>
      <w:bCs/>
    </w:rPr>
  </w:style>
  <w:style w:type="paragraph" w:styleId="Heading7">
    <w:name w:val="heading 7"/>
    <w:basedOn w:val="Normal"/>
    <w:next w:val="Normal"/>
    <w:link w:val="Heading7Char"/>
    <w:uiPriority w:val="9"/>
    <w:semiHidden/>
    <w:unhideWhenUsed/>
    <w:qFormat/>
    <w:rsid w:val="00910680"/>
    <w:pPr>
      <w:numPr>
        <w:ilvl w:val="6"/>
        <w:numId w:val="16"/>
      </w:numPr>
      <w:spacing w:before="240" w:after="60"/>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910680"/>
    <w:pPr>
      <w:numPr>
        <w:ilvl w:val="7"/>
        <w:numId w:val="16"/>
      </w:numPr>
      <w:spacing w:before="240" w:after="60"/>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910680"/>
    <w:pPr>
      <w:numPr>
        <w:ilvl w:val="8"/>
        <w:numId w:val="16"/>
      </w:num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basedOn w:val="Normal"/>
    <w:rsid w:val="00CF4117"/>
    <w:pPr>
      <w:widowControl w:val="0"/>
      <w:autoSpaceDE w:val="0"/>
      <w:autoSpaceDN w:val="0"/>
      <w:adjustRightInd w:val="0"/>
      <w:spacing w:after="0" w:line="240" w:lineRule="auto"/>
      <w:ind w:left="720" w:hanging="720"/>
    </w:pPr>
    <w:rPr>
      <w:rFonts w:ascii="Times New Roman" w:eastAsia="Times New Roman" w:hAnsi="Times New Roman"/>
      <w:sz w:val="20"/>
      <w:szCs w:val="24"/>
    </w:rPr>
  </w:style>
  <w:style w:type="paragraph" w:customStyle="1" w:styleId="Default">
    <w:name w:val="Default"/>
    <w:rsid w:val="00437E6D"/>
    <w:pPr>
      <w:autoSpaceDE w:val="0"/>
      <w:autoSpaceDN w:val="0"/>
      <w:adjustRightInd w:val="0"/>
    </w:pPr>
    <w:rPr>
      <w:rFonts w:ascii="Arial" w:hAnsi="Arial" w:cs="Arial"/>
      <w:color w:val="000000"/>
      <w:sz w:val="24"/>
      <w:szCs w:val="24"/>
    </w:rPr>
  </w:style>
  <w:style w:type="paragraph" w:styleId="BodyText">
    <w:name w:val="Body Text"/>
    <w:basedOn w:val="Normal"/>
    <w:link w:val="BodyTextChar"/>
    <w:rsid w:val="00545AB3"/>
    <w:pPr>
      <w:spacing w:after="0" w:line="240" w:lineRule="auto"/>
    </w:pPr>
    <w:rPr>
      <w:rFonts w:ascii="Arial" w:eastAsia="Times New Roman" w:hAnsi="Arial" w:cs="Arial"/>
      <w:i/>
      <w:iCs/>
      <w:szCs w:val="24"/>
    </w:rPr>
  </w:style>
  <w:style w:type="character" w:customStyle="1" w:styleId="BodyTextChar">
    <w:name w:val="Body Text Char"/>
    <w:basedOn w:val="DefaultParagraphFont"/>
    <w:link w:val="BodyText"/>
    <w:rsid w:val="00545AB3"/>
    <w:rPr>
      <w:rFonts w:ascii="Arial" w:eastAsia="Times New Roman" w:hAnsi="Arial" w:cs="Arial"/>
      <w:i/>
      <w:iCs/>
      <w:sz w:val="22"/>
      <w:szCs w:val="24"/>
    </w:rPr>
  </w:style>
  <w:style w:type="character" w:customStyle="1" w:styleId="Heading1Char">
    <w:name w:val="Heading 1 Char"/>
    <w:basedOn w:val="DefaultParagraphFont"/>
    <w:link w:val="Heading1"/>
    <w:uiPriority w:val="9"/>
    <w:rsid w:val="00910680"/>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910680"/>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910680"/>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910680"/>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910680"/>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910680"/>
    <w:rPr>
      <w:rFonts w:ascii="Calibri" w:eastAsia="Times New Roman" w:hAnsi="Calibri" w:cs="Times New Roman"/>
      <w:b/>
      <w:bCs/>
      <w:sz w:val="22"/>
      <w:szCs w:val="22"/>
    </w:rPr>
  </w:style>
  <w:style w:type="character" w:customStyle="1" w:styleId="Heading7Char">
    <w:name w:val="Heading 7 Char"/>
    <w:basedOn w:val="DefaultParagraphFont"/>
    <w:link w:val="Heading7"/>
    <w:uiPriority w:val="9"/>
    <w:semiHidden/>
    <w:rsid w:val="00910680"/>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910680"/>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910680"/>
    <w:rPr>
      <w:rFonts w:ascii="Cambria" w:eastAsia="Times New Roman" w:hAnsi="Cambria" w:cs="Times New Roman"/>
      <w:sz w:val="22"/>
      <w:szCs w:val="22"/>
    </w:rPr>
  </w:style>
  <w:style w:type="paragraph" w:styleId="Header">
    <w:name w:val="header"/>
    <w:basedOn w:val="Normal"/>
    <w:link w:val="HeaderChar"/>
    <w:uiPriority w:val="99"/>
    <w:semiHidden/>
    <w:unhideWhenUsed/>
    <w:rsid w:val="00E97C1B"/>
    <w:pPr>
      <w:tabs>
        <w:tab w:val="center" w:pos="4680"/>
        <w:tab w:val="right" w:pos="9360"/>
      </w:tabs>
    </w:pPr>
  </w:style>
  <w:style w:type="character" w:customStyle="1" w:styleId="HeaderChar">
    <w:name w:val="Header Char"/>
    <w:basedOn w:val="DefaultParagraphFont"/>
    <w:link w:val="Header"/>
    <w:uiPriority w:val="99"/>
    <w:semiHidden/>
    <w:rsid w:val="00E97C1B"/>
    <w:rPr>
      <w:sz w:val="22"/>
      <w:szCs w:val="22"/>
    </w:rPr>
  </w:style>
  <w:style w:type="paragraph" w:styleId="Footer">
    <w:name w:val="footer"/>
    <w:basedOn w:val="Normal"/>
    <w:link w:val="FooterChar"/>
    <w:uiPriority w:val="99"/>
    <w:semiHidden/>
    <w:unhideWhenUsed/>
    <w:rsid w:val="00E97C1B"/>
    <w:pPr>
      <w:tabs>
        <w:tab w:val="center" w:pos="4680"/>
        <w:tab w:val="right" w:pos="9360"/>
      </w:tabs>
    </w:pPr>
  </w:style>
  <w:style w:type="character" w:customStyle="1" w:styleId="FooterChar">
    <w:name w:val="Footer Char"/>
    <w:basedOn w:val="DefaultParagraphFont"/>
    <w:link w:val="Footer"/>
    <w:uiPriority w:val="99"/>
    <w:semiHidden/>
    <w:rsid w:val="00E97C1B"/>
    <w:rPr>
      <w:sz w:val="22"/>
      <w:szCs w:val="22"/>
    </w:rPr>
  </w:style>
  <w:style w:type="paragraph" w:styleId="BalloonText">
    <w:name w:val="Balloon Text"/>
    <w:basedOn w:val="Normal"/>
    <w:link w:val="BalloonTextChar"/>
    <w:uiPriority w:val="99"/>
    <w:semiHidden/>
    <w:unhideWhenUsed/>
    <w:rsid w:val="00E97C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7C1B"/>
    <w:rPr>
      <w:rFonts w:ascii="Tahoma" w:hAnsi="Tahoma" w:cs="Tahoma"/>
      <w:sz w:val="16"/>
      <w:szCs w:val="16"/>
    </w:rPr>
  </w:style>
  <w:style w:type="paragraph" w:styleId="ListParagraph">
    <w:name w:val="List Paragraph"/>
    <w:basedOn w:val="Normal"/>
    <w:uiPriority w:val="34"/>
    <w:qFormat/>
    <w:rsid w:val="00307401"/>
    <w:pPr>
      <w:ind w:left="720"/>
      <w:contextualSpacing/>
    </w:pPr>
  </w:style>
  <w:style w:type="character" w:styleId="CommentReference">
    <w:name w:val="annotation reference"/>
    <w:basedOn w:val="DefaultParagraphFont"/>
    <w:uiPriority w:val="99"/>
    <w:semiHidden/>
    <w:unhideWhenUsed/>
    <w:rsid w:val="00EB53F5"/>
    <w:rPr>
      <w:sz w:val="16"/>
      <w:szCs w:val="16"/>
    </w:rPr>
  </w:style>
  <w:style w:type="paragraph" w:styleId="CommentText">
    <w:name w:val="annotation text"/>
    <w:basedOn w:val="Normal"/>
    <w:link w:val="CommentTextChar"/>
    <w:uiPriority w:val="99"/>
    <w:semiHidden/>
    <w:unhideWhenUsed/>
    <w:rsid w:val="00EB53F5"/>
    <w:rPr>
      <w:sz w:val="20"/>
      <w:szCs w:val="20"/>
    </w:rPr>
  </w:style>
  <w:style w:type="character" w:customStyle="1" w:styleId="CommentTextChar">
    <w:name w:val="Comment Text Char"/>
    <w:basedOn w:val="DefaultParagraphFont"/>
    <w:link w:val="CommentText"/>
    <w:uiPriority w:val="99"/>
    <w:semiHidden/>
    <w:rsid w:val="00EB53F5"/>
  </w:style>
  <w:style w:type="paragraph" w:styleId="CommentSubject">
    <w:name w:val="annotation subject"/>
    <w:basedOn w:val="CommentText"/>
    <w:next w:val="CommentText"/>
    <w:link w:val="CommentSubjectChar"/>
    <w:uiPriority w:val="99"/>
    <w:semiHidden/>
    <w:unhideWhenUsed/>
    <w:rsid w:val="00EB53F5"/>
    <w:rPr>
      <w:b/>
      <w:bCs/>
    </w:rPr>
  </w:style>
  <w:style w:type="character" w:customStyle="1" w:styleId="CommentSubjectChar">
    <w:name w:val="Comment Subject Char"/>
    <w:basedOn w:val="CommentTextChar"/>
    <w:link w:val="CommentSubject"/>
    <w:uiPriority w:val="99"/>
    <w:semiHidden/>
    <w:rsid w:val="00EB53F5"/>
    <w:rPr>
      <w:b/>
      <w:bCs/>
    </w:rPr>
  </w:style>
  <w:style w:type="table" w:styleId="TableGrid">
    <w:name w:val="Table Grid"/>
    <w:basedOn w:val="TableNormal"/>
    <w:uiPriority w:val="59"/>
    <w:rsid w:val="00802AF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44648"/>
    <w:rPr>
      <w:sz w:val="22"/>
      <w:szCs w:val="22"/>
    </w:rPr>
  </w:style>
  <w:style w:type="character" w:styleId="Hyperlink">
    <w:name w:val="Hyperlink"/>
    <w:basedOn w:val="DefaultParagraphFont"/>
    <w:uiPriority w:val="99"/>
    <w:unhideWhenUsed/>
    <w:rsid w:val="009F73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339256">
      <w:bodyDiv w:val="1"/>
      <w:marLeft w:val="0"/>
      <w:marRight w:val="0"/>
      <w:marTop w:val="0"/>
      <w:marBottom w:val="0"/>
      <w:divBdr>
        <w:top w:val="none" w:sz="0" w:space="0" w:color="auto"/>
        <w:left w:val="none" w:sz="0" w:space="0" w:color="auto"/>
        <w:bottom w:val="none" w:sz="0" w:space="0" w:color="auto"/>
        <w:right w:val="none" w:sz="0" w:space="0" w:color="auto"/>
      </w:divBdr>
    </w:div>
    <w:div w:id="804935888">
      <w:bodyDiv w:val="1"/>
      <w:marLeft w:val="0"/>
      <w:marRight w:val="0"/>
      <w:marTop w:val="0"/>
      <w:marBottom w:val="0"/>
      <w:divBdr>
        <w:top w:val="none" w:sz="0" w:space="0" w:color="auto"/>
        <w:left w:val="none" w:sz="0" w:space="0" w:color="auto"/>
        <w:bottom w:val="none" w:sz="0" w:space="0" w:color="auto"/>
        <w:right w:val="none" w:sz="0" w:space="0" w:color="auto"/>
      </w:divBdr>
    </w:div>
    <w:div w:id="160395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1B609E-979B-4ECF-A6A3-BE3F005D7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1472</Words>
  <Characters>8397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9850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tardifr2</dc:creator>
  <cp:lastModifiedBy>CDC User</cp:lastModifiedBy>
  <cp:revision>2</cp:revision>
  <cp:lastPrinted>2010-11-10T17:50:00Z</cp:lastPrinted>
  <dcterms:created xsi:type="dcterms:W3CDTF">2012-11-30T15:27:00Z</dcterms:created>
  <dcterms:modified xsi:type="dcterms:W3CDTF">2012-11-30T15:27:00Z</dcterms:modified>
</cp:coreProperties>
</file>