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DE" w:rsidRPr="00E64706" w:rsidRDefault="00E64706" w:rsidP="00D1287A">
      <w:pPr>
        <w:pStyle w:val="Heading1"/>
        <w:spacing w:before="0"/>
        <w:rPr>
          <w:rFonts w:ascii="Times New Roman" w:hAnsi="Times New Roman" w:cs="Times New Roman"/>
          <w:b w:val="0"/>
          <w:color w:val="auto"/>
          <w:sz w:val="22"/>
          <w:szCs w:val="22"/>
        </w:rPr>
      </w:pPr>
      <w:bookmarkStart w:id="0" w:name="_Toc395102849"/>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Pr>
          <w:rFonts w:ascii="Times New Roman" w:hAnsi="Times New Roman" w:cs="Times New Roman"/>
          <w:b w:val="0"/>
          <w:color w:val="auto"/>
          <w:sz w:val="22"/>
          <w:szCs w:val="22"/>
        </w:rPr>
        <w:tab/>
      </w:r>
      <w:r w:rsidRPr="00E64706">
        <w:rPr>
          <w:rFonts w:ascii="Times New Roman" w:hAnsi="Times New Roman" w:cs="Times New Roman"/>
          <w:b w:val="0"/>
          <w:color w:val="auto"/>
          <w:sz w:val="22"/>
          <w:szCs w:val="22"/>
        </w:rPr>
        <w:t>OMB Control No. 0648-0342</w:t>
      </w:r>
    </w:p>
    <w:p w:rsidR="00E64706" w:rsidRPr="00E64706" w:rsidRDefault="00E64706" w:rsidP="00E64706">
      <w:r>
        <w:tab/>
      </w:r>
      <w:r>
        <w:tab/>
      </w:r>
      <w:r>
        <w:tab/>
      </w:r>
      <w:r>
        <w:tab/>
      </w:r>
      <w:r>
        <w:tab/>
      </w:r>
      <w:r>
        <w:tab/>
      </w:r>
      <w:r>
        <w:tab/>
      </w:r>
      <w:r>
        <w:tab/>
      </w:r>
      <w:r>
        <w:tab/>
        <w:t>Expiration Date: 04/30/2015</w:t>
      </w:r>
    </w:p>
    <w:p w:rsidR="00E64706" w:rsidRDefault="00E64706" w:rsidP="00D1287A">
      <w:pPr>
        <w:pStyle w:val="Heading1"/>
        <w:spacing w:before="0"/>
        <w:rPr>
          <w:color w:val="auto"/>
        </w:rPr>
      </w:pPr>
    </w:p>
    <w:p w:rsidR="007B50DE" w:rsidRDefault="001E44B1" w:rsidP="00D1287A">
      <w:pPr>
        <w:pStyle w:val="Heading1"/>
        <w:spacing w:before="0"/>
        <w:rPr>
          <w:color w:val="auto"/>
        </w:rPr>
      </w:pPr>
      <w:r w:rsidRPr="007B50DE">
        <w:rPr>
          <w:color w:val="auto"/>
        </w:rPr>
        <w:t xml:space="preserve">Extra-tropical </w:t>
      </w:r>
      <w:r w:rsidR="003B7A0E" w:rsidRPr="007B50DE">
        <w:rPr>
          <w:color w:val="auto"/>
        </w:rPr>
        <w:t>Surge and Inundation Social Science Research</w:t>
      </w:r>
      <w:r w:rsidRPr="007B50DE">
        <w:rPr>
          <w:color w:val="auto"/>
        </w:rPr>
        <w:t xml:space="preserve"> Project</w:t>
      </w:r>
    </w:p>
    <w:p w:rsidR="007B50DE" w:rsidRDefault="007B50DE" w:rsidP="00D1287A">
      <w:pPr>
        <w:pStyle w:val="Heading1"/>
        <w:spacing w:before="0"/>
        <w:rPr>
          <w:color w:val="auto"/>
        </w:rPr>
      </w:pPr>
      <w:r>
        <w:rPr>
          <w:color w:val="auto"/>
        </w:rPr>
        <w:t>And</w:t>
      </w:r>
    </w:p>
    <w:p w:rsidR="007B50DE" w:rsidRDefault="007B50DE" w:rsidP="00D1287A">
      <w:pPr>
        <w:pStyle w:val="Heading1"/>
        <w:spacing w:before="0"/>
        <w:rPr>
          <w:color w:val="auto"/>
        </w:rPr>
      </w:pPr>
      <w:r w:rsidRPr="007B50DE">
        <w:rPr>
          <w:color w:val="auto"/>
          <w:spacing w:val="-1"/>
        </w:rPr>
        <w:t>Arrival</w:t>
      </w:r>
      <w:r w:rsidRPr="007B50DE">
        <w:rPr>
          <w:color w:val="auto"/>
          <w:spacing w:val="1"/>
        </w:rPr>
        <w:t xml:space="preserve"> </w:t>
      </w:r>
      <w:r w:rsidRPr="007B50DE">
        <w:rPr>
          <w:color w:val="auto"/>
          <w:spacing w:val="-2"/>
        </w:rPr>
        <w:t>of</w:t>
      </w:r>
      <w:r w:rsidRPr="007B50DE">
        <w:rPr>
          <w:color w:val="auto"/>
          <w:spacing w:val="1"/>
        </w:rPr>
        <w:t xml:space="preserve"> </w:t>
      </w:r>
      <w:r w:rsidRPr="007B50DE">
        <w:rPr>
          <w:color w:val="auto"/>
          <w:spacing w:val="-1"/>
        </w:rPr>
        <w:t>Tropical</w:t>
      </w:r>
      <w:r w:rsidRPr="007B50DE">
        <w:rPr>
          <w:color w:val="auto"/>
          <w:spacing w:val="-2"/>
        </w:rPr>
        <w:t xml:space="preserve"> </w:t>
      </w:r>
      <w:r w:rsidRPr="007B50DE">
        <w:rPr>
          <w:color w:val="auto"/>
          <w:spacing w:val="-1"/>
        </w:rPr>
        <w:t>Storm</w:t>
      </w:r>
      <w:r w:rsidRPr="007B50DE">
        <w:rPr>
          <w:color w:val="auto"/>
          <w:spacing w:val="-2"/>
        </w:rPr>
        <w:t xml:space="preserve"> </w:t>
      </w:r>
      <w:r w:rsidRPr="007B50DE">
        <w:rPr>
          <w:color w:val="auto"/>
          <w:spacing w:val="-1"/>
        </w:rPr>
        <w:t>Force</w:t>
      </w:r>
      <w:r w:rsidRPr="007B50DE">
        <w:rPr>
          <w:color w:val="auto"/>
          <w:spacing w:val="-2"/>
        </w:rPr>
        <w:t xml:space="preserve"> </w:t>
      </w:r>
      <w:r w:rsidRPr="007B50DE">
        <w:rPr>
          <w:color w:val="auto"/>
          <w:spacing w:val="-1"/>
        </w:rPr>
        <w:t>Winds</w:t>
      </w:r>
      <w:r w:rsidRPr="007B50DE">
        <w:rPr>
          <w:color w:val="auto"/>
          <w:spacing w:val="-2"/>
        </w:rPr>
        <w:t xml:space="preserve"> </w:t>
      </w:r>
      <w:r w:rsidRPr="007B50DE">
        <w:rPr>
          <w:color w:val="auto"/>
          <w:spacing w:val="-1"/>
        </w:rPr>
        <w:t>Social</w:t>
      </w:r>
      <w:r w:rsidRPr="007B50DE">
        <w:rPr>
          <w:color w:val="auto"/>
        </w:rPr>
        <w:t xml:space="preserve"> </w:t>
      </w:r>
      <w:r w:rsidRPr="007B50DE">
        <w:rPr>
          <w:color w:val="auto"/>
          <w:spacing w:val="-2"/>
        </w:rPr>
        <w:t>Science</w:t>
      </w:r>
      <w:r w:rsidRPr="007B50DE">
        <w:rPr>
          <w:color w:val="auto"/>
        </w:rPr>
        <w:t xml:space="preserve"> </w:t>
      </w:r>
      <w:r w:rsidRPr="007B50DE">
        <w:rPr>
          <w:color w:val="auto"/>
          <w:spacing w:val="-1"/>
        </w:rPr>
        <w:t>Research</w:t>
      </w:r>
      <w:r w:rsidRPr="007B50DE">
        <w:rPr>
          <w:color w:val="auto"/>
          <w:spacing w:val="-4"/>
        </w:rPr>
        <w:t xml:space="preserve"> </w:t>
      </w:r>
      <w:r w:rsidRPr="007B50DE">
        <w:rPr>
          <w:color w:val="auto"/>
          <w:spacing w:val="-1"/>
        </w:rPr>
        <w:t>Project</w:t>
      </w:r>
      <w:r w:rsidRPr="007B50DE">
        <w:rPr>
          <w:color w:val="auto"/>
        </w:rPr>
        <w:t xml:space="preserve"> </w:t>
      </w:r>
    </w:p>
    <w:p w:rsidR="007B50DE" w:rsidRDefault="007B50DE" w:rsidP="00D1287A">
      <w:pPr>
        <w:pStyle w:val="Heading1"/>
        <w:spacing w:before="0"/>
        <w:rPr>
          <w:color w:val="auto"/>
        </w:rPr>
      </w:pPr>
    </w:p>
    <w:p w:rsidR="003B7A0E" w:rsidRPr="007B50DE" w:rsidRDefault="00CB0FB2" w:rsidP="00D1287A">
      <w:pPr>
        <w:pStyle w:val="Heading1"/>
        <w:spacing w:before="0"/>
        <w:rPr>
          <w:color w:val="auto"/>
        </w:rPr>
      </w:pPr>
      <w:r w:rsidRPr="007B50DE">
        <w:rPr>
          <w:color w:val="auto"/>
        </w:rPr>
        <w:t>Amendment</w:t>
      </w:r>
      <w:r w:rsidR="00D1287A" w:rsidRPr="007B50DE">
        <w:rPr>
          <w:color w:val="auto"/>
        </w:rPr>
        <w:t xml:space="preserve"> to Add Focus Groups</w:t>
      </w:r>
    </w:p>
    <w:p w:rsidR="003B7A0E" w:rsidRPr="007B50DE" w:rsidRDefault="00021D4F" w:rsidP="00D1287A">
      <w:pPr>
        <w:pStyle w:val="Heading1"/>
        <w:spacing w:before="0"/>
        <w:rPr>
          <w:rFonts w:ascii="Times New Roman Bold" w:hAnsi="Times New Roman Bold"/>
          <w:color w:val="auto"/>
        </w:rPr>
      </w:pPr>
      <w:r w:rsidRPr="007B50DE">
        <w:rPr>
          <w:color w:val="auto"/>
        </w:rPr>
        <w:t xml:space="preserve">April </w:t>
      </w:r>
      <w:r w:rsidR="007B50DE" w:rsidRPr="007B50DE">
        <w:rPr>
          <w:color w:val="auto"/>
        </w:rPr>
        <w:t>15</w:t>
      </w:r>
      <w:r w:rsidR="003B7A0E" w:rsidRPr="007B50DE">
        <w:rPr>
          <w:color w:val="auto"/>
        </w:rPr>
        <w:t>, 201</w:t>
      </w:r>
      <w:r w:rsidRPr="007B50DE">
        <w:rPr>
          <w:color w:val="auto"/>
        </w:rPr>
        <w:t>5</w:t>
      </w:r>
    </w:p>
    <w:p w:rsidR="003B7A0E" w:rsidRPr="007B50DE" w:rsidRDefault="003B7A0E" w:rsidP="003B7A0E">
      <w:pPr>
        <w:jc w:val="center"/>
        <w:rPr>
          <w:b/>
          <w:smallCaps/>
        </w:rPr>
      </w:pPr>
    </w:p>
    <w:bookmarkEnd w:id="0"/>
    <w:p w:rsidR="003B7A0E" w:rsidRPr="007B50DE" w:rsidRDefault="003B7A0E" w:rsidP="003B7A0E">
      <w:pPr>
        <w:autoSpaceDE w:val="0"/>
        <w:autoSpaceDN w:val="0"/>
        <w:adjustRightInd w:val="0"/>
        <w:rPr>
          <w:b/>
          <w:bCs/>
        </w:rPr>
      </w:pPr>
    </w:p>
    <w:p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rsidR="004B2986" w:rsidRDefault="004B2986">
      <w:pPr>
        <w:autoSpaceDE w:val="0"/>
        <w:autoSpaceDN w:val="0"/>
        <w:adjustRightInd w:val="0"/>
        <w:rPr>
          <w:b/>
          <w:bCs/>
        </w:rPr>
      </w:pPr>
    </w:p>
    <w:p w:rsidR="00475267" w:rsidRPr="004B2986" w:rsidRDefault="00475267">
      <w:pPr>
        <w:autoSpaceDE w:val="0"/>
        <w:autoSpaceDN w:val="0"/>
        <w:adjustRightInd w:val="0"/>
        <w:rPr>
          <w:b/>
          <w:bCs/>
        </w:rPr>
      </w:pPr>
    </w:p>
    <w:p w:rsidR="004B2986" w:rsidRPr="004B2986" w:rsidRDefault="004B2986" w:rsidP="00676FF8">
      <w:pPr>
        <w:numPr>
          <w:ilvl w:val="0"/>
          <w:numId w:val="1"/>
        </w:numPr>
        <w:tabs>
          <w:tab w:val="left" w:pos="450"/>
        </w:tabs>
        <w:autoSpaceDE w:val="0"/>
        <w:autoSpaceDN w:val="0"/>
        <w:adjustRightInd w:val="0"/>
        <w:ind w:left="450"/>
        <w:rPr>
          <w:b/>
        </w:rPr>
      </w:pPr>
      <w:r w:rsidRPr="004B2986">
        <w:rPr>
          <w:b/>
        </w:rPr>
        <w:t xml:space="preserve">Explain who will be conducting this survey. What program office will be </w:t>
      </w:r>
      <w:r w:rsidRPr="004B2986">
        <w:rPr>
          <w:b/>
        </w:rPr>
        <w:br/>
        <w:t>conducting the survey? What services does this program provide? Who are the customers? How are these services provided to the customer?</w:t>
      </w:r>
    </w:p>
    <w:p w:rsidR="00092167" w:rsidRDefault="00092167" w:rsidP="00092167">
      <w:pPr>
        <w:ind w:left="360"/>
        <w:rPr>
          <w:rFonts w:eastAsia="Calibri"/>
        </w:rPr>
      </w:pPr>
    </w:p>
    <w:p w:rsidR="00943486" w:rsidRDefault="00092167" w:rsidP="00EA4447">
      <w:pPr>
        <w:ind w:left="450"/>
        <w:rPr>
          <w:rFonts w:eastAsia="Calibri"/>
        </w:rPr>
      </w:pPr>
      <w:r>
        <w:rPr>
          <w:rFonts w:eastAsia="Calibri"/>
        </w:rPr>
        <w:t xml:space="preserve">NOAA’s </w:t>
      </w:r>
      <w:r w:rsidRPr="00687DC1">
        <w:rPr>
          <w:rFonts w:eastAsia="Calibri"/>
        </w:rPr>
        <w:t>National Weather Service (NWS)</w:t>
      </w:r>
      <w:r>
        <w:rPr>
          <w:rFonts w:eastAsia="Calibri"/>
        </w:rPr>
        <w:t xml:space="preserve"> </w:t>
      </w:r>
      <w:r w:rsidRPr="00687DC1">
        <w:rPr>
          <w:rFonts w:eastAsia="Calibri"/>
        </w:rPr>
        <w:t>predict</w:t>
      </w:r>
      <w:r w:rsidR="00943486">
        <w:rPr>
          <w:rFonts w:eastAsia="Calibri"/>
        </w:rPr>
        <w:t>s</w:t>
      </w:r>
      <w:r w:rsidRPr="00687DC1">
        <w:rPr>
          <w:rFonts w:eastAsia="Calibri"/>
        </w:rPr>
        <w:t xml:space="preserve"> </w:t>
      </w:r>
      <w:r w:rsidR="00943486">
        <w:rPr>
          <w:rFonts w:eastAsia="Calibri"/>
        </w:rPr>
        <w:t>tropical and extra-tropical (ET)</w:t>
      </w:r>
      <w:r w:rsidRPr="00687DC1">
        <w:rPr>
          <w:rFonts w:eastAsia="Calibri"/>
        </w:rPr>
        <w:t xml:space="preserve"> storm movement and impacts</w:t>
      </w:r>
      <w:r w:rsidR="00943486">
        <w:rPr>
          <w:rFonts w:eastAsia="Calibri"/>
        </w:rPr>
        <w:t>;</w:t>
      </w:r>
      <w:r w:rsidRPr="00687DC1">
        <w:rPr>
          <w:rFonts w:eastAsia="Calibri"/>
        </w:rPr>
        <w:t xml:space="preserve"> issue</w:t>
      </w:r>
      <w:r w:rsidR="00943486">
        <w:rPr>
          <w:rFonts w:eastAsia="Calibri"/>
        </w:rPr>
        <w:t>s</w:t>
      </w:r>
      <w:r w:rsidRPr="00687DC1">
        <w:rPr>
          <w:rFonts w:eastAsia="Calibri"/>
        </w:rPr>
        <w:t xml:space="preserve"> warnings, watches, and other information products</w:t>
      </w:r>
      <w:r w:rsidR="00943486">
        <w:rPr>
          <w:rFonts w:eastAsia="Calibri"/>
        </w:rPr>
        <w:t>;</w:t>
      </w:r>
      <w:r w:rsidRPr="00687DC1">
        <w:rPr>
          <w:rFonts w:eastAsia="Calibri"/>
        </w:rPr>
        <w:t xml:space="preserve"> and interact</w:t>
      </w:r>
      <w:r w:rsidR="00943486">
        <w:rPr>
          <w:rFonts w:eastAsia="Calibri"/>
        </w:rPr>
        <w:t>s</w:t>
      </w:r>
      <w:r w:rsidRPr="00687DC1">
        <w:rPr>
          <w:rFonts w:eastAsia="Calibri"/>
        </w:rPr>
        <w:t xml:space="preserve"> with a variety of audiences (e.g.</w:t>
      </w:r>
      <w:r w:rsidR="001E44B1">
        <w:rPr>
          <w:rFonts w:eastAsia="Calibri"/>
        </w:rPr>
        <w:t>,</w:t>
      </w:r>
      <w:r w:rsidRPr="00687DC1">
        <w:rPr>
          <w:rFonts w:eastAsia="Calibri"/>
        </w:rPr>
        <w:t xml:space="preserve"> the media, local officials, emergency managers, </w:t>
      </w:r>
      <w:r w:rsidR="001E44B1">
        <w:rPr>
          <w:rFonts w:eastAsia="Calibri"/>
        </w:rPr>
        <w:t xml:space="preserve">and </w:t>
      </w:r>
      <w:r w:rsidRPr="00687DC1">
        <w:rPr>
          <w:rFonts w:eastAsia="Calibri"/>
        </w:rPr>
        <w:t xml:space="preserve">the public) regularly when a tropical storm or </w:t>
      </w:r>
      <w:r w:rsidR="00943486">
        <w:rPr>
          <w:rFonts w:eastAsia="Calibri"/>
        </w:rPr>
        <w:t>ET storm is threatening</w:t>
      </w:r>
      <w:r w:rsidRPr="00687DC1">
        <w:rPr>
          <w:rFonts w:eastAsia="Calibri"/>
        </w:rPr>
        <w:t xml:space="preserve"> the coast. </w:t>
      </w:r>
    </w:p>
    <w:p w:rsidR="00943486" w:rsidRDefault="00943486" w:rsidP="00EA4447">
      <w:pPr>
        <w:ind w:left="450"/>
        <w:rPr>
          <w:rFonts w:eastAsia="Calibri"/>
        </w:rPr>
      </w:pPr>
    </w:p>
    <w:p w:rsidR="007B50DE" w:rsidRDefault="00943486" w:rsidP="00EA4447">
      <w:pPr>
        <w:ind w:left="450"/>
        <w:rPr>
          <w:rFonts w:eastAsia="Calibri"/>
        </w:rPr>
      </w:pPr>
      <w:r w:rsidRPr="0034697E">
        <w:rPr>
          <w:rFonts w:eastAsia="Calibri"/>
        </w:rPr>
        <w:t xml:space="preserve">The NWS is looking to </w:t>
      </w:r>
      <w:r w:rsidR="007B50DE">
        <w:rPr>
          <w:rFonts w:eastAsia="Calibri"/>
        </w:rPr>
        <w:t xml:space="preserve">develop or </w:t>
      </w:r>
      <w:r w:rsidRPr="0034697E">
        <w:rPr>
          <w:rFonts w:eastAsia="Calibri"/>
        </w:rPr>
        <w:t xml:space="preserve">issue </w:t>
      </w:r>
      <w:r w:rsidR="007B50DE">
        <w:rPr>
          <w:rFonts w:eastAsia="Calibri"/>
        </w:rPr>
        <w:t>three new products:</w:t>
      </w:r>
    </w:p>
    <w:p w:rsidR="007B50DE" w:rsidRPr="007B50DE" w:rsidRDefault="007B50DE" w:rsidP="00EA4447">
      <w:pPr>
        <w:pStyle w:val="ListParagraph"/>
        <w:numPr>
          <w:ilvl w:val="0"/>
          <w:numId w:val="22"/>
        </w:numPr>
        <w:ind w:left="1170"/>
      </w:pPr>
      <w:r>
        <w:rPr>
          <w:rFonts w:eastAsia="Calibri"/>
        </w:rPr>
        <w:t xml:space="preserve">A </w:t>
      </w:r>
      <w:r w:rsidR="00943486" w:rsidRPr="007B50DE">
        <w:rPr>
          <w:rFonts w:eastAsia="Calibri"/>
        </w:rPr>
        <w:t>storm surge watch/warning, to communicate life-threatening storm surges</w:t>
      </w:r>
      <w:r>
        <w:rPr>
          <w:rFonts w:eastAsia="Calibri"/>
        </w:rPr>
        <w:t>;</w:t>
      </w:r>
    </w:p>
    <w:p w:rsidR="007B50DE" w:rsidRPr="007B50DE" w:rsidRDefault="007B50DE" w:rsidP="00EA4447">
      <w:pPr>
        <w:pStyle w:val="ListParagraph"/>
        <w:numPr>
          <w:ilvl w:val="0"/>
          <w:numId w:val="22"/>
        </w:numPr>
        <w:ind w:left="1170"/>
      </w:pPr>
      <w:r>
        <w:rPr>
          <w:rFonts w:eastAsia="Calibri"/>
        </w:rPr>
        <w:t xml:space="preserve">A storm surge inundation graphic for </w:t>
      </w:r>
      <w:r w:rsidR="00FC3044">
        <w:rPr>
          <w:rFonts w:eastAsia="Calibri"/>
        </w:rPr>
        <w:t>ET</w:t>
      </w:r>
      <w:r>
        <w:rPr>
          <w:rFonts w:eastAsia="Calibri"/>
        </w:rPr>
        <w:t xml:space="preserve"> storms; and</w:t>
      </w:r>
    </w:p>
    <w:p w:rsidR="007B50DE" w:rsidRPr="007B50DE" w:rsidRDefault="007B50DE" w:rsidP="00EA4447">
      <w:pPr>
        <w:pStyle w:val="ListParagraph"/>
        <w:numPr>
          <w:ilvl w:val="0"/>
          <w:numId w:val="22"/>
        </w:numPr>
        <w:ind w:left="1170"/>
      </w:pPr>
      <w:r>
        <w:rPr>
          <w:rFonts w:eastAsia="Calibri"/>
        </w:rPr>
        <w:t>A map depicting the arrival of tropical storm force winds.</w:t>
      </w:r>
    </w:p>
    <w:p w:rsidR="007B50DE" w:rsidRDefault="007B50DE" w:rsidP="00EA4447">
      <w:pPr>
        <w:ind w:left="360"/>
      </w:pPr>
    </w:p>
    <w:p w:rsidR="007B50DE" w:rsidRDefault="007B50DE" w:rsidP="00EA4447">
      <w:pPr>
        <w:ind w:left="360"/>
      </w:pPr>
      <w:r>
        <w:t xml:space="preserve">With OMB approval, the NWS has already interviewed a select group of partners about these products (see </w:t>
      </w:r>
      <w:r w:rsidRPr="00F44201">
        <w:rPr>
          <w:lang w:eastAsia="en-GB"/>
        </w:rPr>
        <w:t>(ICR</w:t>
      </w:r>
      <w:r w:rsidRPr="00F44201">
        <w:rPr>
          <w:rFonts w:eastAsia="Calibri"/>
        </w:rPr>
        <w:t xml:space="preserve"> Reference Number </w:t>
      </w:r>
      <w:r w:rsidRPr="00F44201">
        <w:t>201111-0648-005</w:t>
      </w:r>
      <w:r w:rsidRPr="00F44201">
        <w:rPr>
          <w:rFonts w:eastAsia="Calibri"/>
        </w:rPr>
        <w:t>; approved 1/13/15</w:t>
      </w:r>
      <w:r>
        <w:rPr>
          <w:rFonts w:eastAsia="Calibri"/>
        </w:rPr>
        <w:t xml:space="preserve"> for the tropical storm force winds graphic research and </w:t>
      </w:r>
      <w:r w:rsidRPr="0058750A">
        <w:rPr>
          <w:lang w:eastAsia="en-GB"/>
        </w:rPr>
        <w:t>ICR</w:t>
      </w:r>
      <w:r w:rsidRPr="0058750A">
        <w:rPr>
          <w:rFonts w:eastAsia="Calibri"/>
        </w:rPr>
        <w:t xml:space="preserve"> Reference Num</w:t>
      </w:r>
      <w:r w:rsidR="00E64706">
        <w:rPr>
          <w:rFonts w:eastAsia="Calibri"/>
        </w:rPr>
        <w:t>ber 201111-0648-005; approved 1</w:t>
      </w:r>
      <w:r w:rsidRPr="0058750A">
        <w:rPr>
          <w:rFonts w:eastAsia="Calibri"/>
        </w:rPr>
        <w:t>/23/15</w:t>
      </w:r>
      <w:r>
        <w:rPr>
          <w:rFonts w:eastAsia="Calibri"/>
        </w:rPr>
        <w:t xml:space="preserve"> for the storm surge </w:t>
      </w:r>
      <w:r w:rsidR="00FC3044">
        <w:rPr>
          <w:rFonts w:eastAsia="Calibri"/>
        </w:rPr>
        <w:t>watch/</w:t>
      </w:r>
      <w:r>
        <w:rPr>
          <w:rFonts w:eastAsia="Calibri"/>
        </w:rPr>
        <w:t xml:space="preserve">warning and </w:t>
      </w:r>
      <w:r w:rsidR="00FC3044">
        <w:rPr>
          <w:rFonts w:eastAsia="Calibri"/>
        </w:rPr>
        <w:t xml:space="preserve">ET storm surge </w:t>
      </w:r>
      <w:r>
        <w:rPr>
          <w:rFonts w:eastAsia="Calibri"/>
        </w:rPr>
        <w:t>map research).</w:t>
      </w:r>
      <w:r>
        <w:t xml:space="preserve"> </w:t>
      </w:r>
    </w:p>
    <w:p w:rsidR="00B539AB" w:rsidRDefault="00601AD3" w:rsidP="00E64706">
      <w:pPr>
        <w:spacing w:before="100" w:beforeAutospacing="1" w:after="100" w:afterAutospacing="1"/>
        <w:ind w:left="360"/>
      </w:pPr>
      <w:r>
        <w:t xml:space="preserve">In the case of the storm surge work, the NWS interviewed only NWS Weather Forecast Offices (WFOs). These forecasters helped to explain their regions vulnerabilities and their preferences, but they do not represent NWS partners, such as emergency managers and broadcast meteorologists, who may have different perspectives. Additionally, the perspectives of the WFOs were split, with no clear conclusions: about half of the WFOs were in </w:t>
      </w:r>
      <w:r w:rsidRPr="00B539AB">
        <w:t>favor of the new watch/warning; about half were not.</w:t>
      </w:r>
      <w:r w:rsidR="00B539AB" w:rsidRPr="00B539AB">
        <w:t xml:space="preserve"> The forecasters also expressed some concerns about the utility and design of the storm surge map (e.g., that the map does not visualize ET threats that are often </w:t>
      </w:r>
      <w:r w:rsidR="00B539AB" w:rsidRPr="00B539AB">
        <w:rPr>
          <w:i/>
        </w:rPr>
        <w:t>more</w:t>
      </w:r>
      <w:r w:rsidR="00B539AB" w:rsidRPr="00B539AB">
        <w:t xml:space="preserve"> severe than inundation, </w:t>
      </w:r>
      <w:r w:rsidR="00B539AB">
        <w:t xml:space="preserve">such as </w:t>
      </w:r>
      <w:r w:rsidR="00B539AB" w:rsidRPr="00B539AB">
        <w:t>wave</w:t>
      </w:r>
      <w:r w:rsidR="00B539AB">
        <w:t>s</w:t>
      </w:r>
      <w:r w:rsidR="00B539AB" w:rsidRPr="00B539AB">
        <w:t xml:space="preserve">; that the water level ranges should be tailored to local conditions; and that the map could be difficult to explain) that </w:t>
      </w:r>
      <w:r w:rsidR="00B539AB">
        <w:t xml:space="preserve">would be useful to explore with NWS partners—to see if they have similar or other concerns. </w:t>
      </w:r>
    </w:p>
    <w:p w:rsidR="00601AD3" w:rsidRDefault="00601AD3" w:rsidP="00EA4447">
      <w:pPr>
        <w:ind w:left="360"/>
      </w:pPr>
      <w:r>
        <w:t xml:space="preserve">In the case of the arrival of tropical storm force winds graphic, the NWS spoke with six broadcasters, mostly at a national level, and six emergency managers in a few locations. The input from these exploratory interviews provided enough feedback for the NWS to revise the maps by changing color </w:t>
      </w:r>
      <w:r>
        <w:lastRenderedPageBreak/>
        <w:t>schemes, the way time intervals are expressed, titles, and legends. The NWS is now in the process of incorporating this feedback to create new prototypes and would now like to test these revised graphics with a larger group of emergency managers, forecasters, and broadcast meteorologists in key cities and coastal locations where this information is critical for planning and evacuation purposes.</w:t>
      </w:r>
    </w:p>
    <w:p w:rsidR="007B50DE" w:rsidRDefault="007B50DE" w:rsidP="00EA4447">
      <w:pPr>
        <w:ind w:left="1080"/>
      </w:pPr>
    </w:p>
    <w:p w:rsidR="008825B3" w:rsidRDefault="00601AD3" w:rsidP="00EA4447">
      <w:pPr>
        <w:ind w:left="360"/>
        <w:rPr>
          <w:rFonts w:eastAsia="Calibri"/>
        </w:rPr>
      </w:pPr>
      <w:r>
        <w:t>To further this research,</w:t>
      </w:r>
      <w:r w:rsidR="008825B3">
        <w:t xml:space="preserve"> t</w:t>
      </w:r>
      <w:r w:rsidR="00092167" w:rsidRPr="0034697E">
        <w:t>he NWS</w:t>
      </w:r>
      <w:r w:rsidR="00092167" w:rsidRPr="007B50DE">
        <w:rPr>
          <w:rFonts w:eastAsia="Calibri"/>
        </w:rPr>
        <w:t xml:space="preserve"> </w:t>
      </w:r>
      <w:r w:rsidR="00FC3044">
        <w:rPr>
          <w:rFonts w:eastAsia="Calibri"/>
        </w:rPr>
        <w:t>seeks</w:t>
      </w:r>
      <w:r w:rsidR="00943486" w:rsidRPr="007B50DE">
        <w:rPr>
          <w:rFonts w:eastAsia="Calibri"/>
        </w:rPr>
        <w:t xml:space="preserve"> to </w:t>
      </w:r>
      <w:r w:rsidR="008825B3">
        <w:rPr>
          <w:rFonts w:eastAsia="Calibri"/>
        </w:rPr>
        <w:t>conduct additional data gathering to explore key issues that have come to light in the interviews. Because all three of these new NWS products are relevant to some of the same communities, the NWS seeks to conduct focus groups on all three products in the following locations:</w:t>
      </w:r>
    </w:p>
    <w:p w:rsidR="008825B3" w:rsidRDefault="008825B3" w:rsidP="00EA4447">
      <w:pPr>
        <w:pStyle w:val="ListParagraph"/>
        <w:numPr>
          <w:ilvl w:val="0"/>
          <w:numId w:val="23"/>
        </w:numPr>
        <w:ind w:left="1080"/>
        <w:rPr>
          <w:rStyle w:val="style291"/>
          <w:sz w:val="22"/>
          <w:szCs w:val="22"/>
        </w:rPr>
      </w:pPr>
      <w:r w:rsidRPr="008825B3">
        <w:rPr>
          <w:rStyle w:val="style291"/>
          <w:sz w:val="22"/>
          <w:szCs w:val="22"/>
        </w:rPr>
        <w:t xml:space="preserve">New York City, </w:t>
      </w:r>
      <w:r w:rsidR="00FC3044">
        <w:rPr>
          <w:rStyle w:val="style291"/>
          <w:sz w:val="22"/>
          <w:szCs w:val="22"/>
        </w:rPr>
        <w:t xml:space="preserve">Long Island, </w:t>
      </w:r>
      <w:r w:rsidRPr="008825B3">
        <w:rPr>
          <w:rStyle w:val="style291"/>
          <w:sz w:val="22"/>
          <w:szCs w:val="22"/>
        </w:rPr>
        <w:t>N</w:t>
      </w:r>
      <w:r w:rsidR="00FC3044">
        <w:rPr>
          <w:rStyle w:val="style291"/>
          <w:sz w:val="22"/>
          <w:szCs w:val="22"/>
        </w:rPr>
        <w:t>Y</w:t>
      </w:r>
      <w:r w:rsidRPr="008825B3">
        <w:rPr>
          <w:rStyle w:val="style291"/>
          <w:sz w:val="22"/>
          <w:szCs w:val="22"/>
        </w:rPr>
        <w:t xml:space="preserve"> (July 18-19 proposed)</w:t>
      </w:r>
    </w:p>
    <w:p w:rsidR="008825B3" w:rsidRDefault="008825B3" w:rsidP="00EA4447">
      <w:pPr>
        <w:pStyle w:val="ListParagraph"/>
        <w:numPr>
          <w:ilvl w:val="0"/>
          <w:numId w:val="23"/>
        </w:numPr>
        <w:ind w:left="1080"/>
        <w:rPr>
          <w:rStyle w:val="style291"/>
          <w:sz w:val="22"/>
          <w:szCs w:val="22"/>
        </w:rPr>
      </w:pPr>
      <w:r w:rsidRPr="008825B3">
        <w:rPr>
          <w:rStyle w:val="style291"/>
          <w:sz w:val="22"/>
          <w:szCs w:val="22"/>
        </w:rPr>
        <w:t>Charleston, S</w:t>
      </w:r>
      <w:r w:rsidR="00FC3044">
        <w:rPr>
          <w:rStyle w:val="style291"/>
          <w:sz w:val="22"/>
          <w:szCs w:val="22"/>
        </w:rPr>
        <w:t>C</w:t>
      </w:r>
      <w:r w:rsidRPr="008825B3">
        <w:rPr>
          <w:rStyle w:val="style291"/>
          <w:sz w:val="22"/>
          <w:szCs w:val="22"/>
        </w:rPr>
        <w:t xml:space="preserve"> (June 8-9 proposed)</w:t>
      </w:r>
    </w:p>
    <w:p w:rsidR="008825B3" w:rsidRDefault="008825B3" w:rsidP="00EA4447">
      <w:pPr>
        <w:pStyle w:val="ListParagraph"/>
        <w:numPr>
          <w:ilvl w:val="0"/>
          <w:numId w:val="23"/>
        </w:numPr>
        <w:ind w:left="1080"/>
        <w:rPr>
          <w:rStyle w:val="style291"/>
          <w:sz w:val="22"/>
          <w:szCs w:val="22"/>
        </w:rPr>
      </w:pPr>
      <w:r w:rsidRPr="008825B3">
        <w:rPr>
          <w:rStyle w:val="style291"/>
          <w:sz w:val="22"/>
          <w:szCs w:val="22"/>
        </w:rPr>
        <w:t xml:space="preserve">Melbourne, </w:t>
      </w:r>
      <w:r w:rsidR="00FC3044">
        <w:rPr>
          <w:rStyle w:val="style291"/>
          <w:sz w:val="22"/>
          <w:szCs w:val="22"/>
        </w:rPr>
        <w:t>FL</w:t>
      </w:r>
      <w:r>
        <w:rPr>
          <w:rStyle w:val="style291"/>
          <w:sz w:val="22"/>
          <w:szCs w:val="22"/>
        </w:rPr>
        <w:t xml:space="preserve"> (July 6-9 proposed)</w:t>
      </w:r>
    </w:p>
    <w:p w:rsidR="008825B3" w:rsidRDefault="008825B3" w:rsidP="00EA4447">
      <w:pPr>
        <w:pStyle w:val="ListParagraph"/>
        <w:numPr>
          <w:ilvl w:val="0"/>
          <w:numId w:val="23"/>
        </w:numPr>
        <w:ind w:left="1080"/>
        <w:rPr>
          <w:rStyle w:val="style291"/>
          <w:sz w:val="22"/>
          <w:szCs w:val="22"/>
        </w:rPr>
      </w:pPr>
      <w:r>
        <w:rPr>
          <w:rStyle w:val="style291"/>
          <w:sz w:val="22"/>
          <w:szCs w:val="22"/>
        </w:rPr>
        <w:t>Wakefield, VA (August 5-7 proposed)</w:t>
      </w:r>
    </w:p>
    <w:p w:rsidR="008825B3" w:rsidRPr="008825B3" w:rsidRDefault="008825B3" w:rsidP="00EA4447">
      <w:pPr>
        <w:ind w:left="360"/>
        <w:rPr>
          <w:rStyle w:val="style291"/>
          <w:sz w:val="22"/>
          <w:szCs w:val="22"/>
        </w:rPr>
      </w:pPr>
    </w:p>
    <w:p w:rsidR="008825B3" w:rsidRDefault="008825B3" w:rsidP="00EA4447">
      <w:pPr>
        <w:ind w:left="360"/>
        <w:rPr>
          <w:rStyle w:val="style291"/>
          <w:sz w:val="22"/>
          <w:szCs w:val="22"/>
        </w:rPr>
      </w:pPr>
      <w:r>
        <w:rPr>
          <w:rStyle w:val="style291"/>
          <w:sz w:val="22"/>
          <w:szCs w:val="22"/>
        </w:rPr>
        <w:t>Additionally, the NWS is looking to conduct an additional interview on</w:t>
      </w:r>
      <w:r w:rsidR="00E64706">
        <w:rPr>
          <w:rStyle w:val="style291"/>
          <w:sz w:val="22"/>
          <w:szCs w:val="22"/>
        </w:rPr>
        <w:t xml:space="preserve"> </w:t>
      </w:r>
      <w:r w:rsidR="00E64706" w:rsidRPr="00E64706">
        <w:rPr>
          <w:rStyle w:val="style291"/>
          <w:i/>
          <w:sz w:val="22"/>
          <w:szCs w:val="22"/>
        </w:rPr>
        <w:t>only</w:t>
      </w:r>
      <w:r w:rsidR="00E64706">
        <w:rPr>
          <w:rStyle w:val="style291"/>
          <w:sz w:val="22"/>
          <w:szCs w:val="22"/>
        </w:rPr>
        <w:t xml:space="preserve"> </w:t>
      </w:r>
      <w:r>
        <w:rPr>
          <w:rStyle w:val="style291"/>
          <w:sz w:val="22"/>
          <w:szCs w:val="22"/>
        </w:rPr>
        <w:t xml:space="preserve">the storm surge warning/storm surge inundation map for extra-tropical storms on the West Coast, and so is </w:t>
      </w:r>
      <w:r w:rsidR="00E64706">
        <w:rPr>
          <w:rStyle w:val="style291"/>
          <w:sz w:val="22"/>
          <w:szCs w:val="22"/>
        </w:rPr>
        <w:t xml:space="preserve">planning </w:t>
      </w:r>
      <w:r>
        <w:rPr>
          <w:rStyle w:val="style291"/>
          <w:sz w:val="22"/>
          <w:szCs w:val="22"/>
        </w:rPr>
        <w:t>a focus group in Portland, O</w:t>
      </w:r>
      <w:r w:rsidR="00FC3044">
        <w:rPr>
          <w:rStyle w:val="style291"/>
          <w:sz w:val="22"/>
          <w:szCs w:val="22"/>
        </w:rPr>
        <w:t>R</w:t>
      </w:r>
      <w:r>
        <w:rPr>
          <w:rStyle w:val="style291"/>
          <w:sz w:val="22"/>
          <w:szCs w:val="22"/>
        </w:rPr>
        <w:t xml:space="preserve"> (</w:t>
      </w:r>
      <w:r w:rsidR="00FC3044">
        <w:rPr>
          <w:rStyle w:val="style291"/>
          <w:sz w:val="22"/>
          <w:szCs w:val="22"/>
        </w:rPr>
        <w:t>August 18-19</w:t>
      </w:r>
      <w:r>
        <w:rPr>
          <w:rStyle w:val="style291"/>
          <w:sz w:val="22"/>
          <w:szCs w:val="22"/>
        </w:rPr>
        <w:t>, proposed).</w:t>
      </w:r>
    </w:p>
    <w:p w:rsidR="008825B3" w:rsidRDefault="008825B3" w:rsidP="00EA4447">
      <w:pPr>
        <w:ind w:left="360"/>
        <w:rPr>
          <w:rStyle w:val="style291"/>
          <w:sz w:val="22"/>
          <w:szCs w:val="22"/>
        </w:rPr>
      </w:pPr>
    </w:p>
    <w:p w:rsidR="008825B3" w:rsidRDefault="008825B3" w:rsidP="00EA4447">
      <w:pPr>
        <w:ind w:left="360"/>
        <w:rPr>
          <w:rStyle w:val="style291"/>
          <w:sz w:val="22"/>
          <w:szCs w:val="22"/>
        </w:rPr>
      </w:pPr>
      <w:r>
        <w:rPr>
          <w:rStyle w:val="style291"/>
          <w:sz w:val="22"/>
          <w:szCs w:val="22"/>
        </w:rPr>
        <w:t>The NWS is also looking to conduct an additional interview on the Gulf Coast for just the arrival of tropical storm force winds graphic, and so is looking at focus group in Houston, T</w:t>
      </w:r>
      <w:r w:rsidR="00FC3044">
        <w:rPr>
          <w:rStyle w:val="style291"/>
          <w:sz w:val="22"/>
          <w:szCs w:val="22"/>
        </w:rPr>
        <w:t>X</w:t>
      </w:r>
      <w:r>
        <w:rPr>
          <w:rStyle w:val="style291"/>
          <w:sz w:val="22"/>
          <w:szCs w:val="22"/>
        </w:rPr>
        <w:t xml:space="preserve"> (May 21-22, proposed).</w:t>
      </w:r>
    </w:p>
    <w:p w:rsidR="00E64706" w:rsidRDefault="00E64706" w:rsidP="00EA4447">
      <w:pPr>
        <w:ind w:left="360"/>
        <w:rPr>
          <w:rStyle w:val="style291"/>
          <w:sz w:val="22"/>
          <w:szCs w:val="22"/>
        </w:rPr>
      </w:pPr>
    </w:p>
    <w:p w:rsidR="00FC3044" w:rsidRDefault="00FC3044" w:rsidP="00EA4447">
      <w:pPr>
        <w:ind w:left="360"/>
        <w:rPr>
          <w:rStyle w:val="style291"/>
          <w:sz w:val="22"/>
          <w:szCs w:val="22"/>
        </w:rPr>
      </w:pPr>
      <w:r>
        <w:rPr>
          <w:rStyle w:val="style291"/>
          <w:sz w:val="22"/>
          <w:szCs w:val="22"/>
        </w:rPr>
        <w:t>The number</w:t>
      </w:r>
      <w:r w:rsidR="00E64706">
        <w:rPr>
          <w:rStyle w:val="style291"/>
          <w:sz w:val="22"/>
          <w:szCs w:val="22"/>
        </w:rPr>
        <w:t>s</w:t>
      </w:r>
      <w:r>
        <w:rPr>
          <w:rStyle w:val="style291"/>
          <w:sz w:val="22"/>
          <w:szCs w:val="22"/>
        </w:rPr>
        <w:t xml:space="preserve"> and type</w:t>
      </w:r>
      <w:r w:rsidR="00E64706">
        <w:rPr>
          <w:rStyle w:val="style291"/>
          <w:sz w:val="22"/>
          <w:szCs w:val="22"/>
        </w:rPr>
        <w:t>s</w:t>
      </w:r>
      <w:r>
        <w:rPr>
          <w:rStyle w:val="style291"/>
          <w:sz w:val="22"/>
          <w:szCs w:val="22"/>
        </w:rPr>
        <w:t xml:space="preserve"> of participants are as follows</w:t>
      </w:r>
      <w:r w:rsidR="00E64706">
        <w:rPr>
          <w:rStyle w:val="style291"/>
          <w:sz w:val="22"/>
          <w:szCs w:val="22"/>
        </w:rPr>
        <w:t>:</w:t>
      </w:r>
    </w:p>
    <w:p w:rsidR="00FC3044" w:rsidRPr="00FC3044" w:rsidRDefault="00FC3044" w:rsidP="00EA4447">
      <w:pPr>
        <w:ind w:left="360"/>
        <w:rPr>
          <w:rStyle w:val="style291"/>
          <w:sz w:val="22"/>
          <w:szCs w:val="22"/>
        </w:rPr>
      </w:pPr>
    </w:p>
    <w:p w:rsidR="00FC3044" w:rsidRDefault="00FC3044" w:rsidP="00EA4447">
      <w:pPr>
        <w:pStyle w:val="ListParagraph"/>
        <w:numPr>
          <w:ilvl w:val="0"/>
          <w:numId w:val="23"/>
        </w:numPr>
        <w:ind w:left="1080"/>
        <w:rPr>
          <w:rStyle w:val="style291"/>
          <w:sz w:val="22"/>
          <w:szCs w:val="22"/>
        </w:rPr>
      </w:pPr>
      <w:r w:rsidRPr="008825B3">
        <w:rPr>
          <w:rStyle w:val="style291"/>
          <w:sz w:val="22"/>
          <w:szCs w:val="22"/>
        </w:rPr>
        <w:t xml:space="preserve">New York City, </w:t>
      </w:r>
      <w:r>
        <w:rPr>
          <w:rStyle w:val="style291"/>
          <w:sz w:val="22"/>
          <w:szCs w:val="22"/>
        </w:rPr>
        <w:t xml:space="preserve">Long Island, </w:t>
      </w:r>
      <w:r w:rsidRPr="008825B3">
        <w:rPr>
          <w:rStyle w:val="style291"/>
          <w:sz w:val="22"/>
          <w:szCs w:val="22"/>
        </w:rPr>
        <w:t>N</w:t>
      </w:r>
      <w:r>
        <w:rPr>
          <w:rStyle w:val="style291"/>
          <w:sz w:val="22"/>
          <w:szCs w:val="22"/>
        </w:rPr>
        <w:t xml:space="preserve">Y: 2 groups of </w:t>
      </w:r>
      <w:r w:rsidR="00860AB0">
        <w:rPr>
          <w:rStyle w:val="style291"/>
          <w:sz w:val="22"/>
          <w:szCs w:val="22"/>
        </w:rPr>
        <w:t xml:space="preserve">state/local/tribal </w:t>
      </w:r>
      <w:r>
        <w:rPr>
          <w:rStyle w:val="style291"/>
          <w:sz w:val="22"/>
          <w:szCs w:val="22"/>
        </w:rPr>
        <w:t xml:space="preserve">emergency managers, 1 group of broadcast meteorologists </w:t>
      </w:r>
    </w:p>
    <w:p w:rsidR="00B21BAC" w:rsidRDefault="00B21BAC" w:rsidP="00EA4447">
      <w:pPr>
        <w:pStyle w:val="ListParagraph"/>
        <w:numPr>
          <w:ilvl w:val="0"/>
          <w:numId w:val="23"/>
        </w:numPr>
        <w:ind w:left="1080"/>
        <w:rPr>
          <w:rStyle w:val="style291"/>
          <w:sz w:val="22"/>
          <w:szCs w:val="22"/>
        </w:rPr>
      </w:pPr>
      <w:r w:rsidRPr="00FC3044">
        <w:rPr>
          <w:rStyle w:val="style291"/>
          <w:sz w:val="22"/>
          <w:szCs w:val="22"/>
        </w:rPr>
        <w:t>Portland, O</w:t>
      </w:r>
      <w:r>
        <w:rPr>
          <w:rStyle w:val="style291"/>
          <w:sz w:val="22"/>
          <w:szCs w:val="22"/>
        </w:rPr>
        <w:t>R</w:t>
      </w:r>
      <w:r w:rsidRPr="00FC3044">
        <w:rPr>
          <w:rStyle w:val="style291"/>
          <w:sz w:val="22"/>
          <w:szCs w:val="22"/>
        </w:rPr>
        <w:t xml:space="preserve">: </w:t>
      </w:r>
      <w:r>
        <w:rPr>
          <w:rStyle w:val="style291"/>
          <w:sz w:val="22"/>
          <w:szCs w:val="22"/>
        </w:rPr>
        <w:t xml:space="preserve">1 group of </w:t>
      </w:r>
      <w:r w:rsidR="00860AB0">
        <w:rPr>
          <w:rStyle w:val="style291"/>
          <w:sz w:val="22"/>
          <w:szCs w:val="22"/>
        </w:rPr>
        <w:t xml:space="preserve">state/local/tribal </w:t>
      </w:r>
      <w:r>
        <w:rPr>
          <w:rStyle w:val="style291"/>
          <w:sz w:val="22"/>
          <w:szCs w:val="22"/>
        </w:rPr>
        <w:t>emergency managers; 1 group of broadcast meteorologists</w:t>
      </w:r>
    </w:p>
    <w:p w:rsidR="00FC3044" w:rsidRDefault="00FC3044" w:rsidP="00EA4447">
      <w:pPr>
        <w:pStyle w:val="ListParagraph"/>
        <w:numPr>
          <w:ilvl w:val="0"/>
          <w:numId w:val="23"/>
        </w:numPr>
        <w:ind w:left="1080"/>
        <w:rPr>
          <w:rStyle w:val="style291"/>
          <w:sz w:val="22"/>
          <w:szCs w:val="22"/>
        </w:rPr>
      </w:pPr>
      <w:r w:rsidRPr="008825B3">
        <w:rPr>
          <w:rStyle w:val="style291"/>
          <w:sz w:val="22"/>
          <w:szCs w:val="22"/>
        </w:rPr>
        <w:t>Charleston, S</w:t>
      </w:r>
      <w:r>
        <w:rPr>
          <w:rStyle w:val="style291"/>
          <w:sz w:val="22"/>
          <w:szCs w:val="22"/>
        </w:rPr>
        <w:t>C:</w:t>
      </w:r>
      <w:r w:rsidRPr="008825B3">
        <w:rPr>
          <w:rStyle w:val="style291"/>
          <w:sz w:val="22"/>
          <w:szCs w:val="22"/>
        </w:rPr>
        <w:t xml:space="preserve"> </w:t>
      </w:r>
      <w:r>
        <w:rPr>
          <w:rStyle w:val="style291"/>
          <w:sz w:val="22"/>
          <w:szCs w:val="22"/>
        </w:rPr>
        <w:t xml:space="preserve">1 group </w:t>
      </w:r>
      <w:r w:rsidR="00B21BAC">
        <w:rPr>
          <w:rStyle w:val="style291"/>
          <w:sz w:val="22"/>
          <w:szCs w:val="22"/>
        </w:rPr>
        <w:t xml:space="preserve">of WFO forecasters, 1 group </w:t>
      </w:r>
      <w:r>
        <w:rPr>
          <w:rStyle w:val="style291"/>
          <w:sz w:val="22"/>
          <w:szCs w:val="22"/>
        </w:rPr>
        <w:t xml:space="preserve">of </w:t>
      </w:r>
      <w:r w:rsidR="00860AB0">
        <w:rPr>
          <w:rStyle w:val="style291"/>
          <w:sz w:val="22"/>
          <w:szCs w:val="22"/>
        </w:rPr>
        <w:t xml:space="preserve">state/local/tribal </w:t>
      </w:r>
      <w:r>
        <w:rPr>
          <w:rStyle w:val="style291"/>
          <w:sz w:val="22"/>
          <w:szCs w:val="22"/>
        </w:rPr>
        <w:t>emergency managers; 1 group of broadcast meteorologists</w:t>
      </w:r>
    </w:p>
    <w:p w:rsidR="00FC3044" w:rsidRDefault="00FC3044" w:rsidP="00EA4447">
      <w:pPr>
        <w:pStyle w:val="ListParagraph"/>
        <w:numPr>
          <w:ilvl w:val="0"/>
          <w:numId w:val="23"/>
        </w:numPr>
        <w:ind w:left="1080"/>
        <w:rPr>
          <w:rStyle w:val="style291"/>
          <w:sz w:val="22"/>
          <w:szCs w:val="22"/>
        </w:rPr>
      </w:pPr>
      <w:r w:rsidRPr="008825B3">
        <w:rPr>
          <w:rStyle w:val="style291"/>
          <w:sz w:val="22"/>
          <w:szCs w:val="22"/>
        </w:rPr>
        <w:t>Melbourne, F</w:t>
      </w:r>
      <w:r>
        <w:rPr>
          <w:rStyle w:val="style291"/>
          <w:sz w:val="22"/>
          <w:szCs w:val="22"/>
        </w:rPr>
        <w:t xml:space="preserve">L: </w:t>
      </w:r>
      <w:r w:rsidR="00B21BAC">
        <w:rPr>
          <w:rStyle w:val="style291"/>
          <w:sz w:val="22"/>
          <w:szCs w:val="22"/>
        </w:rPr>
        <w:t xml:space="preserve">1 group of WFO forecasters, </w:t>
      </w:r>
      <w:r>
        <w:rPr>
          <w:rStyle w:val="style291"/>
          <w:sz w:val="22"/>
          <w:szCs w:val="22"/>
        </w:rPr>
        <w:t xml:space="preserve">2 groups of </w:t>
      </w:r>
      <w:r w:rsidR="00860AB0">
        <w:rPr>
          <w:rStyle w:val="style291"/>
          <w:sz w:val="22"/>
          <w:szCs w:val="22"/>
        </w:rPr>
        <w:t xml:space="preserve">state/local/tribal </w:t>
      </w:r>
      <w:r>
        <w:rPr>
          <w:rStyle w:val="style291"/>
          <w:sz w:val="22"/>
          <w:szCs w:val="22"/>
        </w:rPr>
        <w:t>emergency managers; 1 group of broadcast meteorologists</w:t>
      </w:r>
    </w:p>
    <w:p w:rsidR="00FC3044" w:rsidRDefault="00FC3044" w:rsidP="00EA4447">
      <w:pPr>
        <w:pStyle w:val="ListParagraph"/>
        <w:numPr>
          <w:ilvl w:val="0"/>
          <w:numId w:val="23"/>
        </w:numPr>
        <w:ind w:left="1080"/>
        <w:rPr>
          <w:rStyle w:val="style291"/>
          <w:sz w:val="22"/>
          <w:szCs w:val="22"/>
        </w:rPr>
      </w:pPr>
      <w:r>
        <w:rPr>
          <w:rStyle w:val="style291"/>
          <w:sz w:val="22"/>
          <w:szCs w:val="22"/>
        </w:rPr>
        <w:t xml:space="preserve">Wakefield, VA: 1 group of </w:t>
      </w:r>
      <w:r w:rsidR="00860AB0">
        <w:rPr>
          <w:rStyle w:val="style291"/>
          <w:sz w:val="22"/>
          <w:szCs w:val="22"/>
        </w:rPr>
        <w:t>state/local/tribal e</w:t>
      </w:r>
      <w:r>
        <w:rPr>
          <w:rStyle w:val="style291"/>
          <w:sz w:val="22"/>
          <w:szCs w:val="22"/>
        </w:rPr>
        <w:t>mergency managers; 1 group of broadcast meteorologists</w:t>
      </w:r>
    </w:p>
    <w:p w:rsidR="00FC3044" w:rsidRDefault="00FC3044" w:rsidP="00EA4447">
      <w:pPr>
        <w:pStyle w:val="ListParagraph"/>
        <w:numPr>
          <w:ilvl w:val="0"/>
          <w:numId w:val="23"/>
        </w:numPr>
        <w:ind w:left="1080"/>
        <w:rPr>
          <w:rStyle w:val="style291"/>
          <w:sz w:val="22"/>
          <w:szCs w:val="22"/>
        </w:rPr>
      </w:pPr>
      <w:r w:rsidRPr="00FC3044">
        <w:rPr>
          <w:rStyle w:val="style291"/>
          <w:sz w:val="22"/>
          <w:szCs w:val="22"/>
        </w:rPr>
        <w:t>Houston, T</w:t>
      </w:r>
      <w:r>
        <w:rPr>
          <w:rStyle w:val="style291"/>
          <w:sz w:val="22"/>
          <w:szCs w:val="22"/>
        </w:rPr>
        <w:t xml:space="preserve">X: 1 </w:t>
      </w:r>
      <w:r w:rsidR="00B21BAC">
        <w:rPr>
          <w:rStyle w:val="style291"/>
          <w:sz w:val="22"/>
          <w:szCs w:val="22"/>
        </w:rPr>
        <w:t xml:space="preserve">group of WFO forecasters, </w:t>
      </w:r>
      <w:r w:rsidR="00E03611">
        <w:rPr>
          <w:rStyle w:val="style291"/>
          <w:sz w:val="22"/>
          <w:szCs w:val="22"/>
        </w:rPr>
        <w:t xml:space="preserve">1 </w:t>
      </w:r>
      <w:r>
        <w:rPr>
          <w:rStyle w:val="style291"/>
          <w:sz w:val="22"/>
          <w:szCs w:val="22"/>
        </w:rPr>
        <w:t xml:space="preserve">group of </w:t>
      </w:r>
      <w:r w:rsidR="00860AB0">
        <w:rPr>
          <w:rStyle w:val="style291"/>
          <w:sz w:val="22"/>
          <w:szCs w:val="22"/>
        </w:rPr>
        <w:t xml:space="preserve">state/local/tribal </w:t>
      </w:r>
      <w:r>
        <w:rPr>
          <w:rStyle w:val="style291"/>
          <w:sz w:val="22"/>
          <w:szCs w:val="22"/>
        </w:rPr>
        <w:t>emergency managers; 1 group of broadcast meteorologists</w:t>
      </w:r>
    </w:p>
    <w:p w:rsidR="00FC3044" w:rsidRDefault="00FC3044" w:rsidP="00EA4447">
      <w:pPr>
        <w:ind w:left="360"/>
        <w:rPr>
          <w:rStyle w:val="style291"/>
          <w:sz w:val="22"/>
          <w:szCs w:val="22"/>
        </w:rPr>
      </w:pPr>
    </w:p>
    <w:p w:rsidR="00943486" w:rsidRPr="0034697E" w:rsidRDefault="00943486" w:rsidP="0034697E">
      <w:pPr>
        <w:autoSpaceDE w:val="0"/>
        <w:autoSpaceDN w:val="0"/>
        <w:adjustRightInd w:val="0"/>
        <w:ind w:left="810"/>
        <w:rPr>
          <w:b/>
        </w:rPr>
      </w:pPr>
    </w:p>
    <w:p w:rsidR="004B2986" w:rsidRPr="004B2986" w:rsidRDefault="004B2986" w:rsidP="00676FF8">
      <w:pPr>
        <w:numPr>
          <w:ilvl w:val="0"/>
          <w:numId w:val="1"/>
        </w:numPr>
        <w:autoSpaceDE w:val="0"/>
        <w:autoSpaceDN w:val="0"/>
        <w:adjustRightInd w:val="0"/>
        <w:ind w:left="450"/>
        <w:rPr>
          <w:b/>
        </w:rPr>
      </w:pPr>
      <w:r w:rsidRPr="004B2986">
        <w:rPr>
          <w:b/>
        </w:rPr>
        <w:t xml:space="preserve">Explain how this survey was developed. With whom did you consult </w:t>
      </w:r>
      <w:r w:rsidR="009C4A4A">
        <w:rPr>
          <w:b/>
        </w:rPr>
        <w:t xml:space="preserve">regarding content </w:t>
      </w:r>
      <w:r w:rsidRPr="004B2986">
        <w:rPr>
          <w:b/>
        </w:rPr>
        <w:t>during the development of this survey? Statistics? What suggestions did you get about improving the survey?</w:t>
      </w:r>
    </w:p>
    <w:p w:rsidR="004B2986" w:rsidRDefault="004B2986" w:rsidP="00676FF8">
      <w:pPr>
        <w:ind w:left="450" w:hanging="360"/>
        <w:rPr>
          <w:b/>
        </w:rPr>
      </w:pPr>
    </w:p>
    <w:p w:rsidR="00091F7C" w:rsidRDefault="00FC3044" w:rsidP="00EA4447">
      <w:pPr>
        <w:autoSpaceDE w:val="0"/>
        <w:autoSpaceDN w:val="0"/>
        <w:adjustRightInd w:val="0"/>
        <w:ind w:left="450"/>
        <w:rPr>
          <w:rFonts w:eastAsia="Calibri"/>
        </w:rPr>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791664">
        <w:t>focus group scrip</w:t>
      </w:r>
      <w:r>
        <w:t>ts</w:t>
      </w:r>
      <w:r w:rsidR="00651243">
        <w:t>.</w:t>
      </w:r>
      <w:r w:rsidR="00A61C62">
        <w:t xml:space="preserve"> </w:t>
      </w:r>
      <w:r w:rsidR="004B2986" w:rsidRPr="004B2986">
        <w:t xml:space="preserve">ERG has significant experience assessing technical assistance provided by </w:t>
      </w:r>
      <w:r w:rsidR="00651243">
        <w:t>f</w:t>
      </w:r>
      <w:r w:rsidR="004B2986" w:rsidRPr="004B2986">
        <w:t xml:space="preserve">ederal agencies through detailed interviews, focus groups, and surveys that focus on customer satisfaction and outcome attainment. </w:t>
      </w:r>
      <w:r w:rsidR="00651243">
        <w:t xml:space="preserve">To develop the </w:t>
      </w:r>
      <w:r w:rsidR="00791664">
        <w:t>script</w:t>
      </w:r>
      <w:r>
        <w:t>s</w:t>
      </w:r>
      <w:r w:rsidR="00791664">
        <w:t xml:space="preserve">, </w:t>
      </w:r>
      <w:r w:rsidR="00651243">
        <w:t xml:space="preserve">ERG worked with Dr. Betty Morrow, a well-known and respected social scientist, who has conducted many </w:t>
      </w:r>
      <w:r w:rsidR="00651243" w:rsidRPr="00687DC1">
        <w:rPr>
          <w:rFonts w:eastAsia="Calibri"/>
        </w:rPr>
        <w:t xml:space="preserve">risk communication and risk behavior </w:t>
      </w:r>
      <w:r w:rsidR="00651243">
        <w:rPr>
          <w:rFonts w:eastAsia="Calibri"/>
        </w:rPr>
        <w:t>studies related to the public’s</w:t>
      </w:r>
      <w:r w:rsidR="00651243" w:rsidRPr="00687DC1">
        <w:rPr>
          <w:rFonts w:eastAsia="Calibri"/>
        </w:rPr>
        <w:t xml:space="preserve"> response to </w:t>
      </w:r>
      <w:r w:rsidR="00651243">
        <w:rPr>
          <w:rFonts w:eastAsia="Calibri"/>
        </w:rPr>
        <w:t xml:space="preserve">hazardous weather </w:t>
      </w:r>
      <w:r w:rsidR="00651243" w:rsidRPr="00687DC1">
        <w:rPr>
          <w:rFonts w:eastAsia="Calibri"/>
        </w:rPr>
        <w:t>warnings and barriers to</w:t>
      </w:r>
      <w:r w:rsidR="00651243">
        <w:rPr>
          <w:rFonts w:eastAsia="Calibri"/>
        </w:rPr>
        <w:t xml:space="preserve"> taking the appropriate protective actions.</w:t>
      </w:r>
      <w:r>
        <w:rPr>
          <w:rFonts w:eastAsia="Calibri"/>
        </w:rPr>
        <w:t xml:space="preserve"> ERG also worked with Robbie Berg, a forecaster at the National </w:t>
      </w:r>
      <w:r>
        <w:rPr>
          <w:rFonts w:eastAsia="Calibri"/>
        </w:rPr>
        <w:lastRenderedPageBreak/>
        <w:t>Hurricane Center, to develop the focus group script for assessing the arrival of tropical storm force winds graphic.</w:t>
      </w:r>
      <w:r w:rsidR="0034697E">
        <w:rPr>
          <w:rFonts w:eastAsia="Calibri"/>
        </w:rPr>
        <w:t xml:space="preserve"> </w:t>
      </w:r>
    </w:p>
    <w:p w:rsidR="00091F7C" w:rsidRDefault="00091F7C" w:rsidP="00EA4447">
      <w:pPr>
        <w:autoSpaceDE w:val="0"/>
        <w:autoSpaceDN w:val="0"/>
        <w:adjustRightInd w:val="0"/>
        <w:ind w:left="450"/>
        <w:rPr>
          <w:rFonts w:eastAsia="Calibri"/>
        </w:rPr>
      </w:pPr>
    </w:p>
    <w:p w:rsidR="00651243" w:rsidRDefault="00091F7C" w:rsidP="00EA4447">
      <w:pPr>
        <w:autoSpaceDE w:val="0"/>
        <w:autoSpaceDN w:val="0"/>
        <w:adjustRightInd w:val="0"/>
        <w:ind w:left="450"/>
        <w:rPr>
          <w:rFonts w:eastAsia="Calibri"/>
        </w:rPr>
      </w:pPr>
      <w:r>
        <w:rPr>
          <w:rFonts w:eastAsia="Calibri"/>
        </w:rPr>
        <w:t xml:space="preserve">Suggestions for improving the </w:t>
      </w:r>
      <w:r w:rsidR="00791664">
        <w:rPr>
          <w:rFonts w:eastAsia="Calibri"/>
        </w:rPr>
        <w:t>focus group script</w:t>
      </w:r>
      <w:r w:rsidR="00FC3044">
        <w:rPr>
          <w:rFonts w:eastAsia="Calibri"/>
        </w:rPr>
        <w:t>s</w:t>
      </w:r>
      <w:r>
        <w:rPr>
          <w:rFonts w:eastAsia="Calibri"/>
        </w:rPr>
        <w:t xml:space="preserve"> included </w:t>
      </w:r>
      <w:r w:rsidR="00B21BAC">
        <w:rPr>
          <w:rFonts w:eastAsia="Calibri"/>
        </w:rPr>
        <w:t xml:space="preserve">developing </w:t>
      </w:r>
      <w:r w:rsidR="00791664">
        <w:rPr>
          <w:rFonts w:eastAsia="Calibri"/>
        </w:rPr>
        <w:t>maps showing storm surge</w:t>
      </w:r>
      <w:r w:rsidR="00B21BAC">
        <w:rPr>
          <w:rFonts w:eastAsia="Calibri"/>
        </w:rPr>
        <w:t xml:space="preserve"> and arrival of tropical storm force winds</w:t>
      </w:r>
      <w:r w:rsidR="00791664">
        <w:rPr>
          <w:rFonts w:eastAsia="Calibri"/>
        </w:rPr>
        <w:t xml:space="preserve"> tailored to each region and </w:t>
      </w:r>
      <w:r>
        <w:rPr>
          <w:rFonts w:eastAsia="Calibri"/>
        </w:rPr>
        <w:t xml:space="preserve">beginning the </w:t>
      </w:r>
      <w:r w:rsidR="00791664">
        <w:rPr>
          <w:rFonts w:eastAsia="Calibri"/>
        </w:rPr>
        <w:t xml:space="preserve">focus groups </w:t>
      </w:r>
      <w:r>
        <w:rPr>
          <w:rFonts w:eastAsia="Calibri"/>
        </w:rPr>
        <w:t>with a conversation about recent events to engage participants</w:t>
      </w:r>
      <w:r w:rsidR="0022410D">
        <w:rPr>
          <w:rFonts w:eastAsia="Calibri"/>
        </w:rPr>
        <w:t>.</w:t>
      </w:r>
      <w:r w:rsidR="00651243">
        <w:rPr>
          <w:rFonts w:eastAsia="Calibri"/>
        </w:rPr>
        <w:t xml:space="preserve"> </w:t>
      </w:r>
    </w:p>
    <w:p w:rsidR="003B5739" w:rsidRDefault="003B5739" w:rsidP="00F0690A"/>
    <w:p w:rsidR="004B2986" w:rsidRPr="004B2986" w:rsidRDefault="004B2986" w:rsidP="00676FF8">
      <w:pPr>
        <w:numPr>
          <w:ilvl w:val="0"/>
          <w:numId w:val="1"/>
        </w:numPr>
        <w:autoSpaceDE w:val="0"/>
        <w:autoSpaceDN w:val="0"/>
        <w:adjustRightInd w:val="0"/>
        <w:ind w:left="450"/>
        <w:rPr>
          <w:b/>
        </w:rPr>
      </w:pPr>
      <w:r w:rsidRPr="004B298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7712AC" w:rsidRDefault="007712AC" w:rsidP="007712AC">
      <w:pPr>
        <w:autoSpaceDE w:val="0"/>
        <w:autoSpaceDN w:val="0"/>
        <w:adjustRightInd w:val="0"/>
        <w:ind w:left="450"/>
        <w:rPr>
          <w:b/>
        </w:rPr>
      </w:pPr>
    </w:p>
    <w:p w:rsidR="007712AC" w:rsidRDefault="007712AC" w:rsidP="00EA4447">
      <w:pPr>
        <w:autoSpaceDE w:val="0"/>
        <w:autoSpaceDN w:val="0"/>
        <w:adjustRightInd w:val="0"/>
        <w:ind w:left="450"/>
      </w:pPr>
      <w:r>
        <w:t>T</w:t>
      </w:r>
      <w:r w:rsidRPr="007712AC">
        <w:t xml:space="preserve">he </w:t>
      </w:r>
      <w:r>
        <w:t xml:space="preserve">NWS </w:t>
      </w:r>
      <w:r w:rsidRPr="007712AC">
        <w:t xml:space="preserve">WFO in each location </w:t>
      </w:r>
      <w:r>
        <w:t xml:space="preserve">will </w:t>
      </w:r>
      <w:r w:rsidRPr="007712AC">
        <w:t>invite attendees</w:t>
      </w:r>
      <w:r>
        <w:t xml:space="preserve"> </w:t>
      </w:r>
      <w:r w:rsidRPr="007712AC">
        <w:t>from commun</w:t>
      </w:r>
      <w:r>
        <w:t xml:space="preserve">ities most impacted by </w:t>
      </w:r>
      <w:r w:rsidR="00B21BAC">
        <w:t>TC/</w:t>
      </w:r>
      <w:r>
        <w:t>ET storms. WFOs have strong working relationships with emergency managers and broadcast meteorologists in their regions, and will reach out to these individuals via phone calls and emails to personally invite them to the focus groups. We anticipate each focus group will consist of 12 to 15 individuals.</w:t>
      </w:r>
    </w:p>
    <w:p w:rsidR="00BC697B" w:rsidRPr="004B2986" w:rsidRDefault="00BC697B" w:rsidP="00BC697B">
      <w:pPr>
        <w:autoSpaceDE w:val="0"/>
        <w:autoSpaceDN w:val="0"/>
        <w:adjustRightInd w:val="0"/>
        <w:ind w:left="450"/>
      </w:pPr>
    </w:p>
    <w:p w:rsidR="004B2986" w:rsidRPr="004B2986" w:rsidRDefault="004B2986" w:rsidP="00676FF8">
      <w:pPr>
        <w:numPr>
          <w:ilvl w:val="0"/>
          <w:numId w:val="1"/>
        </w:numPr>
        <w:autoSpaceDE w:val="0"/>
        <w:autoSpaceDN w:val="0"/>
        <w:adjustRightInd w:val="0"/>
        <w:ind w:left="450"/>
        <w:rPr>
          <w:b/>
        </w:rPr>
      </w:pPr>
      <w:r w:rsidRPr="004B298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4B2986" w:rsidRDefault="004B2986" w:rsidP="00676FF8">
      <w:pPr>
        <w:autoSpaceDE w:val="0"/>
        <w:autoSpaceDN w:val="0"/>
        <w:adjustRightInd w:val="0"/>
        <w:ind w:left="450" w:hanging="360"/>
        <w:rPr>
          <w:b/>
          <w:bCs/>
        </w:rPr>
      </w:pPr>
    </w:p>
    <w:p w:rsidR="00B21BAC" w:rsidRPr="00E03611" w:rsidRDefault="00B21BAC" w:rsidP="00EA4447">
      <w:pPr>
        <w:pStyle w:val="Heading2"/>
        <w:ind w:left="450"/>
        <w:rPr>
          <w:b w:val="0"/>
          <w:sz w:val="22"/>
          <w:szCs w:val="22"/>
        </w:rPr>
      </w:pPr>
      <w:r>
        <w:rPr>
          <w:b w:val="0"/>
          <w:bCs w:val="0"/>
          <w:sz w:val="22"/>
          <w:szCs w:val="22"/>
        </w:rPr>
        <w:t xml:space="preserve">The </w:t>
      </w:r>
      <w:r w:rsidR="00D92DD1" w:rsidRPr="007258C8">
        <w:rPr>
          <w:b w:val="0"/>
          <w:bCs w:val="0"/>
          <w:sz w:val="22"/>
          <w:szCs w:val="22"/>
        </w:rPr>
        <w:t>NWS</w:t>
      </w:r>
      <w:r w:rsidR="004B2986" w:rsidRPr="007258C8">
        <w:rPr>
          <w:b w:val="0"/>
          <w:sz w:val="22"/>
          <w:szCs w:val="22"/>
        </w:rPr>
        <w:t xml:space="preserve"> will use the data </w:t>
      </w:r>
      <w:r w:rsidR="005F41B1" w:rsidRPr="007258C8">
        <w:rPr>
          <w:b w:val="0"/>
          <w:sz w:val="22"/>
          <w:szCs w:val="22"/>
        </w:rPr>
        <w:t>resulting from</w:t>
      </w:r>
      <w:r w:rsidR="004B2986" w:rsidRPr="007258C8">
        <w:rPr>
          <w:b w:val="0"/>
          <w:sz w:val="22"/>
          <w:szCs w:val="22"/>
        </w:rPr>
        <w:t xml:space="preserve"> th</w:t>
      </w:r>
      <w:r>
        <w:rPr>
          <w:b w:val="0"/>
          <w:sz w:val="22"/>
          <w:szCs w:val="22"/>
        </w:rPr>
        <w:t xml:space="preserve">e storm surge research </w:t>
      </w:r>
      <w:r w:rsidR="004B2986" w:rsidRPr="007258C8">
        <w:rPr>
          <w:b w:val="0"/>
          <w:sz w:val="22"/>
          <w:szCs w:val="22"/>
        </w:rPr>
        <w:t>to assess</w:t>
      </w:r>
      <w:r w:rsidR="007258C8" w:rsidRPr="007258C8">
        <w:rPr>
          <w:b w:val="0"/>
          <w:sz w:val="22"/>
          <w:szCs w:val="22"/>
        </w:rPr>
        <w:t xml:space="preserve"> regional vulnerability and understanding of storm surge associated with ET storm surge on the Eastern and Western U.S. coasts and to discern any barriers to implementing a new storm surge warning for life-threatening storm surge events. </w:t>
      </w:r>
      <w:r w:rsidR="00E03611">
        <w:rPr>
          <w:b w:val="0"/>
          <w:sz w:val="22"/>
          <w:szCs w:val="22"/>
        </w:rPr>
        <w:t xml:space="preserve">The focus </w:t>
      </w:r>
      <w:r w:rsidR="00E03611" w:rsidRPr="00E03611">
        <w:rPr>
          <w:b w:val="0"/>
          <w:sz w:val="22"/>
          <w:szCs w:val="22"/>
        </w:rPr>
        <w:t xml:space="preserve">groups will help illuminate whether the NWS should replace coastal flood products with the storm surge watch/warning—or if the NWS should retain the coastal flood products and add the storm surge watch/warning to the current suite of products. </w:t>
      </w:r>
      <w:r w:rsidRPr="00E03611">
        <w:rPr>
          <w:b w:val="0"/>
          <w:sz w:val="22"/>
          <w:szCs w:val="22"/>
        </w:rPr>
        <w:t>The NWS will also use information gleaned from the focus groups to determine if a storm surge map for ET events would be useful, and if so, who should produce it and how should it be tailored for different regions.</w:t>
      </w:r>
    </w:p>
    <w:p w:rsidR="00B21BAC" w:rsidRPr="00E03611" w:rsidRDefault="00B21BAC" w:rsidP="00EA4447">
      <w:pPr>
        <w:pStyle w:val="Heading2"/>
        <w:ind w:left="450"/>
        <w:rPr>
          <w:b w:val="0"/>
          <w:sz w:val="22"/>
          <w:szCs w:val="22"/>
        </w:rPr>
      </w:pPr>
    </w:p>
    <w:p w:rsidR="004B2986" w:rsidRPr="00E03611" w:rsidRDefault="00B21BAC" w:rsidP="00EA4447">
      <w:pPr>
        <w:pStyle w:val="Heading2"/>
        <w:ind w:left="450"/>
        <w:rPr>
          <w:b w:val="0"/>
          <w:sz w:val="22"/>
          <w:szCs w:val="22"/>
        </w:rPr>
      </w:pPr>
      <w:r w:rsidRPr="00E03611">
        <w:rPr>
          <w:b w:val="0"/>
          <w:sz w:val="22"/>
          <w:szCs w:val="22"/>
        </w:rPr>
        <w:t xml:space="preserve">The NWS will use the data on the arrival of tropical storm force winds to tailor its graphic to the needs of its </w:t>
      </w:r>
      <w:r w:rsidR="00E03611" w:rsidRPr="00E03611">
        <w:rPr>
          <w:b w:val="0"/>
          <w:sz w:val="22"/>
          <w:szCs w:val="22"/>
        </w:rPr>
        <w:t>users and ensure its compatibility with the use of</w:t>
      </w:r>
      <w:r w:rsidR="00E03611" w:rsidRPr="00E03611">
        <w:rPr>
          <w:b w:val="0"/>
          <w:spacing w:val="-1"/>
          <w:sz w:val="22"/>
          <w:szCs w:val="22"/>
        </w:rPr>
        <w:t xml:space="preserve"> </w:t>
      </w:r>
      <w:r w:rsidR="00E03611" w:rsidRPr="00E03611">
        <w:rPr>
          <w:b w:val="0"/>
          <w:sz w:val="22"/>
          <w:szCs w:val="22"/>
        </w:rPr>
        <w:t>a</w:t>
      </w:r>
      <w:r w:rsidR="00E03611" w:rsidRPr="00E03611">
        <w:rPr>
          <w:b w:val="0"/>
          <w:spacing w:val="65"/>
          <w:sz w:val="22"/>
          <w:szCs w:val="22"/>
        </w:rPr>
        <w:t xml:space="preserve"> </w:t>
      </w:r>
      <w:r w:rsidR="00E03611" w:rsidRPr="00E03611">
        <w:rPr>
          <w:b w:val="0"/>
          <w:spacing w:val="-1"/>
          <w:sz w:val="22"/>
          <w:szCs w:val="22"/>
        </w:rPr>
        <w:t>computer program</w:t>
      </w:r>
      <w:r w:rsidR="00E03611" w:rsidRPr="00E03611">
        <w:rPr>
          <w:b w:val="0"/>
          <w:sz w:val="22"/>
          <w:szCs w:val="22"/>
        </w:rPr>
        <w:t xml:space="preserve"> </w:t>
      </w:r>
      <w:r w:rsidR="00E03611" w:rsidRPr="00E03611">
        <w:rPr>
          <w:b w:val="0"/>
          <w:spacing w:val="-1"/>
          <w:sz w:val="22"/>
          <w:szCs w:val="22"/>
        </w:rPr>
        <w:t>called</w:t>
      </w:r>
      <w:r w:rsidR="00E03611" w:rsidRPr="00E03611">
        <w:rPr>
          <w:b w:val="0"/>
          <w:spacing w:val="2"/>
          <w:sz w:val="22"/>
          <w:szCs w:val="22"/>
        </w:rPr>
        <w:t xml:space="preserve"> </w:t>
      </w:r>
      <w:r w:rsidR="00E03611" w:rsidRPr="00E03611">
        <w:rPr>
          <w:b w:val="0"/>
          <w:spacing w:val="-1"/>
          <w:sz w:val="22"/>
          <w:szCs w:val="22"/>
        </w:rPr>
        <w:t>HURREVAC,</w:t>
      </w:r>
      <w:r w:rsidR="00E03611" w:rsidRPr="00E03611">
        <w:rPr>
          <w:b w:val="0"/>
          <w:sz w:val="22"/>
          <w:szCs w:val="22"/>
        </w:rPr>
        <w:t xml:space="preserve"> a </w:t>
      </w:r>
      <w:r w:rsidR="00E03611" w:rsidRPr="00E03611">
        <w:rPr>
          <w:b w:val="0"/>
          <w:spacing w:val="-1"/>
          <w:sz w:val="22"/>
          <w:szCs w:val="22"/>
        </w:rPr>
        <w:t>privately-developed</w:t>
      </w:r>
      <w:r w:rsidR="00E03611" w:rsidRPr="00E03611">
        <w:rPr>
          <w:b w:val="0"/>
          <w:sz w:val="22"/>
          <w:szCs w:val="22"/>
        </w:rPr>
        <w:t xml:space="preserve"> </w:t>
      </w:r>
      <w:r w:rsidR="00E03611" w:rsidRPr="00E03611">
        <w:rPr>
          <w:b w:val="0"/>
          <w:spacing w:val="-1"/>
          <w:sz w:val="22"/>
          <w:szCs w:val="22"/>
        </w:rPr>
        <w:t>software</w:t>
      </w:r>
      <w:r w:rsidR="00E03611" w:rsidRPr="00E03611">
        <w:rPr>
          <w:b w:val="0"/>
          <w:sz w:val="22"/>
          <w:szCs w:val="22"/>
        </w:rPr>
        <w:t xml:space="preserve"> </w:t>
      </w:r>
      <w:r w:rsidR="00E03611" w:rsidRPr="00E03611">
        <w:rPr>
          <w:b w:val="0"/>
          <w:spacing w:val="-2"/>
          <w:sz w:val="22"/>
          <w:szCs w:val="22"/>
        </w:rPr>
        <w:t>program</w:t>
      </w:r>
      <w:r w:rsidR="00E03611" w:rsidRPr="00E03611">
        <w:rPr>
          <w:b w:val="0"/>
          <w:spacing w:val="-4"/>
          <w:sz w:val="22"/>
          <w:szCs w:val="22"/>
        </w:rPr>
        <w:t xml:space="preserve"> </w:t>
      </w:r>
      <w:r w:rsidR="00E03611" w:rsidRPr="00E03611">
        <w:rPr>
          <w:b w:val="0"/>
          <w:sz w:val="22"/>
          <w:szCs w:val="22"/>
        </w:rPr>
        <w:t>used by</w:t>
      </w:r>
      <w:r w:rsidR="00E03611" w:rsidRPr="00E03611">
        <w:rPr>
          <w:b w:val="0"/>
          <w:spacing w:val="57"/>
          <w:sz w:val="22"/>
          <w:szCs w:val="22"/>
        </w:rPr>
        <w:t xml:space="preserve"> </w:t>
      </w:r>
      <w:r w:rsidR="00E03611" w:rsidRPr="00E03611">
        <w:rPr>
          <w:b w:val="0"/>
          <w:spacing w:val="-1"/>
          <w:sz w:val="22"/>
          <w:szCs w:val="22"/>
        </w:rPr>
        <w:t>government</w:t>
      </w:r>
      <w:r w:rsidR="00E03611" w:rsidRPr="00E03611">
        <w:rPr>
          <w:b w:val="0"/>
          <w:spacing w:val="1"/>
          <w:sz w:val="22"/>
          <w:szCs w:val="22"/>
        </w:rPr>
        <w:t xml:space="preserve"> </w:t>
      </w:r>
      <w:r w:rsidR="00E03611" w:rsidRPr="00E03611">
        <w:rPr>
          <w:b w:val="0"/>
          <w:spacing w:val="-1"/>
          <w:sz w:val="22"/>
          <w:szCs w:val="22"/>
        </w:rPr>
        <w:t>emergency</w:t>
      </w:r>
      <w:r w:rsidR="00E03611" w:rsidRPr="00E03611">
        <w:rPr>
          <w:b w:val="0"/>
          <w:sz w:val="22"/>
          <w:szCs w:val="22"/>
        </w:rPr>
        <w:t xml:space="preserve"> </w:t>
      </w:r>
      <w:r w:rsidR="00E03611" w:rsidRPr="00E03611">
        <w:rPr>
          <w:b w:val="0"/>
          <w:spacing w:val="-1"/>
          <w:sz w:val="22"/>
          <w:szCs w:val="22"/>
        </w:rPr>
        <w:t>managers</w:t>
      </w:r>
      <w:r w:rsidR="00E03611" w:rsidRPr="00E03611">
        <w:rPr>
          <w:b w:val="0"/>
          <w:sz w:val="22"/>
          <w:szCs w:val="22"/>
        </w:rPr>
        <w:t xml:space="preserve"> </w:t>
      </w:r>
      <w:r w:rsidR="00E03611" w:rsidRPr="00E03611">
        <w:rPr>
          <w:b w:val="0"/>
          <w:spacing w:val="-1"/>
          <w:sz w:val="22"/>
          <w:szCs w:val="22"/>
        </w:rPr>
        <w:t>to</w:t>
      </w:r>
      <w:r w:rsidR="00E03611" w:rsidRPr="00E03611">
        <w:rPr>
          <w:b w:val="0"/>
          <w:sz w:val="22"/>
          <w:szCs w:val="22"/>
        </w:rPr>
        <w:t xml:space="preserve"> </w:t>
      </w:r>
      <w:r w:rsidR="00E03611" w:rsidRPr="00E03611">
        <w:rPr>
          <w:b w:val="0"/>
          <w:spacing w:val="-1"/>
          <w:sz w:val="22"/>
          <w:szCs w:val="22"/>
        </w:rPr>
        <w:t>track</w:t>
      </w:r>
      <w:r w:rsidR="00E03611" w:rsidRPr="00E03611">
        <w:rPr>
          <w:b w:val="0"/>
          <w:spacing w:val="-3"/>
          <w:sz w:val="22"/>
          <w:szCs w:val="22"/>
        </w:rPr>
        <w:t xml:space="preserve"> </w:t>
      </w:r>
      <w:r w:rsidR="00E03611" w:rsidRPr="00E03611">
        <w:rPr>
          <w:b w:val="0"/>
          <w:sz w:val="22"/>
          <w:szCs w:val="22"/>
        </w:rPr>
        <w:t xml:space="preserve">and </w:t>
      </w:r>
      <w:r w:rsidR="00E03611" w:rsidRPr="00E03611">
        <w:rPr>
          <w:b w:val="0"/>
          <w:spacing w:val="-2"/>
          <w:sz w:val="22"/>
          <w:szCs w:val="22"/>
        </w:rPr>
        <w:t>analyze</w:t>
      </w:r>
      <w:r w:rsidR="00E03611" w:rsidRPr="00E03611">
        <w:rPr>
          <w:b w:val="0"/>
          <w:spacing w:val="3"/>
          <w:sz w:val="22"/>
          <w:szCs w:val="22"/>
        </w:rPr>
        <w:t xml:space="preserve"> </w:t>
      </w:r>
      <w:r w:rsidR="00E03611" w:rsidRPr="00E03611">
        <w:rPr>
          <w:b w:val="0"/>
          <w:sz w:val="22"/>
          <w:szCs w:val="22"/>
        </w:rPr>
        <w:t>the</w:t>
      </w:r>
      <w:r w:rsidR="00E03611" w:rsidRPr="00E03611">
        <w:rPr>
          <w:b w:val="0"/>
          <w:spacing w:val="-2"/>
          <w:sz w:val="22"/>
          <w:szCs w:val="22"/>
        </w:rPr>
        <w:t xml:space="preserve"> </w:t>
      </w:r>
      <w:r w:rsidR="00E03611" w:rsidRPr="00E03611">
        <w:rPr>
          <w:b w:val="0"/>
          <w:spacing w:val="-1"/>
          <w:sz w:val="22"/>
          <w:szCs w:val="22"/>
        </w:rPr>
        <w:t>threat</w:t>
      </w:r>
      <w:r w:rsidR="00E03611" w:rsidRPr="00E03611">
        <w:rPr>
          <w:b w:val="0"/>
          <w:spacing w:val="-2"/>
          <w:sz w:val="22"/>
          <w:szCs w:val="22"/>
        </w:rPr>
        <w:t xml:space="preserve"> </w:t>
      </w:r>
      <w:r w:rsidR="00E03611" w:rsidRPr="00E03611">
        <w:rPr>
          <w:b w:val="0"/>
          <w:spacing w:val="-1"/>
          <w:sz w:val="22"/>
          <w:szCs w:val="22"/>
        </w:rPr>
        <w:t>for</w:t>
      </w:r>
      <w:r w:rsidR="00E03611" w:rsidRPr="00E03611">
        <w:rPr>
          <w:b w:val="0"/>
          <w:spacing w:val="1"/>
          <w:sz w:val="22"/>
          <w:szCs w:val="22"/>
        </w:rPr>
        <w:t xml:space="preserve"> </w:t>
      </w:r>
      <w:r w:rsidR="00E03611" w:rsidRPr="00E03611">
        <w:rPr>
          <w:b w:val="0"/>
          <w:spacing w:val="-1"/>
          <w:sz w:val="22"/>
          <w:szCs w:val="22"/>
        </w:rPr>
        <w:t>hurricanes.</w:t>
      </w:r>
      <w:r w:rsidR="00E03611" w:rsidRPr="00E03611">
        <w:rPr>
          <w:b w:val="0"/>
          <w:spacing w:val="-3"/>
          <w:sz w:val="22"/>
          <w:szCs w:val="22"/>
        </w:rPr>
        <w:t xml:space="preserve"> </w:t>
      </w:r>
      <w:r w:rsidR="00E03611" w:rsidRPr="00E03611">
        <w:rPr>
          <w:b w:val="0"/>
          <w:spacing w:val="-1"/>
          <w:sz w:val="22"/>
          <w:szCs w:val="22"/>
        </w:rPr>
        <w:t>The</w:t>
      </w:r>
      <w:r w:rsidR="00E03611" w:rsidRPr="00E03611">
        <w:rPr>
          <w:b w:val="0"/>
          <w:sz w:val="22"/>
          <w:szCs w:val="22"/>
        </w:rPr>
        <w:t xml:space="preserve"> </w:t>
      </w:r>
      <w:r w:rsidR="00E03611" w:rsidRPr="00E03611">
        <w:rPr>
          <w:b w:val="0"/>
          <w:spacing w:val="-2"/>
          <w:sz w:val="22"/>
          <w:szCs w:val="22"/>
        </w:rPr>
        <w:t>HURREVAC</w:t>
      </w:r>
      <w:r w:rsidR="00E03611" w:rsidRPr="00E03611">
        <w:rPr>
          <w:b w:val="0"/>
          <w:spacing w:val="59"/>
          <w:sz w:val="22"/>
          <w:szCs w:val="22"/>
        </w:rPr>
        <w:t xml:space="preserve"> </w:t>
      </w:r>
      <w:r w:rsidR="00E03611" w:rsidRPr="00E03611">
        <w:rPr>
          <w:b w:val="0"/>
          <w:spacing w:val="-1"/>
          <w:sz w:val="22"/>
          <w:szCs w:val="22"/>
        </w:rPr>
        <w:t>program</w:t>
      </w:r>
      <w:r w:rsidR="00E03611" w:rsidRPr="00E03611">
        <w:rPr>
          <w:b w:val="0"/>
          <w:spacing w:val="-4"/>
          <w:sz w:val="22"/>
          <w:szCs w:val="22"/>
        </w:rPr>
        <w:t xml:space="preserve"> </w:t>
      </w:r>
      <w:r w:rsidR="00E03611" w:rsidRPr="00E03611">
        <w:rPr>
          <w:b w:val="0"/>
          <w:sz w:val="22"/>
          <w:szCs w:val="22"/>
        </w:rPr>
        <w:t xml:space="preserve">is </w:t>
      </w:r>
      <w:r w:rsidR="00E03611" w:rsidRPr="00E03611">
        <w:rPr>
          <w:b w:val="0"/>
          <w:spacing w:val="-1"/>
          <w:sz w:val="22"/>
          <w:szCs w:val="22"/>
        </w:rPr>
        <w:t>supported</w:t>
      </w:r>
      <w:r w:rsidR="00E03611" w:rsidRPr="00E03611">
        <w:rPr>
          <w:b w:val="0"/>
          <w:sz w:val="22"/>
          <w:szCs w:val="22"/>
        </w:rPr>
        <w:t xml:space="preserve"> by</w:t>
      </w:r>
      <w:r w:rsidR="00E03611" w:rsidRPr="00E03611">
        <w:rPr>
          <w:b w:val="0"/>
          <w:spacing w:val="-3"/>
          <w:sz w:val="22"/>
          <w:szCs w:val="22"/>
        </w:rPr>
        <w:t xml:space="preserve"> </w:t>
      </w:r>
      <w:r w:rsidR="00E03611" w:rsidRPr="00E03611">
        <w:rPr>
          <w:b w:val="0"/>
          <w:spacing w:val="-1"/>
          <w:sz w:val="22"/>
          <w:szCs w:val="22"/>
        </w:rPr>
        <w:t>the</w:t>
      </w:r>
      <w:r w:rsidR="00E03611" w:rsidRPr="00E03611">
        <w:rPr>
          <w:b w:val="0"/>
          <w:sz w:val="22"/>
          <w:szCs w:val="22"/>
        </w:rPr>
        <w:t xml:space="preserve"> </w:t>
      </w:r>
      <w:r w:rsidR="00E03611" w:rsidRPr="00E03611">
        <w:rPr>
          <w:b w:val="0"/>
          <w:spacing w:val="-1"/>
          <w:sz w:val="22"/>
          <w:szCs w:val="22"/>
        </w:rPr>
        <w:t>Federal</w:t>
      </w:r>
      <w:r w:rsidR="00E03611" w:rsidRPr="00E03611">
        <w:rPr>
          <w:b w:val="0"/>
          <w:spacing w:val="1"/>
          <w:sz w:val="22"/>
          <w:szCs w:val="22"/>
        </w:rPr>
        <w:t xml:space="preserve"> </w:t>
      </w:r>
      <w:r w:rsidR="00E03611" w:rsidRPr="00E03611">
        <w:rPr>
          <w:b w:val="0"/>
          <w:spacing w:val="-1"/>
          <w:sz w:val="22"/>
          <w:szCs w:val="22"/>
        </w:rPr>
        <w:t>Emergency</w:t>
      </w:r>
      <w:r w:rsidR="00E03611" w:rsidRPr="00E03611">
        <w:rPr>
          <w:b w:val="0"/>
          <w:spacing w:val="-3"/>
          <w:sz w:val="22"/>
          <w:szCs w:val="22"/>
        </w:rPr>
        <w:t xml:space="preserve"> </w:t>
      </w:r>
      <w:r w:rsidR="00E03611" w:rsidRPr="00E03611">
        <w:rPr>
          <w:b w:val="0"/>
          <w:spacing w:val="-1"/>
          <w:sz w:val="22"/>
          <w:szCs w:val="22"/>
        </w:rPr>
        <w:t>Management</w:t>
      </w:r>
      <w:r w:rsidR="00E03611" w:rsidRPr="00E03611">
        <w:rPr>
          <w:b w:val="0"/>
          <w:spacing w:val="1"/>
          <w:sz w:val="22"/>
          <w:szCs w:val="22"/>
        </w:rPr>
        <w:t xml:space="preserve"> </w:t>
      </w:r>
      <w:r w:rsidR="00E03611" w:rsidRPr="00E03611">
        <w:rPr>
          <w:b w:val="0"/>
          <w:spacing w:val="-1"/>
          <w:sz w:val="22"/>
          <w:szCs w:val="22"/>
        </w:rPr>
        <w:t>Agency,</w:t>
      </w:r>
      <w:r w:rsidR="00E03611" w:rsidRPr="00E03611">
        <w:rPr>
          <w:b w:val="0"/>
          <w:sz w:val="22"/>
          <w:szCs w:val="22"/>
        </w:rPr>
        <w:t xml:space="preserve"> the </w:t>
      </w:r>
      <w:r w:rsidR="00E03611" w:rsidRPr="00E03611">
        <w:rPr>
          <w:b w:val="0"/>
          <w:spacing w:val="-1"/>
          <w:sz w:val="22"/>
          <w:szCs w:val="22"/>
        </w:rPr>
        <w:t>U.S.</w:t>
      </w:r>
      <w:r w:rsidR="00E03611" w:rsidRPr="00E03611">
        <w:rPr>
          <w:b w:val="0"/>
          <w:sz w:val="22"/>
          <w:szCs w:val="22"/>
        </w:rPr>
        <w:t xml:space="preserve"> </w:t>
      </w:r>
      <w:r w:rsidR="00E03611" w:rsidRPr="00E03611">
        <w:rPr>
          <w:b w:val="0"/>
          <w:spacing w:val="-1"/>
          <w:sz w:val="22"/>
          <w:szCs w:val="22"/>
        </w:rPr>
        <w:t>Army</w:t>
      </w:r>
      <w:r w:rsidR="00E03611" w:rsidRPr="00E03611">
        <w:rPr>
          <w:b w:val="0"/>
          <w:spacing w:val="-3"/>
          <w:sz w:val="22"/>
          <w:szCs w:val="22"/>
        </w:rPr>
        <w:t xml:space="preserve"> </w:t>
      </w:r>
      <w:r w:rsidR="00E03611" w:rsidRPr="00E03611">
        <w:rPr>
          <w:b w:val="0"/>
          <w:spacing w:val="-1"/>
          <w:sz w:val="22"/>
          <w:szCs w:val="22"/>
        </w:rPr>
        <w:t>Corps</w:t>
      </w:r>
      <w:r w:rsidR="00E03611" w:rsidRPr="00E03611">
        <w:rPr>
          <w:b w:val="0"/>
          <w:sz w:val="22"/>
          <w:szCs w:val="22"/>
        </w:rPr>
        <w:t xml:space="preserve"> of</w:t>
      </w:r>
      <w:r w:rsidR="00E03611" w:rsidRPr="00E03611">
        <w:rPr>
          <w:b w:val="0"/>
          <w:spacing w:val="43"/>
          <w:sz w:val="22"/>
          <w:szCs w:val="22"/>
        </w:rPr>
        <w:t xml:space="preserve"> </w:t>
      </w:r>
      <w:r w:rsidR="00E03611" w:rsidRPr="00E03611">
        <w:rPr>
          <w:b w:val="0"/>
          <w:spacing w:val="-1"/>
          <w:sz w:val="22"/>
          <w:szCs w:val="22"/>
        </w:rPr>
        <w:t>Engineers,</w:t>
      </w:r>
      <w:r w:rsidR="00E03611" w:rsidRPr="00E03611">
        <w:rPr>
          <w:b w:val="0"/>
          <w:sz w:val="22"/>
          <w:szCs w:val="22"/>
        </w:rPr>
        <w:t xml:space="preserve"> and </w:t>
      </w:r>
      <w:r w:rsidR="00E03611" w:rsidRPr="00E03611">
        <w:rPr>
          <w:b w:val="0"/>
          <w:spacing w:val="-1"/>
          <w:sz w:val="22"/>
          <w:szCs w:val="22"/>
        </w:rPr>
        <w:t>NOAA.</w:t>
      </w:r>
    </w:p>
    <w:p w:rsidR="007258C8" w:rsidRPr="0055485C" w:rsidRDefault="007258C8" w:rsidP="00EA4447">
      <w:pPr>
        <w:ind w:left="360"/>
      </w:pPr>
    </w:p>
    <w:p w:rsidR="00E12B6F" w:rsidRPr="0055485C" w:rsidRDefault="00E12B6F" w:rsidP="00EA4447">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rsidR="00E12B6F" w:rsidRDefault="00E12B6F" w:rsidP="00EA4447">
      <w:pPr>
        <w:autoSpaceDE w:val="0"/>
        <w:autoSpaceDN w:val="0"/>
        <w:adjustRightInd w:val="0"/>
        <w:ind w:left="450"/>
        <w:rPr>
          <w:bCs/>
          <w:highlight w:val="yellow"/>
        </w:rPr>
      </w:pPr>
    </w:p>
    <w:p w:rsidR="00B44B7B" w:rsidRPr="004B2986" w:rsidRDefault="007258C8" w:rsidP="00EA4447">
      <w:pPr>
        <w:autoSpaceDE w:val="0"/>
        <w:autoSpaceDN w:val="0"/>
        <w:adjustRightInd w:val="0"/>
        <w:ind w:left="450"/>
        <w:rPr>
          <w:bCs/>
        </w:rPr>
      </w:pPr>
      <w:r>
        <w:rPr>
          <w:bCs/>
        </w:rPr>
        <w:t>NWS</w:t>
      </w:r>
      <w:r w:rsidR="00B44B7B">
        <w:rPr>
          <w:bCs/>
        </w:rPr>
        <w:t xml:space="preserve"> is not using any statistical methods to select </w:t>
      </w:r>
      <w:r w:rsidR="00FF3B2E">
        <w:rPr>
          <w:bCs/>
        </w:rPr>
        <w:t xml:space="preserve">participants </w:t>
      </w:r>
      <w:r w:rsidR="00B44B7B">
        <w:rPr>
          <w:bCs/>
        </w:rPr>
        <w:t xml:space="preserve">from the population and will select all population members in the </w:t>
      </w:r>
      <w:r>
        <w:rPr>
          <w:bCs/>
        </w:rPr>
        <w:t xml:space="preserve">discussion group and </w:t>
      </w:r>
      <w:r w:rsidR="00B44B7B">
        <w:rPr>
          <w:bCs/>
        </w:rPr>
        <w:t>interviews.</w:t>
      </w:r>
    </w:p>
    <w:p w:rsidR="006E6911" w:rsidRDefault="004B2986" w:rsidP="00B21BAC">
      <w:pPr>
        <w:autoSpaceDE w:val="0"/>
        <w:autoSpaceDN w:val="0"/>
        <w:adjustRightInd w:val="0"/>
        <w:ind w:left="90" w:hanging="360"/>
        <w:rPr>
          <w:bCs/>
        </w:rPr>
      </w:pPr>
      <w:r w:rsidRPr="004B2986">
        <w:rPr>
          <w:bCs/>
        </w:rPr>
        <w:t xml:space="preserve"> </w:t>
      </w:r>
      <w:r w:rsidR="006E6911">
        <w:rPr>
          <w:bCs/>
        </w:rPr>
        <w:br w:type="page"/>
      </w:r>
    </w:p>
    <w:p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lastRenderedPageBreak/>
        <w:t>C</w:t>
      </w:r>
      <w:r w:rsidR="00DC456B">
        <w:rPr>
          <w:b/>
          <w:bCs/>
          <w:sz w:val="24"/>
          <w:szCs w:val="24"/>
        </w:rPr>
        <w:t>ollections of Information Employing Statistical Methods</w:t>
      </w:r>
    </w:p>
    <w:p w:rsidR="00BA7109" w:rsidRPr="00BA7109" w:rsidRDefault="00BA7109" w:rsidP="00BA7109">
      <w:pPr>
        <w:autoSpaceDE w:val="0"/>
        <w:autoSpaceDN w:val="0"/>
        <w:adjustRightInd w:val="0"/>
        <w:ind w:left="360"/>
        <w:rPr>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1145F" w:rsidRDefault="00C1145F" w:rsidP="00BA7109">
      <w:pPr>
        <w:rPr>
          <w:lang w:val="en-GB" w:eastAsia="en-GB"/>
        </w:rPr>
      </w:pPr>
    </w:p>
    <w:p w:rsidR="00E32504" w:rsidRDefault="00D306F8" w:rsidP="00E32504">
      <w:pPr>
        <w:ind w:left="360"/>
      </w:pPr>
      <w:r>
        <w:t>The potential respondent universe includes</w:t>
      </w:r>
      <w:r w:rsidR="00E32504">
        <w:t xml:space="preserve"> </w:t>
      </w:r>
      <w:r w:rsidR="00EA4447">
        <w:t>45 federal government employees (15 each in SC, TX, and FL), 120</w:t>
      </w:r>
      <w:r w:rsidR="00E32504">
        <w:t xml:space="preserve"> emergency managers (</w:t>
      </w:r>
      <w:r w:rsidR="00EA4447">
        <w:t>30 in NY, 30 in FL, 15</w:t>
      </w:r>
      <w:r w:rsidR="00E32504">
        <w:t xml:space="preserve"> in </w:t>
      </w:r>
      <w:r w:rsidR="00EA4447">
        <w:t>TX, 15 in OR, 15 in VA, and 15 in SC</w:t>
      </w:r>
      <w:r w:rsidR="00E32504">
        <w:t xml:space="preserve">) and </w:t>
      </w:r>
      <w:r w:rsidR="00EA4447">
        <w:t>90</w:t>
      </w:r>
      <w:r w:rsidR="00E32504" w:rsidRPr="00E32504">
        <w:t xml:space="preserve"> </w:t>
      </w:r>
      <w:r w:rsidR="00E32504">
        <w:t xml:space="preserve">broadcast meteorologists (15 in each </w:t>
      </w:r>
      <w:r w:rsidR="00EA4447">
        <w:t>of the 6 locations</w:t>
      </w:r>
      <w:r w:rsidR="00E32504">
        <w:t>).</w:t>
      </w:r>
    </w:p>
    <w:p w:rsidR="00E32504" w:rsidRDefault="00E32504" w:rsidP="00E32504">
      <w:pPr>
        <w:ind w:left="360"/>
      </w:pPr>
    </w:p>
    <w:tbl>
      <w:tblPr>
        <w:tblW w:w="4756"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2"/>
        <w:gridCol w:w="1439"/>
        <w:gridCol w:w="1980"/>
        <w:gridCol w:w="1253"/>
        <w:gridCol w:w="925"/>
      </w:tblGrid>
      <w:tr w:rsidR="00E03611" w:rsidRPr="00F54BC5" w:rsidTr="00310024">
        <w:trPr>
          <w:trHeight w:val="274"/>
        </w:trPr>
        <w:tc>
          <w:tcPr>
            <w:tcW w:w="1927" w:type="pct"/>
          </w:tcPr>
          <w:p w:rsidR="00E03611" w:rsidRPr="00F54BC5" w:rsidRDefault="00E03611" w:rsidP="00E32504">
            <w:pPr>
              <w:rPr>
                <w:b/>
              </w:rPr>
            </w:pPr>
            <w:r w:rsidRPr="00F54BC5">
              <w:rPr>
                <w:b/>
              </w:rPr>
              <w:t xml:space="preserve">Category of Respondent </w:t>
            </w:r>
          </w:p>
        </w:tc>
        <w:tc>
          <w:tcPr>
            <w:tcW w:w="790" w:type="pct"/>
            <w:vAlign w:val="center"/>
          </w:tcPr>
          <w:p w:rsidR="00E03611" w:rsidRPr="00F54BC5" w:rsidRDefault="00E03611" w:rsidP="00300144">
            <w:pPr>
              <w:jc w:val="center"/>
              <w:rPr>
                <w:b/>
              </w:rPr>
            </w:pPr>
            <w:r w:rsidRPr="00F54BC5">
              <w:rPr>
                <w:b/>
              </w:rPr>
              <w:t>No. of Respondents</w:t>
            </w:r>
          </w:p>
        </w:tc>
        <w:tc>
          <w:tcPr>
            <w:tcW w:w="1087" w:type="pct"/>
          </w:tcPr>
          <w:p w:rsidR="00E03611" w:rsidRPr="00F54BC5" w:rsidRDefault="00E03611" w:rsidP="00300144">
            <w:pPr>
              <w:rPr>
                <w:b/>
              </w:rPr>
            </w:pPr>
            <w:r>
              <w:rPr>
                <w:b/>
              </w:rPr>
              <w:t>Location</w:t>
            </w:r>
          </w:p>
        </w:tc>
        <w:tc>
          <w:tcPr>
            <w:tcW w:w="688" w:type="pct"/>
          </w:tcPr>
          <w:p w:rsidR="00E03611" w:rsidRPr="00F54BC5" w:rsidRDefault="00E03611" w:rsidP="00300144">
            <w:pPr>
              <w:rPr>
                <w:b/>
              </w:rPr>
            </w:pPr>
            <w:r w:rsidRPr="00F54BC5">
              <w:rPr>
                <w:b/>
              </w:rPr>
              <w:t>Participation Time</w:t>
            </w:r>
            <w:r>
              <w:rPr>
                <w:b/>
              </w:rPr>
              <w:t xml:space="preserve"> (hours)</w:t>
            </w:r>
          </w:p>
        </w:tc>
        <w:tc>
          <w:tcPr>
            <w:tcW w:w="508" w:type="pct"/>
            <w:vAlign w:val="center"/>
          </w:tcPr>
          <w:p w:rsidR="00E03611" w:rsidRPr="00F54BC5" w:rsidRDefault="00E03611" w:rsidP="00300144">
            <w:pPr>
              <w:jc w:val="center"/>
              <w:rPr>
                <w:b/>
              </w:rPr>
            </w:pPr>
            <w:r w:rsidRPr="00F54BC5">
              <w:rPr>
                <w:b/>
              </w:rPr>
              <w:t>Burden</w:t>
            </w:r>
            <w:r>
              <w:rPr>
                <w:b/>
              </w:rPr>
              <w:t xml:space="preserve"> (hours)</w:t>
            </w:r>
          </w:p>
        </w:tc>
      </w:tr>
      <w:tr w:rsidR="00E03611" w:rsidRPr="00F54BC5" w:rsidTr="00310024">
        <w:trPr>
          <w:trHeight w:val="274"/>
        </w:trPr>
        <w:tc>
          <w:tcPr>
            <w:tcW w:w="1927" w:type="pct"/>
          </w:tcPr>
          <w:p w:rsidR="00E03611" w:rsidRPr="00F54BC5" w:rsidRDefault="00E03611" w:rsidP="00300144">
            <w:r w:rsidRPr="00F54BC5">
              <w:t>Federal Government</w:t>
            </w:r>
          </w:p>
        </w:tc>
        <w:tc>
          <w:tcPr>
            <w:tcW w:w="790" w:type="pct"/>
            <w:vAlign w:val="center"/>
          </w:tcPr>
          <w:p w:rsidR="00E03611" w:rsidRPr="00F54BC5" w:rsidRDefault="00E03611" w:rsidP="00300144">
            <w:pPr>
              <w:jc w:val="center"/>
            </w:pPr>
            <w:r>
              <w:t>45</w:t>
            </w:r>
          </w:p>
        </w:tc>
        <w:tc>
          <w:tcPr>
            <w:tcW w:w="1087" w:type="pct"/>
          </w:tcPr>
          <w:p w:rsidR="00E03611" w:rsidRPr="00F54BC5" w:rsidRDefault="00E03611" w:rsidP="00300144">
            <w:pPr>
              <w:jc w:val="center"/>
            </w:pPr>
            <w:r>
              <w:t>SC, TX, FL</w:t>
            </w:r>
          </w:p>
        </w:tc>
        <w:tc>
          <w:tcPr>
            <w:tcW w:w="688" w:type="pct"/>
            <w:vAlign w:val="center"/>
          </w:tcPr>
          <w:p w:rsidR="00E03611" w:rsidRPr="00F54BC5" w:rsidRDefault="00E03611" w:rsidP="00300144">
            <w:pPr>
              <w:jc w:val="center"/>
            </w:pPr>
            <w:r>
              <w:t>2</w:t>
            </w:r>
          </w:p>
        </w:tc>
        <w:tc>
          <w:tcPr>
            <w:tcW w:w="508" w:type="pct"/>
            <w:vAlign w:val="center"/>
          </w:tcPr>
          <w:p w:rsidR="00E03611" w:rsidRPr="00F54BC5" w:rsidRDefault="00EA4447" w:rsidP="00300144">
            <w:pPr>
              <w:jc w:val="center"/>
            </w:pPr>
            <w:r>
              <w:t>90</w:t>
            </w:r>
          </w:p>
        </w:tc>
      </w:tr>
      <w:tr w:rsidR="00E03611" w:rsidRPr="00F54BC5" w:rsidTr="00310024">
        <w:trPr>
          <w:trHeight w:val="274"/>
        </w:trPr>
        <w:tc>
          <w:tcPr>
            <w:tcW w:w="1927" w:type="pct"/>
          </w:tcPr>
          <w:p w:rsidR="00E03611" w:rsidRPr="00F54BC5" w:rsidRDefault="00E03611" w:rsidP="00300144">
            <w:r w:rsidRPr="00F54BC5">
              <w:t>State</w:t>
            </w:r>
            <w:r w:rsidR="00E64706">
              <w:t>,</w:t>
            </w:r>
            <w:r w:rsidRPr="00F54BC5">
              <w:t xml:space="preserve"> Local</w:t>
            </w:r>
            <w:r w:rsidR="00E64706">
              <w:t>,</w:t>
            </w:r>
            <w:r w:rsidRPr="00F54BC5">
              <w:t xml:space="preserve"> Tribal Government</w:t>
            </w:r>
          </w:p>
        </w:tc>
        <w:tc>
          <w:tcPr>
            <w:tcW w:w="790" w:type="pct"/>
            <w:vAlign w:val="center"/>
          </w:tcPr>
          <w:p w:rsidR="00E03611" w:rsidRPr="00F54BC5" w:rsidRDefault="00EA4447" w:rsidP="00E32504">
            <w:pPr>
              <w:jc w:val="center"/>
            </w:pPr>
            <w:r>
              <w:t>120</w:t>
            </w:r>
          </w:p>
        </w:tc>
        <w:tc>
          <w:tcPr>
            <w:tcW w:w="1087" w:type="pct"/>
          </w:tcPr>
          <w:p w:rsidR="00E03611" w:rsidRDefault="00E03611" w:rsidP="00310024">
            <w:pPr>
              <w:jc w:val="center"/>
            </w:pPr>
            <w:r>
              <w:t>NY, OR, SC</w:t>
            </w:r>
            <w:r w:rsidR="00310024">
              <w:t>,</w:t>
            </w:r>
            <w:r>
              <w:t>FL</w:t>
            </w:r>
            <w:r w:rsidR="00310024">
              <w:t xml:space="preserve">, </w:t>
            </w:r>
            <w:r>
              <w:t>VA, TX</w:t>
            </w:r>
          </w:p>
        </w:tc>
        <w:tc>
          <w:tcPr>
            <w:tcW w:w="688" w:type="pct"/>
            <w:vAlign w:val="center"/>
          </w:tcPr>
          <w:p w:rsidR="00E03611" w:rsidRPr="00F54BC5" w:rsidRDefault="00E03611" w:rsidP="00300144">
            <w:pPr>
              <w:jc w:val="center"/>
            </w:pPr>
            <w:r>
              <w:t>2</w:t>
            </w:r>
          </w:p>
        </w:tc>
        <w:tc>
          <w:tcPr>
            <w:tcW w:w="508" w:type="pct"/>
            <w:vAlign w:val="center"/>
          </w:tcPr>
          <w:p w:rsidR="00E03611" w:rsidRPr="00F54BC5" w:rsidRDefault="00EA4447" w:rsidP="00300144">
            <w:pPr>
              <w:jc w:val="center"/>
            </w:pPr>
            <w:r>
              <w:t>240</w:t>
            </w:r>
          </w:p>
        </w:tc>
      </w:tr>
      <w:tr w:rsidR="00E03611" w:rsidRPr="00F54BC5" w:rsidTr="00310024">
        <w:trPr>
          <w:trHeight w:val="274"/>
        </w:trPr>
        <w:tc>
          <w:tcPr>
            <w:tcW w:w="1927" w:type="pct"/>
          </w:tcPr>
          <w:p w:rsidR="00E03611" w:rsidRPr="00F54BC5" w:rsidRDefault="00E03611" w:rsidP="00300144">
            <w:r w:rsidRPr="00F54BC5">
              <w:t>Private Sector</w:t>
            </w:r>
          </w:p>
        </w:tc>
        <w:tc>
          <w:tcPr>
            <w:tcW w:w="790" w:type="pct"/>
            <w:vAlign w:val="center"/>
          </w:tcPr>
          <w:p w:rsidR="00E03611" w:rsidRPr="00F54BC5" w:rsidRDefault="00EA4447" w:rsidP="00300144">
            <w:pPr>
              <w:jc w:val="center"/>
            </w:pPr>
            <w:r>
              <w:t>90</w:t>
            </w:r>
          </w:p>
        </w:tc>
        <w:tc>
          <w:tcPr>
            <w:tcW w:w="1087" w:type="pct"/>
          </w:tcPr>
          <w:p w:rsidR="00E03611" w:rsidRDefault="00E03611" w:rsidP="00310024">
            <w:pPr>
              <w:jc w:val="center"/>
            </w:pPr>
            <w:r>
              <w:t>NY, OR, SC</w:t>
            </w:r>
            <w:r w:rsidR="00310024">
              <w:t xml:space="preserve">, </w:t>
            </w:r>
            <w:r>
              <w:t>FL, VA, TX</w:t>
            </w:r>
          </w:p>
        </w:tc>
        <w:tc>
          <w:tcPr>
            <w:tcW w:w="688" w:type="pct"/>
            <w:vAlign w:val="center"/>
          </w:tcPr>
          <w:p w:rsidR="00E03611" w:rsidRPr="00F54BC5" w:rsidRDefault="00E03611" w:rsidP="00300144">
            <w:pPr>
              <w:jc w:val="center"/>
            </w:pPr>
            <w:r>
              <w:t>2</w:t>
            </w:r>
          </w:p>
        </w:tc>
        <w:tc>
          <w:tcPr>
            <w:tcW w:w="508" w:type="pct"/>
            <w:vAlign w:val="center"/>
          </w:tcPr>
          <w:p w:rsidR="00E03611" w:rsidRPr="00F54BC5" w:rsidRDefault="00EA4447" w:rsidP="00300144">
            <w:pPr>
              <w:jc w:val="center"/>
            </w:pPr>
            <w:r>
              <w:t>180</w:t>
            </w:r>
          </w:p>
        </w:tc>
      </w:tr>
    </w:tbl>
    <w:p w:rsidR="00C1145F" w:rsidRPr="00BA7109" w:rsidRDefault="00C1145F" w:rsidP="00C1145F">
      <w:pPr>
        <w:ind w:left="360"/>
        <w:rPr>
          <w:b/>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60AB0" w:rsidRDefault="00860AB0" w:rsidP="00606AE9">
      <w:pPr>
        <w:ind w:left="360"/>
      </w:pPr>
    </w:p>
    <w:p w:rsidR="00860AB0" w:rsidRDefault="00860AB0" w:rsidP="00860AB0">
      <w:pPr>
        <w:ind w:left="360"/>
      </w:pPr>
      <w:r w:rsidRPr="00AD4E83">
        <w:t>Each WFO will invite attendees from communities most impacted by TC/ET storms. WFOs have strong working relationships with emergency managers and broadcast meteorologists in their regions, and will reach out to these individuals via phone calls and emails to personally invite them to the focus groups. We anticipate each focus group will consist of 12 to 15 individuals and be two hours long.</w:t>
      </w:r>
    </w:p>
    <w:p w:rsidR="00860AB0" w:rsidRDefault="00860AB0" w:rsidP="00606AE9">
      <w:pPr>
        <w:ind w:left="360"/>
        <w:rPr>
          <w:i/>
          <w:u w:val="single"/>
          <w:lang w:val="en-GB" w:eastAsia="en-GB"/>
        </w:rPr>
      </w:pPr>
    </w:p>
    <w:p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rsidR="00835E16" w:rsidRDefault="00EA4447" w:rsidP="00606AE9">
      <w:pPr>
        <w:ind w:left="720"/>
        <w:rPr>
          <w:lang w:val="en-GB" w:eastAsia="en-GB"/>
        </w:rPr>
      </w:pPr>
      <w:r>
        <w:rPr>
          <w:lang w:val="en-GB" w:eastAsia="en-GB"/>
        </w:rPr>
        <w:t xml:space="preserve">The </w:t>
      </w:r>
      <w:r w:rsidR="00E12B6F">
        <w:rPr>
          <w:lang w:val="en-GB" w:eastAsia="en-GB"/>
        </w:rPr>
        <w:t>NWS is not using statistical methods for collecting these data.</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Estimation Procedure and Accuracy</w:t>
      </w:r>
    </w:p>
    <w:p w:rsidR="002327CE" w:rsidRDefault="00EA4447" w:rsidP="00606AE9">
      <w:pPr>
        <w:ind w:left="720"/>
        <w:rPr>
          <w:lang w:val="en-GB" w:eastAsia="en-GB"/>
        </w:rPr>
      </w:pPr>
      <w:r>
        <w:rPr>
          <w:lang w:val="en-GB" w:eastAsia="en-GB"/>
        </w:rPr>
        <w:t xml:space="preserve">The </w:t>
      </w:r>
      <w:r w:rsidR="00606AE9">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rsidR="002327CE" w:rsidRDefault="002327CE" w:rsidP="00606AE9">
      <w:pPr>
        <w:ind w:left="720"/>
        <w:rPr>
          <w:lang w:val="en-GB" w:eastAsia="en-GB"/>
        </w:rPr>
      </w:pPr>
      <w:r>
        <w:rPr>
          <w:lang w:val="en-GB" w:eastAsia="en-GB"/>
        </w:rPr>
        <w:t>None are required.</w:t>
      </w:r>
    </w:p>
    <w:p w:rsidR="002327CE" w:rsidRDefault="002327CE" w:rsidP="00606AE9">
      <w:pPr>
        <w:ind w:left="360"/>
        <w:rPr>
          <w:lang w:val="en-GB" w:eastAsia="en-GB"/>
        </w:rPr>
      </w:pPr>
    </w:p>
    <w:p w:rsidR="002327CE" w:rsidRDefault="002327CE" w:rsidP="00606AE9">
      <w:pPr>
        <w:ind w:left="360"/>
        <w:rPr>
          <w:i/>
          <w:u w:val="single"/>
          <w:lang w:val="en-GB" w:eastAsia="en-GB"/>
        </w:rPr>
      </w:pPr>
      <w:r w:rsidRPr="002327CE">
        <w:rPr>
          <w:i/>
          <w:u w:val="single"/>
          <w:lang w:val="en-GB" w:eastAsia="en-GB"/>
        </w:rPr>
        <w:t>Periodic Data Collection Cycles</w:t>
      </w:r>
    </w:p>
    <w:p w:rsidR="002327CE" w:rsidRDefault="002327CE" w:rsidP="00606AE9">
      <w:pPr>
        <w:ind w:left="720"/>
        <w:rPr>
          <w:lang w:val="en-GB" w:eastAsia="en-GB"/>
        </w:rPr>
      </w:pPr>
      <w:r>
        <w:rPr>
          <w:lang w:val="en-GB" w:eastAsia="en-GB"/>
        </w:rPr>
        <w:t>This request is for a one-time data collection.</w:t>
      </w:r>
    </w:p>
    <w:p w:rsidR="006E6911" w:rsidRDefault="006E6911">
      <w:pPr>
        <w:rPr>
          <w:i/>
          <w:u w:val="single"/>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Describe the methods used to maximize response rates and to deal with nonresponse. The accuracy and reliability of the information collected must be shown to be adequate for the </w:t>
      </w:r>
      <w:r w:rsidRPr="00BA7109">
        <w:rPr>
          <w:b/>
          <w:bCs/>
          <w:color w:val="000000"/>
          <w:lang w:val="en-GB" w:eastAsia="en-GB"/>
        </w:rPr>
        <w:lastRenderedPageBreak/>
        <w:t>intended uses. For collections based on sampling, a special justification must be provided if they will not yield "reliable" data that can be generalized to the universe studied.</w:t>
      </w:r>
    </w:p>
    <w:p w:rsidR="00D306F8" w:rsidRPr="00606AE9" w:rsidRDefault="00D306F8" w:rsidP="00606AE9">
      <w:pPr>
        <w:ind w:left="360"/>
        <w:rPr>
          <w:b/>
          <w:u w:val="single"/>
          <w:lang w:val="en-GB" w:eastAsia="en-GB"/>
        </w:rPr>
      </w:pPr>
    </w:p>
    <w:p w:rsidR="00BA7109" w:rsidRDefault="00860AB0" w:rsidP="00D306F8">
      <w:pPr>
        <w:ind w:left="360"/>
        <w:rPr>
          <w:lang w:val="en-GB" w:eastAsia="en-GB"/>
        </w:rPr>
      </w:pPr>
      <w:r w:rsidRPr="00860AB0">
        <w:t xml:space="preserve">The WFOs will utilize their existing relationships with the emergency managers and broadcast meteorologists to personally invite each individual to attend the focus groups. </w:t>
      </w:r>
      <w:r w:rsidR="00E32504" w:rsidRPr="00860AB0">
        <w:t>To</w:t>
      </w:r>
      <w:r w:rsidR="00E32504">
        <w:t xml:space="preserve"> </w:t>
      </w:r>
      <w:r>
        <w:t xml:space="preserve">further </w:t>
      </w:r>
      <w:r w:rsidR="00EA4447">
        <w:t xml:space="preserve">maximize attendance of emergency mangers, we will schedule the focus groups at convenient locations and on dates that do not correspond to major events in the cities (such as sporting events or festivals that might require emergency management oversight). To </w:t>
      </w:r>
      <w:r w:rsidR="00E32504">
        <w:t>maximize broadcaster attendance, we will schedule the focus group between the morning and evening broadcasts</w:t>
      </w:r>
      <w:r w:rsidR="00EA4447">
        <w:t xml:space="preserve"> and at venues close to news stations.</w:t>
      </w:r>
    </w:p>
    <w:p w:rsidR="00D306F8" w:rsidRDefault="00D306F8" w:rsidP="00BA7109">
      <w:pPr>
        <w:rPr>
          <w:lang w:val="en-GB" w:eastAsia="en-GB"/>
        </w:rPr>
      </w:pPr>
    </w:p>
    <w:p w:rsid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rsidR="00EA4447" w:rsidRDefault="00EA4447" w:rsidP="00C1145F">
      <w:pPr>
        <w:ind w:left="360"/>
        <w:rPr>
          <w:lang w:eastAsia="en-GB"/>
        </w:rPr>
      </w:pPr>
    </w:p>
    <w:p w:rsidR="00E32504" w:rsidRPr="0058750A" w:rsidRDefault="00C1145F" w:rsidP="00C1145F">
      <w:pPr>
        <w:ind w:left="360"/>
        <w:rPr>
          <w:lang w:eastAsia="en-GB"/>
        </w:rPr>
      </w:pPr>
      <w:r w:rsidRPr="0058750A">
        <w:rPr>
          <w:lang w:eastAsia="en-GB"/>
        </w:rPr>
        <w:t xml:space="preserve">The </w:t>
      </w:r>
      <w:r w:rsidR="00E32504" w:rsidRPr="0058750A">
        <w:rPr>
          <w:lang w:eastAsia="en-GB"/>
        </w:rPr>
        <w:t xml:space="preserve">focus group </w:t>
      </w:r>
      <w:r w:rsidR="0058750A" w:rsidRPr="0058750A">
        <w:rPr>
          <w:lang w:eastAsia="en-GB"/>
        </w:rPr>
        <w:t xml:space="preserve">scripts </w:t>
      </w:r>
      <w:r w:rsidR="00EA4447">
        <w:rPr>
          <w:lang w:eastAsia="en-GB"/>
        </w:rPr>
        <w:t xml:space="preserve">for the storm surge research </w:t>
      </w:r>
      <w:r w:rsidR="0058750A" w:rsidRPr="0058750A">
        <w:rPr>
          <w:lang w:eastAsia="en-GB"/>
        </w:rPr>
        <w:t>were</w:t>
      </w:r>
      <w:r w:rsidR="00E32504" w:rsidRPr="0058750A">
        <w:rPr>
          <w:lang w:eastAsia="en-GB"/>
        </w:rPr>
        <w:t xml:space="preserve"> informed through a series of 12 interviews that ERG conducted with WFOs in regions</w:t>
      </w:r>
      <w:r w:rsidR="0058750A" w:rsidRPr="0058750A">
        <w:rPr>
          <w:lang w:eastAsia="en-GB"/>
        </w:rPr>
        <w:t xml:space="preserve"> most impacted by ET storms (ICR</w:t>
      </w:r>
      <w:r w:rsidR="0058750A" w:rsidRPr="0058750A">
        <w:rPr>
          <w:rFonts w:eastAsia="Calibri"/>
        </w:rPr>
        <w:t xml:space="preserve"> Reference Number 201111-0648-005; approved 10/23/1</w:t>
      </w:r>
      <w:r w:rsidR="00CB0FB2">
        <w:rPr>
          <w:rFonts w:eastAsia="Calibri"/>
        </w:rPr>
        <w:t>4</w:t>
      </w:r>
      <w:r w:rsidR="0058750A" w:rsidRPr="0058750A">
        <w:rPr>
          <w:rFonts w:eastAsia="Calibri"/>
        </w:rPr>
        <w:t>).</w:t>
      </w:r>
      <w:r w:rsidR="00CB0FB2">
        <w:rPr>
          <w:rFonts w:eastAsia="Calibri"/>
        </w:rPr>
        <w:t xml:space="preserve"> </w:t>
      </w:r>
      <w:r w:rsidR="00EA4447">
        <w:rPr>
          <w:rFonts w:eastAsia="Calibri"/>
        </w:rPr>
        <w:t xml:space="preserve">For the arrival of tropical storm surge research, the scripts were informed by a series of interviews we conducted with six emergency managers and six broadcast meteorologists. </w:t>
      </w:r>
      <w:r w:rsidR="00CB0FB2">
        <w:rPr>
          <w:rFonts w:eastAsia="Calibri"/>
        </w:rPr>
        <w:t>These interviews have served to clarify the wording of the questions to be asked in the focus groups, as well as highlight areas that warrant additional probing in a focus group setting.</w:t>
      </w:r>
    </w:p>
    <w:p w:rsidR="006E6911" w:rsidRDefault="006E6911" w:rsidP="00C1145F">
      <w:pPr>
        <w:ind w:left="360"/>
        <w:rPr>
          <w:lang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rsidR="00BA7109" w:rsidRPr="00BA7109" w:rsidRDefault="00BA7109" w:rsidP="00BA7109">
      <w:pPr>
        <w:rPr>
          <w:b/>
          <w:color w:val="000000"/>
          <w:lang w:val="en-GB" w:eastAsia="en-GB"/>
        </w:rPr>
      </w:pPr>
    </w:p>
    <w:p w:rsidR="00CF2605" w:rsidRDefault="00EA4447" w:rsidP="00F0690A">
      <w:pPr>
        <w:ind w:left="360"/>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 (ERG) of Lexington, MA to design the </w:t>
      </w:r>
      <w:r w:rsidR="00606AE9">
        <w:rPr>
          <w:color w:val="000000"/>
          <w:lang w:val="en-GB" w:eastAsia="en-GB"/>
        </w:rPr>
        <w:t xml:space="preserve">interview </w:t>
      </w:r>
      <w:r w:rsidR="00606AE9" w:rsidRPr="00AD4E83">
        <w:rPr>
          <w:color w:val="000000"/>
          <w:lang w:val="en-GB" w:eastAsia="en-GB"/>
        </w:rPr>
        <w:t>guide and discussion questions</w:t>
      </w:r>
      <w:r w:rsidR="00860AB0" w:rsidRPr="00AD4E83">
        <w:rPr>
          <w:color w:val="000000"/>
          <w:lang w:val="en-GB" w:eastAsia="en-GB"/>
        </w:rPr>
        <w:t>,</w:t>
      </w:r>
      <w:r w:rsidR="00C1145F" w:rsidRPr="00AD4E83">
        <w:rPr>
          <w:color w:val="000000"/>
          <w:lang w:val="en-GB" w:eastAsia="en-GB"/>
        </w:rPr>
        <w:t xml:space="preserve"> implement the data collections</w:t>
      </w:r>
      <w:r w:rsidR="00860AB0" w:rsidRPr="00AD4E83">
        <w:rPr>
          <w:color w:val="000000"/>
          <w:lang w:val="en-GB" w:eastAsia="en-GB"/>
        </w:rPr>
        <w:t>, and analyze the results</w:t>
      </w:r>
      <w:r w:rsidR="00C1145F" w:rsidRPr="00AD4E83">
        <w:rPr>
          <w:color w:val="000000"/>
          <w:lang w:val="en-GB" w:eastAsia="en-GB"/>
        </w:rPr>
        <w:t>.</w:t>
      </w:r>
      <w:r w:rsidR="00860AB0" w:rsidRPr="00AD4E83">
        <w:rPr>
          <w:color w:val="000000"/>
          <w:lang w:val="en-GB" w:eastAsia="en-GB"/>
        </w:rPr>
        <w:t xml:space="preserve"> ERG will present a summary of the results to the NWS (including all participating WFOs) for their review and feedback.</w:t>
      </w:r>
      <w:bookmarkStart w:id="1" w:name="_GoBack"/>
      <w:bookmarkEnd w:id="1"/>
      <w:r w:rsidR="00C1145F" w:rsidRPr="00C1145F">
        <w:rPr>
          <w:color w:val="000000"/>
          <w:lang w:val="en-GB" w:eastAsia="en-GB"/>
        </w:rPr>
        <w:t xml:space="preserve"> ERG’s project manager for this work is L</w:t>
      </w:r>
      <w:r w:rsidR="00606AE9">
        <w:rPr>
          <w:color w:val="000000"/>
          <w:lang w:val="en-GB" w:eastAsia="en-GB"/>
        </w:rPr>
        <w:t>inda Girardi</w:t>
      </w:r>
      <w:r w:rsidR="00C1145F" w:rsidRPr="00C1145F">
        <w:rPr>
          <w:color w:val="000000"/>
          <w:lang w:val="en-GB" w:eastAsia="en-GB"/>
        </w:rPr>
        <w:t xml:space="preserve"> (</w:t>
      </w:r>
      <w:r w:rsidR="00606AE9">
        <w:rPr>
          <w:color w:val="000000"/>
          <w:lang w:val="en-GB" w:eastAsia="en-GB"/>
        </w:rPr>
        <w:t>703-841-0501</w:t>
      </w:r>
      <w:r w:rsidR="00C1145F" w:rsidRPr="00C1145F">
        <w:rPr>
          <w:color w:val="000000"/>
          <w:lang w:val="en-GB" w:eastAsia="en-GB"/>
        </w:rPr>
        <w:t xml:space="preserve">; </w:t>
      </w:r>
      <w:hyperlink r:id="rId9" w:history="1">
        <w:r w:rsidR="00606AE9" w:rsidRPr="00431A90">
          <w:rPr>
            <w:rStyle w:val="Hyperlink"/>
            <w:lang w:val="en-GB" w:eastAsia="en-GB"/>
          </w:rPr>
          <w:t>linda.girardi@erg.com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A7623" w15:done="0"/>
  <w15:commentEx w15:paraId="6692EC70" w15:done="0"/>
  <w15:commentEx w15:paraId="2D8568B8" w15:paraIdParent="6692EC70" w15:done="0"/>
  <w15:commentEx w15:paraId="720F2120" w15:done="0"/>
  <w15:commentEx w15:paraId="4976B100" w15:paraIdParent="720F2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9AF" w:rsidRDefault="00BC49AF" w:rsidP="004B2986">
      <w:r>
        <w:separator/>
      </w:r>
    </w:p>
  </w:endnote>
  <w:endnote w:type="continuationSeparator" w:id="0">
    <w:p w:rsidR="00BC49AF" w:rsidRDefault="00BC49AF"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1" w:rsidRPr="00577B77" w:rsidRDefault="00C81A31">
    <w:pPr>
      <w:pStyle w:val="Footer"/>
      <w:jc w:val="right"/>
      <w:rPr>
        <w:rFonts w:ascii="Times New Roman" w:hAnsi="Times New Roman"/>
        <w:b w:val="0"/>
      </w:rPr>
    </w:pPr>
    <w:r>
      <w:rPr>
        <w:sz w:val="22"/>
        <w:szCs w:val="22"/>
      </w:rPr>
      <w:tab/>
    </w:r>
    <w:r w:rsidR="00CA1318"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CA1318" w:rsidRPr="00577B77">
      <w:rPr>
        <w:rFonts w:ascii="Times New Roman" w:hAnsi="Times New Roman"/>
        <w:b w:val="0"/>
      </w:rPr>
      <w:fldChar w:fldCharType="separate"/>
    </w:r>
    <w:r w:rsidR="00AD4E83">
      <w:rPr>
        <w:rFonts w:ascii="Times New Roman" w:hAnsi="Times New Roman"/>
        <w:b w:val="0"/>
        <w:noProof/>
      </w:rPr>
      <w:t>5</w:t>
    </w:r>
    <w:r w:rsidR="00CA1318" w:rsidRPr="00577B77">
      <w:rPr>
        <w:rFonts w:ascii="Times New Roman" w:hAnsi="Times New Roman"/>
        <w:b w:val="0"/>
      </w:rPr>
      <w:fldChar w:fldCharType="end"/>
    </w:r>
  </w:p>
  <w:p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9AF" w:rsidRDefault="00BC49AF" w:rsidP="004B2986">
      <w:r>
        <w:separator/>
      </w:r>
    </w:p>
  </w:footnote>
  <w:footnote w:type="continuationSeparator" w:id="0">
    <w:p w:rsidR="00BC49AF" w:rsidRDefault="00BC49AF" w:rsidP="004B2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61B5"/>
    <w:multiLevelType w:val="hybridMultilevel"/>
    <w:tmpl w:val="5C7C6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9">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3D86892"/>
    <w:multiLevelType w:val="hybridMultilevel"/>
    <w:tmpl w:val="CEBC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7"/>
  </w:num>
  <w:num w:numId="4">
    <w:abstractNumId w:val="4"/>
  </w:num>
  <w:num w:numId="5">
    <w:abstractNumId w:val="9"/>
  </w:num>
  <w:num w:numId="6">
    <w:abstractNumId w:val="19"/>
  </w:num>
  <w:num w:numId="7">
    <w:abstractNumId w:val="12"/>
  </w:num>
  <w:num w:numId="8">
    <w:abstractNumId w:val="6"/>
  </w:num>
  <w:num w:numId="9">
    <w:abstractNumId w:val="21"/>
  </w:num>
  <w:num w:numId="10">
    <w:abstractNumId w:val="8"/>
  </w:num>
  <w:num w:numId="11">
    <w:abstractNumId w:val="7"/>
  </w:num>
  <w:num w:numId="12">
    <w:abstractNumId w:val="14"/>
  </w:num>
  <w:num w:numId="13">
    <w:abstractNumId w:val="11"/>
  </w:num>
  <w:num w:numId="14">
    <w:abstractNumId w:val="18"/>
  </w:num>
  <w:num w:numId="15">
    <w:abstractNumId w:val="10"/>
  </w:num>
  <w:num w:numId="16">
    <w:abstractNumId w:val="5"/>
  </w:num>
  <w:num w:numId="17">
    <w:abstractNumId w:val="3"/>
  </w:num>
  <w:num w:numId="18">
    <w:abstractNumId w:val="22"/>
  </w:num>
  <w:num w:numId="19">
    <w:abstractNumId w:val="13"/>
  </w:num>
  <w:num w:numId="20">
    <w:abstractNumId w:val="2"/>
  </w:num>
  <w:num w:numId="21">
    <w:abstractNumId w:val="16"/>
  </w:num>
  <w:num w:numId="22">
    <w:abstractNumId w:val="1"/>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 Nadeau">
    <w15:presenceInfo w15:providerId="Windows Live" w15:userId="ea8471e3ec0af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2986"/>
    <w:rsid w:val="00012BA6"/>
    <w:rsid w:val="000178F5"/>
    <w:rsid w:val="00021D4F"/>
    <w:rsid w:val="00075366"/>
    <w:rsid w:val="00076244"/>
    <w:rsid w:val="00084853"/>
    <w:rsid w:val="00091271"/>
    <w:rsid w:val="00091F7C"/>
    <w:rsid w:val="00092167"/>
    <w:rsid w:val="000D16F2"/>
    <w:rsid w:val="000D377B"/>
    <w:rsid w:val="00105082"/>
    <w:rsid w:val="00106600"/>
    <w:rsid w:val="001563C1"/>
    <w:rsid w:val="00157063"/>
    <w:rsid w:val="001626E4"/>
    <w:rsid w:val="00182573"/>
    <w:rsid w:val="001A080D"/>
    <w:rsid w:val="001A5EF5"/>
    <w:rsid w:val="001B05E6"/>
    <w:rsid w:val="001B2033"/>
    <w:rsid w:val="001C496B"/>
    <w:rsid w:val="001E44B1"/>
    <w:rsid w:val="001E62DA"/>
    <w:rsid w:val="00206A20"/>
    <w:rsid w:val="002119A0"/>
    <w:rsid w:val="0021645F"/>
    <w:rsid w:val="0022410D"/>
    <w:rsid w:val="002327CE"/>
    <w:rsid w:val="00237A89"/>
    <w:rsid w:val="00240CDF"/>
    <w:rsid w:val="00244AD4"/>
    <w:rsid w:val="00277FCB"/>
    <w:rsid w:val="00285474"/>
    <w:rsid w:val="00285B1D"/>
    <w:rsid w:val="00296C3B"/>
    <w:rsid w:val="002C7E1F"/>
    <w:rsid w:val="002F5582"/>
    <w:rsid w:val="0030112B"/>
    <w:rsid w:val="00301882"/>
    <w:rsid w:val="00310024"/>
    <w:rsid w:val="00321E82"/>
    <w:rsid w:val="0034697E"/>
    <w:rsid w:val="00372651"/>
    <w:rsid w:val="00384B90"/>
    <w:rsid w:val="00390CC9"/>
    <w:rsid w:val="00392DA5"/>
    <w:rsid w:val="00395BBA"/>
    <w:rsid w:val="003A7DC6"/>
    <w:rsid w:val="003B5739"/>
    <w:rsid w:val="003B7A0E"/>
    <w:rsid w:val="003C0FC4"/>
    <w:rsid w:val="003E5A6F"/>
    <w:rsid w:val="004057AC"/>
    <w:rsid w:val="00432DC2"/>
    <w:rsid w:val="004346C8"/>
    <w:rsid w:val="00472777"/>
    <w:rsid w:val="00475267"/>
    <w:rsid w:val="0048777F"/>
    <w:rsid w:val="00490B26"/>
    <w:rsid w:val="004A4419"/>
    <w:rsid w:val="004B2986"/>
    <w:rsid w:val="004E2499"/>
    <w:rsid w:val="004F0F25"/>
    <w:rsid w:val="00500A43"/>
    <w:rsid w:val="00516E97"/>
    <w:rsid w:val="005407E0"/>
    <w:rsid w:val="005523FB"/>
    <w:rsid w:val="0055485C"/>
    <w:rsid w:val="00555071"/>
    <w:rsid w:val="00566DC6"/>
    <w:rsid w:val="00574291"/>
    <w:rsid w:val="005767CD"/>
    <w:rsid w:val="0058389D"/>
    <w:rsid w:val="0058750A"/>
    <w:rsid w:val="00596379"/>
    <w:rsid w:val="005A30B5"/>
    <w:rsid w:val="005A31DF"/>
    <w:rsid w:val="005A485D"/>
    <w:rsid w:val="005A4CFB"/>
    <w:rsid w:val="005C0203"/>
    <w:rsid w:val="005D7572"/>
    <w:rsid w:val="005F2CEB"/>
    <w:rsid w:val="005F41B1"/>
    <w:rsid w:val="005F6F57"/>
    <w:rsid w:val="00601AD3"/>
    <w:rsid w:val="00606AE9"/>
    <w:rsid w:val="00625F8D"/>
    <w:rsid w:val="00651243"/>
    <w:rsid w:val="006529D5"/>
    <w:rsid w:val="00666720"/>
    <w:rsid w:val="00676FF8"/>
    <w:rsid w:val="006833BA"/>
    <w:rsid w:val="006A3CE3"/>
    <w:rsid w:val="006A3EC7"/>
    <w:rsid w:val="006B4494"/>
    <w:rsid w:val="006C08D0"/>
    <w:rsid w:val="006D0E6C"/>
    <w:rsid w:val="006D4CC6"/>
    <w:rsid w:val="006D686A"/>
    <w:rsid w:val="006E6911"/>
    <w:rsid w:val="00700E3D"/>
    <w:rsid w:val="007060C0"/>
    <w:rsid w:val="0070684D"/>
    <w:rsid w:val="00711C59"/>
    <w:rsid w:val="00712CC7"/>
    <w:rsid w:val="00715973"/>
    <w:rsid w:val="007258C8"/>
    <w:rsid w:val="00732867"/>
    <w:rsid w:val="00747956"/>
    <w:rsid w:val="007515A6"/>
    <w:rsid w:val="00760AA2"/>
    <w:rsid w:val="00770BC0"/>
    <w:rsid w:val="007712AC"/>
    <w:rsid w:val="00791664"/>
    <w:rsid w:val="0079692E"/>
    <w:rsid w:val="007B50DE"/>
    <w:rsid w:val="007F6887"/>
    <w:rsid w:val="00800CBD"/>
    <w:rsid w:val="00811484"/>
    <w:rsid w:val="00827BE1"/>
    <w:rsid w:val="00835E16"/>
    <w:rsid w:val="00860AB0"/>
    <w:rsid w:val="0086344B"/>
    <w:rsid w:val="008823DB"/>
    <w:rsid w:val="008825B3"/>
    <w:rsid w:val="008939DE"/>
    <w:rsid w:val="008941E4"/>
    <w:rsid w:val="008A1382"/>
    <w:rsid w:val="008C0200"/>
    <w:rsid w:val="008D704C"/>
    <w:rsid w:val="008F0D87"/>
    <w:rsid w:val="00900D67"/>
    <w:rsid w:val="00906A8D"/>
    <w:rsid w:val="00926036"/>
    <w:rsid w:val="009344F1"/>
    <w:rsid w:val="00943486"/>
    <w:rsid w:val="00963722"/>
    <w:rsid w:val="0099307E"/>
    <w:rsid w:val="009C0467"/>
    <w:rsid w:val="009C4A4A"/>
    <w:rsid w:val="009C7A95"/>
    <w:rsid w:val="009D36E7"/>
    <w:rsid w:val="009D499F"/>
    <w:rsid w:val="009E5CCE"/>
    <w:rsid w:val="00A102EC"/>
    <w:rsid w:val="00A13374"/>
    <w:rsid w:val="00A1670D"/>
    <w:rsid w:val="00A338EA"/>
    <w:rsid w:val="00A401A0"/>
    <w:rsid w:val="00A436AA"/>
    <w:rsid w:val="00A537A4"/>
    <w:rsid w:val="00A57125"/>
    <w:rsid w:val="00A61C55"/>
    <w:rsid w:val="00A61C62"/>
    <w:rsid w:val="00A652B3"/>
    <w:rsid w:val="00A76C36"/>
    <w:rsid w:val="00A9138A"/>
    <w:rsid w:val="00AA3FE0"/>
    <w:rsid w:val="00AD4E83"/>
    <w:rsid w:val="00B0555D"/>
    <w:rsid w:val="00B06A3F"/>
    <w:rsid w:val="00B21BAC"/>
    <w:rsid w:val="00B44B7B"/>
    <w:rsid w:val="00B507B2"/>
    <w:rsid w:val="00B539AB"/>
    <w:rsid w:val="00B6499F"/>
    <w:rsid w:val="00B76277"/>
    <w:rsid w:val="00B91E4E"/>
    <w:rsid w:val="00BA7109"/>
    <w:rsid w:val="00BB27E8"/>
    <w:rsid w:val="00BB4025"/>
    <w:rsid w:val="00BB63AD"/>
    <w:rsid w:val="00BC49AF"/>
    <w:rsid w:val="00BC4B8F"/>
    <w:rsid w:val="00BC697B"/>
    <w:rsid w:val="00BD2CB0"/>
    <w:rsid w:val="00BD4D08"/>
    <w:rsid w:val="00BD6430"/>
    <w:rsid w:val="00BE5DCE"/>
    <w:rsid w:val="00C05662"/>
    <w:rsid w:val="00C1145F"/>
    <w:rsid w:val="00C26021"/>
    <w:rsid w:val="00C356ED"/>
    <w:rsid w:val="00C809AF"/>
    <w:rsid w:val="00C812AB"/>
    <w:rsid w:val="00C81A31"/>
    <w:rsid w:val="00C90855"/>
    <w:rsid w:val="00CA1318"/>
    <w:rsid w:val="00CA410A"/>
    <w:rsid w:val="00CB0FB2"/>
    <w:rsid w:val="00CB6B67"/>
    <w:rsid w:val="00CC5256"/>
    <w:rsid w:val="00CE51ED"/>
    <w:rsid w:val="00CE5750"/>
    <w:rsid w:val="00CF2605"/>
    <w:rsid w:val="00D1287A"/>
    <w:rsid w:val="00D306F8"/>
    <w:rsid w:val="00D42592"/>
    <w:rsid w:val="00D709BB"/>
    <w:rsid w:val="00D73CF5"/>
    <w:rsid w:val="00D92DD1"/>
    <w:rsid w:val="00DB15B4"/>
    <w:rsid w:val="00DB6A23"/>
    <w:rsid w:val="00DB74A5"/>
    <w:rsid w:val="00DC456B"/>
    <w:rsid w:val="00DD4F5F"/>
    <w:rsid w:val="00DF4388"/>
    <w:rsid w:val="00DF4752"/>
    <w:rsid w:val="00E03611"/>
    <w:rsid w:val="00E04E1C"/>
    <w:rsid w:val="00E12B6F"/>
    <w:rsid w:val="00E142D0"/>
    <w:rsid w:val="00E173AE"/>
    <w:rsid w:val="00E32504"/>
    <w:rsid w:val="00E41CBC"/>
    <w:rsid w:val="00E45F3B"/>
    <w:rsid w:val="00E64706"/>
    <w:rsid w:val="00EA230F"/>
    <w:rsid w:val="00EA4447"/>
    <w:rsid w:val="00EA6C21"/>
    <w:rsid w:val="00EB1749"/>
    <w:rsid w:val="00ED63F4"/>
    <w:rsid w:val="00EF3436"/>
    <w:rsid w:val="00EF47F9"/>
    <w:rsid w:val="00EF6CCC"/>
    <w:rsid w:val="00F0690A"/>
    <w:rsid w:val="00F13B4E"/>
    <w:rsid w:val="00F20D52"/>
    <w:rsid w:val="00F23D88"/>
    <w:rsid w:val="00F316DF"/>
    <w:rsid w:val="00F32CDE"/>
    <w:rsid w:val="00F37F41"/>
    <w:rsid w:val="00F541F6"/>
    <w:rsid w:val="00F54D0D"/>
    <w:rsid w:val="00F76940"/>
    <w:rsid w:val="00F92FF8"/>
    <w:rsid w:val="00FA3FD1"/>
    <w:rsid w:val="00FA6377"/>
    <w:rsid w:val="00FC3044"/>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1">
    <w:name w:val="heading 1"/>
    <w:basedOn w:val="Normal"/>
    <w:next w:val="Normal"/>
    <w:link w:val="Heading1Char"/>
    <w:qFormat/>
    <w:rsid w:val="00D128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1Char">
    <w:name w:val="Heading 1 Char"/>
    <w:basedOn w:val="DefaultParagraphFont"/>
    <w:link w:val="Heading1"/>
    <w:rsid w:val="00D1287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7B50DE"/>
    <w:pPr>
      <w:widowControl w:val="0"/>
      <w:ind w:left="550"/>
    </w:pPr>
    <w:rPr>
      <w:rFonts w:cstheme="minorBidi"/>
    </w:rPr>
  </w:style>
  <w:style w:type="character" w:customStyle="1" w:styleId="BodyTextChar">
    <w:name w:val="Body Text Char"/>
    <w:basedOn w:val="DefaultParagraphFont"/>
    <w:link w:val="BodyText"/>
    <w:uiPriority w:val="1"/>
    <w:rsid w:val="007B50DE"/>
    <w:rPr>
      <w:rFonts w:eastAsia="Times New Roman"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linda.girardi@erg.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C591A-1457-45C4-82BA-3DAF29CD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3</cp:revision>
  <cp:lastPrinted>2011-03-07T19:51:00Z</cp:lastPrinted>
  <dcterms:created xsi:type="dcterms:W3CDTF">2015-04-16T13:39:00Z</dcterms:created>
  <dcterms:modified xsi:type="dcterms:W3CDTF">2015-04-16T13:58:00Z</dcterms:modified>
</cp:coreProperties>
</file>