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ACE" w:rsidRDefault="00DD3ACE" w:rsidP="00DD3ACE">
      <w:pPr>
        <w:pStyle w:val="Heading1"/>
      </w:pPr>
      <w:r>
        <w:t>About the Supplier Perception Survey</w:t>
      </w:r>
    </w:p>
    <w:p w:rsidR="00DD3ACE" w:rsidRPr="00E95667" w:rsidRDefault="00DD3ACE" w:rsidP="00DD3ACE">
      <w:r>
        <w:t xml:space="preserve">The Supplier Perception Survey is a component of the U.S. Department of Veterans Affairs (VA) Office of Acquisition &amp; Logistics (OAL) Supplier Relationship Transformation (SRT) initiative. This survey is one of many enterprise feedback initiatives, through which Ambit collects quantitative and qualitative information, to holistically assess VA Acquisitions Supply Chain Management policies and practices. </w:t>
      </w:r>
    </w:p>
    <w:p w:rsidR="00DD3ACE" w:rsidRDefault="00DD3ACE" w:rsidP="00DD3ACE">
      <w:pPr>
        <w:pStyle w:val="Heading1"/>
      </w:pPr>
      <w:r>
        <w:t>About this Document</w:t>
      </w:r>
    </w:p>
    <w:p w:rsidR="00DD3ACE" w:rsidRDefault="00DD3ACE" w:rsidP="00DD3ACE">
      <w:r>
        <w:t>This document summarizes the results of two statistical procedures conducted on survey respondents:</w:t>
      </w:r>
    </w:p>
    <w:p w:rsidR="00DD3ACE" w:rsidRDefault="00DD3ACE" w:rsidP="00DD3ACE">
      <w:pPr>
        <w:pStyle w:val="ListParagraph"/>
        <w:numPr>
          <w:ilvl w:val="0"/>
          <w:numId w:val="15"/>
        </w:numPr>
      </w:pPr>
      <w:r>
        <w:t>Chi-square goodness of fit testing for respondent representativeness</w:t>
      </w:r>
    </w:p>
    <w:p w:rsidR="00DD3ACE" w:rsidRDefault="00DD3ACE" w:rsidP="00DD3ACE">
      <w:pPr>
        <w:pStyle w:val="ListParagraph"/>
        <w:numPr>
          <w:ilvl w:val="0"/>
          <w:numId w:val="15"/>
        </w:numPr>
      </w:pPr>
      <w:r>
        <w:t>Wilcoxon Rank Sum tests results through which early and late survey respondents were compared for differences in satisfaction</w:t>
      </w:r>
    </w:p>
    <w:p w:rsidR="00DD3ACE" w:rsidRDefault="00DD3ACE" w:rsidP="00DD3ACE">
      <w:pPr>
        <w:pStyle w:val="Heading2"/>
      </w:pPr>
      <w:r>
        <w:t>Representativeness of Suppliers</w:t>
      </w:r>
    </w:p>
    <w:p w:rsidR="00DD3ACE" w:rsidRDefault="00DD3ACE" w:rsidP="00DD3ACE">
      <w:r>
        <w:t>Chi-square goodness of fit testing was performed on key supplier attributes to assess representativeness of suppliers who responded to the survey. As we did not have access to ‘absolute’ data that is typically contained in auxiliary data sources at the time of this analysis, empirical observations from the baseline survey conducted in Fall 2010 were utilized to inform theoretical binomial distributions of key supplier attributes, with a particular interest in large and small business designation. Table I.I contains the results of this testing.</w:t>
      </w:r>
    </w:p>
    <w:p w:rsidR="00DD3ACE" w:rsidRDefault="00DD3ACE" w:rsidP="00DD3ACE">
      <w:r w:rsidRPr="00920661">
        <w:rPr>
          <w:b/>
          <w:i/>
        </w:rPr>
        <w:t>Table I.I</w:t>
      </w:r>
      <w:r>
        <w:t xml:space="preserve"> Chi-Square Goodness of Fit Test Results</w:t>
      </w:r>
    </w:p>
    <w:tbl>
      <w:tblPr>
        <w:tblStyle w:val="TableGrid"/>
        <w:tblW w:w="0" w:type="auto"/>
        <w:jc w:val="center"/>
        <w:tblInd w:w="-1705" w:type="dxa"/>
        <w:tblLayout w:type="fixed"/>
        <w:tblLook w:val="04A0"/>
      </w:tblPr>
      <w:tblGrid>
        <w:gridCol w:w="2707"/>
        <w:gridCol w:w="2970"/>
        <w:gridCol w:w="990"/>
        <w:gridCol w:w="1307"/>
      </w:tblGrid>
      <w:tr w:rsidR="00DD3ACE" w:rsidRPr="00E95667" w:rsidTr="00F6222E">
        <w:trPr>
          <w:jc w:val="center"/>
        </w:trPr>
        <w:tc>
          <w:tcPr>
            <w:tcW w:w="2707" w:type="dxa"/>
            <w:vAlign w:val="center"/>
          </w:tcPr>
          <w:p w:rsidR="00DD3ACE" w:rsidRPr="00E95667" w:rsidRDefault="00DD3ACE" w:rsidP="00F6222E">
            <w:pPr>
              <w:jc w:val="center"/>
              <w:rPr>
                <w:rFonts w:cstheme="minorHAnsi"/>
                <w:b/>
                <w:sz w:val="18"/>
                <w:szCs w:val="18"/>
              </w:rPr>
            </w:pPr>
            <w:r w:rsidRPr="00E95667">
              <w:rPr>
                <w:rFonts w:cstheme="minorHAnsi"/>
                <w:b/>
                <w:sz w:val="18"/>
                <w:szCs w:val="18"/>
              </w:rPr>
              <w:t>Category</w:t>
            </w:r>
          </w:p>
        </w:tc>
        <w:tc>
          <w:tcPr>
            <w:tcW w:w="2970" w:type="dxa"/>
            <w:vAlign w:val="center"/>
          </w:tcPr>
          <w:p w:rsidR="00DD3ACE" w:rsidRPr="00E95667" w:rsidRDefault="00DD3ACE" w:rsidP="00F6222E">
            <w:pPr>
              <w:jc w:val="center"/>
              <w:rPr>
                <w:rFonts w:cstheme="minorHAnsi"/>
                <w:b/>
                <w:sz w:val="18"/>
                <w:szCs w:val="18"/>
              </w:rPr>
            </w:pPr>
            <w:r w:rsidRPr="00E95667">
              <w:rPr>
                <w:rFonts w:cstheme="minorHAnsi"/>
                <w:b/>
                <w:sz w:val="18"/>
                <w:szCs w:val="18"/>
              </w:rPr>
              <w:t>Value</w:t>
            </w:r>
          </w:p>
        </w:tc>
        <w:tc>
          <w:tcPr>
            <w:tcW w:w="990" w:type="dxa"/>
            <w:vAlign w:val="center"/>
          </w:tcPr>
          <w:p w:rsidR="00DD3ACE" w:rsidRPr="00E95667" w:rsidRDefault="00DD3ACE" w:rsidP="00F6222E">
            <w:pPr>
              <w:jc w:val="center"/>
              <w:rPr>
                <w:rFonts w:cstheme="minorHAnsi"/>
                <w:b/>
                <w:sz w:val="18"/>
                <w:szCs w:val="18"/>
              </w:rPr>
            </w:pPr>
            <w:r w:rsidRPr="00E95667">
              <w:rPr>
                <w:rFonts w:cstheme="minorHAnsi"/>
                <w:b/>
                <w:sz w:val="18"/>
                <w:szCs w:val="18"/>
              </w:rPr>
              <w:t>Chi-Square Statistic</w:t>
            </w:r>
          </w:p>
        </w:tc>
        <w:tc>
          <w:tcPr>
            <w:tcW w:w="1307" w:type="dxa"/>
            <w:vAlign w:val="center"/>
          </w:tcPr>
          <w:p w:rsidR="00DD3ACE" w:rsidRPr="00E95667" w:rsidRDefault="00DD3ACE" w:rsidP="00F6222E">
            <w:pPr>
              <w:jc w:val="center"/>
              <w:rPr>
                <w:rFonts w:cstheme="minorHAnsi"/>
                <w:b/>
                <w:sz w:val="18"/>
                <w:szCs w:val="18"/>
              </w:rPr>
            </w:pPr>
            <w:r w:rsidRPr="00E95667">
              <w:rPr>
                <w:rFonts w:cstheme="minorHAnsi"/>
                <w:b/>
                <w:sz w:val="18"/>
                <w:szCs w:val="18"/>
              </w:rPr>
              <w:t>p-value</w:t>
            </w:r>
          </w:p>
        </w:tc>
      </w:tr>
      <w:tr w:rsidR="00DD3ACE" w:rsidRPr="00E95667" w:rsidTr="00F6222E">
        <w:trPr>
          <w:jc w:val="center"/>
        </w:trPr>
        <w:tc>
          <w:tcPr>
            <w:tcW w:w="2707" w:type="dxa"/>
            <w:vMerge w:val="restart"/>
            <w:vAlign w:val="center"/>
          </w:tcPr>
          <w:p w:rsidR="00DD3ACE" w:rsidRPr="00E95667" w:rsidRDefault="00DD3ACE" w:rsidP="00F6222E">
            <w:pPr>
              <w:jc w:val="center"/>
              <w:rPr>
                <w:rFonts w:cstheme="minorHAnsi"/>
                <w:b/>
                <w:sz w:val="18"/>
                <w:szCs w:val="18"/>
              </w:rPr>
            </w:pPr>
            <w:r w:rsidRPr="00E95667">
              <w:rPr>
                <w:rFonts w:cstheme="minorHAnsi"/>
                <w:b/>
                <w:sz w:val="18"/>
                <w:szCs w:val="18"/>
              </w:rPr>
              <w:t>Large Business</w:t>
            </w:r>
          </w:p>
        </w:tc>
        <w:tc>
          <w:tcPr>
            <w:tcW w:w="2970" w:type="dxa"/>
            <w:vAlign w:val="center"/>
          </w:tcPr>
          <w:p w:rsidR="00DD3ACE" w:rsidRPr="00E95667" w:rsidRDefault="00DD3ACE" w:rsidP="00F6222E">
            <w:pPr>
              <w:jc w:val="center"/>
              <w:rPr>
                <w:rFonts w:cstheme="minorHAnsi"/>
                <w:sz w:val="18"/>
                <w:szCs w:val="18"/>
              </w:rPr>
            </w:pPr>
            <w:r w:rsidRPr="00E95667">
              <w:rPr>
                <w:rFonts w:cstheme="minorHAnsi"/>
                <w:sz w:val="18"/>
                <w:szCs w:val="18"/>
              </w:rPr>
              <w:t>0 (Not Large Business)</w:t>
            </w:r>
          </w:p>
        </w:tc>
        <w:tc>
          <w:tcPr>
            <w:tcW w:w="990" w:type="dxa"/>
            <w:vMerge w:val="restart"/>
            <w:vAlign w:val="center"/>
          </w:tcPr>
          <w:p w:rsidR="00DD3ACE" w:rsidRPr="00E95667" w:rsidRDefault="00DD3ACE" w:rsidP="00F6222E">
            <w:pPr>
              <w:jc w:val="center"/>
              <w:rPr>
                <w:rFonts w:cstheme="minorHAnsi"/>
                <w:sz w:val="18"/>
                <w:szCs w:val="18"/>
              </w:rPr>
            </w:pPr>
            <w:r w:rsidRPr="00E95667">
              <w:rPr>
                <w:rFonts w:cstheme="minorHAnsi"/>
                <w:sz w:val="18"/>
                <w:szCs w:val="18"/>
              </w:rPr>
              <w:t>257.9</w:t>
            </w:r>
          </w:p>
        </w:tc>
        <w:tc>
          <w:tcPr>
            <w:tcW w:w="1307" w:type="dxa"/>
            <w:vMerge w:val="restart"/>
            <w:vAlign w:val="center"/>
          </w:tcPr>
          <w:p w:rsidR="00DD3ACE" w:rsidRPr="00E95667" w:rsidRDefault="00DD3ACE" w:rsidP="00F6222E">
            <w:pPr>
              <w:jc w:val="center"/>
              <w:rPr>
                <w:rFonts w:cstheme="minorHAnsi"/>
                <w:sz w:val="18"/>
                <w:szCs w:val="18"/>
              </w:rPr>
            </w:pPr>
            <w:r w:rsidRPr="00E95667">
              <w:rPr>
                <w:rFonts w:cstheme="minorHAnsi"/>
                <w:sz w:val="18"/>
                <w:szCs w:val="18"/>
              </w:rPr>
              <w:t>&lt;.0001</w:t>
            </w:r>
          </w:p>
        </w:tc>
      </w:tr>
      <w:tr w:rsidR="00DD3ACE" w:rsidRPr="00E95667" w:rsidTr="00F6222E">
        <w:trPr>
          <w:jc w:val="center"/>
        </w:trPr>
        <w:tc>
          <w:tcPr>
            <w:tcW w:w="2707" w:type="dxa"/>
            <w:vMerge/>
            <w:vAlign w:val="center"/>
          </w:tcPr>
          <w:p w:rsidR="00DD3ACE" w:rsidRPr="00E95667" w:rsidRDefault="00DD3ACE" w:rsidP="00F6222E">
            <w:pPr>
              <w:jc w:val="center"/>
              <w:rPr>
                <w:rFonts w:cstheme="minorHAnsi"/>
                <w:b/>
                <w:sz w:val="18"/>
                <w:szCs w:val="18"/>
              </w:rPr>
            </w:pPr>
          </w:p>
        </w:tc>
        <w:tc>
          <w:tcPr>
            <w:tcW w:w="2970" w:type="dxa"/>
            <w:vAlign w:val="center"/>
          </w:tcPr>
          <w:p w:rsidR="00DD3ACE" w:rsidRPr="00E95667" w:rsidRDefault="00DD3ACE" w:rsidP="00F6222E">
            <w:pPr>
              <w:jc w:val="center"/>
              <w:rPr>
                <w:rFonts w:cstheme="minorHAnsi"/>
                <w:sz w:val="18"/>
                <w:szCs w:val="18"/>
              </w:rPr>
            </w:pPr>
            <w:r w:rsidRPr="00E95667">
              <w:rPr>
                <w:rFonts w:cstheme="minorHAnsi"/>
                <w:sz w:val="18"/>
                <w:szCs w:val="18"/>
              </w:rPr>
              <w:t>1 (Large Business)</w:t>
            </w:r>
          </w:p>
        </w:tc>
        <w:tc>
          <w:tcPr>
            <w:tcW w:w="990" w:type="dxa"/>
            <w:vMerge/>
            <w:vAlign w:val="center"/>
          </w:tcPr>
          <w:p w:rsidR="00DD3ACE" w:rsidRPr="00E95667" w:rsidRDefault="00DD3ACE" w:rsidP="00F6222E">
            <w:pPr>
              <w:jc w:val="center"/>
              <w:rPr>
                <w:rFonts w:cstheme="minorHAnsi"/>
                <w:sz w:val="18"/>
                <w:szCs w:val="18"/>
              </w:rPr>
            </w:pPr>
          </w:p>
        </w:tc>
        <w:tc>
          <w:tcPr>
            <w:tcW w:w="1307" w:type="dxa"/>
            <w:vMerge/>
            <w:vAlign w:val="center"/>
          </w:tcPr>
          <w:p w:rsidR="00DD3ACE" w:rsidRPr="00E95667" w:rsidRDefault="00DD3ACE" w:rsidP="00F6222E">
            <w:pPr>
              <w:jc w:val="center"/>
              <w:rPr>
                <w:rFonts w:cstheme="minorHAnsi"/>
                <w:sz w:val="18"/>
                <w:szCs w:val="18"/>
              </w:rPr>
            </w:pPr>
          </w:p>
        </w:tc>
      </w:tr>
      <w:tr w:rsidR="00DD3ACE" w:rsidRPr="00E95667" w:rsidTr="00F6222E">
        <w:trPr>
          <w:jc w:val="center"/>
        </w:trPr>
        <w:tc>
          <w:tcPr>
            <w:tcW w:w="2707" w:type="dxa"/>
            <w:vMerge w:val="restart"/>
            <w:vAlign w:val="center"/>
          </w:tcPr>
          <w:p w:rsidR="00DD3ACE" w:rsidRPr="00E95667" w:rsidRDefault="00DD3ACE" w:rsidP="00F6222E">
            <w:pPr>
              <w:jc w:val="center"/>
              <w:rPr>
                <w:rFonts w:cstheme="minorHAnsi"/>
                <w:b/>
                <w:sz w:val="18"/>
                <w:szCs w:val="18"/>
              </w:rPr>
            </w:pPr>
            <w:r w:rsidRPr="00E95667">
              <w:rPr>
                <w:rFonts w:cstheme="minorHAnsi"/>
                <w:b/>
                <w:sz w:val="18"/>
                <w:szCs w:val="18"/>
              </w:rPr>
              <w:t>Small Business</w:t>
            </w:r>
          </w:p>
        </w:tc>
        <w:tc>
          <w:tcPr>
            <w:tcW w:w="2970" w:type="dxa"/>
            <w:vAlign w:val="center"/>
          </w:tcPr>
          <w:p w:rsidR="00DD3ACE" w:rsidRPr="00E95667" w:rsidRDefault="00DD3ACE" w:rsidP="00F6222E">
            <w:pPr>
              <w:jc w:val="center"/>
              <w:rPr>
                <w:rFonts w:cstheme="minorHAnsi"/>
                <w:sz w:val="18"/>
                <w:szCs w:val="18"/>
              </w:rPr>
            </w:pPr>
            <w:r w:rsidRPr="00E95667">
              <w:rPr>
                <w:rFonts w:cstheme="minorHAnsi"/>
                <w:sz w:val="18"/>
                <w:szCs w:val="18"/>
              </w:rPr>
              <w:t>0 (Not Small Business)</w:t>
            </w:r>
          </w:p>
        </w:tc>
        <w:tc>
          <w:tcPr>
            <w:tcW w:w="990" w:type="dxa"/>
            <w:vMerge w:val="restart"/>
            <w:vAlign w:val="center"/>
          </w:tcPr>
          <w:p w:rsidR="00DD3ACE" w:rsidRPr="00E95667" w:rsidRDefault="00DD3ACE" w:rsidP="00F6222E">
            <w:pPr>
              <w:jc w:val="center"/>
              <w:rPr>
                <w:rFonts w:cstheme="minorHAnsi"/>
                <w:sz w:val="18"/>
                <w:szCs w:val="18"/>
              </w:rPr>
            </w:pPr>
            <w:r w:rsidRPr="00E95667">
              <w:rPr>
                <w:rFonts w:cstheme="minorHAnsi"/>
                <w:sz w:val="18"/>
                <w:szCs w:val="18"/>
              </w:rPr>
              <w:t>56.4</w:t>
            </w:r>
          </w:p>
        </w:tc>
        <w:tc>
          <w:tcPr>
            <w:tcW w:w="1307" w:type="dxa"/>
            <w:vMerge w:val="restart"/>
            <w:vAlign w:val="center"/>
          </w:tcPr>
          <w:p w:rsidR="00DD3ACE" w:rsidRPr="00E95667" w:rsidRDefault="00DD3ACE" w:rsidP="00F6222E">
            <w:pPr>
              <w:jc w:val="center"/>
              <w:rPr>
                <w:rFonts w:cstheme="minorHAnsi"/>
                <w:sz w:val="18"/>
                <w:szCs w:val="18"/>
              </w:rPr>
            </w:pPr>
            <w:r w:rsidRPr="00E95667">
              <w:rPr>
                <w:rFonts w:cstheme="minorHAnsi"/>
                <w:sz w:val="18"/>
                <w:szCs w:val="18"/>
              </w:rPr>
              <w:t>&lt;.0001</w:t>
            </w:r>
          </w:p>
        </w:tc>
      </w:tr>
      <w:tr w:rsidR="00DD3ACE" w:rsidRPr="00E95667" w:rsidTr="00F6222E">
        <w:trPr>
          <w:jc w:val="center"/>
        </w:trPr>
        <w:tc>
          <w:tcPr>
            <w:tcW w:w="2707" w:type="dxa"/>
            <w:vMerge/>
            <w:vAlign w:val="center"/>
          </w:tcPr>
          <w:p w:rsidR="00DD3ACE" w:rsidRPr="00E95667" w:rsidRDefault="00DD3ACE" w:rsidP="00F6222E">
            <w:pPr>
              <w:jc w:val="center"/>
              <w:rPr>
                <w:rFonts w:cstheme="minorHAnsi"/>
                <w:b/>
                <w:sz w:val="18"/>
                <w:szCs w:val="18"/>
              </w:rPr>
            </w:pPr>
          </w:p>
        </w:tc>
        <w:tc>
          <w:tcPr>
            <w:tcW w:w="2970" w:type="dxa"/>
            <w:vAlign w:val="center"/>
          </w:tcPr>
          <w:p w:rsidR="00DD3ACE" w:rsidRPr="00E95667" w:rsidRDefault="00DD3ACE" w:rsidP="00F6222E">
            <w:pPr>
              <w:jc w:val="center"/>
              <w:rPr>
                <w:rFonts w:cstheme="minorHAnsi"/>
                <w:sz w:val="18"/>
                <w:szCs w:val="18"/>
              </w:rPr>
            </w:pPr>
            <w:r w:rsidRPr="00E95667">
              <w:rPr>
                <w:rFonts w:cstheme="minorHAnsi"/>
                <w:sz w:val="18"/>
                <w:szCs w:val="18"/>
              </w:rPr>
              <w:t>1(Small Business)</w:t>
            </w:r>
          </w:p>
        </w:tc>
        <w:tc>
          <w:tcPr>
            <w:tcW w:w="990" w:type="dxa"/>
            <w:vMerge/>
            <w:vAlign w:val="center"/>
          </w:tcPr>
          <w:p w:rsidR="00DD3ACE" w:rsidRPr="00E95667" w:rsidRDefault="00DD3ACE" w:rsidP="00F6222E">
            <w:pPr>
              <w:jc w:val="center"/>
              <w:rPr>
                <w:rFonts w:cstheme="minorHAnsi"/>
                <w:sz w:val="18"/>
                <w:szCs w:val="18"/>
              </w:rPr>
            </w:pPr>
          </w:p>
        </w:tc>
        <w:tc>
          <w:tcPr>
            <w:tcW w:w="1307" w:type="dxa"/>
            <w:vMerge/>
            <w:vAlign w:val="center"/>
          </w:tcPr>
          <w:p w:rsidR="00DD3ACE" w:rsidRPr="00E95667" w:rsidRDefault="00DD3ACE" w:rsidP="00F6222E">
            <w:pPr>
              <w:jc w:val="center"/>
              <w:rPr>
                <w:rFonts w:cstheme="minorHAnsi"/>
                <w:sz w:val="18"/>
                <w:szCs w:val="18"/>
              </w:rPr>
            </w:pPr>
          </w:p>
        </w:tc>
      </w:tr>
      <w:tr w:rsidR="00DD3ACE" w:rsidRPr="00E95667" w:rsidTr="00F6222E">
        <w:trPr>
          <w:jc w:val="center"/>
        </w:trPr>
        <w:tc>
          <w:tcPr>
            <w:tcW w:w="2707" w:type="dxa"/>
            <w:vMerge w:val="restart"/>
            <w:vAlign w:val="center"/>
          </w:tcPr>
          <w:p w:rsidR="00DD3ACE" w:rsidRPr="00E95667" w:rsidRDefault="00DD3ACE" w:rsidP="00F6222E">
            <w:pPr>
              <w:jc w:val="center"/>
              <w:rPr>
                <w:rFonts w:cstheme="minorHAnsi"/>
                <w:b/>
                <w:sz w:val="18"/>
                <w:szCs w:val="18"/>
              </w:rPr>
            </w:pPr>
            <w:r w:rsidRPr="00E95667">
              <w:rPr>
                <w:rFonts w:cstheme="minorHAnsi"/>
                <w:b/>
                <w:sz w:val="18"/>
                <w:szCs w:val="18"/>
              </w:rPr>
              <w:t>8A Business</w:t>
            </w:r>
          </w:p>
        </w:tc>
        <w:tc>
          <w:tcPr>
            <w:tcW w:w="2970" w:type="dxa"/>
            <w:vAlign w:val="center"/>
          </w:tcPr>
          <w:p w:rsidR="00DD3ACE" w:rsidRPr="00E95667" w:rsidRDefault="00DD3ACE" w:rsidP="00F6222E">
            <w:pPr>
              <w:jc w:val="center"/>
              <w:rPr>
                <w:rFonts w:cstheme="minorHAnsi"/>
                <w:sz w:val="18"/>
                <w:szCs w:val="18"/>
              </w:rPr>
            </w:pPr>
            <w:r w:rsidRPr="00E95667">
              <w:rPr>
                <w:rFonts w:cstheme="minorHAnsi"/>
                <w:sz w:val="18"/>
                <w:szCs w:val="18"/>
              </w:rPr>
              <w:t>0 (Not 8A)</w:t>
            </w:r>
          </w:p>
        </w:tc>
        <w:tc>
          <w:tcPr>
            <w:tcW w:w="990" w:type="dxa"/>
            <w:vMerge w:val="restart"/>
            <w:vAlign w:val="center"/>
          </w:tcPr>
          <w:p w:rsidR="00DD3ACE" w:rsidRPr="00E95667" w:rsidRDefault="00DD3ACE" w:rsidP="00F6222E">
            <w:pPr>
              <w:jc w:val="center"/>
              <w:rPr>
                <w:rFonts w:cstheme="minorHAnsi"/>
                <w:sz w:val="18"/>
                <w:szCs w:val="18"/>
              </w:rPr>
            </w:pPr>
            <w:r w:rsidRPr="00E95667">
              <w:rPr>
                <w:rFonts w:cstheme="minorHAnsi"/>
                <w:sz w:val="18"/>
                <w:szCs w:val="18"/>
              </w:rPr>
              <w:t>4.3</w:t>
            </w:r>
          </w:p>
        </w:tc>
        <w:tc>
          <w:tcPr>
            <w:tcW w:w="1307" w:type="dxa"/>
            <w:vMerge w:val="restart"/>
            <w:vAlign w:val="center"/>
          </w:tcPr>
          <w:p w:rsidR="00DD3ACE" w:rsidRPr="00E95667" w:rsidRDefault="00DD3ACE" w:rsidP="00F6222E">
            <w:pPr>
              <w:jc w:val="center"/>
              <w:rPr>
                <w:rFonts w:cstheme="minorHAnsi"/>
                <w:sz w:val="18"/>
                <w:szCs w:val="18"/>
              </w:rPr>
            </w:pPr>
            <w:r w:rsidRPr="00E95667">
              <w:rPr>
                <w:rFonts w:cstheme="minorHAnsi"/>
                <w:sz w:val="18"/>
                <w:szCs w:val="18"/>
              </w:rPr>
              <w:t>0.0389</w:t>
            </w:r>
          </w:p>
        </w:tc>
      </w:tr>
      <w:tr w:rsidR="00DD3ACE" w:rsidRPr="00E95667" w:rsidTr="00F6222E">
        <w:trPr>
          <w:jc w:val="center"/>
        </w:trPr>
        <w:tc>
          <w:tcPr>
            <w:tcW w:w="2707" w:type="dxa"/>
            <w:vMerge/>
            <w:vAlign w:val="center"/>
          </w:tcPr>
          <w:p w:rsidR="00DD3ACE" w:rsidRPr="00E95667" w:rsidRDefault="00DD3ACE" w:rsidP="00F6222E">
            <w:pPr>
              <w:jc w:val="center"/>
              <w:rPr>
                <w:rFonts w:cstheme="minorHAnsi"/>
                <w:b/>
                <w:sz w:val="18"/>
                <w:szCs w:val="18"/>
              </w:rPr>
            </w:pPr>
          </w:p>
        </w:tc>
        <w:tc>
          <w:tcPr>
            <w:tcW w:w="2970" w:type="dxa"/>
            <w:vAlign w:val="center"/>
          </w:tcPr>
          <w:p w:rsidR="00DD3ACE" w:rsidRPr="00E95667" w:rsidRDefault="00DD3ACE" w:rsidP="00F6222E">
            <w:pPr>
              <w:jc w:val="center"/>
              <w:rPr>
                <w:rFonts w:cstheme="minorHAnsi"/>
                <w:sz w:val="18"/>
                <w:szCs w:val="18"/>
              </w:rPr>
            </w:pPr>
            <w:r w:rsidRPr="00E95667">
              <w:rPr>
                <w:rFonts w:cstheme="minorHAnsi"/>
                <w:sz w:val="18"/>
                <w:szCs w:val="18"/>
              </w:rPr>
              <w:t>1 (8A)</w:t>
            </w:r>
          </w:p>
        </w:tc>
        <w:tc>
          <w:tcPr>
            <w:tcW w:w="990" w:type="dxa"/>
            <w:vMerge/>
            <w:vAlign w:val="center"/>
          </w:tcPr>
          <w:p w:rsidR="00DD3ACE" w:rsidRPr="00E95667" w:rsidRDefault="00DD3ACE" w:rsidP="00F6222E">
            <w:pPr>
              <w:jc w:val="center"/>
              <w:rPr>
                <w:rFonts w:cstheme="minorHAnsi"/>
                <w:sz w:val="18"/>
                <w:szCs w:val="18"/>
              </w:rPr>
            </w:pPr>
          </w:p>
        </w:tc>
        <w:tc>
          <w:tcPr>
            <w:tcW w:w="1307" w:type="dxa"/>
            <w:vMerge/>
            <w:vAlign w:val="center"/>
          </w:tcPr>
          <w:p w:rsidR="00DD3ACE" w:rsidRPr="00E95667" w:rsidRDefault="00DD3ACE" w:rsidP="00F6222E">
            <w:pPr>
              <w:jc w:val="center"/>
              <w:rPr>
                <w:rFonts w:cstheme="minorHAnsi"/>
                <w:sz w:val="18"/>
                <w:szCs w:val="18"/>
              </w:rPr>
            </w:pPr>
          </w:p>
        </w:tc>
      </w:tr>
      <w:tr w:rsidR="00DD3ACE" w:rsidRPr="00E95667" w:rsidTr="00F6222E">
        <w:trPr>
          <w:jc w:val="center"/>
        </w:trPr>
        <w:tc>
          <w:tcPr>
            <w:tcW w:w="2707" w:type="dxa"/>
            <w:vMerge w:val="restart"/>
            <w:vAlign w:val="center"/>
          </w:tcPr>
          <w:p w:rsidR="00DD3ACE" w:rsidRPr="00E95667" w:rsidRDefault="00DD3ACE" w:rsidP="00F6222E">
            <w:pPr>
              <w:jc w:val="center"/>
              <w:rPr>
                <w:rFonts w:cstheme="minorHAnsi"/>
                <w:b/>
                <w:sz w:val="18"/>
                <w:szCs w:val="18"/>
              </w:rPr>
            </w:pPr>
            <w:r w:rsidRPr="00E95667">
              <w:rPr>
                <w:rFonts w:cstheme="minorHAnsi"/>
                <w:b/>
                <w:sz w:val="18"/>
                <w:szCs w:val="18"/>
              </w:rPr>
              <w:t>Woman-Owned Business</w:t>
            </w:r>
          </w:p>
        </w:tc>
        <w:tc>
          <w:tcPr>
            <w:tcW w:w="2970" w:type="dxa"/>
            <w:vAlign w:val="center"/>
          </w:tcPr>
          <w:p w:rsidR="00DD3ACE" w:rsidRPr="00E95667" w:rsidRDefault="00DD3ACE" w:rsidP="00F6222E">
            <w:pPr>
              <w:jc w:val="center"/>
              <w:rPr>
                <w:rFonts w:cstheme="minorHAnsi"/>
                <w:sz w:val="18"/>
                <w:szCs w:val="18"/>
              </w:rPr>
            </w:pPr>
            <w:r w:rsidRPr="00E95667">
              <w:rPr>
                <w:rFonts w:cstheme="minorHAnsi"/>
                <w:sz w:val="18"/>
                <w:szCs w:val="18"/>
              </w:rPr>
              <w:t>0 (Not Woman Owned)</w:t>
            </w:r>
          </w:p>
        </w:tc>
        <w:tc>
          <w:tcPr>
            <w:tcW w:w="990" w:type="dxa"/>
            <w:vMerge w:val="restart"/>
            <w:vAlign w:val="center"/>
          </w:tcPr>
          <w:p w:rsidR="00DD3ACE" w:rsidRPr="00E95667" w:rsidRDefault="00DD3ACE" w:rsidP="00F6222E">
            <w:pPr>
              <w:jc w:val="center"/>
              <w:rPr>
                <w:rFonts w:cstheme="minorHAnsi"/>
                <w:sz w:val="18"/>
                <w:szCs w:val="18"/>
              </w:rPr>
            </w:pPr>
            <w:r w:rsidRPr="00E95667">
              <w:rPr>
                <w:rFonts w:cstheme="minorHAnsi"/>
                <w:sz w:val="18"/>
                <w:szCs w:val="18"/>
              </w:rPr>
              <w:t>16.8</w:t>
            </w:r>
          </w:p>
        </w:tc>
        <w:tc>
          <w:tcPr>
            <w:tcW w:w="1307" w:type="dxa"/>
            <w:vMerge w:val="restart"/>
            <w:vAlign w:val="center"/>
          </w:tcPr>
          <w:p w:rsidR="00DD3ACE" w:rsidRPr="00E95667" w:rsidRDefault="00DD3ACE" w:rsidP="00F6222E">
            <w:pPr>
              <w:jc w:val="center"/>
              <w:rPr>
                <w:rFonts w:cstheme="minorHAnsi"/>
                <w:sz w:val="18"/>
                <w:szCs w:val="18"/>
              </w:rPr>
            </w:pPr>
            <w:r w:rsidRPr="00E95667">
              <w:rPr>
                <w:rFonts w:cstheme="minorHAnsi"/>
                <w:sz w:val="18"/>
                <w:szCs w:val="18"/>
              </w:rPr>
              <w:t>&lt;.0001</w:t>
            </w:r>
          </w:p>
        </w:tc>
      </w:tr>
      <w:tr w:rsidR="00DD3ACE" w:rsidRPr="00E95667" w:rsidTr="00F6222E">
        <w:trPr>
          <w:jc w:val="center"/>
        </w:trPr>
        <w:tc>
          <w:tcPr>
            <w:tcW w:w="2707" w:type="dxa"/>
            <w:vMerge/>
            <w:vAlign w:val="center"/>
          </w:tcPr>
          <w:p w:rsidR="00DD3ACE" w:rsidRPr="00E95667" w:rsidRDefault="00DD3ACE" w:rsidP="00F6222E">
            <w:pPr>
              <w:jc w:val="center"/>
              <w:rPr>
                <w:rFonts w:cstheme="minorHAnsi"/>
                <w:b/>
                <w:sz w:val="18"/>
                <w:szCs w:val="18"/>
              </w:rPr>
            </w:pPr>
          </w:p>
        </w:tc>
        <w:tc>
          <w:tcPr>
            <w:tcW w:w="2970" w:type="dxa"/>
            <w:vAlign w:val="center"/>
          </w:tcPr>
          <w:p w:rsidR="00DD3ACE" w:rsidRPr="00E95667" w:rsidRDefault="00DD3ACE" w:rsidP="00F6222E">
            <w:pPr>
              <w:jc w:val="center"/>
              <w:rPr>
                <w:rFonts w:cstheme="minorHAnsi"/>
                <w:sz w:val="18"/>
                <w:szCs w:val="18"/>
              </w:rPr>
            </w:pPr>
            <w:r w:rsidRPr="00E95667">
              <w:rPr>
                <w:rFonts w:cstheme="minorHAnsi"/>
                <w:sz w:val="18"/>
                <w:szCs w:val="18"/>
              </w:rPr>
              <w:t>1 (Woman Owned)</w:t>
            </w:r>
          </w:p>
        </w:tc>
        <w:tc>
          <w:tcPr>
            <w:tcW w:w="990" w:type="dxa"/>
            <w:vMerge/>
            <w:vAlign w:val="center"/>
          </w:tcPr>
          <w:p w:rsidR="00DD3ACE" w:rsidRPr="00E95667" w:rsidRDefault="00DD3ACE" w:rsidP="00F6222E">
            <w:pPr>
              <w:jc w:val="center"/>
              <w:rPr>
                <w:rFonts w:cstheme="minorHAnsi"/>
                <w:sz w:val="18"/>
                <w:szCs w:val="18"/>
              </w:rPr>
            </w:pPr>
          </w:p>
        </w:tc>
        <w:tc>
          <w:tcPr>
            <w:tcW w:w="1307" w:type="dxa"/>
            <w:vMerge/>
            <w:vAlign w:val="center"/>
          </w:tcPr>
          <w:p w:rsidR="00DD3ACE" w:rsidRPr="00E95667" w:rsidRDefault="00DD3ACE" w:rsidP="00F6222E">
            <w:pPr>
              <w:jc w:val="center"/>
              <w:rPr>
                <w:rFonts w:cstheme="minorHAnsi"/>
                <w:sz w:val="18"/>
                <w:szCs w:val="18"/>
              </w:rPr>
            </w:pPr>
          </w:p>
        </w:tc>
      </w:tr>
      <w:tr w:rsidR="00DD3ACE" w:rsidRPr="00E95667" w:rsidTr="00F6222E">
        <w:trPr>
          <w:trHeight w:val="332"/>
          <w:jc w:val="center"/>
        </w:trPr>
        <w:tc>
          <w:tcPr>
            <w:tcW w:w="2707" w:type="dxa"/>
            <w:vMerge w:val="restart"/>
            <w:vAlign w:val="center"/>
          </w:tcPr>
          <w:p w:rsidR="00DD3ACE" w:rsidRPr="00E95667" w:rsidRDefault="00DD3ACE" w:rsidP="00F6222E">
            <w:pPr>
              <w:jc w:val="center"/>
              <w:rPr>
                <w:rFonts w:cstheme="minorHAnsi"/>
                <w:b/>
                <w:sz w:val="18"/>
                <w:szCs w:val="18"/>
              </w:rPr>
            </w:pPr>
            <w:r w:rsidRPr="00E95667">
              <w:rPr>
                <w:rFonts w:cstheme="minorHAnsi"/>
                <w:b/>
                <w:sz w:val="18"/>
                <w:szCs w:val="18"/>
              </w:rPr>
              <w:t>HUB Zone Business</w:t>
            </w:r>
          </w:p>
        </w:tc>
        <w:tc>
          <w:tcPr>
            <w:tcW w:w="2970" w:type="dxa"/>
            <w:vAlign w:val="center"/>
          </w:tcPr>
          <w:p w:rsidR="00DD3ACE" w:rsidRPr="00E95667" w:rsidRDefault="00DD3ACE" w:rsidP="00F6222E">
            <w:pPr>
              <w:jc w:val="center"/>
              <w:rPr>
                <w:rFonts w:cstheme="minorHAnsi"/>
                <w:sz w:val="18"/>
                <w:szCs w:val="18"/>
              </w:rPr>
            </w:pPr>
            <w:r w:rsidRPr="00E95667">
              <w:rPr>
                <w:rFonts w:cstheme="minorHAnsi"/>
                <w:sz w:val="18"/>
                <w:szCs w:val="18"/>
              </w:rPr>
              <w:t>0 (Not HUB Zone)</w:t>
            </w:r>
          </w:p>
        </w:tc>
        <w:tc>
          <w:tcPr>
            <w:tcW w:w="990" w:type="dxa"/>
            <w:vMerge w:val="restart"/>
            <w:vAlign w:val="center"/>
          </w:tcPr>
          <w:p w:rsidR="00DD3ACE" w:rsidRPr="00E95667" w:rsidRDefault="00DD3ACE" w:rsidP="00F6222E">
            <w:pPr>
              <w:jc w:val="center"/>
              <w:rPr>
                <w:rFonts w:cstheme="minorHAnsi"/>
                <w:sz w:val="18"/>
                <w:szCs w:val="18"/>
              </w:rPr>
            </w:pPr>
            <w:r w:rsidRPr="00E95667">
              <w:rPr>
                <w:rFonts w:cstheme="minorHAnsi"/>
                <w:sz w:val="18"/>
                <w:szCs w:val="18"/>
              </w:rPr>
              <w:t>1.24</w:t>
            </w:r>
          </w:p>
        </w:tc>
        <w:tc>
          <w:tcPr>
            <w:tcW w:w="1307" w:type="dxa"/>
            <w:vMerge w:val="restart"/>
            <w:vAlign w:val="center"/>
          </w:tcPr>
          <w:p w:rsidR="00DD3ACE" w:rsidRPr="00E95667" w:rsidRDefault="00DD3ACE" w:rsidP="00F6222E">
            <w:pPr>
              <w:jc w:val="center"/>
              <w:rPr>
                <w:rFonts w:cstheme="minorHAnsi"/>
                <w:sz w:val="18"/>
                <w:szCs w:val="18"/>
              </w:rPr>
            </w:pPr>
            <w:r w:rsidRPr="00E95667">
              <w:rPr>
                <w:rFonts w:cstheme="minorHAnsi"/>
                <w:sz w:val="18"/>
                <w:szCs w:val="18"/>
              </w:rPr>
              <w:t>.26</w:t>
            </w:r>
          </w:p>
        </w:tc>
      </w:tr>
      <w:tr w:rsidR="00DD3ACE" w:rsidRPr="00E95667" w:rsidTr="00F6222E">
        <w:trPr>
          <w:jc w:val="center"/>
        </w:trPr>
        <w:tc>
          <w:tcPr>
            <w:tcW w:w="2707" w:type="dxa"/>
            <w:vMerge/>
            <w:vAlign w:val="center"/>
          </w:tcPr>
          <w:p w:rsidR="00DD3ACE" w:rsidRPr="00E95667" w:rsidRDefault="00DD3ACE" w:rsidP="00F6222E">
            <w:pPr>
              <w:jc w:val="center"/>
              <w:rPr>
                <w:rFonts w:cstheme="minorHAnsi"/>
                <w:b/>
                <w:sz w:val="18"/>
                <w:szCs w:val="18"/>
              </w:rPr>
            </w:pPr>
          </w:p>
        </w:tc>
        <w:tc>
          <w:tcPr>
            <w:tcW w:w="2970" w:type="dxa"/>
            <w:vAlign w:val="center"/>
          </w:tcPr>
          <w:p w:rsidR="00DD3ACE" w:rsidRPr="00E95667" w:rsidRDefault="00DD3ACE" w:rsidP="00F6222E">
            <w:pPr>
              <w:jc w:val="center"/>
              <w:rPr>
                <w:rFonts w:cstheme="minorHAnsi"/>
                <w:sz w:val="18"/>
                <w:szCs w:val="18"/>
              </w:rPr>
            </w:pPr>
            <w:r w:rsidRPr="00E95667">
              <w:rPr>
                <w:rFonts w:cstheme="minorHAnsi"/>
                <w:sz w:val="18"/>
                <w:szCs w:val="18"/>
              </w:rPr>
              <w:t>1 (HUB Zone)</w:t>
            </w:r>
          </w:p>
        </w:tc>
        <w:tc>
          <w:tcPr>
            <w:tcW w:w="990" w:type="dxa"/>
            <w:vMerge/>
            <w:vAlign w:val="center"/>
          </w:tcPr>
          <w:p w:rsidR="00DD3ACE" w:rsidRPr="00E95667" w:rsidRDefault="00DD3ACE" w:rsidP="00F6222E">
            <w:pPr>
              <w:jc w:val="center"/>
              <w:rPr>
                <w:rFonts w:cstheme="minorHAnsi"/>
                <w:sz w:val="18"/>
                <w:szCs w:val="18"/>
              </w:rPr>
            </w:pPr>
          </w:p>
        </w:tc>
        <w:tc>
          <w:tcPr>
            <w:tcW w:w="1307" w:type="dxa"/>
            <w:vMerge/>
            <w:vAlign w:val="center"/>
          </w:tcPr>
          <w:p w:rsidR="00DD3ACE" w:rsidRPr="00E95667" w:rsidRDefault="00DD3ACE" w:rsidP="00F6222E">
            <w:pPr>
              <w:jc w:val="center"/>
              <w:rPr>
                <w:rFonts w:cstheme="minorHAnsi"/>
                <w:sz w:val="18"/>
                <w:szCs w:val="18"/>
              </w:rPr>
            </w:pPr>
          </w:p>
        </w:tc>
      </w:tr>
      <w:tr w:rsidR="00DD3ACE" w:rsidRPr="00E95667" w:rsidTr="00F6222E">
        <w:trPr>
          <w:trHeight w:val="287"/>
          <w:jc w:val="center"/>
        </w:trPr>
        <w:tc>
          <w:tcPr>
            <w:tcW w:w="2707" w:type="dxa"/>
            <w:vMerge w:val="restart"/>
            <w:vAlign w:val="center"/>
          </w:tcPr>
          <w:p w:rsidR="00DD3ACE" w:rsidRPr="00E95667" w:rsidRDefault="00DD3ACE" w:rsidP="00F6222E">
            <w:pPr>
              <w:jc w:val="center"/>
              <w:rPr>
                <w:rFonts w:cstheme="minorHAnsi"/>
                <w:b/>
                <w:sz w:val="18"/>
                <w:szCs w:val="18"/>
              </w:rPr>
            </w:pPr>
            <w:r w:rsidRPr="00E95667">
              <w:rPr>
                <w:rFonts w:cstheme="minorHAnsi"/>
                <w:b/>
                <w:sz w:val="18"/>
                <w:szCs w:val="18"/>
              </w:rPr>
              <w:t>Service Disabled Veteran Owned (SDVO)</w:t>
            </w:r>
          </w:p>
        </w:tc>
        <w:tc>
          <w:tcPr>
            <w:tcW w:w="2970" w:type="dxa"/>
            <w:vAlign w:val="center"/>
          </w:tcPr>
          <w:p w:rsidR="00DD3ACE" w:rsidRPr="00E95667" w:rsidRDefault="00DD3ACE" w:rsidP="00F6222E">
            <w:pPr>
              <w:jc w:val="center"/>
              <w:rPr>
                <w:rFonts w:cstheme="minorHAnsi"/>
                <w:sz w:val="18"/>
                <w:szCs w:val="18"/>
              </w:rPr>
            </w:pPr>
            <w:r w:rsidRPr="00E95667">
              <w:rPr>
                <w:rFonts w:cstheme="minorHAnsi"/>
                <w:sz w:val="18"/>
                <w:szCs w:val="18"/>
              </w:rPr>
              <w:t>0 (Not SDVO)</w:t>
            </w:r>
          </w:p>
        </w:tc>
        <w:tc>
          <w:tcPr>
            <w:tcW w:w="990" w:type="dxa"/>
            <w:vMerge w:val="restart"/>
            <w:vAlign w:val="center"/>
          </w:tcPr>
          <w:p w:rsidR="00DD3ACE" w:rsidRPr="00E95667" w:rsidRDefault="00DD3ACE" w:rsidP="00F6222E">
            <w:pPr>
              <w:jc w:val="center"/>
              <w:rPr>
                <w:rFonts w:cstheme="minorHAnsi"/>
                <w:sz w:val="18"/>
                <w:szCs w:val="18"/>
              </w:rPr>
            </w:pPr>
            <w:r w:rsidRPr="00E95667">
              <w:rPr>
                <w:rFonts w:cstheme="minorHAnsi"/>
                <w:sz w:val="18"/>
                <w:szCs w:val="18"/>
              </w:rPr>
              <w:t>14.5</w:t>
            </w:r>
          </w:p>
        </w:tc>
        <w:tc>
          <w:tcPr>
            <w:tcW w:w="1307" w:type="dxa"/>
            <w:vMerge w:val="restart"/>
            <w:vAlign w:val="center"/>
          </w:tcPr>
          <w:p w:rsidR="00DD3ACE" w:rsidRPr="00E95667" w:rsidRDefault="00DD3ACE" w:rsidP="00F6222E">
            <w:pPr>
              <w:jc w:val="center"/>
              <w:rPr>
                <w:rFonts w:cstheme="minorHAnsi"/>
                <w:sz w:val="18"/>
                <w:szCs w:val="18"/>
              </w:rPr>
            </w:pPr>
            <w:r w:rsidRPr="00E95667">
              <w:rPr>
                <w:rFonts w:cstheme="minorHAnsi"/>
                <w:sz w:val="18"/>
                <w:szCs w:val="18"/>
              </w:rPr>
              <w:t>.0001</w:t>
            </w:r>
          </w:p>
        </w:tc>
      </w:tr>
      <w:tr w:rsidR="00DD3ACE" w:rsidRPr="00E95667" w:rsidTr="00F6222E">
        <w:trPr>
          <w:jc w:val="center"/>
        </w:trPr>
        <w:tc>
          <w:tcPr>
            <w:tcW w:w="2707" w:type="dxa"/>
            <w:vMerge/>
            <w:vAlign w:val="center"/>
          </w:tcPr>
          <w:p w:rsidR="00DD3ACE" w:rsidRPr="00E95667" w:rsidRDefault="00DD3ACE" w:rsidP="00F6222E">
            <w:pPr>
              <w:jc w:val="center"/>
              <w:rPr>
                <w:rFonts w:cstheme="minorHAnsi"/>
                <w:b/>
                <w:sz w:val="18"/>
                <w:szCs w:val="18"/>
              </w:rPr>
            </w:pPr>
          </w:p>
        </w:tc>
        <w:tc>
          <w:tcPr>
            <w:tcW w:w="2970" w:type="dxa"/>
            <w:vAlign w:val="center"/>
          </w:tcPr>
          <w:p w:rsidR="00DD3ACE" w:rsidRPr="00E95667" w:rsidRDefault="00DD3ACE" w:rsidP="00F6222E">
            <w:pPr>
              <w:jc w:val="center"/>
              <w:rPr>
                <w:rFonts w:cstheme="minorHAnsi"/>
                <w:sz w:val="18"/>
                <w:szCs w:val="18"/>
              </w:rPr>
            </w:pPr>
            <w:r w:rsidRPr="00E95667">
              <w:rPr>
                <w:rFonts w:cstheme="minorHAnsi"/>
                <w:sz w:val="18"/>
                <w:szCs w:val="18"/>
              </w:rPr>
              <w:t>1 (SDVO)</w:t>
            </w:r>
          </w:p>
        </w:tc>
        <w:tc>
          <w:tcPr>
            <w:tcW w:w="990" w:type="dxa"/>
            <w:vMerge/>
            <w:vAlign w:val="center"/>
          </w:tcPr>
          <w:p w:rsidR="00DD3ACE" w:rsidRPr="00E95667" w:rsidRDefault="00DD3ACE" w:rsidP="00F6222E">
            <w:pPr>
              <w:jc w:val="center"/>
              <w:rPr>
                <w:rFonts w:cstheme="minorHAnsi"/>
                <w:sz w:val="18"/>
                <w:szCs w:val="18"/>
              </w:rPr>
            </w:pPr>
          </w:p>
        </w:tc>
        <w:tc>
          <w:tcPr>
            <w:tcW w:w="1307" w:type="dxa"/>
            <w:vMerge/>
            <w:vAlign w:val="center"/>
          </w:tcPr>
          <w:p w:rsidR="00DD3ACE" w:rsidRPr="00E95667" w:rsidRDefault="00DD3ACE" w:rsidP="00F6222E">
            <w:pPr>
              <w:jc w:val="center"/>
              <w:rPr>
                <w:rFonts w:cstheme="minorHAnsi"/>
                <w:sz w:val="18"/>
                <w:szCs w:val="18"/>
              </w:rPr>
            </w:pPr>
          </w:p>
        </w:tc>
      </w:tr>
      <w:tr w:rsidR="00DD3ACE" w:rsidRPr="00E95667" w:rsidTr="00F6222E">
        <w:trPr>
          <w:jc w:val="center"/>
        </w:trPr>
        <w:tc>
          <w:tcPr>
            <w:tcW w:w="2707" w:type="dxa"/>
            <w:vMerge w:val="restart"/>
            <w:vAlign w:val="center"/>
          </w:tcPr>
          <w:p w:rsidR="00DD3ACE" w:rsidRPr="00E95667" w:rsidRDefault="00DD3ACE" w:rsidP="00F6222E">
            <w:pPr>
              <w:jc w:val="center"/>
              <w:rPr>
                <w:rFonts w:cstheme="minorHAnsi"/>
                <w:b/>
                <w:sz w:val="18"/>
                <w:szCs w:val="18"/>
              </w:rPr>
            </w:pPr>
            <w:r w:rsidRPr="00E95667">
              <w:rPr>
                <w:rFonts w:cstheme="minorHAnsi"/>
                <w:b/>
                <w:sz w:val="18"/>
                <w:szCs w:val="18"/>
              </w:rPr>
              <w:t>Veteran Owned</w:t>
            </w:r>
          </w:p>
        </w:tc>
        <w:tc>
          <w:tcPr>
            <w:tcW w:w="2970" w:type="dxa"/>
            <w:vAlign w:val="center"/>
          </w:tcPr>
          <w:p w:rsidR="00DD3ACE" w:rsidRPr="00E95667" w:rsidRDefault="00DD3ACE" w:rsidP="00F6222E">
            <w:pPr>
              <w:jc w:val="center"/>
              <w:rPr>
                <w:rFonts w:cstheme="minorHAnsi"/>
                <w:sz w:val="18"/>
                <w:szCs w:val="18"/>
              </w:rPr>
            </w:pPr>
            <w:r w:rsidRPr="00E95667">
              <w:rPr>
                <w:rFonts w:cstheme="minorHAnsi"/>
                <w:sz w:val="18"/>
                <w:szCs w:val="18"/>
              </w:rPr>
              <w:t>0 (Not Veteran Owned)</w:t>
            </w:r>
          </w:p>
        </w:tc>
        <w:tc>
          <w:tcPr>
            <w:tcW w:w="990" w:type="dxa"/>
            <w:vMerge w:val="restart"/>
            <w:vAlign w:val="center"/>
          </w:tcPr>
          <w:p w:rsidR="00DD3ACE" w:rsidRPr="00E95667" w:rsidRDefault="00DD3ACE" w:rsidP="00F6222E">
            <w:pPr>
              <w:jc w:val="center"/>
              <w:rPr>
                <w:rFonts w:cstheme="minorHAnsi"/>
                <w:sz w:val="18"/>
                <w:szCs w:val="18"/>
              </w:rPr>
            </w:pPr>
            <w:r w:rsidRPr="00E95667">
              <w:rPr>
                <w:rFonts w:cstheme="minorHAnsi"/>
                <w:sz w:val="18"/>
                <w:szCs w:val="18"/>
              </w:rPr>
              <w:t>.12</w:t>
            </w:r>
          </w:p>
        </w:tc>
        <w:tc>
          <w:tcPr>
            <w:tcW w:w="1307" w:type="dxa"/>
            <w:vMerge w:val="restart"/>
            <w:vAlign w:val="center"/>
          </w:tcPr>
          <w:p w:rsidR="00DD3ACE" w:rsidRPr="00E95667" w:rsidRDefault="00DD3ACE" w:rsidP="00F6222E">
            <w:pPr>
              <w:jc w:val="center"/>
              <w:rPr>
                <w:rFonts w:cstheme="minorHAnsi"/>
                <w:sz w:val="18"/>
                <w:szCs w:val="18"/>
              </w:rPr>
            </w:pPr>
            <w:r w:rsidRPr="00E95667">
              <w:rPr>
                <w:rFonts w:cstheme="minorHAnsi"/>
                <w:sz w:val="18"/>
                <w:szCs w:val="18"/>
              </w:rPr>
              <w:t>.12</w:t>
            </w:r>
          </w:p>
        </w:tc>
      </w:tr>
      <w:tr w:rsidR="00DD3ACE" w:rsidRPr="00E95667" w:rsidTr="00F6222E">
        <w:trPr>
          <w:jc w:val="center"/>
        </w:trPr>
        <w:tc>
          <w:tcPr>
            <w:tcW w:w="2707" w:type="dxa"/>
            <w:vMerge/>
            <w:vAlign w:val="center"/>
          </w:tcPr>
          <w:p w:rsidR="00DD3ACE" w:rsidRPr="00E95667" w:rsidRDefault="00DD3ACE" w:rsidP="00F6222E">
            <w:pPr>
              <w:jc w:val="center"/>
              <w:rPr>
                <w:rFonts w:cstheme="minorHAnsi"/>
                <w:b/>
                <w:sz w:val="18"/>
                <w:szCs w:val="18"/>
              </w:rPr>
            </w:pPr>
          </w:p>
        </w:tc>
        <w:tc>
          <w:tcPr>
            <w:tcW w:w="2970" w:type="dxa"/>
            <w:vAlign w:val="center"/>
          </w:tcPr>
          <w:p w:rsidR="00DD3ACE" w:rsidRPr="00E95667" w:rsidRDefault="00DD3ACE" w:rsidP="00F6222E">
            <w:pPr>
              <w:jc w:val="center"/>
              <w:rPr>
                <w:rFonts w:cstheme="minorHAnsi"/>
                <w:sz w:val="18"/>
                <w:szCs w:val="18"/>
              </w:rPr>
            </w:pPr>
            <w:r w:rsidRPr="00E95667">
              <w:rPr>
                <w:rFonts w:cstheme="minorHAnsi"/>
                <w:sz w:val="18"/>
                <w:szCs w:val="18"/>
              </w:rPr>
              <w:t>1 (Veteran Owned)</w:t>
            </w:r>
          </w:p>
        </w:tc>
        <w:tc>
          <w:tcPr>
            <w:tcW w:w="990" w:type="dxa"/>
            <w:vMerge/>
            <w:vAlign w:val="center"/>
          </w:tcPr>
          <w:p w:rsidR="00DD3ACE" w:rsidRPr="00E95667" w:rsidRDefault="00DD3ACE" w:rsidP="00F6222E">
            <w:pPr>
              <w:jc w:val="center"/>
              <w:rPr>
                <w:rFonts w:cstheme="minorHAnsi"/>
                <w:sz w:val="18"/>
                <w:szCs w:val="18"/>
              </w:rPr>
            </w:pPr>
          </w:p>
        </w:tc>
        <w:tc>
          <w:tcPr>
            <w:tcW w:w="1307" w:type="dxa"/>
            <w:vMerge/>
            <w:vAlign w:val="center"/>
          </w:tcPr>
          <w:p w:rsidR="00DD3ACE" w:rsidRPr="00E95667" w:rsidRDefault="00DD3ACE" w:rsidP="00F6222E">
            <w:pPr>
              <w:jc w:val="center"/>
              <w:rPr>
                <w:rFonts w:cstheme="minorHAnsi"/>
                <w:sz w:val="18"/>
                <w:szCs w:val="18"/>
              </w:rPr>
            </w:pPr>
          </w:p>
        </w:tc>
      </w:tr>
      <w:tr w:rsidR="00DD3ACE" w:rsidRPr="00E95667" w:rsidTr="00F6222E">
        <w:trPr>
          <w:jc w:val="center"/>
        </w:trPr>
        <w:tc>
          <w:tcPr>
            <w:tcW w:w="2707" w:type="dxa"/>
            <w:vMerge w:val="restart"/>
            <w:vAlign w:val="center"/>
          </w:tcPr>
          <w:p w:rsidR="00DD3ACE" w:rsidRPr="00E95667" w:rsidRDefault="00DD3ACE" w:rsidP="00F6222E">
            <w:pPr>
              <w:jc w:val="center"/>
              <w:rPr>
                <w:rFonts w:cstheme="minorHAnsi"/>
                <w:b/>
                <w:sz w:val="18"/>
                <w:szCs w:val="18"/>
              </w:rPr>
            </w:pPr>
            <w:r w:rsidRPr="00E95667">
              <w:rPr>
                <w:rFonts w:cstheme="minorHAnsi"/>
                <w:b/>
                <w:sz w:val="18"/>
                <w:szCs w:val="18"/>
              </w:rPr>
              <w:t>Small Disadvantaged</w:t>
            </w:r>
          </w:p>
        </w:tc>
        <w:tc>
          <w:tcPr>
            <w:tcW w:w="2970" w:type="dxa"/>
            <w:vAlign w:val="center"/>
          </w:tcPr>
          <w:p w:rsidR="00DD3ACE" w:rsidRPr="00E95667" w:rsidRDefault="00DD3ACE" w:rsidP="00F6222E">
            <w:pPr>
              <w:jc w:val="center"/>
              <w:rPr>
                <w:rFonts w:cstheme="minorHAnsi"/>
                <w:sz w:val="18"/>
                <w:szCs w:val="18"/>
              </w:rPr>
            </w:pPr>
            <w:r w:rsidRPr="00E95667">
              <w:rPr>
                <w:rFonts w:cstheme="minorHAnsi"/>
                <w:sz w:val="18"/>
                <w:szCs w:val="18"/>
              </w:rPr>
              <w:t>0 (Not Small Disadvantaged)</w:t>
            </w:r>
          </w:p>
        </w:tc>
        <w:tc>
          <w:tcPr>
            <w:tcW w:w="990" w:type="dxa"/>
            <w:vMerge w:val="restart"/>
            <w:vAlign w:val="center"/>
          </w:tcPr>
          <w:p w:rsidR="00DD3ACE" w:rsidRPr="00E95667" w:rsidRDefault="00DD3ACE" w:rsidP="00F6222E">
            <w:pPr>
              <w:jc w:val="center"/>
              <w:rPr>
                <w:rFonts w:cstheme="minorHAnsi"/>
                <w:sz w:val="18"/>
                <w:szCs w:val="18"/>
              </w:rPr>
            </w:pPr>
            <w:r w:rsidRPr="00E95667">
              <w:rPr>
                <w:rFonts w:cstheme="minorHAnsi"/>
                <w:sz w:val="18"/>
                <w:szCs w:val="18"/>
              </w:rPr>
              <w:t>6.2</w:t>
            </w:r>
          </w:p>
        </w:tc>
        <w:tc>
          <w:tcPr>
            <w:tcW w:w="1307" w:type="dxa"/>
            <w:vMerge w:val="restart"/>
            <w:vAlign w:val="center"/>
          </w:tcPr>
          <w:p w:rsidR="00DD3ACE" w:rsidRPr="00E95667" w:rsidRDefault="00DD3ACE" w:rsidP="00F6222E">
            <w:pPr>
              <w:jc w:val="center"/>
              <w:rPr>
                <w:rFonts w:cstheme="minorHAnsi"/>
                <w:sz w:val="18"/>
                <w:szCs w:val="18"/>
              </w:rPr>
            </w:pPr>
            <w:r w:rsidRPr="00E95667">
              <w:rPr>
                <w:rFonts w:cstheme="minorHAnsi"/>
                <w:sz w:val="18"/>
                <w:szCs w:val="18"/>
              </w:rPr>
              <w:t>.013</w:t>
            </w:r>
          </w:p>
        </w:tc>
      </w:tr>
      <w:tr w:rsidR="00DD3ACE" w:rsidRPr="00E95667" w:rsidTr="00F6222E">
        <w:trPr>
          <w:jc w:val="center"/>
        </w:trPr>
        <w:tc>
          <w:tcPr>
            <w:tcW w:w="2707" w:type="dxa"/>
            <w:vMerge/>
          </w:tcPr>
          <w:p w:rsidR="00DD3ACE" w:rsidRPr="00E95667" w:rsidRDefault="00DD3ACE" w:rsidP="00F6222E">
            <w:pPr>
              <w:jc w:val="center"/>
              <w:rPr>
                <w:rFonts w:cstheme="minorHAnsi"/>
                <w:sz w:val="18"/>
                <w:szCs w:val="18"/>
              </w:rPr>
            </w:pPr>
          </w:p>
        </w:tc>
        <w:tc>
          <w:tcPr>
            <w:tcW w:w="2970" w:type="dxa"/>
          </w:tcPr>
          <w:p w:rsidR="00DD3ACE" w:rsidRPr="00E95667" w:rsidRDefault="00DD3ACE" w:rsidP="00F6222E">
            <w:pPr>
              <w:jc w:val="center"/>
              <w:rPr>
                <w:rFonts w:cstheme="minorHAnsi"/>
                <w:sz w:val="18"/>
                <w:szCs w:val="18"/>
              </w:rPr>
            </w:pPr>
            <w:r w:rsidRPr="00E95667">
              <w:rPr>
                <w:rFonts w:cstheme="minorHAnsi"/>
                <w:sz w:val="18"/>
                <w:szCs w:val="18"/>
              </w:rPr>
              <w:t>1 (Small Disadvantaged)</w:t>
            </w:r>
          </w:p>
        </w:tc>
        <w:tc>
          <w:tcPr>
            <w:tcW w:w="990" w:type="dxa"/>
            <w:vMerge/>
          </w:tcPr>
          <w:p w:rsidR="00DD3ACE" w:rsidRPr="00E95667" w:rsidRDefault="00DD3ACE" w:rsidP="00F6222E">
            <w:pPr>
              <w:jc w:val="center"/>
              <w:rPr>
                <w:rFonts w:cstheme="minorHAnsi"/>
                <w:sz w:val="18"/>
                <w:szCs w:val="18"/>
              </w:rPr>
            </w:pPr>
          </w:p>
        </w:tc>
        <w:tc>
          <w:tcPr>
            <w:tcW w:w="1307" w:type="dxa"/>
            <w:vMerge/>
          </w:tcPr>
          <w:p w:rsidR="00DD3ACE" w:rsidRPr="00E95667" w:rsidRDefault="00DD3ACE" w:rsidP="00F6222E">
            <w:pPr>
              <w:jc w:val="center"/>
              <w:rPr>
                <w:rFonts w:cstheme="minorHAnsi"/>
                <w:sz w:val="18"/>
                <w:szCs w:val="18"/>
              </w:rPr>
            </w:pPr>
          </w:p>
        </w:tc>
      </w:tr>
    </w:tbl>
    <w:p w:rsidR="00DD3ACE" w:rsidRDefault="00DD3ACE" w:rsidP="00DD3ACE"/>
    <w:p w:rsidR="00DD3ACE" w:rsidRDefault="00DD3ACE" w:rsidP="00DD3ACE">
      <w:r>
        <w:lastRenderedPageBreak/>
        <w:t xml:space="preserve">With the inherent weaknesses of the approach used to inform the theoretical distribution of supplier attributes noted, significant differences were detected between the theoretical and expected distributions of many of the attributes we assessed. </w:t>
      </w:r>
    </w:p>
    <w:p w:rsidR="00DD3ACE" w:rsidRDefault="00DD3ACE" w:rsidP="00DD3ACE">
      <w:r>
        <w:t xml:space="preserve">However, no action could be taken to account for those differences for two reasons. First, the approach utilized to inform theoretical distributions was not considered to be ideal. Despite the results of statistical testing, it was difficult for us to conclude with confidence the validity of this assessment. </w:t>
      </w:r>
    </w:p>
    <w:p w:rsidR="00DD3ACE" w:rsidRDefault="00DD3ACE" w:rsidP="00DD3ACE">
      <w:r>
        <w:t>Second, other factors were noted as also being likely contributors to variation in supplier attributes:</w:t>
      </w:r>
    </w:p>
    <w:p w:rsidR="00DD3ACE" w:rsidRDefault="00DD3ACE" w:rsidP="00DD3ACE">
      <w:pPr>
        <w:pStyle w:val="ListParagraph"/>
        <w:numPr>
          <w:ilvl w:val="0"/>
          <w:numId w:val="14"/>
        </w:numPr>
      </w:pPr>
      <w:r>
        <w:t xml:space="preserve">The target population for the most recent survey was modified. In previous iterations of the survey, the target population was defined as “All VA suppliers”. Beginning with this iteration of the survey, it was defined as “VA’s top 9000 suppliers”. </w:t>
      </w:r>
    </w:p>
    <w:p w:rsidR="00DD3ACE" w:rsidRDefault="00DD3ACE" w:rsidP="00DD3ACE">
      <w:pPr>
        <w:pStyle w:val="ListParagraph"/>
        <w:numPr>
          <w:ilvl w:val="0"/>
          <w:numId w:val="14"/>
        </w:numPr>
      </w:pPr>
      <w:r>
        <w:t xml:space="preserve">Natural changes to VA’s supplier composition are expected over time. This assessment compared two cross-sections of the VA supplier base at time periods roughly 2 years apart. </w:t>
      </w:r>
    </w:p>
    <w:p w:rsidR="00DD3ACE" w:rsidRDefault="00DD3ACE" w:rsidP="00DD3ACE">
      <w:pPr>
        <w:pStyle w:val="ListParagraph"/>
        <w:numPr>
          <w:ilvl w:val="0"/>
          <w:numId w:val="14"/>
        </w:numPr>
      </w:pPr>
      <w:r>
        <w:t>As of this iteration of the survey, a new data source was utilized for sampling frame development. The data source used for all prior iterations of the survey is no longer licensed by VA. However, we were unable to conduct a direct comparison of old vs. new data sources.</w:t>
      </w:r>
    </w:p>
    <w:p w:rsidR="00DD3ACE" w:rsidRDefault="00DD3ACE" w:rsidP="00DD3ACE">
      <w:pPr>
        <w:pStyle w:val="Heading2"/>
      </w:pPr>
      <w:r>
        <w:t>Non-Response Bias</w:t>
      </w:r>
    </w:p>
    <w:p w:rsidR="00DD3ACE" w:rsidRDefault="00DD3ACE" w:rsidP="00DD3ACE">
      <w:r>
        <w:t>Similarly, our assessment of non-response bias was limited to a more rudimentary assessment of the relationship between ‘response time’ and respondent rating of the VA Overall Procurement Process. However, even with this more basic approach, we detected directional differences in satisfaction ratings across different responder cohorts. Chart I.I illustrates average respondent rating of the VA overall procurement process based on respondent cohort. And in Figure I.I below we confirmed a significant difference between satisfaction of the first 50% of respondents and the final 50%.</w:t>
      </w:r>
    </w:p>
    <w:p w:rsidR="00DD3ACE" w:rsidRPr="009553B2" w:rsidRDefault="00DD3ACE" w:rsidP="00DD3ACE">
      <w:pPr>
        <w:jc w:val="center"/>
        <w:rPr>
          <w:b/>
          <w:i/>
        </w:rPr>
      </w:pPr>
      <w:r w:rsidRPr="009553B2">
        <w:rPr>
          <w:b/>
          <w:i/>
        </w:rPr>
        <w:t>Chart I.I Avg. Satisfaction by Response Cohort</w:t>
      </w:r>
    </w:p>
    <w:p w:rsidR="00DD3ACE" w:rsidRDefault="00DD3ACE" w:rsidP="00DD3ACE">
      <w:pPr>
        <w:jc w:val="center"/>
      </w:pPr>
      <w:r>
        <w:rPr>
          <w:noProof/>
        </w:rPr>
        <w:drawing>
          <wp:inline distT="0" distB="0" distL="0" distR="0">
            <wp:extent cx="4202076" cy="2105247"/>
            <wp:effectExtent l="19050" t="0" r="27024" b="9303"/>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D3ACE" w:rsidRDefault="00DD3ACE" w:rsidP="00DD3ACE"/>
    <w:p w:rsidR="00DD3ACE" w:rsidRDefault="00DD3ACE" w:rsidP="00DD3ACE"/>
    <w:p w:rsidR="00DD3ACE" w:rsidRDefault="00DD3ACE" w:rsidP="00DD3ACE"/>
    <w:p w:rsidR="00DD3ACE" w:rsidRPr="009553B2" w:rsidRDefault="00DD3ACE" w:rsidP="00DD3ACE">
      <w:pPr>
        <w:jc w:val="center"/>
        <w:rPr>
          <w:b/>
          <w:i/>
        </w:rPr>
      </w:pPr>
      <w:r w:rsidRPr="009553B2">
        <w:rPr>
          <w:b/>
          <w:i/>
        </w:rPr>
        <w:t>Figure I.I Wilcoxon Rank Sums Procedure</w:t>
      </w:r>
    </w:p>
    <w:p w:rsidR="00DD3ACE" w:rsidRDefault="00DD3ACE" w:rsidP="00DD3ACE">
      <w:pPr>
        <w:pStyle w:val="Heading1"/>
        <w:jc w:val="center"/>
      </w:pPr>
      <w:r>
        <w:rPr>
          <w:noProof/>
        </w:rPr>
        <w:drawing>
          <wp:inline distT="0" distB="0" distL="0" distR="0">
            <wp:extent cx="5116476" cy="3567663"/>
            <wp:effectExtent l="19050" t="0" r="797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19488" cy="3572540"/>
                    </a:xfrm>
                    <a:prstGeom prst="rect">
                      <a:avLst/>
                    </a:prstGeom>
                    <a:noFill/>
                  </pic:spPr>
                </pic:pic>
              </a:graphicData>
            </a:graphic>
          </wp:inline>
        </w:drawing>
      </w:r>
    </w:p>
    <w:p w:rsidR="00DD3ACE" w:rsidRDefault="00DD3ACE" w:rsidP="00DD3ACE"/>
    <w:p w:rsidR="00DD3ACE" w:rsidRDefault="00DD3ACE" w:rsidP="00DD3ACE">
      <w:r>
        <w:t xml:space="preserve">Response time and respondent satisfaction were positively associated. In this case, the use of a 2 week data collection window in which reminders were sent out to non-respondents mitigated what may have otherwise been a respondent pool heavily skewed in their perceptions toward VA. </w:t>
      </w:r>
    </w:p>
    <w:p w:rsidR="00DD3ACE" w:rsidRDefault="00DD3ACE" w:rsidP="00DD3ACE">
      <w:pPr>
        <w:pStyle w:val="Heading2"/>
      </w:pPr>
      <w:r>
        <w:t>Future Enhancements to Response Analysis</w:t>
      </w:r>
    </w:p>
    <w:p w:rsidR="00DD3ACE" w:rsidRDefault="00DD3ACE" w:rsidP="00DD3ACE">
      <w:r>
        <w:t xml:space="preserve">The limitations involved with our current responder analysis for the Supplier Perception Survey will be mitigated in future iterations of the survey. Additional data sources are currently being vetted that will allow for a more robust assessment of responder bias and representativeness. Additional information on the path forward is detailed in the document titled, “Enhancements to the Supplier Perception Survey Responder Analysis”. </w:t>
      </w:r>
    </w:p>
    <w:p w:rsidR="00DD3ACE" w:rsidRDefault="00DD3ACE" w:rsidP="00DD3ACE"/>
    <w:p w:rsidR="00DD3ACE" w:rsidRDefault="00DD3ACE" w:rsidP="00DD3ACE"/>
    <w:p w:rsidR="005F20DA" w:rsidRPr="00233383" w:rsidRDefault="005F20DA" w:rsidP="00F14E15"/>
    <w:sectPr w:rsidR="005F20DA" w:rsidRPr="00233383" w:rsidSect="00555B8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C42" w:rsidRDefault="00950C42" w:rsidP="00A22413">
      <w:pPr>
        <w:spacing w:after="0" w:line="240" w:lineRule="auto"/>
      </w:pPr>
      <w:r>
        <w:separator/>
      </w:r>
    </w:p>
  </w:endnote>
  <w:endnote w:type="continuationSeparator" w:id="0">
    <w:p w:rsidR="00950C42" w:rsidRDefault="00950C42" w:rsidP="00A224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8058104"/>
      <w:docPartObj>
        <w:docPartGallery w:val="Page Numbers (Bottom of Page)"/>
        <w:docPartUnique/>
      </w:docPartObj>
    </w:sdtPr>
    <w:sdtContent>
      <w:p w:rsidR="00016CC3" w:rsidRDefault="00016CC3">
        <w:pPr>
          <w:pStyle w:val="Footer"/>
          <w:jc w:val="right"/>
        </w:pPr>
        <w:fldSimple w:instr=" PAGE   \* MERGEFORMAT ">
          <w:r>
            <w:rPr>
              <w:noProof/>
            </w:rPr>
            <w:t>1</w:t>
          </w:r>
        </w:fldSimple>
      </w:p>
    </w:sdtContent>
  </w:sdt>
  <w:p w:rsidR="00016CC3" w:rsidRDefault="00016C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C42" w:rsidRDefault="00950C42" w:rsidP="00A22413">
      <w:pPr>
        <w:spacing w:after="0" w:line="240" w:lineRule="auto"/>
      </w:pPr>
      <w:r>
        <w:separator/>
      </w:r>
    </w:p>
  </w:footnote>
  <w:footnote w:type="continuationSeparator" w:id="0">
    <w:p w:rsidR="00950C42" w:rsidRDefault="00950C42" w:rsidP="00A224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64" w:rsidRPr="00607110" w:rsidRDefault="00B54564" w:rsidP="00A22413">
    <w:pPr>
      <w:pBdr>
        <w:bottom w:val="single" w:sz="4" w:space="1" w:color="2053A3"/>
        <w:between w:val="single" w:sz="4" w:space="1" w:color="2053A3"/>
      </w:pBdr>
      <w:tabs>
        <w:tab w:val="left" w:pos="390"/>
        <w:tab w:val="left" w:pos="3600"/>
        <w:tab w:val="left" w:pos="5040"/>
        <w:tab w:val="right" w:pos="9360"/>
        <w:tab w:val="right" w:pos="12960"/>
      </w:tabs>
      <w:spacing w:before="360"/>
      <w:rPr>
        <w:sz w:val="20"/>
      </w:rPr>
    </w:pPr>
    <w:r>
      <w:rPr>
        <w:noProof/>
      </w:rPr>
      <w:drawing>
        <wp:anchor distT="0" distB="0" distL="114300" distR="114300" simplePos="0" relativeHeight="251659264" behindDoc="1" locked="0" layoutInCell="1" allowOverlap="1">
          <wp:simplePos x="0" y="0"/>
          <wp:positionH relativeFrom="column">
            <wp:posOffset>-81915</wp:posOffset>
          </wp:positionH>
          <wp:positionV relativeFrom="paragraph">
            <wp:posOffset>1270</wp:posOffset>
          </wp:positionV>
          <wp:extent cx="914400" cy="420370"/>
          <wp:effectExtent l="19050" t="0" r="0" b="0"/>
          <wp:wrapNone/>
          <wp:docPr id="30" name="Picture 2" descr="Ambit Logo New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bit Logo New Colors"/>
                  <pic:cNvPicPr>
                    <a:picLocks noChangeAspect="1" noChangeArrowheads="1"/>
                  </pic:cNvPicPr>
                </pic:nvPicPr>
                <pic:blipFill>
                  <a:blip r:embed="rId1"/>
                  <a:srcRect/>
                  <a:stretch>
                    <a:fillRect/>
                  </a:stretch>
                </pic:blipFill>
                <pic:spPr bwMode="auto">
                  <a:xfrm>
                    <a:off x="0" y="0"/>
                    <a:ext cx="914400" cy="420370"/>
                  </a:xfrm>
                  <a:prstGeom prst="rect">
                    <a:avLst/>
                  </a:prstGeom>
                  <a:noFill/>
                </pic:spPr>
              </pic:pic>
            </a:graphicData>
          </a:graphic>
        </wp:anchor>
      </w:drawing>
    </w:r>
    <w:r w:rsidRPr="003370D0">
      <w:rPr>
        <w:rStyle w:val="PageNumber"/>
        <w:rFonts w:cs="Arial"/>
        <w:b/>
      </w:rPr>
      <w:tab/>
    </w:r>
    <w:r>
      <w:rPr>
        <w:rStyle w:val="PageNumber"/>
        <w:rFonts w:cs="Arial"/>
        <w:b/>
      </w:rPr>
      <w:tab/>
      <w:t xml:space="preserve">             </w:t>
    </w:r>
    <w:r w:rsidR="00DD3ACE" w:rsidRPr="00DD3ACE">
      <w:rPr>
        <w:rStyle w:val="PageNumber"/>
        <w:rFonts w:cs="Arial"/>
      </w:rPr>
      <w:t>Q1 FY2012</w:t>
    </w:r>
    <w:r w:rsidR="00DD3ACE">
      <w:rPr>
        <w:rStyle w:val="PageNumber"/>
        <w:rFonts w:cs="Arial"/>
        <w:b/>
      </w:rPr>
      <w:t xml:space="preserve"> </w:t>
    </w:r>
    <w:r w:rsidR="00DD3ACE">
      <w:rPr>
        <w:rStyle w:val="PageNumber"/>
        <w:rFonts w:cs="Arial"/>
      </w:rPr>
      <w:t xml:space="preserve">Supplier Perception Survey Response Analysis </w:t>
    </w:r>
  </w:p>
  <w:p w:rsidR="00B54564" w:rsidRDefault="00B545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7B8A"/>
    <w:multiLevelType w:val="hybridMultilevel"/>
    <w:tmpl w:val="6E76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F053F"/>
    <w:multiLevelType w:val="hybridMultilevel"/>
    <w:tmpl w:val="E9C6E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918D8"/>
    <w:multiLevelType w:val="hybridMultilevel"/>
    <w:tmpl w:val="B5D2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7115E"/>
    <w:multiLevelType w:val="hybridMultilevel"/>
    <w:tmpl w:val="CB06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5C45DE"/>
    <w:multiLevelType w:val="hybridMultilevel"/>
    <w:tmpl w:val="91DC2D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CB07E6"/>
    <w:multiLevelType w:val="hybridMultilevel"/>
    <w:tmpl w:val="857EDB46"/>
    <w:lvl w:ilvl="0" w:tplc="0409000B">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6">
    <w:nsid w:val="378229A7"/>
    <w:multiLevelType w:val="hybridMultilevel"/>
    <w:tmpl w:val="4984B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6C37B9"/>
    <w:multiLevelType w:val="hybridMultilevel"/>
    <w:tmpl w:val="F8B0FF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6E67FA"/>
    <w:multiLevelType w:val="hybridMultilevel"/>
    <w:tmpl w:val="51D02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846AD1"/>
    <w:multiLevelType w:val="hybridMultilevel"/>
    <w:tmpl w:val="4152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1F7524"/>
    <w:multiLevelType w:val="hybridMultilevel"/>
    <w:tmpl w:val="941EBE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BB5DDF"/>
    <w:multiLevelType w:val="hybridMultilevel"/>
    <w:tmpl w:val="0428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1429E9"/>
    <w:multiLevelType w:val="hybridMultilevel"/>
    <w:tmpl w:val="2806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572813"/>
    <w:multiLevelType w:val="hybridMultilevel"/>
    <w:tmpl w:val="2668C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1303EC"/>
    <w:multiLevelType w:val="hybridMultilevel"/>
    <w:tmpl w:val="2D5E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9"/>
  </w:num>
  <w:num w:numId="5">
    <w:abstractNumId w:val="2"/>
  </w:num>
  <w:num w:numId="6">
    <w:abstractNumId w:val="3"/>
  </w:num>
  <w:num w:numId="7">
    <w:abstractNumId w:val="8"/>
  </w:num>
  <w:num w:numId="8">
    <w:abstractNumId w:val="6"/>
  </w:num>
  <w:num w:numId="9">
    <w:abstractNumId w:val="14"/>
  </w:num>
  <w:num w:numId="10">
    <w:abstractNumId w:val="4"/>
  </w:num>
  <w:num w:numId="11">
    <w:abstractNumId w:val="11"/>
  </w:num>
  <w:num w:numId="12">
    <w:abstractNumId w:val="7"/>
  </w:num>
  <w:num w:numId="13">
    <w:abstractNumId w:val="10"/>
  </w:num>
  <w:num w:numId="14">
    <w:abstractNumId w:val="1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33383"/>
    <w:rsid w:val="00016CC3"/>
    <w:rsid w:val="00017294"/>
    <w:rsid w:val="000419BA"/>
    <w:rsid w:val="000905A9"/>
    <w:rsid w:val="00093383"/>
    <w:rsid w:val="000D637B"/>
    <w:rsid w:val="000F5F28"/>
    <w:rsid w:val="00103219"/>
    <w:rsid w:val="00121482"/>
    <w:rsid w:val="0020688D"/>
    <w:rsid w:val="00233383"/>
    <w:rsid w:val="0025642C"/>
    <w:rsid w:val="00297305"/>
    <w:rsid w:val="002A2094"/>
    <w:rsid w:val="002B4829"/>
    <w:rsid w:val="002D2BCA"/>
    <w:rsid w:val="002F4C51"/>
    <w:rsid w:val="00313ECB"/>
    <w:rsid w:val="00335AFD"/>
    <w:rsid w:val="0037154D"/>
    <w:rsid w:val="003A761E"/>
    <w:rsid w:val="003E3EBD"/>
    <w:rsid w:val="0042550D"/>
    <w:rsid w:val="00490465"/>
    <w:rsid w:val="004A0EC7"/>
    <w:rsid w:val="004D097E"/>
    <w:rsid w:val="00555B83"/>
    <w:rsid w:val="005A7975"/>
    <w:rsid w:val="005B1C41"/>
    <w:rsid w:val="005D0518"/>
    <w:rsid w:val="005E26CE"/>
    <w:rsid w:val="005F1046"/>
    <w:rsid w:val="005F20DA"/>
    <w:rsid w:val="006842DF"/>
    <w:rsid w:val="00696DB7"/>
    <w:rsid w:val="006A0144"/>
    <w:rsid w:val="006B4A7F"/>
    <w:rsid w:val="006C43DD"/>
    <w:rsid w:val="006C47DE"/>
    <w:rsid w:val="006D631F"/>
    <w:rsid w:val="00714830"/>
    <w:rsid w:val="00767753"/>
    <w:rsid w:val="00791734"/>
    <w:rsid w:val="007E1DC8"/>
    <w:rsid w:val="00830E81"/>
    <w:rsid w:val="00865AF3"/>
    <w:rsid w:val="008929D8"/>
    <w:rsid w:val="008C0507"/>
    <w:rsid w:val="009132A2"/>
    <w:rsid w:val="00920990"/>
    <w:rsid w:val="009361B9"/>
    <w:rsid w:val="00950C42"/>
    <w:rsid w:val="00954539"/>
    <w:rsid w:val="00990BFE"/>
    <w:rsid w:val="00995643"/>
    <w:rsid w:val="009C54F7"/>
    <w:rsid w:val="009D60B3"/>
    <w:rsid w:val="009F798B"/>
    <w:rsid w:val="00A1567F"/>
    <w:rsid w:val="00A22413"/>
    <w:rsid w:val="00B01DD4"/>
    <w:rsid w:val="00B377BD"/>
    <w:rsid w:val="00B54564"/>
    <w:rsid w:val="00BF6BE6"/>
    <w:rsid w:val="00C04ED2"/>
    <w:rsid w:val="00C12900"/>
    <w:rsid w:val="00C4421A"/>
    <w:rsid w:val="00C5444B"/>
    <w:rsid w:val="00D179E3"/>
    <w:rsid w:val="00D301D0"/>
    <w:rsid w:val="00D50708"/>
    <w:rsid w:val="00D51ACB"/>
    <w:rsid w:val="00D72A37"/>
    <w:rsid w:val="00D97A8A"/>
    <w:rsid w:val="00DD3ACE"/>
    <w:rsid w:val="00DF2A28"/>
    <w:rsid w:val="00DF7CEB"/>
    <w:rsid w:val="00E072E7"/>
    <w:rsid w:val="00E15185"/>
    <w:rsid w:val="00E16DF7"/>
    <w:rsid w:val="00E40F8F"/>
    <w:rsid w:val="00EC5D0C"/>
    <w:rsid w:val="00ED69E3"/>
    <w:rsid w:val="00EE6EEB"/>
    <w:rsid w:val="00EF687F"/>
    <w:rsid w:val="00F14E15"/>
    <w:rsid w:val="00F23BFB"/>
    <w:rsid w:val="00F3481C"/>
    <w:rsid w:val="00F36A63"/>
    <w:rsid w:val="00F649F2"/>
    <w:rsid w:val="00FC487D"/>
    <w:rsid w:val="00FF3D4B"/>
    <w:rsid w:val="00FF4D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ACE"/>
  </w:style>
  <w:style w:type="paragraph" w:styleId="Heading1">
    <w:name w:val="heading 1"/>
    <w:basedOn w:val="Normal"/>
    <w:next w:val="Normal"/>
    <w:link w:val="Heading1Char"/>
    <w:uiPriority w:val="9"/>
    <w:qFormat/>
    <w:rsid w:val="005F20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33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2A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33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F2A2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F20DA"/>
    <w:pPr>
      <w:ind w:left="720"/>
      <w:contextualSpacing/>
    </w:pPr>
  </w:style>
  <w:style w:type="character" w:customStyle="1" w:styleId="Heading1Char">
    <w:name w:val="Heading 1 Char"/>
    <w:basedOn w:val="DefaultParagraphFont"/>
    <w:link w:val="Heading1"/>
    <w:uiPriority w:val="9"/>
    <w:rsid w:val="005F20D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A224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2413"/>
  </w:style>
  <w:style w:type="paragraph" w:styleId="Footer">
    <w:name w:val="footer"/>
    <w:basedOn w:val="Normal"/>
    <w:link w:val="FooterChar"/>
    <w:uiPriority w:val="99"/>
    <w:unhideWhenUsed/>
    <w:rsid w:val="00A22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413"/>
  </w:style>
  <w:style w:type="character" w:styleId="PageNumber">
    <w:name w:val="page number"/>
    <w:basedOn w:val="DefaultParagraphFont"/>
    <w:uiPriority w:val="99"/>
    <w:rsid w:val="00A22413"/>
    <w:rPr>
      <w:rFonts w:cs="Times New Roman"/>
    </w:rPr>
  </w:style>
  <w:style w:type="paragraph" w:styleId="BalloonText">
    <w:name w:val="Balloon Text"/>
    <w:basedOn w:val="Normal"/>
    <w:link w:val="BalloonTextChar"/>
    <w:uiPriority w:val="99"/>
    <w:semiHidden/>
    <w:unhideWhenUsed/>
    <w:rsid w:val="00A22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413"/>
    <w:rPr>
      <w:rFonts w:ascii="Tahoma" w:hAnsi="Tahoma" w:cs="Tahoma"/>
      <w:sz w:val="16"/>
      <w:szCs w:val="16"/>
    </w:rPr>
  </w:style>
  <w:style w:type="character" w:styleId="CommentReference">
    <w:name w:val="annotation reference"/>
    <w:basedOn w:val="DefaultParagraphFont"/>
    <w:uiPriority w:val="99"/>
    <w:semiHidden/>
    <w:unhideWhenUsed/>
    <w:rsid w:val="0042550D"/>
    <w:rPr>
      <w:sz w:val="16"/>
      <w:szCs w:val="16"/>
    </w:rPr>
  </w:style>
  <w:style w:type="paragraph" w:styleId="CommentText">
    <w:name w:val="annotation text"/>
    <w:basedOn w:val="Normal"/>
    <w:link w:val="CommentTextChar"/>
    <w:uiPriority w:val="99"/>
    <w:semiHidden/>
    <w:unhideWhenUsed/>
    <w:rsid w:val="0042550D"/>
    <w:pPr>
      <w:spacing w:line="240" w:lineRule="auto"/>
    </w:pPr>
    <w:rPr>
      <w:sz w:val="20"/>
      <w:szCs w:val="20"/>
    </w:rPr>
  </w:style>
  <w:style w:type="character" w:customStyle="1" w:styleId="CommentTextChar">
    <w:name w:val="Comment Text Char"/>
    <w:basedOn w:val="DefaultParagraphFont"/>
    <w:link w:val="CommentText"/>
    <w:uiPriority w:val="99"/>
    <w:semiHidden/>
    <w:rsid w:val="0042550D"/>
    <w:rPr>
      <w:sz w:val="20"/>
      <w:szCs w:val="20"/>
    </w:rPr>
  </w:style>
  <w:style w:type="paragraph" w:styleId="CommentSubject">
    <w:name w:val="annotation subject"/>
    <w:basedOn w:val="CommentText"/>
    <w:next w:val="CommentText"/>
    <w:link w:val="CommentSubjectChar"/>
    <w:uiPriority w:val="99"/>
    <w:semiHidden/>
    <w:unhideWhenUsed/>
    <w:rsid w:val="0042550D"/>
    <w:rPr>
      <w:b/>
      <w:bCs/>
    </w:rPr>
  </w:style>
  <w:style w:type="character" w:customStyle="1" w:styleId="CommentSubjectChar">
    <w:name w:val="Comment Subject Char"/>
    <w:basedOn w:val="CommentTextChar"/>
    <w:link w:val="CommentSubject"/>
    <w:uiPriority w:val="99"/>
    <w:semiHidden/>
    <w:rsid w:val="0042550D"/>
    <w:rPr>
      <w:b/>
      <w:bCs/>
    </w:rPr>
  </w:style>
  <w:style w:type="character" w:styleId="Hyperlink">
    <w:name w:val="Hyperlink"/>
    <w:basedOn w:val="DefaultParagraphFont"/>
    <w:uiPriority w:val="99"/>
    <w:unhideWhenUsed/>
    <w:rsid w:val="00B54564"/>
    <w:rPr>
      <w:color w:val="0000FF" w:themeColor="hyperlink"/>
      <w:u w:val="single"/>
    </w:rPr>
  </w:style>
  <w:style w:type="table" w:styleId="TableGrid">
    <w:name w:val="Table Grid"/>
    <w:basedOn w:val="TableNormal"/>
    <w:uiPriority w:val="59"/>
    <w:rsid w:val="00DD3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dLbls>
            <c:txPr>
              <a:bodyPr/>
              <a:lstStyle/>
              <a:p>
                <a:pPr>
                  <a:defRPr sz="900" b="1"/>
                </a:pPr>
                <a:endParaRPr lang="en-US"/>
              </a:p>
            </c:txPr>
            <c:showVal val="1"/>
          </c:dLbls>
          <c:cat>
            <c:strRef>
              <c:f>Sheet1!$A$2:$A$4</c:f>
              <c:strCache>
                <c:ptCount val="3"/>
                <c:pt idx="0">
                  <c:v>Initial Responses</c:v>
                </c:pt>
                <c:pt idx="1">
                  <c:v>Responses After 1st Reminder</c:v>
                </c:pt>
                <c:pt idx="2">
                  <c:v>Response After 2nd Reminder</c:v>
                </c:pt>
              </c:strCache>
            </c:strRef>
          </c:cat>
          <c:val>
            <c:numRef>
              <c:f>Sheet1!$B$2:$B$4</c:f>
              <c:numCache>
                <c:formatCode>General</c:formatCode>
                <c:ptCount val="3"/>
                <c:pt idx="0">
                  <c:v>2.8899999999999997</c:v>
                </c:pt>
                <c:pt idx="1">
                  <c:v>2.9699999999999998</c:v>
                </c:pt>
                <c:pt idx="2">
                  <c:v>3.13</c:v>
                </c:pt>
              </c:numCache>
            </c:numRef>
          </c:val>
        </c:ser>
        <c:axId val="45371392"/>
        <c:axId val="45372928"/>
      </c:barChart>
      <c:catAx>
        <c:axId val="45371392"/>
        <c:scaling>
          <c:orientation val="minMax"/>
        </c:scaling>
        <c:axPos val="b"/>
        <c:tickLblPos val="nextTo"/>
        <c:txPr>
          <a:bodyPr/>
          <a:lstStyle/>
          <a:p>
            <a:pPr>
              <a:defRPr sz="900"/>
            </a:pPr>
            <a:endParaRPr lang="en-US"/>
          </a:p>
        </c:txPr>
        <c:crossAx val="45372928"/>
        <c:crosses val="autoZero"/>
        <c:auto val="1"/>
        <c:lblAlgn val="ctr"/>
        <c:lblOffset val="100"/>
      </c:catAx>
      <c:valAx>
        <c:axId val="45372928"/>
        <c:scaling>
          <c:orientation val="minMax"/>
          <c:max val="3.15"/>
          <c:min val="2.75"/>
        </c:scaling>
        <c:axPos val="l"/>
        <c:numFmt formatCode="General" sourceLinked="1"/>
        <c:tickLblPos val="nextTo"/>
        <c:txPr>
          <a:bodyPr/>
          <a:lstStyle/>
          <a:p>
            <a:pPr>
              <a:defRPr sz="900"/>
            </a:pPr>
            <a:endParaRPr lang="en-US"/>
          </a:p>
        </c:txPr>
        <c:crossAx val="45371392"/>
        <c:crosses val="autoZero"/>
        <c:crossBetween val="between"/>
        <c:majorUnit val="0.4"/>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Wilkerson</dc:creator>
  <cp:lastModifiedBy>Nick Wilkerson</cp:lastModifiedBy>
  <cp:revision>2</cp:revision>
  <dcterms:created xsi:type="dcterms:W3CDTF">2012-04-30T18:31:00Z</dcterms:created>
  <dcterms:modified xsi:type="dcterms:W3CDTF">2012-04-30T18:31:00Z</dcterms:modified>
</cp:coreProperties>
</file>