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779" w:rsidRPr="00F56245" w:rsidRDefault="00F56245" w:rsidP="00F56245">
      <w:pPr>
        <w:jc w:val="center"/>
        <w:rPr>
          <w:b/>
        </w:rPr>
      </w:pPr>
      <w:r w:rsidRPr="00F56245">
        <w:rPr>
          <w:b/>
        </w:rPr>
        <w:t>SUPPORTING STATEMENT</w:t>
      </w:r>
    </w:p>
    <w:p w:rsidR="00F56245" w:rsidRDefault="00F56245" w:rsidP="00F56245">
      <w:pPr>
        <w:jc w:val="center"/>
        <w:rPr>
          <w:b/>
          <w:bCs/>
        </w:rPr>
      </w:pPr>
      <w:r>
        <w:rPr>
          <w:b/>
          <w:bCs/>
        </w:rPr>
        <w:t>ENVIRONMENTAL PROTECTION AGENCY</w:t>
      </w:r>
    </w:p>
    <w:p w:rsidR="00F56245" w:rsidRDefault="00F56245">
      <w:pPr>
        <w:jc w:val="center"/>
        <w:rPr>
          <w:b/>
          <w:bCs/>
        </w:rPr>
      </w:pPr>
    </w:p>
    <w:p w:rsidR="00A55779" w:rsidRPr="00CD0E53" w:rsidRDefault="00A55779" w:rsidP="00F56245">
      <w:pPr>
        <w:rPr>
          <w:b/>
          <w:bCs/>
        </w:rPr>
      </w:pPr>
      <w:r>
        <w:rPr>
          <w:b/>
          <w:bCs/>
        </w:rPr>
        <w:t xml:space="preserve">NESHAP for Shipbuilding and Ship Repair Facilities </w:t>
      </w:r>
      <w:r w:rsidR="00CD00EC">
        <w:rPr>
          <w:b/>
          <w:bCs/>
        </w:rPr>
        <w:t xml:space="preserve">- </w:t>
      </w:r>
      <w:r>
        <w:rPr>
          <w:b/>
          <w:bCs/>
        </w:rPr>
        <w:t>Surface Coating</w:t>
      </w:r>
      <w:r w:rsidR="00F56245">
        <w:rPr>
          <w:b/>
          <w:bCs/>
        </w:rPr>
        <w:t xml:space="preserve"> </w:t>
      </w:r>
      <w:r>
        <w:rPr>
          <w:b/>
          <w:bCs/>
        </w:rPr>
        <w:t xml:space="preserve">(40 CFR </w:t>
      </w:r>
      <w:r w:rsidR="000B4E44">
        <w:rPr>
          <w:b/>
          <w:bCs/>
        </w:rPr>
        <w:t>P</w:t>
      </w:r>
      <w:r>
        <w:rPr>
          <w:b/>
          <w:bCs/>
        </w:rPr>
        <w:t xml:space="preserve">art 63, </w:t>
      </w:r>
      <w:r w:rsidR="000B4E44">
        <w:rPr>
          <w:b/>
          <w:bCs/>
        </w:rPr>
        <w:t>S</w:t>
      </w:r>
      <w:r>
        <w:rPr>
          <w:b/>
          <w:bCs/>
        </w:rPr>
        <w:t>ubpart II</w:t>
      </w:r>
      <w:r>
        <w:rPr>
          <w:b/>
          <w:bCs/>
          <w:i/>
          <w:iCs/>
        </w:rPr>
        <w:t>)</w:t>
      </w:r>
      <w:r w:rsidR="00CD0E53">
        <w:rPr>
          <w:b/>
          <w:bCs/>
          <w:iCs/>
        </w:rPr>
        <w:t xml:space="preserve"> (Final Rule)</w:t>
      </w:r>
    </w:p>
    <w:p w:rsidR="00A55779" w:rsidRDefault="00A55779"/>
    <w:p w:rsidR="00A55779" w:rsidRDefault="00A55779">
      <w:pPr>
        <w:rPr>
          <w:b/>
          <w:bCs/>
        </w:rPr>
      </w:pPr>
      <w:r>
        <w:rPr>
          <w:b/>
          <w:bCs/>
        </w:rPr>
        <w:t>1.  Identification of the Information Collection</w:t>
      </w:r>
    </w:p>
    <w:p w:rsidR="00A55779" w:rsidRDefault="00A55779">
      <w:pPr>
        <w:rPr>
          <w:b/>
          <w:bCs/>
        </w:rPr>
      </w:pPr>
    </w:p>
    <w:p w:rsidR="00A55779" w:rsidRDefault="00A55779">
      <w:pPr>
        <w:ind w:firstLine="720"/>
        <w:rPr>
          <w:b/>
          <w:bCs/>
        </w:rPr>
      </w:pPr>
      <w:r>
        <w:rPr>
          <w:b/>
          <w:bCs/>
        </w:rPr>
        <w:t>1(a</w:t>
      </w:r>
      <w:proofErr w:type="gramStart"/>
      <w:r>
        <w:rPr>
          <w:b/>
          <w:bCs/>
        </w:rPr>
        <w:t>)  Title</w:t>
      </w:r>
      <w:proofErr w:type="gramEnd"/>
      <w:r>
        <w:rPr>
          <w:b/>
          <w:bCs/>
        </w:rPr>
        <w:t xml:space="preserve"> of the Information Collection</w:t>
      </w:r>
    </w:p>
    <w:p w:rsidR="00A55779" w:rsidRDefault="00A55779">
      <w:pPr>
        <w:rPr>
          <w:b/>
          <w:bCs/>
        </w:rPr>
      </w:pPr>
    </w:p>
    <w:p w:rsidR="00A55779" w:rsidRPr="0012564A" w:rsidRDefault="00A55779" w:rsidP="0012564A">
      <w:pPr>
        <w:rPr>
          <w:b/>
          <w:bCs/>
        </w:rPr>
      </w:pPr>
      <w:r>
        <w:t xml:space="preserve">NESHAP for Shipbuilding and Ship Repair Facilities </w:t>
      </w:r>
      <w:r w:rsidR="00CD00EC">
        <w:t xml:space="preserve">- </w:t>
      </w:r>
      <w:r>
        <w:t xml:space="preserve">Surface Coating (40 CFR </w:t>
      </w:r>
      <w:r w:rsidR="007A7912">
        <w:t>P</w:t>
      </w:r>
      <w:r>
        <w:t xml:space="preserve">art 63, </w:t>
      </w:r>
      <w:r w:rsidR="007A7912">
        <w:t>S</w:t>
      </w:r>
      <w:r>
        <w:t>ubpart II)</w:t>
      </w:r>
      <w:proofErr w:type="gramStart"/>
      <w:r w:rsidR="00CD0E53">
        <w:t>,</w:t>
      </w:r>
      <w:r w:rsidR="0012564A">
        <w:rPr>
          <w:b/>
          <w:bCs/>
        </w:rPr>
        <w:t xml:space="preserve">  </w:t>
      </w:r>
      <w:r w:rsidR="0012564A" w:rsidRPr="00CD0E53">
        <w:rPr>
          <w:bCs/>
        </w:rPr>
        <w:t>EPA</w:t>
      </w:r>
      <w:proofErr w:type="gramEnd"/>
      <w:r w:rsidR="0012564A" w:rsidRPr="00CD0E53">
        <w:rPr>
          <w:bCs/>
        </w:rPr>
        <w:t xml:space="preserve"> ICR Number 1712.</w:t>
      </w:r>
      <w:r w:rsidR="0097206E" w:rsidRPr="00CD0E53">
        <w:rPr>
          <w:bCs/>
        </w:rPr>
        <w:t>08</w:t>
      </w:r>
      <w:r w:rsidR="0012564A" w:rsidRPr="00CD0E53">
        <w:rPr>
          <w:bCs/>
        </w:rPr>
        <w:t>, OMB Control Number 2060-0330</w:t>
      </w:r>
    </w:p>
    <w:p w:rsidR="00A55779" w:rsidRDefault="00A55779">
      <w:pPr>
        <w:rPr>
          <w:b/>
          <w:bCs/>
        </w:rPr>
      </w:pPr>
    </w:p>
    <w:p w:rsidR="00A55779" w:rsidRDefault="00A55779">
      <w:pPr>
        <w:ind w:firstLine="720"/>
      </w:pPr>
      <w:r>
        <w:rPr>
          <w:b/>
          <w:bCs/>
        </w:rPr>
        <w:t>1(b</w:t>
      </w:r>
      <w:proofErr w:type="gramStart"/>
      <w:r>
        <w:rPr>
          <w:b/>
          <w:bCs/>
        </w:rPr>
        <w:t>)  Short</w:t>
      </w:r>
      <w:proofErr w:type="gramEnd"/>
      <w:r>
        <w:rPr>
          <w:b/>
          <w:bCs/>
        </w:rPr>
        <w:t xml:space="preserve"> Characterization/Abstract</w:t>
      </w:r>
    </w:p>
    <w:p w:rsidR="00A55779" w:rsidRDefault="00A55779"/>
    <w:p w:rsidR="00A55779" w:rsidRDefault="00A55779">
      <w:pPr>
        <w:ind w:firstLine="720"/>
      </w:pPr>
      <w:r>
        <w:t>The National Emission Standards for Hazardous Air Pollutants</w:t>
      </w:r>
      <w:r w:rsidR="000B2B14">
        <w:t xml:space="preserve"> – Maximum Achievable Control Technology</w:t>
      </w:r>
      <w:r>
        <w:t xml:space="preserve"> (NESHAP-MACT) for the regulations published at 40 CFR </w:t>
      </w:r>
      <w:proofErr w:type="gramStart"/>
      <w:r>
        <w:t>part</w:t>
      </w:r>
      <w:proofErr w:type="gramEnd"/>
      <w:r>
        <w:t xml:space="preserve"> 63, subpart II were proposed on December 6, 1994 and promulgated on December 15, 1995.  These regulations apply to shipbuilding and repair facilities that are major sources of hazardous air pollutants (HAP), commencing construction, modification, or reconstruction after the date of proposal.  This information is being collected to assure compliance with 40 CFR </w:t>
      </w:r>
      <w:proofErr w:type="gramStart"/>
      <w:r>
        <w:t>part</w:t>
      </w:r>
      <w:proofErr w:type="gramEnd"/>
      <w:r>
        <w:t xml:space="preserve"> 63, subpart II.</w:t>
      </w:r>
    </w:p>
    <w:p w:rsidR="00A55779" w:rsidRDefault="00A55779"/>
    <w:p w:rsidR="00A55779" w:rsidRDefault="00A55779">
      <w:pPr>
        <w:ind w:firstLine="720"/>
      </w:pPr>
      <w:r>
        <w:t>In general, all NESHAP-MACT standards require initial notifications, performance tests, and periodic reports.  Owners or operators are also required to maintain records of the occurrence and duration of any startup, shutdown, or malfunction in the operation of an affected facility, or any period during which the monitoring system is inoperative.  These notifications, reports, and records are esse</w:t>
      </w:r>
      <w:r w:rsidR="00F972C0">
        <w:t>ntial in determining compliance</w:t>
      </w:r>
      <w:r>
        <w:t xml:space="preserve"> and are required of all sources subject to NESHAP-MACT.</w:t>
      </w:r>
    </w:p>
    <w:p w:rsidR="00A55779" w:rsidRDefault="00A55779"/>
    <w:p w:rsidR="00A55779" w:rsidRDefault="00A55779">
      <w:pPr>
        <w:ind w:firstLine="720"/>
      </w:pPr>
      <w:r>
        <w:t xml:space="preserve">Owners or operators of shipbuilding and ship repair facilities to which this regulation is applicable must choose one of the four compliance options described in the final rule or install and monitor a specific control system to control coating emissions and </w:t>
      </w:r>
      <w:r w:rsidR="00F972C0">
        <w:t xml:space="preserve">to </w:t>
      </w:r>
      <w:r>
        <w:t xml:space="preserve">reduce HAP emissions to the compliance level.  The respondents would be subject to sections of subpart </w:t>
      </w:r>
      <w:proofErr w:type="gramStart"/>
      <w:r>
        <w:t>A</w:t>
      </w:r>
      <w:proofErr w:type="gramEnd"/>
      <w:r>
        <w:t xml:space="preserve"> relating to national emission standards for hazardous air pollutants.  These requirements include those associated with the initial notification and the notification of compliance </w:t>
      </w:r>
      <w:r w:rsidR="00F972C0">
        <w:t>status for the first six months</w:t>
      </w:r>
      <w:r>
        <w:t xml:space="preserve"> and every six months thereafter.  In addition, respondents would be required to submit with the initial notification an implementation plan that describes th</w:t>
      </w:r>
      <w:r w:rsidR="00F972C0">
        <w:t>e coating compliance procedures, recordkeeping procedures,</w:t>
      </w:r>
      <w:r>
        <w:t xml:space="preserve"> and transfer, handling, and storage procedures that the source intends to use.</w:t>
      </w:r>
    </w:p>
    <w:p w:rsidR="00A55779" w:rsidRDefault="00A55779"/>
    <w:p w:rsidR="00A55779" w:rsidRDefault="00A55779" w:rsidP="00F56245">
      <w:pPr>
        <w:ind w:firstLine="720"/>
      </w:pPr>
      <w:r>
        <w:t xml:space="preserve">Respondents choosing any of the four compliance options described in the final rule must record the following:  the total volume of coating applied at the source to ships; the volume of each low-usage-exempt coating applied; the identities of the coatings used, their appropriate coating categories, and applicable volatile organic hazardous air pollutants (VOHAP) limits; certifications of the as-supplied volatile organic compounds (VOC) content of each batch of </w:t>
      </w:r>
      <w:r>
        <w:lastRenderedPageBreak/>
        <w:t>coating; a determination of whether containers meet the standards; and the results of any Method 24 or approved VOHAP measurement test conducted on individual containers of coating, as applied.</w:t>
      </w:r>
    </w:p>
    <w:p w:rsidR="00A55779" w:rsidRDefault="00A55779"/>
    <w:p w:rsidR="004304EC" w:rsidRDefault="00A55779">
      <w:pPr>
        <w:ind w:firstLine="720"/>
      </w:pPr>
      <w:r>
        <w:t>Any owner or operator subject to the provisions of this part shall maintain a file of these measurements, and retain the file for at least five years following the date of such measurements, maintenance reports, and records.  All rep</w:t>
      </w:r>
      <w:r w:rsidR="0071455D">
        <w:t>orts are sent to the delegated s</w:t>
      </w:r>
      <w:r>
        <w:t>tate or local authority.  In the event that there is no such delegated authority, the reports are sent directly to the United States Environ</w:t>
      </w:r>
      <w:r w:rsidR="0071455D">
        <w:t>mental Protection Agency (EPA) regional o</w:t>
      </w:r>
      <w:r>
        <w:t>ffice.</w:t>
      </w:r>
    </w:p>
    <w:p w:rsidR="006C61E2" w:rsidRDefault="006C61E2">
      <w:pPr>
        <w:ind w:firstLine="720"/>
      </w:pPr>
    </w:p>
    <w:p w:rsidR="00954D18" w:rsidRDefault="00DC6A5A" w:rsidP="006C61E2">
      <w:pPr>
        <w:overflowPunct w:val="0"/>
        <w:autoSpaceDE w:val="0"/>
        <w:autoSpaceDN w:val="0"/>
        <w:ind w:firstLine="720"/>
        <w:rPr>
          <w:rFonts w:ascii="Courier New" w:hAnsi="Courier New" w:cs="Courier New"/>
        </w:rPr>
      </w:pPr>
      <w:r w:rsidRPr="00DC6A5A">
        <w:rPr>
          <w:bCs/>
        </w:rPr>
        <w:t xml:space="preserve">This action finalizes the residual risk and technology review conducted for </w:t>
      </w:r>
      <w:r>
        <w:rPr>
          <w:bCs/>
        </w:rPr>
        <w:t>the Shipbuilding and Ship Repair (surface coating) NESHAP</w:t>
      </w:r>
      <w:r w:rsidRPr="00DC6A5A">
        <w:rPr>
          <w:bCs/>
        </w:rPr>
        <w:t xml:space="preserve">. </w:t>
      </w:r>
      <w:r w:rsidR="006A4456">
        <w:rPr>
          <w:bCs/>
        </w:rPr>
        <w:t xml:space="preserve">We are re-adopting the current MACT standard based on a finding of acceptable risk under the risk review, and based on lack of cost-effective control options under the technology review. </w:t>
      </w:r>
      <w:r w:rsidR="00954D18" w:rsidRPr="00954D18">
        <w:t xml:space="preserve">We are adding provisions to provide an affirmative defense against civil penalties for </w:t>
      </w:r>
      <w:proofErr w:type="spellStart"/>
      <w:r w:rsidR="00954D18" w:rsidRPr="00954D18">
        <w:t>exceedances</w:t>
      </w:r>
      <w:proofErr w:type="spellEnd"/>
      <w:r w:rsidR="00954D18" w:rsidRPr="00954D18">
        <w:t xml:space="preserve"> of emission standards caused by malfunctions, as well as criteria for establishing the affirmative defense. We are also eliminating exemptions for periods of startup and shutdown.</w:t>
      </w:r>
    </w:p>
    <w:p w:rsidR="004304EC" w:rsidRDefault="004304EC" w:rsidP="006A4456"/>
    <w:p w:rsidR="00A55779" w:rsidRDefault="00A55779">
      <w:pPr>
        <w:rPr>
          <w:color w:val="000000"/>
        </w:rPr>
      </w:pPr>
    </w:p>
    <w:p w:rsidR="00A55779" w:rsidRDefault="00A55779">
      <w:pPr>
        <w:rPr>
          <w:color w:val="000000"/>
        </w:rPr>
      </w:pPr>
      <w:r>
        <w:rPr>
          <w:b/>
          <w:bCs/>
          <w:color w:val="000000"/>
        </w:rPr>
        <w:t>2.  Need for and Use of the Collection</w:t>
      </w:r>
    </w:p>
    <w:p w:rsidR="00A55779" w:rsidRDefault="00A55779">
      <w:pPr>
        <w:rPr>
          <w:color w:val="000000"/>
        </w:rPr>
      </w:pPr>
    </w:p>
    <w:p w:rsidR="00A55779" w:rsidRDefault="00A55779">
      <w:pPr>
        <w:ind w:firstLine="720"/>
        <w:rPr>
          <w:color w:val="000000"/>
        </w:rPr>
      </w:pPr>
      <w:r>
        <w:rPr>
          <w:b/>
          <w:bCs/>
          <w:color w:val="000000"/>
        </w:rPr>
        <w:t>2(a</w:t>
      </w:r>
      <w:proofErr w:type="gramStart"/>
      <w:r>
        <w:rPr>
          <w:b/>
          <w:bCs/>
          <w:color w:val="000000"/>
        </w:rPr>
        <w:t>)  Need</w:t>
      </w:r>
      <w:proofErr w:type="gramEnd"/>
      <w:r>
        <w:rPr>
          <w:b/>
          <w:bCs/>
          <w:color w:val="000000"/>
        </w:rPr>
        <w:t>/Authority for the Collection</w:t>
      </w:r>
    </w:p>
    <w:p w:rsidR="00A55779" w:rsidRDefault="00A55779">
      <w:pPr>
        <w:rPr>
          <w:color w:val="000000"/>
        </w:rPr>
      </w:pPr>
    </w:p>
    <w:p w:rsidR="00A55779" w:rsidRDefault="00A55779" w:rsidP="00454543">
      <w:pPr>
        <w:ind w:firstLine="720"/>
        <w:rPr>
          <w:color w:val="000000"/>
        </w:rPr>
      </w:pPr>
      <w:r>
        <w:rPr>
          <w:color w:val="000000"/>
        </w:rPr>
        <w:t xml:space="preserve">The EPA is charged </w:t>
      </w:r>
      <w:r w:rsidR="00AE0145">
        <w:rPr>
          <w:color w:val="000000"/>
        </w:rPr>
        <w:t>under s</w:t>
      </w:r>
      <w:r>
        <w:rPr>
          <w:color w:val="000000"/>
        </w:rPr>
        <w:t>ection 112 of the Clean Air Act</w:t>
      </w:r>
      <w:r w:rsidR="002C2308">
        <w:rPr>
          <w:color w:val="000000"/>
        </w:rPr>
        <w:t xml:space="preserve"> (CAA)</w:t>
      </w:r>
      <w:r>
        <w:rPr>
          <w:color w:val="000000"/>
        </w:rPr>
        <w:t xml:space="preserve">,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w:t>
      </w:r>
      <w:r w:rsidR="00454543">
        <w:rPr>
          <w:color w:val="000000"/>
        </w:rPr>
        <w:t>s</w:t>
      </w:r>
      <w:r>
        <w:rPr>
          <w:color w:val="000000"/>
        </w:rPr>
        <w:t xml:space="preserve">ection 114(a) states that the Administrator may require any owner or operator subject to any requirement of this Act to: </w:t>
      </w:r>
    </w:p>
    <w:p w:rsidR="00A55779" w:rsidRDefault="00A55779">
      <w:pPr>
        <w:rPr>
          <w:color w:val="000000"/>
        </w:rPr>
      </w:pPr>
    </w:p>
    <w:p w:rsidR="00A55779" w:rsidRDefault="00A55779">
      <w:pPr>
        <w:ind w:left="1440" w:right="1440"/>
        <w:rPr>
          <w:color w:val="000000"/>
        </w:rPr>
      </w:pPr>
      <w:r>
        <w:rPr>
          <w:color w:val="000000"/>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A55779" w:rsidRDefault="00A55779">
      <w:pPr>
        <w:rPr>
          <w:color w:val="000000"/>
        </w:rPr>
      </w:pPr>
    </w:p>
    <w:p w:rsidR="00A55779" w:rsidRDefault="00A55779">
      <w:pPr>
        <w:ind w:firstLine="720"/>
        <w:rPr>
          <w:color w:val="000000"/>
        </w:rPr>
      </w:pPr>
      <w:r>
        <w:rPr>
          <w:color w:val="000000"/>
        </w:rPr>
        <w:t>In the Administrator</w:t>
      </w:r>
      <w:r w:rsidR="0037088F">
        <w:rPr>
          <w:color w:val="000000"/>
        </w:rPr>
        <w:t>’</w:t>
      </w:r>
      <w:r>
        <w:rPr>
          <w:color w:val="000000"/>
        </w:rPr>
        <w:t>s judgment,</w:t>
      </w:r>
      <w:r>
        <w:rPr>
          <w:color w:val="FF0000"/>
        </w:rPr>
        <w:t xml:space="preserve"> </w:t>
      </w:r>
      <w:r>
        <w:rPr>
          <w:color w:val="000000"/>
        </w:rPr>
        <w:t>HAP</w:t>
      </w:r>
      <w:r>
        <w:rPr>
          <w:b/>
          <w:bCs/>
          <w:i/>
          <w:iCs/>
          <w:color w:val="000000"/>
        </w:rPr>
        <w:t xml:space="preserve"> </w:t>
      </w:r>
      <w:r>
        <w:rPr>
          <w:color w:val="000000"/>
        </w:rPr>
        <w:t xml:space="preserve">emissions from surface coating at shipbuilding and repair facilities cause or contribute to air pollution that may reasonably be anticipated to endanger public health or welfare.  Therefore, the NESHAP-MACT for this source category </w:t>
      </w:r>
      <w:proofErr w:type="gramStart"/>
      <w:r>
        <w:rPr>
          <w:color w:val="000000"/>
        </w:rPr>
        <w:t>were</w:t>
      </w:r>
      <w:proofErr w:type="gramEnd"/>
      <w:r>
        <w:rPr>
          <w:color w:val="000000"/>
        </w:rPr>
        <w:t xml:space="preserve"> promulgated at 40 CFR part 63,</w:t>
      </w:r>
      <w:r>
        <w:rPr>
          <w:b/>
          <w:bCs/>
          <w:i/>
          <w:iCs/>
          <w:color w:val="000000"/>
        </w:rPr>
        <w:t xml:space="preserve"> </w:t>
      </w:r>
      <w:r>
        <w:rPr>
          <w:color w:val="000000"/>
        </w:rPr>
        <w:t>subpart II.</w:t>
      </w:r>
    </w:p>
    <w:p w:rsidR="00A55779" w:rsidRDefault="00A55779">
      <w:pPr>
        <w:rPr>
          <w:color w:val="000000"/>
        </w:rPr>
      </w:pPr>
    </w:p>
    <w:p w:rsidR="00A55779" w:rsidRDefault="00A55779">
      <w:pP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r>
        <w:rPr>
          <w:color w:val="000000"/>
        </w:rPr>
        <w:t xml:space="preserve"> </w:t>
      </w:r>
    </w:p>
    <w:p w:rsidR="00A55779" w:rsidRDefault="00A55779">
      <w:pPr>
        <w:rPr>
          <w:color w:val="000000"/>
        </w:rPr>
      </w:pPr>
    </w:p>
    <w:p w:rsidR="00A55779" w:rsidRDefault="00A55779">
      <w:pPr>
        <w:ind w:firstLine="720"/>
        <w:rPr>
          <w:color w:val="000000"/>
        </w:rPr>
      </w:pPr>
      <w:r>
        <w:rPr>
          <w:color w:val="000000"/>
        </w:rPr>
        <w:t>When control equipment is installed as an alternative to use of low volatile organic compound (VOC) coatings, the control of emissions of HAP from surface coating at shipbuilding and repair facilities requires the installation</w:t>
      </w:r>
      <w:r w:rsidR="00454543">
        <w:rPr>
          <w:color w:val="000000"/>
        </w:rPr>
        <w:t xml:space="preserve"> of properly designed equipment</w:t>
      </w:r>
      <w:r>
        <w:rPr>
          <w:color w:val="000000"/>
        </w:rPr>
        <w:t xml:space="preserve"> </w:t>
      </w:r>
      <w:r w:rsidR="00454543">
        <w:rPr>
          <w:color w:val="000000"/>
        </w:rPr>
        <w:t xml:space="preserve">and </w:t>
      </w:r>
      <w:r>
        <w:rPr>
          <w:color w:val="000000"/>
        </w:rPr>
        <w:t>the operation and maintenance of that equipment.  Emissions of HAP from surface coating at shipbuilding and repair facilities</w:t>
      </w:r>
      <w:r>
        <w:rPr>
          <w:color w:val="FF0000"/>
        </w:rPr>
        <w:t xml:space="preserve"> </w:t>
      </w:r>
      <w:r>
        <w:rPr>
          <w:color w:val="000000"/>
        </w:rPr>
        <w:t xml:space="preserve">are the result of operation of the affected facilities.  </w:t>
      </w:r>
      <w:r w:rsidR="00454543">
        <w:rPr>
          <w:color w:val="000000"/>
        </w:rPr>
        <w:t>In general, t</w:t>
      </w:r>
      <w:r>
        <w:rPr>
          <w:color w:val="000000"/>
        </w:rPr>
        <w:t xml:space="preserve">he subject standards are achieved </w:t>
      </w:r>
      <w:r w:rsidR="00292459">
        <w:rPr>
          <w:color w:val="000000"/>
        </w:rPr>
        <w:t xml:space="preserve">and </w:t>
      </w:r>
      <w:r>
        <w:rPr>
          <w:color w:val="000000"/>
        </w:rPr>
        <w:t xml:space="preserve">HAP emissions </w:t>
      </w:r>
      <w:r w:rsidR="00292459">
        <w:rPr>
          <w:color w:val="000000"/>
        </w:rPr>
        <w:t xml:space="preserve">are reduced through the use of </w:t>
      </w:r>
      <w:r>
        <w:rPr>
          <w:color w:val="000000"/>
        </w:rPr>
        <w:t xml:space="preserve">coatings which comply with the VOC limits set forth in 40 CFR </w:t>
      </w:r>
      <w:proofErr w:type="gramStart"/>
      <w:r>
        <w:rPr>
          <w:color w:val="000000"/>
        </w:rPr>
        <w:t>part</w:t>
      </w:r>
      <w:proofErr w:type="gramEnd"/>
      <w:r>
        <w:rPr>
          <w:color w:val="000000"/>
        </w:rPr>
        <w:t xml:space="preserve"> 63,</w:t>
      </w:r>
      <w:r>
        <w:rPr>
          <w:b/>
          <w:bCs/>
          <w:i/>
          <w:iCs/>
          <w:color w:val="000000"/>
        </w:rPr>
        <w:t xml:space="preserve"> </w:t>
      </w:r>
      <w:r>
        <w:rPr>
          <w:color w:val="000000"/>
        </w:rPr>
        <w:t>subpart II.  The notifications required in the applicable regulations are used to inform the Agency or delegated authority when a source becomes subject to the requirements of the regulations.  The reviewing authority may then inspe</w:t>
      </w:r>
      <w:r w:rsidR="005C6668">
        <w:rPr>
          <w:color w:val="000000"/>
        </w:rPr>
        <w:t xml:space="preserve">ct the source to ensure that </w:t>
      </w:r>
      <w:r>
        <w:rPr>
          <w:color w:val="000000"/>
        </w:rPr>
        <w:t xml:space="preserve">the pollution control devices are properly installed and operated and </w:t>
      </w:r>
      <w:r w:rsidR="005C6668">
        <w:rPr>
          <w:color w:val="000000"/>
        </w:rPr>
        <w:t xml:space="preserve">that </w:t>
      </w:r>
      <w:r>
        <w:rPr>
          <w:color w:val="000000"/>
        </w:rPr>
        <w:t>the regulations are being met.  Performance test reports are needed as these are the Agency</w:t>
      </w:r>
      <w:r w:rsidR="0037088F">
        <w:rPr>
          <w:color w:val="000000"/>
        </w:rPr>
        <w:t>’</w:t>
      </w:r>
      <w:r>
        <w:rPr>
          <w:color w:val="000000"/>
        </w:rPr>
        <w:t>s record of a source</w:t>
      </w:r>
      <w:r w:rsidR="0037088F">
        <w:rPr>
          <w:color w:val="000000"/>
        </w:rPr>
        <w:t>’</w:t>
      </w:r>
      <w:r>
        <w:rPr>
          <w:color w:val="000000"/>
        </w:rPr>
        <w:t xml:space="preserve">s initial capability to comply with the emission standards, and serve as a record of the operating conditions under which compliance was achieved.  The semiannual reports are used for problem identification, as a check on source operation and maintenance, and for compliance determinations.  The information generated by the monitoring, recordkeeping and reporting requirements described in this ICR is used by the Agency to ensure that facilities affected by the NESHAP-MACT continue to operate the control equipment and achieve continuous compliance with the regulation.  Adequate monitoring, recordkeeping, and reporting are necessary to ensure compliance </w:t>
      </w:r>
      <w:r w:rsidR="0070116C">
        <w:rPr>
          <w:color w:val="000000"/>
        </w:rPr>
        <w:t>with the applicable regulations</w:t>
      </w:r>
      <w:r>
        <w:rPr>
          <w:color w:val="000000"/>
        </w:rPr>
        <w:t xml:space="preserve"> as required by the Clean Air Act.  </w:t>
      </w:r>
      <w:r w:rsidR="0070116C">
        <w:rPr>
          <w:color w:val="000000"/>
        </w:rPr>
        <w:t>Also, t</w:t>
      </w:r>
      <w:r>
        <w:rPr>
          <w:color w:val="000000"/>
        </w:rPr>
        <w:t>he information collected from recordkeeping and reporting requirements is used for targeting inspections, and is of sufficient quality to be used as evidence in court.</w:t>
      </w:r>
    </w:p>
    <w:p w:rsidR="00A55779" w:rsidRDefault="00A55779">
      <w:pPr>
        <w:rPr>
          <w:color w:val="000000"/>
        </w:rPr>
      </w:pPr>
    </w:p>
    <w:p w:rsidR="00A55779" w:rsidRDefault="00A55779">
      <w:pPr>
        <w:rPr>
          <w:b/>
          <w:bCs/>
          <w:color w:val="000000"/>
        </w:rPr>
      </w:pPr>
      <w:r>
        <w:rPr>
          <w:b/>
          <w:bCs/>
          <w:color w:val="000000"/>
        </w:rPr>
        <w:t>3.  Non</w:t>
      </w:r>
      <w:r w:rsidR="00F600C4">
        <w:rPr>
          <w:b/>
          <w:bCs/>
          <w:color w:val="000000"/>
        </w:rPr>
        <w:t>-</w:t>
      </w:r>
      <w:r>
        <w:rPr>
          <w:b/>
          <w:bCs/>
          <w:color w:val="000000"/>
        </w:rPr>
        <w:t>duplication, Consultations, and Other Collection Criteria</w:t>
      </w:r>
    </w:p>
    <w:p w:rsidR="00A55779" w:rsidRDefault="00A55779">
      <w:pPr>
        <w:rPr>
          <w:b/>
          <w:bCs/>
          <w:color w:val="000000"/>
        </w:rPr>
      </w:pPr>
    </w:p>
    <w:p w:rsidR="00A55779" w:rsidRDefault="00A55779">
      <w:pPr>
        <w:ind w:firstLine="720"/>
        <w:rPr>
          <w:b/>
          <w:bCs/>
          <w:color w:val="000000"/>
        </w:rPr>
      </w:pPr>
      <w:r>
        <w:rPr>
          <w:color w:val="000000"/>
        </w:rPr>
        <w:t>The requested recordkeeping and reporting are required under 40 CFR part 63, subpart II.</w:t>
      </w:r>
    </w:p>
    <w:p w:rsidR="00A55779" w:rsidRDefault="00A55779">
      <w:pPr>
        <w:rPr>
          <w:b/>
          <w:bCs/>
          <w:color w:val="000000"/>
        </w:rPr>
      </w:pPr>
    </w:p>
    <w:p w:rsidR="00A55779" w:rsidRDefault="00A55779">
      <w:pPr>
        <w:ind w:firstLine="720"/>
        <w:rPr>
          <w:color w:val="000000"/>
        </w:rPr>
      </w:pPr>
      <w:r>
        <w:rPr>
          <w:b/>
          <w:bCs/>
          <w:color w:val="000000"/>
        </w:rPr>
        <w:t>3(a</w:t>
      </w:r>
      <w:proofErr w:type="gramStart"/>
      <w:r>
        <w:rPr>
          <w:b/>
          <w:bCs/>
          <w:color w:val="000000"/>
        </w:rPr>
        <w:t>)  Non</w:t>
      </w:r>
      <w:proofErr w:type="gramEnd"/>
      <w:r w:rsidR="00F600C4">
        <w:rPr>
          <w:b/>
          <w:bCs/>
          <w:color w:val="000000"/>
        </w:rPr>
        <w:t>-</w:t>
      </w:r>
      <w:r>
        <w:rPr>
          <w:b/>
          <w:bCs/>
          <w:color w:val="000000"/>
        </w:rPr>
        <w:t>duplication</w:t>
      </w:r>
    </w:p>
    <w:p w:rsidR="00A55779" w:rsidRDefault="00A55779">
      <w:pPr>
        <w:rPr>
          <w:color w:val="000000"/>
        </w:rPr>
      </w:pPr>
    </w:p>
    <w:p w:rsidR="00A55779" w:rsidRDefault="00A55779">
      <w:pPr>
        <w:ind w:firstLine="720"/>
        <w:rPr>
          <w:color w:val="000000"/>
        </w:rPr>
      </w:pPr>
      <w:r>
        <w:rPr>
          <w:color w:val="000000"/>
        </w:rPr>
        <w:t>If the subject standards have not been delegated, the information is sent d</w:t>
      </w:r>
      <w:r w:rsidR="00047E41">
        <w:rPr>
          <w:color w:val="000000"/>
        </w:rPr>
        <w:t>irectly to the appropriate EPA regional o</w:t>
      </w:r>
      <w:r>
        <w:rPr>
          <w:color w:val="000000"/>
        </w:rPr>
        <w:t xml:space="preserve">ffice.  Otherwise, the information is </w:t>
      </w:r>
      <w:r w:rsidR="00047E41">
        <w:rPr>
          <w:color w:val="000000"/>
        </w:rPr>
        <w:t>sent directly to the delegated s</w:t>
      </w:r>
      <w:r>
        <w:rPr>
          <w:color w:val="000000"/>
        </w:rPr>
        <w:t>tate or local agency.  I</w:t>
      </w:r>
      <w:r w:rsidR="0027751D">
        <w:rPr>
          <w:color w:val="000000"/>
        </w:rPr>
        <w:t>f a state or local agency has</w:t>
      </w:r>
      <w:r>
        <w:rPr>
          <w:color w:val="000000"/>
        </w:rPr>
        <w:t xml:space="preserve"> adopted their own similar standards to implement the Federal standards, a copy </w:t>
      </w:r>
      <w:r w:rsidR="00047E41">
        <w:rPr>
          <w:color w:val="000000"/>
        </w:rPr>
        <w:t>of the report submitted to the s</w:t>
      </w:r>
      <w:r>
        <w:rPr>
          <w:color w:val="000000"/>
        </w:rPr>
        <w:t>tate or local agency can be sent to the Administrator in lieu of the report required by the Federal standards.  Therefore, no duplication exists.</w:t>
      </w:r>
    </w:p>
    <w:p w:rsidR="00A55779" w:rsidRDefault="00A55779">
      <w:pPr>
        <w:rPr>
          <w:color w:val="000000"/>
        </w:rPr>
      </w:pPr>
    </w:p>
    <w:p w:rsidR="00A55779" w:rsidRDefault="00A55779">
      <w:pP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A55779" w:rsidRDefault="00A55779">
      <w:pPr>
        <w:rPr>
          <w:color w:val="000000"/>
        </w:rPr>
      </w:pPr>
    </w:p>
    <w:p w:rsidR="00A55779" w:rsidRDefault="0097206E">
      <w:r>
        <w:t>Public notice will be given by means of a Federal Register Notice of Final Rulemaking.</w:t>
      </w:r>
    </w:p>
    <w:p w:rsidR="00CD0E53" w:rsidRDefault="00CD0E53">
      <w:pPr>
        <w:rPr>
          <w:color w:val="000000"/>
        </w:rPr>
      </w:pPr>
    </w:p>
    <w:p w:rsidR="00A55779" w:rsidRDefault="00A55779">
      <w:pPr>
        <w:ind w:firstLine="720"/>
        <w:rPr>
          <w:color w:val="000000"/>
        </w:rPr>
      </w:pPr>
      <w:r>
        <w:rPr>
          <w:b/>
          <w:bCs/>
          <w:color w:val="000000"/>
        </w:rPr>
        <w:t>3(c</w:t>
      </w:r>
      <w:proofErr w:type="gramStart"/>
      <w:r>
        <w:rPr>
          <w:b/>
          <w:bCs/>
          <w:color w:val="000000"/>
        </w:rPr>
        <w:t>)  Consultations</w:t>
      </w:r>
      <w:proofErr w:type="gramEnd"/>
    </w:p>
    <w:p w:rsidR="00A55779" w:rsidRDefault="00A55779">
      <w:pPr>
        <w:rPr>
          <w:color w:val="000000"/>
        </w:rPr>
      </w:pPr>
    </w:p>
    <w:p w:rsidR="00A55779" w:rsidRDefault="00645F6A">
      <w:pPr>
        <w:ind w:firstLine="720"/>
        <w:rPr>
          <w:color w:val="000000"/>
        </w:rPr>
      </w:pPr>
      <w:r>
        <w:rPr>
          <w:color w:val="000000"/>
        </w:rPr>
        <w:t xml:space="preserve">The </w:t>
      </w:r>
      <w:r w:rsidR="00A55779">
        <w:rPr>
          <w:color w:val="000000"/>
        </w:rPr>
        <w:t xml:space="preserve">EPA Office of Air Quality Planning and Standards (OAQPS) conducted a review and discussions with industry during initiation of the Shipbuilding and Ship Repair Residual </w:t>
      </w:r>
      <w:r w:rsidR="00A55779">
        <w:rPr>
          <w:color w:val="000000"/>
        </w:rPr>
        <w:lastRenderedPageBreak/>
        <w:t>Risk Assessment.  Results from that activity were used in preparation of this ICR.</w:t>
      </w:r>
    </w:p>
    <w:p w:rsidR="007A7912" w:rsidRDefault="007A7912" w:rsidP="00EB5BED">
      <w:pPr>
        <w:rPr>
          <w:b/>
          <w:bCs/>
          <w:color w:val="000000"/>
        </w:rPr>
      </w:pPr>
    </w:p>
    <w:p w:rsidR="00A55779" w:rsidRDefault="00A55779">
      <w:pP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A55779" w:rsidRDefault="00A55779">
      <w:pPr>
        <w:rPr>
          <w:color w:val="000000"/>
        </w:rPr>
      </w:pPr>
    </w:p>
    <w:p w:rsidR="00A55779" w:rsidRDefault="00A55779">
      <w:pPr>
        <w:ind w:firstLine="720"/>
        <w:rPr>
          <w:color w:val="000000"/>
        </w:rPr>
      </w:pPr>
      <w:r>
        <w:rPr>
          <w:color w:val="000000"/>
        </w:rPr>
        <w:t>Less frequent information collection would decrease the margin of assurance that facilities are continuing to meet the required standards.  Requirements for information gathering and recordkeeping are useful techniques to ensure that good operation and maintenance practices are applied and emission limitations are met.  If the information required by these standards was collected less frequently, the likelihood of detecting poor operation and maintenance of control equipment and noncompliance would decrease.</w:t>
      </w:r>
    </w:p>
    <w:p w:rsidR="00A55779" w:rsidRDefault="00A55779">
      <w:pPr>
        <w:rPr>
          <w:color w:val="000000"/>
        </w:rPr>
      </w:pPr>
    </w:p>
    <w:p w:rsidR="00A55779" w:rsidRDefault="00A55779">
      <w:pP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A55779" w:rsidRDefault="00A55779">
      <w:pPr>
        <w:rPr>
          <w:color w:val="000000"/>
        </w:rPr>
      </w:pPr>
    </w:p>
    <w:p w:rsidR="00A55779" w:rsidRDefault="00A55779">
      <w:pPr>
        <w:ind w:firstLine="720"/>
        <w:rPr>
          <w:color w:val="000000"/>
        </w:rPr>
      </w:pPr>
      <w:r>
        <w:rPr>
          <w:color w:val="000000"/>
        </w:rPr>
        <w:t xml:space="preserve">None of these reporting or recordkeeping requirements violate any of the regulations established by OMB at 5 CFR 1320.5. </w:t>
      </w:r>
    </w:p>
    <w:p w:rsidR="00A55779" w:rsidRDefault="00A55779">
      <w:pPr>
        <w:rPr>
          <w:color w:val="000000"/>
        </w:rPr>
      </w:pPr>
    </w:p>
    <w:p w:rsidR="00A55779" w:rsidRDefault="00A55779">
      <w:pPr>
        <w:ind w:firstLine="720"/>
        <w:rPr>
          <w:color w:val="000000"/>
        </w:rPr>
      </w:pPr>
      <w:r>
        <w:rPr>
          <w:color w:val="000000"/>
        </w:rPr>
        <w:t xml:space="preserve">These standards require affected facilities to maintain all records, including reports and notifications for at least five years.  This is consistent with the General Provisions as applied to the standards. </w:t>
      </w:r>
      <w:r w:rsidR="0060455B">
        <w:rPr>
          <w:color w:val="000000"/>
        </w:rPr>
        <w:t xml:space="preserve"> EPA believes that the five-</w:t>
      </w:r>
      <w:r>
        <w:rPr>
          <w:color w:val="000000"/>
        </w:rPr>
        <w:t>year records retention requ</w:t>
      </w:r>
      <w:r w:rsidR="00A81042">
        <w:rPr>
          <w:color w:val="000000"/>
        </w:rPr>
        <w:t>irement is consistent with the p</w:t>
      </w:r>
      <w:r>
        <w:rPr>
          <w:color w:val="000000"/>
        </w:rPr>
        <w:t>art</w:t>
      </w:r>
      <w:r w:rsidR="00D63C09">
        <w:rPr>
          <w:color w:val="000000"/>
        </w:rPr>
        <w:t xml:space="preserve"> 70 permit program and the five-</w:t>
      </w:r>
      <w:r>
        <w:rPr>
          <w:color w:val="000000"/>
        </w:rPr>
        <w:t>year statute of limitations on which the permit program is based.  Also, th</w:t>
      </w:r>
      <w:r w:rsidR="00A81042">
        <w:rPr>
          <w:color w:val="000000"/>
        </w:rPr>
        <w:t xml:space="preserve">e retention of records for five </w:t>
      </w:r>
      <w:r>
        <w:rPr>
          <w:color w:val="000000"/>
        </w:rPr>
        <w:t>years would allow EPA to establish the compliance history of a source and any pattern of compliance for purposes of determining the appropriate level of enforcement action.  Historically, EPA has found that the most flagrant violators frequently have violations extending beyond the five years.  EPA would be prevented from pursuing the worst violators due to the destruction or nonexistence of records if records were retained for less than five years.</w:t>
      </w:r>
    </w:p>
    <w:p w:rsidR="00A55779" w:rsidRDefault="00A55779">
      <w:pPr>
        <w:rPr>
          <w:color w:val="000000"/>
        </w:rPr>
      </w:pPr>
    </w:p>
    <w:p w:rsidR="00A55779" w:rsidRDefault="00A55779">
      <w:pPr>
        <w:ind w:firstLine="720"/>
        <w:rPr>
          <w:color w:val="000000"/>
        </w:rPr>
      </w:pPr>
      <w:r>
        <w:rPr>
          <w:b/>
          <w:bCs/>
          <w:color w:val="000000"/>
        </w:rPr>
        <w:t>3(f</w:t>
      </w:r>
      <w:proofErr w:type="gramStart"/>
      <w:r>
        <w:rPr>
          <w:b/>
          <w:bCs/>
          <w:color w:val="000000"/>
        </w:rPr>
        <w:t>)  Confidentiality</w:t>
      </w:r>
      <w:proofErr w:type="gramEnd"/>
    </w:p>
    <w:p w:rsidR="00A55779" w:rsidRDefault="00A55779">
      <w:pPr>
        <w:rPr>
          <w:color w:val="000000"/>
        </w:rPr>
      </w:pPr>
    </w:p>
    <w:p w:rsidR="00A55779" w:rsidRDefault="00A55779">
      <w:pPr>
        <w:ind w:firstLine="720"/>
        <w:rPr>
          <w:color w:val="000000"/>
        </w:rPr>
      </w:pPr>
      <w:r>
        <w:rPr>
          <w:color w:val="000000"/>
        </w:rPr>
        <w:t xml:space="preserve">The required information has been determined to be </w:t>
      </w:r>
      <w:r w:rsidR="00253E2A">
        <w:rPr>
          <w:color w:val="000000"/>
        </w:rPr>
        <w:t>non-</w:t>
      </w:r>
      <w:r>
        <w:rPr>
          <w:color w:val="000000"/>
        </w:rPr>
        <w:t>confidential.  However, any information submitted to the Agency for which a claim of confidentiality is made will be safeguarded according to th</w:t>
      </w:r>
      <w:r w:rsidR="00253E2A">
        <w:rPr>
          <w:color w:val="000000"/>
        </w:rPr>
        <w:t>e Agency policies set forth in t</w:t>
      </w:r>
      <w:r>
        <w:rPr>
          <w:color w:val="000000"/>
        </w:rPr>
        <w:t xml:space="preserve">itle 40, chapter 1, part 2, subpart B </w:t>
      </w:r>
      <w:r w:rsidR="00F600C4">
        <w:rPr>
          <w:color w:val="000000"/>
        </w:rPr>
        <w:t>–</w:t>
      </w:r>
      <w:r>
        <w:rPr>
          <w:color w:val="000000"/>
        </w:rPr>
        <w:t xml:space="preserve"> Confidential</w:t>
      </w:r>
      <w:r w:rsidR="00F600C4">
        <w:rPr>
          <w:color w:val="000000"/>
        </w:rPr>
        <w:t xml:space="preserve"> </w:t>
      </w:r>
      <w:r>
        <w:rPr>
          <w:color w:val="000000"/>
        </w:rPr>
        <w:t>Business Information</w:t>
      </w:r>
      <w:r w:rsidR="00F600C4">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A55779" w:rsidRDefault="00A55779">
      <w:pPr>
        <w:rPr>
          <w:color w:val="000000"/>
        </w:rPr>
      </w:pPr>
    </w:p>
    <w:p w:rsidR="00A55779" w:rsidRDefault="00A55779">
      <w:pP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A55779" w:rsidRDefault="00A55779">
      <w:pPr>
        <w:rPr>
          <w:color w:val="000000"/>
        </w:rPr>
      </w:pPr>
    </w:p>
    <w:p w:rsidR="00A55779" w:rsidRDefault="00A55779">
      <w:pPr>
        <w:ind w:firstLine="720"/>
        <w:rPr>
          <w:color w:val="000000"/>
        </w:rPr>
      </w:pPr>
      <w:r>
        <w:rPr>
          <w:color w:val="000000"/>
        </w:rPr>
        <w:t>None of the reporting or recordkeeping requirements contain sensitive questions.</w:t>
      </w:r>
    </w:p>
    <w:p w:rsidR="00A55779" w:rsidRDefault="00A55779">
      <w:pPr>
        <w:rPr>
          <w:b/>
          <w:bCs/>
          <w:color w:val="000000"/>
        </w:rPr>
      </w:pPr>
    </w:p>
    <w:p w:rsidR="00A55779" w:rsidRDefault="00A55779">
      <w:pPr>
        <w:rPr>
          <w:b/>
          <w:bCs/>
          <w:color w:val="000000"/>
        </w:rPr>
      </w:pPr>
      <w:r>
        <w:rPr>
          <w:b/>
          <w:bCs/>
          <w:color w:val="000000"/>
        </w:rPr>
        <w:t>4.  The Respondents and the Information Requested</w:t>
      </w:r>
    </w:p>
    <w:p w:rsidR="00A55779" w:rsidRDefault="00A55779">
      <w:pPr>
        <w:rPr>
          <w:b/>
          <w:bCs/>
          <w:color w:val="000000"/>
        </w:rPr>
      </w:pPr>
    </w:p>
    <w:p w:rsidR="00A55779" w:rsidRDefault="00A55779">
      <w:pP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A55779" w:rsidRDefault="00A55779">
      <w:pPr>
        <w:rPr>
          <w:color w:val="000000"/>
        </w:rPr>
      </w:pPr>
    </w:p>
    <w:p w:rsidR="00A55779" w:rsidRDefault="00A55779">
      <w:pPr>
        <w:ind w:firstLine="720"/>
        <w:rPr>
          <w:color w:val="000000"/>
        </w:rPr>
      </w:pPr>
      <w:r>
        <w:rPr>
          <w:color w:val="000000"/>
        </w:rPr>
        <w:t>The respondents of the recordkeeping and reporting requirements are owners and operators of new and existing shipbuilding and ship repair facilities that are classified as maj</w:t>
      </w:r>
      <w:r w:rsidR="003B27F7">
        <w:rPr>
          <w:color w:val="000000"/>
        </w:rPr>
        <w:t xml:space="preserve">or </w:t>
      </w:r>
      <w:r w:rsidR="003B27F7">
        <w:rPr>
          <w:color w:val="000000"/>
        </w:rPr>
        <w:lastRenderedPageBreak/>
        <w:t>sources of HAP under s</w:t>
      </w:r>
      <w:r>
        <w:rPr>
          <w:color w:val="000000"/>
        </w:rPr>
        <w:t>ection 112 of the CAA.  The primary SIC code for the respondents affected by the rule is 3731 which corresponds to the NAICS (The North American Industry Classification System) 336611.  The regulation applies only to shipbuilding and ship repair operations affecting commercial and military vessels; it does not apply to boat yards that only build or repair pleasure crafts, which the final rule defines as any marine or fresh-water vessel that is used by individuals for non-commercial, non-military, and recreational purposes and which is less than 20 meters in length.</w:t>
      </w:r>
    </w:p>
    <w:p w:rsidR="00A55779" w:rsidRDefault="00A55779">
      <w:pPr>
        <w:rPr>
          <w:color w:val="000000"/>
        </w:rPr>
      </w:pPr>
    </w:p>
    <w:p w:rsidR="00A55779" w:rsidRDefault="00A55779">
      <w:pP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p>
    <w:p w:rsidR="00A55779" w:rsidRDefault="00A55779">
      <w:pPr>
        <w:rPr>
          <w:color w:val="000000"/>
        </w:rPr>
      </w:pPr>
    </w:p>
    <w:p w:rsidR="00A55779" w:rsidRDefault="00A55779">
      <w:pPr>
        <w:ind w:firstLine="1440"/>
        <w:rPr>
          <w:color w:val="000000"/>
        </w:rPr>
      </w:pPr>
      <w:r>
        <w:rPr>
          <w:b/>
          <w:bCs/>
          <w:color w:val="000000"/>
        </w:rPr>
        <w:t>(</w:t>
      </w:r>
      <w:proofErr w:type="spellStart"/>
      <w:r>
        <w:rPr>
          <w:b/>
          <w:bCs/>
          <w:color w:val="000000"/>
        </w:rPr>
        <w:t>i</w:t>
      </w:r>
      <w:proofErr w:type="spellEnd"/>
      <w:r>
        <w:rPr>
          <w:b/>
          <w:bCs/>
          <w:color w:val="000000"/>
        </w:rPr>
        <w:t>)  Data Items</w:t>
      </w:r>
    </w:p>
    <w:p w:rsidR="00A55779" w:rsidRDefault="00A55779">
      <w:pPr>
        <w:rPr>
          <w:color w:val="000000"/>
        </w:rPr>
      </w:pPr>
    </w:p>
    <w:p w:rsidR="00A55779" w:rsidRDefault="00A55779">
      <w:pPr>
        <w:ind w:firstLine="720"/>
        <w:rPr>
          <w:color w:val="000000"/>
        </w:rPr>
      </w:pPr>
      <w:r>
        <w:rPr>
          <w:color w:val="000000"/>
        </w:rPr>
        <w:t xml:space="preserve">All data in this ICR that is recorded and/or reported is required by the NESHAP for Shipbuilding and Ship Repair Facilities </w:t>
      </w:r>
      <w:r w:rsidR="00992F14">
        <w:rPr>
          <w:color w:val="000000"/>
        </w:rPr>
        <w:t xml:space="preserve">- </w:t>
      </w:r>
      <w:r>
        <w:rPr>
          <w:color w:val="000000"/>
        </w:rPr>
        <w:t xml:space="preserve">Surface Coating (40 CFR </w:t>
      </w:r>
      <w:proofErr w:type="gramStart"/>
      <w:r>
        <w:rPr>
          <w:color w:val="000000"/>
        </w:rPr>
        <w:t>part</w:t>
      </w:r>
      <w:proofErr w:type="gramEnd"/>
      <w:r>
        <w:rPr>
          <w:color w:val="000000"/>
        </w:rPr>
        <w:t xml:space="preserve"> 63, subpart II)</w:t>
      </w:r>
      <w:r>
        <w:rPr>
          <w:b/>
          <w:bCs/>
          <w:color w:val="000000"/>
        </w:rPr>
        <w:t>.</w:t>
      </w:r>
    </w:p>
    <w:p w:rsidR="00A55779" w:rsidRDefault="00A55779">
      <w:pPr>
        <w:rPr>
          <w:color w:val="000000"/>
        </w:rPr>
      </w:pPr>
    </w:p>
    <w:p w:rsidR="00A55779" w:rsidRDefault="00A55779">
      <w:pPr>
        <w:ind w:firstLine="720"/>
        <w:rPr>
          <w:color w:val="000000"/>
        </w:rPr>
      </w:pPr>
      <w:r>
        <w:rPr>
          <w:color w:val="000000"/>
        </w:rPr>
        <w:t>A source must make the following reports:</w:t>
      </w:r>
    </w:p>
    <w:p w:rsidR="00A55779" w:rsidRDefault="00A55779">
      <w:pPr>
        <w:rPr>
          <w:color w:val="000000"/>
        </w:rPr>
      </w:pPr>
    </w:p>
    <w:tbl>
      <w:tblPr>
        <w:tblW w:w="0" w:type="auto"/>
        <w:tblInd w:w="115" w:type="dxa"/>
        <w:tblLayout w:type="fixed"/>
        <w:tblCellMar>
          <w:left w:w="115" w:type="dxa"/>
          <w:right w:w="115" w:type="dxa"/>
        </w:tblCellMar>
        <w:tblLook w:val="0000"/>
      </w:tblPr>
      <w:tblGrid>
        <w:gridCol w:w="7020"/>
        <w:gridCol w:w="2340"/>
      </w:tblGrid>
      <w:tr w:rsidR="008D2545" w:rsidTr="00EB5BED">
        <w:trPr>
          <w:cantSplit/>
          <w:tblHead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B61B71" w:rsidRDefault="00A55779" w:rsidP="00B61B71">
            <w:pPr>
              <w:spacing w:after="56"/>
              <w:jc w:val="center"/>
              <w:rPr>
                <w:b/>
                <w:bCs/>
                <w:color w:val="000000"/>
              </w:rPr>
            </w:pPr>
            <w:r>
              <w:rPr>
                <w:b/>
                <w:bCs/>
                <w:color w:val="000000"/>
              </w:rPr>
              <w:t>Reports for 40 CFR part 63, subpart II</w:t>
            </w:r>
          </w:p>
        </w:tc>
      </w:tr>
      <w:tr w:rsidR="00A55779" w:rsidTr="00B61B71">
        <w:trPr>
          <w:cantSplit/>
        </w:trPr>
        <w:tc>
          <w:tcPr>
            <w:tcW w:w="7020" w:type="dxa"/>
            <w:tcBorders>
              <w:top w:val="single" w:sz="8"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Construction/reconstruction</w:t>
            </w:r>
          </w:p>
        </w:tc>
        <w:tc>
          <w:tcPr>
            <w:tcW w:w="2340" w:type="dxa"/>
            <w:tcBorders>
              <w:top w:val="single" w:sz="8"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 xml:space="preserve">63.5 </w:t>
            </w:r>
          </w:p>
        </w:tc>
      </w:tr>
      <w:tr w:rsidR="00A55779">
        <w:trPr>
          <w:cantSplit/>
        </w:trPr>
        <w:tc>
          <w:tcPr>
            <w:tcW w:w="702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 xml:space="preserve">Initial notifications </w:t>
            </w:r>
          </w:p>
        </w:tc>
        <w:tc>
          <w:tcPr>
            <w:tcW w:w="234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 xml:space="preserve">63.9(b), 63.787(a) </w:t>
            </w:r>
          </w:p>
        </w:tc>
      </w:tr>
      <w:tr w:rsidR="00A55779" w:rsidTr="00EB5BED">
        <w:trPr>
          <w:cantSplit/>
        </w:trPr>
        <w:tc>
          <w:tcPr>
            <w:tcW w:w="702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56"/>
              <w:rPr>
                <w:color w:val="000000"/>
              </w:rPr>
            </w:pPr>
            <w:r>
              <w:rPr>
                <w:color w:val="000000"/>
              </w:rPr>
              <w:t>Report of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63.10(d)(2), 63.788(a)</w:t>
            </w:r>
          </w:p>
        </w:tc>
      </w:tr>
      <w:tr w:rsidR="00A55779">
        <w:trPr>
          <w:cantSplit/>
        </w:trPr>
        <w:tc>
          <w:tcPr>
            <w:tcW w:w="702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63.7(b), 63.9(e)</w:t>
            </w:r>
          </w:p>
        </w:tc>
      </w:tr>
      <w:tr w:rsidR="00A55779">
        <w:trPr>
          <w:cantSplit/>
        </w:trPr>
        <w:tc>
          <w:tcPr>
            <w:tcW w:w="702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Rescheduled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63.7(b)(2)</w:t>
            </w:r>
          </w:p>
        </w:tc>
      </w:tr>
      <w:tr w:rsidR="00A55779">
        <w:trPr>
          <w:cantSplit/>
        </w:trPr>
        <w:tc>
          <w:tcPr>
            <w:tcW w:w="702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Continuous monitoring system notifications</w:t>
            </w:r>
          </w:p>
        </w:tc>
        <w:tc>
          <w:tcPr>
            <w:tcW w:w="234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 xml:space="preserve">63.9(g) </w:t>
            </w:r>
          </w:p>
        </w:tc>
      </w:tr>
      <w:tr w:rsidR="00A55779">
        <w:trPr>
          <w:cantSplit/>
        </w:trPr>
        <w:tc>
          <w:tcPr>
            <w:tcW w:w="702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Request for extension of compliance, adjustments in time periods, and changes in information</w:t>
            </w:r>
          </w:p>
        </w:tc>
        <w:tc>
          <w:tcPr>
            <w:tcW w:w="234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63.9(c), (</w:t>
            </w:r>
            <w:proofErr w:type="spellStart"/>
            <w:r>
              <w:rPr>
                <w:color w:val="000000"/>
              </w:rPr>
              <w:t>i</w:t>
            </w:r>
            <w:proofErr w:type="spellEnd"/>
            <w:r>
              <w:rPr>
                <w:color w:val="000000"/>
              </w:rPr>
              <w:t>), and (j), 63.787(a)</w:t>
            </w:r>
          </w:p>
        </w:tc>
      </w:tr>
      <w:tr w:rsidR="00A55779">
        <w:trPr>
          <w:cantSplit/>
        </w:trPr>
        <w:tc>
          <w:tcPr>
            <w:tcW w:w="702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63.9(d), 63.787(a)</w:t>
            </w:r>
          </w:p>
        </w:tc>
      </w:tr>
      <w:tr w:rsidR="00A55779">
        <w:trPr>
          <w:cantSplit/>
        </w:trPr>
        <w:tc>
          <w:tcPr>
            <w:tcW w:w="7020" w:type="dxa"/>
            <w:tcBorders>
              <w:top w:val="single" w:sz="7" w:space="0" w:color="000000"/>
              <w:left w:val="single" w:sz="7" w:space="0" w:color="000000"/>
              <w:bottom w:val="single" w:sz="7" w:space="0" w:color="000000"/>
              <w:right w:val="single" w:sz="7" w:space="0" w:color="000000"/>
            </w:tcBorders>
          </w:tcPr>
          <w:p w:rsidR="00A55779" w:rsidRDefault="00A55779">
            <w:pPr>
              <w:tabs>
                <w:tab w:val="left" w:pos="-1440"/>
              </w:tabs>
              <w:spacing w:after="56"/>
              <w:rPr>
                <w:color w:val="000000"/>
              </w:rPr>
            </w:pPr>
            <w:r>
              <w:rPr>
                <w:color w:val="000000"/>
              </w:rPr>
              <w:t xml:space="preserve">Compliance status </w:t>
            </w:r>
            <w:r>
              <w:rPr>
                <w:color w:val="000000"/>
              </w:rPr>
              <w:tab/>
            </w:r>
            <w:r>
              <w:rPr>
                <w:color w:val="000000"/>
              </w:rPr>
              <w:tab/>
              <w:t xml:space="preserve"> </w:t>
            </w:r>
          </w:p>
        </w:tc>
        <w:tc>
          <w:tcPr>
            <w:tcW w:w="234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63.9(h)</w:t>
            </w:r>
          </w:p>
        </w:tc>
      </w:tr>
      <w:tr w:rsidR="00A55779" w:rsidTr="00EB5BED">
        <w:trPr>
          <w:cantSplit/>
        </w:trPr>
        <w:tc>
          <w:tcPr>
            <w:tcW w:w="702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56"/>
              <w:rPr>
                <w:color w:val="000000"/>
              </w:rPr>
            </w:pPr>
            <w:r>
              <w:rPr>
                <w:color w:val="000000"/>
              </w:rPr>
              <w:t>Opacity or visible emissions</w:t>
            </w:r>
          </w:p>
        </w:tc>
        <w:tc>
          <w:tcPr>
            <w:tcW w:w="2340" w:type="dxa"/>
            <w:tcBorders>
              <w:top w:val="single" w:sz="7" w:space="0" w:color="000000"/>
              <w:left w:val="single" w:sz="7" w:space="0" w:color="000000"/>
              <w:bottom w:val="single" w:sz="7" w:space="0" w:color="000000"/>
              <w:right w:val="single" w:sz="7" w:space="0" w:color="000000"/>
            </w:tcBorders>
          </w:tcPr>
          <w:p w:rsidR="00A55779" w:rsidRDefault="00A55779">
            <w:pPr>
              <w:spacing w:after="56"/>
              <w:rPr>
                <w:color w:val="000000"/>
              </w:rPr>
            </w:pPr>
            <w:r>
              <w:rPr>
                <w:color w:val="000000"/>
              </w:rPr>
              <w:t>63.10(d)(3), 63.788(a)</w:t>
            </w:r>
          </w:p>
        </w:tc>
      </w:tr>
      <w:tr w:rsidR="00A55779" w:rsidTr="00EB5BED">
        <w:trPr>
          <w:cantSplit/>
        </w:trPr>
        <w:tc>
          <w:tcPr>
            <w:tcW w:w="702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56"/>
              <w:rPr>
                <w:color w:val="000000"/>
              </w:rPr>
            </w:pPr>
            <w:r>
              <w:rPr>
                <w:color w:val="000000"/>
              </w:rPr>
              <w:t>Startup, shutdown, malfunction reports</w:t>
            </w:r>
          </w:p>
        </w:tc>
        <w:tc>
          <w:tcPr>
            <w:tcW w:w="234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56"/>
              <w:rPr>
                <w:color w:val="000000"/>
              </w:rPr>
            </w:pPr>
            <w:r>
              <w:rPr>
                <w:color w:val="000000"/>
              </w:rPr>
              <w:t>63.10(d)(5), 63.788(a)</w:t>
            </w:r>
          </w:p>
        </w:tc>
      </w:tr>
      <w:tr w:rsidR="00A55779" w:rsidTr="00EB5BED">
        <w:trPr>
          <w:cantSplit/>
        </w:trPr>
        <w:tc>
          <w:tcPr>
            <w:tcW w:w="702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75"/>
              <w:rPr>
                <w:color w:val="000000"/>
              </w:rPr>
            </w:pPr>
            <w:r>
              <w:rPr>
                <w:color w:val="000000"/>
              </w:rPr>
              <w:t>Progress reports</w:t>
            </w:r>
          </w:p>
        </w:tc>
        <w:tc>
          <w:tcPr>
            <w:tcW w:w="234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75"/>
              <w:rPr>
                <w:color w:val="000000"/>
              </w:rPr>
            </w:pPr>
            <w:r>
              <w:rPr>
                <w:color w:val="000000"/>
              </w:rPr>
              <w:t>63.10(d)(4), 63.788(a)</w:t>
            </w:r>
          </w:p>
        </w:tc>
      </w:tr>
      <w:tr w:rsidR="00A55779" w:rsidTr="00EB5BED">
        <w:trPr>
          <w:cantSplit/>
        </w:trPr>
        <w:tc>
          <w:tcPr>
            <w:tcW w:w="702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75"/>
              <w:rPr>
                <w:color w:val="000000"/>
              </w:rPr>
            </w:pPr>
            <w:r>
              <w:rPr>
                <w:color w:val="000000"/>
              </w:rPr>
              <w:t xml:space="preserve">Additional reports for sources with continuous monitoring systems </w:t>
            </w:r>
          </w:p>
        </w:tc>
        <w:tc>
          <w:tcPr>
            <w:tcW w:w="234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75"/>
              <w:rPr>
                <w:color w:val="000000"/>
              </w:rPr>
            </w:pPr>
            <w:r>
              <w:rPr>
                <w:color w:val="000000"/>
              </w:rPr>
              <w:t>63.10(e), 63.788(a)</w:t>
            </w:r>
          </w:p>
        </w:tc>
      </w:tr>
      <w:tr w:rsidR="00A55779" w:rsidTr="00EB5BED">
        <w:trPr>
          <w:cantSplit/>
        </w:trPr>
        <w:tc>
          <w:tcPr>
            <w:tcW w:w="702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75"/>
              <w:rPr>
                <w:color w:val="000000"/>
              </w:rPr>
            </w:pPr>
            <w:r>
              <w:rPr>
                <w:color w:val="000000"/>
              </w:rPr>
              <w:t>Implementation plan</w:t>
            </w:r>
          </w:p>
        </w:tc>
        <w:tc>
          <w:tcPr>
            <w:tcW w:w="234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75"/>
              <w:rPr>
                <w:color w:val="000000"/>
              </w:rPr>
            </w:pPr>
            <w:r>
              <w:rPr>
                <w:color w:val="000000"/>
              </w:rPr>
              <w:t>63.787(b)</w:t>
            </w:r>
          </w:p>
        </w:tc>
      </w:tr>
      <w:tr w:rsidR="00A55779" w:rsidTr="00EB5BED">
        <w:trPr>
          <w:cantSplit/>
        </w:trPr>
        <w:tc>
          <w:tcPr>
            <w:tcW w:w="702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75"/>
              <w:rPr>
                <w:color w:val="000000"/>
              </w:rPr>
            </w:pPr>
            <w:r>
              <w:rPr>
                <w:color w:val="000000"/>
              </w:rPr>
              <w:t>Semiannual report of coating and thinner usage</w:t>
            </w:r>
          </w:p>
        </w:tc>
        <w:tc>
          <w:tcPr>
            <w:tcW w:w="234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75"/>
              <w:rPr>
                <w:color w:val="000000"/>
              </w:rPr>
            </w:pPr>
            <w:r>
              <w:rPr>
                <w:color w:val="000000"/>
              </w:rPr>
              <w:t>63.788(c)</w:t>
            </w:r>
          </w:p>
        </w:tc>
      </w:tr>
      <w:tr w:rsidR="00A55779" w:rsidTr="00EB5BED">
        <w:trPr>
          <w:cantSplit/>
        </w:trPr>
        <w:tc>
          <w:tcPr>
            <w:tcW w:w="7020" w:type="dxa"/>
            <w:tcBorders>
              <w:top w:val="single" w:sz="7" w:space="0" w:color="000000"/>
              <w:left w:val="single" w:sz="7" w:space="0" w:color="000000"/>
              <w:bottom w:val="single" w:sz="7" w:space="0" w:color="000000"/>
              <w:right w:val="nil"/>
            </w:tcBorders>
            <w:vAlign w:val="center"/>
          </w:tcPr>
          <w:p w:rsidR="00A55779" w:rsidRDefault="00A55779">
            <w:pPr>
              <w:spacing w:after="75"/>
              <w:rPr>
                <w:color w:val="000000"/>
              </w:rPr>
            </w:pPr>
            <w:r>
              <w:rPr>
                <w:color w:val="000000"/>
              </w:rPr>
              <w:t>Request for waiver of recordkeepin</w:t>
            </w:r>
            <w:r w:rsidR="00EC31C6">
              <w:rPr>
                <w:color w:val="000000"/>
              </w:rPr>
              <w:t>g or reporting requirements</w:t>
            </w:r>
          </w:p>
        </w:tc>
        <w:tc>
          <w:tcPr>
            <w:tcW w:w="2340" w:type="dxa"/>
            <w:tcBorders>
              <w:top w:val="single" w:sz="7" w:space="0" w:color="000000"/>
              <w:left w:val="nil"/>
              <w:bottom w:val="single" w:sz="7" w:space="0" w:color="000000"/>
              <w:right w:val="single" w:sz="7" w:space="0" w:color="000000"/>
            </w:tcBorders>
            <w:vAlign w:val="center"/>
          </w:tcPr>
          <w:p w:rsidR="00A55779" w:rsidRDefault="00A55779">
            <w:pPr>
              <w:spacing w:after="75"/>
              <w:rPr>
                <w:color w:val="000000"/>
              </w:rPr>
            </w:pPr>
            <w:r>
              <w:rPr>
                <w:color w:val="000000"/>
              </w:rPr>
              <w:t>6</w:t>
            </w:r>
            <w:r w:rsidR="00EC31C6">
              <w:rPr>
                <w:color w:val="000000"/>
              </w:rPr>
              <w:t>3.10(f), 63.788(a)</w:t>
            </w:r>
          </w:p>
        </w:tc>
      </w:tr>
    </w:tbl>
    <w:p w:rsidR="00EB5BED" w:rsidRDefault="00EB5BED">
      <w:pPr>
        <w:ind w:firstLine="720"/>
        <w:rPr>
          <w:color w:val="000000"/>
        </w:rPr>
      </w:pPr>
    </w:p>
    <w:p w:rsidR="00A55779" w:rsidRDefault="00A55779">
      <w:pPr>
        <w:ind w:firstLine="720"/>
        <w:rPr>
          <w:color w:val="000000"/>
        </w:rPr>
      </w:pPr>
      <w:r>
        <w:rPr>
          <w:color w:val="000000"/>
        </w:rPr>
        <w:t>A source must maintain the following records:</w:t>
      </w:r>
    </w:p>
    <w:p w:rsidR="00A55779" w:rsidRDefault="00A55779">
      <w:pPr>
        <w:rPr>
          <w:color w:val="000000"/>
        </w:rPr>
      </w:pPr>
    </w:p>
    <w:tbl>
      <w:tblPr>
        <w:tblW w:w="0" w:type="auto"/>
        <w:jc w:val="center"/>
        <w:tblLayout w:type="fixed"/>
        <w:tblCellMar>
          <w:left w:w="115" w:type="dxa"/>
          <w:right w:w="115" w:type="dxa"/>
        </w:tblCellMar>
        <w:tblLook w:val="0000"/>
      </w:tblPr>
      <w:tblGrid>
        <w:gridCol w:w="6840"/>
        <w:gridCol w:w="2520"/>
      </w:tblGrid>
      <w:tr w:rsidR="008D2545" w:rsidTr="00177A70">
        <w:trPr>
          <w:cantSplit/>
          <w:tblHeader/>
          <w:jc w:val="center"/>
        </w:trPr>
        <w:tc>
          <w:tcPr>
            <w:tcW w:w="9360" w:type="dxa"/>
            <w:gridSpan w:val="2"/>
            <w:tcBorders>
              <w:top w:val="single" w:sz="7" w:space="0" w:color="000000"/>
              <w:left w:val="single" w:sz="7" w:space="0" w:color="000000"/>
              <w:bottom w:val="single" w:sz="6" w:space="0" w:color="FFFFFF"/>
              <w:right w:val="single" w:sz="7" w:space="0" w:color="000000"/>
            </w:tcBorders>
            <w:vAlign w:val="center"/>
          </w:tcPr>
          <w:p w:rsidR="00A55779" w:rsidRDefault="00A55779">
            <w:pPr>
              <w:spacing w:after="62"/>
              <w:jc w:val="center"/>
              <w:rPr>
                <w:b/>
                <w:bCs/>
                <w:color w:val="000000"/>
              </w:rPr>
            </w:pPr>
            <w:r>
              <w:rPr>
                <w:b/>
                <w:bCs/>
                <w:color w:val="000000"/>
              </w:rPr>
              <w:lastRenderedPageBreak/>
              <w:t>Recordkeeping for 40 CFR part 63, subpart II</w:t>
            </w:r>
          </w:p>
        </w:tc>
      </w:tr>
      <w:tr w:rsidR="00A55779" w:rsidTr="00177A70">
        <w:trPr>
          <w:cantSplit/>
          <w:jc w:val="center"/>
        </w:trPr>
        <w:tc>
          <w:tcPr>
            <w:tcW w:w="6840" w:type="dxa"/>
            <w:tcBorders>
              <w:top w:val="single" w:sz="7" w:space="0" w:color="000000"/>
              <w:left w:val="single" w:sz="7" w:space="0" w:color="000000"/>
              <w:bottom w:val="single" w:sz="6" w:space="0" w:color="FFFFFF"/>
              <w:right w:val="single" w:sz="6" w:space="0" w:color="FFFFFF"/>
            </w:tcBorders>
            <w:vAlign w:val="center"/>
          </w:tcPr>
          <w:p w:rsidR="00A55779" w:rsidRDefault="00A55779">
            <w:pPr>
              <w:spacing w:after="43"/>
              <w:rPr>
                <w:color w:val="000000"/>
              </w:rPr>
            </w:pPr>
            <w:r>
              <w:rPr>
                <w:color w:val="000000"/>
              </w:rPr>
              <w:t>Startups, shutdowns, malfunctions, periods where the continuous monitoring system is inoperative</w:t>
            </w:r>
          </w:p>
        </w:tc>
        <w:tc>
          <w:tcPr>
            <w:tcW w:w="2520" w:type="dxa"/>
            <w:tcBorders>
              <w:top w:val="single" w:sz="7" w:space="0" w:color="000000"/>
              <w:left w:val="single" w:sz="7" w:space="0" w:color="000000"/>
              <w:bottom w:val="single" w:sz="6" w:space="0" w:color="FFFFFF"/>
              <w:right w:val="single" w:sz="7" w:space="0" w:color="000000"/>
            </w:tcBorders>
            <w:vAlign w:val="center"/>
          </w:tcPr>
          <w:p w:rsidR="00A55779" w:rsidRDefault="00A55779">
            <w:pPr>
              <w:spacing w:after="43"/>
              <w:rPr>
                <w:color w:val="000000"/>
              </w:rPr>
            </w:pPr>
            <w:r>
              <w:rPr>
                <w:color w:val="000000"/>
              </w:rPr>
              <w:t>63.10(b)(2), 63.788(a)</w:t>
            </w:r>
          </w:p>
        </w:tc>
      </w:tr>
      <w:tr w:rsidR="00A55779" w:rsidTr="00177A70">
        <w:trPr>
          <w:cantSplit/>
          <w:jc w:val="center"/>
        </w:trPr>
        <w:tc>
          <w:tcPr>
            <w:tcW w:w="6840" w:type="dxa"/>
            <w:tcBorders>
              <w:top w:val="single" w:sz="7" w:space="0" w:color="000000"/>
              <w:left w:val="single" w:sz="7" w:space="0" w:color="000000"/>
              <w:bottom w:val="single" w:sz="6" w:space="0" w:color="FFFFFF"/>
              <w:right w:val="single" w:sz="6" w:space="0" w:color="FFFFFF"/>
            </w:tcBorders>
            <w:vAlign w:val="center"/>
          </w:tcPr>
          <w:p w:rsidR="00A55779" w:rsidRDefault="00A55779">
            <w:pPr>
              <w:spacing w:after="43"/>
              <w:rPr>
                <w:color w:val="000000"/>
              </w:rPr>
            </w:pPr>
            <w:r>
              <w:rPr>
                <w:color w:val="000000"/>
              </w:rPr>
              <w:t>All reports and notifications</w:t>
            </w:r>
          </w:p>
        </w:tc>
        <w:tc>
          <w:tcPr>
            <w:tcW w:w="2520" w:type="dxa"/>
            <w:tcBorders>
              <w:top w:val="single" w:sz="7" w:space="0" w:color="000000"/>
              <w:left w:val="single" w:sz="7" w:space="0" w:color="000000"/>
              <w:bottom w:val="single" w:sz="6" w:space="0" w:color="FFFFFF"/>
              <w:right w:val="single" w:sz="7" w:space="0" w:color="000000"/>
            </w:tcBorders>
            <w:vAlign w:val="center"/>
          </w:tcPr>
          <w:p w:rsidR="00A55779" w:rsidRDefault="00A55779">
            <w:pPr>
              <w:spacing w:after="43"/>
              <w:rPr>
                <w:color w:val="000000"/>
              </w:rPr>
            </w:pPr>
            <w:r>
              <w:rPr>
                <w:color w:val="000000"/>
              </w:rPr>
              <w:t>63.10(a), 63.10(b), 63.788(a), 63.788(b)</w:t>
            </w:r>
          </w:p>
        </w:tc>
      </w:tr>
      <w:tr w:rsidR="00A55779" w:rsidTr="00177A70">
        <w:trPr>
          <w:cantSplit/>
          <w:jc w:val="center"/>
        </w:trPr>
        <w:tc>
          <w:tcPr>
            <w:tcW w:w="6840" w:type="dxa"/>
            <w:tcBorders>
              <w:top w:val="single" w:sz="7" w:space="0" w:color="000000"/>
              <w:left w:val="single" w:sz="7" w:space="0" w:color="000000"/>
              <w:bottom w:val="single" w:sz="6" w:space="0" w:color="FFFFFF"/>
              <w:right w:val="single" w:sz="6" w:space="0" w:color="FFFFFF"/>
            </w:tcBorders>
            <w:vAlign w:val="center"/>
          </w:tcPr>
          <w:p w:rsidR="00A55779" w:rsidRDefault="00A55779">
            <w:pPr>
              <w:spacing w:after="43"/>
              <w:rPr>
                <w:color w:val="000000"/>
              </w:rPr>
            </w:pPr>
            <w:r>
              <w:rPr>
                <w:color w:val="000000"/>
              </w:rPr>
              <w:t>Record of applicability</w:t>
            </w:r>
          </w:p>
        </w:tc>
        <w:tc>
          <w:tcPr>
            <w:tcW w:w="2520" w:type="dxa"/>
            <w:tcBorders>
              <w:top w:val="single" w:sz="7" w:space="0" w:color="000000"/>
              <w:left w:val="single" w:sz="7" w:space="0" w:color="000000"/>
              <w:bottom w:val="single" w:sz="6" w:space="0" w:color="FFFFFF"/>
              <w:right w:val="single" w:sz="7" w:space="0" w:color="000000"/>
            </w:tcBorders>
            <w:vAlign w:val="center"/>
          </w:tcPr>
          <w:p w:rsidR="00A55779" w:rsidRDefault="00A55779">
            <w:pPr>
              <w:spacing w:after="43"/>
              <w:rPr>
                <w:color w:val="000000"/>
              </w:rPr>
            </w:pPr>
            <w:r>
              <w:rPr>
                <w:color w:val="000000"/>
              </w:rPr>
              <w:t>63.10(b)(3), 63.788(a)</w:t>
            </w:r>
          </w:p>
        </w:tc>
      </w:tr>
      <w:tr w:rsidR="00A55779" w:rsidTr="00177A70">
        <w:trPr>
          <w:cantSplit/>
          <w:jc w:val="center"/>
        </w:trPr>
        <w:tc>
          <w:tcPr>
            <w:tcW w:w="6840" w:type="dxa"/>
            <w:tcBorders>
              <w:top w:val="single" w:sz="7" w:space="0" w:color="000000"/>
              <w:left w:val="single" w:sz="7" w:space="0" w:color="000000"/>
              <w:bottom w:val="single" w:sz="6" w:space="0" w:color="FFFFFF"/>
              <w:right w:val="single" w:sz="6" w:space="0" w:color="FFFFFF"/>
            </w:tcBorders>
            <w:vAlign w:val="center"/>
          </w:tcPr>
          <w:p w:rsidR="00A55779" w:rsidRDefault="00A55779">
            <w:pPr>
              <w:spacing w:after="43"/>
              <w:rPr>
                <w:color w:val="000000"/>
              </w:rPr>
            </w:pPr>
            <w:r>
              <w:rPr>
                <w:color w:val="000000"/>
              </w:rPr>
              <w:t>Records for sources with continuous monitoring systems</w:t>
            </w:r>
          </w:p>
        </w:tc>
        <w:tc>
          <w:tcPr>
            <w:tcW w:w="2520" w:type="dxa"/>
            <w:tcBorders>
              <w:top w:val="single" w:sz="7" w:space="0" w:color="000000"/>
              <w:left w:val="single" w:sz="7" w:space="0" w:color="000000"/>
              <w:bottom w:val="single" w:sz="6" w:space="0" w:color="FFFFFF"/>
              <w:right w:val="single" w:sz="7" w:space="0" w:color="000000"/>
            </w:tcBorders>
            <w:vAlign w:val="center"/>
          </w:tcPr>
          <w:p w:rsidR="00A55779" w:rsidRDefault="00A55779">
            <w:pPr>
              <w:spacing w:after="43"/>
              <w:rPr>
                <w:color w:val="000000"/>
              </w:rPr>
            </w:pPr>
            <w:r>
              <w:rPr>
                <w:color w:val="000000"/>
              </w:rPr>
              <w:t>63.10(c), 63.788(a)</w:t>
            </w:r>
          </w:p>
        </w:tc>
      </w:tr>
      <w:tr w:rsidR="00A55779" w:rsidTr="00177A70">
        <w:trPr>
          <w:cantSplit/>
          <w:jc w:val="center"/>
        </w:trPr>
        <w:tc>
          <w:tcPr>
            <w:tcW w:w="6840" w:type="dxa"/>
            <w:tcBorders>
              <w:top w:val="single" w:sz="7" w:space="0" w:color="000000"/>
              <w:left w:val="single" w:sz="7" w:space="0" w:color="000000"/>
              <w:bottom w:val="single" w:sz="6" w:space="0" w:color="FFFFFF"/>
              <w:right w:val="single" w:sz="6" w:space="0" w:color="FFFFFF"/>
            </w:tcBorders>
            <w:vAlign w:val="center"/>
          </w:tcPr>
          <w:p w:rsidR="00A55779" w:rsidRDefault="00A55779">
            <w:pPr>
              <w:spacing w:after="62"/>
              <w:rPr>
                <w:color w:val="000000"/>
              </w:rPr>
            </w:pPr>
            <w:r>
              <w:rPr>
                <w:color w:val="000000"/>
              </w:rPr>
              <w:t>Records of coating applied</w:t>
            </w:r>
          </w:p>
        </w:tc>
        <w:tc>
          <w:tcPr>
            <w:tcW w:w="2520" w:type="dxa"/>
            <w:tcBorders>
              <w:top w:val="single" w:sz="7" w:space="0" w:color="000000"/>
              <w:left w:val="single" w:sz="7" w:space="0" w:color="000000"/>
              <w:bottom w:val="single" w:sz="6" w:space="0" w:color="FFFFFF"/>
              <w:right w:val="single" w:sz="7" w:space="0" w:color="000000"/>
            </w:tcBorders>
            <w:vAlign w:val="center"/>
          </w:tcPr>
          <w:p w:rsidR="00A55779" w:rsidRDefault="00A55779">
            <w:pPr>
              <w:spacing w:after="62"/>
              <w:rPr>
                <w:color w:val="000000"/>
              </w:rPr>
            </w:pPr>
            <w:r>
              <w:rPr>
                <w:color w:val="000000"/>
              </w:rPr>
              <w:t>63.788(b)(1)</w:t>
            </w:r>
          </w:p>
        </w:tc>
      </w:tr>
      <w:tr w:rsidR="00A55779" w:rsidTr="00177A70">
        <w:trPr>
          <w:cantSplit/>
          <w:jc w:val="center"/>
        </w:trPr>
        <w:tc>
          <w:tcPr>
            <w:tcW w:w="6840" w:type="dxa"/>
            <w:tcBorders>
              <w:top w:val="single" w:sz="7" w:space="0" w:color="000000"/>
              <w:left w:val="single" w:sz="7" w:space="0" w:color="000000"/>
              <w:bottom w:val="single" w:sz="6" w:space="0" w:color="FFFFFF"/>
              <w:right w:val="single" w:sz="6" w:space="0" w:color="FFFFFF"/>
            </w:tcBorders>
            <w:vAlign w:val="center"/>
          </w:tcPr>
          <w:p w:rsidR="00A55779" w:rsidRDefault="00A55779">
            <w:pPr>
              <w:spacing w:after="62"/>
              <w:rPr>
                <w:color w:val="000000"/>
              </w:rPr>
            </w:pPr>
            <w:r>
              <w:rPr>
                <w:color w:val="000000"/>
              </w:rPr>
              <w:t xml:space="preserve">Records related to initial notification and implementation plan </w:t>
            </w:r>
          </w:p>
        </w:tc>
        <w:tc>
          <w:tcPr>
            <w:tcW w:w="2520" w:type="dxa"/>
            <w:tcBorders>
              <w:top w:val="single" w:sz="7" w:space="0" w:color="000000"/>
              <w:left w:val="single" w:sz="7" w:space="0" w:color="000000"/>
              <w:bottom w:val="single" w:sz="6" w:space="0" w:color="FFFFFF"/>
              <w:right w:val="single" w:sz="7" w:space="0" w:color="000000"/>
            </w:tcBorders>
            <w:vAlign w:val="center"/>
          </w:tcPr>
          <w:p w:rsidR="00A55779" w:rsidRDefault="00A55779">
            <w:pPr>
              <w:spacing w:after="62"/>
              <w:rPr>
                <w:color w:val="000000"/>
              </w:rPr>
            </w:pPr>
            <w:r>
              <w:rPr>
                <w:color w:val="000000"/>
              </w:rPr>
              <w:t>63.788(b)(2)</w:t>
            </w:r>
          </w:p>
        </w:tc>
      </w:tr>
      <w:tr w:rsidR="00A55779" w:rsidTr="00177A70">
        <w:trPr>
          <w:cantSplit/>
          <w:jc w:val="center"/>
        </w:trPr>
        <w:tc>
          <w:tcPr>
            <w:tcW w:w="6840" w:type="dxa"/>
            <w:tcBorders>
              <w:top w:val="single" w:sz="7" w:space="0" w:color="000000"/>
              <w:left w:val="single" w:sz="7" w:space="0" w:color="000000"/>
              <w:bottom w:val="single" w:sz="6" w:space="0" w:color="FFFFFF"/>
              <w:right w:val="single" w:sz="6" w:space="0" w:color="FFFFFF"/>
            </w:tcBorders>
            <w:vAlign w:val="center"/>
          </w:tcPr>
          <w:p w:rsidR="00A55779" w:rsidRDefault="00A55779">
            <w:pPr>
              <w:spacing w:after="62"/>
              <w:rPr>
                <w:color w:val="000000"/>
              </w:rPr>
            </w:pPr>
            <w:r>
              <w:rPr>
                <w:color w:val="000000"/>
              </w:rPr>
              <w:t>Records related to coatings and containers used</w:t>
            </w:r>
          </w:p>
        </w:tc>
        <w:tc>
          <w:tcPr>
            <w:tcW w:w="2520" w:type="dxa"/>
            <w:tcBorders>
              <w:top w:val="single" w:sz="7" w:space="0" w:color="000000"/>
              <w:left w:val="single" w:sz="7" w:space="0" w:color="000000"/>
              <w:bottom w:val="single" w:sz="6" w:space="0" w:color="FFFFFF"/>
              <w:right w:val="single" w:sz="7" w:space="0" w:color="000000"/>
            </w:tcBorders>
            <w:vAlign w:val="center"/>
          </w:tcPr>
          <w:p w:rsidR="00A55779" w:rsidRDefault="00A55779">
            <w:pPr>
              <w:spacing w:after="62"/>
              <w:rPr>
                <w:color w:val="000000"/>
              </w:rPr>
            </w:pPr>
            <w:r>
              <w:rPr>
                <w:color w:val="000000"/>
              </w:rPr>
              <w:t>63.788(b)(2)</w:t>
            </w:r>
          </w:p>
        </w:tc>
      </w:tr>
      <w:tr w:rsidR="00A55779" w:rsidTr="00177A70">
        <w:trPr>
          <w:cantSplit/>
          <w:jc w:val="center"/>
        </w:trPr>
        <w:tc>
          <w:tcPr>
            <w:tcW w:w="6840" w:type="dxa"/>
            <w:tcBorders>
              <w:top w:val="single" w:sz="7" w:space="0" w:color="000000"/>
              <w:left w:val="single" w:sz="7" w:space="0" w:color="000000"/>
              <w:bottom w:val="single" w:sz="6" w:space="0" w:color="FFFFFF"/>
              <w:right w:val="single" w:sz="6" w:space="0" w:color="FFFFFF"/>
            </w:tcBorders>
            <w:vAlign w:val="center"/>
          </w:tcPr>
          <w:p w:rsidR="00A55779" w:rsidRDefault="00A55779">
            <w:pPr>
              <w:spacing w:after="62"/>
              <w:rPr>
                <w:color w:val="000000"/>
              </w:rPr>
            </w:pPr>
            <w:r>
              <w:rPr>
                <w:color w:val="000000"/>
              </w:rPr>
              <w:t>Records related to coatings and thinners used</w:t>
            </w:r>
          </w:p>
        </w:tc>
        <w:tc>
          <w:tcPr>
            <w:tcW w:w="2520" w:type="dxa"/>
            <w:tcBorders>
              <w:top w:val="single" w:sz="7" w:space="0" w:color="000000"/>
              <w:left w:val="single" w:sz="7" w:space="0" w:color="000000"/>
              <w:bottom w:val="single" w:sz="6" w:space="0" w:color="FFFFFF"/>
              <w:right w:val="single" w:sz="7" w:space="0" w:color="000000"/>
            </w:tcBorders>
            <w:vAlign w:val="center"/>
          </w:tcPr>
          <w:p w:rsidR="00A55779" w:rsidRDefault="00A55779">
            <w:pPr>
              <w:spacing w:after="62"/>
              <w:rPr>
                <w:color w:val="000000"/>
              </w:rPr>
            </w:pPr>
            <w:r>
              <w:rPr>
                <w:color w:val="000000"/>
              </w:rPr>
              <w:t>63.788(b)(3)</w:t>
            </w:r>
          </w:p>
        </w:tc>
      </w:tr>
      <w:tr w:rsidR="00A55779" w:rsidTr="00177A70">
        <w:trPr>
          <w:cantSplit/>
          <w:jc w:val="center"/>
        </w:trPr>
        <w:tc>
          <w:tcPr>
            <w:tcW w:w="6840" w:type="dxa"/>
            <w:tcBorders>
              <w:top w:val="single" w:sz="7" w:space="0" w:color="000000"/>
              <w:left w:val="single" w:sz="7" w:space="0" w:color="000000"/>
              <w:bottom w:val="single" w:sz="7" w:space="0" w:color="000000"/>
              <w:right w:val="single" w:sz="6" w:space="0" w:color="FFFFFF"/>
            </w:tcBorders>
            <w:vAlign w:val="center"/>
          </w:tcPr>
          <w:p w:rsidR="00A55779" w:rsidRDefault="00A55779">
            <w:pPr>
              <w:spacing w:after="62"/>
              <w:rPr>
                <w:color w:val="000000"/>
              </w:rPr>
            </w:pPr>
            <w:r>
              <w:rPr>
                <w:color w:val="000000"/>
              </w:rPr>
              <w:t>Records are required to be retained for fi</w:t>
            </w:r>
            <w:r w:rsidR="00EC31C6">
              <w:rPr>
                <w:color w:val="000000"/>
              </w:rPr>
              <w:t>ve years.  The first 2 years of</w:t>
            </w:r>
            <w:r>
              <w:rPr>
                <w:color w:val="000000"/>
              </w:rPr>
              <w:t xml:space="preserve"> records must be retained at the facility.</w:t>
            </w:r>
          </w:p>
        </w:tc>
        <w:tc>
          <w:tcPr>
            <w:tcW w:w="2520" w:type="dxa"/>
            <w:tcBorders>
              <w:top w:val="single" w:sz="7" w:space="0" w:color="000000"/>
              <w:left w:val="single" w:sz="7" w:space="0" w:color="000000"/>
              <w:bottom w:val="single" w:sz="7" w:space="0" w:color="000000"/>
              <w:right w:val="single" w:sz="7" w:space="0" w:color="000000"/>
            </w:tcBorders>
            <w:vAlign w:val="center"/>
          </w:tcPr>
          <w:p w:rsidR="00A55779" w:rsidRDefault="00EC31C6">
            <w:pPr>
              <w:spacing w:after="62"/>
              <w:rPr>
                <w:color w:val="000000"/>
              </w:rPr>
            </w:pPr>
            <w:r>
              <w:rPr>
                <w:color w:val="000000"/>
              </w:rPr>
              <w:t>63.788(b)</w:t>
            </w:r>
          </w:p>
        </w:tc>
      </w:tr>
    </w:tbl>
    <w:p w:rsidR="00A55779" w:rsidRDefault="00A55779">
      <w:pPr>
        <w:rPr>
          <w:color w:val="000000"/>
        </w:rPr>
      </w:pPr>
    </w:p>
    <w:p w:rsidR="00A55779" w:rsidRDefault="00A55779">
      <w:pPr>
        <w:ind w:firstLine="1440"/>
        <w:rPr>
          <w:b/>
          <w:bCs/>
          <w:color w:val="000000"/>
        </w:rPr>
      </w:pPr>
      <w:r>
        <w:rPr>
          <w:b/>
          <w:bCs/>
          <w:color w:val="000000"/>
        </w:rPr>
        <w:t>(ii)  Respondent Activities</w:t>
      </w:r>
    </w:p>
    <w:p w:rsidR="00A55779" w:rsidRDefault="00A55779">
      <w:pPr>
        <w:rPr>
          <w:color w:val="00000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9360"/>
      </w:tblGrid>
      <w:tr w:rsidR="00A55779" w:rsidTr="00177A70">
        <w:trPr>
          <w:cantSplit/>
          <w:tblHeader/>
          <w:jc w:val="center"/>
        </w:trPr>
        <w:tc>
          <w:tcPr>
            <w:tcW w:w="9360" w:type="dxa"/>
            <w:shd w:val="clear" w:color="auto" w:fill="auto"/>
            <w:vAlign w:val="center"/>
          </w:tcPr>
          <w:p w:rsidR="00A55779" w:rsidRDefault="00A55779">
            <w:pPr>
              <w:spacing w:after="55"/>
              <w:jc w:val="center"/>
              <w:rPr>
                <w:b/>
                <w:bCs/>
                <w:color w:val="000000"/>
              </w:rPr>
            </w:pPr>
            <w:r>
              <w:rPr>
                <w:b/>
                <w:bCs/>
                <w:color w:val="000000"/>
              </w:rPr>
              <w:t>Respondent Activities</w:t>
            </w:r>
          </w:p>
        </w:tc>
      </w:tr>
      <w:tr w:rsidR="00A55779" w:rsidTr="00177A70">
        <w:trPr>
          <w:cantSplit/>
          <w:jc w:val="center"/>
        </w:trPr>
        <w:tc>
          <w:tcPr>
            <w:tcW w:w="9360" w:type="dxa"/>
            <w:shd w:val="clear" w:color="auto" w:fill="auto"/>
            <w:vAlign w:val="center"/>
          </w:tcPr>
          <w:p w:rsidR="00A55779" w:rsidRDefault="00A55779">
            <w:pPr>
              <w:spacing w:after="55"/>
              <w:rPr>
                <w:color w:val="000000"/>
              </w:rPr>
            </w:pPr>
            <w:r>
              <w:rPr>
                <w:color w:val="000000"/>
              </w:rPr>
              <w:t>Read instructions.</w:t>
            </w:r>
          </w:p>
        </w:tc>
      </w:tr>
      <w:tr w:rsidR="00A55779" w:rsidTr="00177A70">
        <w:trPr>
          <w:cantSplit/>
          <w:jc w:val="center"/>
        </w:trPr>
        <w:tc>
          <w:tcPr>
            <w:tcW w:w="9360" w:type="dxa"/>
            <w:shd w:val="clear" w:color="auto" w:fill="auto"/>
            <w:vAlign w:val="center"/>
          </w:tcPr>
          <w:p w:rsidR="00A55779" w:rsidRDefault="00A55779">
            <w:pPr>
              <w:spacing w:after="55"/>
              <w:rPr>
                <w:color w:val="000000"/>
              </w:rPr>
            </w:pPr>
            <w:r>
              <w:rPr>
                <w:color w:val="000000"/>
              </w:rPr>
              <w:t>Install, calibrate, maintain, and operate Compliance Monitoring System (CMS) for opacity, or for pressure drop and liquid supply pressure for control device, if approved and used.</w:t>
            </w:r>
          </w:p>
        </w:tc>
      </w:tr>
      <w:tr w:rsidR="00A55779" w:rsidTr="00177A70">
        <w:trPr>
          <w:cantSplit/>
          <w:jc w:val="center"/>
        </w:trPr>
        <w:tc>
          <w:tcPr>
            <w:tcW w:w="9360" w:type="dxa"/>
            <w:shd w:val="clear" w:color="auto" w:fill="auto"/>
            <w:vAlign w:val="center"/>
          </w:tcPr>
          <w:p w:rsidR="00A55779" w:rsidRDefault="00A55779">
            <w:pPr>
              <w:spacing w:after="55"/>
              <w:rPr>
                <w:color w:val="000000"/>
              </w:rPr>
            </w:pPr>
            <w:r>
              <w:rPr>
                <w:color w:val="000000"/>
              </w:rPr>
              <w:t>Perform initial performance test, Reference Method 24 test, and repeat performance tests if necessary.</w:t>
            </w:r>
          </w:p>
        </w:tc>
      </w:tr>
      <w:tr w:rsidR="00A55779" w:rsidTr="00177A70">
        <w:trPr>
          <w:cantSplit/>
          <w:jc w:val="center"/>
        </w:trPr>
        <w:tc>
          <w:tcPr>
            <w:tcW w:w="9360" w:type="dxa"/>
            <w:shd w:val="clear" w:color="auto" w:fill="auto"/>
            <w:vAlign w:val="center"/>
          </w:tcPr>
          <w:p w:rsidR="00A55779" w:rsidRDefault="00A55779">
            <w:pPr>
              <w:spacing w:after="55"/>
              <w:rPr>
                <w:color w:val="000000"/>
              </w:rPr>
            </w:pPr>
            <w:r>
              <w:rPr>
                <w:color w:val="000000"/>
              </w:rPr>
              <w:t>Write the notifications and reports listed above.</w:t>
            </w:r>
          </w:p>
        </w:tc>
      </w:tr>
      <w:tr w:rsidR="00A55779" w:rsidTr="00177A70">
        <w:trPr>
          <w:cantSplit/>
          <w:jc w:val="center"/>
        </w:trPr>
        <w:tc>
          <w:tcPr>
            <w:tcW w:w="9360" w:type="dxa"/>
            <w:shd w:val="clear" w:color="auto" w:fill="auto"/>
            <w:vAlign w:val="center"/>
          </w:tcPr>
          <w:p w:rsidR="00A55779" w:rsidRDefault="00A55779">
            <w:pPr>
              <w:spacing w:after="55"/>
              <w:rPr>
                <w:color w:val="000000"/>
              </w:rPr>
            </w:pPr>
            <w:r>
              <w:rPr>
                <w:color w:val="000000"/>
              </w:rPr>
              <w:t>Enter information required to be recorded above.</w:t>
            </w:r>
          </w:p>
        </w:tc>
      </w:tr>
      <w:tr w:rsidR="00A55779" w:rsidTr="00177A70">
        <w:trPr>
          <w:cantSplit/>
          <w:jc w:val="center"/>
        </w:trPr>
        <w:tc>
          <w:tcPr>
            <w:tcW w:w="9360" w:type="dxa"/>
            <w:shd w:val="clear" w:color="auto" w:fill="auto"/>
            <w:vAlign w:val="center"/>
          </w:tcPr>
          <w:p w:rsidR="00A55779" w:rsidRDefault="00A55779">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A55779" w:rsidTr="00177A70">
        <w:trPr>
          <w:cantSplit/>
          <w:jc w:val="center"/>
        </w:trPr>
        <w:tc>
          <w:tcPr>
            <w:tcW w:w="9360" w:type="dxa"/>
            <w:shd w:val="clear" w:color="auto" w:fill="auto"/>
            <w:vAlign w:val="center"/>
          </w:tcPr>
          <w:p w:rsidR="00A55779" w:rsidRDefault="00A55779">
            <w:pPr>
              <w:spacing w:after="55"/>
              <w:rPr>
                <w:color w:val="000000"/>
              </w:rPr>
            </w:pPr>
            <w:r>
              <w:rPr>
                <w:color w:val="000000"/>
              </w:rPr>
              <w:t>Develop, acquire, install, and utilize technology and systems for the purpose of processing and maintaining information.</w:t>
            </w:r>
          </w:p>
        </w:tc>
      </w:tr>
      <w:tr w:rsidR="00A55779" w:rsidTr="00177A70">
        <w:trPr>
          <w:cantSplit/>
          <w:jc w:val="center"/>
        </w:trPr>
        <w:tc>
          <w:tcPr>
            <w:tcW w:w="9360" w:type="dxa"/>
            <w:shd w:val="clear" w:color="auto" w:fill="auto"/>
            <w:vAlign w:val="center"/>
          </w:tcPr>
          <w:p w:rsidR="00A55779" w:rsidRDefault="00A55779">
            <w:pPr>
              <w:spacing w:after="55"/>
              <w:rPr>
                <w:color w:val="000000"/>
              </w:rPr>
            </w:pPr>
            <w:r>
              <w:rPr>
                <w:color w:val="000000"/>
              </w:rPr>
              <w:t>Develop, acquire, install, and utilize technology and systems for the purpose of disclosing and providing information.</w:t>
            </w:r>
          </w:p>
        </w:tc>
      </w:tr>
      <w:tr w:rsidR="00A55779" w:rsidTr="00177A70">
        <w:trPr>
          <w:cantSplit/>
          <w:jc w:val="center"/>
        </w:trPr>
        <w:tc>
          <w:tcPr>
            <w:tcW w:w="9360" w:type="dxa"/>
            <w:shd w:val="clear" w:color="auto" w:fill="auto"/>
            <w:vAlign w:val="center"/>
          </w:tcPr>
          <w:p w:rsidR="00A55779" w:rsidRDefault="00A55779">
            <w:pPr>
              <w:spacing w:after="55"/>
              <w:rPr>
                <w:color w:val="000000"/>
              </w:rPr>
            </w:pPr>
            <w:r>
              <w:rPr>
                <w:color w:val="000000"/>
              </w:rPr>
              <w:t>Adjust the existing ways to comply with any previously applicable instructions and requirements.</w:t>
            </w:r>
          </w:p>
        </w:tc>
      </w:tr>
      <w:tr w:rsidR="00A55779" w:rsidTr="00177A70">
        <w:trPr>
          <w:cantSplit/>
          <w:jc w:val="center"/>
        </w:trPr>
        <w:tc>
          <w:tcPr>
            <w:tcW w:w="9360" w:type="dxa"/>
            <w:shd w:val="clear" w:color="auto" w:fill="auto"/>
            <w:vAlign w:val="center"/>
          </w:tcPr>
          <w:p w:rsidR="00A55779" w:rsidRDefault="00A55779">
            <w:pPr>
              <w:spacing w:after="55"/>
              <w:rPr>
                <w:color w:val="000000"/>
              </w:rPr>
            </w:pPr>
            <w:r>
              <w:rPr>
                <w:color w:val="000000"/>
              </w:rPr>
              <w:t>Train personnel to be able to respond to a collection of information.</w:t>
            </w:r>
          </w:p>
        </w:tc>
      </w:tr>
      <w:tr w:rsidR="00A55779" w:rsidTr="00177A70">
        <w:trPr>
          <w:cantSplit/>
          <w:jc w:val="center"/>
        </w:trPr>
        <w:tc>
          <w:tcPr>
            <w:tcW w:w="9360" w:type="dxa"/>
            <w:shd w:val="clear" w:color="auto" w:fill="auto"/>
            <w:vAlign w:val="center"/>
          </w:tcPr>
          <w:p w:rsidR="00A55779" w:rsidRDefault="00A55779">
            <w:pPr>
              <w:spacing w:after="74"/>
              <w:rPr>
                <w:color w:val="000000"/>
              </w:rPr>
            </w:pPr>
            <w:r>
              <w:rPr>
                <w:color w:val="000000"/>
              </w:rPr>
              <w:t xml:space="preserve">Transmit, or otherwise disclose the information.  </w:t>
            </w:r>
          </w:p>
        </w:tc>
      </w:tr>
    </w:tbl>
    <w:p w:rsidR="00A55779" w:rsidRDefault="00A55779">
      <w:pPr>
        <w:rPr>
          <w:color w:val="000000"/>
        </w:rPr>
      </w:pPr>
    </w:p>
    <w:p w:rsidR="00A55779" w:rsidRDefault="00A55779" w:rsidP="004C6B82">
      <w:pPr>
        <w:ind w:firstLine="720"/>
        <w:rPr>
          <w:color w:val="000000"/>
        </w:rPr>
      </w:pPr>
      <w:r>
        <w:rPr>
          <w:color w:val="000000"/>
        </w:rPr>
        <w:t>This collection does not make use of automated, mechanical, or other technical collection techniques.  Respondents will most likely submit hard copy reports, although some may submit electronic versions.  The rule allows records to be maintained in hard copy or electronic format to allow flexibility and minimize burden.</w:t>
      </w:r>
    </w:p>
    <w:p w:rsidR="006B0809" w:rsidRDefault="006B0809">
      <w:pPr>
        <w:ind w:firstLine="720"/>
        <w:rPr>
          <w:color w:val="000000"/>
        </w:rPr>
      </w:pPr>
    </w:p>
    <w:p w:rsidR="004F246B" w:rsidRPr="004F246B" w:rsidRDefault="006B0809" w:rsidP="004F246B">
      <w:pPr>
        <w:spacing w:line="360" w:lineRule="auto"/>
        <w:ind w:left="720" w:firstLine="720"/>
        <w:rPr>
          <w:b/>
          <w:bCs/>
          <w:color w:val="FF0000"/>
        </w:rPr>
      </w:pPr>
      <w:r w:rsidRPr="004F246B">
        <w:rPr>
          <w:b/>
          <w:bCs/>
          <w:i/>
        </w:rPr>
        <w:lastRenderedPageBreak/>
        <w:t>(iii) Summary of Requirements.</w:t>
      </w:r>
      <w:r w:rsidRPr="004F246B">
        <w:rPr>
          <w:b/>
          <w:bCs/>
          <w:color w:val="FF0000"/>
        </w:rPr>
        <w:t xml:space="preserve"> </w:t>
      </w:r>
    </w:p>
    <w:p w:rsidR="00625740" w:rsidRDefault="006B0809">
      <w:pPr>
        <w:ind w:firstLine="720"/>
      </w:pPr>
      <w:r w:rsidRPr="000A7EC6">
        <w:t xml:space="preserve">EPA is including in </w:t>
      </w:r>
      <w:r>
        <w:t>T</w:t>
      </w:r>
      <w:r w:rsidRPr="000A7EC6">
        <w:t xml:space="preserve">able </w:t>
      </w:r>
      <w:r w:rsidR="004F246B">
        <w:t>3</w:t>
      </w:r>
      <w:r>
        <w:t xml:space="preserve"> </w:t>
      </w:r>
      <w:r w:rsidRPr="000A7EC6">
        <w:t xml:space="preserve">an estimate of the burden associated with performing an affirmative defense. EPA is providing this as an illustrative example of the potential additional administrative burden a source may incur to assert in an Affirmative Defense in response to an action to enforce the standards set forth in the applicable subpart.  </w:t>
      </w:r>
    </w:p>
    <w:p w:rsidR="00625740" w:rsidRDefault="00625740">
      <w:pPr>
        <w:ind w:firstLine="720"/>
      </w:pPr>
    </w:p>
    <w:p w:rsidR="00625740" w:rsidRDefault="006B0809">
      <w:pPr>
        <w:ind w:firstLine="720"/>
      </w:pPr>
      <w:r w:rsidRPr="000A7EC6">
        <w:t>This illustrative estimate is not considered a duplicate estimate of cost under the General Duty to Minimize Emissions clause under 63.6(e</w:t>
      </w:r>
      <w:proofErr w:type="gramStart"/>
      <w:r w:rsidRPr="000A7EC6">
        <w:t>)(</w:t>
      </w:r>
      <w:proofErr w:type="gramEnd"/>
      <w:r w:rsidRPr="000A7EC6">
        <w:t>1)(</w:t>
      </w:r>
      <w:proofErr w:type="spellStart"/>
      <w:r w:rsidRPr="000A7EC6">
        <w:t>i</w:t>
      </w:r>
      <w:proofErr w:type="spellEnd"/>
      <w:r w:rsidRPr="000A7EC6">
        <w:t xml:space="preserve">),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625740" w:rsidRDefault="00625740">
      <w:pPr>
        <w:ind w:firstLine="720"/>
      </w:pPr>
    </w:p>
    <w:p w:rsidR="00625740" w:rsidRDefault="006B0809">
      <w:pPr>
        <w:ind w:firstLine="720"/>
      </w:pPr>
      <w:r w:rsidRPr="000A7EC6">
        <w:t xml:space="preserve">To provide the public with an estimate of the relative magnitude of the burden associated with an assertion of the affirmative defense position adopted by a source, EPA provides an administrative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$3,141 and is based on the time and effort required of a source to review relevant data, interview plant employees, and document the events surrounding a malfunction that has caused an </w:t>
      </w:r>
      <w:proofErr w:type="spellStart"/>
      <w:r w:rsidRPr="000A7EC6">
        <w:t>exceedance</w:t>
      </w:r>
      <w:proofErr w:type="spellEnd"/>
      <w:r w:rsidRPr="000A7EC6">
        <w:t xml:space="preserve"> of an emission limit. The estimate also includes time to produce and retain the records and reports for submission to EPA.  EPA provides this illustrative estimate of this burden because these costs are only incurred if there has been a violation and a source chooses to take advantage of the affirmative defense.  </w:t>
      </w:r>
    </w:p>
    <w:p w:rsidR="00625740" w:rsidRDefault="00625740">
      <w:pPr>
        <w:ind w:firstLine="720"/>
      </w:pPr>
    </w:p>
    <w:p w:rsidR="00625740" w:rsidRDefault="006B0809">
      <w:pPr>
        <w:ind w:firstLine="720"/>
      </w:pPr>
      <w:r w:rsidRPr="000A7EC6">
        <w:t xml:space="preserve"> In this source category, it is unlikely that a control device malfunction would cause an </w:t>
      </w:r>
      <w:proofErr w:type="spellStart"/>
      <w:r w:rsidRPr="000A7EC6">
        <w:t>exceedence</w:t>
      </w:r>
      <w:proofErr w:type="spellEnd"/>
      <w:r w:rsidRPr="000A7EC6">
        <w:t xml:space="preserve"> of any emission limit.  For reasons explained in the FRN, we have asserted that although a cost for affirmative defense is possible, we believe that malfunctions are unlikely. Thus for these source categories, EPA is not assigning any burden associated with affirmative defense.</w:t>
      </w:r>
    </w:p>
    <w:p w:rsidR="00A55779" w:rsidRDefault="00A55779">
      <w:pPr>
        <w:rPr>
          <w:b/>
          <w:bCs/>
          <w:color w:val="000000"/>
        </w:rPr>
      </w:pPr>
    </w:p>
    <w:p w:rsidR="00A55779" w:rsidRDefault="00A55779">
      <w:pPr>
        <w:rPr>
          <w:b/>
          <w:bCs/>
          <w:color w:val="000000"/>
        </w:rPr>
      </w:pPr>
      <w:r>
        <w:rPr>
          <w:b/>
          <w:bCs/>
          <w:color w:val="000000"/>
        </w:rPr>
        <w:t>5.  The Information Collected -- Agency Activities, Collection Methodology, and Information Management</w:t>
      </w:r>
    </w:p>
    <w:p w:rsidR="00A55779" w:rsidRDefault="00A55779">
      <w:pPr>
        <w:rPr>
          <w:b/>
          <w:bCs/>
          <w:color w:val="000000"/>
        </w:rPr>
      </w:pPr>
    </w:p>
    <w:p w:rsidR="00A55779" w:rsidRDefault="00A55779">
      <w:pP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p>
    <w:p w:rsidR="00A55779" w:rsidRDefault="00A55779">
      <w:pPr>
        <w:rPr>
          <w:color w:val="000000"/>
        </w:rPr>
      </w:pPr>
    </w:p>
    <w:p w:rsidR="00A55779" w:rsidRDefault="00A55779">
      <w:pPr>
        <w:ind w:firstLine="720"/>
        <w:rPr>
          <w:color w:val="000000"/>
        </w:rPr>
      </w:pPr>
      <w:r>
        <w:rPr>
          <w:color w:val="000000"/>
        </w:rPr>
        <w:t>EPA conducts the following activities in connection with the acquisition, analysis, storage, and distribution of the required information.</w:t>
      </w:r>
    </w:p>
    <w:p w:rsidR="00FE167B" w:rsidRDefault="00FE167B">
      <w:pPr>
        <w:ind w:firstLine="720"/>
        <w:rPr>
          <w:color w:val="00000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9360"/>
      </w:tblGrid>
      <w:tr w:rsidR="00A55779">
        <w:trPr>
          <w:cantSplit/>
          <w:tblHeader/>
        </w:trPr>
        <w:tc>
          <w:tcPr>
            <w:tcW w:w="9360" w:type="dxa"/>
            <w:shd w:val="clear" w:color="auto" w:fill="auto"/>
          </w:tcPr>
          <w:p w:rsidR="00A55779" w:rsidRDefault="00A55779">
            <w:pPr>
              <w:spacing w:after="52"/>
              <w:jc w:val="center"/>
              <w:rPr>
                <w:b/>
                <w:bCs/>
                <w:color w:val="000000"/>
              </w:rPr>
            </w:pPr>
            <w:r>
              <w:rPr>
                <w:b/>
                <w:bCs/>
                <w:color w:val="000000"/>
              </w:rPr>
              <w:t>Agency Activities</w:t>
            </w:r>
          </w:p>
        </w:tc>
      </w:tr>
      <w:tr w:rsidR="00A55779">
        <w:trPr>
          <w:cantSplit/>
        </w:trPr>
        <w:tc>
          <w:tcPr>
            <w:tcW w:w="9360" w:type="dxa"/>
            <w:shd w:val="clear" w:color="auto" w:fill="auto"/>
          </w:tcPr>
          <w:p w:rsidR="00A55779" w:rsidRDefault="00A55779">
            <w:pPr>
              <w:spacing w:after="52"/>
              <w:rPr>
                <w:color w:val="000000"/>
              </w:rPr>
            </w:pPr>
            <w:r>
              <w:rPr>
                <w:color w:val="000000"/>
              </w:rPr>
              <w:t>Observe initial performance tests and repeat performance tests if necessary.</w:t>
            </w:r>
          </w:p>
        </w:tc>
      </w:tr>
      <w:tr w:rsidR="00A55779">
        <w:trPr>
          <w:cantSplit/>
        </w:trPr>
        <w:tc>
          <w:tcPr>
            <w:tcW w:w="9360" w:type="dxa"/>
            <w:shd w:val="clear" w:color="auto" w:fill="auto"/>
          </w:tcPr>
          <w:p w:rsidR="00A55779" w:rsidRDefault="00A55779">
            <w:pPr>
              <w:spacing w:after="52"/>
              <w:rPr>
                <w:color w:val="000000"/>
              </w:rPr>
            </w:pPr>
            <w:r>
              <w:rPr>
                <w:color w:val="000000"/>
              </w:rPr>
              <w:lastRenderedPageBreak/>
              <w:t>Review notifications and reports, including performance test reports, and excess emissions reports, required to be submitted by industry.</w:t>
            </w:r>
          </w:p>
        </w:tc>
      </w:tr>
      <w:tr w:rsidR="00A55779">
        <w:trPr>
          <w:cantSplit/>
        </w:trPr>
        <w:tc>
          <w:tcPr>
            <w:tcW w:w="9360" w:type="dxa"/>
            <w:shd w:val="clear" w:color="auto" w:fill="auto"/>
          </w:tcPr>
          <w:p w:rsidR="00A55779" w:rsidRDefault="00A55779">
            <w:pPr>
              <w:spacing w:after="52"/>
              <w:rPr>
                <w:color w:val="000000"/>
              </w:rPr>
            </w:pPr>
            <w:r>
              <w:rPr>
                <w:color w:val="000000"/>
              </w:rPr>
              <w:t>Audit facility records.</w:t>
            </w:r>
          </w:p>
        </w:tc>
      </w:tr>
      <w:tr w:rsidR="00A55779">
        <w:trPr>
          <w:cantSplit/>
        </w:trPr>
        <w:tc>
          <w:tcPr>
            <w:tcW w:w="9360" w:type="dxa"/>
            <w:shd w:val="clear" w:color="auto" w:fill="auto"/>
          </w:tcPr>
          <w:p w:rsidR="00A55779" w:rsidRDefault="00A55779">
            <w:pPr>
              <w:spacing w:after="72"/>
              <w:rPr>
                <w:color w:val="000000"/>
              </w:rPr>
            </w:pPr>
            <w:r>
              <w:rPr>
                <w:color w:val="000000"/>
              </w:rPr>
              <w:t xml:space="preserve">Input, analyze, and maintain data in the Air Facility System (AFS) database. </w:t>
            </w:r>
          </w:p>
        </w:tc>
      </w:tr>
    </w:tbl>
    <w:p w:rsidR="00A55779" w:rsidRDefault="00A55779">
      <w:pPr>
        <w:rPr>
          <w:color w:val="000000"/>
        </w:rPr>
      </w:pPr>
    </w:p>
    <w:p w:rsidR="00A55779" w:rsidRDefault="00A55779">
      <w:pP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A55779" w:rsidRDefault="00A55779">
      <w:pPr>
        <w:rPr>
          <w:color w:val="000000"/>
        </w:rPr>
      </w:pPr>
    </w:p>
    <w:p w:rsidR="00A55779" w:rsidRDefault="00A55779">
      <w:pPr>
        <w:ind w:firstLine="720"/>
        <w:rPr>
          <w:color w:val="000000"/>
        </w:rPr>
      </w:pPr>
      <w:r>
        <w:rPr>
          <w:color w:val="000000"/>
        </w:rPr>
        <w:t>Performance test reports are used by the Agency to discern a source</w:t>
      </w:r>
      <w:r w:rsidR="0037088F">
        <w:rPr>
          <w:color w:val="000000"/>
        </w:rPr>
        <w:t>’</w:t>
      </w:r>
      <w:r>
        <w:rPr>
          <w:color w:val="000000"/>
        </w:rPr>
        <w:t>s initial capability to co</w:t>
      </w:r>
      <w:r w:rsidR="00984A5C">
        <w:rPr>
          <w:color w:val="000000"/>
        </w:rPr>
        <w:t>mply with the emission standard</w:t>
      </w:r>
      <w:r>
        <w:rPr>
          <w:color w:val="000000"/>
        </w:rPr>
        <w:t xml:space="preserve"> and to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A55779" w:rsidRDefault="00A55779">
      <w:pPr>
        <w:rPr>
          <w:color w:val="000000"/>
        </w:rPr>
      </w:pPr>
    </w:p>
    <w:p w:rsidR="00A55779" w:rsidRDefault="00A55779">
      <w:pPr>
        <w:ind w:firstLine="720"/>
        <w:rPr>
          <w:color w:val="000000"/>
        </w:rPr>
      </w:pPr>
      <w:r>
        <w:rPr>
          <w:color w:val="000000"/>
        </w:rPr>
        <w:t xml:space="preserve">Information contained in the reports is entered into the AFS which is operated and maintained by </w:t>
      </w:r>
      <w:r w:rsidR="00F6658E">
        <w:rPr>
          <w:color w:val="000000"/>
        </w:rPr>
        <w:t xml:space="preserve">the </w:t>
      </w:r>
      <w:r>
        <w:rPr>
          <w:color w:val="000000"/>
        </w:rPr>
        <w:t xml:space="preserve">EPA Office of Compliance.  AFS is </w:t>
      </w:r>
      <w:r w:rsidR="00F6658E">
        <w:rPr>
          <w:color w:val="000000"/>
        </w:rPr>
        <w:t xml:space="preserve">the </w:t>
      </w:r>
      <w:r>
        <w:rPr>
          <w:color w:val="000000"/>
        </w:rPr>
        <w:t>EPA database for the collection, maintenance, and retrieval of compliance and annual emission inventory data for more than 100,000 industrial and government-owned facilities.  EPA uses AFS for tracking air pollution complianc</w:t>
      </w:r>
      <w:r w:rsidR="00F6658E">
        <w:rPr>
          <w:color w:val="000000"/>
        </w:rPr>
        <w:t>e and enforcement by local and s</w:t>
      </w:r>
      <w:r>
        <w:rPr>
          <w:color w:val="000000"/>
        </w:rPr>
        <w:t>tate regulat</w:t>
      </w:r>
      <w:r w:rsidR="00F6658E">
        <w:rPr>
          <w:color w:val="000000"/>
        </w:rPr>
        <w:t>ory agencies, and EPA regional offices and EPA h</w:t>
      </w:r>
      <w:r>
        <w:rPr>
          <w:color w:val="000000"/>
        </w:rPr>
        <w:t>eadquarters.  EPA and its delegated authorities can edit, store, retrieve and analyze the data.</w:t>
      </w:r>
    </w:p>
    <w:p w:rsidR="00A55779" w:rsidRDefault="00A55779">
      <w:pPr>
        <w:rPr>
          <w:color w:val="000000"/>
        </w:rPr>
      </w:pPr>
    </w:p>
    <w:p w:rsidR="00A55779" w:rsidRDefault="00A55779" w:rsidP="00BD5CE2">
      <w:pPr>
        <w:ind w:firstLine="720"/>
        <w:rPr>
          <w:color w:val="000000"/>
        </w:rPr>
      </w:pPr>
      <w:r>
        <w:rPr>
          <w:color w:val="000000"/>
        </w:rPr>
        <w:t>The records required by this regulation must be retained by the owner or operator for five years.</w:t>
      </w:r>
    </w:p>
    <w:p w:rsidR="00A55779" w:rsidRDefault="00A55779">
      <w:pPr>
        <w:rPr>
          <w:color w:val="000000"/>
        </w:rPr>
      </w:pPr>
    </w:p>
    <w:p w:rsidR="00A55779" w:rsidRDefault="00A55779">
      <w:pP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A55779" w:rsidRDefault="00A55779">
      <w:pPr>
        <w:rPr>
          <w:color w:val="000000"/>
        </w:rPr>
      </w:pPr>
    </w:p>
    <w:p w:rsidR="00A55779" w:rsidRDefault="00A55779">
      <w:pPr>
        <w:ind w:firstLine="720"/>
        <w:rPr>
          <w:b/>
          <w:bCs/>
          <w:color w:val="000000"/>
        </w:rPr>
      </w:pPr>
      <w:r>
        <w:rPr>
          <w:color w:val="000000"/>
        </w:rPr>
        <w:t xml:space="preserve">The recordkeeping and reporting requirements were selected within the context of this specific subpart and the specific </w:t>
      </w:r>
      <w:r w:rsidR="00F6658E">
        <w:rPr>
          <w:color w:val="000000"/>
        </w:rPr>
        <w:t>process equipment and pollutants</w:t>
      </w:r>
      <w:r>
        <w:rPr>
          <w:color w:val="000000"/>
        </w:rPr>
        <w:t xml:space="preserve">.  The requirements reflect the burden on small businesses.  To the extent that larger businesses can use economies of scale to reduce their burden, the overall burden will be reduced.  Although the recordkeeping and reporting requirements are the same for small and larger businesses, the Agency considers these requirements the minimum needed to ensure compliance and, therefore, cannot reduce them further for small businesses.  However, there is a </w:t>
      </w:r>
      <w:r w:rsidR="0037088F">
        <w:rPr>
          <w:color w:val="000000"/>
        </w:rPr>
        <w:t>“</w:t>
      </w:r>
      <w:r>
        <w:rPr>
          <w:color w:val="000000"/>
        </w:rPr>
        <w:t>low usage</w:t>
      </w:r>
      <w:r w:rsidR="0037088F">
        <w:rPr>
          <w:color w:val="000000"/>
        </w:rPr>
        <w:t>”</w:t>
      </w:r>
      <w:r>
        <w:rPr>
          <w:color w:val="000000"/>
        </w:rPr>
        <w:t xml:space="preserve"> exemption, which may reduce the recordkeeping and reporting burden for some small businesses.  This </w:t>
      </w:r>
      <w:r w:rsidR="0037088F">
        <w:rPr>
          <w:color w:val="000000"/>
        </w:rPr>
        <w:t>“</w:t>
      </w:r>
      <w:r>
        <w:rPr>
          <w:color w:val="000000"/>
        </w:rPr>
        <w:t>low usage</w:t>
      </w:r>
      <w:r w:rsidR="0037088F">
        <w:rPr>
          <w:color w:val="000000"/>
        </w:rPr>
        <w:t>”</w:t>
      </w:r>
      <w:r>
        <w:rPr>
          <w:color w:val="000000"/>
        </w:rPr>
        <w:t xml:space="preserve"> exemption stipulates that the provisions of the regulation do not apply to coatings used in volumes of less than 200 liters per year.</w:t>
      </w:r>
    </w:p>
    <w:p w:rsidR="00A55779" w:rsidRDefault="00A55779">
      <w:pPr>
        <w:rPr>
          <w:b/>
          <w:bCs/>
          <w:color w:val="000000"/>
        </w:rPr>
      </w:pPr>
    </w:p>
    <w:p w:rsidR="00A55779" w:rsidRDefault="00A55779">
      <w:pP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A55779" w:rsidRDefault="00A55779">
      <w:pPr>
        <w:rPr>
          <w:color w:val="000000"/>
        </w:rPr>
      </w:pPr>
    </w:p>
    <w:p w:rsidR="00A55779" w:rsidRDefault="00A55779" w:rsidP="004F246B">
      <w:pPr>
        <w:ind w:firstLine="720"/>
        <w:rPr>
          <w:color w:val="000000"/>
        </w:rPr>
      </w:pPr>
      <w:r>
        <w:rPr>
          <w:color w:val="000000"/>
        </w:rPr>
        <w:t>The specific frequency for each information collection activity within this request is shown</w:t>
      </w:r>
      <w:r w:rsidR="00F600C4">
        <w:rPr>
          <w:color w:val="000000"/>
        </w:rPr>
        <w:t xml:space="preserve"> below</w:t>
      </w:r>
      <w:r>
        <w:rPr>
          <w:color w:val="000000"/>
        </w:rPr>
        <w:t xml:space="preserve"> in Table 1: </w:t>
      </w:r>
      <w:r w:rsidR="00F600C4">
        <w:rPr>
          <w:color w:val="000000"/>
        </w:rPr>
        <w:t xml:space="preserve">Annual Respondent Burden and Cost </w:t>
      </w:r>
      <w:r>
        <w:rPr>
          <w:color w:val="000000"/>
        </w:rPr>
        <w:t xml:space="preserve">- NESHAP for Shipbuilding and Ship Repair Facilities </w:t>
      </w:r>
      <w:r w:rsidR="00761F98">
        <w:rPr>
          <w:color w:val="000000"/>
        </w:rPr>
        <w:t>-</w:t>
      </w:r>
      <w:r>
        <w:rPr>
          <w:color w:val="000000"/>
        </w:rPr>
        <w:t xml:space="preserve">Surface Coating (40 CFR </w:t>
      </w:r>
      <w:r w:rsidR="00F600C4">
        <w:rPr>
          <w:color w:val="000000"/>
        </w:rPr>
        <w:t>P</w:t>
      </w:r>
      <w:r>
        <w:rPr>
          <w:color w:val="000000"/>
        </w:rPr>
        <w:t xml:space="preserve">art 63, </w:t>
      </w:r>
      <w:r w:rsidR="00F600C4">
        <w:rPr>
          <w:color w:val="000000"/>
        </w:rPr>
        <w:t>S</w:t>
      </w:r>
      <w:r>
        <w:rPr>
          <w:color w:val="000000"/>
        </w:rPr>
        <w:t>ubpart II)</w:t>
      </w:r>
      <w:r w:rsidR="00F600C4">
        <w:rPr>
          <w:color w:val="000000"/>
        </w:rPr>
        <w:t xml:space="preserve"> (Renewal)</w:t>
      </w:r>
      <w:r>
        <w:rPr>
          <w:b/>
          <w:bCs/>
          <w:color w:val="000000"/>
        </w:rPr>
        <w:t>.</w:t>
      </w:r>
    </w:p>
    <w:p w:rsidR="00A55779" w:rsidRDefault="00A55779">
      <w:pPr>
        <w:rPr>
          <w:color w:val="000000"/>
        </w:rPr>
      </w:pPr>
    </w:p>
    <w:p w:rsidR="00A55779" w:rsidRDefault="00A55779">
      <w:pPr>
        <w:rPr>
          <w:b/>
          <w:bCs/>
          <w:color w:val="000000"/>
        </w:rPr>
      </w:pPr>
      <w:r>
        <w:rPr>
          <w:b/>
          <w:bCs/>
          <w:color w:val="000000"/>
        </w:rPr>
        <w:lastRenderedPageBreak/>
        <w:t>6.  Estimating the Burden and Cost of the Collection</w:t>
      </w:r>
    </w:p>
    <w:p w:rsidR="00A55779" w:rsidRDefault="00A55779">
      <w:pPr>
        <w:rPr>
          <w:b/>
          <w:bCs/>
          <w:color w:val="000000"/>
        </w:rPr>
      </w:pPr>
    </w:p>
    <w:p w:rsidR="00A55779" w:rsidRDefault="00A55779" w:rsidP="004F246B">
      <w:pPr>
        <w:ind w:firstLine="720"/>
        <w:rPr>
          <w:color w:val="000000"/>
        </w:rPr>
      </w:pPr>
      <w:r>
        <w:rPr>
          <w:color w:val="000000"/>
        </w:rP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t>
      </w:r>
      <w:proofErr w:type="gramStart"/>
      <w:r>
        <w:rPr>
          <w:color w:val="000000"/>
        </w:rPr>
        <w:t>Where appropriate, specific tasks and major assumptions have been identified.</w:t>
      </w:r>
      <w:proofErr w:type="gramEnd"/>
      <w:r>
        <w:rPr>
          <w:color w:val="000000"/>
        </w:rPr>
        <w:t xml:space="preserve">  Responses to this information collection are mandatory.</w:t>
      </w:r>
    </w:p>
    <w:p w:rsidR="00A55779" w:rsidRDefault="00A55779">
      <w:pPr>
        <w:rPr>
          <w:color w:val="000000"/>
        </w:rPr>
      </w:pPr>
    </w:p>
    <w:p w:rsidR="00A55779" w:rsidRDefault="00A55779">
      <w:pPr>
        <w:ind w:firstLine="720"/>
        <w:rPr>
          <w:color w:val="000000"/>
        </w:rPr>
      </w:pPr>
      <w:r>
        <w:rPr>
          <w:color w:val="000000"/>
        </w:rPr>
        <w:t>The Agency may not conduct or sponsor, and a person is not required to respond to, a collection of information unless it displays a currently valid OMB control number.</w:t>
      </w:r>
    </w:p>
    <w:p w:rsidR="00A55779" w:rsidRDefault="00A55779">
      <w:pPr>
        <w:rPr>
          <w:color w:val="000000"/>
        </w:rPr>
      </w:pPr>
    </w:p>
    <w:p w:rsidR="00A55779" w:rsidRDefault="00A55779">
      <w:pPr>
        <w:ind w:firstLine="720"/>
        <w:rPr>
          <w:b/>
          <w:bCs/>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A55779" w:rsidRDefault="00A55779">
      <w:pPr>
        <w:rPr>
          <w:color w:val="000000"/>
        </w:rPr>
      </w:pPr>
    </w:p>
    <w:p w:rsidR="00A55779" w:rsidRDefault="00A55779">
      <w:pPr>
        <w:ind w:firstLine="720"/>
        <w:rPr>
          <w:color w:val="000000"/>
        </w:rPr>
      </w:pPr>
      <w:r>
        <w:rPr>
          <w:color w:val="000000"/>
        </w:rPr>
        <w:t>The average annual burden to industry over the next three years from these recordkeeping and reporting requirements is estimated at 28,594 (rounded) person-hours.  These hours are based on an Agency review and discussions with the industry during initiation of the Shipbuilding and Ship Repair Residual Risk Assessment, the AFS, Agency studies and background documents from the development of the regulation, Agency knowledge and experience with the NESHAP program, and the previously approved ICR.</w:t>
      </w:r>
    </w:p>
    <w:p w:rsidR="00A55779" w:rsidRDefault="00A55779">
      <w:pPr>
        <w:rPr>
          <w:color w:val="000000"/>
        </w:rPr>
      </w:pPr>
    </w:p>
    <w:p w:rsidR="00A55779" w:rsidRDefault="00A55779">
      <w:pP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A55779" w:rsidRDefault="00A55779">
      <w:pPr>
        <w:rPr>
          <w:b/>
          <w:bCs/>
          <w:color w:val="000000"/>
        </w:rPr>
      </w:pPr>
    </w:p>
    <w:p w:rsidR="00A55779" w:rsidRDefault="00A55779">
      <w:pPr>
        <w:ind w:firstLine="1440"/>
        <w:rPr>
          <w:color w:val="000000"/>
        </w:rPr>
      </w:pPr>
      <w:r>
        <w:rPr>
          <w:b/>
          <w:bCs/>
          <w:color w:val="000000"/>
        </w:rPr>
        <w:t>(</w:t>
      </w:r>
      <w:proofErr w:type="spellStart"/>
      <w:r>
        <w:rPr>
          <w:b/>
          <w:bCs/>
          <w:color w:val="000000"/>
        </w:rPr>
        <w:t>i</w:t>
      </w:r>
      <w:proofErr w:type="spellEnd"/>
      <w:r>
        <w:rPr>
          <w:b/>
          <w:bCs/>
          <w:color w:val="000000"/>
        </w:rPr>
        <w:t>)  Estimating Labor Costs</w:t>
      </w:r>
    </w:p>
    <w:p w:rsidR="00A55779" w:rsidRDefault="00A55779">
      <w:pPr>
        <w:rPr>
          <w:color w:val="000000"/>
        </w:rPr>
      </w:pPr>
    </w:p>
    <w:p w:rsidR="00A55779" w:rsidRDefault="00A55779">
      <w:pPr>
        <w:ind w:firstLine="720"/>
        <w:rPr>
          <w:color w:val="000000"/>
        </w:rPr>
      </w:pPr>
      <w:r>
        <w:rPr>
          <w:color w:val="000000"/>
        </w:rPr>
        <w:t>This ICR uses the following labor rates:  $89.94 per hour for Executive, Administrative</w:t>
      </w:r>
      <w:r w:rsidR="00EC31C6">
        <w:rPr>
          <w:color w:val="000000"/>
        </w:rPr>
        <w:t xml:space="preserve">, and Managerial labor; $61.66 </w:t>
      </w:r>
      <w:r>
        <w:rPr>
          <w:color w:val="000000"/>
        </w:rPr>
        <w:t xml:space="preserve">per hour for Technical labor, and $38.39 per hour for Clerical labor.  These rates are from the United States Department of Labor, Bureau of Labor Statistics, September 2002, </w:t>
      </w:r>
      <w:r w:rsidR="0037088F">
        <w:rPr>
          <w:color w:val="000000"/>
        </w:rPr>
        <w:t>“</w:t>
      </w:r>
      <w:r>
        <w:rPr>
          <w:color w:val="000000"/>
        </w:rPr>
        <w:t xml:space="preserve">Table 10. </w:t>
      </w:r>
      <w:proofErr w:type="gramStart"/>
      <w:r>
        <w:rPr>
          <w:color w:val="000000"/>
        </w:rPr>
        <w:t>Private industry, by occupational and industry group.</w:t>
      </w:r>
      <w:r w:rsidR="0037088F">
        <w:rPr>
          <w:color w:val="000000"/>
        </w:rPr>
        <w:t>”</w:t>
      </w:r>
      <w:proofErr w:type="gramEnd"/>
      <w:r>
        <w:rPr>
          <w:color w:val="000000"/>
        </w:rPr>
        <w:t xml:space="preserve">  The rates are from column 1, </w:t>
      </w:r>
      <w:r w:rsidR="0037088F">
        <w:rPr>
          <w:color w:val="000000"/>
        </w:rPr>
        <w:t>“</w:t>
      </w:r>
      <w:r>
        <w:rPr>
          <w:color w:val="000000"/>
        </w:rPr>
        <w:t>Total compensation.</w:t>
      </w:r>
      <w:r w:rsidR="0037088F">
        <w:rPr>
          <w:color w:val="000000"/>
        </w:rPr>
        <w:t>”</w:t>
      </w:r>
      <w:r>
        <w:rPr>
          <w:color w:val="000000"/>
        </w:rPr>
        <w:t xml:space="preserve">  The r</w:t>
      </w:r>
      <w:r w:rsidR="00EC31C6">
        <w:rPr>
          <w:color w:val="000000"/>
        </w:rPr>
        <w:t>ates have been increased by 110 percent</w:t>
      </w:r>
      <w:r>
        <w:rPr>
          <w:color w:val="000000"/>
        </w:rPr>
        <w:t xml:space="preserve"> to account for the benefit packages available to those employed by private industry.</w:t>
      </w:r>
    </w:p>
    <w:p w:rsidR="00A55779" w:rsidRDefault="00A55779">
      <w:pPr>
        <w:ind w:left="720"/>
        <w:rPr>
          <w:color w:val="000000"/>
        </w:rPr>
      </w:pPr>
    </w:p>
    <w:p w:rsidR="00A55779" w:rsidRDefault="00EC31C6" w:rsidP="0037088F">
      <w:pPr>
        <w:ind w:left="2880" w:hanging="1440"/>
        <w:rPr>
          <w:color w:val="000000"/>
        </w:rPr>
      </w:pPr>
      <w:r>
        <w:rPr>
          <w:color w:val="000000"/>
        </w:rPr>
        <w:t>Managerial</w:t>
      </w:r>
      <w:r>
        <w:rPr>
          <w:color w:val="000000"/>
        </w:rPr>
        <w:tab/>
        <w:t xml:space="preserve">$89.94   </w:t>
      </w:r>
      <w:r w:rsidR="00A55779">
        <w:rPr>
          <w:color w:val="000000"/>
        </w:rPr>
        <w:t xml:space="preserve">($42.83 + 110%)   </w:t>
      </w:r>
    </w:p>
    <w:p w:rsidR="00A55779" w:rsidRDefault="00EC31C6" w:rsidP="0037088F">
      <w:pPr>
        <w:ind w:left="2880" w:hanging="1440"/>
        <w:rPr>
          <w:color w:val="000000"/>
        </w:rPr>
      </w:pPr>
      <w:r>
        <w:rPr>
          <w:color w:val="000000"/>
        </w:rPr>
        <w:t>Technical</w:t>
      </w:r>
      <w:r>
        <w:rPr>
          <w:color w:val="000000"/>
        </w:rPr>
        <w:tab/>
        <w:t xml:space="preserve">$61.66   </w:t>
      </w:r>
      <w:r w:rsidR="00A55779">
        <w:rPr>
          <w:color w:val="000000"/>
        </w:rPr>
        <w:t>($29.36 + 110%)</w:t>
      </w:r>
    </w:p>
    <w:p w:rsidR="00A55779" w:rsidRDefault="00EC31C6" w:rsidP="0037088F">
      <w:pPr>
        <w:ind w:left="2880" w:hanging="1440"/>
        <w:rPr>
          <w:color w:val="000000"/>
        </w:rPr>
      </w:pPr>
      <w:r>
        <w:rPr>
          <w:color w:val="000000"/>
        </w:rPr>
        <w:t>Clerical</w:t>
      </w:r>
      <w:r>
        <w:rPr>
          <w:color w:val="000000"/>
        </w:rPr>
        <w:tab/>
        <w:t xml:space="preserve">$38.39   </w:t>
      </w:r>
      <w:r w:rsidR="00A55779">
        <w:rPr>
          <w:color w:val="000000"/>
        </w:rPr>
        <w:t>($18.28 + 110%)</w:t>
      </w:r>
    </w:p>
    <w:p w:rsidR="00A55779" w:rsidRDefault="00A55779">
      <w:pPr>
        <w:rPr>
          <w:color w:val="000000"/>
        </w:rPr>
      </w:pPr>
    </w:p>
    <w:p w:rsidR="00A55779" w:rsidRDefault="00A55779">
      <w:pPr>
        <w:ind w:firstLine="1440"/>
        <w:rPr>
          <w:color w:val="000000"/>
        </w:rPr>
      </w:pPr>
      <w:r>
        <w:rPr>
          <w:b/>
          <w:bCs/>
          <w:color w:val="000000"/>
        </w:rPr>
        <w:t>(ii)  Estimating Capital and Operation and Maintenance Costs</w:t>
      </w:r>
      <w:r>
        <w:rPr>
          <w:color w:val="000000"/>
        </w:rPr>
        <w:t xml:space="preserve"> </w:t>
      </w:r>
    </w:p>
    <w:p w:rsidR="00A55779" w:rsidRDefault="00A55779">
      <w:pPr>
        <w:rPr>
          <w:color w:val="000000"/>
        </w:rPr>
      </w:pPr>
    </w:p>
    <w:p w:rsidR="00A55779" w:rsidRDefault="00A55779" w:rsidP="004C6B82">
      <w:pPr>
        <w:ind w:firstLine="720"/>
        <w:rPr>
          <w:color w:val="000000"/>
        </w:rPr>
      </w:pPr>
      <w:r>
        <w:rPr>
          <w:color w:val="000000"/>
        </w:rPr>
        <w:t xml:space="preserve">The only type of industry costs associated with the information collection activity in the standards </w:t>
      </w:r>
      <w:proofErr w:type="gramStart"/>
      <w:r>
        <w:rPr>
          <w:color w:val="000000"/>
        </w:rPr>
        <w:t>are</w:t>
      </w:r>
      <w:proofErr w:type="gramEnd"/>
      <w:r>
        <w:rPr>
          <w:color w:val="000000"/>
        </w:rPr>
        <w:t xml:space="preserve"> labor costs.  There are no capital/startup or operation and maintenance costs.  There is no requirement for the installation of control equipment and the recent review and discussion with industry found no facilities using control equipment as an alternative to low solvent coatings.  Monthly performance tests involve calculations only, and rely on data that is either readily available or routinely collected as part of normal operations.  Most of the measurements and calculations required for monthly performance tests under this standard are consistent with the respondents</w:t>
      </w:r>
      <w:r w:rsidR="0037088F">
        <w:rPr>
          <w:color w:val="000000"/>
        </w:rPr>
        <w:t>’</w:t>
      </w:r>
      <w:r>
        <w:rPr>
          <w:color w:val="000000"/>
        </w:rPr>
        <w:t xml:space="preserve"> normal recordkeeping practices.  Semiannual reports are essentially statements that all performance tests showed the source to be in compliance with the emissions limitations.</w:t>
      </w:r>
    </w:p>
    <w:p w:rsidR="00A55779" w:rsidRDefault="00A55779">
      <w:pPr>
        <w:rPr>
          <w:color w:val="000000"/>
        </w:rPr>
      </w:pPr>
    </w:p>
    <w:p w:rsidR="00A55779" w:rsidRDefault="00A55779">
      <w:pPr>
        <w:ind w:firstLine="1440"/>
        <w:rPr>
          <w:b/>
          <w:bCs/>
          <w:color w:val="000000"/>
        </w:rPr>
      </w:pPr>
      <w:r>
        <w:rPr>
          <w:b/>
          <w:bCs/>
          <w:color w:val="000000"/>
        </w:rPr>
        <w:t>(iii)  Capital/Startup vs. Operation and Maintenance (O&amp;M) Costs</w:t>
      </w:r>
    </w:p>
    <w:p w:rsidR="00A55779" w:rsidRDefault="00A55779">
      <w:pPr>
        <w:rPr>
          <w:b/>
          <w:bCs/>
          <w:color w:val="000000"/>
        </w:rPr>
      </w:pPr>
    </w:p>
    <w:p w:rsidR="00A55779" w:rsidRDefault="00A55779" w:rsidP="004C6B82">
      <w:pPr>
        <w:ind w:firstLine="720"/>
        <w:rPr>
          <w:color w:val="000000"/>
        </w:rPr>
      </w:pPr>
      <w:r>
        <w:rPr>
          <w:color w:val="000000"/>
        </w:rPr>
        <w:t xml:space="preserve">The only type of industry costs associated with the information collection activity in the regulations </w:t>
      </w:r>
      <w:proofErr w:type="gramStart"/>
      <w:r>
        <w:rPr>
          <w:color w:val="000000"/>
        </w:rPr>
        <w:t>are</w:t>
      </w:r>
      <w:proofErr w:type="gramEnd"/>
      <w:r>
        <w:rPr>
          <w:color w:val="000000"/>
        </w:rPr>
        <w:t xml:space="preserve"> labor costs.  There are no capital/startup or operation and maintenance costs.</w:t>
      </w:r>
    </w:p>
    <w:p w:rsidR="00611CAE" w:rsidRDefault="00611CAE">
      <w:pPr>
        <w:ind w:firstLine="720"/>
        <w:rPr>
          <w:color w:val="000000"/>
        </w:rPr>
      </w:pPr>
    </w:p>
    <w:p w:rsidR="004F246B" w:rsidRPr="004F246B" w:rsidRDefault="004F246B" w:rsidP="004F246B">
      <w:pPr>
        <w:widowControl/>
        <w:spacing w:line="360" w:lineRule="auto"/>
        <w:ind w:firstLine="720"/>
        <w:rPr>
          <w:b/>
          <w:bCs/>
        </w:rPr>
      </w:pPr>
      <w:r w:rsidRPr="004F246B">
        <w:t xml:space="preserve">            </w:t>
      </w:r>
      <w:r w:rsidRPr="004F246B">
        <w:rPr>
          <w:b/>
          <w:bCs/>
        </w:rPr>
        <w:t xml:space="preserve">(iv) Affirmative Defense/Root </w:t>
      </w:r>
      <w:proofErr w:type="gramStart"/>
      <w:r w:rsidRPr="004F246B">
        <w:rPr>
          <w:b/>
          <w:bCs/>
        </w:rPr>
        <w:t>Cause</w:t>
      </w:r>
      <w:proofErr w:type="gramEnd"/>
      <w:r w:rsidRPr="004F246B">
        <w:rPr>
          <w:b/>
          <w:bCs/>
        </w:rPr>
        <w:t xml:space="preserve"> Analysis/Malfunction Costs. </w:t>
      </w:r>
    </w:p>
    <w:p w:rsidR="00625740" w:rsidRDefault="004F246B">
      <w:pPr>
        <w:widowControl/>
        <w:ind w:firstLine="720"/>
      </w:pPr>
      <w:r w:rsidRPr="004F246B">
        <w:t>EPA’s estimate for a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w:t>
      </w:r>
    </w:p>
    <w:p w:rsidR="004C6B82" w:rsidRDefault="004C6B82" w:rsidP="004F246B">
      <w:pPr>
        <w:widowControl/>
        <w:spacing w:line="360" w:lineRule="auto"/>
        <w:ind w:firstLine="720"/>
      </w:pPr>
    </w:p>
    <w:p w:rsidR="004F246B" w:rsidRPr="004F246B" w:rsidRDefault="004F246B" w:rsidP="004F246B">
      <w:pPr>
        <w:rPr>
          <w:color w:val="FF0000"/>
        </w:rPr>
      </w:pPr>
      <w:proofErr w:type="gramStart"/>
      <w:r w:rsidRPr="004F246B">
        <w:rPr>
          <w:b/>
          <w:bCs/>
        </w:rPr>
        <w:t xml:space="preserve">TABLE </w:t>
      </w:r>
      <w:r>
        <w:rPr>
          <w:b/>
          <w:bCs/>
        </w:rPr>
        <w:t>3</w:t>
      </w:r>
      <w:r w:rsidRPr="004F246B">
        <w:rPr>
          <w:b/>
          <w:bCs/>
        </w:rPr>
        <w:t>.</w:t>
      </w:r>
      <w:proofErr w:type="gramEnd"/>
      <w:r w:rsidRPr="004F246B">
        <w:rPr>
          <w:b/>
          <w:bCs/>
        </w:rPr>
        <w:t xml:space="preserve">  COST ESTIMATE FOR ROOT CAUSE ANALYSIS</w:t>
      </w:r>
    </w:p>
    <w:tbl>
      <w:tblPr>
        <w:tblW w:w="9555" w:type="dxa"/>
        <w:tblInd w:w="93" w:type="dxa"/>
        <w:tblLook w:val="04A0"/>
      </w:tblPr>
      <w:tblGrid>
        <w:gridCol w:w="2161"/>
        <w:gridCol w:w="1454"/>
        <w:gridCol w:w="1649"/>
        <w:gridCol w:w="1231"/>
        <w:gridCol w:w="1620"/>
        <w:gridCol w:w="1440"/>
      </w:tblGrid>
      <w:tr w:rsidR="004F246B" w:rsidRPr="004F246B" w:rsidTr="00B5035F">
        <w:trPr>
          <w:trHeight w:val="293"/>
        </w:trPr>
        <w:tc>
          <w:tcPr>
            <w:tcW w:w="2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246B" w:rsidRPr="004C6B82" w:rsidRDefault="00657EFF" w:rsidP="00B5035F">
            <w:pPr>
              <w:rPr>
                <w:b/>
                <w:bCs/>
              </w:rPr>
            </w:pPr>
            <w:r w:rsidRPr="00657EFF">
              <w:rPr>
                <w:b/>
                <w:bCs/>
              </w:rPr>
              <w:t xml:space="preserve">Personnel </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4F246B" w:rsidRPr="004C6B82" w:rsidRDefault="00657EFF" w:rsidP="00B5035F">
            <w:pPr>
              <w:widowControl/>
              <w:adjustRightInd/>
              <w:jc w:val="center"/>
              <w:rPr>
                <w:b/>
                <w:bCs/>
              </w:rPr>
            </w:pPr>
            <w:r w:rsidRPr="00657EFF">
              <w:rPr>
                <w:b/>
                <w:bCs/>
              </w:rPr>
              <w:t xml:space="preserve">Number of Personnel </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4F246B" w:rsidRPr="004C6B82" w:rsidRDefault="00657EFF" w:rsidP="00B5035F">
            <w:pPr>
              <w:widowControl/>
              <w:adjustRightInd/>
              <w:jc w:val="center"/>
              <w:rPr>
                <w:b/>
                <w:bCs/>
              </w:rPr>
            </w:pPr>
            <w:r w:rsidRPr="00657EFF">
              <w:rPr>
                <w:b/>
                <w:bCs/>
              </w:rPr>
              <w:t>Time Requirement (hours)</w:t>
            </w:r>
          </w:p>
        </w:tc>
        <w:tc>
          <w:tcPr>
            <w:tcW w:w="1231" w:type="dxa"/>
            <w:tcBorders>
              <w:top w:val="single" w:sz="4" w:space="0" w:color="auto"/>
              <w:left w:val="nil"/>
              <w:bottom w:val="single" w:sz="4" w:space="0" w:color="auto"/>
              <w:right w:val="single" w:sz="4" w:space="0" w:color="auto"/>
            </w:tcBorders>
            <w:shd w:val="clear" w:color="auto" w:fill="auto"/>
            <w:noWrap/>
            <w:vAlign w:val="bottom"/>
            <w:hideMark/>
          </w:tcPr>
          <w:p w:rsidR="004F246B" w:rsidRPr="004C6B82" w:rsidRDefault="00657EFF" w:rsidP="00B5035F">
            <w:pPr>
              <w:widowControl/>
              <w:adjustRightInd/>
              <w:jc w:val="center"/>
              <w:rPr>
                <w:b/>
                <w:bCs/>
              </w:rPr>
            </w:pPr>
            <w:r w:rsidRPr="00657EFF">
              <w:rPr>
                <w:b/>
                <w:bCs/>
              </w:rPr>
              <w:t>Total Hours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4F246B" w:rsidRPr="004C6B82" w:rsidRDefault="00657EFF" w:rsidP="00B5035F">
            <w:pPr>
              <w:widowControl/>
              <w:adjustRightInd/>
              <w:jc w:val="center"/>
              <w:rPr>
                <w:b/>
                <w:bCs/>
              </w:rPr>
            </w:pPr>
            <w:r w:rsidRPr="00657EFF">
              <w:rPr>
                <w:b/>
                <w:bCs/>
              </w:rPr>
              <w:t>Hourly Rate ($/hr)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F246B" w:rsidRPr="004C6B82" w:rsidRDefault="00657EFF" w:rsidP="00B5035F">
            <w:pPr>
              <w:widowControl/>
              <w:adjustRightInd/>
              <w:jc w:val="center"/>
              <w:rPr>
                <w:b/>
                <w:bCs/>
              </w:rPr>
            </w:pPr>
            <w:r w:rsidRPr="00657EFF">
              <w:rPr>
                <w:b/>
                <w:bCs/>
              </w:rPr>
              <w:t>Total</w:t>
            </w:r>
          </w:p>
        </w:tc>
      </w:tr>
      <w:tr w:rsidR="004F246B" w:rsidRPr="004F246B" w:rsidTr="00B5035F">
        <w:trPr>
          <w:trHeight w:val="324"/>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4F246B" w:rsidRPr="004C6B82" w:rsidRDefault="00657EFF" w:rsidP="00B5035F">
            <w:pPr>
              <w:widowControl/>
              <w:adjustRightInd/>
            </w:pPr>
            <w:r w:rsidRPr="00657EFF">
              <w:t>Technical Personnel</w:t>
            </w:r>
          </w:p>
        </w:tc>
        <w:tc>
          <w:tcPr>
            <w:tcW w:w="1454"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B5035F">
            <w:pPr>
              <w:widowControl/>
              <w:adjustRightInd/>
              <w:jc w:val="center"/>
            </w:pPr>
            <w:r w:rsidRPr="00657EFF">
              <w:t>3</w:t>
            </w:r>
          </w:p>
        </w:tc>
        <w:tc>
          <w:tcPr>
            <w:tcW w:w="1649"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B5035F">
            <w:pPr>
              <w:widowControl/>
              <w:adjustRightInd/>
              <w:jc w:val="center"/>
            </w:pPr>
            <w:r w:rsidRPr="00657EFF">
              <w:t>6</w:t>
            </w:r>
          </w:p>
        </w:tc>
        <w:tc>
          <w:tcPr>
            <w:tcW w:w="1231"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B5035F">
            <w:pPr>
              <w:widowControl/>
              <w:adjustRightInd/>
              <w:jc w:val="center"/>
            </w:pPr>
            <w:r w:rsidRPr="00657EFF">
              <w:t>18</w:t>
            </w:r>
          </w:p>
        </w:tc>
        <w:tc>
          <w:tcPr>
            <w:tcW w:w="1620"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B5035F">
            <w:pPr>
              <w:jc w:val="center"/>
            </w:pPr>
            <w:r w:rsidRPr="00657EFF">
              <w:t>98.20</w:t>
            </w:r>
          </w:p>
        </w:tc>
        <w:tc>
          <w:tcPr>
            <w:tcW w:w="1440"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4F246B">
            <w:pPr>
              <w:jc w:val="center"/>
            </w:pPr>
            <w:r w:rsidRPr="00657EFF">
              <w:t>$1,768</w:t>
            </w:r>
          </w:p>
        </w:tc>
      </w:tr>
      <w:tr w:rsidR="004F246B" w:rsidRPr="004F246B" w:rsidTr="00B5035F">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4F246B" w:rsidRPr="004C6B82" w:rsidRDefault="00657EFF" w:rsidP="00B5035F">
            <w:pPr>
              <w:widowControl/>
              <w:adjustRightInd/>
            </w:pPr>
            <w:r w:rsidRPr="00657EFF">
              <w:t>Managerial Personnel</w:t>
            </w:r>
          </w:p>
        </w:tc>
        <w:tc>
          <w:tcPr>
            <w:tcW w:w="1454"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B5035F">
            <w:pPr>
              <w:widowControl/>
              <w:adjustRightInd/>
              <w:jc w:val="center"/>
            </w:pPr>
            <w:r w:rsidRPr="00657EFF">
              <w:t>2</w:t>
            </w:r>
          </w:p>
        </w:tc>
        <w:tc>
          <w:tcPr>
            <w:tcW w:w="1649"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B5035F">
            <w:pPr>
              <w:widowControl/>
              <w:adjustRightInd/>
              <w:jc w:val="center"/>
            </w:pPr>
            <w:r w:rsidRPr="00657EFF">
              <w:t>6</w:t>
            </w:r>
          </w:p>
        </w:tc>
        <w:tc>
          <w:tcPr>
            <w:tcW w:w="1231"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B5035F">
            <w:pPr>
              <w:widowControl/>
              <w:adjustRightInd/>
              <w:jc w:val="center"/>
            </w:pPr>
            <w:r w:rsidRPr="00657EFF">
              <w:t>12</w:t>
            </w:r>
          </w:p>
        </w:tc>
        <w:tc>
          <w:tcPr>
            <w:tcW w:w="1620"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B5035F">
            <w:pPr>
              <w:widowControl/>
              <w:adjustRightInd/>
              <w:jc w:val="center"/>
            </w:pPr>
            <w:r w:rsidRPr="00657EFF">
              <w:t>114.49</w:t>
            </w:r>
          </w:p>
        </w:tc>
        <w:tc>
          <w:tcPr>
            <w:tcW w:w="1440"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4F246B">
            <w:pPr>
              <w:jc w:val="center"/>
            </w:pPr>
            <w:r w:rsidRPr="00657EFF">
              <w:t>$1,374</w:t>
            </w:r>
          </w:p>
        </w:tc>
      </w:tr>
      <w:tr w:rsidR="004F246B" w:rsidRPr="004F246B" w:rsidTr="00B5035F">
        <w:trPr>
          <w:trHeight w:val="293"/>
        </w:trPr>
        <w:tc>
          <w:tcPr>
            <w:tcW w:w="2161" w:type="dxa"/>
            <w:tcBorders>
              <w:top w:val="nil"/>
              <w:left w:val="single" w:sz="4" w:space="0" w:color="auto"/>
              <w:bottom w:val="single" w:sz="4" w:space="0" w:color="auto"/>
              <w:right w:val="single" w:sz="4" w:space="0" w:color="auto"/>
            </w:tcBorders>
            <w:shd w:val="clear" w:color="auto" w:fill="auto"/>
            <w:noWrap/>
            <w:vAlign w:val="bottom"/>
            <w:hideMark/>
          </w:tcPr>
          <w:p w:rsidR="004F246B" w:rsidRPr="004C6B82" w:rsidRDefault="00657EFF" w:rsidP="00B5035F">
            <w:pPr>
              <w:widowControl/>
              <w:adjustRightInd/>
            </w:pPr>
            <w:r w:rsidRPr="00657EFF">
              <w:t>Total</w:t>
            </w:r>
          </w:p>
        </w:tc>
        <w:tc>
          <w:tcPr>
            <w:tcW w:w="1454"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B5035F">
            <w:pPr>
              <w:widowControl/>
              <w:adjustRightInd/>
              <w:jc w:val="center"/>
            </w:pPr>
            <w:r w:rsidRPr="00657EFF">
              <w:t>5</w:t>
            </w:r>
          </w:p>
        </w:tc>
        <w:tc>
          <w:tcPr>
            <w:tcW w:w="1649" w:type="dxa"/>
            <w:tcBorders>
              <w:top w:val="nil"/>
              <w:left w:val="nil"/>
              <w:bottom w:val="single" w:sz="4" w:space="0" w:color="auto"/>
              <w:right w:val="single" w:sz="4" w:space="0" w:color="auto"/>
            </w:tcBorders>
            <w:shd w:val="clear" w:color="auto" w:fill="auto"/>
            <w:noWrap/>
            <w:vAlign w:val="center"/>
            <w:hideMark/>
          </w:tcPr>
          <w:p w:rsidR="004F246B" w:rsidRPr="004C6B82" w:rsidRDefault="004F246B" w:rsidP="00B5035F">
            <w:pPr>
              <w:jc w:val="center"/>
            </w:pPr>
          </w:p>
        </w:tc>
        <w:tc>
          <w:tcPr>
            <w:tcW w:w="1231"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B5035F">
            <w:pPr>
              <w:widowControl/>
              <w:adjustRightInd/>
              <w:jc w:val="center"/>
            </w:pPr>
            <w:r w:rsidRPr="00657EFF">
              <w:t>30</w:t>
            </w:r>
          </w:p>
        </w:tc>
        <w:tc>
          <w:tcPr>
            <w:tcW w:w="1620" w:type="dxa"/>
            <w:tcBorders>
              <w:top w:val="nil"/>
              <w:left w:val="nil"/>
              <w:bottom w:val="single" w:sz="4" w:space="0" w:color="auto"/>
              <w:right w:val="single" w:sz="4" w:space="0" w:color="auto"/>
            </w:tcBorders>
            <w:shd w:val="clear" w:color="auto" w:fill="auto"/>
            <w:noWrap/>
            <w:vAlign w:val="center"/>
            <w:hideMark/>
          </w:tcPr>
          <w:p w:rsidR="004F246B" w:rsidRPr="004C6B82" w:rsidRDefault="004F246B" w:rsidP="00B5035F">
            <w:pPr>
              <w:widowControl/>
              <w:adjustRightInd/>
              <w:jc w:val="center"/>
            </w:pPr>
          </w:p>
        </w:tc>
        <w:tc>
          <w:tcPr>
            <w:tcW w:w="1440" w:type="dxa"/>
            <w:tcBorders>
              <w:top w:val="nil"/>
              <w:left w:val="nil"/>
              <w:bottom w:val="single" w:sz="4" w:space="0" w:color="auto"/>
              <w:right w:val="single" w:sz="4" w:space="0" w:color="auto"/>
            </w:tcBorders>
            <w:shd w:val="clear" w:color="auto" w:fill="auto"/>
            <w:noWrap/>
            <w:vAlign w:val="center"/>
            <w:hideMark/>
          </w:tcPr>
          <w:p w:rsidR="004F246B" w:rsidRPr="004C6B82" w:rsidRDefault="00657EFF" w:rsidP="004F246B">
            <w:pPr>
              <w:jc w:val="center"/>
            </w:pPr>
            <w:r w:rsidRPr="00657EFF">
              <w:t>$3,141</w:t>
            </w:r>
          </w:p>
        </w:tc>
      </w:tr>
    </w:tbl>
    <w:p w:rsidR="00CD0E53" w:rsidRDefault="00CD0E53" w:rsidP="004C6B82">
      <w:pPr>
        <w:ind w:firstLine="720"/>
      </w:pPr>
    </w:p>
    <w:p w:rsidR="004C6B82" w:rsidRPr="000A7EC6" w:rsidRDefault="004C6B82" w:rsidP="004C6B82">
      <w:pPr>
        <w:ind w:firstLine="720"/>
      </w:pPr>
      <w:r w:rsidRPr="000A7EC6">
        <w:t xml:space="preserve">In this source category, it is unlikely that a control device malfunction would cause an </w:t>
      </w:r>
      <w:proofErr w:type="spellStart"/>
      <w:r w:rsidRPr="000A7EC6">
        <w:t>exceedence</w:t>
      </w:r>
      <w:proofErr w:type="spellEnd"/>
      <w:r w:rsidRPr="000A7EC6">
        <w:t xml:space="preserve"> of any emission limit.  Thus for these source categories, EPA is not assigning any burden associated with affirmative defense.</w:t>
      </w:r>
    </w:p>
    <w:p w:rsidR="00CD0E53" w:rsidRDefault="00CD0E53">
      <w:pPr>
        <w:ind w:firstLine="720"/>
        <w:rPr>
          <w:b/>
          <w:bCs/>
          <w:color w:val="000000"/>
        </w:rPr>
      </w:pPr>
    </w:p>
    <w:p w:rsidR="00A55779" w:rsidRDefault="00A55779">
      <w:pP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A55779" w:rsidRDefault="00A55779">
      <w:pPr>
        <w:rPr>
          <w:color w:val="000000"/>
        </w:rPr>
      </w:pPr>
    </w:p>
    <w:p w:rsidR="00A55779" w:rsidRDefault="00A55779">
      <w:pPr>
        <w:ind w:firstLine="720"/>
        <w:rPr>
          <w:color w:val="000000"/>
        </w:rPr>
      </w:pPr>
      <w:r>
        <w:rPr>
          <w:color w:val="000000"/>
        </w:rPr>
        <w:t xml:space="preserve">The only Federal costs are user costs associated with analysis of the reported information.  Publication and distribution of the information are part of the AFS program.  Examination of records to be maintained by the respondents will occur as part of the periodic inspection of sources, which is part of </w:t>
      </w:r>
      <w:r w:rsidR="00F6658E">
        <w:rPr>
          <w:color w:val="000000"/>
        </w:rPr>
        <w:t xml:space="preserve">the </w:t>
      </w:r>
      <w:r>
        <w:rPr>
          <w:color w:val="000000"/>
        </w:rPr>
        <w:t>EPA compliance and enforcement program.</w:t>
      </w:r>
    </w:p>
    <w:p w:rsidR="00A55779" w:rsidRDefault="00A55779">
      <w:pPr>
        <w:rPr>
          <w:color w:val="000000"/>
        </w:rPr>
      </w:pPr>
    </w:p>
    <w:p w:rsidR="00A55779" w:rsidRDefault="00F6658E" w:rsidP="004F246B">
      <w:pPr>
        <w:ind w:firstLine="720"/>
        <w:rPr>
          <w:color w:val="000000"/>
        </w:rPr>
      </w:pPr>
      <w:r>
        <w:rPr>
          <w:color w:val="000000"/>
        </w:rPr>
        <w:t>The average annual Federal g</w:t>
      </w:r>
      <w:r w:rsidR="00A55779">
        <w:rPr>
          <w:color w:val="000000"/>
        </w:rPr>
        <w:t xml:space="preserve">overnment cost during the three years of the ICR is estimated to be $8,846 (rounded).  </w:t>
      </w:r>
      <w:proofErr w:type="gramStart"/>
      <w:r w:rsidR="00A55779">
        <w:rPr>
          <w:color w:val="000000"/>
        </w:rPr>
        <w:t xml:space="preserve">[See Table </w:t>
      </w:r>
      <w:r w:rsidR="004F246B">
        <w:rPr>
          <w:color w:val="000000"/>
        </w:rPr>
        <w:t>2</w:t>
      </w:r>
      <w:r w:rsidR="00A55779">
        <w:rPr>
          <w:color w:val="000000"/>
        </w:rPr>
        <w:t xml:space="preserve"> in Section 6(e)].</w:t>
      </w:r>
      <w:proofErr w:type="gramEnd"/>
      <w:r w:rsidR="00A55779">
        <w:rPr>
          <w:color w:val="000000"/>
        </w:rPr>
        <w:t xml:space="preserve">  This cost is based on an average hourly rate of a GS-12, Step 1, times a 1.6 benefits multiplication factor to account for government overhead expenses for a total of $39.49.  This rate is from the Office of Personnel Management (OPM) </w:t>
      </w:r>
      <w:r w:rsidR="0037088F">
        <w:rPr>
          <w:color w:val="000000"/>
        </w:rPr>
        <w:t>“</w:t>
      </w:r>
      <w:r w:rsidR="00A55779">
        <w:rPr>
          <w:color w:val="000000"/>
        </w:rPr>
        <w:t>2003 General Schedule</w:t>
      </w:r>
      <w:r w:rsidR="0037088F">
        <w:rPr>
          <w:color w:val="000000"/>
        </w:rPr>
        <w:t>”</w:t>
      </w:r>
      <w:r w:rsidR="00A55779">
        <w:rPr>
          <w:color w:val="000000"/>
        </w:rPr>
        <w:t xml:space="preserve"> which excludes locality rates of pay.  Details upon which this estimate is based appear </w:t>
      </w:r>
      <w:r w:rsidR="00FE636C">
        <w:rPr>
          <w:color w:val="000000"/>
        </w:rPr>
        <w:t xml:space="preserve">below </w:t>
      </w:r>
      <w:r w:rsidR="00A55779">
        <w:rPr>
          <w:color w:val="000000"/>
        </w:rPr>
        <w:t>in Table 2: Annual Agency Burden and Cost</w:t>
      </w:r>
      <w:r w:rsidR="00FE636C">
        <w:rPr>
          <w:color w:val="000000"/>
        </w:rPr>
        <w:t xml:space="preserve"> – NESHAP for Shipbuilding and Ship Repair Facilities – Surface Coating (40 CFR Part 63, Subpart II.   </w:t>
      </w:r>
    </w:p>
    <w:p w:rsidR="00A55779" w:rsidRDefault="00A55779">
      <w:pPr>
        <w:rPr>
          <w:color w:val="000000"/>
        </w:rPr>
      </w:pPr>
    </w:p>
    <w:p w:rsidR="00A55779" w:rsidRDefault="00A55779">
      <w:pPr>
        <w:ind w:firstLine="720"/>
        <w:rPr>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A55779" w:rsidRDefault="00A55779">
      <w:pPr>
        <w:rPr>
          <w:color w:val="000000"/>
        </w:rPr>
      </w:pPr>
    </w:p>
    <w:p w:rsidR="00A55779" w:rsidRDefault="00A55779">
      <w:pPr>
        <w:ind w:firstLine="720"/>
        <w:rPr>
          <w:color w:val="000000"/>
        </w:rPr>
      </w:pPr>
      <w:r>
        <w:rPr>
          <w:color w:val="000000"/>
        </w:rPr>
        <w:t>Approximately 56 sources are currently subject to the regulation, and the number of sources subject to the regulation is expected to remain the same during the next three years.</w:t>
      </w:r>
    </w:p>
    <w:p w:rsidR="00177A70" w:rsidRDefault="00177A70" w:rsidP="00177A70">
      <w:pPr>
        <w:rPr>
          <w:color w:val="000000"/>
        </w:rPr>
      </w:pPr>
    </w:p>
    <w:tbl>
      <w:tblPr>
        <w:tblW w:w="0" w:type="auto"/>
        <w:tblInd w:w="111" w:type="dxa"/>
        <w:tblLayout w:type="fixed"/>
        <w:tblCellMar>
          <w:left w:w="111" w:type="dxa"/>
          <w:right w:w="111" w:type="dxa"/>
        </w:tblCellMar>
        <w:tblLook w:val="0000"/>
      </w:tblPr>
      <w:tblGrid>
        <w:gridCol w:w="1440"/>
        <w:gridCol w:w="1350"/>
        <w:gridCol w:w="1170"/>
        <w:gridCol w:w="1320"/>
        <w:gridCol w:w="1200"/>
        <w:gridCol w:w="1710"/>
        <w:gridCol w:w="1168"/>
      </w:tblGrid>
      <w:tr w:rsidR="008D2545" w:rsidTr="00177A70">
        <w:trPr>
          <w:cantSplit/>
          <w:tblHeader/>
        </w:trPr>
        <w:tc>
          <w:tcPr>
            <w:tcW w:w="9358" w:type="dxa"/>
            <w:gridSpan w:val="7"/>
            <w:tcBorders>
              <w:top w:val="single" w:sz="7" w:space="0" w:color="000000"/>
              <w:left w:val="single" w:sz="7" w:space="0" w:color="000000"/>
              <w:bottom w:val="single" w:sz="7" w:space="0" w:color="000000"/>
              <w:right w:val="single" w:sz="7" w:space="0" w:color="000000"/>
            </w:tcBorders>
          </w:tcPr>
          <w:p w:rsidR="00A55779" w:rsidRDefault="00A55779">
            <w:pPr>
              <w:spacing w:after="50"/>
              <w:jc w:val="center"/>
              <w:rPr>
                <w:b/>
                <w:bCs/>
                <w:color w:val="000000"/>
              </w:rPr>
            </w:pPr>
            <w:r>
              <w:rPr>
                <w:b/>
                <w:bCs/>
                <w:color w:val="000000"/>
              </w:rPr>
              <w:t>Respondent Universe and Number of Responses Per Year</w:t>
            </w:r>
          </w:p>
        </w:tc>
      </w:tr>
      <w:tr w:rsidR="00A55779" w:rsidTr="00177A70">
        <w:trPr>
          <w:cantSplit/>
          <w:tblHeader/>
        </w:trPr>
        <w:tc>
          <w:tcPr>
            <w:tcW w:w="1440" w:type="dxa"/>
            <w:tcBorders>
              <w:top w:val="single" w:sz="7" w:space="0" w:color="000000"/>
              <w:left w:val="single" w:sz="7" w:space="0" w:color="000000"/>
              <w:bottom w:val="single" w:sz="7" w:space="0" w:color="000000"/>
              <w:right w:val="single" w:sz="7" w:space="0" w:color="000000"/>
            </w:tcBorders>
            <w:vAlign w:val="center"/>
          </w:tcPr>
          <w:p w:rsidR="00A55779" w:rsidRDefault="00A55779">
            <w:pPr>
              <w:spacing w:after="50"/>
              <w:jc w:val="center"/>
              <w:rPr>
                <w:color w:val="000000"/>
              </w:rPr>
            </w:pPr>
            <w:r>
              <w:rPr>
                <w:color w:val="000000"/>
                <w:sz w:val="20"/>
                <w:szCs w:val="20"/>
              </w:rPr>
              <w:t>Regulation Citation</w:t>
            </w:r>
          </w:p>
        </w:tc>
        <w:tc>
          <w:tcPr>
            <w:tcW w:w="1350" w:type="dxa"/>
            <w:tcBorders>
              <w:top w:val="single" w:sz="7" w:space="0" w:color="000000"/>
              <w:left w:val="single" w:sz="7" w:space="0" w:color="000000"/>
              <w:bottom w:val="single" w:sz="7" w:space="0" w:color="000000"/>
              <w:right w:val="single" w:sz="7" w:space="0" w:color="000000"/>
            </w:tcBorders>
          </w:tcPr>
          <w:p w:rsidR="00A55779" w:rsidRDefault="00A55779" w:rsidP="00177A70">
            <w:pPr>
              <w:jc w:val="center"/>
              <w:rPr>
                <w:color w:val="000000"/>
                <w:sz w:val="20"/>
                <w:szCs w:val="20"/>
              </w:rPr>
            </w:pPr>
            <w:r>
              <w:rPr>
                <w:color w:val="000000"/>
                <w:sz w:val="20"/>
                <w:szCs w:val="20"/>
              </w:rPr>
              <w:t>(A)</w:t>
            </w:r>
          </w:p>
          <w:p w:rsidR="00A55779" w:rsidRDefault="00A55779" w:rsidP="00177A70">
            <w:pPr>
              <w:spacing w:after="50"/>
              <w:jc w:val="center"/>
              <w:rPr>
                <w:color w:val="000000"/>
                <w:sz w:val="20"/>
                <w:szCs w:val="20"/>
              </w:rPr>
            </w:pPr>
            <w:r>
              <w:rPr>
                <w:color w:val="000000"/>
                <w:sz w:val="20"/>
                <w:szCs w:val="20"/>
              </w:rPr>
              <w:t>Ave</w:t>
            </w:r>
            <w:r w:rsidR="00177A70">
              <w:rPr>
                <w:color w:val="000000"/>
                <w:sz w:val="20"/>
                <w:szCs w:val="20"/>
              </w:rPr>
              <w:t>rage Number of New Respondents P</w:t>
            </w:r>
            <w:r>
              <w:rPr>
                <w:color w:val="000000"/>
                <w:sz w:val="20"/>
                <w:szCs w:val="20"/>
              </w:rPr>
              <w:t>er Year</w:t>
            </w:r>
          </w:p>
        </w:tc>
        <w:tc>
          <w:tcPr>
            <w:tcW w:w="1170" w:type="dxa"/>
            <w:tcBorders>
              <w:top w:val="single" w:sz="7" w:space="0" w:color="000000"/>
              <w:left w:val="single" w:sz="7" w:space="0" w:color="000000"/>
              <w:bottom w:val="single" w:sz="7" w:space="0" w:color="000000"/>
              <w:right w:val="single" w:sz="7" w:space="0" w:color="000000"/>
            </w:tcBorders>
          </w:tcPr>
          <w:p w:rsidR="00A55779" w:rsidRDefault="00A55779" w:rsidP="00177A70">
            <w:pPr>
              <w:jc w:val="center"/>
              <w:rPr>
                <w:color w:val="000000"/>
                <w:sz w:val="20"/>
                <w:szCs w:val="20"/>
              </w:rPr>
            </w:pPr>
            <w:r>
              <w:rPr>
                <w:color w:val="000000"/>
                <w:sz w:val="20"/>
                <w:szCs w:val="20"/>
              </w:rPr>
              <w:t>(B)</w:t>
            </w:r>
          </w:p>
          <w:p w:rsidR="00A55779" w:rsidRDefault="00A55779" w:rsidP="00177A70">
            <w:pPr>
              <w:spacing w:after="50"/>
              <w:jc w:val="center"/>
              <w:rPr>
                <w:color w:val="000000"/>
                <w:sz w:val="20"/>
                <w:szCs w:val="20"/>
              </w:rPr>
            </w:pPr>
            <w:r>
              <w:rPr>
                <w:color w:val="000000"/>
                <w:sz w:val="20"/>
                <w:szCs w:val="20"/>
              </w:rPr>
              <w:t>Number of Reports for New Sources</w:t>
            </w:r>
          </w:p>
        </w:tc>
        <w:tc>
          <w:tcPr>
            <w:tcW w:w="1320" w:type="dxa"/>
            <w:tcBorders>
              <w:top w:val="single" w:sz="7" w:space="0" w:color="000000"/>
              <w:left w:val="single" w:sz="7" w:space="0" w:color="000000"/>
              <w:bottom w:val="single" w:sz="7" w:space="0" w:color="000000"/>
              <w:right w:val="single" w:sz="7" w:space="0" w:color="000000"/>
            </w:tcBorders>
          </w:tcPr>
          <w:p w:rsidR="00A55779" w:rsidRDefault="00A55779" w:rsidP="00177A70">
            <w:pPr>
              <w:jc w:val="center"/>
              <w:rPr>
                <w:color w:val="000000"/>
                <w:sz w:val="20"/>
                <w:szCs w:val="20"/>
              </w:rPr>
            </w:pPr>
            <w:r>
              <w:rPr>
                <w:color w:val="000000"/>
                <w:sz w:val="20"/>
                <w:szCs w:val="20"/>
              </w:rPr>
              <w:t>(C)</w:t>
            </w:r>
          </w:p>
          <w:p w:rsidR="00A55779" w:rsidRDefault="00A55779" w:rsidP="00177A70">
            <w:pPr>
              <w:spacing w:after="50"/>
              <w:jc w:val="center"/>
              <w:rPr>
                <w:color w:val="000000"/>
                <w:sz w:val="20"/>
                <w:szCs w:val="20"/>
              </w:rPr>
            </w:pPr>
            <w:r>
              <w:rPr>
                <w:color w:val="000000"/>
                <w:sz w:val="20"/>
                <w:szCs w:val="20"/>
              </w:rPr>
              <w:t>Number of Existing Respondents</w:t>
            </w:r>
          </w:p>
        </w:tc>
        <w:tc>
          <w:tcPr>
            <w:tcW w:w="1200" w:type="dxa"/>
            <w:tcBorders>
              <w:top w:val="single" w:sz="7" w:space="0" w:color="000000"/>
              <w:left w:val="single" w:sz="7" w:space="0" w:color="000000"/>
              <w:bottom w:val="single" w:sz="7" w:space="0" w:color="000000"/>
              <w:right w:val="single" w:sz="7" w:space="0" w:color="000000"/>
            </w:tcBorders>
          </w:tcPr>
          <w:p w:rsidR="00A55779" w:rsidRDefault="00A55779" w:rsidP="00177A70">
            <w:pPr>
              <w:jc w:val="center"/>
              <w:rPr>
                <w:color w:val="000000"/>
                <w:sz w:val="20"/>
                <w:szCs w:val="20"/>
              </w:rPr>
            </w:pPr>
            <w:r>
              <w:rPr>
                <w:color w:val="000000"/>
                <w:sz w:val="20"/>
                <w:szCs w:val="20"/>
              </w:rPr>
              <w:t>(D)</w:t>
            </w:r>
          </w:p>
          <w:p w:rsidR="00A55779" w:rsidRDefault="00A55779" w:rsidP="00177A70">
            <w:pPr>
              <w:spacing w:after="50"/>
              <w:jc w:val="center"/>
              <w:rPr>
                <w:color w:val="000000"/>
                <w:sz w:val="20"/>
                <w:szCs w:val="20"/>
              </w:rPr>
            </w:pPr>
            <w:r>
              <w:rPr>
                <w:color w:val="000000"/>
                <w:sz w:val="20"/>
                <w:szCs w:val="20"/>
              </w:rPr>
              <w:t>Number of Reports for Existing Sources</w:t>
            </w:r>
          </w:p>
        </w:tc>
        <w:tc>
          <w:tcPr>
            <w:tcW w:w="1710" w:type="dxa"/>
            <w:tcBorders>
              <w:top w:val="single" w:sz="7" w:space="0" w:color="000000"/>
              <w:left w:val="single" w:sz="7" w:space="0" w:color="000000"/>
              <w:bottom w:val="single" w:sz="7" w:space="0" w:color="000000"/>
              <w:right w:val="single" w:sz="7" w:space="0" w:color="000000"/>
            </w:tcBorders>
          </w:tcPr>
          <w:p w:rsidR="00A55779" w:rsidRDefault="00A55779" w:rsidP="00177A70">
            <w:pPr>
              <w:jc w:val="center"/>
              <w:rPr>
                <w:color w:val="000000"/>
                <w:sz w:val="20"/>
                <w:szCs w:val="20"/>
              </w:rPr>
            </w:pPr>
            <w:r>
              <w:rPr>
                <w:color w:val="000000"/>
                <w:sz w:val="20"/>
                <w:szCs w:val="20"/>
              </w:rPr>
              <w:t>(F)</w:t>
            </w:r>
          </w:p>
          <w:p w:rsidR="00A55779" w:rsidRDefault="00177A70" w:rsidP="00177A70">
            <w:pPr>
              <w:spacing w:after="50"/>
              <w:jc w:val="center"/>
              <w:rPr>
                <w:color w:val="000000"/>
                <w:sz w:val="20"/>
                <w:szCs w:val="20"/>
              </w:rPr>
            </w:pPr>
            <w:r>
              <w:rPr>
                <w:color w:val="000000"/>
                <w:sz w:val="20"/>
                <w:szCs w:val="20"/>
              </w:rPr>
              <w:t>Number of Respondents That Keep Records But Do Not Submit R</w:t>
            </w:r>
            <w:r w:rsidR="00A55779">
              <w:rPr>
                <w:color w:val="000000"/>
                <w:sz w:val="20"/>
                <w:szCs w:val="20"/>
              </w:rPr>
              <w:t>eports</w:t>
            </w:r>
          </w:p>
        </w:tc>
        <w:tc>
          <w:tcPr>
            <w:tcW w:w="1168" w:type="dxa"/>
            <w:tcBorders>
              <w:top w:val="single" w:sz="7" w:space="0" w:color="000000"/>
              <w:left w:val="single" w:sz="7" w:space="0" w:color="000000"/>
              <w:bottom w:val="single" w:sz="7" w:space="0" w:color="000000"/>
              <w:right w:val="single" w:sz="7" w:space="0" w:color="000000"/>
            </w:tcBorders>
          </w:tcPr>
          <w:p w:rsidR="00A55779" w:rsidRDefault="00A55779" w:rsidP="00177A70">
            <w:pPr>
              <w:jc w:val="center"/>
              <w:rPr>
                <w:color w:val="000000"/>
                <w:sz w:val="20"/>
                <w:szCs w:val="20"/>
              </w:rPr>
            </w:pPr>
            <w:r>
              <w:rPr>
                <w:color w:val="000000"/>
                <w:sz w:val="20"/>
                <w:szCs w:val="20"/>
              </w:rPr>
              <w:t>(E)</w:t>
            </w:r>
          </w:p>
          <w:p w:rsidR="00A55779" w:rsidRDefault="00A55779" w:rsidP="00177A70">
            <w:pPr>
              <w:jc w:val="center"/>
              <w:rPr>
                <w:color w:val="000000"/>
              </w:rPr>
            </w:pPr>
            <w:r>
              <w:rPr>
                <w:color w:val="000000"/>
                <w:sz w:val="20"/>
                <w:szCs w:val="20"/>
              </w:rPr>
              <w:t>Total Annual Responses</w:t>
            </w:r>
          </w:p>
          <w:p w:rsidR="00A55779" w:rsidRDefault="00A55779" w:rsidP="00177A70">
            <w:pPr>
              <w:jc w:val="center"/>
              <w:rPr>
                <w:color w:val="000000"/>
                <w:sz w:val="20"/>
                <w:szCs w:val="20"/>
              </w:rPr>
            </w:pPr>
            <w:r>
              <w:rPr>
                <w:color w:val="000000"/>
                <w:sz w:val="20"/>
                <w:szCs w:val="20"/>
              </w:rPr>
              <w:t>(</w:t>
            </w:r>
            <w:proofErr w:type="spellStart"/>
            <w:r>
              <w:rPr>
                <w:color w:val="000000"/>
                <w:sz w:val="20"/>
                <w:szCs w:val="20"/>
              </w:rPr>
              <w:t>AxB</w:t>
            </w:r>
            <w:proofErr w:type="spellEnd"/>
            <w:r>
              <w:rPr>
                <w:color w:val="000000"/>
                <w:sz w:val="20"/>
                <w:szCs w:val="20"/>
              </w:rPr>
              <w:t>)+</w:t>
            </w:r>
          </w:p>
          <w:p w:rsidR="00A55779" w:rsidRDefault="00A55779" w:rsidP="00177A70">
            <w:pPr>
              <w:spacing w:after="50"/>
              <w:jc w:val="center"/>
              <w:rPr>
                <w:color w:val="000000"/>
              </w:rPr>
            </w:pPr>
            <w:r>
              <w:rPr>
                <w:color w:val="000000"/>
                <w:sz w:val="20"/>
                <w:szCs w:val="20"/>
              </w:rPr>
              <w:t>(</w:t>
            </w:r>
            <w:proofErr w:type="spellStart"/>
            <w:r>
              <w:rPr>
                <w:color w:val="000000"/>
                <w:sz w:val="20"/>
                <w:szCs w:val="20"/>
              </w:rPr>
              <w:t>CxD</w:t>
            </w:r>
            <w:proofErr w:type="spellEnd"/>
            <w:r>
              <w:rPr>
                <w:color w:val="000000"/>
                <w:sz w:val="20"/>
                <w:szCs w:val="20"/>
              </w:rPr>
              <w:t>)+F</w:t>
            </w:r>
          </w:p>
        </w:tc>
      </w:tr>
      <w:tr w:rsidR="00A55779" w:rsidTr="00177A70">
        <w:trPr>
          <w:cantSplit/>
        </w:trPr>
        <w:tc>
          <w:tcPr>
            <w:tcW w:w="1440" w:type="dxa"/>
            <w:tcBorders>
              <w:top w:val="single" w:sz="7" w:space="0" w:color="000000"/>
              <w:left w:val="single" w:sz="7" w:space="0" w:color="000000"/>
              <w:bottom w:val="single" w:sz="7" w:space="0" w:color="000000"/>
              <w:right w:val="single" w:sz="7" w:space="0" w:color="000000"/>
            </w:tcBorders>
          </w:tcPr>
          <w:p w:rsidR="00A55779" w:rsidRPr="00177A70" w:rsidRDefault="00177A70">
            <w:pPr>
              <w:spacing w:after="69"/>
              <w:rPr>
                <w:color w:val="000000"/>
                <w:sz w:val="20"/>
                <w:szCs w:val="20"/>
              </w:rPr>
            </w:pPr>
            <w:r w:rsidRPr="00177A70">
              <w:rPr>
                <w:color w:val="000000"/>
                <w:sz w:val="20"/>
                <w:szCs w:val="20"/>
              </w:rPr>
              <w:t>NESHAP</w:t>
            </w:r>
            <w:r w:rsidR="00A55779" w:rsidRPr="00177A70">
              <w:rPr>
                <w:color w:val="000000"/>
                <w:sz w:val="20"/>
                <w:szCs w:val="20"/>
              </w:rPr>
              <w:t xml:space="preserve"> 40 CFR part 63, subpart II</w:t>
            </w:r>
          </w:p>
        </w:tc>
        <w:tc>
          <w:tcPr>
            <w:tcW w:w="1350" w:type="dxa"/>
            <w:tcBorders>
              <w:top w:val="single" w:sz="7" w:space="0" w:color="000000"/>
              <w:left w:val="single" w:sz="7" w:space="0" w:color="000000"/>
              <w:bottom w:val="single" w:sz="7" w:space="0" w:color="000000"/>
              <w:right w:val="single" w:sz="7" w:space="0" w:color="000000"/>
            </w:tcBorders>
            <w:vAlign w:val="center"/>
          </w:tcPr>
          <w:p w:rsidR="00A55779" w:rsidRPr="00177A70" w:rsidRDefault="00A55779">
            <w:pPr>
              <w:spacing w:after="69"/>
              <w:jc w:val="center"/>
              <w:rPr>
                <w:color w:val="000000"/>
                <w:sz w:val="20"/>
                <w:szCs w:val="20"/>
              </w:rPr>
            </w:pPr>
            <w:r w:rsidRPr="00177A70">
              <w:rPr>
                <w:color w:val="000000"/>
                <w:sz w:val="20"/>
                <w:szCs w:val="20"/>
              </w:rPr>
              <w:t>0</w:t>
            </w:r>
          </w:p>
        </w:tc>
        <w:tc>
          <w:tcPr>
            <w:tcW w:w="1170" w:type="dxa"/>
            <w:tcBorders>
              <w:top w:val="single" w:sz="7" w:space="0" w:color="000000"/>
              <w:left w:val="single" w:sz="7" w:space="0" w:color="000000"/>
              <w:bottom w:val="single" w:sz="7" w:space="0" w:color="000000"/>
              <w:right w:val="single" w:sz="7" w:space="0" w:color="000000"/>
            </w:tcBorders>
            <w:vAlign w:val="center"/>
          </w:tcPr>
          <w:p w:rsidR="00A55779" w:rsidRPr="00177A70" w:rsidRDefault="00A55779">
            <w:pPr>
              <w:spacing w:after="69"/>
              <w:jc w:val="center"/>
              <w:rPr>
                <w:color w:val="000000"/>
                <w:sz w:val="20"/>
                <w:szCs w:val="20"/>
              </w:rPr>
            </w:pPr>
            <w:r w:rsidRPr="00177A70">
              <w:rPr>
                <w:color w:val="000000"/>
                <w:sz w:val="20"/>
                <w:szCs w:val="20"/>
              </w:rPr>
              <w:t>2</w:t>
            </w:r>
          </w:p>
        </w:tc>
        <w:tc>
          <w:tcPr>
            <w:tcW w:w="1320" w:type="dxa"/>
            <w:tcBorders>
              <w:top w:val="single" w:sz="7" w:space="0" w:color="000000"/>
              <w:left w:val="single" w:sz="7" w:space="0" w:color="000000"/>
              <w:bottom w:val="single" w:sz="7" w:space="0" w:color="000000"/>
              <w:right w:val="single" w:sz="7" w:space="0" w:color="000000"/>
            </w:tcBorders>
            <w:vAlign w:val="center"/>
          </w:tcPr>
          <w:p w:rsidR="00A55779" w:rsidRPr="00177A70" w:rsidRDefault="00A55779">
            <w:pPr>
              <w:spacing w:after="69"/>
              <w:jc w:val="center"/>
              <w:rPr>
                <w:color w:val="000000"/>
                <w:sz w:val="20"/>
                <w:szCs w:val="20"/>
              </w:rPr>
            </w:pPr>
            <w:r w:rsidRPr="00177A70">
              <w:rPr>
                <w:color w:val="000000"/>
                <w:sz w:val="20"/>
                <w:szCs w:val="20"/>
              </w:rPr>
              <w:t>56</w:t>
            </w:r>
          </w:p>
        </w:tc>
        <w:tc>
          <w:tcPr>
            <w:tcW w:w="1200" w:type="dxa"/>
            <w:tcBorders>
              <w:top w:val="single" w:sz="7" w:space="0" w:color="000000"/>
              <w:left w:val="single" w:sz="7" w:space="0" w:color="000000"/>
              <w:bottom w:val="single" w:sz="7" w:space="0" w:color="000000"/>
              <w:right w:val="single" w:sz="7" w:space="0" w:color="000000"/>
            </w:tcBorders>
            <w:vAlign w:val="center"/>
          </w:tcPr>
          <w:p w:rsidR="00A55779" w:rsidRPr="00177A70" w:rsidRDefault="00A55779">
            <w:pPr>
              <w:spacing w:after="69"/>
              <w:jc w:val="center"/>
              <w:rPr>
                <w:color w:val="000000"/>
                <w:sz w:val="20"/>
                <w:szCs w:val="20"/>
              </w:rPr>
            </w:pPr>
            <w:r w:rsidRPr="00177A70">
              <w:rPr>
                <w:color w:val="000000"/>
                <w:sz w:val="20"/>
                <w:szCs w:val="20"/>
              </w:rPr>
              <w:t>2</w:t>
            </w:r>
          </w:p>
        </w:tc>
        <w:tc>
          <w:tcPr>
            <w:tcW w:w="1710" w:type="dxa"/>
            <w:tcBorders>
              <w:top w:val="single" w:sz="7" w:space="0" w:color="000000"/>
              <w:left w:val="single" w:sz="7" w:space="0" w:color="000000"/>
              <w:bottom w:val="single" w:sz="7" w:space="0" w:color="000000"/>
              <w:right w:val="single" w:sz="7" w:space="0" w:color="000000"/>
            </w:tcBorders>
            <w:vAlign w:val="center"/>
          </w:tcPr>
          <w:p w:rsidR="00A55779" w:rsidRPr="00177A70" w:rsidRDefault="00A55779">
            <w:pPr>
              <w:spacing w:after="69"/>
              <w:jc w:val="center"/>
              <w:rPr>
                <w:color w:val="000000"/>
                <w:sz w:val="20"/>
                <w:szCs w:val="20"/>
              </w:rPr>
            </w:pPr>
            <w:r w:rsidRPr="00177A70">
              <w:rPr>
                <w:color w:val="000000"/>
                <w:sz w:val="20"/>
                <w:szCs w:val="20"/>
              </w:rPr>
              <w:t>0</w:t>
            </w:r>
          </w:p>
        </w:tc>
        <w:tc>
          <w:tcPr>
            <w:tcW w:w="1168" w:type="dxa"/>
            <w:tcBorders>
              <w:top w:val="single" w:sz="7" w:space="0" w:color="000000"/>
              <w:left w:val="single" w:sz="7" w:space="0" w:color="000000"/>
              <w:bottom w:val="single" w:sz="7" w:space="0" w:color="000000"/>
              <w:right w:val="single" w:sz="7" w:space="0" w:color="000000"/>
            </w:tcBorders>
            <w:vAlign w:val="center"/>
          </w:tcPr>
          <w:p w:rsidR="00A55779" w:rsidRPr="00177A70" w:rsidRDefault="00177A70">
            <w:pPr>
              <w:spacing w:after="69"/>
              <w:jc w:val="center"/>
              <w:rPr>
                <w:color w:val="000000"/>
                <w:sz w:val="20"/>
                <w:szCs w:val="20"/>
              </w:rPr>
            </w:pPr>
            <w:r>
              <w:rPr>
                <w:color w:val="000000"/>
                <w:sz w:val="20"/>
                <w:szCs w:val="20"/>
              </w:rPr>
              <w:t>112</w:t>
            </w:r>
          </w:p>
        </w:tc>
      </w:tr>
    </w:tbl>
    <w:p w:rsidR="00A55779" w:rsidRDefault="00A55779" w:rsidP="00177A70">
      <w:pPr>
        <w:rPr>
          <w:color w:val="000000"/>
        </w:rPr>
      </w:pPr>
    </w:p>
    <w:p w:rsidR="00A55779" w:rsidRDefault="00A55779">
      <w:pPr>
        <w:ind w:firstLine="720"/>
        <w:rPr>
          <w:color w:val="000000"/>
        </w:rPr>
      </w:pPr>
      <w:r>
        <w:rPr>
          <w:color w:val="000000"/>
        </w:rPr>
        <w:t xml:space="preserve">The number of total respondents is 56.  This number is the sum of column A and column C of the Respondent Universe and Number of Responses </w:t>
      </w:r>
      <w:proofErr w:type="gramStart"/>
      <w:r>
        <w:rPr>
          <w:color w:val="000000"/>
        </w:rPr>
        <w:t>Per</w:t>
      </w:r>
      <w:proofErr w:type="gramEnd"/>
      <w:r>
        <w:rPr>
          <w:color w:val="000000"/>
        </w:rPr>
        <w:t xml:space="preserve"> Year table.  This represents the number of existing sources plus the number of new sources averaged over the three-year period (i.e., the total of the number of new respondents over the three-year period divided by three years).  </w:t>
      </w:r>
    </w:p>
    <w:p w:rsidR="00A55779" w:rsidRDefault="00A55779">
      <w:pPr>
        <w:rPr>
          <w:color w:val="000000"/>
        </w:rPr>
      </w:pPr>
    </w:p>
    <w:p w:rsidR="00A55779" w:rsidRDefault="00A55779" w:rsidP="00F56245">
      <w:pPr>
        <w:ind w:firstLine="720"/>
        <w:rPr>
          <w:color w:val="000000"/>
        </w:rPr>
      </w:pPr>
      <w:r>
        <w:rPr>
          <w:color w:val="000000"/>
        </w:rPr>
        <w:t xml:space="preserve">The total annual response is 112.  This number is in column E of the Respondent Universe and Number of Responses </w:t>
      </w:r>
      <w:proofErr w:type="gramStart"/>
      <w:r>
        <w:rPr>
          <w:color w:val="000000"/>
        </w:rPr>
        <w:t>Per</w:t>
      </w:r>
      <w:proofErr w:type="gramEnd"/>
      <w:r>
        <w:rPr>
          <w:color w:val="000000"/>
        </w:rPr>
        <w:t xml:space="preserve"> Year table above.  </w:t>
      </w:r>
    </w:p>
    <w:p w:rsidR="00F56245" w:rsidRDefault="00F56245" w:rsidP="00F56245">
      <w:pPr>
        <w:rPr>
          <w:color w:val="000000"/>
        </w:rPr>
      </w:pPr>
    </w:p>
    <w:p w:rsidR="00A55779" w:rsidRDefault="00A55779" w:rsidP="004F246B">
      <w:pPr>
        <w:ind w:firstLine="720"/>
        <w:rPr>
          <w:color w:val="000000"/>
        </w:rPr>
      </w:pPr>
      <w:r>
        <w:rPr>
          <w:color w:val="000000"/>
        </w:rPr>
        <w:t xml:space="preserve">The total annual labor costs are $1,740,381 (rounded).  Details upon which this estimate is based appear </w:t>
      </w:r>
      <w:r w:rsidR="00FE636C">
        <w:rPr>
          <w:color w:val="000000"/>
        </w:rPr>
        <w:t xml:space="preserve">below </w:t>
      </w:r>
      <w:r>
        <w:rPr>
          <w:color w:val="000000"/>
        </w:rPr>
        <w:t xml:space="preserve">in Table 1 Annual Respondent Burden and Cost - NESHAP for Shipbuilding and Ship Repair Facilities </w:t>
      </w:r>
      <w:r w:rsidR="00992F14">
        <w:rPr>
          <w:color w:val="000000"/>
        </w:rPr>
        <w:t xml:space="preserve">- </w:t>
      </w:r>
      <w:r>
        <w:rPr>
          <w:color w:val="000000"/>
        </w:rPr>
        <w:t xml:space="preserve">Surface Coating (40 CFR </w:t>
      </w:r>
      <w:r w:rsidR="00FE636C">
        <w:rPr>
          <w:color w:val="000000"/>
        </w:rPr>
        <w:t>P</w:t>
      </w:r>
      <w:r>
        <w:rPr>
          <w:color w:val="000000"/>
        </w:rPr>
        <w:t xml:space="preserve">art 63, </w:t>
      </w:r>
      <w:r w:rsidR="00FE636C">
        <w:rPr>
          <w:color w:val="000000"/>
        </w:rPr>
        <w:t>S</w:t>
      </w:r>
      <w:r>
        <w:rPr>
          <w:color w:val="000000"/>
        </w:rPr>
        <w:t>ubpart II)</w:t>
      </w:r>
      <w:r w:rsidR="00FE636C">
        <w:rPr>
          <w:color w:val="000000"/>
        </w:rPr>
        <w:t xml:space="preserve"> (Renewal)</w:t>
      </w:r>
      <w:r>
        <w:rPr>
          <w:color w:val="000000"/>
        </w:rPr>
        <w:t>.</w:t>
      </w:r>
    </w:p>
    <w:p w:rsidR="00A55779" w:rsidRDefault="00A55779">
      <w:pPr>
        <w:rPr>
          <w:color w:val="000000"/>
        </w:rPr>
      </w:pPr>
    </w:p>
    <w:p w:rsidR="00A55779" w:rsidRDefault="00A55779">
      <w:pPr>
        <w:ind w:firstLine="720"/>
        <w:rPr>
          <w:color w:val="000000"/>
        </w:rPr>
      </w:pPr>
      <w:r>
        <w:rPr>
          <w:color w:val="000000"/>
        </w:rPr>
        <w:t>Note that the total annual capital and O&amp;M costs to the regulated entity are $0.  These costs are detailed in Section 6(b</w:t>
      </w:r>
      <w:proofErr w:type="gramStart"/>
      <w:r>
        <w:rPr>
          <w:color w:val="000000"/>
        </w:rPr>
        <w:t>)(</w:t>
      </w:r>
      <w:proofErr w:type="gramEnd"/>
      <w:r>
        <w:rPr>
          <w:color w:val="000000"/>
        </w:rPr>
        <w:t>iii), Capital/Startup vs. Operation and Maintenance (O&amp;M) Costs.</w:t>
      </w:r>
    </w:p>
    <w:p w:rsidR="00A55779" w:rsidRDefault="00A55779">
      <w:pPr>
        <w:rPr>
          <w:b/>
          <w:bCs/>
          <w:color w:val="000000"/>
        </w:rPr>
      </w:pPr>
    </w:p>
    <w:p w:rsidR="00A55779" w:rsidRDefault="00A55779">
      <w:pPr>
        <w:ind w:firstLine="720"/>
        <w:rPr>
          <w:b/>
          <w:bCs/>
          <w:color w:val="000000"/>
        </w:rPr>
      </w:pPr>
      <w:r>
        <w:rPr>
          <w:b/>
          <w:bCs/>
          <w:color w:val="000000"/>
        </w:rPr>
        <w:t>6(e</w:t>
      </w:r>
      <w:proofErr w:type="gramStart"/>
      <w:r>
        <w:rPr>
          <w:b/>
          <w:bCs/>
          <w:color w:val="000000"/>
        </w:rPr>
        <w:t>)  Bottom</w:t>
      </w:r>
      <w:proofErr w:type="gramEnd"/>
      <w:r>
        <w:rPr>
          <w:b/>
          <w:bCs/>
          <w:color w:val="000000"/>
        </w:rPr>
        <w:t xml:space="preserve"> Line Burden Hours Burden Hours and Cost Tables</w:t>
      </w:r>
    </w:p>
    <w:p w:rsidR="00A55779" w:rsidRDefault="00A55779">
      <w:pPr>
        <w:rPr>
          <w:b/>
          <w:bCs/>
          <w:color w:val="000000"/>
        </w:rPr>
      </w:pPr>
    </w:p>
    <w:p w:rsidR="00A55779" w:rsidRDefault="00A55779">
      <w:pPr>
        <w:ind w:firstLine="720"/>
        <w:rPr>
          <w:color w:val="000000"/>
        </w:rPr>
      </w:pPr>
      <w:r>
        <w:rPr>
          <w:color w:val="000000"/>
        </w:rPr>
        <w:t>The bottom line burden hours and cost tables for both the Agency and the respondents are attached</w:t>
      </w:r>
      <w:r w:rsidR="00FE636C">
        <w:rPr>
          <w:color w:val="000000"/>
        </w:rPr>
        <w:t xml:space="preserve"> below</w:t>
      </w:r>
      <w:r>
        <w:rPr>
          <w:color w:val="000000"/>
        </w:rPr>
        <w:t>.</w:t>
      </w:r>
    </w:p>
    <w:p w:rsidR="00A55779" w:rsidRDefault="00A55779">
      <w:pPr>
        <w:rPr>
          <w:color w:val="000000"/>
        </w:rPr>
      </w:pPr>
    </w:p>
    <w:p w:rsidR="00A55779" w:rsidRDefault="00A55779">
      <w:pPr>
        <w:ind w:firstLine="720"/>
        <w:rPr>
          <w:color w:val="000000"/>
        </w:rPr>
      </w:pPr>
      <w:r>
        <w:rPr>
          <w:b/>
          <w:bCs/>
          <w:color w:val="000000"/>
        </w:rPr>
        <w:t>6(f</w:t>
      </w:r>
      <w:proofErr w:type="gramStart"/>
      <w:r>
        <w:rPr>
          <w:b/>
          <w:bCs/>
          <w:color w:val="000000"/>
        </w:rPr>
        <w:t>)  Reasons</w:t>
      </w:r>
      <w:proofErr w:type="gramEnd"/>
      <w:r>
        <w:rPr>
          <w:b/>
          <w:bCs/>
          <w:color w:val="000000"/>
        </w:rPr>
        <w:t xml:space="preserve"> for Change in Burden</w:t>
      </w:r>
    </w:p>
    <w:p w:rsidR="00A55779" w:rsidRDefault="00A55779">
      <w:pPr>
        <w:rPr>
          <w:color w:val="000000"/>
        </w:rPr>
      </w:pPr>
    </w:p>
    <w:p w:rsidR="0017027D" w:rsidRDefault="0017027D" w:rsidP="0017027D">
      <w:r>
        <w:tab/>
        <w:t>There is no change in the burden hours or cost to the respondents in this ICR compared to the previous ICR.  This is due to two considerations.  First, the regulations have not changed over the past three years and are not anticipated to change over the next three years.  Second, the growth rate for the respondents is very low, negative or nonexistent.  Therefore, the labor hours and cost figures in the previous ICR reflect the current burden to the respondents and are reiterated in this ICR.  In the previous ICR the cost figure was rounded-up to the nearest thousand.  In this ICR, the figure is rounded to the nearest dollar.</w:t>
      </w:r>
    </w:p>
    <w:p w:rsidR="004F246B" w:rsidRDefault="004F246B" w:rsidP="0017027D"/>
    <w:p w:rsidR="004F246B" w:rsidRDefault="004F246B" w:rsidP="004F246B">
      <w:pPr>
        <w:ind w:firstLine="720"/>
      </w:pPr>
      <w:r>
        <w:t xml:space="preserve">EPA provides an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$3,141 and is based on the time and effort required of a source to review relevant data, interview plant employees, and document the events surrounding a malfunction that has caused an </w:t>
      </w:r>
      <w:proofErr w:type="spellStart"/>
      <w:r>
        <w:t>exceedance</w:t>
      </w:r>
      <w:proofErr w:type="spellEnd"/>
      <w:r>
        <w:t xml:space="preserve"> of an emission limit. The estimate also includes time to produce and retain the records and reports for submission to EPA.  </w:t>
      </w:r>
    </w:p>
    <w:p w:rsidR="004F246B" w:rsidRDefault="004F246B" w:rsidP="004F246B">
      <w:pPr>
        <w:ind w:firstLine="720"/>
      </w:pPr>
      <w:r>
        <w:t>For the purpose of estimating the annual burden in this category, EPA is attributing no instances of affirmative defense.  The costs below are illustrative of affirmative defense, which we see sources having no need for, given the technical reasons explained in the FRN.</w:t>
      </w:r>
    </w:p>
    <w:p w:rsidR="00A55779" w:rsidRDefault="00A55779">
      <w:pPr>
        <w:rPr>
          <w:b/>
          <w:bCs/>
          <w:color w:val="000000"/>
        </w:rPr>
      </w:pPr>
    </w:p>
    <w:p w:rsidR="00CD00EC" w:rsidRDefault="00CD00EC" w:rsidP="00CD00EC">
      <w:pPr>
        <w:ind w:firstLine="720"/>
      </w:pPr>
      <w:r>
        <w:rPr>
          <w:b/>
        </w:rPr>
        <w:t>6(g</w:t>
      </w:r>
      <w:proofErr w:type="gramStart"/>
      <w:r>
        <w:rPr>
          <w:b/>
        </w:rPr>
        <w:t>)  Burden</w:t>
      </w:r>
      <w:proofErr w:type="gramEnd"/>
      <w:r>
        <w:rPr>
          <w:b/>
        </w:rPr>
        <w:t xml:space="preserve"> Statement</w:t>
      </w:r>
    </w:p>
    <w:p w:rsidR="00CD00EC" w:rsidRDefault="00CD00EC" w:rsidP="00CD00EC"/>
    <w:p w:rsidR="00CD00EC" w:rsidRDefault="00CD00EC" w:rsidP="00CD00EC">
      <w:pPr>
        <w:rPr>
          <w:color w:val="000000"/>
        </w:rPr>
      </w:pPr>
      <w:r>
        <w:tab/>
      </w:r>
      <w:r>
        <w:rPr>
          <w:color w:val="000000"/>
        </w:rPr>
        <w:t xml:space="preserve">The annual public reporting and recordkeeping burden for this collection of information is estimated to </w:t>
      </w:r>
      <w:r w:rsidRPr="00D17EE9">
        <w:t xml:space="preserve">average </w:t>
      </w:r>
      <w:r>
        <w:rPr>
          <w:color w:val="000000"/>
        </w:rPr>
        <w:t xml:space="preserve">255 (rounded) </w:t>
      </w:r>
      <w:r w:rsidRPr="00D17EE9">
        <w:t>hours</w:t>
      </w:r>
      <w:r>
        <w:rPr>
          <w:color w:val="000000"/>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D00EC" w:rsidRDefault="00CD00EC" w:rsidP="00CD00EC">
      <w:pPr>
        <w:rPr>
          <w:color w:val="000000"/>
        </w:rPr>
      </w:pPr>
    </w:p>
    <w:p w:rsidR="00CD00EC" w:rsidRPr="00FB0650" w:rsidRDefault="00CD00EC" w:rsidP="00CD00EC">
      <w:pPr>
        <w:ind w:firstLine="720"/>
        <w:rPr>
          <w:color w:val="000000"/>
        </w:rPr>
      </w:pPr>
      <w:r>
        <w:rPr>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p>
    <w:p w:rsidR="00CD00EC" w:rsidRPr="00354C15" w:rsidRDefault="00CD00EC" w:rsidP="00CD00EC"/>
    <w:p w:rsidR="00CD00EC" w:rsidRDefault="00CD00EC" w:rsidP="00CD00EC">
      <w:r w:rsidRPr="00354C15">
        <w:tab/>
        <w:t xml:space="preserve">To comment on the Agency's need for this information, the accuracy of the provided burden estimates, and any suggested methods for minimizing respondent burden, including the use of automated </w:t>
      </w:r>
      <w:r w:rsidRPr="00D17EE9">
        <w:t xml:space="preserve">collection techniques, EPA has established a public docket for this ICR under Docket ID Number </w:t>
      </w:r>
      <w:r w:rsidRPr="00D17EE9">
        <w:rPr>
          <w:rFonts w:cs="AFOGN H+ Melior"/>
          <w:color w:val="000000"/>
        </w:rPr>
        <w:t>EPA</w:t>
      </w:r>
      <w:r>
        <w:rPr>
          <w:rFonts w:cs="AFOGN H+ Melior"/>
          <w:color w:val="000000"/>
        </w:rPr>
        <w:t>-</w:t>
      </w:r>
      <w:r w:rsidRPr="00D17EE9">
        <w:rPr>
          <w:rFonts w:cs="AFOGN H+ Melior"/>
          <w:color w:val="000000"/>
        </w:rPr>
        <w:t>HQ</w:t>
      </w:r>
      <w:r>
        <w:rPr>
          <w:rFonts w:cs="AFOGN H+ Melior"/>
          <w:color w:val="000000"/>
        </w:rPr>
        <w:t>-</w:t>
      </w:r>
      <w:r w:rsidRPr="00D17EE9">
        <w:rPr>
          <w:rFonts w:cs="AFOGN H+ Melior"/>
          <w:color w:val="000000"/>
        </w:rPr>
        <w:t>O</w:t>
      </w:r>
      <w:r w:rsidR="00625740">
        <w:rPr>
          <w:rFonts w:cs="AFOGN H+ Melior"/>
          <w:color w:val="000000"/>
        </w:rPr>
        <w:t>AR</w:t>
      </w:r>
      <w:r>
        <w:rPr>
          <w:rFonts w:cs="AFOGN H+ Melior"/>
          <w:color w:val="000000"/>
        </w:rPr>
        <w:t>-</w:t>
      </w:r>
      <w:r w:rsidRPr="00D17EE9">
        <w:rPr>
          <w:rFonts w:cs="AFOGN H+ Melior"/>
          <w:color w:val="000000"/>
        </w:rPr>
        <w:t>20</w:t>
      </w:r>
      <w:r w:rsidR="00625740">
        <w:rPr>
          <w:rFonts w:cs="AFOGN H+ Melior"/>
          <w:color w:val="000000"/>
        </w:rPr>
        <w:t>10</w:t>
      </w:r>
      <w:r>
        <w:rPr>
          <w:rFonts w:cs="AFOGN H+ Melior"/>
          <w:color w:val="000000"/>
        </w:rPr>
        <w:t>-</w:t>
      </w:r>
      <w:r w:rsidRPr="00D17EE9">
        <w:rPr>
          <w:rFonts w:cs="AFOGN H+ Melior"/>
          <w:color w:val="000000"/>
        </w:rPr>
        <w:t>0</w:t>
      </w:r>
      <w:r w:rsidR="00625740">
        <w:rPr>
          <w:rFonts w:cs="AFOGN H+ Melior"/>
          <w:color w:val="000000"/>
        </w:rPr>
        <w:t>786</w:t>
      </w:r>
      <w:r w:rsidRPr="00D17EE9">
        <w:rPr>
          <w:rFonts w:cs="AFOGN H+ Melior"/>
          <w:color w:val="000000"/>
        </w:rPr>
        <w:t>.</w:t>
      </w:r>
      <w:r>
        <w:rPr>
          <w:rFonts w:cs="AFOGN H+ Melior"/>
          <w:color w:val="000000"/>
          <w:sz w:val="18"/>
          <w:szCs w:val="18"/>
        </w:rPr>
        <w:t xml:space="preserve">  </w:t>
      </w:r>
      <w:r w:rsidRPr="00354C15">
        <w:t>An electronic version of the public docket is available at http://www.regulations.gov/</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w:t>
      </w:r>
      <w:r w:rsidR="004C6B82">
        <w:t>Air and Radiation</w:t>
      </w:r>
      <w:r w:rsidR="00EE0F2D">
        <w:t xml:space="preserve"> </w:t>
      </w:r>
      <w:r w:rsidRPr="00354C15">
        <w:t xml:space="preserve">Docket and Information Center in the EPA Docket Center (EPA/DC), </w:t>
      </w:r>
      <w:r w:rsidRPr="000E187E">
        <w:t xml:space="preserve">EPA West, Room </w:t>
      </w:r>
      <w:r>
        <w:t>3334</w:t>
      </w:r>
      <w:r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t xml:space="preserve">for the </w:t>
      </w:r>
      <w:r w:rsidR="00EE0F2D">
        <w:t xml:space="preserve">Air and Radiation </w:t>
      </w:r>
      <w:proofErr w:type="gramStart"/>
      <w:r w:rsidR="00EE0F2D">
        <w:t>Do</w:t>
      </w:r>
      <w:r>
        <w:t>cket</w:t>
      </w:r>
      <w:r w:rsidR="00EE0F2D">
        <w:t xml:space="preserve"> </w:t>
      </w:r>
      <w:r>
        <w:t xml:space="preserve"> i</w:t>
      </w:r>
      <w:r w:rsidRPr="00354C15">
        <w:t>s</w:t>
      </w:r>
      <w:proofErr w:type="gramEnd"/>
      <w:r w:rsidRPr="00354C15">
        <w:t xml:space="preserve"> (202) 566-</w:t>
      </w:r>
      <w:r w:rsidR="004C6B82">
        <w:t>1742</w:t>
      </w:r>
      <w:r>
        <w:t xml:space="preserve">.  Also, you can send comments to the Office of Information and Regulatory Affairs, Office of Management and Budget, 725 17th Street, NW, Washington, DC 20503, Attention: Desk Officer for EPA.  Please include the EPA Docket ID </w:t>
      </w:r>
      <w:r>
        <w:lastRenderedPageBreak/>
        <w:t>Number EPA-HQ-O</w:t>
      </w:r>
      <w:r w:rsidR="00625740">
        <w:t>AR</w:t>
      </w:r>
      <w:r>
        <w:t>-20</w:t>
      </w:r>
      <w:r w:rsidR="00625740">
        <w:t>10</w:t>
      </w:r>
      <w:r w:rsidR="00625740">
        <w:rPr>
          <w:rFonts w:cs="AFOGN H+ Melior"/>
          <w:color w:val="000000"/>
        </w:rPr>
        <w:t>-</w:t>
      </w:r>
      <w:r w:rsidRPr="00D17EE9">
        <w:rPr>
          <w:rFonts w:cs="AFOGN H+ Melior"/>
          <w:color w:val="000000"/>
        </w:rPr>
        <w:t>0</w:t>
      </w:r>
      <w:r w:rsidR="00625740">
        <w:rPr>
          <w:rFonts w:cs="AFOGN H+ Melior"/>
          <w:color w:val="000000"/>
        </w:rPr>
        <w:t>786</w:t>
      </w:r>
      <w:r>
        <w:rPr>
          <w:rFonts w:cs="AFOGN H+ Melior"/>
          <w:color w:val="000000"/>
        </w:rPr>
        <w:t xml:space="preserve"> </w:t>
      </w:r>
      <w:r>
        <w:t>and OMB Control Number 2060-0</w:t>
      </w:r>
      <w:r w:rsidR="002420AF">
        <w:t>330</w:t>
      </w:r>
      <w:r>
        <w:t xml:space="preserve"> in any correspondence. </w:t>
      </w:r>
    </w:p>
    <w:p w:rsidR="00CD00EC" w:rsidRDefault="00CD00EC">
      <w:pPr>
        <w:ind w:firstLine="720"/>
        <w:rPr>
          <w:b/>
          <w:bCs/>
          <w:color w:val="000000"/>
        </w:rPr>
      </w:pPr>
    </w:p>
    <w:p w:rsidR="00A55779" w:rsidRDefault="00A55779">
      <w:pPr>
        <w:rPr>
          <w:color w:val="000000"/>
        </w:rPr>
      </w:pPr>
      <w:r>
        <w:rPr>
          <w:b/>
          <w:bCs/>
          <w:color w:val="000000"/>
        </w:rPr>
        <w:t>Part B of the Supporting Statement</w:t>
      </w:r>
    </w:p>
    <w:p w:rsidR="00A55779" w:rsidRDefault="00A55779">
      <w:pPr>
        <w:rPr>
          <w:color w:val="000000"/>
        </w:rPr>
      </w:pPr>
    </w:p>
    <w:p w:rsidR="00A55779" w:rsidRDefault="00A55779">
      <w:pPr>
        <w:ind w:firstLine="720"/>
        <w:rPr>
          <w:color w:val="000000"/>
        </w:rPr>
      </w:pPr>
      <w:r>
        <w:rPr>
          <w:color w:val="000000"/>
        </w:rPr>
        <w:t xml:space="preserve">This part is not applicable because no statistical methods were used in collecting </w:t>
      </w:r>
    </w:p>
    <w:p w:rsidR="008D2545" w:rsidRDefault="00A55779">
      <w:pPr>
        <w:rPr>
          <w:color w:val="000000"/>
        </w:rPr>
      </w:pPr>
      <w:proofErr w:type="gramStart"/>
      <w:r>
        <w:rPr>
          <w:color w:val="000000"/>
        </w:rPr>
        <w:t>this</w:t>
      </w:r>
      <w:proofErr w:type="gramEnd"/>
      <w:r>
        <w:rPr>
          <w:color w:val="000000"/>
        </w:rPr>
        <w:t xml:space="preserve"> information.</w:t>
      </w:r>
    </w:p>
    <w:p w:rsidR="008D2545" w:rsidRDefault="008D2545">
      <w:pPr>
        <w:rPr>
          <w:color w:val="000000"/>
        </w:rPr>
        <w:sectPr w:rsidR="008D2545" w:rsidSect="00EB5BED">
          <w:headerReference w:type="even" r:id="rId6"/>
          <w:headerReference w:type="default" r:id="rId7"/>
          <w:type w:val="continuous"/>
          <w:pgSz w:w="12240" w:h="15840" w:code="1"/>
          <w:pgMar w:top="1440" w:right="1440" w:bottom="1440" w:left="1440" w:header="1008" w:footer="0" w:gutter="0"/>
          <w:cols w:space="720"/>
          <w:noEndnote/>
          <w:titlePg/>
          <w:docGrid w:linePitch="326"/>
        </w:sectPr>
      </w:pPr>
    </w:p>
    <w:tbl>
      <w:tblPr>
        <w:tblW w:w="13153" w:type="dxa"/>
        <w:jc w:val="center"/>
        <w:tblCellSpacing w:w="0" w:type="dxa"/>
        <w:tblLayout w:type="fixed"/>
        <w:tblCellMar>
          <w:left w:w="0" w:type="dxa"/>
          <w:right w:w="0" w:type="dxa"/>
        </w:tblCellMar>
        <w:tblLook w:val="0000"/>
      </w:tblPr>
      <w:tblGrid>
        <w:gridCol w:w="247"/>
        <w:gridCol w:w="250"/>
        <w:gridCol w:w="472"/>
        <w:gridCol w:w="3292"/>
        <w:gridCol w:w="1012"/>
        <w:gridCol w:w="1207"/>
        <w:gridCol w:w="1028"/>
        <w:gridCol w:w="62"/>
        <w:gridCol w:w="1154"/>
        <w:gridCol w:w="1105"/>
        <w:gridCol w:w="1088"/>
        <w:gridCol w:w="1028"/>
        <w:gridCol w:w="1208"/>
      </w:tblGrid>
      <w:tr w:rsidR="00500B07" w:rsidRPr="00500B07" w:rsidTr="0017027D">
        <w:trPr>
          <w:trHeight w:val="240"/>
          <w:tblCellSpacing w:w="0" w:type="dxa"/>
          <w:jc w:val="center"/>
        </w:trPr>
        <w:tc>
          <w:tcPr>
            <w:tcW w:w="969" w:type="dxa"/>
            <w:gridSpan w:val="3"/>
            <w:shd w:val="clear" w:color="auto" w:fill="FFFFFF"/>
            <w:vAlign w:val="bottom"/>
          </w:tcPr>
          <w:p w:rsidR="008D2545" w:rsidRPr="00500B07" w:rsidRDefault="008D2545" w:rsidP="004F246B">
            <w:pPr>
              <w:widowControl/>
              <w:adjustRightInd/>
              <w:rPr>
                <w:sz w:val="16"/>
                <w:szCs w:val="16"/>
              </w:rPr>
            </w:pPr>
            <w:r w:rsidRPr="00500B07">
              <w:rPr>
                <w:rFonts w:ascii="Arial" w:hAnsi="Arial" w:cs="Arial"/>
                <w:b/>
                <w:bCs/>
                <w:color w:val="000000"/>
                <w:sz w:val="16"/>
                <w:szCs w:val="16"/>
              </w:rPr>
              <w:lastRenderedPageBreak/>
              <w:t>TABLE 1</w:t>
            </w:r>
          </w:p>
        </w:tc>
        <w:tc>
          <w:tcPr>
            <w:tcW w:w="5511" w:type="dxa"/>
            <w:gridSpan w:val="3"/>
            <w:shd w:val="clear" w:color="auto" w:fill="FFFFFF"/>
            <w:vAlign w:val="bottom"/>
          </w:tcPr>
          <w:p w:rsidR="008D2545" w:rsidRPr="00500B07" w:rsidRDefault="008D2545" w:rsidP="008D2545">
            <w:pPr>
              <w:widowControl/>
              <w:adjustRightInd/>
              <w:rPr>
                <w:sz w:val="16"/>
                <w:szCs w:val="16"/>
              </w:rPr>
            </w:pPr>
            <w:r w:rsidRPr="00500B07">
              <w:rPr>
                <w:rFonts w:ascii="Arial" w:hAnsi="Arial" w:cs="Arial"/>
                <w:b/>
                <w:bCs/>
                <w:color w:val="000000"/>
                <w:sz w:val="16"/>
                <w:szCs w:val="16"/>
              </w:rPr>
              <w:t>Annual Respondent Burden and Cost</w:t>
            </w:r>
          </w:p>
        </w:tc>
        <w:tc>
          <w:tcPr>
            <w:tcW w:w="1090" w:type="dxa"/>
            <w:gridSpan w:val="2"/>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154"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105"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8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r w:rsidR="00500B07" w:rsidRPr="00500B07" w:rsidTr="0017027D">
        <w:trPr>
          <w:trHeight w:val="240"/>
          <w:tblCellSpacing w:w="0" w:type="dxa"/>
          <w:jc w:val="center"/>
        </w:trPr>
        <w:tc>
          <w:tcPr>
            <w:tcW w:w="247"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250"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9948" w:type="dxa"/>
            <w:gridSpan w:val="8"/>
            <w:shd w:val="clear" w:color="auto" w:fill="FFFFFF"/>
            <w:vAlign w:val="bottom"/>
          </w:tcPr>
          <w:p w:rsidR="008D2545" w:rsidRPr="00500B07" w:rsidRDefault="008D2545" w:rsidP="008D2545">
            <w:pPr>
              <w:widowControl/>
              <w:adjustRightInd/>
              <w:rPr>
                <w:sz w:val="16"/>
                <w:szCs w:val="16"/>
              </w:rPr>
            </w:pPr>
            <w:r w:rsidRPr="00500B07">
              <w:rPr>
                <w:rFonts w:ascii="Arial" w:hAnsi="Arial" w:cs="Arial"/>
                <w:b/>
                <w:bCs/>
                <w:color w:val="000000"/>
                <w:sz w:val="16"/>
                <w:szCs w:val="16"/>
              </w:rPr>
              <w:t xml:space="preserve">NESHAP for Shipbuilding and Ship Repair Facilities </w:t>
            </w:r>
            <w:r w:rsidR="00CD00EC">
              <w:rPr>
                <w:rFonts w:ascii="Arial" w:hAnsi="Arial" w:cs="Arial"/>
                <w:b/>
                <w:bCs/>
                <w:color w:val="000000"/>
                <w:sz w:val="16"/>
                <w:szCs w:val="16"/>
              </w:rPr>
              <w:t xml:space="preserve">- </w:t>
            </w:r>
            <w:r w:rsidRPr="00500B07">
              <w:rPr>
                <w:rFonts w:ascii="Arial" w:hAnsi="Arial" w:cs="Arial"/>
                <w:b/>
                <w:bCs/>
                <w:color w:val="000000"/>
                <w:sz w:val="16"/>
                <w:szCs w:val="16"/>
              </w:rPr>
              <w:t>Surface Coating</w:t>
            </w:r>
            <w:r w:rsidRPr="00500B07">
              <w:rPr>
                <w:sz w:val="16"/>
                <w:szCs w:val="16"/>
              </w:rPr>
              <w:t xml:space="preserve"> </w:t>
            </w:r>
            <w:r w:rsidRPr="00500B07">
              <w:rPr>
                <w:rFonts w:ascii="Arial" w:hAnsi="Arial" w:cs="Arial"/>
                <w:b/>
                <w:bCs/>
                <w:color w:val="000000"/>
                <w:sz w:val="16"/>
                <w:szCs w:val="16"/>
              </w:rPr>
              <w:t xml:space="preserve">(40 CFR </w:t>
            </w:r>
            <w:r w:rsidR="00191451">
              <w:rPr>
                <w:rFonts w:ascii="Arial" w:hAnsi="Arial" w:cs="Arial"/>
                <w:b/>
                <w:bCs/>
                <w:color w:val="000000"/>
                <w:sz w:val="16"/>
                <w:szCs w:val="16"/>
              </w:rPr>
              <w:t>P</w:t>
            </w:r>
            <w:r w:rsidRPr="00500B07">
              <w:rPr>
                <w:rFonts w:ascii="Arial" w:hAnsi="Arial" w:cs="Arial"/>
                <w:b/>
                <w:bCs/>
                <w:color w:val="000000"/>
                <w:sz w:val="16"/>
                <w:szCs w:val="16"/>
              </w:rPr>
              <w:t xml:space="preserve">art 63, </w:t>
            </w:r>
            <w:r w:rsidR="00191451">
              <w:rPr>
                <w:rFonts w:ascii="Arial" w:hAnsi="Arial" w:cs="Arial"/>
                <w:b/>
                <w:bCs/>
                <w:color w:val="000000"/>
                <w:sz w:val="16"/>
                <w:szCs w:val="16"/>
              </w:rPr>
              <w:t>S</w:t>
            </w:r>
            <w:r w:rsidRPr="00500B07">
              <w:rPr>
                <w:rFonts w:ascii="Arial" w:hAnsi="Arial" w:cs="Arial"/>
                <w:b/>
                <w:bCs/>
                <w:color w:val="000000"/>
                <w:sz w:val="16"/>
                <w:szCs w:val="16"/>
              </w:rPr>
              <w:t>ubpart II)</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r w:rsidR="00500B07" w:rsidRPr="00500B07" w:rsidTr="0017027D">
        <w:trPr>
          <w:trHeight w:val="960"/>
          <w:tblCellSpacing w:w="0" w:type="dxa"/>
          <w:jc w:val="center"/>
        </w:trPr>
        <w:tc>
          <w:tcPr>
            <w:tcW w:w="247" w:type="dxa"/>
            <w:tcBorders>
              <w:top w:val="single" w:sz="4" w:space="0" w:color="auto"/>
              <w:left w:val="single" w:sz="4" w:space="0" w:color="auto"/>
              <w:bottom w:val="single" w:sz="4" w:space="0" w:color="auto"/>
            </w:tcBorders>
            <w:shd w:val="clear" w:color="auto" w:fill="E1E1E1"/>
            <w:vAlign w:val="center"/>
          </w:tcPr>
          <w:p w:rsidR="008D2545" w:rsidRPr="00500B07" w:rsidRDefault="008D2545" w:rsidP="008D2545">
            <w:pPr>
              <w:widowControl/>
              <w:adjustRightInd/>
              <w:rPr>
                <w:sz w:val="16"/>
                <w:szCs w:val="16"/>
              </w:rPr>
            </w:pPr>
          </w:p>
        </w:tc>
        <w:tc>
          <w:tcPr>
            <w:tcW w:w="4014" w:type="dxa"/>
            <w:gridSpan w:val="3"/>
            <w:tcBorders>
              <w:top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REPORTING/RECORDKEEPING REQUIREMENT</w:t>
            </w:r>
          </w:p>
        </w:tc>
        <w:tc>
          <w:tcPr>
            <w:tcW w:w="1012"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rFonts w:ascii="Arial" w:hAnsi="Arial" w:cs="Arial"/>
                <w:color w:val="000000"/>
                <w:sz w:val="16"/>
                <w:szCs w:val="16"/>
              </w:rPr>
            </w:pPr>
            <w:r w:rsidRPr="00500B07">
              <w:rPr>
                <w:rFonts w:ascii="Arial" w:hAnsi="Arial" w:cs="Arial"/>
                <w:color w:val="000000"/>
                <w:sz w:val="16"/>
                <w:szCs w:val="16"/>
              </w:rPr>
              <w:t>Hours/</w:t>
            </w:r>
          </w:p>
          <w:p w:rsidR="008D2545" w:rsidRPr="00500B07" w:rsidRDefault="008D2545" w:rsidP="008D2545">
            <w:pPr>
              <w:widowControl/>
              <w:adjustRightInd/>
              <w:jc w:val="center"/>
              <w:rPr>
                <w:rFonts w:ascii="Arial" w:hAnsi="Arial" w:cs="Arial"/>
                <w:color w:val="000000"/>
                <w:sz w:val="16"/>
                <w:szCs w:val="16"/>
              </w:rPr>
            </w:pPr>
            <w:r w:rsidRPr="00500B07">
              <w:rPr>
                <w:rFonts w:ascii="Arial" w:hAnsi="Arial" w:cs="Arial"/>
                <w:color w:val="000000"/>
                <w:sz w:val="16"/>
                <w:szCs w:val="16"/>
              </w:rPr>
              <w:t>Occurrence</w:t>
            </w:r>
          </w:p>
          <w:p w:rsidR="008D2545" w:rsidRPr="00500B07" w:rsidRDefault="008D2545" w:rsidP="008D2545">
            <w:pPr>
              <w:widowControl/>
              <w:adjustRightInd/>
              <w:jc w:val="center"/>
              <w:rPr>
                <w:sz w:val="16"/>
                <w:szCs w:val="16"/>
              </w:rPr>
            </w:pPr>
            <w:r w:rsidRPr="00500B07">
              <w:rPr>
                <w:rFonts w:ascii="Arial" w:hAnsi="Arial" w:cs="Arial"/>
                <w:color w:val="000000"/>
                <w:sz w:val="16"/>
                <w:szCs w:val="16"/>
              </w:rPr>
              <w:t>(A)</w:t>
            </w:r>
          </w:p>
        </w:tc>
        <w:tc>
          <w:tcPr>
            <w:tcW w:w="1207"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rFonts w:ascii="Arial" w:hAnsi="Arial" w:cs="Arial"/>
                <w:color w:val="000000"/>
                <w:sz w:val="16"/>
                <w:szCs w:val="16"/>
              </w:rPr>
            </w:pPr>
            <w:r w:rsidRPr="00500B07">
              <w:rPr>
                <w:rFonts w:ascii="Arial" w:hAnsi="Arial" w:cs="Arial"/>
                <w:color w:val="000000"/>
                <w:sz w:val="16"/>
                <w:szCs w:val="16"/>
              </w:rPr>
              <w:t>Occurrences/</w:t>
            </w:r>
          </w:p>
          <w:p w:rsidR="008D2545" w:rsidRPr="00500B07" w:rsidRDefault="008D2545" w:rsidP="008D2545">
            <w:pPr>
              <w:widowControl/>
              <w:adjustRightInd/>
              <w:jc w:val="center"/>
              <w:rPr>
                <w:rFonts w:ascii="Arial" w:hAnsi="Arial" w:cs="Arial"/>
                <w:color w:val="000000"/>
                <w:sz w:val="16"/>
                <w:szCs w:val="16"/>
              </w:rPr>
            </w:pPr>
            <w:r w:rsidRPr="00500B07">
              <w:rPr>
                <w:rFonts w:ascii="Arial" w:hAnsi="Arial" w:cs="Arial"/>
                <w:color w:val="000000"/>
                <w:sz w:val="16"/>
                <w:szCs w:val="16"/>
              </w:rPr>
              <w:t>Year</w:t>
            </w:r>
          </w:p>
          <w:p w:rsidR="008D2545" w:rsidRPr="00500B07" w:rsidRDefault="008D2545" w:rsidP="008D2545">
            <w:pPr>
              <w:widowControl/>
              <w:adjustRightInd/>
              <w:jc w:val="center"/>
              <w:rPr>
                <w:sz w:val="16"/>
                <w:szCs w:val="16"/>
              </w:rPr>
            </w:pPr>
            <w:r w:rsidRPr="00500B07">
              <w:rPr>
                <w:rFonts w:ascii="Arial" w:hAnsi="Arial" w:cs="Arial"/>
                <w:color w:val="000000"/>
                <w:sz w:val="16"/>
                <w:szCs w:val="16"/>
              </w:rPr>
              <w:t>(B)</w:t>
            </w:r>
          </w:p>
        </w:tc>
        <w:tc>
          <w:tcPr>
            <w:tcW w:w="1090" w:type="dxa"/>
            <w:gridSpan w:val="2"/>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rFonts w:ascii="Arial" w:hAnsi="Arial" w:cs="Arial"/>
                <w:color w:val="000000"/>
                <w:sz w:val="16"/>
                <w:szCs w:val="16"/>
              </w:rPr>
            </w:pPr>
            <w:r w:rsidRPr="00500B07">
              <w:rPr>
                <w:rFonts w:ascii="Arial" w:hAnsi="Arial" w:cs="Arial"/>
                <w:color w:val="000000"/>
                <w:sz w:val="16"/>
                <w:szCs w:val="16"/>
              </w:rPr>
              <w:t>Hours/Year (C=A*B) (C)</w:t>
            </w:r>
          </w:p>
        </w:tc>
        <w:tc>
          <w:tcPr>
            <w:tcW w:w="1154"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rFonts w:ascii="Arial" w:hAnsi="Arial" w:cs="Arial"/>
                <w:color w:val="000000"/>
                <w:sz w:val="16"/>
                <w:szCs w:val="16"/>
              </w:rPr>
            </w:pPr>
            <w:r w:rsidRPr="00500B07">
              <w:rPr>
                <w:rFonts w:ascii="Arial" w:hAnsi="Arial" w:cs="Arial"/>
                <w:color w:val="000000"/>
                <w:sz w:val="16"/>
                <w:szCs w:val="16"/>
              </w:rPr>
              <w:t>Respondents/</w:t>
            </w:r>
          </w:p>
          <w:p w:rsidR="008D2545" w:rsidRPr="00500B07" w:rsidRDefault="008D2545" w:rsidP="008D2545">
            <w:pPr>
              <w:widowControl/>
              <w:adjustRightInd/>
              <w:jc w:val="center"/>
              <w:rPr>
                <w:rFonts w:ascii="Arial" w:hAnsi="Arial" w:cs="Arial"/>
                <w:color w:val="000000"/>
                <w:sz w:val="16"/>
                <w:szCs w:val="16"/>
              </w:rPr>
            </w:pPr>
            <w:r w:rsidRPr="00500B07">
              <w:rPr>
                <w:rFonts w:ascii="Arial" w:hAnsi="Arial" w:cs="Arial"/>
                <w:color w:val="000000"/>
                <w:sz w:val="16"/>
                <w:szCs w:val="16"/>
              </w:rPr>
              <w:t>Year</w:t>
            </w:r>
          </w:p>
          <w:p w:rsidR="008D2545" w:rsidRPr="00500B07" w:rsidRDefault="008D2545" w:rsidP="008D2545">
            <w:pPr>
              <w:widowControl/>
              <w:adjustRightInd/>
              <w:jc w:val="center"/>
              <w:rPr>
                <w:sz w:val="16"/>
                <w:szCs w:val="16"/>
              </w:rPr>
            </w:pPr>
            <w:r w:rsidRPr="00500B07">
              <w:rPr>
                <w:rFonts w:ascii="Arial" w:hAnsi="Arial" w:cs="Arial"/>
                <w:color w:val="000000"/>
                <w:sz w:val="16"/>
                <w:szCs w:val="16"/>
              </w:rPr>
              <w:t>(D)</w:t>
            </w:r>
          </w:p>
        </w:tc>
        <w:tc>
          <w:tcPr>
            <w:tcW w:w="1105"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xml:space="preserve">Technical Hours/Year (E=C*D) (E) </w:t>
            </w:r>
          </w:p>
        </w:tc>
        <w:tc>
          <w:tcPr>
            <w:tcW w:w="108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rFonts w:ascii="Arial" w:hAnsi="Arial" w:cs="Arial"/>
                <w:color w:val="000000"/>
                <w:sz w:val="16"/>
                <w:szCs w:val="16"/>
              </w:rPr>
            </w:pPr>
            <w:r w:rsidRPr="00500B07">
              <w:rPr>
                <w:rFonts w:ascii="Arial" w:hAnsi="Arial" w:cs="Arial"/>
                <w:color w:val="000000"/>
                <w:sz w:val="16"/>
                <w:szCs w:val="16"/>
              </w:rPr>
              <w:t>Man</w:t>
            </w:r>
            <w:r w:rsidR="00BD5CE2">
              <w:rPr>
                <w:rFonts w:ascii="Arial" w:hAnsi="Arial" w:cs="Arial"/>
                <w:color w:val="000000"/>
                <w:sz w:val="16"/>
                <w:szCs w:val="16"/>
              </w:rPr>
              <w:t>age</w:t>
            </w:r>
            <w:r w:rsidRPr="00500B07">
              <w:rPr>
                <w:rFonts w:ascii="Arial" w:hAnsi="Arial" w:cs="Arial"/>
                <w:color w:val="000000"/>
                <w:sz w:val="16"/>
                <w:szCs w:val="16"/>
              </w:rPr>
              <w:t>ment Hours/</w:t>
            </w:r>
          </w:p>
          <w:p w:rsidR="008D2545" w:rsidRPr="00500B07" w:rsidRDefault="008D2545" w:rsidP="008D2545">
            <w:pPr>
              <w:widowControl/>
              <w:adjustRightInd/>
              <w:jc w:val="center"/>
              <w:rPr>
                <w:sz w:val="16"/>
                <w:szCs w:val="16"/>
              </w:rPr>
            </w:pPr>
            <w:r w:rsidRPr="00500B07">
              <w:rPr>
                <w:rFonts w:ascii="Arial" w:hAnsi="Arial" w:cs="Arial"/>
                <w:color w:val="000000"/>
                <w:sz w:val="16"/>
                <w:szCs w:val="16"/>
              </w:rPr>
              <w:t>Year (F=E*.05) (F)</w:t>
            </w:r>
          </w:p>
        </w:tc>
        <w:tc>
          <w:tcPr>
            <w:tcW w:w="1028" w:type="dxa"/>
            <w:tcBorders>
              <w:top w:val="single" w:sz="4" w:space="0" w:color="auto"/>
              <w:left w:val="single" w:sz="4" w:space="0" w:color="auto"/>
              <w:bottom w:val="single" w:sz="4" w:space="0" w:color="auto"/>
              <w:right w:val="single" w:sz="4" w:space="0" w:color="auto"/>
            </w:tcBorders>
            <w:shd w:val="clear" w:color="auto" w:fill="E1E1E1"/>
            <w:vAlign w:val="center"/>
          </w:tcPr>
          <w:p w:rsidR="00500B07" w:rsidRPr="00500B07" w:rsidRDefault="008D2545" w:rsidP="008D2545">
            <w:pPr>
              <w:widowControl/>
              <w:adjustRightInd/>
              <w:jc w:val="center"/>
              <w:rPr>
                <w:rFonts w:ascii="Arial" w:hAnsi="Arial" w:cs="Arial"/>
                <w:color w:val="000000"/>
                <w:sz w:val="16"/>
                <w:szCs w:val="16"/>
              </w:rPr>
            </w:pPr>
            <w:r w:rsidRPr="00500B07">
              <w:rPr>
                <w:rFonts w:ascii="Arial" w:hAnsi="Arial" w:cs="Arial"/>
                <w:color w:val="000000"/>
                <w:sz w:val="16"/>
                <w:szCs w:val="16"/>
              </w:rPr>
              <w:t>Clerical Hours/</w:t>
            </w:r>
          </w:p>
          <w:p w:rsidR="008D2545" w:rsidRPr="00500B07" w:rsidRDefault="008D2545" w:rsidP="008D2545">
            <w:pPr>
              <w:widowControl/>
              <w:adjustRightInd/>
              <w:jc w:val="center"/>
              <w:rPr>
                <w:sz w:val="16"/>
                <w:szCs w:val="16"/>
              </w:rPr>
            </w:pPr>
            <w:r w:rsidRPr="00500B07">
              <w:rPr>
                <w:rFonts w:ascii="Arial" w:hAnsi="Arial" w:cs="Arial"/>
                <w:color w:val="000000"/>
                <w:sz w:val="16"/>
                <w:szCs w:val="16"/>
              </w:rPr>
              <w:t>Year (G=E*.1) (G)</w:t>
            </w:r>
          </w:p>
        </w:tc>
        <w:tc>
          <w:tcPr>
            <w:tcW w:w="120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Costs/Year (H)</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w:t>
            </w:r>
          </w:p>
        </w:tc>
        <w:tc>
          <w:tcPr>
            <w:tcW w:w="4014" w:type="dxa"/>
            <w:gridSpan w:val="3"/>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APPLICATIONS</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2.</w:t>
            </w:r>
          </w:p>
        </w:tc>
        <w:tc>
          <w:tcPr>
            <w:tcW w:w="4014" w:type="dxa"/>
            <w:gridSpan w:val="3"/>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SURVEY AND STUDIES</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3.</w:t>
            </w:r>
          </w:p>
        </w:tc>
        <w:tc>
          <w:tcPr>
            <w:tcW w:w="4014" w:type="dxa"/>
            <w:gridSpan w:val="3"/>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REPORTING REQUIREMENTS</w:t>
            </w:r>
          </w:p>
        </w:tc>
        <w:tc>
          <w:tcPr>
            <w:tcW w:w="1012"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7"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90" w:type="dxa"/>
            <w:gridSpan w:val="2"/>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154"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105"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8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a.</w:t>
            </w:r>
          </w:p>
        </w:tc>
        <w:tc>
          <w:tcPr>
            <w:tcW w:w="3764" w:type="dxa"/>
            <w:gridSpan w:val="2"/>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Read Instructions</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w:t>
            </w:r>
          </w:p>
        </w:tc>
        <w:tc>
          <w:tcPr>
            <w:tcW w:w="10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b.</w:t>
            </w:r>
          </w:p>
        </w:tc>
        <w:tc>
          <w:tcPr>
            <w:tcW w:w="3764" w:type="dxa"/>
            <w:gridSpan w:val="2"/>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Required Activities</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455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rPr>
                <w:sz w:val="16"/>
                <w:szCs w:val="16"/>
              </w:rPr>
            </w:pPr>
            <w:r w:rsidRPr="00500B07">
              <w:rPr>
                <w:rFonts w:ascii="Arial" w:hAnsi="Arial" w:cs="Arial"/>
                <w:color w:val="000000"/>
                <w:sz w:val="16"/>
                <w:szCs w:val="16"/>
              </w:rPr>
              <w:t>------------------------Included in 3e----------------------------</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c.</w:t>
            </w:r>
          </w:p>
        </w:tc>
        <w:tc>
          <w:tcPr>
            <w:tcW w:w="3764" w:type="dxa"/>
            <w:gridSpan w:val="2"/>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Create Information</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55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rPr>
                <w:sz w:val="16"/>
                <w:szCs w:val="16"/>
              </w:rPr>
            </w:pPr>
            <w:r w:rsidRPr="00500B07">
              <w:rPr>
                <w:rFonts w:ascii="Arial" w:hAnsi="Arial" w:cs="Arial"/>
                <w:color w:val="000000"/>
                <w:sz w:val="16"/>
                <w:szCs w:val="16"/>
              </w:rPr>
              <w:t>------------------------Included in 3e----------------------------</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d.</w:t>
            </w:r>
          </w:p>
        </w:tc>
        <w:tc>
          <w:tcPr>
            <w:tcW w:w="3764" w:type="dxa"/>
            <w:gridSpan w:val="2"/>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Gather Existing Information</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455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rPr>
                <w:sz w:val="16"/>
                <w:szCs w:val="16"/>
              </w:rPr>
            </w:pPr>
            <w:r w:rsidRPr="00500B07">
              <w:rPr>
                <w:rFonts w:ascii="Arial" w:hAnsi="Arial" w:cs="Arial"/>
                <w:color w:val="000000"/>
                <w:sz w:val="16"/>
                <w:szCs w:val="16"/>
              </w:rPr>
              <w:t>------------------------Included in 3e----------------------------</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e.</w:t>
            </w:r>
          </w:p>
        </w:tc>
        <w:tc>
          <w:tcPr>
            <w:tcW w:w="3764" w:type="dxa"/>
            <w:gridSpan w:val="2"/>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Write Report</w:t>
            </w:r>
          </w:p>
        </w:tc>
        <w:tc>
          <w:tcPr>
            <w:tcW w:w="1012"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7"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16" w:type="dxa"/>
            <w:gridSpan w:val="2"/>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105"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8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3292" w:type="dxa"/>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Notification of Construction/Reconstruction</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2</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2</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3292" w:type="dxa"/>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Notification of Demonstration of CMS</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3292" w:type="dxa"/>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Report of Performance Test</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3292" w:type="dxa"/>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Initial Notification and Implementation</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14</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14</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3292" w:type="dxa"/>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Semiannual Notification</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8</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2</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16</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56</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896</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45</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90</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$62,716.42</w:t>
            </w:r>
          </w:p>
        </w:tc>
      </w:tr>
      <w:tr w:rsidR="0017027D" w:rsidRPr="00500B07" w:rsidTr="00B85273">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17027D" w:rsidRPr="00500B07" w:rsidRDefault="0017027D" w:rsidP="008D2545">
            <w:pPr>
              <w:widowControl/>
              <w:adjustRightInd/>
              <w:jc w:val="center"/>
              <w:rPr>
                <w:rFonts w:ascii="Arial" w:hAnsi="Arial" w:cs="Arial"/>
                <w:color w:val="000000"/>
                <w:sz w:val="16"/>
                <w:szCs w:val="16"/>
              </w:rPr>
            </w:pPr>
          </w:p>
        </w:tc>
        <w:tc>
          <w:tcPr>
            <w:tcW w:w="4014" w:type="dxa"/>
            <w:gridSpan w:val="3"/>
            <w:tcBorders>
              <w:top w:val="single" w:sz="4" w:space="0" w:color="auto"/>
              <w:bottom w:val="single" w:sz="4" w:space="0" w:color="auto"/>
              <w:right w:val="single" w:sz="4" w:space="0" w:color="auto"/>
            </w:tcBorders>
            <w:shd w:val="clear" w:color="auto" w:fill="FFFFFF"/>
            <w:vAlign w:val="center"/>
          </w:tcPr>
          <w:p w:rsidR="0017027D" w:rsidRPr="00500B07" w:rsidRDefault="0017027D" w:rsidP="008D2545">
            <w:pPr>
              <w:widowControl/>
              <w:adjustRightInd/>
              <w:rPr>
                <w:rFonts w:ascii="Arial" w:hAnsi="Arial" w:cs="Arial"/>
                <w:color w:val="000000"/>
                <w:sz w:val="16"/>
                <w:szCs w:val="16"/>
              </w:rPr>
            </w:pPr>
            <w:r>
              <w:rPr>
                <w:rFonts w:ascii="Arial" w:hAnsi="Arial" w:cs="Arial"/>
                <w:color w:val="000000"/>
                <w:sz w:val="16"/>
                <w:szCs w:val="16"/>
              </w:rPr>
              <w:t>TOTAL REPORTING BURDEN</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17027D" w:rsidRPr="00500B07" w:rsidRDefault="0017027D" w:rsidP="008D2545">
            <w:pPr>
              <w:widowControl/>
              <w:adjustRightInd/>
              <w:jc w:val="center"/>
              <w:rPr>
                <w:rFonts w:ascii="Arial" w:hAnsi="Arial" w:cs="Arial"/>
                <w:color w:val="000000"/>
                <w:sz w:val="16"/>
                <w:szCs w:val="16"/>
              </w:rPr>
            </w:pP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17027D" w:rsidRPr="00500B07" w:rsidRDefault="0017027D" w:rsidP="008D2545">
            <w:pPr>
              <w:widowControl/>
              <w:adjustRightInd/>
              <w:jc w:val="center"/>
              <w:rPr>
                <w:rFonts w:ascii="Arial" w:hAnsi="Arial" w:cs="Arial"/>
                <w:color w:val="000000"/>
                <w:sz w:val="16"/>
                <w:szCs w:val="16"/>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17027D" w:rsidRPr="00500B07" w:rsidRDefault="0017027D" w:rsidP="008D2545">
            <w:pPr>
              <w:widowControl/>
              <w:adjustRightInd/>
              <w:jc w:val="center"/>
              <w:rPr>
                <w:rFonts w:ascii="Arial" w:hAnsi="Arial" w:cs="Arial"/>
                <w:color w:val="000000"/>
                <w:sz w:val="16"/>
                <w:szCs w:val="16"/>
              </w:rPr>
            </w:pPr>
          </w:p>
        </w:tc>
        <w:tc>
          <w:tcPr>
            <w:tcW w:w="1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27D" w:rsidRPr="00500B07" w:rsidRDefault="00B85273" w:rsidP="008D2545">
            <w:pPr>
              <w:widowControl/>
              <w:adjustRightInd/>
              <w:jc w:val="center"/>
              <w:rPr>
                <w:rFonts w:ascii="Arial" w:hAnsi="Arial" w:cs="Arial"/>
                <w:color w:val="000000"/>
                <w:sz w:val="16"/>
                <w:szCs w:val="16"/>
              </w:rPr>
            </w:pPr>
            <w:r w:rsidRPr="00500B07">
              <w:rPr>
                <w:rFonts w:ascii="Arial" w:hAnsi="Arial" w:cs="Arial"/>
                <w:color w:val="000000"/>
                <w:sz w:val="16"/>
                <w:szCs w:val="16"/>
              </w:rPr>
              <w:t>Total Hours =</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17027D" w:rsidRPr="00500B07" w:rsidRDefault="00B85273" w:rsidP="008D2545">
            <w:pPr>
              <w:widowControl/>
              <w:adjustRightInd/>
              <w:jc w:val="center"/>
              <w:rPr>
                <w:rFonts w:ascii="Arial" w:hAnsi="Arial" w:cs="Arial"/>
                <w:color w:val="000000"/>
                <w:sz w:val="16"/>
                <w:szCs w:val="16"/>
              </w:rPr>
            </w:pPr>
            <w:r>
              <w:rPr>
                <w:rFonts w:ascii="Arial" w:hAnsi="Arial" w:cs="Arial"/>
                <w:color w:val="000000"/>
                <w:sz w:val="16"/>
                <w:szCs w:val="16"/>
              </w:rPr>
              <w:t>1,03</w:t>
            </w:r>
            <w:r w:rsidR="00D35B36">
              <w:rPr>
                <w:rFonts w:ascii="Arial" w:hAnsi="Arial" w:cs="Arial"/>
                <w:color w:val="000000"/>
                <w:sz w:val="16"/>
                <w:szCs w:val="16"/>
              </w:rPr>
              <w:t>2</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7027D" w:rsidRPr="00500B07" w:rsidRDefault="0017027D" w:rsidP="008D2545">
            <w:pPr>
              <w:widowControl/>
              <w:adjustRightInd/>
              <w:jc w:val="center"/>
              <w:rPr>
                <w:rFonts w:ascii="Arial" w:hAnsi="Arial" w:cs="Arial"/>
                <w:color w:val="000000"/>
                <w:sz w:val="16"/>
                <w:szCs w:val="16"/>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17027D" w:rsidRPr="00500B07" w:rsidRDefault="007D6115" w:rsidP="008D2545">
            <w:pPr>
              <w:widowControl/>
              <w:adjustRightInd/>
              <w:jc w:val="center"/>
              <w:rPr>
                <w:rFonts w:ascii="Arial" w:hAnsi="Arial" w:cs="Arial"/>
                <w:color w:val="000000"/>
                <w:sz w:val="16"/>
                <w:szCs w:val="16"/>
              </w:rPr>
            </w:pPr>
            <w:r w:rsidRPr="00500B07">
              <w:rPr>
                <w:rFonts w:ascii="Arial" w:hAnsi="Arial" w:cs="Arial"/>
                <w:color w:val="000000"/>
                <w:sz w:val="16"/>
                <w:szCs w:val="16"/>
              </w:rPr>
              <w:t>Total Cost =</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7027D" w:rsidRPr="00500B07" w:rsidRDefault="007D6115" w:rsidP="007D6115">
            <w:pPr>
              <w:widowControl/>
              <w:adjustRightInd/>
              <w:jc w:val="right"/>
              <w:rPr>
                <w:rFonts w:ascii="Arial" w:hAnsi="Arial" w:cs="Arial"/>
                <w:color w:val="000000"/>
                <w:sz w:val="16"/>
                <w:szCs w:val="16"/>
              </w:rPr>
            </w:pPr>
            <w:r w:rsidRPr="00500B07">
              <w:rPr>
                <w:rFonts w:ascii="Arial" w:hAnsi="Arial" w:cs="Arial"/>
                <w:color w:val="000000"/>
                <w:sz w:val="16"/>
                <w:szCs w:val="16"/>
              </w:rPr>
              <w:t>$62,716.42</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4.</w:t>
            </w:r>
          </w:p>
        </w:tc>
        <w:tc>
          <w:tcPr>
            <w:tcW w:w="4014" w:type="dxa"/>
            <w:gridSpan w:val="3"/>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RECORDKEEPING REQUIREMENTS</w:t>
            </w:r>
          </w:p>
        </w:tc>
        <w:tc>
          <w:tcPr>
            <w:tcW w:w="1012"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7"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16" w:type="dxa"/>
            <w:gridSpan w:val="2"/>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105"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8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E1E1E1"/>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a.</w:t>
            </w:r>
          </w:p>
        </w:tc>
        <w:tc>
          <w:tcPr>
            <w:tcW w:w="3764" w:type="dxa"/>
            <w:gridSpan w:val="2"/>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Read Instructions</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4556"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rPr>
                <w:sz w:val="16"/>
                <w:szCs w:val="16"/>
              </w:rPr>
            </w:pPr>
            <w:r w:rsidRPr="00500B07">
              <w:rPr>
                <w:rFonts w:ascii="Arial" w:hAnsi="Arial" w:cs="Arial"/>
                <w:color w:val="000000"/>
                <w:sz w:val="16"/>
                <w:szCs w:val="16"/>
              </w:rPr>
              <w:t>------------------------Included in 3a----------------------------</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b.</w:t>
            </w:r>
          </w:p>
        </w:tc>
        <w:tc>
          <w:tcPr>
            <w:tcW w:w="3764" w:type="dxa"/>
            <w:gridSpan w:val="2"/>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Plan Activities</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c.</w:t>
            </w:r>
          </w:p>
        </w:tc>
        <w:tc>
          <w:tcPr>
            <w:tcW w:w="3764" w:type="dxa"/>
            <w:gridSpan w:val="2"/>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Implement Activities</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8</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50</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400</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56</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22,400</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1,120</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2,240</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$1,567,910.40</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d.</w:t>
            </w:r>
          </w:p>
        </w:tc>
        <w:tc>
          <w:tcPr>
            <w:tcW w:w="3764" w:type="dxa"/>
            <w:gridSpan w:val="2"/>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Develop Record System</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8</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8</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0</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e.</w:t>
            </w:r>
          </w:p>
        </w:tc>
        <w:tc>
          <w:tcPr>
            <w:tcW w:w="3764" w:type="dxa"/>
            <w:gridSpan w:val="2"/>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Train Personnel</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28</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28</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56</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1,568</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78</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157</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$109,753.73</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250" w:type="dxa"/>
            <w:tcBorders>
              <w:top w:val="single" w:sz="4" w:space="0" w:color="auto"/>
              <w:bottom w:val="single" w:sz="4" w:space="0" w:color="auto"/>
            </w:tcBorders>
            <w:shd w:val="clear" w:color="auto" w:fill="FFFFFF"/>
            <w:vAlign w:val="bottom"/>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g.</w:t>
            </w:r>
          </w:p>
        </w:tc>
        <w:tc>
          <w:tcPr>
            <w:tcW w:w="3764" w:type="dxa"/>
            <w:gridSpan w:val="2"/>
            <w:tcBorders>
              <w:top w:val="single" w:sz="4" w:space="0" w:color="auto"/>
              <w:bottom w:val="single" w:sz="4" w:space="0" w:color="auto"/>
              <w:right w:val="single" w:sz="4" w:space="0" w:color="auto"/>
            </w:tcBorders>
            <w:shd w:val="clear" w:color="auto" w:fill="FFFFFF"/>
            <w:vAlign w:val="bottom"/>
          </w:tcPr>
          <w:p w:rsidR="008D2545" w:rsidRPr="00500B07" w:rsidRDefault="008D2545" w:rsidP="008D2545">
            <w:pPr>
              <w:widowControl/>
              <w:adjustRightInd/>
              <w:rPr>
                <w:sz w:val="16"/>
                <w:szCs w:val="16"/>
              </w:rPr>
            </w:pPr>
            <w:r w:rsidRPr="00500B07">
              <w:rPr>
                <w:rFonts w:ascii="Arial" w:hAnsi="Arial" w:cs="Arial"/>
                <w:color w:val="000000"/>
                <w:sz w:val="16"/>
                <w:szCs w:val="16"/>
              </w:rPr>
              <w:t>Audits</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N/A</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r w:rsidR="0017027D"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17027D" w:rsidRPr="00500B07" w:rsidRDefault="0017027D" w:rsidP="008D2545">
            <w:pPr>
              <w:widowControl/>
              <w:adjustRightInd/>
              <w:jc w:val="center"/>
              <w:rPr>
                <w:sz w:val="16"/>
                <w:szCs w:val="16"/>
              </w:rPr>
            </w:pPr>
            <w:r w:rsidRPr="00500B07">
              <w:rPr>
                <w:rFonts w:ascii="Arial" w:hAnsi="Arial" w:cs="Arial"/>
                <w:color w:val="000000"/>
                <w:sz w:val="16"/>
                <w:szCs w:val="16"/>
              </w:rPr>
              <w:t> </w:t>
            </w:r>
          </w:p>
        </w:tc>
        <w:tc>
          <w:tcPr>
            <w:tcW w:w="4014" w:type="dxa"/>
            <w:gridSpan w:val="3"/>
            <w:tcBorders>
              <w:top w:val="single" w:sz="4" w:space="0" w:color="auto"/>
              <w:bottom w:val="single" w:sz="4" w:space="0" w:color="auto"/>
              <w:right w:val="single" w:sz="4" w:space="0" w:color="auto"/>
            </w:tcBorders>
            <w:shd w:val="clear" w:color="auto" w:fill="FFFFFF"/>
            <w:vAlign w:val="center"/>
          </w:tcPr>
          <w:p w:rsidR="0017027D" w:rsidRPr="00500B07" w:rsidRDefault="0017027D" w:rsidP="0017027D">
            <w:pPr>
              <w:widowControl/>
              <w:adjustRightInd/>
              <w:rPr>
                <w:sz w:val="16"/>
                <w:szCs w:val="16"/>
              </w:rPr>
            </w:pPr>
            <w:r>
              <w:rPr>
                <w:rFonts w:ascii="Arial" w:hAnsi="Arial" w:cs="Arial"/>
                <w:color w:val="000000"/>
                <w:sz w:val="16"/>
                <w:szCs w:val="16"/>
              </w:rPr>
              <w:t>TOTAL RECORDKEEPING BURDEN</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17027D" w:rsidRPr="00500B07" w:rsidRDefault="0017027D" w:rsidP="008D2545">
            <w:pPr>
              <w:widowControl/>
              <w:adjustRightInd/>
              <w:jc w:val="center"/>
              <w:rPr>
                <w:sz w:val="16"/>
                <w:szCs w:val="16"/>
              </w:rPr>
            </w:pPr>
            <w:r w:rsidRPr="00500B07">
              <w:rPr>
                <w:rFonts w:ascii="Arial" w:hAnsi="Arial" w:cs="Arial"/>
                <w:color w:val="000000"/>
                <w:sz w:val="16"/>
                <w:szCs w:val="16"/>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17027D" w:rsidRPr="00500B07" w:rsidRDefault="0017027D"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17027D" w:rsidRPr="00500B07" w:rsidRDefault="0017027D" w:rsidP="008D2545">
            <w:pPr>
              <w:widowControl/>
              <w:adjustRightInd/>
              <w:jc w:val="center"/>
              <w:rPr>
                <w:sz w:val="16"/>
                <w:szCs w:val="16"/>
              </w:rPr>
            </w:pPr>
            <w:r w:rsidRPr="00500B07">
              <w:rPr>
                <w:rFonts w:ascii="Arial" w:hAnsi="Arial" w:cs="Arial"/>
                <w:color w:val="000000"/>
                <w:sz w:val="16"/>
                <w:szCs w:val="16"/>
              </w:rPr>
              <w:t> </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027D" w:rsidRPr="00500B07" w:rsidRDefault="0017027D" w:rsidP="008D2545">
            <w:pPr>
              <w:widowControl/>
              <w:adjustRightInd/>
              <w:jc w:val="center"/>
              <w:rPr>
                <w:sz w:val="16"/>
                <w:szCs w:val="16"/>
              </w:rPr>
            </w:pPr>
            <w:r w:rsidRPr="00500B07">
              <w:rPr>
                <w:rFonts w:ascii="Arial" w:hAnsi="Arial" w:cs="Arial"/>
                <w:color w:val="000000"/>
                <w:sz w:val="16"/>
                <w:szCs w:val="16"/>
              </w:rPr>
              <w:t> </w:t>
            </w:r>
            <w:r w:rsidR="00B85273" w:rsidRPr="00500B07">
              <w:rPr>
                <w:rFonts w:ascii="Arial" w:hAnsi="Arial" w:cs="Arial"/>
                <w:color w:val="000000"/>
                <w:sz w:val="16"/>
                <w:szCs w:val="16"/>
              </w:rPr>
              <w:t>Total Hours =</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17027D" w:rsidRPr="00500B07" w:rsidRDefault="0017027D" w:rsidP="008D2545">
            <w:pPr>
              <w:widowControl/>
              <w:adjustRightInd/>
              <w:jc w:val="center"/>
              <w:rPr>
                <w:sz w:val="16"/>
                <w:szCs w:val="16"/>
              </w:rPr>
            </w:pPr>
            <w:r w:rsidRPr="00500B07">
              <w:rPr>
                <w:rFonts w:ascii="Arial" w:hAnsi="Arial" w:cs="Arial"/>
                <w:color w:val="000000"/>
                <w:sz w:val="16"/>
                <w:szCs w:val="16"/>
              </w:rPr>
              <w:t> </w:t>
            </w:r>
            <w:r w:rsidR="00B85273">
              <w:rPr>
                <w:rFonts w:ascii="Arial" w:hAnsi="Arial" w:cs="Arial"/>
                <w:color w:val="000000"/>
                <w:sz w:val="16"/>
                <w:szCs w:val="16"/>
              </w:rPr>
              <w:t>27,562</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17027D" w:rsidRPr="00500B07" w:rsidRDefault="0017027D"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17027D" w:rsidRPr="00500B07" w:rsidRDefault="0017027D" w:rsidP="008D2545">
            <w:pPr>
              <w:widowControl/>
              <w:adjustRightInd/>
              <w:jc w:val="center"/>
              <w:rPr>
                <w:sz w:val="16"/>
                <w:szCs w:val="16"/>
              </w:rPr>
            </w:pPr>
            <w:r w:rsidRPr="00500B07">
              <w:rPr>
                <w:rFonts w:ascii="Arial" w:hAnsi="Arial" w:cs="Arial"/>
                <w:color w:val="000000"/>
                <w:sz w:val="16"/>
                <w:szCs w:val="16"/>
              </w:rPr>
              <w:t> </w:t>
            </w:r>
            <w:r w:rsidR="007D6115" w:rsidRPr="00500B07">
              <w:rPr>
                <w:rFonts w:ascii="Arial" w:hAnsi="Arial" w:cs="Arial"/>
                <w:color w:val="000000"/>
                <w:sz w:val="16"/>
                <w:szCs w:val="16"/>
              </w:rPr>
              <w:t>Total Cost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17027D" w:rsidRPr="00500B07" w:rsidRDefault="007D6115" w:rsidP="008D2545">
            <w:pPr>
              <w:widowControl/>
              <w:adjustRightInd/>
              <w:jc w:val="right"/>
              <w:rPr>
                <w:sz w:val="16"/>
                <w:szCs w:val="16"/>
              </w:rPr>
            </w:pPr>
            <w:r>
              <w:rPr>
                <w:rFonts w:ascii="Arial" w:hAnsi="Arial" w:cs="Arial"/>
                <w:color w:val="000000"/>
                <w:sz w:val="16"/>
                <w:szCs w:val="16"/>
              </w:rPr>
              <w:t>$1,677,664.13</w:t>
            </w:r>
          </w:p>
        </w:tc>
      </w:tr>
      <w:tr w:rsidR="00500B07" w:rsidRPr="00500B07" w:rsidTr="0017027D">
        <w:trPr>
          <w:trHeight w:val="240"/>
          <w:tblCellSpacing w:w="0" w:type="dxa"/>
          <w:jc w:val="center"/>
        </w:trPr>
        <w:tc>
          <w:tcPr>
            <w:tcW w:w="247" w:type="dxa"/>
            <w:tcBorders>
              <w:top w:val="single" w:sz="4" w:space="0" w:color="auto"/>
              <w:left w:val="single" w:sz="4" w:space="0" w:color="auto"/>
              <w:bottom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4014" w:type="dxa"/>
            <w:gridSpan w:val="3"/>
            <w:tcBorders>
              <w:top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rPr>
                <w:sz w:val="16"/>
                <w:szCs w:val="16"/>
              </w:rPr>
            </w:pPr>
            <w:r w:rsidRPr="00500B07">
              <w:rPr>
                <w:rFonts w:ascii="Arial" w:hAnsi="Arial" w:cs="Arial"/>
                <w:color w:val="000000"/>
                <w:sz w:val="16"/>
                <w:szCs w:val="16"/>
              </w:rPr>
              <w:t>TOTAL ANNUAL BURDEN</w:t>
            </w:r>
          </w:p>
        </w:tc>
        <w:tc>
          <w:tcPr>
            <w:tcW w:w="1012"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07"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2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Total Hours =</w:t>
            </w:r>
          </w:p>
        </w:tc>
        <w:tc>
          <w:tcPr>
            <w:tcW w:w="1105"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b/>
                <w:bCs/>
                <w:color w:val="000000"/>
                <w:sz w:val="16"/>
                <w:szCs w:val="16"/>
              </w:rPr>
              <w:t>28,59</w:t>
            </w:r>
            <w:r w:rsidR="00492FB6">
              <w:rPr>
                <w:rFonts w:ascii="Arial" w:hAnsi="Arial" w:cs="Arial"/>
                <w:b/>
                <w:bCs/>
                <w:color w:val="000000"/>
                <w:sz w:val="16"/>
                <w:szCs w:val="16"/>
              </w:rPr>
              <w:t>4</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 </w:t>
            </w:r>
          </w:p>
        </w:tc>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center"/>
              <w:rPr>
                <w:sz w:val="16"/>
                <w:szCs w:val="16"/>
              </w:rPr>
            </w:pPr>
            <w:r w:rsidRPr="00500B07">
              <w:rPr>
                <w:rFonts w:ascii="Arial" w:hAnsi="Arial" w:cs="Arial"/>
                <w:color w:val="000000"/>
                <w:sz w:val="16"/>
                <w:szCs w:val="16"/>
              </w:rPr>
              <w:t>Total Cost =</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rsidR="008D2545" w:rsidRPr="00500B07" w:rsidRDefault="008D2545" w:rsidP="008D2545">
            <w:pPr>
              <w:widowControl/>
              <w:adjustRightInd/>
              <w:jc w:val="right"/>
              <w:rPr>
                <w:sz w:val="16"/>
                <w:szCs w:val="16"/>
              </w:rPr>
            </w:pPr>
            <w:r w:rsidRPr="00500B07">
              <w:rPr>
                <w:rFonts w:ascii="Arial" w:hAnsi="Arial" w:cs="Arial"/>
                <w:b/>
                <w:bCs/>
                <w:color w:val="000000"/>
                <w:sz w:val="16"/>
                <w:szCs w:val="16"/>
              </w:rPr>
              <w:t>$1,740,380.54</w:t>
            </w:r>
          </w:p>
        </w:tc>
      </w:tr>
      <w:tr w:rsidR="00E06106" w:rsidRPr="00500B07" w:rsidTr="0017027D">
        <w:trPr>
          <w:trHeight w:val="240"/>
          <w:tblCellSpacing w:w="0" w:type="dxa"/>
          <w:jc w:val="center"/>
        </w:trPr>
        <w:tc>
          <w:tcPr>
            <w:tcW w:w="247" w:type="dxa"/>
            <w:tcBorders>
              <w:top w:val="single" w:sz="4" w:space="0" w:color="auto"/>
              <w:lef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250" w:type="dxa"/>
            <w:tcBorders>
              <w:top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tcBorders>
              <w:top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3292" w:type="dxa"/>
            <w:tcBorders>
              <w:top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12" w:type="dxa"/>
            <w:tcBorders>
              <w:top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7" w:type="dxa"/>
            <w:tcBorders>
              <w:top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tcBorders>
              <w:top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16" w:type="dxa"/>
            <w:gridSpan w:val="2"/>
            <w:tcBorders>
              <w:top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105" w:type="dxa"/>
            <w:tcBorders>
              <w:top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88" w:type="dxa"/>
            <w:tcBorders>
              <w:top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tcBorders>
              <w:top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8" w:type="dxa"/>
            <w:tcBorders>
              <w:top w:val="single" w:sz="4" w:space="0" w:color="auto"/>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r w:rsidR="00E06106" w:rsidRPr="00500B07" w:rsidTr="0017027D">
        <w:trPr>
          <w:trHeight w:val="240"/>
          <w:tblCellSpacing w:w="0" w:type="dxa"/>
          <w:jc w:val="center"/>
        </w:trPr>
        <w:tc>
          <w:tcPr>
            <w:tcW w:w="247" w:type="dxa"/>
            <w:tcBorders>
              <w:lef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250"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3292" w:type="dxa"/>
            <w:shd w:val="clear" w:color="auto" w:fill="FFFFFF"/>
            <w:vAlign w:val="bottom"/>
          </w:tcPr>
          <w:p w:rsidR="008D2545" w:rsidRPr="00CD00EC" w:rsidRDefault="008D2545" w:rsidP="008D2545">
            <w:pPr>
              <w:widowControl/>
              <w:adjustRightInd/>
              <w:rPr>
                <w:sz w:val="16"/>
                <w:szCs w:val="16"/>
                <w:u w:val="single"/>
              </w:rPr>
            </w:pPr>
            <w:r w:rsidRPr="00CD00EC">
              <w:rPr>
                <w:rFonts w:ascii="Arial" w:hAnsi="Arial" w:cs="Arial"/>
                <w:color w:val="000000"/>
                <w:sz w:val="16"/>
                <w:szCs w:val="16"/>
                <w:u w:val="single"/>
              </w:rPr>
              <w:t>Assumptions</w:t>
            </w:r>
          </w:p>
        </w:tc>
        <w:tc>
          <w:tcPr>
            <w:tcW w:w="1012"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7"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16" w:type="dxa"/>
            <w:gridSpan w:val="2"/>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105"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8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8" w:type="dxa"/>
            <w:tcBorders>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r w:rsidR="00E06106" w:rsidRPr="00500B07" w:rsidTr="0017027D">
        <w:trPr>
          <w:trHeight w:val="240"/>
          <w:tblCellSpacing w:w="0" w:type="dxa"/>
          <w:jc w:val="center"/>
        </w:trPr>
        <w:tc>
          <w:tcPr>
            <w:tcW w:w="247" w:type="dxa"/>
            <w:tcBorders>
              <w:lef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250"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3292" w:type="dxa"/>
            <w:shd w:val="clear" w:color="auto" w:fill="FFFFFF"/>
            <w:vAlign w:val="bottom"/>
          </w:tcPr>
          <w:p w:rsidR="008D2545" w:rsidRPr="00500B07" w:rsidRDefault="008D2545" w:rsidP="008D2545">
            <w:pPr>
              <w:widowControl/>
              <w:adjustRightInd/>
              <w:rPr>
                <w:sz w:val="16"/>
                <w:szCs w:val="16"/>
              </w:rPr>
            </w:pPr>
            <w:r w:rsidRPr="00500B07">
              <w:rPr>
                <w:rFonts w:ascii="Arial" w:hAnsi="Arial" w:cs="Arial"/>
                <w:color w:val="000000"/>
                <w:sz w:val="16"/>
                <w:szCs w:val="16"/>
              </w:rPr>
              <w:t>Number of affected facilities (per year)</w:t>
            </w:r>
          </w:p>
        </w:tc>
        <w:tc>
          <w:tcPr>
            <w:tcW w:w="1012"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56</w:t>
            </w:r>
          </w:p>
        </w:tc>
        <w:tc>
          <w:tcPr>
            <w:tcW w:w="1207"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16" w:type="dxa"/>
            <w:gridSpan w:val="2"/>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105"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8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8" w:type="dxa"/>
            <w:tcBorders>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r w:rsidR="00E06106" w:rsidRPr="00500B07" w:rsidTr="0017027D">
        <w:trPr>
          <w:tblCellSpacing w:w="0" w:type="dxa"/>
          <w:jc w:val="center"/>
        </w:trPr>
        <w:tc>
          <w:tcPr>
            <w:tcW w:w="247" w:type="dxa"/>
            <w:tcBorders>
              <w:lef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250"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304" w:type="dxa"/>
            <w:gridSpan w:val="2"/>
            <w:shd w:val="clear" w:color="auto" w:fill="FFFFFF"/>
            <w:vAlign w:val="bottom"/>
          </w:tcPr>
          <w:p w:rsidR="008D2545" w:rsidRPr="00500B07" w:rsidRDefault="008D2545" w:rsidP="008D2545">
            <w:pPr>
              <w:widowControl/>
              <w:adjustRightInd/>
              <w:rPr>
                <w:sz w:val="16"/>
                <w:szCs w:val="16"/>
              </w:rPr>
            </w:pPr>
            <w:r w:rsidRPr="00500B07">
              <w:rPr>
                <w:rFonts w:ascii="Arial" w:hAnsi="Arial" w:cs="Arial"/>
                <w:color w:val="000000"/>
                <w:sz w:val="16"/>
                <w:szCs w:val="16"/>
              </w:rPr>
              <w:t>Costs assume a rate of $61.66/hour for technical, $89.94/hour for executive, and $38.39/hour for clerical.</w:t>
            </w:r>
          </w:p>
        </w:tc>
        <w:tc>
          <w:tcPr>
            <w:tcW w:w="1207"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16" w:type="dxa"/>
            <w:gridSpan w:val="2"/>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105"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8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8" w:type="dxa"/>
            <w:tcBorders>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r w:rsidR="00E06106" w:rsidRPr="00500B07" w:rsidTr="0017027D">
        <w:trPr>
          <w:trHeight w:val="240"/>
          <w:tblCellSpacing w:w="0" w:type="dxa"/>
          <w:jc w:val="center"/>
        </w:trPr>
        <w:tc>
          <w:tcPr>
            <w:tcW w:w="247" w:type="dxa"/>
            <w:tcBorders>
              <w:lef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250"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3292" w:type="dxa"/>
            <w:shd w:val="clear" w:color="auto" w:fill="FFFFFF"/>
            <w:vAlign w:val="bottom"/>
          </w:tcPr>
          <w:p w:rsidR="008D2545" w:rsidRPr="00500B07" w:rsidRDefault="008D2545" w:rsidP="008D2545">
            <w:pPr>
              <w:widowControl/>
              <w:adjustRightInd/>
              <w:rPr>
                <w:sz w:val="16"/>
                <w:szCs w:val="16"/>
              </w:rPr>
            </w:pPr>
            <w:r w:rsidRPr="00500B07">
              <w:rPr>
                <w:rFonts w:ascii="Arial" w:hAnsi="Arial" w:cs="Arial"/>
                <w:color w:val="000000"/>
                <w:sz w:val="16"/>
                <w:szCs w:val="16"/>
              </w:rPr>
              <w:t>Rate of failed performance tests</w:t>
            </w:r>
          </w:p>
        </w:tc>
        <w:tc>
          <w:tcPr>
            <w:tcW w:w="1012"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20%</w:t>
            </w:r>
          </w:p>
        </w:tc>
        <w:tc>
          <w:tcPr>
            <w:tcW w:w="1207"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16" w:type="dxa"/>
            <w:gridSpan w:val="2"/>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105"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8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8" w:type="dxa"/>
            <w:tcBorders>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r w:rsidR="00E06106" w:rsidRPr="00500B07" w:rsidTr="0017027D">
        <w:trPr>
          <w:trHeight w:val="240"/>
          <w:tblCellSpacing w:w="0" w:type="dxa"/>
          <w:jc w:val="center"/>
        </w:trPr>
        <w:tc>
          <w:tcPr>
            <w:tcW w:w="247" w:type="dxa"/>
            <w:tcBorders>
              <w:lef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250"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3292" w:type="dxa"/>
            <w:shd w:val="clear" w:color="auto" w:fill="FFFFFF"/>
            <w:vAlign w:val="bottom"/>
          </w:tcPr>
          <w:p w:rsidR="008D2545" w:rsidRPr="00500B07" w:rsidRDefault="008D2545" w:rsidP="008D2545">
            <w:pPr>
              <w:widowControl/>
              <w:adjustRightInd/>
              <w:rPr>
                <w:sz w:val="16"/>
                <w:szCs w:val="16"/>
              </w:rPr>
            </w:pPr>
            <w:r w:rsidRPr="00500B07">
              <w:rPr>
                <w:rFonts w:ascii="Arial" w:hAnsi="Arial" w:cs="Arial"/>
                <w:color w:val="000000"/>
                <w:sz w:val="16"/>
                <w:szCs w:val="16"/>
              </w:rPr>
              <w:t>Number of new facilities (per year)</w:t>
            </w:r>
          </w:p>
        </w:tc>
        <w:tc>
          <w:tcPr>
            <w:tcW w:w="1012"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0</w:t>
            </w:r>
          </w:p>
        </w:tc>
        <w:tc>
          <w:tcPr>
            <w:tcW w:w="1207"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16" w:type="dxa"/>
            <w:gridSpan w:val="2"/>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105"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8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8" w:type="dxa"/>
            <w:tcBorders>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r w:rsidR="00E06106" w:rsidRPr="00500B07" w:rsidTr="0017027D">
        <w:trPr>
          <w:tblCellSpacing w:w="0" w:type="dxa"/>
          <w:jc w:val="center"/>
        </w:trPr>
        <w:tc>
          <w:tcPr>
            <w:tcW w:w="247" w:type="dxa"/>
            <w:tcBorders>
              <w:left w:val="single" w:sz="4" w:space="0" w:color="auto"/>
              <w:bottom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250" w:type="dxa"/>
            <w:tcBorders>
              <w:bottom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72" w:type="dxa"/>
            <w:tcBorders>
              <w:bottom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4304" w:type="dxa"/>
            <w:gridSpan w:val="2"/>
            <w:tcBorders>
              <w:bottom w:val="single" w:sz="4" w:space="0" w:color="auto"/>
            </w:tcBorders>
            <w:shd w:val="clear" w:color="auto" w:fill="FFFFFF"/>
            <w:vAlign w:val="bottom"/>
          </w:tcPr>
          <w:p w:rsidR="008D2545" w:rsidRPr="00500B07" w:rsidRDefault="008D2545" w:rsidP="008D2545">
            <w:pPr>
              <w:widowControl/>
              <w:adjustRightInd/>
              <w:rPr>
                <w:sz w:val="16"/>
                <w:szCs w:val="16"/>
              </w:rPr>
            </w:pPr>
            <w:r w:rsidRPr="00500B07">
              <w:rPr>
                <w:rFonts w:ascii="Arial" w:hAnsi="Arial" w:cs="Arial"/>
                <w:color w:val="000000"/>
                <w:sz w:val="16"/>
                <w:szCs w:val="16"/>
              </w:rPr>
              <w:t>Assumes an operating schedule of 50 weeks per year</w:t>
            </w:r>
          </w:p>
        </w:tc>
        <w:tc>
          <w:tcPr>
            <w:tcW w:w="1207" w:type="dxa"/>
            <w:tcBorders>
              <w:bottom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tcBorders>
              <w:bottom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16" w:type="dxa"/>
            <w:gridSpan w:val="2"/>
            <w:tcBorders>
              <w:bottom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105" w:type="dxa"/>
            <w:tcBorders>
              <w:bottom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88" w:type="dxa"/>
            <w:tcBorders>
              <w:bottom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028" w:type="dxa"/>
            <w:tcBorders>
              <w:bottom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c>
          <w:tcPr>
            <w:tcW w:w="1208" w:type="dxa"/>
            <w:tcBorders>
              <w:bottom w:val="single" w:sz="4" w:space="0" w:color="auto"/>
              <w:right w:val="single" w:sz="4" w:space="0" w:color="auto"/>
            </w:tcBorders>
            <w:shd w:val="clear" w:color="auto" w:fill="FFFFFF"/>
            <w:vAlign w:val="bottom"/>
          </w:tcPr>
          <w:p w:rsidR="008D2545" w:rsidRPr="00500B07" w:rsidRDefault="008D2545" w:rsidP="008D2545">
            <w:pPr>
              <w:widowControl/>
              <w:adjustRightInd/>
              <w:jc w:val="right"/>
              <w:rPr>
                <w:sz w:val="16"/>
                <w:szCs w:val="16"/>
              </w:rPr>
            </w:pPr>
            <w:r w:rsidRPr="00500B07">
              <w:rPr>
                <w:rFonts w:ascii="Arial" w:hAnsi="Arial" w:cs="Arial"/>
                <w:color w:val="000000"/>
                <w:sz w:val="16"/>
                <w:szCs w:val="16"/>
              </w:rPr>
              <w:t> </w:t>
            </w:r>
          </w:p>
        </w:tc>
      </w:tr>
    </w:tbl>
    <w:p w:rsidR="00E06106" w:rsidRDefault="00E06106">
      <w:pPr>
        <w:rPr>
          <w:color w:val="000000"/>
          <w:sz w:val="16"/>
          <w:szCs w:val="16"/>
        </w:rPr>
      </w:pPr>
    </w:p>
    <w:p w:rsidR="00E06106" w:rsidRPr="00500B07" w:rsidRDefault="00E06106">
      <w:pPr>
        <w:rPr>
          <w:color w:val="000000"/>
          <w:sz w:val="16"/>
          <w:szCs w:val="16"/>
        </w:rPr>
      </w:pPr>
      <w:r>
        <w:rPr>
          <w:color w:val="000000"/>
          <w:sz w:val="16"/>
          <w:szCs w:val="16"/>
        </w:rPr>
        <w:br w:type="page"/>
      </w:r>
    </w:p>
    <w:tbl>
      <w:tblPr>
        <w:tblW w:w="0" w:type="auto"/>
        <w:jc w:val="center"/>
        <w:tblCellMar>
          <w:left w:w="0" w:type="dxa"/>
          <w:right w:w="0" w:type="dxa"/>
        </w:tblCellMar>
        <w:tblLook w:val="0000"/>
      </w:tblPr>
      <w:tblGrid>
        <w:gridCol w:w="675"/>
        <w:gridCol w:w="405"/>
        <w:gridCol w:w="4590"/>
        <w:gridCol w:w="1485"/>
        <w:gridCol w:w="1729"/>
        <w:gridCol w:w="1485"/>
        <w:gridCol w:w="1485"/>
        <w:gridCol w:w="1485"/>
      </w:tblGrid>
      <w:tr w:rsidR="00625740" w:rsidRPr="00E06106">
        <w:trPr>
          <w:trHeight w:val="240"/>
          <w:jc w:val="center"/>
        </w:trPr>
        <w:tc>
          <w:tcPr>
            <w:tcW w:w="0" w:type="auto"/>
            <w:gridSpan w:val="2"/>
            <w:shd w:val="clear" w:color="auto" w:fill="FFFFFF"/>
            <w:vAlign w:val="bottom"/>
          </w:tcPr>
          <w:p w:rsidR="00E06106" w:rsidRPr="00E06106" w:rsidRDefault="00E06106" w:rsidP="004F246B">
            <w:pPr>
              <w:widowControl/>
              <w:adjustRightInd/>
              <w:rPr>
                <w:sz w:val="16"/>
                <w:szCs w:val="16"/>
              </w:rPr>
            </w:pPr>
            <w:r w:rsidRPr="00E06106">
              <w:rPr>
                <w:rFonts w:ascii="Arial" w:hAnsi="Arial" w:cs="Arial"/>
                <w:b/>
                <w:bCs/>
                <w:color w:val="000000"/>
                <w:sz w:val="16"/>
                <w:szCs w:val="16"/>
              </w:rPr>
              <w:lastRenderedPageBreak/>
              <w:t>TABLE 2</w:t>
            </w:r>
          </w:p>
        </w:tc>
        <w:tc>
          <w:tcPr>
            <w:tcW w:w="4590" w:type="dxa"/>
            <w:shd w:val="clear" w:color="auto" w:fill="FFFFFF"/>
            <w:vAlign w:val="bottom"/>
          </w:tcPr>
          <w:p w:rsidR="00E06106" w:rsidRPr="00E06106" w:rsidRDefault="00E06106" w:rsidP="00E06106">
            <w:pPr>
              <w:widowControl/>
              <w:adjustRightInd/>
              <w:rPr>
                <w:sz w:val="16"/>
                <w:szCs w:val="16"/>
              </w:rPr>
            </w:pPr>
            <w:r w:rsidRPr="00E06106">
              <w:rPr>
                <w:rFonts w:ascii="Arial" w:hAnsi="Arial" w:cs="Arial"/>
                <w:b/>
                <w:bCs/>
                <w:color w:val="000000"/>
                <w:sz w:val="16"/>
                <w:szCs w:val="16"/>
              </w:rPr>
              <w:t>Annual Agency Burden and Cost</w:t>
            </w:r>
          </w:p>
        </w:tc>
        <w:tc>
          <w:tcPr>
            <w:tcW w:w="1485" w:type="dxa"/>
            <w:shd w:val="clear" w:color="auto" w:fill="FFFFFF"/>
            <w:vAlign w:val="bottom"/>
          </w:tcPr>
          <w:p w:rsidR="00E06106" w:rsidRPr="00E06106" w:rsidRDefault="00E06106" w:rsidP="00E06106">
            <w:pPr>
              <w:widowControl/>
              <w:adjustRightInd/>
              <w:jc w:val="right"/>
              <w:rPr>
                <w:sz w:val="16"/>
                <w:szCs w:val="16"/>
              </w:rPr>
            </w:pPr>
            <w:r w:rsidRPr="00E06106">
              <w:rPr>
                <w:rFonts w:ascii="Arial" w:hAnsi="Arial" w:cs="Arial"/>
                <w:color w:val="000000"/>
                <w:sz w:val="16"/>
                <w:szCs w:val="16"/>
              </w:rPr>
              <w:t> </w:t>
            </w:r>
          </w:p>
        </w:tc>
        <w:tc>
          <w:tcPr>
            <w:tcW w:w="1729" w:type="dxa"/>
            <w:shd w:val="clear" w:color="auto" w:fill="FFFFFF"/>
            <w:vAlign w:val="bottom"/>
          </w:tcPr>
          <w:p w:rsidR="00E06106" w:rsidRPr="00E06106" w:rsidRDefault="00E06106" w:rsidP="00E06106">
            <w:pPr>
              <w:widowControl/>
              <w:adjustRightInd/>
              <w:jc w:val="right"/>
              <w:rPr>
                <w:sz w:val="16"/>
                <w:szCs w:val="16"/>
              </w:rPr>
            </w:pPr>
            <w:r w:rsidRPr="00E06106">
              <w:rPr>
                <w:rFonts w:ascii="Arial" w:hAnsi="Arial" w:cs="Arial"/>
                <w:color w:val="000000"/>
                <w:sz w:val="16"/>
                <w:szCs w:val="16"/>
              </w:rPr>
              <w:t> </w:t>
            </w:r>
          </w:p>
        </w:tc>
        <w:tc>
          <w:tcPr>
            <w:tcW w:w="1485" w:type="dxa"/>
            <w:shd w:val="clear" w:color="auto" w:fill="FFFFFF"/>
            <w:vAlign w:val="bottom"/>
          </w:tcPr>
          <w:p w:rsidR="00E06106" w:rsidRPr="00E06106" w:rsidRDefault="00E06106" w:rsidP="00E06106">
            <w:pPr>
              <w:widowControl/>
              <w:adjustRightInd/>
              <w:jc w:val="right"/>
              <w:rPr>
                <w:sz w:val="16"/>
                <w:szCs w:val="16"/>
              </w:rPr>
            </w:pPr>
            <w:r w:rsidRPr="00E06106">
              <w:rPr>
                <w:rFonts w:ascii="Arial" w:hAnsi="Arial" w:cs="Arial"/>
                <w:color w:val="000000"/>
                <w:sz w:val="16"/>
                <w:szCs w:val="16"/>
              </w:rPr>
              <w:t> </w:t>
            </w:r>
          </w:p>
        </w:tc>
        <w:tc>
          <w:tcPr>
            <w:tcW w:w="1485" w:type="dxa"/>
            <w:shd w:val="clear" w:color="auto" w:fill="FFFFFF"/>
            <w:vAlign w:val="bottom"/>
          </w:tcPr>
          <w:p w:rsidR="00E06106" w:rsidRPr="00E06106" w:rsidRDefault="00E06106" w:rsidP="00E06106">
            <w:pPr>
              <w:widowControl/>
              <w:adjustRightInd/>
              <w:jc w:val="right"/>
              <w:rPr>
                <w:sz w:val="16"/>
                <w:szCs w:val="16"/>
              </w:rPr>
            </w:pPr>
            <w:r w:rsidRPr="00E06106">
              <w:rPr>
                <w:rFonts w:ascii="Arial" w:hAnsi="Arial" w:cs="Arial"/>
                <w:color w:val="000000"/>
                <w:sz w:val="16"/>
                <w:szCs w:val="16"/>
              </w:rPr>
              <w:t> </w:t>
            </w:r>
          </w:p>
        </w:tc>
        <w:tc>
          <w:tcPr>
            <w:tcW w:w="1485" w:type="dxa"/>
            <w:shd w:val="clear" w:color="auto" w:fill="FFFFFF"/>
            <w:vAlign w:val="bottom"/>
          </w:tcPr>
          <w:p w:rsidR="00E06106" w:rsidRPr="00E06106" w:rsidRDefault="00E06106" w:rsidP="00E06106">
            <w:pPr>
              <w:widowControl/>
              <w:adjustRightInd/>
              <w:jc w:val="right"/>
              <w:rPr>
                <w:sz w:val="16"/>
                <w:szCs w:val="16"/>
              </w:rPr>
            </w:pPr>
            <w:r w:rsidRPr="00E06106">
              <w:rPr>
                <w:rFonts w:ascii="Arial" w:hAnsi="Arial" w:cs="Arial"/>
                <w:color w:val="000000"/>
                <w:sz w:val="16"/>
                <w:szCs w:val="16"/>
              </w:rPr>
              <w:t> </w:t>
            </w:r>
          </w:p>
        </w:tc>
      </w:tr>
      <w:tr w:rsidR="00625740" w:rsidRPr="00E06106">
        <w:trPr>
          <w:trHeight w:val="240"/>
          <w:jc w:val="center"/>
        </w:trPr>
        <w:tc>
          <w:tcPr>
            <w:tcW w:w="675" w:type="dxa"/>
            <w:shd w:val="clear" w:color="auto" w:fill="FFFFFF"/>
            <w:vAlign w:val="bottom"/>
          </w:tcPr>
          <w:p w:rsidR="00E06106" w:rsidRPr="00E06106" w:rsidRDefault="00E06106" w:rsidP="00E06106">
            <w:pPr>
              <w:widowControl/>
              <w:adjustRightInd/>
              <w:jc w:val="right"/>
              <w:rPr>
                <w:sz w:val="16"/>
                <w:szCs w:val="16"/>
              </w:rPr>
            </w:pPr>
            <w:r w:rsidRPr="00E06106">
              <w:rPr>
                <w:rFonts w:ascii="Arial" w:hAnsi="Arial" w:cs="Arial"/>
                <w:color w:val="000000"/>
                <w:sz w:val="16"/>
                <w:szCs w:val="16"/>
              </w:rPr>
              <w:t> </w:t>
            </w:r>
          </w:p>
        </w:tc>
        <w:tc>
          <w:tcPr>
            <w:tcW w:w="405" w:type="dxa"/>
            <w:shd w:val="clear" w:color="auto" w:fill="FFFFFF"/>
            <w:vAlign w:val="bottom"/>
          </w:tcPr>
          <w:p w:rsidR="00E06106" w:rsidRPr="00E06106" w:rsidRDefault="00E06106" w:rsidP="00E06106">
            <w:pPr>
              <w:widowControl/>
              <w:adjustRightInd/>
              <w:jc w:val="right"/>
              <w:rPr>
                <w:sz w:val="16"/>
                <w:szCs w:val="16"/>
              </w:rPr>
            </w:pPr>
            <w:r w:rsidRPr="00E06106">
              <w:rPr>
                <w:rFonts w:ascii="Arial" w:hAnsi="Arial" w:cs="Arial"/>
                <w:color w:val="000000"/>
                <w:sz w:val="16"/>
                <w:szCs w:val="16"/>
              </w:rPr>
              <w:t> </w:t>
            </w:r>
          </w:p>
        </w:tc>
        <w:tc>
          <w:tcPr>
            <w:tcW w:w="0" w:type="auto"/>
            <w:gridSpan w:val="4"/>
            <w:shd w:val="clear" w:color="auto" w:fill="FFFFFF"/>
            <w:vAlign w:val="bottom"/>
          </w:tcPr>
          <w:p w:rsidR="00E06106" w:rsidRPr="00E06106" w:rsidRDefault="00E06106" w:rsidP="00E06106">
            <w:pPr>
              <w:widowControl/>
              <w:adjustRightInd/>
              <w:rPr>
                <w:sz w:val="16"/>
                <w:szCs w:val="16"/>
              </w:rPr>
            </w:pPr>
            <w:r w:rsidRPr="00E06106">
              <w:rPr>
                <w:rFonts w:ascii="Arial" w:hAnsi="Arial" w:cs="Arial"/>
                <w:b/>
                <w:bCs/>
                <w:color w:val="000000"/>
                <w:sz w:val="16"/>
                <w:szCs w:val="16"/>
              </w:rPr>
              <w:t xml:space="preserve">NESHAP for Shipbuilding and Ship Repair Facilities </w:t>
            </w:r>
            <w:r w:rsidR="00CD00EC">
              <w:rPr>
                <w:rFonts w:ascii="Arial" w:hAnsi="Arial" w:cs="Arial"/>
                <w:b/>
                <w:bCs/>
                <w:color w:val="000000"/>
                <w:sz w:val="16"/>
                <w:szCs w:val="16"/>
              </w:rPr>
              <w:t xml:space="preserve">- </w:t>
            </w:r>
            <w:r w:rsidRPr="00E06106">
              <w:rPr>
                <w:rFonts w:ascii="Arial" w:hAnsi="Arial" w:cs="Arial"/>
                <w:b/>
                <w:bCs/>
                <w:color w:val="000000"/>
                <w:sz w:val="16"/>
                <w:szCs w:val="16"/>
              </w:rPr>
              <w:t>Surface Coating</w:t>
            </w:r>
            <w:r w:rsidR="000C1CCC">
              <w:rPr>
                <w:rFonts w:ascii="Arial" w:hAnsi="Arial" w:cs="Arial"/>
                <w:b/>
                <w:bCs/>
                <w:color w:val="000000"/>
                <w:sz w:val="16"/>
                <w:szCs w:val="16"/>
              </w:rPr>
              <w:t xml:space="preserve"> </w:t>
            </w:r>
            <w:r w:rsidR="000C1CCC" w:rsidRPr="00E06106">
              <w:rPr>
                <w:rFonts w:ascii="Arial" w:hAnsi="Arial" w:cs="Arial"/>
                <w:b/>
                <w:bCs/>
                <w:color w:val="000000"/>
                <w:sz w:val="16"/>
                <w:szCs w:val="16"/>
              </w:rPr>
              <w:t xml:space="preserve">(40 CFR </w:t>
            </w:r>
            <w:r w:rsidR="00191451">
              <w:rPr>
                <w:rFonts w:ascii="Arial" w:hAnsi="Arial" w:cs="Arial"/>
                <w:b/>
                <w:bCs/>
                <w:color w:val="000000"/>
                <w:sz w:val="16"/>
                <w:szCs w:val="16"/>
              </w:rPr>
              <w:t>P</w:t>
            </w:r>
            <w:r w:rsidR="000C1CCC" w:rsidRPr="00E06106">
              <w:rPr>
                <w:rFonts w:ascii="Arial" w:hAnsi="Arial" w:cs="Arial"/>
                <w:b/>
                <w:bCs/>
                <w:color w:val="000000"/>
                <w:sz w:val="16"/>
                <w:szCs w:val="16"/>
              </w:rPr>
              <w:t xml:space="preserve">art 63, </w:t>
            </w:r>
            <w:r w:rsidR="00191451">
              <w:rPr>
                <w:rFonts w:ascii="Arial" w:hAnsi="Arial" w:cs="Arial"/>
                <w:b/>
                <w:bCs/>
                <w:color w:val="000000"/>
                <w:sz w:val="16"/>
                <w:szCs w:val="16"/>
              </w:rPr>
              <w:t>S</w:t>
            </w:r>
            <w:r w:rsidR="000C1CCC" w:rsidRPr="00E06106">
              <w:rPr>
                <w:rFonts w:ascii="Arial" w:hAnsi="Arial" w:cs="Arial"/>
                <w:b/>
                <w:bCs/>
                <w:color w:val="000000"/>
                <w:sz w:val="16"/>
                <w:szCs w:val="16"/>
              </w:rPr>
              <w:t>ubpart II)</w:t>
            </w:r>
          </w:p>
        </w:tc>
        <w:tc>
          <w:tcPr>
            <w:tcW w:w="1485" w:type="dxa"/>
            <w:shd w:val="clear" w:color="auto" w:fill="FFFFFF"/>
            <w:vAlign w:val="bottom"/>
          </w:tcPr>
          <w:p w:rsidR="00E06106" w:rsidRPr="00E06106" w:rsidRDefault="00E06106" w:rsidP="00E06106">
            <w:pPr>
              <w:widowControl/>
              <w:adjustRightInd/>
              <w:rPr>
                <w:sz w:val="16"/>
                <w:szCs w:val="16"/>
              </w:rPr>
            </w:pPr>
            <w:r w:rsidRPr="00E06106">
              <w:rPr>
                <w:rFonts w:ascii="Arial" w:hAnsi="Arial" w:cs="Arial"/>
                <w:color w:val="000000"/>
                <w:sz w:val="16"/>
                <w:szCs w:val="16"/>
              </w:rPr>
              <w:t> </w:t>
            </w:r>
          </w:p>
        </w:tc>
        <w:tc>
          <w:tcPr>
            <w:tcW w:w="1485" w:type="dxa"/>
            <w:shd w:val="clear" w:color="auto" w:fill="FFFFFF"/>
            <w:vAlign w:val="bottom"/>
          </w:tcPr>
          <w:p w:rsidR="00E06106" w:rsidRPr="00E06106" w:rsidRDefault="00E06106" w:rsidP="00E06106">
            <w:pPr>
              <w:widowControl/>
              <w:adjustRightInd/>
              <w:jc w:val="right"/>
              <w:rPr>
                <w:sz w:val="16"/>
                <w:szCs w:val="16"/>
              </w:rPr>
            </w:pPr>
            <w:r w:rsidRPr="00E06106">
              <w:rPr>
                <w:rFonts w:ascii="Arial" w:hAnsi="Arial" w:cs="Arial"/>
                <w:color w:val="000000"/>
                <w:sz w:val="16"/>
                <w:szCs w:val="16"/>
              </w:rPr>
              <w:t> </w:t>
            </w:r>
          </w:p>
        </w:tc>
      </w:tr>
      <w:tr w:rsidR="00625740" w:rsidRPr="00E06106">
        <w:trPr>
          <w:trHeight w:val="7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E1E1E1"/>
            <w:vAlign w:val="center"/>
          </w:tcPr>
          <w:p w:rsidR="00E06106" w:rsidRPr="00E06106" w:rsidRDefault="00E06106" w:rsidP="00E06106">
            <w:pPr>
              <w:widowControl/>
              <w:adjustRightInd/>
              <w:rPr>
                <w:sz w:val="16"/>
                <w:szCs w:val="16"/>
              </w:rPr>
            </w:pPr>
            <w:r w:rsidRPr="00E06106">
              <w:rPr>
                <w:rFonts w:ascii="Arial" w:hAnsi="Arial" w:cs="Arial"/>
                <w:color w:val="000000"/>
                <w:sz w:val="16"/>
                <w:szCs w:val="16"/>
              </w:rPr>
              <w:t>REPORTING/RECORDKEEPING REQUIREMENT</w:t>
            </w:r>
          </w:p>
        </w:tc>
        <w:tc>
          <w:tcPr>
            <w:tcW w:w="1485" w:type="dxa"/>
            <w:tcBorders>
              <w:top w:val="single" w:sz="4" w:space="0" w:color="auto"/>
              <w:left w:val="single" w:sz="4" w:space="0" w:color="auto"/>
              <w:bottom w:val="single" w:sz="4" w:space="0" w:color="auto"/>
              <w:right w:val="single" w:sz="4" w:space="0" w:color="auto"/>
            </w:tcBorders>
            <w:shd w:val="clear" w:color="auto" w:fill="E1E1E1"/>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EPA Hours/Occurrence (A)</w:t>
            </w:r>
          </w:p>
        </w:tc>
        <w:tc>
          <w:tcPr>
            <w:tcW w:w="1729" w:type="dxa"/>
            <w:tcBorders>
              <w:top w:val="single" w:sz="4" w:space="0" w:color="auto"/>
              <w:left w:val="single" w:sz="4" w:space="0" w:color="auto"/>
              <w:bottom w:val="single" w:sz="4" w:space="0" w:color="auto"/>
              <w:right w:val="single" w:sz="4" w:space="0" w:color="auto"/>
            </w:tcBorders>
            <w:shd w:val="clear" w:color="auto" w:fill="E1E1E1"/>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Occurrences/Plant/Year (B)</w:t>
            </w:r>
          </w:p>
        </w:tc>
        <w:tc>
          <w:tcPr>
            <w:tcW w:w="1485" w:type="dxa"/>
            <w:tcBorders>
              <w:top w:val="single" w:sz="4" w:space="0" w:color="auto"/>
              <w:left w:val="single" w:sz="4" w:space="0" w:color="auto"/>
              <w:bottom w:val="single" w:sz="4" w:space="0" w:color="auto"/>
              <w:right w:val="single" w:sz="4" w:space="0" w:color="auto"/>
            </w:tcBorders>
            <w:shd w:val="clear" w:color="auto" w:fill="E1E1E1"/>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EPA Hours/Year (C=</w:t>
            </w:r>
            <w:proofErr w:type="spellStart"/>
            <w:r w:rsidRPr="00E06106">
              <w:rPr>
                <w:rFonts w:ascii="Arial" w:hAnsi="Arial" w:cs="Arial"/>
                <w:color w:val="000000"/>
                <w:sz w:val="16"/>
                <w:szCs w:val="16"/>
              </w:rPr>
              <w:t>A</w:t>
            </w:r>
            <w:r w:rsidR="00191451">
              <w:rPr>
                <w:rFonts w:ascii="Arial" w:hAnsi="Arial" w:cs="Arial"/>
                <w:color w:val="000000"/>
                <w:sz w:val="16"/>
                <w:szCs w:val="16"/>
              </w:rPr>
              <w:t>x</w:t>
            </w:r>
            <w:r w:rsidRPr="00E06106">
              <w:rPr>
                <w:rFonts w:ascii="Arial" w:hAnsi="Arial" w:cs="Arial"/>
                <w:color w:val="000000"/>
                <w:sz w:val="16"/>
                <w:szCs w:val="16"/>
              </w:rPr>
              <w:t>B</w:t>
            </w:r>
            <w:proofErr w:type="spellEnd"/>
            <w:r w:rsidRPr="00E06106">
              <w:rPr>
                <w:rFonts w:ascii="Arial" w:hAnsi="Arial" w:cs="Arial"/>
                <w:color w:val="000000"/>
                <w:sz w:val="16"/>
                <w:szCs w:val="16"/>
              </w:rPr>
              <w:t>) (C)</w:t>
            </w:r>
          </w:p>
        </w:tc>
        <w:tc>
          <w:tcPr>
            <w:tcW w:w="1485" w:type="dxa"/>
            <w:tcBorders>
              <w:top w:val="single" w:sz="4" w:space="0" w:color="auto"/>
              <w:left w:val="single" w:sz="4" w:space="0" w:color="auto"/>
              <w:bottom w:val="single" w:sz="4" w:space="0" w:color="auto"/>
              <w:right w:val="single" w:sz="4" w:space="0" w:color="auto"/>
            </w:tcBorders>
            <w:shd w:val="clear" w:color="auto" w:fill="E1E1E1"/>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Plants/Year (D)</w:t>
            </w:r>
          </w:p>
        </w:tc>
        <w:tc>
          <w:tcPr>
            <w:tcW w:w="1485" w:type="dxa"/>
            <w:tcBorders>
              <w:top w:val="single" w:sz="4" w:space="0" w:color="auto"/>
              <w:left w:val="single" w:sz="4" w:space="0" w:color="auto"/>
              <w:bottom w:val="single" w:sz="4" w:space="0" w:color="auto"/>
              <w:right w:val="single" w:sz="4" w:space="0" w:color="auto"/>
            </w:tcBorders>
            <w:shd w:val="clear" w:color="auto" w:fill="E1E1E1"/>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EPA Hours/ Year (E=</w:t>
            </w:r>
            <w:proofErr w:type="spellStart"/>
            <w:r w:rsidRPr="00E06106">
              <w:rPr>
                <w:rFonts w:ascii="Arial" w:hAnsi="Arial" w:cs="Arial"/>
                <w:color w:val="000000"/>
                <w:sz w:val="16"/>
                <w:szCs w:val="16"/>
              </w:rPr>
              <w:t>C</w:t>
            </w:r>
            <w:r w:rsidR="00191451">
              <w:rPr>
                <w:rFonts w:ascii="Arial" w:hAnsi="Arial" w:cs="Arial"/>
                <w:color w:val="000000"/>
                <w:sz w:val="16"/>
                <w:szCs w:val="16"/>
              </w:rPr>
              <w:t>x</w:t>
            </w:r>
            <w:r w:rsidRPr="00E06106">
              <w:rPr>
                <w:rFonts w:ascii="Arial" w:hAnsi="Arial" w:cs="Arial"/>
                <w:color w:val="000000"/>
                <w:sz w:val="16"/>
                <w:szCs w:val="16"/>
              </w:rPr>
              <w:t>D</w:t>
            </w:r>
            <w:proofErr w:type="spellEnd"/>
            <w:r w:rsidRPr="00E06106">
              <w:rPr>
                <w:rFonts w:ascii="Arial" w:hAnsi="Arial" w:cs="Arial"/>
                <w:color w:val="000000"/>
                <w:sz w:val="16"/>
                <w:szCs w:val="16"/>
              </w:rPr>
              <w:t>) (E)</w:t>
            </w:r>
          </w:p>
        </w:tc>
      </w:tr>
      <w:tr w:rsidR="00625740" w:rsidRPr="00E06106">
        <w:trPr>
          <w:trHeight w:val="2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rPr>
                <w:sz w:val="16"/>
                <w:szCs w:val="16"/>
              </w:rPr>
            </w:pPr>
            <w:r w:rsidRPr="00E06106">
              <w:rPr>
                <w:rFonts w:ascii="Arial" w:hAnsi="Arial" w:cs="Arial"/>
                <w:color w:val="000000"/>
                <w:sz w:val="16"/>
                <w:szCs w:val="16"/>
              </w:rPr>
              <w:t>INITIAL PERFORMANCE TESTS</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N/A</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r>
      <w:tr w:rsidR="00625740" w:rsidRPr="00E06106">
        <w:trPr>
          <w:trHeight w:val="2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rPr>
                <w:sz w:val="16"/>
                <w:szCs w:val="16"/>
              </w:rPr>
            </w:pPr>
            <w:r w:rsidRPr="00E06106">
              <w:rPr>
                <w:rFonts w:ascii="Arial" w:hAnsi="Arial" w:cs="Arial"/>
                <w:color w:val="000000"/>
                <w:sz w:val="16"/>
                <w:szCs w:val="16"/>
              </w:rPr>
              <w:t>REPEAT PERFORMANCE TEST</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N/A</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r>
      <w:tr w:rsidR="00625740" w:rsidRPr="00E06106">
        <w:trPr>
          <w:trHeight w:val="2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rPr>
                <w:sz w:val="16"/>
                <w:szCs w:val="16"/>
              </w:rPr>
            </w:pPr>
            <w:r w:rsidRPr="00E06106">
              <w:rPr>
                <w:rFonts w:ascii="Arial" w:hAnsi="Arial" w:cs="Arial"/>
                <w:color w:val="000000"/>
                <w:sz w:val="16"/>
                <w:szCs w:val="16"/>
              </w:rPr>
              <w:t>REPORT REVIEW</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E06106" w:rsidRPr="00E06106" w:rsidRDefault="00E06106" w:rsidP="00E06106">
            <w:pPr>
              <w:widowControl/>
              <w:adjustRightInd/>
              <w:jc w:val="center"/>
              <w:rPr>
                <w:sz w:val="16"/>
                <w:szCs w:val="16"/>
              </w:rPr>
            </w:pPr>
            <w:r w:rsidRPr="00E06106">
              <w:rPr>
                <w:rFonts w:ascii="Arial" w:hAnsi="Arial" w:cs="Arial"/>
                <w:color w:val="000000"/>
                <w:sz w:val="16"/>
                <w:szCs w:val="16"/>
              </w:rPr>
              <w:t> </w:t>
            </w:r>
          </w:p>
        </w:tc>
      </w:tr>
      <w:tr w:rsidR="00625740" w:rsidRPr="00E06106" w:rsidTr="007A7912">
        <w:trPr>
          <w:trHeight w:val="435"/>
          <w:jc w:val="center"/>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right"/>
              <w:rPr>
                <w:rFonts w:ascii="Arial" w:hAnsi="Arial" w:cs="Arial"/>
                <w:color w:val="000000"/>
                <w:sz w:val="16"/>
                <w:szCs w:val="16"/>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bottom"/>
          </w:tcPr>
          <w:p w:rsidR="007A7912" w:rsidRPr="00E06106" w:rsidRDefault="007A7912" w:rsidP="00E06106">
            <w:pPr>
              <w:widowControl/>
              <w:adjustRightInd/>
              <w:jc w:val="right"/>
              <w:rPr>
                <w:rFonts w:ascii="Arial" w:hAnsi="Arial" w:cs="Arial"/>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rPr>
                <w:rFonts w:ascii="Arial" w:hAnsi="Arial" w:cs="Arial"/>
                <w:color w:val="000000"/>
                <w:sz w:val="16"/>
                <w:szCs w:val="16"/>
              </w:rPr>
            </w:pPr>
            <w:r w:rsidRPr="00E06106">
              <w:rPr>
                <w:rFonts w:ascii="Arial" w:hAnsi="Arial" w:cs="Arial"/>
                <w:color w:val="000000"/>
                <w:sz w:val="16"/>
                <w:szCs w:val="16"/>
              </w:rPr>
              <w:t>Notification of Construction</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7A7912">
            <w:pPr>
              <w:widowControl/>
              <w:adjustRightInd/>
              <w:jc w:val="center"/>
              <w:rPr>
                <w:sz w:val="16"/>
                <w:szCs w:val="16"/>
              </w:rPr>
            </w:pPr>
            <w:r w:rsidRPr="00E06106">
              <w:rPr>
                <w:rFonts w:ascii="Arial" w:hAnsi="Arial" w:cs="Arial"/>
                <w:color w:val="000000"/>
                <w:sz w:val="16"/>
                <w:szCs w:val="16"/>
              </w:rPr>
              <w:t>2</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7A7912">
            <w:pPr>
              <w:widowControl/>
              <w:adjustRightInd/>
              <w:jc w:val="center"/>
              <w:rPr>
                <w:sz w:val="16"/>
                <w:szCs w:val="16"/>
              </w:rPr>
            </w:pPr>
            <w:r w:rsidRPr="00E06106">
              <w:rPr>
                <w:rFonts w:ascii="Arial" w:hAnsi="Arial" w:cs="Arial"/>
                <w:color w:val="000000"/>
                <w:sz w:val="16"/>
                <w:szCs w:val="16"/>
              </w:rPr>
              <w:t>1</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DC5972">
            <w:pPr>
              <w:widowControl/>
              <w:adjustRightInd/>
              <w:jc w:val="center"/>
              <w:rPr>
                <w:sz w:val="16"/>
                <w:szCs w:val="16"/>
              </w:rPr>
            </w:pPr>
            <w:r w:rsidRPr="00E06106">
              <w:rPr>
                <w:rFonts w:ascii="Arial" w:hAnsi="Arial" w:cs="Arial"/>
                <w:color w:val="000000"/>
                <w:sz w:val="16"/>
                <w:szCs w:val="16"/>
              </w:rPr>
              <w:t>2</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DC5972">
            <w:pPr>
              <w:widowControl/>
              <w:adjustRightInd/>
              <w:jc w:val="center"/>
              <w:rPr>
                <w:sz w:val="16"/>
                <w:szCs w:val="16"/>
              </w:rPr>
            </w:pPr>
            <w:r w:rsidRPr="00E06106">
              <w:rPr>
                <w:rFonts w:ascii="Arial" w:hAnsi="Arial" w:cs="Arial"/>
                <w:color w:val="000000"/>
                <w:sz w:val="16"/>
                <w:szCs w:val="16"/>
              </w:rPr>
              <w:t>0</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DC5972">
            <w:pPr>
              <w:widowControl/>
              <w:adjustRightInd/>
              <w:jc w:val="center"/>
              <w:rPr>
                <w:sz w:val="16"/>
                <w:szCs w:val="16"/>
              </w:rPr>
            </w:pPr>
            <w:r w:rsidRPr="00E06106">
              <w:rPr>
                <w:rFonts w:ascii="Arial" w:hAnsi="Arial" w:cs="Arial"/>
                <w:color w:val="000000"/>
                <w:sz w:val="16"/>
                <w:szCs w:val="16"/>
              </w:rPr>
              <w:t>0</w:t>
            </w:r>
          </w:p>
        </w:tc>
      </w:tr>
      <w:tr w:rsidR="00625740" w:rsidRPr="00E06106">
        <w:trPr>
          <w:trHeight w:val="435"/>
          <w:jc w:val="center"/>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405" w:type="dxa"/>
            <w:tcBorders>
              <w:top w:val="single" w:sz="4" w:space="0" w:color="auto"/>
              <w:left w:val="single" w:sz="4" w:space="0" w:color="auto"/>
              <w:bottom w:val="single" w:sz="4" w:space="0" w:color="auto"/>
              <w:right w:val="single" w:sz="4" w:space="0" w:color="auto"/>
            </w:tcBorders>
            <w:shd w:val="clear" w:color="auto" w:fill="FFFFFF"/>
            <w:vAlign w:val="bottom"/>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4590"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rPr>
                <w:sz w:val="16"/>
                <w:szCs w:val="16"/>
              </w:rPr>
            </w:pPr>
            <w:r w:rsidRPr="00E06106">
              <w:rPr>
                <w:rFonts w:ascii="Arial" w:hAnsi="Arial" w:cs="Arial"/>
                <w:color w:val="000000"/>
                <w:sz w:val="16"/>
                <w:szCs w:val="16"/>
              </w:rPr>
              <w:t>Review of Initial Notification and Implementation Plan</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2</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1</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2</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0</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0</w:t>
            </w:r>
          </w:p>
        </w:tc>
      </w:tr>
      <w:tr w:rsidR="00625740" w:rsidRPr="00E06106">
        <w:trPr>
          <w:trHeight w:val="435"/>
          <w:jc w:val="center"/>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right"/>
              <w:rPr>
                <w:rFonts w:ascii="Arial" w:hAnsi="Arial" w:cs="Arial"/>
                <w:color w:val="000000"/>
                <w:sz w:val="16"/>
                <w:szCs w:val="16"/>
              </w:rPr>
            </w:pPr>
          </w:p>
        </w:tc>
        <w:tc>
          <w:tcPr>
            <w:tcW w:w="405" w:type="dxa"/>
            <w:tcBorders>
              <w:top w:val="single" w:sz="4" w:space="0" w:color="auto"/>
              <w:left w:val="single" w:sz="4" w:space="0" w:color="auto"/>
              <w:bottom w:val="single" w:sz="4" w:space="0" w:color="auto"/>
              <w:right w:val="single" w:sz="4" w:space="0" w:color="auto"/>
            </w:tcBorders>
            <w:shd w:val="clear" w:color="auto" w:fill="FFFFFF"/>
            <w:vAlign w:val="bottom"/>
          </w:tcPr>
          <w:p w:rsidR="007A7912" w:rsidRPr="00E06106" w:rsidRDefault="007A7912" w:rsidP="00E06106">
            <w:pPr>
              <w:widowControl/>
              <w:adjustRightInd/>
              <w:jc w:val="right"/>
              <w:rPr>
                <w:rFonts w:ascii="Arial" w:hAnsi="Arial" w:cs="Arial"/>
                <w:color w:val="000000"/>
                <w:sz w:val="16"/>
                <w:szCs w:val="16"/>
              </w:rPr>
            </w:pPr>
          </w:p>
        </w:tc>
        <w:tc>
          <w:tcPr>
            <w:tcW w:w="4590"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rPr>
                <w:rFonts w:ascii="Arial" w:hAnsi="Arial" w:cs="Arial"/>
                <w:color w:val="000000"/>
                <w:sz w:val="16"/>
                <w:szCs w:val="16"/>
              </w:rPr>
            </w:pPr>
            <w:r w:rsidRPr="00E06106">
              <w:rPr>
                <w:rFonts w:ascii="Arial" w:hAnsi="Arial" w:cs="Arial"/>
                <w:color w:val="000000"/>
                <w:sz w:val="16"/>
                <w:szCs w:val="16"/>
              </w:rPr>
              <w:t xml:space="preserve">Review of </w:t>
            </w:r>
            <w:proofErr w:type="spellStart"/>
            <w:r w:rsidRPr="00E06106">
              <w:rPr>
                <w:rFonts w:ascii="Arial" w:hAnsi="Arial" w:cs="Arial"/>
                <w:color w:val="000000"/>
                <w:sz w:val="16"/>
                <w:szCs w:val="16"/>
              </w:rPr>
              <w:t>SemiannualNotification</w:t>
            </w:r>
            <w:proofErr w:type="spellEnd"/>
            <w:r w:rsidRPr="00E06106">
              <w:rPr>
                <w:rFonts w:ascii="Arial" w:hAnsi="Arial" w:cs="Arial"/>
                <w:color w:val="000000"/>
                <w:sz w:val="16"/>
                <w:szCs w:val="16"/>
              </w:rPr>
              <w:t xml:space="preserve"> of Compliance Status</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DC5972">
            <w:pPr>
              <w:widowControl/>
              <w:adjustRightInd/>
              <w:jc w:val="center"/>
              <w:rPr>
                <w:sz w:val="16"/>
                <w:szCs w:val="16"/>
              </w:rPr>
            </w:pPr>
            <w:r w:rsidRPr="00E06106">
              <w:rPr>
                <w:rFonts w:ascii="Arial" w:hAnsi="Arial" w:cs="Arial"/>
                <w:color w:val="000000"/>
                <w:sz w:val="16"/>
                <w:szCs w:val="16"/>
              </w:rPr>
              <w:t>2</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DC5972">
            <w:pPr>
              <w:widowControl/>
              <w:adjustRightInd/>
              <w:jc w:val="center"/>
              <w:rPr>
                <w:sz w:val="16"/>
                <w:szCs w:val="16"/>
              </w:rPr>
            </w:pPr>
            <w:r w:rsidRPr="00E06106">
              <w:rPr>
                <w:rFonts w:ascii="Arial" w:hAnsi="Arial" w:cs="Arial"/>
                <w:color w:val="000000"/>
                <w:sz w:val="16"/>
                <w:szCs w:val="16"/>
              </w:rPr>
              <w:t>2</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DC5972">
            <w:pPr>
              <w:widowControl/>
              <w:adjustRightInd/>
              <w:jc w:val="center"/>
              <w:rPr>
                <w:sz w:val="16"/>
                <w:szCs w:val="16"/>
              </w:rPr>
            </w:pPr>
            <w:r w:rsidRPr="00E06106">
              <w:rPr>
                <w:rFonts w:ascii="Arial" w:hAnsi="Arial" w:cs="Arial"/>
                <w:color w:val="000000"/>
                <w:sz w:val="16"/>
                <w:szCs w:val="16"/>
              </w:rPr>
              <w:t>4</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DC5972">
            <w:pPr>
              <w:widowControl/>
              <w:adjustRightInd/>
              <w:jc w:val="center"/>
              <w:rPr>
                <w:sz w:val="16"/>
                <w:szCs w:val="16"/>
              </w:rPr>
            </w:pPr>
            <w:r w:rsidRPr="00E06106">
              <w:rPr>
                <w:rFonts w:ascii="Arial" w:hAnsi="Arial" w:cs="Arial"/>
                <w:color w:val="000000"/>
                <w:sz w:val="16"/>
                <w:szCs w:val="16"/>
              </w:rPr>
              <w:t>56</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center"/>
              <w:rPr>
                <w:rFonts w:ascii="Arial" w:hAnsi="Arial" w:cs="Arial"/>
                <w:color w:val="000000"/>
                <w:sz w:val="16"/>
                <w:szCs w:val="16"/>
              </w:rPr>
            </w:pPr>
            <w:r w:rsidRPr="00E06106">
              <w:rPr>
                <w:rFonts w:ascii="Arial" w:hAnsi="Arial" w:cs="Arial"/>
                <w:color w:val="000000"/>
                <w:sz w:val="16"/>
                <w:szCs w:val="16"/>
              </w:rPr>
              <w:t>224</w:t>
            </w:r>
          </w:p>
        </w:tc>
      </w:tr>
      <w:tr w:rsidR="00625740" w:rsidRPr="00E06106">
        <w:trPr>
          <w:trHeight w:val="2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rPr>
                <w:sz w:val="16"/>
                <w:szCs w:val="16"/>
              </w:rPr>
            </w:pPr>
            <w:r w:rsidRPr="00E06106">
              <w:rPr>
                <w:rFonts w:ascii="Arial" w:hAnsi="Arial" w:cs="Arial"/>
                <w:color w:val="000000"/>
                <w:sz w:val="16"/>
                <w:szCs w:val="16"/>
              </w:rPr>
              <w:t>TOTAL ANNUAL HOURS</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b/>
                <w:bCs/>
                <w:color w:val="000000"/>
                <w:sz w:val="16"/>
                <w:szCs w:val="16"/>
              </w:rPr>
              <w:t>224</w:t>
            </w:r>
          </w:p>
        </w:tc>
      </w:tr>
      <w:tr w:rsidR="00625740" w:rsidRPr="00E06106" w:rsidTr="0046636A">
        <w:trPr>
          <w:trHeight w:val="2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A7912" w:rsidRPr="00E06106" w:rsidRDefault="007A7912" w:rsidP="00E06106">
            <w:pPr>
              <w:widowControl/>
              <w:adjustRightInd/>
              <w:rPr>
                <w:sz w:val="16"/>
                <w:szCs w:val="16"/>
              </w:rPr>
            </w:pPr>
            <w:r w:rsidRPr="00E06106">
              <w:rPr>
                <w:rFonts w:ascii="Arial" w:hAnsi="Arial" w:cs="Arial"/>
                <w:color w:val="000000"/>
                <w:sz w:val="16"/>
                <w:szCs w:val="16"/>
              </w:rPr>
              <w:t>SALARY BURDEN (per year)</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bottom"/>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1729" w:type="dxa"/>
            <w:tcBorders>
              <w:top w:val="single" w:sz="4" w:space="0" w:color="auto"/>
              <w:left w:val="single" w:sz="4" w:space="0" w:color="auto"/>
              <w:bottom w:val="single" w:sz="4" w:space="0" w:color="auto"/>
              <w:right w:val="single" w:sz="4" w:space="0" w:color="auto"/>
            </w:tcBorders>
            <w:shd w:val="clear" w:color="auto" w:fill="FFFFFF"/>
            <w:vAlign w:val="bottom"/>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bottom"/>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bottom"/>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bottom"/>
          </w:tcPr>
          <w:p w:rsidR="007A7912" w:rsidRPr="00E06106" w:rsidRDefault="007A7912" w:rsidP="00E06106">
            <w:pPr>
              <w:widowControl/>
              <w:adjustRightInd/>
              <w:jc w:val="center"/>
              <w:rPr>
                <w:sz w:val="16"/>
                <w:szCs w:val="16"/>
              </w:rPr>
            </w:pPr>
            <w:r w:rsidRPr="00E06106">
              <w:rPr>
                <w:rFonts w:ascii="Arial" w:hAnsi="Arial" w:cs="Arial"/>
                <w:b/>
                <w:bCs/>
                <w:color w:val="000000"/>
                <w:sz w:val="16"/>
                <w:szCs w:val="16"/>
              </w:rPr>
              <w:t>$8,845.76</w:t>
            </w:r>
          </w:p>
        </w:tc>
      </w:tr>
      <w:tr w:rsidR="00625740" w:rsidRPr="00E06106" w:rsidTr="0046636A">
        <w:trPr>
          <w:trHeight w:val="240"/>
          <w:jc w:val="center"/>
        </w:trPr>
        <w:tc>
          <w:tcPr>
            <w:tcW w:w="675" w:type="dxa"/>
            <w:tcBorders>
              <w:top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405" w:type="dxa"/>
            <w:tcBorders>
              <w:top w:val="single" w:sz="4" w:space="0" w:color="auto"/>
            </w:tcBorders>
            <w:shd w:val="clear" w:color="auto" w:fill="FFFFFF"/>
            <w:vAlign w:val="center"/>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4590" w:type="dxa"/>
            <w:tcBorders>
              <w:top w:val="single" w:sz="4" w:space="0" w:color="auto"/>
            </w:tcBorders>
            <w:shd w:val="clear" w:color="auto" w:fill="FFFFFF"/>
            <w:vAlign w:val="center"/>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1485" w:type="dxa"/>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729" w:type="dxa"/>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485" w:type="dxa"/>
            <w:tcBorders>
              <w:top w:val="single" w:sz="4" w:space="0" w:color="auto"/>
            </w:tcBorders>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r>
      <w:tr w:rsidR="00625740" w:rsidRPr="00E06106" w:rsidTr="0046636A">
        <w:trPr>
          <w:trHeight w:val="240"/>
          <w:jc w:val="center"/>
        </w:trPr>
        <w:tc>
          <w:tcPr>
            <w:tcW w:w="675" w:type="dxa"/>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405" w:type="dxa"/>
            <w:shd w:val="clear" w:color="auto" w:fill="FFFFFF"/>
            <w:vAlign w:val="center"/>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4590" w:type="dxa"/>
            <w:shd w:val="clear" w:color="auto" w:fill="FFFFFF"/>
            <w:vAlign w:val="bottom"/>
          </w:tcPr>
          <w:p w:rsidR="007A7912" w:rsidRPr="00E06106" w:rsidRDefault="007A7912" w:rsidP="00E06106">
            <w:pPr>
              <w:widowControl/>
              <w:adjustRightInd/>
              <w:rPr>
                <w:sz w:val="16"/>
                <w:szCs w:val="16"/>
              </w:rPr>
            </w:pPr>
            <w:r w:rsidRPr="00E06106">
              <w:rPr>
                <w:rFonts w:ascii="Arial" w:hAnsi="Arial" w:cs="Arial"/>
                <w:color w:val="000000"/>
                <w:sz w:val="16"/>
                <w:szCs w:val="16"/>
                <w:u w:val="single"/>
              </w:rPr>
              <w:t>Assumptions</w:t>
            </w:r>
          </w:p>
        </w:tc>
        <w:tc>
          <w:tcPr>
            <w:tcW w:w="1485" w:type="dxa"/>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729" w:type="dxa"/>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485" w:type="dxa"/>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485" w:type="dxa"/>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c>
          <w:tcPr>
            <w:tcW w:w="1485" w:type="dxa"/>
            <w:shd w:val="clear" w:color="auto" w:fill="FFFFFF"/>
            <w:vAlign w:val="center"/>
          </w:tcPr>
          <w:p w:rsidR="007A7912" w:rsidRPr="00E06106" w:rsidRDefault="007A7912" w:rsidP="00E06106">
            <w:pPr>
              <w:widowControl/>
              <w:adjustRightInd/>
              <w:jc w:val="center"/>
              <w:rPr>
                <w:sz w:val="16"/>
                <w:szCs w:val="16"/>
              </w:rPr>
            </w:pPr>
            <w:r w:rsidRPr="00E06106">
              <w:rPr>
                <w:rFonts w:ascii="Arial" w:hAnsi="Arial" w:cs="Arial"/>
                <w:color w:val="000000"/>
                <w:sz w:val="16"/>
                <w:szCs w:val="16"/>
              </w:rPr>
              <w:t> </w:t>
            </w:r>
          </w:p>
        </w:tc>
      </w:tr>
      <w:tr w:rsidR="00625740" w:rsidRPr="00E06106" w:rsidTr="0046636A">
        <w:trPr>
          <w:trHeight w:val="240"/>
          <w:jc w:val="center"/>
        </w:trPr>
        <w:tc>
          <w:tcPr>
            <w:tcW w:w="675" w:type="dxa"/>
            <w:shd w:val="clear" w:color="auto" w:fill="FFFFFF"/>
            <w:vAlign w:val="bottom"/>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405" w:type="dxa"/>
            <w:shd w:val="clear" w:color="auto" w:fill="FFFFFF"/>
            <w:vAlign w:val="bottom"/>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4590" w:type="dxa"/>
            <w:shd w:val="clear" w:color="auto" w:fill="FFFFFF"/>
            <w:vAlign w:val="bottom"/>
          </w:tcPr>
          <w:p w:rsidR="007A7912" w:rsidRPr="00E06106" w:rsidRDefault="007A7912" w:rsidP="00E06106">
            <w:pPr>
              <w:widowControl/>
              <w:adjustRightInd/>
              <w:rPr>
                <w:sz w:val="16"/>
                <w:szCs w:val="16"/>
              </w:rPr>
            </w:pPr>
            <w:r w:rsidRPr="00E06106">
              <w:rPr>
                <w:rFonts w:ascii="Arial" w:hAnsi="Arial" w:cs="Arial"/>
                <w:color w:val="000000"/>
                <w:sz w:val="16"/>
                <w:szCs w:val="16"/>
              </w:rPr>
              <w:t>Number of affected facilities (per year)</w:t>
            </w:r>
          </w:p>
        </w:tc>
        <w:tc>
          <w:tcPr>
            <w:tcW w:w="1485" w:type="dxa"/>
            <w:shd w:val="clear" w:color="auto" w:fill="FFFFFF"/>
            <w:vAlign w:val="bottom"/>
          </w:tcPr>
          <w:p w:rsidR="007A7912" w:rsidRPr="00E06106" w:rsidRDefault="007A7912" w:rsidP="0046636A">
            <w:pPr>
              <w:widowControl/>
              <w:adjustRightInd/>
              <w:jc w:val="right"/>
              <w:rPr>
                <w:sz w:val="16"/>
                <w:szCs w:val="16"/>
              </w:rPr>
            </w:pPr>
            <w:r w:rsidRPr="00E06106">
              <w:rPr>
                <w:rFonts w:ascii="Arial" w:hAnsi="Arial" w:cs="Arial"/>
                <w:color w:val="000000"/>
                <w:sz w:val="16"/>
                <w:szCs w:val="16"/>
              </w:rPr>
              <w:t>56</w:t>
            </w:r>
          </w:p>
        </w:tc>
        <w:tc>
          <w:tcPr>
            <w:tcW w:w="1729" w:type="dxa"/>
            <w:shd w:val="clear" w:color="auto" w:fill="FFFFFF"/>
            <w:vAlign w:val="bottom"/>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1485" w:type="dxa"/>
            <w:shd w:val="clear" w:color="auto" w:fill="FFFFFF"/>
            <w:vAlign w:val="bottom"/>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1485" w:type="dxa"/>
            <w:shd w:val="clear" w:color="auto" w:fill="FFFFFF"/>
            <w:vAlign w:val="bottom"/>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c>
          <w:tcPr>
            <w:tcW w:w="1485" w:type="dxa"/>
            <w:shd w:val="clear" w:color="auto" w:fill="FFFFFF"/>
            <w:vAlign w:val="bottom"/>
          </w:tcPr>
          <w:p w:rsidR="007A7912" w:rsidRPr="00E06106" w:rsidRDefault="007A7912" w:rsidP="00E06106">
            <w:pPr>
              <w:widowControl/>
              <w:adjustRightInd/>
              <w:jc w:val="right"/>
              <w:rPr>
                <w:sz w:val="16"/>
                <w:szCs w:val="16"/>
              </w:rPr>
            </w:pPr>
            <w:r w:rsidRPr="00E06106">
              <w:rPr>
                <w:rFonts w:ascii="Arial" w:hAnsi="Arial" w:cs="Arial"/>
                <w:color w:val="000000"/>
                <w:sz w:val="16"/>
                <w:szCs w:val="16"/>
              </w:rPr>
              <w:t> </w:t>
            </w:r>
          </w:p>
        </w:tc>
      </w:tr>
      <w:tr w:rsidR="00625740" w:rsidRPr="00E06106" w:rsidTr="0046636A">
        <w:trPr>
          <w:trHeight w:val="240"/>
          <w:jc w:val="center"/>
        </w:trPr>
        <w:tc>
          <w:tcPr>
            <w:tcW w:w="675" w:type="dxa"/>
            <w:shd w:val="clear" w:color="auto" w:fill="FFFFFF"/>
            <w:vAlign w:val="bottom"/>
          </w:tcPr>
          <w:p w:rsidR="007A7912" w:rsidRPr="00E06106" w:rsidRDefault="007A7912" w:rsidP="00E06106">
            <w:pPr>
              <w:widowControl/>
              <w:adjustRightInd/>
              <w:jc w:val="right"/>
              <w:rPr>
                <w:rFonts w:ascii="Arial" w:hAnsi="Arial" w:cs="Arial"/>
                <w:color w:val="000000"/>
                <w:sz w:val="16"/>
                <w:szCs w:val="16"/>
              </w:rPr>
            </w:pPr>
          </w:p>
        </w:tc>
        <w:tc>
          <w:tcPr>
            <w:tcW w:w="405" w:type="dxa"/>
            <w:shd w:val="clear" w:color="auto" w:fill="FFFFFF"/>
            <w:vAlign w:val="bottom"/>
          </w:tcPr>
          <w:p w:rsidR="007A7912" w:rsidRPr="00E06106" w:rsidRDefault="007A7912" w:rsidP="00E06106">
            <w:pPr>
              <w:widowControl/>
              <w:adjustRightInd/>
              <w:jc w:val="right"/>
              <w:rPr>
                <w:rFonts w:ascii="Arial" w:hAnsi="Arial" w:cs="Arial"/>
                <w:color w:val="000000"/>
                <w:sz w:val="16"/>
                <w:szCs w:val="16"/>
              </w:rPr>
            </w:pPr>
          </w:p>
        </w:tc>
        <w:tc>
          <w:tcPr>
            <w:tcW w:w="4590" w:type="dxa"/>
            <w:shd w:val="clear" w:color="auto" w:fill="FFFFFF"/>
            <w:vAlign w:val="bottom"/>
          </w:tcPr>
          <w:p w:rsidR="007A7912" w:rsidRPr="00E06106" w:rsidRDefault="007A7912" w:rsidP="00E06106">
            <w:pPr>
              <w:widowControl/>
              <w:adjustRightInd/>
              <w:rPr>
                <w:rFonts w:ascii="Arial" w:hAnsi="Arial" w:cs="Arial"/>
                <w:color w:val="000000"/>
                <w:sz w:val="16"/>
                <w:szCs w:val="16"/>
              </w:rPr>
            </w:pPr>
            <w:r w:rsidRPr="00E06106">
              <w:rPr>
                <w:rFonts w:ascii="Arial" w:hAnsi="Arial" w:cs="Arial"/>
                <w:color w:val="000000"/>
                <w:sz w:val="16"/>
                <w:szCs w:val="16"/>
              </w:rPr>
              <w:t>EPA labor rate (GS-12 Step 1 x 1.6 for overhead expenses)</w:t>
            </w:r>
          </w:p>
        </w:tc>
        <w:tc>
          <w:tcPr>
            <w:tcW w:w="1485" w:type="dxa"/>
            <w:shd w:val="clear" w:color="auto" w:fill="FFFFFF"/>
            <w:vAlign w:val="bottom"/>
          </w:tcPr>
          <w:p w:rsidR="007A7912" w:rsidRPr="00E06106" w:rsidRDefault="007A7912" w:rsidP="0046636A">
            <w:pPr>
              <w:widowControl/>
              <w:adjustRightInd/>
              <w:jc w:val="right"/>
              <w:rPr>
                <w:rFonts w:ascii="Arial" w:hAnsi="Arial" w:cs="Arial"/>
                <w:color w:val="000000"/>
                <w:sz w:val="16"/>
                <w:szCs w:val="16"/>
              </w:rPr>
            </w:pPr>
            <w:r w:rsidRPr="00E06106">
              <w:rPr>
                <w:rFonts w:ascii="Arial" w:hAnsi="Arial" w:cs="Arial"/>
                <w:color w:val="000000"/>
                <w:sz w:val="16"/>
                <w:szCs w:val="16"/>
              </w:rPr>
              <w:t>$39.49</w:t>
            </w:r>
          </w:p>
        </w:tc>
        <w:tc>
          <w:tcPr>
            <w:tcW w:w="1729" w:type="dxa"/>
            <w:shd w:val="clear" w:color="auto" w:fill="FFFFFF"/>
            <w:vAlign w:val="bottom"/>
          </w:tcPr>
          <w:p w:rsidR="007A7912" w:rsidRPr="00E06106" w:rsidRDefault="007A7912" w:rsidP="00E06106">
            <w:pPr>
              <w:widowControl/>
              <w:adjustRightInd/>
              <w:jc w:val="right"/>
              <w:rPr>
                <w:rFonts w:ascii="Arial" w:hAnsi="Arial" w:cs="Arial"/>
                <w:color w:val="000000"/>
                <w:sz w:val="16"/>
                <w:szCs w:val="16"/>
              </w:rPr>
            </w:pPr>
          </w:p>
        </w:tc>
        <w:tc>
          <w:tcPr>
            <w:tcW w:w="1485" w:type="dxa"/>
            <w:shd w:val="clear" w:color="auto" w:fill="FFFFFF"/>
            <w:vAlign w:val="bottom"/>
          </w:tcPr>
          <w:p w:rsidR="007A7912" w:rsidRPr="00E06106" w:rsidRDefault="007A7912" w:rsidP="00E06106">
            <w:pPr>
              <w:widowControl/>
              <w:adjustRightInd/>
              <w:jc w:val="right"/>
              <w:rPr>
                <w:rFonts w:ascii="Arial" w:hAnsi="Arial" w:cs="Arial"/>
                <w:color w:val="000000"/>
                <w:sz w:val="16"/>
                <w:szCs w:val="16"/>
              </w:rPr>
            </w:pPr>
          </w:p>
        </w:tc>
        <w:tc>
          <w:tcPr>
            <w:tcW w:w="1485" w:type="dxa"/>
            <w:shd w:val="clear" w:color="auto" w:fill="FFFFFF"/>
            <w:vAlign w:val="bottom"/>
          </w:tcPr>
          <w:p w:rsidR="007A7912" w:rsidRPr="00E06106" w:rsidRDefault="007A7912" w:rsidP="00E06106">
            <w:pPr>
              <w:widowControl/>
              <w:adjustRightInd/>
              <w:jc w:val="right"/>
              <w:rPr>
                <w:rFonts w:ascii="Arial" w:hAnsi="Arial" w:cs="Arial"/>
                <w:color w:val="000000"/>
                <w:sz w:val="16"/>
                <w:szCs w:val="16"/>
              </w:rPr>
            </w:pPr>
          </w:p>
        </w:tc>
        <w:tc>
          <w:tcPr>
            <w:tcW w:w="1485" w:type="dxa"/>
            <w:shd w:val="clear" w:color="auto" w:fill="FFFFFF"/>
            <w:vAlign w:val="bottom"/>
          </w:tcPr>
          <w:p w:rsidR="007A7912" w:rsidRPr="00E06106" w:rsidRDefault="007A7912" w:rsidP="00E06106">
            <w:pPr>
              <w:widowControl/>
              <w:adjustRightInd/>
              <w:jc w:val="right"/>
              <w:rPr>
                <w:rFonts w:ascii="Arial" w:hAnsi="Arial" w:cs="Arial"/>
                <w:color w:val="000000"/>
                <w:sz w:val="16"/>
                <w:szCs w:val="16"/>
              </w:rPr>
            </w:pPr>
          </w:p>
        </w:tc>
      </w:tr>
    </w:tbl>
    <w:p w:rsidR="008D2545" w:rsidRPr="00E06106" w:rsidRDefault="008D2545">
      <w:pPr>
        <w:rPr>
          <w:color w:val="000000"/>
          <w:sz w:val="16"/>
          <w:szCs w:val="16"/>
        </w:rPr>
      </w:pPr>
    </w:p>
    <w:sectPr w:rsidR="008D2545" w:rsidRPr="00E06106" w:rsidSect="00500B07">
      <w:pgSz w:w="15840" w:h="12240" w:orient="landscape"/>
      <w:pgMar w:top="720" w:right="720" w:bottom="720" w:left="720" w:header="1051" w:footer="662"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BA5" w:rsidRDefault="00145BA5">
      <w:r>
        <w:separator/>
      </w:r>
    </w:p>
  </w:endnote>
  <w:endnote w:type="continuationSeparator" w:id="0">
    <w:p w:rsidR="00145BA5" w:rsidRDefault="00145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FOGN H+ Melior">
    <w:altName w:val="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BA5" w:rsidRDefault="00145BA5">
      <w:r>
        <w:separator/>
      </w:r>
    </w:p>
  </w:footnote>
  <w:footnote w:type="continuationSeparator" w:id="0">
    <w:p w:rsidR="00145BA5" w:rsidRDefault="00145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53" w:rsidRDefault="00CD0E53" w:rsidP="008863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0E53" w:rsidRDefault="00CD0E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E53" w:rsidRDefault="00CD0E53" w:rsidP="008863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F2D">
      <w:rPr>
        <w:rStyle w:val="PageNumber"/>
        <w:noProof/>
      </w:rPr>
      <w:t>14</w:t>
    </w:r>
    <w:r>
      <w:rPr>
        <w:rStyle w:val="PageNumber"/>
      </w:rPr>
      <w:fldChar w:fldCharType="end"/>
    </w:r>
  </w:p>
  <w:p w:rsidR="00CD0E53" w:rsidRDefault="00CD0E53" w:rsidP="0037088F">
    <w:pPr>
      <w:pStyle w:val="Header"/>
      <w:spacing w:line="24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90"/>
  </w:hdrShapeDefaults>
  <w:footnotePr>
    <w:footnote w:id="-1"/>
    <w:footnote w:id="0"/>
  </w:footnotePr>
  <w:endnotePr>
    <w:endnote w:id="-1"/>
    <w:endnote w:id="0"/>
  </w:endnotePr>
  <w:compat/>
  <w:rsids>
    <w:rsidRoot w:val="00A55779"/>
    <w:rsid w:val="00002EFF"/>
    <w:rsid w:val="00047E41"/>
    <w:rsid w:val="000933B1"/>
    <w:rsid w:val="000B2B14"/>
    <w:rsid w:val="000B4E44"/>
    <w:rsid w:val="000C1CCC"/>
    <w:rsid w:val="00117AFC"/>
    <w:rsid w:val="0012564A"/>
    <w:rsid w:val="0014353D"/>
    <w:rsid w:val="00145BA5"/>
    <w:rsid w:val="0017027D"/>
    <w:rsid w:val="00177A70"/>
    <w:rsid w:val="00186325"/>
    <w:rsid w:val="00191451"/>
    <w:rsid w:val="001C3BCD"/>
    <w:rsid w:val="002420AF"/>
    <w:rsid w:val="00253E2A"/>
    <w:rsid w:val="0027387A"/>
    <w:rsid w:val="0027751D"/>
    <w:rsid w:val="00292459"/>
    <w:rsid w:val="002C2308"/>
    <w:rsid w:val="00304B2A"/>
    <w:rsid w:val="00307ADF"/>
    <w:rsid w:val="00317CD2"/>
    <w:rsid w:val="00327FAE"/>
    <w:rsid w:val="00356578"/>
    <w:rsid w:val="00356669"/>
    <w:rsid w:val="0037088F"/>
    <w:rsid w:val="003A2107"/>
    <w:rsid w:val="003B27F7"/>
    <w:rsid w:val="004304EC"/>
    <w:rsid w:val="00454543"/>
    <w:rsid w:val="004659E6"/>
    <w:rsid w:val="0046636A"/>
    <w:rsid w:val="00472473"/>
    <w:rsid w:val="00475565"/>
    <w:rsid w:val="00492FB6"/>
    <w:rsid w:val="004C6B82"/>
    <w:rsid w:val="004D0753"/>
    <w:rsid w:val="004F246B"/>
    <w:rsid w:val="00500B07"/>
    <w:rsid w:val="0051315E"/>
    <w:rsid w:val="00576A27"/>
    <w:rsid w:val="00592159"/>
    <w:rsid w:val="005C6668"/>
    <w:rsid w:val="0060455B"/>
    <w:rsid w:val="00611CAE"/>
    <w:rsid w:val="00625740"/>
    <w:rsid w:val="00627AC5"/>
    <w:rsid w:val="00632921"/>
    <w:rsid w:val="00642C8C"/>
    <w:rsid w:val="00645F6A"/>
    <w:rsid w:val="00657EFF"/>
    <w:rsid w:val="006A4456"/>
    <w:rsid w:val="006B0809"/>
    <w:rsid w:val="006C61E2"/>
    <w:rsid w:val="006E3CCC"/>
    <w:rsid w:val="006F2D01"/>
    <w:rsid w:val="0070116C"/>
    <w:rsid w:val="0071455D"/>
    <w:rsid w:val="00761F98"/>
    <w:rsid w:val="007A7912"/>
    <w:rsid w:val="007D6115"/>
    <w:rsid w:val="007D6159"/>
    <w:rsid w:val="008058C4"/>
    <w:rsid w:val="008863AB"/>
    <w:rsid w:val="008C2C70"/>
    <w:rsid w:val="008D2545"/>
    <w:rsid w:val="00954D18"/>
    <w:rsid w:val="0097206E"/>
    <w:rsid w:val="00984A5C"/>
    <w:rsid w:val="00992F14"/>
    <w:rsid w:val="00A55779"/>
    <w:rsid w:val="00A71AD3"/>
    <w:rsid w:val="00A81042"/>
    <w:rsid w:val="00AD080C"/>
    <w:rsid w:val="00AE0145"/>
    <w:rsid w:val="00AE3E5D"/>
    <w:rsid w:val="00B17C9F"/>
    <w:rsid w:val="00B27796"/>
    <w:rsid w:val="00B5035F"/>
    <w:rsid w:val="00B61B71"/>
    <w:rsid w:val="00B85273"/>
    <w:rsid w:val="00B9788D"/>
    <w:rsid w:val="00BD5CE2"/>
    <w:rsid w:val="00C1039A"/>
    <w:rsid w:val="00C34EF1"/>
    <w:rsid w:val="00C77666"/>
    <w:rsid w:val="00CD00EC"/>
    <w:rsid w:val="00CD0E53"/>
    <w:rsid w:val="00CF1625"/>
    <w:rsid w:val="00D35B36"/>
    <w:rsid w:val="00D63C09"/>
    <w:rsid w:val="00D87FE4"/>
    <w:rsid w:val="00D96B62"/>
    <w:rsid w:val="00DC5972"/>
    <w:rsid w:val="00DC6A5A"/>
    <w:rsid w:val="00E06106"/>
    <w:rsid w:val="00E41801"/>
    <w:rsid w:val="00E624C5"/>
    <w:rsid w:val="00EA3484"/>
    <w:rsid w:val="00EB5BED"/>
    <w:rsid w:val="00EC31C6"/>
    <w:rsid w:val="00EE0F2D"/>
    <w:rsid w:val="00EE2D4C"/>
    <w:rsid w:val="00F03342"/>
    <w:rsid w:val="00F56245"/>
    <w:rsid w:val="00F600C4"/>
    <w:rsid w:val="00F6658E"/>
    <w:rsid w:val="00F972C0"/>
    <w:rsid w:val="00FE167B"/>
    <w:rsid w:val="00FE524E"/>
    <w:rsid w:val="00FE6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666"/>
    <w:pPr>
      <w:widowControl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77666"/>
  </w:style>
  <w:style w:type="paragraph" w:styleId="Header">
    <w:name w:val="header"/>
    <w:basedOn w:val="Normal"/>
    <w:rsid w:val="0037088F"/>
    <w:pPr>
      <w:tabs>
        <w:tab w:val="center" w:pos="4680"/>
        <w:tab w:val="right" w:pos="9360"/>
      </w:tabs>
    </w:pPr>
  </w:style>
  <w:style w:type="paragraph" w:styleId="Footer">
    <w:name w:val="footer"/>
    <w:basedOn w:val="Normal"/>
    <w:rsid w:val="0037088F"/>
    <w:pPr>
      <w:tabs>
        <w:tab w:val="center" w:pos="4680"/>
        <w:tab w:val="right" w:pos="9360"/>
      </w:tabs>
    </w:pPr>
  </w:style>
  <w:style w:type="paragraph" w:styleId="MacroText">
    <w:name w:val="macro"/>
    <w:semiHidden/>
    <w:rsid w:val="0037088F"/>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Hyperlink">
    <w:name w:val="Hyperlink"/>
    <w:basedOn w:val="DefaultParagraphFont"/>
    <w:rsid w:val="00E41801"/>
    <w:rPr>
      <w:color w:val="0000FF"/>
      <w:u w:val="single"/>
    </w:rPr>
  </w:style>
  <w:style w:type="character" w:customStyle="1" w:styleId="1">
    <w:name w:val="1"/>
    <w:rsid w:val="00CD00EC"/>
  </w:style>
  <w:style w:type="character" w:styleId="PageNumber">
    <w:name w:val="page number"/>
    <w:basedOn w:val="DefaultParagraphFont"/>
    <w:rsid w:val="00F56245"/>
  </w:style>
  <w:style w:type="paragraph" w:styleId="BalloonText">
    <w:name w:val="Balloon Text"/>
    <w:basedOn w:val="Normal"/>
    <w:semiHidden/>
    <w:rsid w:val="0012564A"/>
    <w:rPr>
      <w:rFonts w:ascii="Tahoma" w:hAnsi="Tahoma" w:cs="Tahoma"/>
      <w:sz w:val="16"/>
      <w:szCs w:val="16"/>
    </w:rPr>
  </w:style>
  <w:style w:type="paragraph" w:styleId="Revision">
    <w:name w:val="Revision"/>
    <w:hidden/>
    <w:uiPriority w:val="99"/>
    <w:semiHidden/>
    <w:rsid w:val="0027387A"/>
    <w:rPr>
      <w:sz w:val="24"/>
      <w:szCs w:val="24"/>
    </w:rPr>
  </w:style>
  <w:style w:type="character" w:styleId="CommentReference">
    <w:name w:val="annotation reference"/>
    <w:basedOn w:val="DefaultParagraphFont"/>
    <w:rsid w:val="0097206E"/>
    <w:rPr>
      <w:sz w:val="16"/>
      <w:szCs w:val="16"/>
    </w:rPr>
  </w:style>
  <w:style w:type="paragraph" w:styleId="CommentText">
    <w:name w:val="annotation text"/>
    <w:basedOn w:val="Normal"/>
    <w:link w:val="CommentTextChar"/>
    <w:rsid w:val="0097206E"/>
    <w:rPr>
      <w:sz w:val="20"/>
      <w:szCs w:val="20"/>
    </w:rPr>
  </w:style>
  <w:style w:type="character" w:customStyle="1" w:styleId="CommentTextChar">
    <w:name w:val="Comment Text Char"/>
    <w:basedOn w:val="DefaultParagraphFont"/>
    <w:link w:val="CommentText"/>
    <w:rsid w:val="0097206E"/>
  </w:style>
  <w:style w:type="paragraph" w:styleId="CommentSubject">
    <w:name w:val="annotation subject"/>
    <w:basedOn w:val="CommentText"/>
    <w:next w:val="CommentText"/>
    <w:link w:val="CommentSubjectChar"/>
    <w:rsid w:val="0097206E"/>
    <w:rPr>
      <w:b/>
      <w:bCs/>
    </w:rPr>
  </w:style>
  <w:style w:type="character" w:customStyle="1" w:styleId="CommentSubjectChar">
    <w:name w:val="Comment Subject Char"/>
    <w:basedOn w:val="CommentTextChar"/>
    <w:link w:val="CommentSubject"/>
    <w:rsid w:val="0097206E"/>
    <w:rPr>
      <w:b/>
      <w:bCs/>
    </w:rPr>
  </w:style>
</w:styles>
</file>

<file path=word/webSettings.xml><?xml version="1.0" encoding="utf-8"?>
<w:webSettings xmlns:r="http://schemas.openxmlformats.org/officeDocument/2006/relationships" xmlns:w="http://schemas.openxmlformats.org/wordprocessingml/2006/main">
  <w:divs>
    <w:div w:id="128325855">
      <w:bodyDiv w:val="1"/>
      <w:marLeft w:val="0"/>
      <w:marRight w:val="0"/>
      <w:marTop w:val="0"/>
      <w:marBottom w:val="0"/>
      <w:divBdr>
        <w:top w:val="none" w:sz="0" w:space="0" w:color="auto"/>
        <w:left w:val="none" w:sz="0" w:space="0" w:color="auto"/>
        <w:bottom w:val="none" w:sz="0" w:space="0" w:color="auto"/>
        <w:right w:val="none" w:sz="0" w:space="0" w:color="auto"/>
      </w:divBdr>
    </w:div>
    <w:div w:id="13524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5272</Words>
  <Characters>30055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subject/>
  <dc:creator>MDSADM10</dc:creator>
  <cp:keywords/>
  <dc:description/>
  <cp:lastModifiedBy>ckerwin</cp:lastModifiedBy>
  <cp:revision>2</cp:revision>
  <cp:lastPrinted>2009-06-30T21:52:00Z</cp:lastPrinted>
  <dcterms:created xsi:type="dcterms:W3CDTF">2011-10-26T20:24:00Z</dcterms:created>
  <dcterms:modified xsi:type="dcterms:W3CDTF">2011-10-26T20:24:00Z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C:\Documents and Settings\CKerwin\Local Settings\Temp\CWOWP\1712SS05.WPD</vt:lpwstr>
  </property>
  <property fmtid="{D5CDD505-2E9C-101B-9397-08002B2CF9AE}" pid="3" name="Converted State">
    <vt:lpwstr>True</vt:lpwstr>
  </property>
  <property fmtid="{D5CDD505-2E9C-101B-9397-08002B2CF9AE}" pid="4" name="Converted Date">
    <vt:lpwstr>28-Jun-2006</vt:lpwstr>
  </property>
  <property fmtid="{D5CDD505-2E9C-101B-9397-08002B2CF9AE}" pid="5" name="WPClean Version">
    <vt:lpwstr>2.8.1.4</vt:lpwstr>
  </property>
  <property fmtid="{D5CDD505-2E9C-101B-9397-08002B2CF9AE}" pid="6" name="CW Macro Package Integration">
    <vt:lpwstr>NONE</vt:lpwstr>
  </property>
</Properties>
</file>