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F3A" w:rsidRPr="00072CF4" w:rsidRDefault="006D4F3A" w:rsidP="006D4F3A">
      <w:pPr>
        <w:jc w:val="center"/>
        <w:rPr>
          <w:rFonts w:ascii="Times New Roman" w:hAnsi="Times New Roman"/>
          <w:b/>
        </w:rPr>
      </w:pPr>
      <w:r w:rsidRPr="00072CF4">
        <w:rPr>
          <w:rFonts w:ascii="Times New Roman" w:hAnsi="Times New Roman"/>
          <w:b/>
        </w:rPr>
        <w:t>SUPPORTING STATEMENT</w:t>
      </w:r>
    </w:p>
    <w:p w:rsidR="006D4F3A" w:rsidRDefault="006D4F3A" w:rsidP="006D4F3A">
      <w:pPr>
        <w:jc w:val="center"/>
        <w:rPr>
          <w:rFonts w:ascii="Times New Roman" w:hAnsi="Times New Roman"/>
        </w:rPr>
      </w:pPr>
      <w:r>
        <w:rPr>
          <w:rFonts w:ascii="Times New Roman" w:hAnsi="Times New Roman"/>
        </w:rPr>
        <w:t>Protection of Stratospheric Ozone: Critical Use Exemption from</w:t>
      </w:r>
      <w:r w:rsidR="00F24903">
        <w:rPr>
          <w:rFonts w:ascii="Times New Roman" w:hAnsi="Times New Roman"/>
        </w:rPr>
        <w:t xml:space="preserve"> the Phaseout of Methyl Bromide </w:t>
      </w:r>
      <w:r>
        <w:rPr>
          <w:rFonts w:ascii="Times New Roman" w:hAnsi="Times New Roman"/>
        </w:rPr>
        <w:t>(Renewal)</w:t>
      </w:r>
    </w:p>
    <w:p w:rsidR="006D4F3A" w:rsidRPr="00877602" w:rsidRDefault="006D4F3A">
      <w:pPr>
        <w:rPr>
          <w:rFonts w:ascii="Times New Roman" w:hAnsi="Times New Roman"/>
        </w:rPr>
      </w:pPr>
    </w:p>
    <w:p w:rsidR="00EA018D" w:rsidRPr="00877602" w:rsidRDefault="00EA018D">
      <w:pPr>
        <w:rPr>
          <w:rFonts w:ascii="Times New Roman" w:hAnsi="Times New Roman"/>
        </w:rPr>
      </w:pPr>
      <w:r w:rsidRPr="00877602">
        <w:rPr>
          <w:rFonts w:ascii="Times New Roman" w:hAnsi="Times New Roman"/>
        </w:rPr>
        <w:t xml:space="preserve">1.  </w:t>
      </w:r>
      <w:r w:rsidRPr="00877602">
        <w:rPr>
          <w:rFonts w:ascii="Times New Roman" w:hAnsi="Times New Roman"/>
          <w:u w:val="single"/>
        </w:rPr>
        <w:t>Identification of the Information Collection</w:t>
      </w:r>
    </w:p>
    <w:p w:rsidR="00EA018D" w:rsidRPr="00877602" w:rsidRDefault="00EA018D">
      <w:pPr>
        <w:rPr>
          <w:rFonts w:ascii="Times New Roman" w:hAnsi="Times New Roman"/>
        </w:rPr>
      </w:pPr>
    </w:p>
    <w:p w:rsidR="00EA018D" w:rsidRPr="00877602" w:rsidRDefault="00EA018D">
      <w:pPr>
        <w:tabs>
          <w:tab w:val="left" w:pos="-1440"/>
        </w:tabs>
        <w:ind w:left="720" w:hanging="720"/>
        <w:rPr>
          <w:rFonts w:ascii="Times New Roman" w:hAnsi="Times New Roman"/>
        </w:rPr>
      </w:pPr>
      <w:r w:rsidRPr="00877602">
        <w:rPr>
          <w:rFonts w:ascii="Times New Roman" w:hAnsi="Times New Roman"/>
        </w:rPr>
        <w:t>a)</w:t>
      </w:r>
      <w:r w:rsidRPr="00877602">
        <w:rPr>
          <w:rFonts w:ascii="Times New Roman" w:hAnsi="Times New Roman"/>
        </w:rPr>
        <w:tab/>
        <w:t>Title:</w:t>
      </w:r>
      <w:r w:rsidR="00E973CF" w:rsidRPr="00877602">
        <w:rPr>
          <w:rFonts w:ascii="Times New Roman" w:hAnsi="Times New Roman"/>
        </w:rPr>
        <w:t xml:space="preserve"> </w:t>
      </w:r>
      <w:r w:rsidR="00877602" w:rsidRPr="00877602">
        <w:rPr>
          <w:rFonts w:ascii="Times New Roman" w:hAnsi="Times New Roman"/>
        </w:rPr>
        <w:t xml:space="preserve">Protection of Stratospheric Ozone: </w:t>
      </w:r>
      <w:r w:rsidR="00877602">
        <w:rPr>
          <w:rFonts w:ascii="Times New Roman" w:hAnsi="Times New Roman"/>
        </w:rPr>
        <w:t>Critical U</w:t>
      </w:r>
      <w:r w:rsidR="00877602" w:rsidRPr="00877602">
        <w:rPr>
          <w:rFonts w:ascii="Times New Roman" w:hAnsi="Times New Roman"/>
        </w:rPr>
        <w:t>se Exemption from</w:t>
      </w:r>
      <w:r w:rsidR="00F24903">
        <w:rPr>
          <w:rFonts w:ascii="Times New Roman" w:hAnsi="Times New Roman"/>
        </w:rPr>
        <w:t xml:space="preserve"> the Phaseout of Methyl Bromide</w:t>
      </w:r>
    </w:p>
    <w:p w:rsidR="00EA018D" w:rsidRPr="00877602" w:rsidRDefault="00EA018D">
      <w:pPr>
        <w:rPr>
          <w:rFonts w:ascii="Times New Roman" w:hAnsi="Times New Roman"/>
        </w:rPr>
      </w:pPr>
    </w:p>
    <w:p w:rsidR="00EA018D" w:rsidRDefault="00EA018D" w:rsidP="006D4F3A">
      <w:pPr>
        <w:ind w:firstLine="720"/>
        <w:rPr>
          <w:rFonts w:ascii="Times New Roman" w:hAnsi="Times New Roman"/>
        </w:rPr>
      </w:pPr>
      <w:r w:rsidRPr="00877602">
        <w:rPr>
          <w:rFonts w:ascii="Times New Roman" w:hAnsi="Times New Roman"/>
        </w:rPr>
        <w:t xml:space="preserve">EPA </w:t>
      </w:r>
      <w:r w:rsidRPr="00DB2276">
        <w:rPr>
          <w:rFonts w:ascii="Times New Roman" w:hAnsi="Times New Roman"/>
        </w:rPr>
        <w:t>Number:</w:t>
      </w:r>
      <w:r w:rsidR="00F513E4" w:rsidRPr="00DB2276">
        <w:rPr>
          <w:rFonts w:ascii="Times New Roman" w:hAnsi="Times New Roman"/>
        </w:rPr>
        <w:t xml:space="preserve"> </w:t>
      </w:r>
      <w:r w:rsidR="00DB2276" w:rsidRPr="00DB2276">
        <w:rPr>
          <w:rFonts w:ascii="Times New Roman" w:hAnsi="Times New Roman"/>
        </w:rPr>
        <w:t>2031.06</w:t>
      </w:r>
    </w:p>
    <w:p w:rsidR="006D4F3A" w:rsidRDefault="006D4F3A" w:rsidP="006D4F3A">
      <w:pPr>
        <w:ind w:firstLine="720"/>
        <w:rPr>
          <w:rFonts w:ascii="Times New Roman" w:hAnsi="Times New Roman"/>
        </w:rPr>
      </w:pPr>
    </w:p>
    <w:p w:rsidR="006D4F3A" w:rsidRDefault="006D4F3A" w:rsidP="006D4F3A">
      <w:pPr>
        <w:ind w:firstLine="720"/>
        <w:rPr>
          <w:rFonts w:ascii="Times New Roman" w:hAnsi="Times New Roman"/>
        </w:rPr>
      </w:pPr>
      <w:r>
        <w:rPr>
          <w:rFonts w:ascii="Times New Roman" w:hAnsi="Times New Roman"/>
        </w:rPr>
        <w:t>OMB Control Number 2060-0482</w:t>
      </w:r>
    </w:p>
    <w:p w:rsidR="00A53112" w:rsidRPr="00877602" w:rsidRDefault="00C257EA" w:rsidP="00C257EA">
      <w:pPr>
        <w:tabs>
          <w:tab w:val="left" w:pos="3300"/>
        </w:tabs>
        <w:rPr>
          <w:rFonts w:ascii="Times New Roman" w:hAnsi="Times New Roman"/>
        </w:rPr>
      </w:pPr>
      <w:r>
        <w:rPr>
          <w:rFonts w:ascii="Times New Roman" w:hAnsi="Times New Roman"/>
        </w:rPr>
        <w:tab/>
      </w:r>
    </w:p>
    <w:p w:rsidR="00EA018D" w:rsidRPr="00877602" w:rsidRDefault="00EA018D">
      <w:pPr>
        <w:rPr>
          <w:rFonts w:ascii="Times New Roman" w:hAnsi="Times New Roman"/>
        </w:rPr>
      </w:pPr>
      <w:r w:rsidRPr="00877602">
        <w:rPr>
          <w:rFonts w:ascii="Times New Roman" w:hAnsi="Times New Roman"/>
        </w:rPr>
        <w:t>b)</w:t>
      </w:r>
      <w:r w:rsidRPr="00877602">
        <w:rPr>
          <w:rFonts w:ascii="Times New Roman" w:hAnsi="Times New Roman"/>
        </w:rPr>
        <w:tab/>
        <w:t>Short Characterization:</w:t>
      </w:r>
    </w:p>
    <w:p w:rsidR="00EA018D" w:rsidRPr="00877602" w:rsidRDefault="00EA018D">
      <w:pPr>
        <w:rPr>
          <w:rFonts w:ascii="Times New Roman" w:hAnsi="Times New Roman"/>
        </w:rPr>
      </w:pPr>
    </w:p>
    <w:p w:rsidR="00E26AD5" w:rsidRPr="00E26AD5" w:rsidRDefault="003A5007" w:rsidP="006038A6">
      <w:pPr>
        <w:ind w:firstLine="720"/>
        <w:rPr>
          <w:rFonts w:ascii="Times New Roman" w:hAnsi="Times New Roman"/>
        </w:rPr>
      </w:pPr>
      <w:r w:rsidRPr="003A5007">
        <w:rPr>
          <w:rFonts w:ascii="Times New Roman" w:hAnsi="Times New Roman"/>
        </w:rPr>
        <w:t xml:space="preserve">With this Information Collection Request (ICR), </w:t>
      </w:r>
      <w:r w:rsidR="005625AA">
        <w:rPr>
          <w:rFonts w:ascii="Times New Roman" w:hAnsi="Times New Roman"/>
        </w:rPr>
        <w:t>the Environmental Protection Agency’s (</w:t>
      </w:r>
      <w:r w:rsidRPr="003A5007">
        <w:rPr>
          <w:rFonts w:ascii="Times New Roman" w:hAnsi="Times New Roman"/>
        </w:rPr>
        <w:t>EP</w:t>
      </w:r>
      <w:r w:rsidR="005625AA">
        <w:rPr>
          <w:rFonts w:ascii="Times New Roman" w:hAnsi="Times New Roman"/>
        </w:rPr>
        <w:t>A)</w:t>
      </w:r>
      <w:r w:rsidRPr="003A5007">
        <w:rPr>
          <w:rFonts w:ascii="Times New Roman" w:hAnsi="Times New Roman"/>
        </w:rPr>
        <w:t xml:space="preserve"> Office of Air and Radiation (OAR) is seeking to renew </w:t>
      </w:r>
      <w:r w:rsidR="006038A6">
        <w:rPr>
          <w:rFonts w:ascii="Times New Roman" w:hAnsi="Times New Roman"/>
        </w:rPr>
        <w:t>the</w:t>
      </w:r>
      <w:r w:rsidRPr="003A5007">
        <w:rPr>
          <w:rFonts w:ascii="Times New Roman" w:hAnsi="Times New Roman"/>
        </w:rPr>
        <w:t xml:space="preserve"> existing ICR for </w:t>
      </w:r>
      <w:r w:rsidR="00E563A7">
        <w:rPr>
          <w:rFonts w:ascii="Times New Roman" w:hAnsi="Times New Roman"/>
        </w:rPr>
        <w:t>the methyl bromide critical use e</w:t>
      </w:r>
      <w:r>
        <w:rPr>
          <w:rFonts w:ascii="Times New Roman" w:hAnsi="Times New Roman"/>
        </w:rPr>
        <w:t>xemption program</w:t>
      </w:r>
      <w:r w:rsidR="00E26AD5">
        <w:rPr>
          <w:rFonts w:ascii="Times New Roman" w:hAnsi="Times New Roman"/>
        </w:rPr>
        <w:t xml:space="preserve"> </w:t>
      </w:r>
      <w:r w:rsidR="00DC1EFB">
        <w:rPr>
          <w:rFonts w:ascii="Times New Roman" w:hAnsi="Times New Roman"/>
        </w:rPr>
        <w:t xml:space="preserve">(CUE) </w:t>
      </w:r>
      <w:r w:rsidR="00E26AD5">
        <w:rPr>
          <w:rFonts w:ascii="Times New Roman" w:hAnsi="Times New Roman"/>
        </w:rPr>
        <w:t>under the Clean Air Act</w:t>
      </w:r>
      <w:r w:rsidR="006038A6">
        <w:rPr>
          <w:rFonts w:ascii="Times New Roman" w:hAnsi="Times New Roman"/>
        </w:rPr>
        <w:t xml:space="preserve">. </w:t>
      </w:r>
      <w:r w:rsidR="00E563A7" w:rsidRPr="00877602">
        <w:rPr>
          <w:rFonts w:ascii="Times New Roman" w:hAnsi="Times New Roman"/>
        </w:rPr>
        <w:t xml:space="preserve">This ICR seeks to characterize the burden associated with producing, importing, distributing, and using methyl bromide </w:t>
      </w:r>
      <w:r w:rsidR="00E563A7">
        <w:rPr>
          <w:rFonts w:ascii="Times New Roman" w:hAnsi="Times New Roman"/>
        </w:rPr>
        <w:t xml:space="preserve">under the critical use exemption program </w:t>
      </w:r>
      <w:r w:rsidR="00E563A7" w:rsidRPr="00877602">
        <w:rPr>
          <w:rFonts w:ascii="Times New Roman" w:hAnsi="Times New Roman"/>
        </w:rPr>
        <w:t xml:space="preserve">as described in 40 CFR Part 82. </w:t>
      </w:r>
      <w:r w:rsidR="006038A6">
        <w:rPr>
          <w:rFonts w:ascii="Times New Roman" w:hAnsi="Times New Roman"/>
        </w:rPr>
        <w:t xml:space="preserve">In addition, it includes the burden associated with applying for the critical use exemption. </w:t>
      </w:r>
      <w:r w:rsidR="00E44069">
        <w:rPr>
          <w:rFonts w:ascii="Times New Roman" w:hAnsi="Times New Roman"/>
        </w:rPr>
        <w:t>Entities applying for this exemption</w:t>
      </w:r>
      <w:r w:rsidR="00E26AD5" w:rsidRPr="00E26AD5">
        <w:rPr>
          <w:rFonts w:ascii="Times New Roman" w:hAnsi="Times New Roman"/>
        </w:rPr>
        <w:t xml:space="preserve"> are asked to submit to EPA applications with necessary data to evaluate the need for a critical use exempt</w:t>
      </w:r>
      <w:r w:rsidR="00E26AD5">
        <w:rPr>
          <w:rFonts w:ascii="Times New Roman" w:hAnsi="Times New Roman"/>
        </w:rPr>
        <w:t>ion.  This information collection</w:t>
      </w:r>
      <w:r w:rsidR="00E44069">
        <w:rPr>
          <w:rFonts w:ascii="Times New Roman" w:hAnsi="Times New Roman"/>
        </w:rPr>
        <w:t xml:space="preserve"> is </w:t>
      </w:r>
      <w:r w:rsidR="00E26AD5" w:rsidRPr="00E26AD5">
        <w:rPr>
          <w:rFonts w:ascii="Times New Roman" w:hAnsi="Times New Roman"/>
        </w:rPr>
        <w:t>conducted to meet U.S. obligations under Article 2H of the Montreal Protocol on Substances that Deplete the Ozone Lay</w:t>
      </w:r>
      <w:r w:rsidR="00E26AD5">
        <w:rPr>
          <w:rFonts w:ascii="Times New Roman" w:hAnsi="Times New Roman"/>
        </w:rPr>
        <w:t>er (Protocol) and to implement Section 604</w:t>
      </w:r>
      <w:r w:rsidR="00E26AD5" w:rsidRPr="00E26AD5">
        <w:rPr>
          <w:rFonts w:ascii="Times New Roman" w:hAnsi="Times New Roman"/>
        </w:rPr>
        <w:t xml:space="preserve">(d)(6) of the CAA, added by Section 764 of the 1999 Omnibus Consolidated and Emergency Supplemental Appropriations Act (Public Law No. 105-277; October 21, 1998).  </w:t>
      </w:r>
    </w:p>
    <w:p w:rsidR="00E26AD5" w:rsidRPr="00E26AD5" w:rsidRDefault="00E26AD5" w:rsidP="00E26AD5">
      <w:pPr>
        <w:ind w:firstLine="720"/>
        <w:rPr>
          <w:rFonts w:ascii="Times New Roman" w:hAnsi="Times New Roman"/>
        </w:rPr>
      </w:pPr>
      <w:r w:rsidRPr="00E26AD5">
        <w:rPr>
          <w:rFonts w:ascii="Times New Roman" w:hAnsi="Times New Roman"/>
        </w:rPr>
        <w:t>Since 2002, entities have applied to EPA for a critical use exemption that would allow fo</w:t>
      </w:r>
      <w:r w:rsidR="006038A6">
        <w:rPr>
          <w:rFonts w:ascii="Times New Roman" w:hAnsi="Times New Roman"/>
        </w:rPr>
        <w:t xml:space="preserve">r the continued production, </w:t>
      </w:r>
      <w:r w:rsidRPr="00E26AD5">
        <w:rPr>
          <w:rFonts w:ascii="Times New Roman" w:hAnsi="Times New Roman"/>
        </w:rPr>
        <w:t>import</w:t>
      </w:r>
      <w:r w:rsidR="006038A6">
        <w:rPr>
          <w:rFonts w:ascii="Times New Roman" w:hAnsi="Times New Roman"/>
        </w:rPr>
        <w:t>, and use</w:t>
      </w:r>
      <w:r w:rsidRPr="00E26AD5">
        <w:rPr>
          <w:rFonts w:ascii="Times New Roman" w:hAnsi="Times New Roman"/>
        </w:rPr>
        <w:t xml:space="preserve"> of methyl bromide after the </w:t>
      </w:r>
      <w:r w:rsidR="006038A6">
        <w:rPr>
          <w:rFonts w:ascii="Times New Roman" w:hAnsi="Times New Roman"/>
        </w:rPr>
        <w:t>phaseout in January 2005.  This exemption allows</w:t>
      </w:r>
      <w:r w:rsidRPr="00E26AD5">
        <w:rPr>
          <w:rFonts w:ascii="Times New Roman" w:hAnsi="Times New Roman"/>
        </w:rPr>
        <w:t xml:space="preserve"> for consumption only in those agricultural sectors that have demonstrated that there are no technically or economically feasible alternatives to methyl bromide.  The applications are rigorously assessed and analyzed by EPA experts from the Office of </w:t>
      </w:r>
      <w:r w:rsidR="00265CA5">
        <w:rPr>
          <w:rFonts w:ascii="Times New Roman" w:hAnsi="Times New Roman"/>
        </w:rPr>
        <w:t>Pesticide Programs</w:t>
      </w:r>
      <w:r w:rsidRPr="00E26AD5">
        <w:rPr>
          <w:rFonts w:ascii="Times New Roman" w:hAnsi="Times New Roman"/>
        </w:rPr>
        <w:t>.  On an annual basis, EPA</w:t>
      </w:r>
      <w:r w:rsidR="006038A6">
        <w:rPr>
          <w:rFonts w:ascii="Times New Roman" w:hAnsi="Times New Roman"/>
        </w:rPr>
        <w:t xml:space="preserve"> uses the data submitted by applicants to nominate</w:t>
      </w:r>
      <w:r w:rsidRPr="00E26AD5">
        <w:rPr>
          <w:rFonts w:ascii="Times New Roman" w:hAnsi="Times New Roman"/>
        </w:rPr>
        <w:t xml:space="preserve"> </w:t>
      </w:r>
      <w:r w:rsidR="006038A6">
        <w:rPr>
          <w:rFonts w:ascii="Times New Roman" w:hAnsi="Times New Roman"/>
        </w:rPr>
        <w:t xml:space="preserve">future </w:t>
      </w:r>
      <w:r w:rsidRPr="00E26AD5">
        <w:rPr>
          <w:rFonts w:ascii="Times New Roman" w:hAnsi="Times New Roman"/>
        </w:rPr>
        <w:t>critical uses</w:t>
      </w:r>
      <w:r w:rsidR="006038A6">
        <w:rPr>
          <w:rFonts w:ascii="Times New Roman" w:hAnsi="Times New Roman"/>
        </w:rPr>
        <w:t xml:space="preserve">. The Department of State, on behalf of the </w:t>
      </w:r>
      <w:r w:rsidR="00265CA5">
        <w:rPr>
          <w:rFonts w:ascii="Times New Roman" w:hAnsi="Times New Roman"/>
        </w:rPr>
        <w:t>U.S. Government</w:t>
      </w:r>
      <w:r w:rsidR="006038A6">
        <w:rPr>
          <w:rFonts w:ascii="Times New Roman" w:hAnsi="Times New Roman"/>
        </w:rPr>
        <w:t>,</w:t>
      </w:r>
      <w:r w:rsidR="00265CA5">
        <w:rPr>
          <w:rFonts w:ascii="Times New Roman" w:hAnsi="Times New Roman"/>
        </w:rPr>
        <w:t xml:space="preserve"> submits</w:t>
      </w:r>
      <w:r w:rsidRPr="00E26AD5">
        <w:rPr>
          <w:rFonts w:ascii="Times New Roman" w:hAnsi="Times New Roman"/>
        </w:rPr>
        <w:t xml:space="preserve"> </w:t>
      </w:r>
      <w:r w:rsidR="007F5ECB">
        <w:rPr>
          <w:rFonts w:ascii="Times New Roman" w:hAnsi="Times New Roman"/>
        </w:rPr>
        <w:t xml:space="preserve">the nomination to the Ozone Secretariat for their </w:t>
      </w:r>
      <w:r w:rsidRPr="00E26AD5">
        <w:rPr>
          <w:rFonts w:ascii="Times New Roman" w:hAnsi="Times New Roman"/>
        </w:rPr>
        <w:t>review</w:t>
      </w:r>
      <w:r w:rsidR="007F5ECB">
        <w:rPr>
          <w:rFonts w:ascii="Times New Roman" w:hAnsi="Times New Roman"/>
        </w:rPr>
        <w:t>.  That review includes analyses</w:t>
      </w:r>
      <w:r w:rsidRPr="00E26AD5">
        <w:rPr>
          <w:rFonts w:ascii="Times New Roman" w:hAnsi="Times New Roman"/>
        </w:rPr>
        <w:t xml:space="preserve"> by an international panel o</w:t>
      </w:r>
      <w:r w:rsidR="007F5ECB">
        <w:rPr>
          <w:rFonts w:ascii="Times New Roman" w:hAnsi="Times New Roman"/>
        </w:rPr>
        <w:t xml:space="preserve">f experts and advisory bodies: </w:t>
      </w:r>
      <w:r w:rsidRPr="00E26AD5">
        <w:rPr>
          <w:rFonts w:ascii="Times New Roman" w:hAnsi="Times New Roman"/>
        </w:rPr>
        <w:t xml:space="preserve">the Methyl Bromide Technical Options Committee (MBTOC) and the Technical and Economic Assessment Panel (TEAP).  </w:t>
      </w:r>
      <w:r w:rsidR="007F5ECB">
        <w:rPr>
          <w:rFonts w:ascii="Times New Roman" w:hAnsi="Times New Roman"/>
        </w:rPr>
        <w:t>EPA makes t</w:t>
      </w:r>
      <w:r w:rsidRPr="00E26AD5">
        <w:rPr>
          <w:rFonts w:ascii="Times New Roman" w:hAnsi="Times New Roman"/>
        </w:rPr>
        <w:t>he uses authorized internationally by the Parties to the Protocol available in the U.S. on an annual basis</w:t>
      </w:r>
      <w:r w:rsidR="007F5ECB">
        <w:rPr>
          <w:rFonts w:ascii="Times New Roman" w:hAnsi="Times New Roman"/>
        </w:rPr>
        <w:t xml:space="preserve"> through the annual critical use exemption allocation rulemaking</w:t>
      </w:r>
      <w:r w:rsidRPr="00E26AD5">
        <w:rPr>
          <w:rFonts w:ascii="Times New Roman" w:hAnsi="Times New Roman"/>
        </w:rPr>
        <w:t xml:space="preserve">.  </w:t>
      </w:r>
    </w:p>
    <w:p w:rsidR="00EA018D" w:rsidRPr="00877602" w:rsidRDefault="00EA018D">
      <w:pPr>
        <w:rPr>
          <w:rFonts w:ascii="Times New Roman" w:hAnsi="Times New Roman"/>
        </w:rPr>
      </w:pPr>
    </w:p>
    <w:p w:rsidR="00EA018D" w:rsidRPr="00877602" w:rsidRDefault="00EA018D">
      <w:pPr>
        <w:rPr>
          <w:rFonts w:ascii="Times New Roman" w:hAnsi="Times New Roman"/>
        </w:rPr>
      </w:pPr>
      <w:r w:rsidRPr="00877602">
        <w:rPr>
          <w:rFonts w:ascii="Times New Roman" w:hAnsi="Times New Roman"/>
        </w:rPr>
        <w:t>2.</w:t>
      </w:r>
      <w:r w:rsidRPr="00877602">
        <w:rPr>
          <w:rFonts w:ascii="Times New Roman" w:hAnsi="Times New Roman"/>
        </w:rPr>
        <w:tab/>
      </w:r>
      <w:r w:rsidRPr="00877602">
        <w:rPr>
          <w:rFonts w:ascii="Times New Roman" w:hAnsi="Times New Roman"/>
          <w:u w:val="single"/>
        </w:rPr>
        <w:t>Need For, and Use Of, the Collection</w:t>
      </w:r>
    </w:p>
    <w:p w:rsidR="00EA018D" w:rsidRPr="00877602" w:rsidRDefault="00EA018D">
      <w:pPr>
        <w:rPr>
          <w:rFonts w:ascii="Times New Roman" w:hAnsi="Times New Roman"/>
        </w:rPr>
      </w:pPr>
    </w:p>
    <w:p w:rsidR="00EA018D" w:rsidRPr="00877602" w:rsidRDefault="00EA018D">
      <w:pPr>
        <w:rPr>
          <w:rFonts w:ascii="Times New Roman" w:hAnsi="Times New Roman"/>
        </w:rPr>
      </w:pPr>
      <w:r w:rsidRPr="00877602">
        <w:rPr>
          <w:rFonts w:ascii="Times New Roman" w:hAnsi="Times New Roman"/>
        </w:rPr>
        <w:t>a)</w:t>
      </w:r>
      <w:r w:rsidRPr="00877602">
        <w:rPr>
          <w:rFonts w:ascii="Times New Roman" w:hAnsi="Times New Roman"/>
        </w:rPr>
        <w:tab/>
        <w:t>Authority for the Collection</w:t>
      </w:r>
    </w:p>
    <w:p w:rsidR="00EA018D" w:rsidRPr="00877602" w:rsidRDefault="00EA018D">
      <w:pPr>
        <w:rPr>
          <w:rFonts w:ascii="Times New Roman" w:hAnsi="Times New Roman"/>
        </w:rPr>
      </w:pPr>
    </w:p>
    <w:p w:rsidR="00EA018D" w:rsidRDefault="00EA018D">
      <w:pPr>
        <w:ind w:firstLine="720"/>
        <w:rPr>
          <w:rFonts w:ascii="Times New Roman" w:hAnsi="Times New Roman"/>
        </w:rPr>
      </w:pPr>
      <w:r w:rsidRPr="00877602">
        <w:rPr>
          <w:rFonts w:ascii="Times New Roman" w:hAnsi="Times New Roman"/>
        </w:rPr>
        <w:t xml:space="preserve">This information collection </w:t>
      </w:r>
      <w:r w:rsidR="00E563A7">
        <w:rPr>
          <w:rFonts w:ascii="Times New Roman" w:hAnsi="Times New Roman"/>
        </w:rPr>
        <w:t>is authorized under Section 604</w:t>
      </w:r>
      <w:r w:rsidRPr="00877602">
        <w:rPr>
          <w:rFonts w:ascii="Times New Roman" w:hAnsi="Times New Roman"/>
        </w:rPr>
        <w:t xml:space="preserve">(d)(6) of the Clean Air Act </w:t>
      </w:r>
      <w:r w:rsidRPr="00877602">
        <w:rPr>
          <w:rFonts w:ascii="Times New Roman" w:hAnsi="Times New Roman"/>
        </w:rPr>
        <w:lastRenderedPageBreak/>
        <w:t>Amendments of 1990, added by Section 764 of the 1999 Omnibus Consolidated and Emergency Supplemental Appropriations Act (Public Law No. 105-277; October 21, 1998).</w:t>
      </w:r>
    </w:p>
    <w:p w:rsidR="00E563A7" w:rsidRPr="00E563A7" w:rsidRDefault="00E563A7" w:rsidP="00E563A7">
      <w:pPr>
        <w:ind w:firstLine="720"/>
        <w:rPr>
          <w:rFonts w:ascii="Times New Roman" w:hAnsi="Times New Roman"/>
        </w:rPr>
      </w:pPr>
      <w:r w:rsidRPr="00E563A7">
        <w:rPr>
          <w:rFonts w:ascii="Times New Roman" w:hAnsi="Times New Roman"/>
        </w:rPr>
        <w:t xml:space="preserve">Because this action involves </w:t>
      </w:r>
      <w:r>
        <w:rPr>
          <w:rFonts w:ascii="Times New Roman" w:hAnsi="Times New Roman"/>
        </w:rPr>
        <w:t xml:space="preserve">the </w:t>
      </w:r>
      <w:r w:rsidRPr="00E563A7">
        <w:rPr>
          <w:rFonts w:ascii="Times New Roman" w:hAnsi="Times New Roman"/>
        </w:rPr>
        <w:t xml:space="preserve">controlled use of a pesticide, EPA’s Office </w:t>
      </w:r>
      <w:r w:rsidR="00927D44">
        <w:rPr>
          <w:rFonts w:ascii="Times New Roman" w:hAnsi="Times New Roman"/>
        </w:rPr>
        <w:t xml:space="preserve">of </w:t>
      </w:r>
      <w:r w:rsidRPr="00E563A7">
        <w:rPr>
          <w:rFonts w:ascii="Times New Roman" w:hAnsi="Times New Roman"/>
        </w:rPr>
        <w:t xml:space="preserve">Pesticide </w:t>
      </w:r>
      <w:r w:rsidR="00265CA5">
        <w:rPr>
          <w:rFonts w:ascii="Times New Roman" w:hAnsi="Times New Roman"/>
        </w:rPr>
        <w:t>Programs</w:t>
      </w:r>
      <w:r w:rsidRPr="00E563A7">
        <w:rPr>
          <w:rFonts w:ascii="Times New Roman" w:hAnsi="Times New Roman"/>
        </w:rPr>
        <w:t xml:space="preserve"> </w:t>
      </w:r>
      <w:r w:rsidR="007F5ECB">
        <w:rPr>
          <w:rFonts w:ascii="Times New Roman" w:hAnsi="Times New Roman"/>
        </w:rPr>
        <w:t>collaborates</w:t>
      </w:r>
      <w:r w:rsidRPr="00E563A7">
        <w:rPr>
          <w:rFonts w:ascii="Times New Roman" w:hAnsi="Times New Roman"/>
        </w:rPr>
        <w:t xml:space="preserve"> in the exemption application process.  The regulation of pesticides is conducted under the Federal Insecticide, Fungicide, and Rodenticide Act (FIFRA), as amended by the Food Quality Protection Act (FQPA).  </w:t>
      </w:r>
    </w:p>
    <w:p w:rsidR="00EA018D" w:rsidRPr="00877602" w:rsidRDefault="00EA018D">
      <w:pPr>
        <w:rPr>
          <w:rFonts w:ascii="Times New Roman" w:hAnsi="Times New Roman"/>
        </w:rPr>
      </w:pPr>
    </w:p>
    <w:p w:rsidR="00EA018D" w:rsidRPr="00877602" w:rsidRDefault="00EA018D">
      <w:pPr>
        <w:rPr>
          <w:rFonts w:ascii="Times New Roman" w:hAnsi="Times New Roman"/>
        </w:rPr>
      </w:pPr>
      <w:r w:rsidRPr="00877602">
        <w:rPr>
          <w:rFonts w:ascii="Times New Roman" w:hAnsi="Times New Roman"/>
        </w:rPr>
        <w:t>b)</w:t>
      </w:r>
      <w:r w:rsidRPr="00877602">
        <w:rPr>
          <w:rFonts w:ascii="Times New Roman" w:hAnsi="Times New Roman"/>
        </w:rPr>
        <w:tab/>
        <w:t>Practical Utility/Users of the Data</w:t>
      </w:r>
    </w:p>
    <w:p w:rsidR="00EA018D" w:rsidRDefault="00EA018D">
      <w:pPr>
        <w:rPr>
          <w:rFonts w:ascii="Times New Roman" w:hAnsi="Times New Roman"/>
        </w:rPr>
      </w:pPr>
    </w:p>
    <w:p w:rsidR="00040ED3" w:rsidRPr="00E563A7" w:rsidRDefault="00040ED3" w:rsidP="00040ED3">
      <w:pPr>
        <w:ind w:left="720"/>
        <w:rPr>
          <w:rFonts w:ascii="Times New Roman" w:hAnsi="Times New Roman"/>
        </w:rPr>
      </w:pPr>
      <w:r w:rsidRPr="00E563A7">
        <w:rPr>
          <w:rFonts w:ascii="Times New Roman" w:hAnsi="Times New Roman"/>
        </w:rPr>
        <w:t>The applications</w:t>
      </w:r>
      <w:r>
        <w:rPr>
          <w:rFonts w:ascii="Times New Roman" w:hAnsi="Times New Roman"/>
        </w:rPr>
        <w:t xml:space="preserve"> </w:t>
      </w:r>
      <w:r w:rsidRPr="00E563A7">
        <w:rPr>
          <w:rFonts w:ascii="Times New Roman" w:hAnsi="Times New Roman"/>
        </w:rPr>
        <w:t>enable EPA to:</w:t>
      </w:r>
    </w:p>
    <w:p w:rsidR="00040ED3" w:rsidRPr="00E563A7" w:rsidRDefault="00040ED3" w:rsidP="00040ED3">
      <w:pPr>
        <w:ind w:left="720"/>
        <w:rPr>
          <w:rFonts w:ascii="Times New Roman" w:hAnsi="Times New Roman"/>
        </w:rPr>
      </w:pPr>
    </w:p>
    <w:p w:rsidR="00040ED3" w:rsidRPr="00E563A7" w:rsidRDefault="00040ED3" w:rsidP="00B3298E">
      <w:pPr>
        <w:numPr>
          <w:ilvl w:val="0"/>
          <w:numId w:val="13"/>
        </w:numPr>
        <w:tabs>
          <w:tab w:val="left" w:pos="1170"/>
        </w:tabs>
        <w:ind w:left="1170" w:hanging="450"/>
        <w:rPr>
          <w:rFonts w:ascii="Times New Roman" w:hAnsi="Times New Roman"/>
        </w:rPr>
      </w:pPr>
      <w:r w:rsidRPr="00E563A7">
        <w:rPr>
          <w:rFonts w:ascii="Times New Roman" w:hAnsi="Times New Roman"/>
        </w:rPr>
        <w:t>Maintain consistency with the Protocol by supporting critical use nominations to the Parties to the Protocol, in accordance with paragraph 2 of Decision IX/6 of the Protocol;</w:t>
      </w:r>
    </w:p>
    <w:p w:rsidR="00040ED3" w:rsidRPr="00E563A7" w:rsidRDefault="00040ED3" w:rsidP="00B3298E">
      <w:pPr>
        <w:numPr>
          <w:ilvl w:val="0"/>
          <w:numId w:val="13"/>
        </w:numPr>
        <w:tabs>
          <w:tab w:val="left" w:pos="1170"/>
        </w:tabs>
        <w:ind w:left="1170" w:hanging="450"/>
        <w:rPr>
          <w:rFonts w:ascii="Times New Roman" w:hAnsi="Times New Roman"/>
        </w:rPr>
      </w:pPr>
      <w:r w:rsidRPr="00E563A7">
        <w:rPr>
          <w:rFonts w:ascii="Times New Roman" w:hAnsi="Times New Roman"/>
        </w:rPr>
        <w:t>Ensure that critical use exemptions comply with Section 604(d)(6), as added to the CAA in 1998;</w:t>
      </w:r>
    </w:p>
    <w:p w:rsidR="00040ED3" w:rsidRDefault="00040ED3" w:rsidP="00B3298E">
      <w:pPr>
        <w:numPr>
          <w:ilvl w:val="0"/>
          <w:numId w:val="13"/>
        </w:numPr>
        <w:tabs>
          <w:tab w:val="left" w:pos="1170"/>
        </w:tabs>
        <w:ind w:left="1170" w:hanging="450"/>
        <w:rPr>
          <w:rFonts w:ascii="Times New Roman" w:hAnsi="Times New Roman"/>
        </w:rPr>
      </w:pPr>
      <w:r w:rsidRPr="00E563A7">
        <w:rPr>
          <w:rFonts w:ascii="Times New Roman" w:hAnsi="Times New Roman"/>
        </w:rPr>
        <w:t>Provide EPA with necessary data to evaluate the technical and economic feasibility of methyl bromide alternatives in the circumstance of the specific use, as presented in an applicati</w:t>
      </w:r>
      <w:r w:rsidR="00B3298E">
        <w:rPr>
          <w:rFonts w:ascii="Times New Roman" w:hAnsi="Times New Roman"/>
        </w:rPr>
        <w:t>on for a critical use exemption.</w:t>
      </w:r>
    </w:p>
    <w:p w:rsidR="00040ED3" w:rsidRPr="00877602" w:rsidRDefault="00040ED3">
      <w:pPr>
        <w:rPr>
          <w:rFonts w:ascii="Times New Roman" w:hAnsi="Times New Roman"/>
        </w:rPr>
      </w:pPr>
    </w:p>
    <w:p w:rsidR="00EA018D" w:rsidRPr="00877602" w:rsidRDefault="00EA018D">
      <w:pPr>
        <w:ind w:firstLine="720"/>
        <w:rPr>
          <w:rFonts w:ascii="Times New Roman" w:hAnsi="Times New Roman"/>
        </w:rPr>
      </w:pPr>
      <w:r w:rsidRPr="00877602">
        <w:rPr>
          <w:rFonts w:ascii="Times New Roman" w:hAnsi="Times New Roman"/>
        </w:rPr>
        <w:t>The reported data enable EPA to:</w:t>
      </w:r>
    </w:p>
    <w:p w:rsidR="00A818B5" w:rsidRPr="00877602" w:rsidRDefault="00A818B5" w:rsidP="0062329C">
      <w:pPr>
        <w:ind w:left="720"/>
        <w:rPr>
          <w:rFonts w:ascii="Times New Roman" w:hAnsi="Times New Roman"/>
        </w:rPr>
      </w:pPr>
    </w:p>
    <w:p w:rsidR="00EA018D" w:rsidRPr="00877602" w:rsidRDefault="00EA018D" w:rsidP="00B3298E">
      <w:pPr>
        <w:numPr>
          <w:ilvl w:val="0"/>
          <w:numId w:val="15"/>
        </w:numPr>
        <w:tabs>
          <w:tab w:val="left" w:pos="1170"/>
        </w:tabs>
        <w:ind w:left="1170" w:hanging="450"/>
        <w:rPr>
          <w:rFonts w:ascii="Times New Roman" w:hAnsi="Times New Roman"/>
        </w:rPr>
      </w:pPr>
      <w:r w:rsidRPr="00877602">
        <w:rPr>
          <w:rFonts w:ascii="Times New Roman" w:hAnsi="Times New Roman"/>
        </w:rPr>
        <w:t xml:space="preserve">Ensure that critical use exemptions comply with Section 604(d)(6) as </w:t>
      </w:r>
      <w:r w:rsidR="00E563A7">
        <w:rPr>
          <w:rFonts w:ascii="Times New Roman" w:hAnsi="Times New Roman"/>
        </w:rPr>
        <w:t>added to the CAA</w:t>
      </w:r>
      <w:r w:rsidRPr="00877602">
        <w:rPr>
          <w:rFonts w:ascii="Times New Roman" w:hAnsi="Times New Roman"/>
        </w:rPr>
        <w:t xml:space="preserve"> in 1998;</w:t>
      </w:r>
    </w:p>
    <w:p w:rsidR="00EA018D" w:rsidRPr="00877602" w:rsidRDefault="00EA018D" w:rsidP="00B3298E">
      <w:pPr>
        <w:numPr>
          <w:ilvl w:val="0"/>
          <w:numId w:val="15"/>
        </w:numPr>
        <w:tabs>
          <w:tab w:val="left" w:pos="1170"/>
        </w:tabs>
        <w:ind w:left="1170" w:hanging="450"/>
        <w:rPr>
          <w:rFonts w:ascii="Times New Roman" w:hAnsi="Times New Roman"/>
        </w:rPr>
      </w:pPr>
      <w:r w:rsidRPr="00877602">
        <w:rPr>
          <w:rFonts w:ascii="Times New Roman" w:hAnsi="Times New Roman"/>
        </w:rPr>
        <w:t>Maintain compliance with the Protocol requirements for annual data submission on the production of ozone depleting substances;</w:t>
      </w:r>
    </w:p>
    <w:p w:rsidR="00EA018D" w:rsidRDefault="00EA018D" w:rsidP="00B3298E">
      <w:pPr>
        <w:numPr>
          <w:ilvl w:val="0"/>
          <w:numId w:val="15"/>
        </w:numPr>
        <w:tabs>
          <w:tab w:val="left" w:pos="1170"/>
        </w:tabs>
        <w:ind w:left="1170" w:hanging="450"/>
        <w:rPr>
          <w:rFonts w:ascii="Times New Roman" w:hAnsi="Times New Roman"/>
        </w:rPr>
      </w:pPr>
      <w:r w:rsidRPr="00877602">
        <w:rPr>
          <w:rFonts w:ascii="Times New Roman" w:hAnsi="Times New Roman"/>
        </w:rPr>
        <w:t>Analyze technical use data to ensure that exemptions are used in accordance with r</w:t>
      </w:r>
      <w:r w:rsidR="007F5ECB">
        <w:rPr>
          <w:rFonts w:ascii="Times New Roman" w:hAnsi="Times New Roman"/>
        </w:rPr>
        <w:t xml:space="preserve">equirements included in the annual allocation </w:t>
      </w:r>
      <w:r w:rsidRPr="00877602">
        <w:rPr>
          <w:rFonts w:ascii="Times New Roman" w:hAnsi="Times New Roman"/>
        </w:rPr>
        <w:t>rulemaking</w:t>
      </w:r>
      <w:r w:rsidR="007F5ECB">
        <w:rPr>
          <w:rFonts w:ascii="Times New Roman" w:hAnsi="Times New Roman"/>
        </w:rPr>
        <w:t>s</w:t>
      </w:r>
      <w:r w:rsidRPr="00877602">
        <w:rPr>
          <w:rFonts w:ascii="Times New Roman" w:hAnsi="Times New Roman"/>
        </w:rPr>
        <w:t>.</w:t>
      </w:r>
    </w:p>
    <w:p w:rsidR="00EA018D" w:rsidRPr="00877602" w:rsidRDefault="00EA018D">
      <w:pPr>
        <w:rPr>
          <w:rFonts w:ascii="Times New Roman" w:hAnsi="Times New Roman"/>
        </w:rPr>
      </w:pPr>
    </w:p>
    <w:p w:rsidR="00EA018D" w:rsidRPr="00877602" w:rsidRDefault="00EA018D">
      <w:pPr>
        <w:rPr>
          <w:rFonts w:ascii="Times New Roman" w:hAnsi="Times New Roman"/>
        </w:rPr>
      </w:pPr>
      <w:r w:rsidRPr="00877602">
        <w:rPr>
          <w:rFonts w:ascii="Times New Roman" w:hAnsi="Times New Roman"/>
        </w:rPr>
        <w:t>3.</w:t>
      </w:r>
      <w:r w:rsidRPr="00877602">
        <w:rPr>
          <w:rFonts w:ascii="Times New Roman" w:hAnsi="Times New Roman"/>
        </w:rPr>
        <w:tab/>
      </w:r>
      <w:r w:rsidRPr="00877602">
        <w:rPr>
          <w:rFonts w:ascii="Times New Roman" w:hAnsi="Times New Roman"/>
          <w:u w:val="single"/>
        </w:rPr>
        <w:t>Nonduplication, Consultation, and Other Collection Criteria</w:t>
      </w:r>
    </w:p>
    <w:p w:rsidR="00EA018D" w:rsidRPr="00877602" w:rsidRDefault="00EA018D">
      <w:pPr>
        <w:rPr>
          <w:rFonts w:ascii="Times New Roman" w:hAnsi="Times New Roman"/>
        </w:rPr>
      </w:pPr>
    </w:p>
    <w:p w:rsidR="00EA018D" w:rsidRPr="00877602" w:rsidRDefault="00EA018D">
      <w:pPr>
        <w:tabs>
          <w:tab w:val="left" w:pos="-1440"/>
        </w:tabs>
        <w:ind w:left="720" w:hanging="720"/>
        <w:rPr>
          <w:rFonts w:ascii="Times New Roman" w:hAnsi="Times New Roman"/>
        </w:rPr>
      </w:pPr>
      <w:r w:rsidRPr="00877602">
        <w:rPr>
          <w:rFonts w:ascii="Times New Roman" w:hAnsi="Times New Roman"/>
        </w:rPr>
        <w:t xml:space="preserve">a) </w:t>
      </w:r>
      <w:r w:rsidRPr="00877602">
        <w:rPr>
          <w:rFonts w:ascii="Times New Roman" w:hAnsi="Times New Roman"/>
        </w:rPr>
        <w:tab/>
        <w:t>Nonduplication</w:t>
      </w:r>
    </w:p>
    <w:p w:rsidR="00EA018D" w:rsidRPr="00877602" w:rsidRDefault="00EA018D">
      <w:pPr>
        <w:rPr>
          <w:rFonts w:ascii="Times New Roman" w:hAnsi="Times New Roman"/>
        </w:rPr>
      </w:pPr>
    </w:p>
    <w:p w:rsidR="00EA018D" w:rsidRPr="00877602" w:rsidRDefault="00EA018D">
      <w:pPr>
        <w:ind w:firstLine="720"/>
        <w:rPr>
          <w:rFonts w:ascii="Times New Roman" w:hAnsi="Times New Roman"/>
        </w:rPr>
      </w:pPr>
      <w:r w:rsidRPr="00877602">
        <w:rPr>
          <w:rFonts w:ascii="Times New Roman" w:hAnsi="Times New Roman"/>
        </w:rPr>
        <w:t xml:space="preserve">All the information requested from respondents under this ICR is authorized by statute (CAA </w:t>
      </w:r>
      <w:r w:rsidR="00040ED3">
        <w:rPr>
          <w:rFonts w:ascii="Times New Roman" w:hAnsi="Times New Roman"/>
        </w:rPr>
        <w:t>Sections 114 and 604</w:t>
      </w:r>
      <w:r w:rsidRPr="00877602">
        <w:rPr>
          <w:rFonts w:ascii="Times New Roman" w:hAnsi="Times New Roman"/>
        </w:rPr>
        <w:t>(d)(6)) and is not available from other sources because it is proprietary or sensitive information.</w:t>
      </w:r>
    </w:p>
    <w:p w:rsidR="00EA018D" w:rsidRPr="00877602" w:rsidRDefault="00EA018D">
      <w:pPr>
        <w:rPr>
          <w:rFonts w:ascii="Times New Roman" w:hAnsi="Times New Roman"/>
        </w:rPr>
      </w:pPr>
    </w:p>
    <w:p w:rsidR="00674F1A" w:rsidRPr="00877602" w:rsidRDefault="00040ED3">
      <w:pPr>
        <w:rPr>
          <w:rFonts w:ascii="Times New Roman" w:hAnsi="Times New Roman"/>
        </w:rPr>
      </w:pPr>
      <w:r>
        <w:rPr>
          <w:rFonts w:ascii="Times New Roman" w:hAnsi="Times New Roman"/>
        </w:rPr>
        <w:t>b)</w:t>
      </w:r>
      <w:r>
        <w:rPr>
          <w:rFonts w:ascii="Times New Roman" w:hAnsi="Times New Roman"/>
        </w:rPr>
        <w:tab/>
      </w:r>
      <w:r w:rsidR="00674F1A" w:rsidRPr="00877602">
        <w:rPr>
          <w:rFonts w:ascii="Times New Roman" w:hAnsi="Times New Roman"/>
        </w:rPr>
        <w:t>Public Notice</w:t>
      </w:r>
    </w:p>
    <w:p w:rsidR="00CC055D" w:rsidRPr="00877602" w:rsidRDefault="00CC055D">
      <w:pPr>
        <w:rPr>
          <w:rFonts w:ascii="Times New Roman" w:hAnsi="Times New Roman"/>
        </w:rPr>
      </w:pPr>
    </w:p>
    <w:p w:rsidR="00674F1A" w:rsidRDefault="00674F1A">
      <w:pPr>
        <w:rPr>
          <w:rFonts w:ascii="Times New Roman" w:hAnsi="Times New Roman"/>
        </w:rPr>
      </w:pPr>
      <w:r w:rsidRPr="00877602">
        <w:rPr>
          <w:rFonts w:ascii="Times New Roman" w:hAnsi="Times New Roman"/>
        </w:rPr>
        <w:tab/>
      </w:r>
      <w:r w:rsidR="002A29C3" w:rsidRPr="00877602">
        <w:rPr>
          <w:rFonts w:ascii="Times New Roman" w:hAnsi="Times New Roman"/>
        </w:rPr>
        <w:t>EPA provide</w:t>
      </w:r>
      <w:r w:rsidR="002A29C3">
        <w:rPr>
          <w:rFonts w:ascii="Times New Roman" w:hAnsi="Times New Roman"/>
        </w:rPr>
        <w:t>d</w:t>
      </w:r>
      <w:r w:rsidR="002A29C3" w:rsidRPr="00877602">
        <w:rPr>
          <w:rFonts w:ascii="Times New Roman" w:hAnsi="Times New Roman"/>
        </w:rPr>
        <w:t xml:space="preserve"> public notice and comment regarding this ICR with the publication of a notice in the Federal Register</w:t>
      </w:r>
      <w:r w:rsidR="002A29C3">
        <w:rPr>
          <w:rFonts w:ascii="Times New Roman" w:hAnsi="Times New Roman"/>
        </w:rPr>
        <w:t xml:space="preserve"> (76 FR 11447, 3/2/2011)</w:t>
      </w:r>
      <w:r w:rsidR="002A29C3" w:rsidRPr="00877602">
        <w:rPr>
          <w:rFonts w:ascii="Times New Roman" w:hAnsi="Times New Roman"/>
        </w:rPr>
        <w:t xml:space="preserve">.  </w:t>
      </w:r>
      <w:r w:rsidR="002A29C3">
        <w:rPr>
          <w:rFonts w:ascii="Times New Roman" w:hAnsi="Times New Roman"/>
        </w:rPr>
        <w:t xml:space="preserve">EPA received one comment generally opposed to a critical use exemption process for methyl bromide but without direct relevance to the burden imposed by the renewed information collection request.  </w:t>
      </w:r>
      <w:r w:rsidR="002A29C3" w:rsidRPr="00877602">
        <w:rPr>
          <w:rFonts w:ascii="Times New Roman" w:hAnsi="Times New Roman"/>
        </w:rPr>
        <w:t xml:space="preserve">This </w:t>
      </w:r>
      <w:r w:rsidR="002A29C3">
        <w:rPr>
          <w:rFonts w:ascii="Times New Roman" w:hAnsi="Times New Roman"/>
        </w:rPr>
        <w:t xml:space="preserve">second </w:t>
      </w:r>
      <w:r w:rsidR="002A29C3" w:rsidRPr="00877602">
        <w:rPr>
          <w:rFonts w:ascii="Times New Roman" w:hAnsi="Times New Roman"/>
        </w:rPr>
        <w:t xml:space="preserve">notice is being submitted to the Federal Register concurrent with submission of </w:t>
      </w:r>
      <w:r w:rsidR="00F23AD8">
        <w:rPr>
          <w:rFonts w:ascii="Times New Roman" w:hAnsi="Times New Roman"/>
        </w:rPr>
        <w:t>this</w:t>
      </w:r>
      <w:r w:rsidR="002A29C3" w:rsidRPr="00877602">
        <w:rPr>
          <w:rFonts w:ascii="Times New Roman" w:hAnsi="Times New Roman"/>
        </w:rPr>
        <w:t xml:space="preserve"> ICR request to </w:t>
      </w:r>
      <w:r w:rsidR="002A29C3">
        <w:rPr>
          <w:rFonts w:ascii="Times New Roman" w:hAnsi="Times New Roman"/>
        </w:rPr>
        <w:t>the Office of Management and Budget (</w:t>
      </w:r>
      <w:r w:rsidR="002A29C3" w:rsidRPr="00877602">
        <w:rPr>
          <w:rFonts w:ascii="Times New Roman" w:hAnsi="Times New Roman"/>
        </w:rPr>
        <w:t>OMB</w:t>
      </w:r>
      <w:r w:rsidR="002A29C3">
        <w:rPr>
          <w:rFonts w:ascii="Times New Roman" w:hAnsi="Times New Roman"/>
        </w:rPr>
        <w:t>)</w:t>
      </w:r>
      <w:r w:rsidR="002A29C3" w:rsidRPr="00877602">
        <w:rPr>
          <w:rFonts w:ascii="Times New Roman" w:hAnsi="Times New Roman"/>
        </w:rPr>
        <w:t xml:space="preserve">. </w:t>
      </w:r>
    </w:p>
    <w:p w:rsidR="007F5ECB" w:rsidRPr="00877602" w:rsidRDefault="007F5ECB">
      <w:pPr>
        <w:rPr>
          <w:rFonts w:ascii="Times New Roman" w:hAnsi="Times New Roman"/>
        </w:rPr>
      </w:pPr>
    </w:p>
    <w:p w:rsidR="00EA018D" w:rsidRPr="00877602" w:rsidRDefault="00674F1A">
      <w:pPr>
        <w:rPr>
          <w:rFonts w:ascii="Times New Roman" w:hAnsi="Times New Roman"/>
        </w:rPr>
      </w:pPr>
      <w:r w:rsidRPr="00877602">
        <w:rPr>
          <w:rFonts w:ascii="Times New Roman" w:hAnsi="Times New Roman"/>
        </w:rPr>
        <w:t>c</w:t>
      </w:r>
      <w:r w:rsidR="00EA018D" w:rsidRPr="00877602">
        <w:rPr>
          <w:rFonts w:ascii="Times New Roman" w:hAnsi="Times New Roman"/>
        </w:rPr>
        <w:t xml:space="preserve">)        </w:t>
      </w:r>
      <w:r w:rsidRPr="00877602">
        <w:rPr>
          <w:rFonts w:ascii="Times New Roman" w:hAnsi="Times New Roman"/>
        </w:rPr>
        <w:t>Consultations</w:t>
      </w:r>
    </w:p>
    <w:p w:rsidR="00040ED3" w:rsidRDefault="00040ED3">
      <w:pPr>
        <w:ind w:firstLine="720"/>
        <w:rPr>
          <w:rFonts w:ascii="Times New Roman" w:hAnsi="Times New Roman"/>
        </w:rPr>
      </w:pPr>
    </w:p>
    <w:p w:rsidR="00154E8B" w:rsidRDefault="00C91B8C" w:rsidP="00F62A3E">
      <w:pPr>
        <w:ind w:firstLine="720"/>
        <w:rPr>
          <w:rFonts w:ascii="Times New Roman" w:hAnsi="Times New Roman"/>
        </w:rPr>
      </w:pPr>
      <w:r>
        <w:rPr>
          <w:rFonts w:ascii="Times New Roman" w:hAnsi="Times New Roman"/>
        </w:rPr>
        <w:t xml:space="preserve">EPA consulted with </w:t>
      </w:r>
      <w:r w:rsidR="00154E8B">
        <w:rPr>
          <w:rFonts w:ascii="Times New Roman" w:hAnsi="Times New Roman"/>
        </w:rPr>
        <w:t xml:space="preserve">Gary Obenauf of Agricultural Research Consulting, </w:t>
      </w:r>
      <w:r>
        <w:rPr>
          <w:rFonts w:ascii="Times New Roman" w:hAnsi="Times New Roman"/>
        </w:rPr>
        <w:t>Paul Niday of Trical and Ann Oxford of Albemarle</w:t>
      </w:r>
      <w:r w:rsidR="00154E8B">
        <w:rPr>
          <w:rFonts w:ascii="Times New Roman" w:hAnsi="Times New Roman"/>
        </w:rPr>
        <w:t xml:space="preserve"> to seek input on the forms as well as the estimated burden numbers in the ICR supporting statement</w:t>
      </w:r>
      <w:r>
        <w:rPr>
          <w:rFonts w:ascii="Times New Roman" w:hAnsi="Times New Roman"/>
        </w:rPr>
        <w:t xml:space="preserve">.  </w:t>
      </w:r>
    </w:p>
    <w:p w:rsidR="00BB6E78" w:rsidRDefault="00154E8B" w:rsidP="00154E8B">
      <w:pPr>
        <w:ind w:firstLine="720"/>
        <w:rPr>
          <w:rFonts w:ascii="Times New Roman" w:hAnsi="Times New Roman"/>
        </w:rPr>
      </w:pPr>
      <w:r>
        <w:rPr>
          <w:rFonts w:ascii="Times New Roman" w:hAnsi="Times New Roman"/>
        </w:rPr>
        <w:t xml:space="preserve">Mr. Obenauf has prepared multiple CUE applications over the past several years.  He noted that the </w:t>
      </w:r>
      <w:r w:rsidRPr="00154E8B">
        <w:rPr>
          <w:rFonts w:ascii="Times New Roman" w:hAnsi="Times New Roman"/>
        </w:rPr>
        <w:t>$100.86</w:t>
      </w:r>
      <w:r>
        <w:rPr>
          <w:rFonts w:ascii="Times New Roman" w:hAnsi="Times New Roman"/>
        </w:rPr>
        <w:t xml:space="preserve">/hour cost for preparing the application forms is low.  EPA based that cost on </w:t>
      </w:r>
      <w:r w:rsidRPr="006B5C69">
        <w:rPr>
          <w:rFonts w:ascii="Times New Roman" w:hAnsi="Times New Roman"/>
        </w:rPr>
        <w:t xml:space="preserve">the </w:t>
      </w:r>
      <w:r>
        <w:rPr>
          <w:rFonts w:ascii="Times New Roman" w:hAnsi="Times New Roman"/>
        </w:rPr>
        <w:t>estimated</w:t>
      </w:r>
      <w:r w:rsidRPr="006B5C69">
        <w:rPr>
          <w:rFonts w:ascii="Times New Roman" w:hAnsi="Times New Roman"/>
        </w:rPr>
        <w:t xml:space="preserve"> hourly </w:t>
      </w:r>
      <w:r>
        <w:rPr>
          <w:rFonts w:ascii="Times New Roman" w:hAnsi="Times New Roman"/>
        </w:rPr>
        <w:t xml:space="preserve">mean </w:t>
      </w:r>
      <w:r w:rsidRPr="006B5C69">
        <w:rPr>
          <w:rFonts w:ascii="Times New Roman" w:hAnsi="Times New Roman"/>
        </w:rPr>
        <w:t xml:space="preserve">wage rate for </w:t>
      </w:r>
      <w:r>
        <w:rPr>
          <w:rFonts w:ascii="Times New Roman" w:hAnsi="Times New Roman"/>
        </w:rPr>
        <w:t xml:space="preserve">management within the </w:t>
      </w:r>
      <w:r w:rsidRPr="004179C4">
        <w:rPr>
          <w:rFonts w:ascii="Times New Roman" w:hAnsi="Times New Roman"/>
        </w:rPr>
        <w:t>Pesticide, Fertilizer, &amp; Other Agricultural Chemical Manufacturing</w:t>
      </w:r>
      <w:r>
        <w:rPr>
          <w:rFonts w:ascii="Times New Roman" w:hAnsi="Times New Roman"/>
        </w:rPr>
        <w:t xml:space="preserve"> sector</w:t>
      </w:r>
      <w:r w:rsidRPr="004179C4">
        <w:rPr>
          <w:rFonts w:ascii="Times New Roman" w:hAnsi="Times New Roman"/>
        </w:rPr>
        <w:t xml:space="preserve"> </w:t>
      </w:r>
      <w:r>
        <w:rPr>
          <w:rFonts w:ascii="Times New Roman" w:hAnsi="Times New Roman"/>
        </w:rPr>
        <w:t>(325300 Series NAICS code). Most CUE applications are prepared by consultants, not members of the agricultural chemical m</w:t>
      </w:r>
      <w:r w:rsidRPr="004179C4">
        <w:rPr>
          <w:rFonts w:ascii="Times New Roman" w:hAnsi="Times New Roman"/>
        </w:rPr>
        <w:t>anufacturing</w:t>
      </w:r>
      <w:r>
        <w:rPr>
          <w:rFonts w:ascii="Times New Roman" w:hAnsi="Times New Roman"/>
        </w:rPr>
        <w:t xml:space="preserve"> sector. EPA has revised the cost estimate to</w:t>
      </w:r>
      <w:r w:rsidR="00BB6E78">
        <w:rPr>
          <w:rFonts w:ascii="Times New Roman" w:hAnsi="Times New Roman"/>
        </w:rPr>
        <w:t xml:space="preserve"> reflect the estimated</w:t>
      </w:r>
      <w:r w:rsidR="00BB6E78" w:rsidRPr="006B5C69">
        <w:rPr>
          <w:rFonts w:ascii="Times New Roman" w:hAnsi="Times New Roman"/>
        </w:rPr>
        <w:t xml:space="preserve"> hourly </w:t>
      </w:r>
      <w:r w:rsidR="00BB6E78">
        <w:rPr>
          <w:rFonts w:ascii="Times New Roman" w:hAnsi="Times New Roman"/>
        </w:rPr>
        <w:t xml:space="preserve">mean </w:t>
      </w:r>
      <w:r w:rsidR="00BB6E78" w:rsidRPr="006B5C69">
        <w:rPr>
          <w:rFonts w:ascii="Times New Roman" w:hAnsi="Times New Roman"/>
        </w:rPr>
        <w:t>wage rate</w:t>
      </w:r>
      <w:r w:rsidR="00BB6E78">
        <w:rPr>
          <w:rFonts w:ascii="Times New Roman" w:hAnsi="Times New Roman"/>
        </w:rPr>
        <w:t xml:space="preserve"> of $136.93</w:t>
      </w:r>
      <w:r w:rsidR="00BB6E78" w:rsidRPr="006B5C69">
        <w:rPr>
          <w:rFonts w:ascii="Times New Roman" w:hAnsi="Times New Roman"/>
        </w:rPr>
        <w:t xml:space="preserve"> for </w:t>
      </w:r>
      <w:r w:rsidR="00BB6E78">
        <w:rPr>
          <w:rFonts w:ascii="Times New Roman" w:hAnsi="Times New Roman"/>
        </w:rPr>
        <w:t xml:space="preserve">management within the </w:t>
      </w:r>
      <w:r w:rsidR="00BB6E78" w:rsidRPr="00BB6E78">
        <w:rPr>
          <w:rFonts w:ascii="Times New Roman" w:hAnsi="Times New Roman"/>
        </w:rPr>
        <w:t>Management, Scientific, and Technical Consulting Services</w:t>
      </w:r>
      <w:r w:rsidR="00BB6E78">
        <w:rPr>
          <w:rFonts w:ascii="Times New Roman" w:hAnsi="Times New Roman"/>
        </w:rPr>
        <w:t xml:space="preserve"> sector</w:t>
      </w:r>
      <w:r w:rsidR="00BB6E78" w:rsidRPr="004179C4">
        <w:rPr>
          <w:rFonts w:ascii="Times New Roman" w:hAnsi="Times New Roman"/>
        </w:rPr>
        <w:t xml:space="preserve"> </w:t>
      </w:r>
      <w:r w:rsidR="00BB6E78">
        <w:rPr>
          <w:rFonts w:ascii="Times New Roman" w:hAnsi="Times New Roman"/>
        </w:rPr>
        <w:t>(541600 Series NAICS code).</w:t>
      </w:r>
    </w:p>
    <w:p w:rsidR="00154E8B" w:rsidRDefault="00154E8B" w:rsidP="00293A74">
      <w:pPr>
        <w:ind w:firstLine="720"/>
        <w:rPr>
          <w:rFonts w:ascii="Times New Roman" w:hAnsi="Times New Roman"/>
        </w:rPr>
      </w:pPr>
      <w:r>
        <w:rPr>
          <w:rFonts w:ascii="Times New Roman" w:hAnsi="Times New Roman"/>
        </w:rPr>
        <w:t xml:space="preserve">Mrs. Oxford </w:t>
      </w:r>
      <w:r w:rsidR="00293A74">
        <w:rPr>
          <w:rFonts w:ascii="Times New Roman" w:hAnsi="Times New Roman"/>
        </w:rPr>
        <w:t xml:space="preserve">completes forms applicable to producers, distributors, and applicators and is thus familiar with the various forms authorized under this ICR. She noted that the </w:t>
      </w:r>
      <w:r w:rsidR="00293A74" w:rsidRPr="00154E8B">
        <w:rPr>
          <w:rFonts w:ascii="Times New Roman" w:hAnsi="Times New Roman"/>
        </w:rPr>
        <w:t>$100.86</w:t>
      </w:r>
      <w:r w:rsidR="00293A74">
        <w:rPr>
          <w:rFonts w:ascii="Times New Roman" w:hAnsi="Times New Roman"/>
        </w:rPr>
        <w:t xml:space="preserve">/hour cost is a fair estimate of costs. She also found the hourly burden numbers to be accurate.  She </w:t>
      </w:r>
      <w:r>
        <w:rPr>
          <w:rFonts w:ascii="Times New Roman" w:hAnsi="Times New Roman"/>
        </w:rPr>
        <w:t xml:space="preserve">commented that there is some redundancy between the forms, especially for businesses that complete multiple forms.  EPA reviewed the forms to determine whether redundant fields on forms can be deleted.  As a result, the revised producer and importer forms no longer contain “CSA allowance balance” fields.  Producers and importers cannot produce or import pre-phaseout inventory so these fields are unnecessary and the information is captured in the CSA form.  </w:t>
      </w:r>
      <w:r w:rsidR="00293A74">
        <w:rPr>
          <w:rFonts w:ascii="Times New Roman" w:hAnsi="Times New Roman"/>
        </w:rPr>
        <w:t>Mrs. Oxford also noted that the “Notification of Methyl Bromide Transfers” form contains an arithmetic error in the formula for calculating the offset.  EPA has corrected the error and clarified the equation in the new form.</w:t>
      </w:r>
    </w:p>
    <w:p w:rsidR="00B449DA" w:rsidRDefault="00293A74" w:rsidP="00293A74">
      <w:pPr>
        <w:ind w:firstLine="720"/>
        <w:rPr>
          <w:rFonts w:ascii="Times New Roman" w:hAnsi="Times New Roman"/>
        </w:rPr>
      </w:pPr>
      <w:r>
        <w:rPr>
          <w:rFonts w:ascii="Times New Roman" w:hAnsi="Times New Roman"/>
        </w:rPr>
        <w:t xml:space="preserve">Mr. Niday also completes forms applicable to producers, distributors, and applicators and is familiar with the various forms authorized under this ICR. He also noted the redundancy between forms.  </w:t>
      </w:r>
      <w:r w:rsidR="00B449DA">
        <w:rPr>
          <w:rFonts w:ascii="Times New Roman" w:hAnsi="Times New Roman"/>
        </w:rPr>
        <w:t xml:space="preserve">Mr. Niday also expressed confusion about whether the “Pre-2005 Stocks” and “Sales of Critical Use Methyl Bromide” forms are </w:t>
      </w:r>
      <w:r w:rsidR="00947063">
        <w:rPr>
          <w:rFonts w:ascii="Times New Roman" w:hAnsi="Times New Roman"/>
        </w:rPr>
        <w:t xml:space="preserve">to be reported </w:t>
      </w:r>
      <w:r w:rsidR="00B449DA">
        <w:rPr>
          <w:rFonts w:ascii="Times New Roman" w:hAnsi="Times New Roman"/>
        </w:rPr>
        <w:t>annual</w:t>
      </w:r>
      <w:r w:rsidR="00947063">
        <w:rPr>
          <w:rFonts w:ascii="Times New Roman" w:hAnsi="Times New Roman"/>
        </w:rPr>
        <w:t>ly</w:t>
      </w:r>
      <w:r w:rsidR="00B449DA">
        <w:rPr>
          <w:rFonts w:ascii="Times New Roman" w:hAnsi="Times New Roman"/>
        </w:rPr>
        <w:t xml:space="preserve"> or quarterly.  While EPA has allowed quarterly reporting of these two forms, only a few companies did so and in some instances did both</w:t>
      </w:r>
      <w:r w:rsidR="00F62A3E">
        <w:rPr>
          <w:rFonts w:ascii="Times New Roman" w:hAnsi="Times New Roman"/>
        </w:rPr>
        <w:t>.  EPA’s regulations only require annual reporting for these two pieces of information so EPA is clarifying in the new forms that they are only to be submitted annually.  EPA has also tried to simplify the sales form to make it more user-friendly.  EPA believes these changes will reduce confusion and burden for businesses completing these two forms.</w:t>
      </w:r>
    </w:p>
    <w:p w:rsidR="00154E8B" w:rsidRDefault="00F62A3E" w:rsidP="00154E8B">
      <w:pPr>
        <w:ind w:firstLine="720"/>
        <w:rPr>
          <w:rFonts w:ascii="Times New Roman" w:hAnsi="Times New Roman"/>
        </w:rPr>
      </w:pPr>
      <w:r>
        <w:rPr>
          <w:rFonts w:ascii="Times New Roman" w:hAnsi="Times New Roman"/>
        </w:rPr>
        <w:t xml:space="preserve">EPA welcomes continued input on the user-friendliness of the required forms.  For example, EPA has also revised all of the forms so that </w:t>
      </w:r>
      <w:r w:rsidRPr="00F62A3E">
        <w:rPr>
          <w:rFonts w:ascii="Times New Roman" w:hAnsi="Times New Roman"/>
        </w:rPr>
        <w:t>the cell with the original submit</w:t>
      </w:r>
      <w:r>
        <w:rPr>
          <w:rFonts w:ascii="Times New Roman" w:hAnsi="Times New Roman"/>
        </w:rPr>
        <w:t>tal and re-submittal check boxes</w:t>
      </w:r>
      <w:r w:rsidRPr="00F62A3E">
        <w:rPr>
          <w:rFonts w:ascii="Times New Roman" w:hAnsi="Times New Roman"/>
        </w:rPr>
        <w:t xml:space="preserve"> has a white background</w:t>
      </w:r>
      <w:r>
        <w:rPr>
          <w:rFonts w:ascii="Times New Roman" w:hAnsi="Times New Roman"/>
        </w:rPr>
        <w:t>.  Previously the background was black so any marks in the check boxes were not visible.</w:t>
      </w:r>
    </w:p>
    <w:p w:rsidR="00EA018D" w:rsidRPr="00877602" w:rsidRDefault="00EA018D">
      <w:pPr>
        <w:rPr>
          <w:rFonts w:ascii="Times New Roman" w:hAnsi="Times New Roman"/>
        </w:rPr>
      </w:pPr>
    </w:p>
    <w:p w:rsidR="00EA018D" w:rsidRPr="00877602" w:rsidRDefault="00674F1A">
      <w:pPr>
        <w:rPr>
          <w:rFonts w:ascii="Times New Roman" w:hAnsi="Times New Roman"/>
        </w:rPr>
      </w:pPr>
      <w:r w:rsidRPr="00877602">
        <w:rPr>
          <w:rFonts w:ascii="Times New Roman" w:hAnsi="Times New Roman"/>
        </w:rPr>
        <w:t>d</w:t>
      </w:r>
      <w:r w:rsidR="00EA018D" w:rsidRPr="00877602">
        <w:rPr>
          <w:rFonts w:ascii="Times New Roman" w:hAnsi="Times New Roman"/>
        </w:rPr>
        <w:t>)       Effects of Less Frequent Collection</w:t>
      </w:r>
    </w:p>
    <w:p w:rsidR="00EA018D" w:rsidRPr="00877602" w:rsidRDefault="00EA018D">
      <w:pPr>
        <w:rPr>
          <w:rFonts w:ascii="Times New Roman" w:hAnsi="Times New Roman"/>
        </w:rPr>
      </w:pPr>
    </w:p>
    <w:p w:rsidR="00EA018D" w:rsidRDefault="005750DD">
      <w:pPr>
        <w:ind w:firstLine="720"/>
        <w:rPr>
          <w:rFonts w:ascii="Times New Roman" w:hAnsi="Times New Roman"/>
        </w:rPr>
      </w:pPr>
      <w:r>
        <w:rPr>
          <w:rFonts w:ascii="Times New Roman" w:hAnsi="Times New Roman"/>
        </w:rPr>
        <w:t xml:space="preserve">EPA’s timing for information collection is motivated by the U.S. Government’s requirements under the Montreal Protocol.  </w:t>
      </w:r>
      <w:r w:rsidR="009F5B1C">
        <w:rPr>
          <w:rFonts w:ascii="Times New Roman" w:hAnsi="Times New Roman"/>
        </w:rPr>
        <w:t>First, t</w:t>
      </w:r>
      <w:r w:rsidRPr="005750DD">
        <w:rPr>
          <w:rFonts w:ascii="Times New Roman" w:hAnsi="Times New Roman"/>
        </w:rPr>
        <w:t xml:space="preserve">he timeline for critical use applications coincides with the critical use nomination process established by the Parties to the Montreal Protocol.  Any deviation from that timeline would result in a forfeiture from inclusion in the U.S. nomination package and </w:t>
      </w:r>
      <w:r w:rsidRPr="005750DD">
        <w:rPr>
          <w:rFonts w:ascii="Times New Roman" w:hAnsi="Times New Roman"/>
        </w:rPr>
        <w:lastRenderedPageBreak/>
        <w:t>subsequent consideration by the Parties.</w:t>
      </w:r>
      <w:r w:rsidR="009F5B1C">
        <w:rPr>
          <w:rFonts w:ascii="Times New Roman" w:hAnsi="Times New Roman"/>
        </w:rPr>
        <w:t xml:space="preserve">  Second, t</w:t>
      </w:r>
      <w:r w:rsidR="00EA018D" w:rsidRPr="00877602">
        <w:rPr>
          <w:rFonts w:ascii="Times New Roman" w:hAnsi="Times New Roman"/>
        </w:rPr>
        <w:t>he U.S. government is required to report data to the Ozone Secretariat on an annual basis.  EPA is requesting quarterly reporting from producers and importers</w:t>
      </w:r>
      <w:r w:rsidR="00BA50B7" w:rsidRPr="00877602">
        <w:rPr>
          <w:rFonts w:ascii="Times New Roman" w:hAnsi="Times New Roman"/>
        </w:rPr>
        <w:t xml:space="preserve"> of methyl bromide</w:t>
      </w:r>
      <w:r w:rsidR="00EA018D" w:rsidRPr="00877602">
        <w:rPr>
          <w:rFonts w:ascii="Times New Roman" w:hAnsi="Times New Roman"/>
        </w:rPr>
        <w:t xml:space="preserve"> to monitor the likelihood of </w:t>
      </w:r>
      <w:r w:rsidR="00BA50B7" w:rsidRPr="00877602">
        <w:rPr>
          <w:rFonts w:ascii="Times New Roman" w:hAnsi="Times New Roman"/>
        </w:rPr>
        <w:t>compliance throughout the year.  T</w:t>
      </w:r>
      <w:r w:rsidR="00EA018D" w:rsidRPr="00877602">
        <w:rPr>
          <w:rFonts w:ascii="Times New Roman" w:hAnsi="Times New Roman"/>
        </w:rPr>
        <w:t>hese entities typically prepare quarterly reports and prefer to report smaller data sets to EPA and not leave the entire task to the end of the year.  EPA is requesting annual reporting fr</w:t>
      </w:r>
      <w:r w:rsidR="00BA50B7" w:rsidRPr="00877602">
        <w:rPr>
          <w:rFonts w:ascii="Times New Roman" w:hAnsi="Times New Roman"/>
        </w:rPr>
        <w:t xml:space="preserve">om </w:t>
      </w:r>
      <w:r w:rsidR="00EA7764" w:rsidRPr="00877602">
        <w:rPr>
          <w:rFonts w:ascii="Times New Roman" w:hAnsi="Times New Roman"/>
        </w:rPr>
        <w:t>entities</w:t>
      </w:r>
      <w:r w:rsidR="00BA50B7" w:rsidRPr="00877602">
        <w:rPr>
          <w:rFonts w:ascii="Times New Roman" w:hAnsi="Times New Roman"/>
        </w:rPr>
        <w:t xml:space="preserve"> such as distri</w:t>
      </w:r>
      <w:r w:rsidR="009F5B1C">
        <w:rPr>
          <w:rFonts w:ascii="Times New Roman" w:hAnsi="Times New Roman"/>
        </w:rPr>
        <w:t>butors and fumigation companies</w:t>
      </w:r>
      <w:r w:rsidR="00BA50B7" w:rsidRPr="00877602">
        <w:rPr>
          <w:rFonts w:ascii="Times New Roman" w:hAnsi="Times New Roman"/>
        </w:rPr>
        <w:t xml:space="preserve"> because they typically</w:t>
      </w:r>
      <w:r w:rsidR="00EA7764" w:rsidRPr="00877602">
        <w:rPr>
          <w:rFonts w:ascii="Times New Roman" w:hAnsi="Times New Roman"/>
        </w:rPr>
        <w:t xml:space="preserve"> have less </w:t>
      </w:r>
      <w:r w:rsidR="00BA50B7" w:rsidRPr="00877602">
        <w:rPr>
          <w:rFonts w:ascii="Times New Roman" w:hAnsi="Times New Roman"/>
        </w:rPr>
        <w:t xml:space="preserve">regulatory compliance </w:t>
      </w:r>
      <w:r w:rsidR="00EA018D" w:rsidRPr="00877602">
        <w:rPr>
          <w:rFonts w:ascii="Times New Roman" w:hAnsi="Times New Roman"/>
        </w:rPr>
        <w:t xml:space="preserve">infrastructure </w:t>
      </w:r>
      <w:r w:rsidR="00BA50B7" w:rsidRPr="00877602">
        <w:rPr>
          <w:rFonts w:ascii="Times New Roman" w:hAnsi="Times New Roman"/>
        </w:rPr>
        <w:t>and/</w:t>
      </w:r>
      <w:r w:rsidR="00EA018D" w:rsidRPr="00877602">
        <w:rPr>
          <w:rFonts w:ascii="Times New Roman" w:hAnsi="Times New Roman"/>
        </w:rPr>
        <w:t xml:space="preserve">or are less familiar with Protocol reporting requirements.  </w:t>
      </w:r>
      <w:r w:rsidR="00805599">
        <w:rPr>
          <w:rFonts w:ascii="Times New Roman" w:hAnsi="Times New Roman"/>
        </w:rPr>
        <w:t>This annual request is now clear on the revised forms.</w:t>
      </w:r>
    </w:p>
    <w:p w:rsidR="00EA018D" w:rsidRPr="00877602" w:rsidRDefault="00EA018D">
      <w:pPr>
        <w:rPr>
          <w:rFonts w:ascii="Times New Roman" w:hAnsi="Times New Roman"/>
        </w:rPr>
      </w:pPr>
    </w:p>
    <w:p w:rsidR="00EA018D" w:rsidRPr="00877602" w:rsidRDefault="00674F1A">
      <w:pPr>
        <w:rPr>
          <w:rFonts w:ascii="Times New Roman" w:hAnsi="Times New Roman"/>
        </w:rPr>
      </w:pPr>
      <w:r w:rsidRPr="00877602">
        <w:rPr>
          <w:rFonts w:ascii="Times New Roman" w:hAnsi="Times New Roman"/>
        </w:rPr>
        <w:t>e</w:t>
      </w:r>
      <w:r w:rsidR="00EA018D" w:rsidRPr="00877602">
        <w:rPr>
          <w:rFonts w:ascii="Times New Roman" w:hAnsi="Times New Roman"/>
        </w:rPr>
        <w:t>)      General Guidelines</w:t>
      </w:r>
    </w:p>
    <w:p w:rsidR="00EA018D" w:rsidRPr="00877602" w:rsidRDefault="00EA018D">
      <w:pPr>
        <w:rPr>
          <w:rFonts w:ascii="Times New Roman" w:hAnsi="Times New Roman"/>
        </w:rPr>
      </w:pPr>
    </w:p>
    <w:p w:rsidR="00EA018D" w:rsidRPr="00877602" w:rsidRDefault="00EA018D">
      <w:pPr>
        <w:ind w:firstLine="720"/>
        <w:rPr>
          <w:rFonts w:ascii="Times New Roman" w:hAnsi="Times New Roman"/>
        </w:rPr>
      </w:pPr>
      <w:r w:rsidRPr="00877602">
        <w:rPr>
          <w:rFonts w:ascii="Times New Roman" w:hAnsi="Times New Roman"/>
        </w:rPr>
        <w:t>This rule does not exceed any of the OMB guidelines</w:t>
      </w:r>
      <w:r w:rsidR="0092114B" w:rsidRPr="00877602">
        <w:rPr>
          <w:rFonts w:ascii="Times New Roman" w:hAnsi="Times New Roman"/>
        </w:rPr>
        <w:t xml:space="preserve"> found at 5 CFR 1320.5(d)(2).</w:t>
      </w:r>
    </w:p>
    <w:p w:rsidR="00EA018D" w:rsidRPr="00877602" w:rsidRDefault="00EA018D">
      <w:pPr>
        <w:rPr>
          <w:rFonts w:ascii="Times New Roman" w:hAnsi="Times New Roman"/>
        </w:rPr>
      </w:pPr>
    </w:p>
    <w:p w:rsidR="00EA018D" w:rsidRPr="00877602" w:rsidRDefault="00674F1A">
      <w:pPr>
        <w:rPr>
          <w:rFonts w:ascii="Times New Roman" w:hAnsi="Times New Roman"/>
        </w:rPr>
      </w:pPr>
      <w:r w:rsidRPr="00877602">
        <w:rPr>
          <w:rFonts w:ascii="Times New Roman" w:hAnsi="Times New Roman"/>
        </w:rPr>
        <w:t>f</w:t>
      </w:r>
      <w:r w:rsidR="00EA018D" w:rsidRPr="00877602">
        <w:rPr>
          <w:rFonts w:ascii="Times New Roman" w:hAnsi="Times New Roman"/>
        </w:rPr>
        <w:t>)       Confidentiality</w:t>
      </w:r>
    </w:p>
    <w:p w:rsidR="00684BBD" w:rsidRPr="00877602" w:rsidRDefault="00684BBD">
      <w:pPr>
        <w:ind w:firstLine="720"/>
        <w:rPr>
          <w:rFonts w:ascii="Times New Roman" w:hAnsi="Times New Roman"/>
        </w:rPr>
      </w:pPr>
    </w:p>
    <w:p w:rsidR="00811A56" w:rsidRDefault="00EA018D">
      <w:pPr>
        <w:ind w:firstLine="720"/>
        <w:rPr>
          <w:rFonts w:ascii="Times New Roman" w:hAnsi="Times New Roman"/>
        </w:rPr>
      </w:pPr>
      <w:r w:rsidRPr="00877602">
        <w:rPr>
          <w:rFonts w:ascii="Times New Roman" w:hAnsi="Times New Roman"/>
        </w:rPr>
        <w:t xml:space="preserve">EPA informs respondents that they may assert claims of business confidentiality for any of the information they submit. Information claimed confidential will be treated in accordance with the procedures for handling information claimed as confidential under 40 CFR </w:t>
      </w:r>
      <w:r w:rsidR="009F5B1C">
        <w:rPr>
          <w:rFonts w:ascii="Times New Roman" w:hAnsi="Times New Roman"/>
        </w:rPr>
        <w:t>Part 2, S</w:t>
      </w:r>
      <w:r w:rsidRPr="00877602">
        <w:rPr>
          <w:rFonts w:ascii="Times New Roman" w:hAnsi="Times New Roman"/>
        </w:rPr>
        <w:t>ubpart b, and will be disclosed only i</w:t>
      </w:r>
      <w:r w:rsidR="00970DC5" w:rsidRPr="00877602">
        <w:rPr>
          <w:rFonts w:ascii="Times New Roman" w:hAnsi="Times New Roman"/>
        </w:rPr>
        <w:t>f</w:t>
      </w:r>
      <w:r w:rsidRPr="00877602">
        <w:rPr>
          <w:rFonts w:ascii="Times New Roman" w:hAnsi="Times New Roman"/>
        </w:rPr>
        <w:t xml:space="preserve"> EPA determines that the information is not entitled to confidential treatment.  If no claim of confidentiality is asserted when the information is received by E</w:t>
      </w:r>
      <w:r w:rsidR="00970DC5" w:rsidRPr="00877602">
        <w:rPr>
          <w:rFonts w:ascii="Times New Roman" w:hAnsi="Times New Roman"/>
        </w:rPr>
        <w:t>PA, it may be made available to</w:t>
      </w:r>
      <w:r w:rsidRPr="00877602">
        <w:rPr>
          <w:rFonts w:ascii="Times New Roman" w:hAnsi="Times New Roman"/>
        </w:rPr>
        <w:t xml:space="preserve"> the public without further notice to the respondents (40 CFR 2.203).</w:t>
      </w:r>
      <w:r w:rsidR="00811A56">
        <w:rPr>
          <w:rFonts w:ascii="Times New Roman" w:hAnsi="Times New Roman"/>
        </w:rPr>
        <w:br/>
      </w:r>
    </w:p>
    <w:p w:rsidR="00674F1A" w:rsidRPr="00877602" w:rsidRDefault="00674F1A" w:rsidP="00811A56">
      <w:pPr>
        <w:rPr>
          <w:rFonts w:ascii="Times New Roman" w:hAnsi="Times New Roman"/>
        </w:rPr>
      </w:pPr>
      <w:r w:rsidRPr="00877602">
        <w:rPr>
          <w:rFonts w:ascii="Times New Roman" w:hAnsi="Times New Roman"/>
        </w:rPr>
        <w:t>g)</w:t>
      </w:r>
      <w:r w:rsidRPr="00877602">
        <w:rPr>
          <w:rFonts w:ascii="Times New Roman" w:hAnsi="Times New Roman"/>
        </w:rPr>
        <w:tab/>
        <w:t>Sensitive Information</w:t>
      </w:r>
    </w:p>
    <w:p w:rsidR="00674F1A" w:rsidRPr="00877602" w:rsidRDefault="00674F1A">
      <w:pPr>
        <w:ind w:firstLine="720"/>
        <w:rPr>
          <w:rFonts w:ascii="Times New Roman" w:hAnsi="Times New Roman"/>
        </w:rPr>
      </w:pPr>
    </w:p>
    <w:p w:rsidR="00CC055D" w:rsidRPr="00877602" w:rsidRDefault="00CC055D">
      <w:pPr>
        <w:ind w:firstLine="720"/>
        <w:rPr>
          <w:rFonts w:ascii="Times New Roman" w:hAnsi="Times New Roman"/>
        </w:rPr>
      </w:pPr>
      <w:r w:rsidRPr="00877602">
        <w:rPr>
          <w:rFonts w:ascii="Times New Roman" w:hAnsi="Times New Roman"/>
        </w:rPr>
        <w:t>Individual reporting data may be claimed as sensitive and will be treated as confidential information in accordance with procedures outlined in 40 CFR Part 2.</w:t>
      </w:r>
    </w:p>
    <w:p w:rsidR="00EA018D" w:rsidRPr="00877602" w:rsidRDefault="00EA018D">
      <w:pPr>
        <w:rPr>
          <w:rFonts w:ascii="Times New Roman" w:hAnsi="Times New Roman"/>
        </w:rPr>
      </w:pPr>
    </w:p>
    <w:p w:rsidR="00EA018D" w:rsidRPr="00877602" w:rsidRDefault="00EA018D">
      <w:pPr>
        <w:rPr>
          <w:rFonts w:ascii="Times New Roman" w:hAnsi="Times New Roman"/>
        </w:rPr>
      </w:pPr>
      <w:r w:rsidRPr="00877602">
        <w:rPr>
          <w:rFonts w:ascii="Times New Roman" w:hAnsi="Times New Roman"/>
        </w:rPr>
        <w:t xml:space="preserve">4.        </w:t>
      </w:r>
      <w:r w:rsidRPr="00877602">
        <w:rPr>
          <w:rFonts w:ascii="Times New Roman" w:hAnsi="Times New Roman"/>
          <w:u w:val="single"/>
        </w:rPr>
        <w:t>The Respondents and the Information Requested</w:t>
      </w:r>
    </w:p>
    <w:p w:rsidR="00EA018D" w:rsidRPr="00877602" w:rsidRDefault="00EA018D">
      <w:pPr>
        <w:rPr>
          <w:rFonts w:ascii="Times New Roman" w:hAnsi="Times New Roman"/>
        </w:rPr>
      </w:pPr>
    </w:p>
    <w:p w:rsidR="00EA018D" w:rsidRPr="00877602" w:rsidRDefault="007F5ECB">
      <w:pPr>
        <w:rPr>
          <w:rFonts w:ascii="Times New Roman" w:hAnsi="Times New Roman"/>
        </w:rPr>
      </w:pPr>
      <w:r>
        <w:rPr>
          <w:rFonts w:ascii="Times New Roman" w:hAnsi="Times New Roman"/>
        </w:rPr>
        <w:t>a)</w:t>
      </w:r>
      <w:r>
        <w:rPr>
          <w:rFonts w:ascii="Times New Roman" w:hAnsi="Times New Roman"/>
        </w:rPr>
        <w:tab/>
        <w:t>Respondents NAI</w:t>
      </w:r>
      <w:r w:rsidR="00EA018D" w:rsidRPr="00877602">
        <w:rPr>
          <w:rFonts w:ascii="Times New Roman" w:hAnsi="Times New Roman"/>
        </w:rPr>
        <w:t>C</w:t>
      </w:r>
      <w:r>
        <w:rPr>
          <w:rFonts w:ascii="Times New Roman" w:hAnsi="Times New Roman"/>
        </w:rPr>
        <w:t>S</w:t>
      </w:r>
      <w:r w:rsidR="00EA018D" w:rsidRPr="00877602">
        <w:rPr>
          <w:rFonts w:ascii="Times New Roman" w:hAnsi="Times New Roman"/>
        </w:rPr>
        <w:t xml:space="preserve"> Codes</w:t>
      </w:r>
    </w:p>
    <w:p w:rsidR="00EA018D" w:rsidRPr="00877602" w:rsidRDefault="00EA018D">
      <w:pPr>
        <w:rPr>
          <w:rFonts w:ascii="Times New Roman" w:hAnsi="Times New Roman"/>
        </w:rPr>
      </w:pPr>
    </w:p>
    <w:p w:rsidR="00062AA8" w:rsidRDefault="00811A56" w:rsidP="009F5B1C">
      <w:pPr>
        <w:rPr>
          <w:rFonts w:ascii="Times New Roman" w:hAnsi="Times New Roman"/>
        </w:rPr>
      </w:pPr>
      <w:r>
        <w:rPr>
          <w:rFonts w:ascii="Times New Roman" w:hAnsi="Times New Roman"/>
        </w:rPr>
        <w:tab/>
      </w:r>
      <w:r w:rsidR="00EA018D" w:rsidRPr="00877602">
        <w:rPr>
          <w:rFonts w:ascii="Times New Roman" w:hAnsi="Times New Roman"/>
        </w:rPr>
        <w:t xml:space="preserve">Respondents </w:t>
      </w:r>
      <w:r w:rsidR="009F5B1C">
        <w:rPr>
          <w:rFonts w:ascii="Times New Roman" w:hAnsi="Times New Roman"/>
        </w:rPr>
        <w:t xml:space="preserve">include </w:t>
      </w:r>
      <w:r w:rsidR="00EA018D" w:rsidRPr="00877602">
        <w:rPr>
          <w:rFonts w:ascii="Times New Roman" w:hAnsi="Times New Roman"/>
        </w:rPr>
        <w:t>producers, importers, distributors, and custom applicators of methyl bromide</w:t>
      </w:r>
      <w:r w:rsidR="009F5B1C">
        <w:rPr>
          <w:rFonts w:ascii="Times New Roman" w:hAnsi="Times New Roman"/>
        </w:rPr>
        <w:t xml:space="preserve">, organizations, consortia, and </w:t>
      </w:r>
      <w:r w:rsidR="009F5B1C" w:rsidRPr="009F5B1C">
        <w:rPr>
          <w:rFonts w:ascii="Times New Roman" w:hAnsi="Times New Roman"/>
        </w:rPr>
        <w:t>associations</w:t>
      </w:r>
      <w:r w:rsidR="009F5B1C">
        <w:rPr>
          <w:rFonts w:ascii="Times New Roman" w:hAnsi="Times New Roman"/>
        </w:rPr>
        <w:t xml:space="preserve"> </w:t>
      </w:r>
      <w:r w:rsidR="009F5B1C" w:rsidRPr="009F5B1C">
        <w:rPr>
          <w:rFonts w:ascii="Times New Roman" w:hAnsi="Times New Roman"/>
        </w:rPr>
        <w:t>of methyl bromide users</w:t>
      </w:r>
      <w:r w:rsidR="009F5B1C">
        <w:rPr>
          <w:rFonts w:ascii="Times New Roman" w:hAnsi="Times New Roman"/>
        </w:rPr>
        <w:t xml:space="preserve">, as well as individual methyl bromide users. </w:t>
      </w:r>
      <w:r w:rsidR="00EA018D" w:rsidRPr="00877602">
        <w:rPr>
          <w:rFonts w:ascii="Times New Roman" w:hAnsi="Times New Roman"/>
        </w:rPr>
        <w:t>The appropriate North American Industry Classification System (NAICS) and Standard Industrial Classification (SIC) codes for these entities are:</w:t>
      </w:r>
    </w:p>
    <w:p w:rsidR="00062AA8" w:rsidRDefault="00062AA8" w:rsidP="009F5B1C">
      <w:pPr>
        <w:rPr>
          <w:rFonts w:ascii="Times New Roman" w:hAnsi="Times New Roman"/>
        </w:rPr>
      </w:pPr>
    </w:p>
    <w:p w:rsidR="00EA018D" w:rsidRPr="009F5B1C" w:rsidRDefault="00EA018D" w:rsidP="00432F3F">
      <w:pPr>
        <w:jc w:val="center"/>
        <w:rPr>
          <w:rFonts w:ascii="Times New Roman" w:hAnsi="Times New Roman"/>
        </w:rPr>
      </w:pPr>
      <w:r w:rsidRPr="00877602">
        <w:rPr>
          <w:rFonts w:ascii="Times New Roman" w:hAnsi="Times New Roman"/>
          <w:b/>
        </w:rPr>
        <w:t>TABLE I: NAICS CLASSIFICATION OF REGULATED ENTITIES</w:t>
      </w:r>
    </w:p>
    <w:tbl>
      <w:tblPr>
        <w:tblW w:w="9480" w:type="dxa"/>
        <w:tblInd w:w="93" w:type="dxa"/>
        <w:tblLook w:val="0000"/>
      </w:tblPr>
      <w:tblGrid>
        <w:gridCol w:w="1660"/>
        <w:gridCol w:w="3740"/>
        <w:gridCol w:w="4080"/>
      </w:tblGrid>
      <w:tr w:rsidR="00062AA8" w:rsidRPr="00062AA8" w:rsidTr="007F5ECB">
        <w:trPr>
          <w:trHeight w:val="385"/>
        </w:trPr>
        <w:tc>
          <w:tcPr>
            <w:tcW w:w="1660" w:type="dxa"/>
            <w:tcBorders>
              <w:top w:val="single" w:sz="8" w:space="0" w:color="000000"/>
              <w:left w:val="single" w:sz="8" w:space="0" w:color="000000"/>
              <w:bottom w:val="nil"/>
              <w:right w:val="nil"/>
            </w:tcBorders>
            <w:shd w:val="clear" w:color="auto" w:fill="auto"/>
          </w:tcPr>
          <w:p w:rsidR="00062AA8" w:rsidRPr="00062AA8" w:rsidRDefault="00062AA8" w:rsidP="006C40B0">
            <w:pPr>
              <w:widowControl/>
              <w:autoSpaceDE/>
              <w:autoSpaceDN/>
              <w:adjustRightInd/>
              <w:jc w:val="center"/>
              <w:rPr>
                <w:rFonts w:ascii="Times New Roman" w:hAnsi="Times New Roman"/>
                <w:b/>
                <w:bCs/>
                <w:sz w:val="20"/>
                <w:szCs w:val="20"/>
              </w:rPr>
            </w:pPr>
            <w:r w:rsidRPr="00062AA8">
              <w:rPr>
                <w:rFonts w:ascii="Times New Roman" w:hAnsi="Times New Roman"/>
                <w:b/>
                <w:bCs/>
                <w:sz w:val="20"/>
                <w:szCs w:val="20"/>
              </w:rPr>
              <w:t>Category</w:t>
            </w:r>
          </w:p>
        </w:tc>
        <w:tc>
          <w:tcPr>
            <w:tcW w:w="3740" w:type="dxa"/>
            <w:tcBorders>
              <w:top w:val="single" w:sz="8" w:space="0" w:color="000000"/>
              <w:left w:val="single" w:sz="8" w:space="0" w:color="000000"/>
              <w:bottom w:val="nil"/>
              <w:right w:val="nil"/>
            </w:tcBorders>
            <w:shd w:val="clear" w:color="auto" w:fill="auto"/>
          </w:tcPr>
          <w:p w:rsidR="00062AA8" w:rsidRPr="00062AA8" w:rsidRDefault="00062AA8" w:rsidP="006C40B0">
            <w:pPr>
              <w:widowControl/>
              <w:autoSpaceDE/>
              <w:autoSpaceDN/>
              <w:adjustRightInd/>
              <w:jc w:val="center"/>
              <w:rPr>
                <w:rFonts w:ascii="Times New Roman" w:hAnsi="Times New Roman"/>
                <w:b/>
                <w:bCs/>
                <w:sz w:val="20"/>
                <w:szCs w:val="20"/>
              </w:rPr>
            </w:pPr>
            <w:r w:rsidRPr="00062AA8">
              <w:rPr>
                <w:rFonts w:ascii="Times New Roman" w:hAnsi="Times New Roman"/>
                <w:b/>
                <w:bCs/>
                <w:sz w:val="20"/>
                <w:szCs w:val="20"/>
              </w:rPr>
              <w:t>NAICS code</w:t>
            </w:r>
          </w:p>
        </w:tc>
        <w:tc>
          <w:tcPr>
            <w:tcW w:w="4080" w:type="dxa"/>
            <w:tcBorders>
              <w:top w:val="single" w:sz="8" w:space="0" w:color="000000"/>
              <w:left w:val="single" w:sz="8" w:space="0" w:color="000000"/>
              <w:bottom w:val="nil"/>
              <w:right w:val="single" w:sz="8" w:space="0" w:color="000000"/>
            </w:tcBorders>
            <w:shd w:val="clear" w:color="auto" w:fill="auto"/>
          </w:tcPr>
          <w:p w:rsidR="00062AA8" w:rsidRPr="00062AA8" w:rsidRDefault="00062AA8" w:rsidP="006C40B0">
            <w:pPr>
              <w:widowControl/>
              <w:autoSpaceDE/>
              <w:autoSpaceDN/>
              <w:adjustRightInd/>
              <w:jc w:val="center"/>
              <w:rPr>
                <w:rFonts w:ascii="Times New Roman" w:hAnsi="Times New Roman"/>
                <w:b/>
                <w:bCs/>
                <w:sz w:val="20"/>
                <w:szCs w:val="20"/>
              </w:rPr>
            </w:pPr>
            <w:r w:rsidRPr="00062AA8">
              <w:rPr>
                <w:rFonts w:ascii="Times New Roman" w:hAnsi="Times New Roman"/>
                <w:b/>
                <w:bCs/>
                <w:sz w:val="20"/>
                <w:szCs w:val="20"/>
              </w:rPr>
              <w:t>SIC code</w:t>
            </w:r>
          </w:p>
        </w:tc>
      </w:tr>
      <w:tr w:rsidR="00062AA8" w:rsidRPr="00062AA8" w:rsidTr="007F5ECB">
        <w:trPr>
          <w:trHeight w:val="510"/>
        </w:trPr>
        <w:tc>
          <w:tcPr>
            <w:tcW w:w="1660" w:type="dxa"/>
            <w:vMerge w:val="restart"/>
            <w:tcBorders>
              <w:top w:val="single" w:sz="8" w:space="0" w:color="000000"/>
              <w:left w:val="single" w:sz="8" w:space="0" w:color="000000"/>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Agricultural production</w:t>
            </w:r>
          </w:p>
        </w:tc>
        <w:tc>
          <w:tcPr>
            <w:tcW w:w="3740" w:type="dxa"/>
            <w:tcBorders>
              <w:top w:val="single" w:sz="8" w:space="0" w:color="000000"/>
              <w:left w:val="nil"/>
              <w:bottom w:val="nil"/>
              <w:right w:val="nil"/>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1112- Vegetable and Melon farming</w:t>
            </w:r>
          </w:p>
        </w:tc>
        <w:tc>
          <w:tcPr>
            <w:tcW w:w="4080" w:type="dxa"/>
            <w:tcBorders>
              <w:top w:val="single" w:sz="8" w:space="0" w:color="000000"/>
              <w:left w:val="single" w:sz="8" w:space="0" w:color="000000"/>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0171- Berry Crops</w:t>
            </w:r>
          </w:p>
        </w:tc>
      </w:tr>
      <w:tr w:rsidR="00062AA8" w:rsidRPr="00062AA8" w:rsidTr="007F5ECB">
        <w:trPr>
          <w:trHeight w:val="510"/>
        </w:trPr>
        <w:tc>
          <w:tcPr>
            <w:tcW w:w="1660" w:type="dxa"/>
            <w:vMerge/>
            <w:tcBorders>
              <w:top w:val="single" w:sz="8" w:space="0" w:color="000000"/>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3740" w:type="dxa"/>
            <w:tcBorders>
              <w:top w:val="nil"/>
              <w:left w:val="nil"/>
              <w:bottom w:val="nil"/>
              <w:right w:val="nil"/>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1113- Fruit and Nut Tree Farming</w:t>
            </w:r>
          </w:p>
        </w:tc>
        <w:tc>
          <w:tcPr>
            <w:tcW w:w="4080" w:type="dxa"/>
            <w:tcBorders>
              <w:top w:val="nil"/>
              <w:left w:val="single" w:sz="8" w:space="0" w:color="000000"/>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0172- Grapes</w:t>
            </w:r>
          </w:p>
        </w:tc>
      </w:tr>
      <w:tr w:rsidR="00062AA8" w:rsidRPr="00062AA8" w:rsidTr="007F5ECB">
        <w:trPr>
          <w:trHeight w:val="255"/>
        </w:trPr>
        <w:tc>
          <w:tcPr>
            <w:tcW w:w="1660" w:type="dxa"/>
            <w:vMerge/>
            <w:tcBorders>
              <w:top w:val="single" w:sz="8" w:space="0" w:color="000000"/>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3740" w:type="dxa"/>
            <w:vMerge w:val="restart"/>
            <w:tcBorders>
              <w:top w:val="nil"/>
              <w:left w:val="single" w:sz="8" w:space="0" w:color="000000"/>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 xml:space="preserve">1114- Greenhouse, Nursery, and </w:t>
            </w:r>
            <w:r w:rsidRPr="00062AA8">
              <w:rPr>
                <w:rFonts w:ascii="Times New Roman" w:hAnsi="Times New Roman"/>
                <w:sz w:val="20"/>
                <w:szCs w:val="20"/>
              </w:rPr>
              <w:lastRenderedPageBreak/>
              <w:t>Floriculture Production</w:t>
            </w:r>
          </w:p>
        </w:tc>
        <w:tc>
          <w:tcPr>
            <w:tcW w:w="4080" w:type="dxa"/>
            <w:tcBorders>
              <w:top w:val="nil"/>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lastRenderedPageBreak/>
              <w:t>0173- Tree Nuts</w:t>
            </w:r>
          </w:p>
        </w:tc>
      </w:tr>
      <w:tr w:rsidR="00062AA8" w:rsidRPr="00062AA8" w:rsidTr="007F5ECB">
        <w:trPr>
          <w:trHeight w:val="510"/>
        </w:trPr>
        <w:tc>
          <w:tcPr>
            <w:tcW w:w="1660" w:type="dxa"/>
            <w:vMerge/>
            <w:tcBorders>
              <w:top w:val="single" w:sz="8" w:space="0" w:color="000000"/>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3740" w:type="dxa"/>
            <w:vMerge/>
            <w:tcBorders>
              <w:top w:val="nil"/>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4080" w:type="dxa"/>
            <w:tcBorders>
              <w:top w:val="nil"/>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0175- Deciduous Tree Fruits (except apple orchards and farms)</w:t>
            </w:r>
          </w:p>
        </w:tc>
      </w:tr>
      <w:tr w:rsidR="00062AA8" w:rsidRPr="00062AA8" w:rsidTr="007F5ECB">
        <w:trPr>
          <w:trHeight w:val="255"/>
        </w:trPr>
        <w:tc>
          <w:tcPr>
            <w:tcW w:w="1660" w:type="dxa"/>
            <w:vMerge/>
            <w:tcBorders>
              <w:top w:val="single" w:sz="8" w:space="0" w:color="000000"/>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3740" w:type="dxa"/>
            <w:vMerge/>
            <w:tcBorders>
              <w:top w:val="nil"/>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4080" w:type="dxa"/>
            <w:tcBorders>
              <w:top w:val="nil"/>
              <w:left w:val="nil"/>
              <w:bottom w:val="nil"/>
              <w:right w:val="single" w:sz="8" w:space="0" w:color="000000"/>
            </w:tcBorders>
            <w:shd w:val="clear" w:color="auto" w:fill="auto"/>
          </w:tcPr>
          <w:p w:rsidR="00062AA8" w:rsidRPr="00062AA8" w:rsidRDefault="007F5ECB" w:rsidP="006C40B0">
            <w:pPr>
              <w:widowControl/>
              <w:autoSpaceDE/>
              <w:autoSpaceDN/>
              <w:adjustRightInd/>
              <w:rPr>
                <w:rFonts w:ascii="Times New Roman" w:hAnsi="Times New Roman"/>
                <w:sz w:val="20"/>
                <w:szCs w:val="20"/>
              </w:rPr>
            </w:pPr>
            <w:r>
              <w:rPr>
                <w:rFonts w:ascii="Times New Roman" w:hAnsi="Times New Roman"/>
                <w:sz w:val="20"/>
                <w:szCs w:val="20"/>
              </w:rPr>
              <w:t>0179- Fruit and Tree Nuts</w:t>
            </w:r>
          </w:p>
        </w:tc>
      </w:tr>
      <w:tr w:rsidR="00062AA8" w:rsidRPr="00062AA8" w:rsidTr="007F5ECB">
        <w:trPr>
          <w:trHeight w:val="510"/>
        </w:trPr>
        <w:tc>
          <w:tcPr>
            <w:tcW w:w="1660" w:type="dxa"/>
            <w:vMerge/>
            <w:tcBorders>
              <w:top w:val="single" w:sz="8" w:space="0" w:color="000000"/>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3740" w:type="dxa"/>
            <w:vMerge/>
            <w:tcBorders>
              <w:top w:val="nil"/>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4080" w:type="dxa"/>
            <w:tcBorders>
              <w:top w:val="nil"/>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0181- Ornamental Floriculture and Nursery Products</w:t>
            </w:r>
          </w:p>
        </w:tc>
      </w:tr>
      <w:tr w:rsidR="00062AA8" w:rsidRPr="00062AA8" w:rsidTr="007F5ECB">
        <w:trPr>
          <w:trHeight w:val="510"/>
        </w:trPr>
        <w:tc>
          <w:tcPr>
            <w:tcW w:w="1660" w:type="dxa"/>
            <w:vMerge/>
            <w:tcBorders>
              <w:top w:val="single" w:sz="8" w:space="0" w:color="000000"/>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3740" w:type="dxa"/>
            <w:vMerge/>
            <w:tcBorders>
              <w:top w:val="nil"/>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4080" w:type="dxa"/>
            <w:tcBorders>
              <w:top w:val="nil"/>
              <w:left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0831- Forest Nurseries and Gathering of Forest Products</w:t>
            </w:r>
          </w:p>
        </w:tc>
      </w:tr>
      <w:tr w:rsidR="00062AA8" w:rsidRPr="00062AA8" w:rsidTr="007F5ECB">
        <w:trPr>
          <w:trHeight w:val="270"/>
        </w:trPr>
        <w:tc>
          <w:tcPr>
            <w:tcW w:w="1660" w:type="dxa"/>
            <w:vMerge/>
            <w:tcBorders>
              <w:top w:val="single" w:sz="8" w:space="0" w:color="000000"/>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3740" w:type="dxa"/>
            <w:tcBorders>
              <w:top w:val="nil"/>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1119- Other Crop Farming</w:t>
            </w:r>
          </w:p>
        </w:tc>
        <w:tc>
          <w:tcPr>
            <w:tcW w:w="4080" w:type="dxa"/>
            <w:tcBorders>
              <w:top w:val="nil"/>
              <w:left w:val="nil"/>
              <w:bottom w:val="single" w:sz="8" w:space="0" w:color="000000"/>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 </w:t>
            </w:r>
          </w:p>
        </w:tc>
      </w:tr>
      <w:tr w:rsidR="00062AA8" w:rsidRPr="00062AA8" w:rsidTr="007F5ECB">
        <w:trPr>
          <w:trHeight w:val="510"/>
        </w:trPr>
        <w:tc>
          <w:tcPr>
            <w:tcW w:w="1660" w:type="dxa"/>
            <w:vMerge w:val="restart"/>
            <w:tcBorders>
              <w:top w:val="single" w:sz="8" w:space="0" w:color="000000"/>
              <w:left w:val="single" w:sz="8" w:space="0" w:color="000000"/>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Storage Uses</w:t>
            </w:r>
          </w:p>
        </w:tc>
        <w:tc>
          <w:tcPr>
            <w:tcW w:w="3740" w:type="dxa"/>
            <w:tcBorders>
              <w:top w:val="single" w:sz="8" w:space="0" w:color="000000"/>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115114- Postharvest Crop activities (except Cotton Ginning)</w:t>
            </w:r>
          </w:p>
        </w:tc>
        <w:tc>
          <w:tcPr>
            <w:tcW w:w="4080" w:type="dxa"/>
            <w:tcBorders>
              <w:top w:val="single" w:sz="8" w:space="0" w:color="000000"/>
              <w:left w:val="nil"/>
              <w:bottom w:val="nil"/>
              <w:right w:val="single" w:sz="8" w:space="0" w:color="000000"/>
            </w:tcBorders>
            <w:shd w:val="clear" w:color="auto" w:fill="auto"/>
            <w:noWrap/>
            <w:vAlign w:val="bottom"/>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 </w:t>
            </w:r>
          </w:p>
        </w:tc>
      </w:tr>
      <w:tr w:rsidR="00062AA8" w:rsidRPr="00062AA8" w:rsidTr="00062AA8">
        <w:trPr>
          <w:trHeight w:val="255"/>
        </w:trPr>
        <w:tc>
          <w:tcPr>
            <w:tcW w:w="1660" w:type="dxa"/>
            <w:vMerge/>
            <w:tcBorders>
              <w:top w:val="single" w:sz="8" w:space="0" w:color="000000"/>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3740" w:type="dxa"/>
            <w:tcBorders>
              <w:top w:val="nil"/>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311211- Flour Milling</w:t>
            </w:r>
          </w:p>
        </w:tc>
        <w:tc>
          <w:tcPr>
            <w:tcW w:w="4080" w:type="dxa"/>
            <w:tcBorders>
              <w:top w:val="nil"/>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2041- Flour and Other Grain Mill Products</w:t>
            </w:r>
          </w:p>
        </w:tc>
      </w:tr>
      <w:tr w:rsidR="00062AA8" w:rsidRPr="00062AA8" w:rsidTr="00062AA8">
        <w:trPr>
          <w:trHeight w:val="255"/>
        </w:trPr>
        <w:tc>
          <w:tcPr>
            <w:tcW w:w="1660" w:type="dxa"/>
            <w:vMerge/>
            <w:tcBorders>
              <w:top w:val="single" w:sz="8" w:space="0" w:color="000000"/>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3740" w:type="dxa"/>
            <w:tcBorders>
              <w:top w:val="nil"/>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311212- Rice Milling</w:t>
            </w:r>
          </w:p>
        </w:tc>
        <w:tc>
          <w:tcPr>
            <w:tcW w:w="4080" w:type="dxa"/>
            <w:tcBorders>
              <w:top w:val="nil"/>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2044- Rice Milling</w:t>
            </w:r>
          </w:p>
        </w:tc>
      </w:tr>
      <w:tr w:rsidR="00062AA8" w:rsidRPr="00062AA8" w:rsidTr="00DA49D2">
        <w:trPr>
          <w:trHeight w:val="187"/>
        </w:trPr>
        <w:tc>
          <w:tcPr>
            <w:tcW w:w="1660" w:type="dxa"/>
            <w:vMerge/>
            <w:tcBorders>
              <w:top w:val="single" w:sz="8" w:space="0" w:color="000000"/>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3740" w:type="dxa"/>
            <w:tcBorders>
              <w:top w:val="nil"/>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493110- General Warehousing and Storage</w:t>
            </w:r>
          </w:p>
        </w:tc>
        <w:tc>
          <w:tcPr>
            <w:tcW w:w="4080" w:type="dxa"/>
            <w:tcBorders>
              <w:top w:val="nil"/>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4225- General Warehousing and Storage</w:t>
            </w:r>
          </w:p>
        </w:tc>
      </w:tr>
      <w:tr w:rsidR="00062AA8" w:rsidRPr="00062AA8" w:rsidTr="00062AA8">
        <w:trPr>
          <w:trHeight w:val="525"/>
        </w:trPr>
        <w:tc>
          <w:tcPr>
            <w:tcW w:w="1660" w:type="dxa"/>
            <w:vMerge/>
            <w:tcBorders>
              <w:top w:val="single" w:sz="8" w:space="0" w:color="000000"/>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3740" w:type="dxa"/>
            <w:tcBorders>
              <w:top w:val="nil"/>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493130- Farm Product Warehousing and Storage</w:t>
            </w:r>
          </w:p>
        </w:tc>
        <w:tc>
          <w:tcPr>
            <w:tcW w:w="4080" w:type="dxa"/>
            <w:tcBorders>
              <w:top w:val="nil"/>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4221- Farm Product Warehousing and Storage</w:t>
            </w:r>
          </w:p>
        </w:tc>
      </w:tr>
      <w:tr w:rsidR="00062AA8" w:rsidRPr="00062AA8" w:rsidTr="00062AA8">
        <w:trPr>
          <w:trHeight w:val="255"/>
        </w:trPr>
        <w:tc>
          <w:tcPr>
            <w:tcW w:w="166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Distributors and Applicators</w:t>
            </w:r>
          </w:p>
        </w:tc>
        <w:tc>
          <w:tcPr>
            <w:tcW w:w="3740" w:type="dxa"/>
            <w:vMerge w:val="restart"/>
            <w:tcBorders>
              <w:top w:val="single" w:sz="8" w:space="0" w:color="000000"/>
              <w:left w:val="single" w:sz="8" w:space="0" w:color="000000"/>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115112- Soil Preparation, Planting and Cultivating</w:t>
            </w:r>
          </w:p>
        </w:tc>
        <w:tc>
          <w:tcPr>
            <w:tcW w:w="4080" w:type="dxa"/>
            <w:tcBorders>
              <w:top w:val="single" w:sz="8" w:space="0" w:color="000000"/>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0711- Soil Preparation Services</w:t>
            </w:r>
          </w:p>
        </w:tc>
      </w:tr>
      <w:tr w:rsidR="00062AA8" w:rsidRPr="00062AA8" w:rsidTr="00062AA8">
        <w:trPr>
          <w:trHeight w:val="255"/>
        </w:trPr>
        <w:tc>
          <w:tcPr>
            <w:tcW w:w="1660" w:type="dxa"/>
            <w:vMerge/>
            <w:tcBorders>
              <w:top w:val="single" w:sz="8" w:space="0" w:color="000000"/>
              <w:left w:val="single" w:sz="8" w:space="0" w:color="000000"/>
              <w:bottom w:val="single" w:sz="8" w:space="0" w:color="000000"/>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3740" w:type="dxa"/>
            <w:vMerge/>
            <w:tcBorders>
              <w:top w:val="single" w:sz="8" w:space="0" w:color="000000"/>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4080" w:type="dxa"/>
            <w:tcBorders>
              <w:top w:val="nil"/>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0721- Crop Planting, Cultivation, and Protection</w:t>
            </w:r>
          </w:p>
        </w:tc>
      </w:tr>
      <w:tr w:rsidR="00062AA8" w:rsidRPr="00062AA8" w:rsidTr="00062AA8">
        <w:trPr>
          <w:trHeight w:val="510"/>
        </w:trPr>
        <w:tc>
          <w:tcPr>
            <w:tcW w:w="1660" w:type="dxa"/>
            <w:vMerge/>
            <w:tcBorders>
              <w:top w:val="single" w:sz="8" w:space="0" w:color="000000"/>
              <w:left w:val="single" w:sz="8" w:space="0" w:color="000000"/>
              <w:bottom w:val="single" w:sz="8" w:space="0" w:color="000000"/>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3740" w:type="dxa"/>
            <w:vMerge/>
            <w:tcBorders>
              <w:top w:val="single" w:sz="8" w:space="0" w:color="000000"/>
              <w:left w:val="single" w:sz="8" w:space="0" w:color="000000"/>
              <w:bottom w:val="nil"/>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4080" w:type="dxa"/>
            <w:tcBorders>
              <w:top w:val="nil"/>
              <w:left w:val="nil"/>
              <w:bottom w:val="nil"/>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0723- Crop Preparation Service for Market (except Cotton Ginning)</w:t>
            </w:r>
          </w:p>
        </w:tc>
      </w:tr>
      <w:tr w:rsidR="00062AA8" w:rsidRPr="00062AA8" w:rsidTr="00062AA8">
        <w:trPr>
          <w:trHeight w:val="525"/>
        </w:trPr>
        <w:tc>
          <w:tcPr>
            <w:tcW w:w="1660" w:type="dxa"/>
            <w:vMerge/>
            <w:tcBorders>
              <w:top w:val="single" w:sz="8" w:space="0" w:color="000000"/>
              <w:left w:val="single" w:sz="8" w:space="0" w:color="000000"/>
              <w:bottom w:val="single" w:sz="8" w:space="0" w:color="000000"/>
              <w:right w:val="single" w:sz="8" w:space="0" w:color="000000"/>
            </w:tcBorders>
            <w:vAlign w:val="center"/>
          </w:tcPr>
          <w:p w:rsidR="00062AA8" w:rsidRPr="00062AA8" w:rsidRDefault="00062AA8" w:rsidP="006C40B0">
            <w:pPr>
              <w:widowControl/>
              <w:autoSpaceDE/>
              <w:autoSpaceDN/>
              <w:adjustRightInd/>
              <w:rPr>
                <w:rFonts w:ascii="Times New Roman" w:hAnsi="Times New Roman"/>
                <w:sz w:val="20"/>
                <w:szCs w:val="20"/>
              </w:rPr>
            </w:pPr>
          </w:p>
        </w:tc>
        <w:tc>
          <w:tcPr>
            <w:tcW w:w="3740" w:type="dxa"/>
            <w:tcBorders>
              <w:top w:val="nil"/>
              <w:left w:val="nil"/>
              <w:bottom w:val="single" w:sz="8" w:space="0" w:color="000000"/>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424910- Farm Supplies and Merchant Wholesalers</w:t>
            </w:r>
          </w:p>
        </w:tc>
        <w:tc>
          <w:tcPr>
            <w:tcW w:w="4080" w:type="dxa"/>
            <w:tcBorders>
              <w:top w:val="nil"/>
              <w:left w:val="nil"/>
              <w:bottom w:val="single" w:sz="8" w:space="0" w:color="000000"/>
              <w:right w:val="single" w:sz="8" w:space="0" w:color="000000"/>
            </w:tcBorders>
            <w:shd w:val="clear" w:color="auto" w:fill="auto"/>
            <w:noWrap/>
            <w:vAlign w:val="bottom"/>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 </w:t>
            </w:r>
          </w:p>
        </w:tc>
      </w:tr>
      <w:tr w:rsidR="00062AA8" w:rsidRPr="00062AA8" w:rsidTr="00062AA8">
        <w:trPr>
          <w:trHeight w:val="525"/>
        </w:trPr>
        <w:tc>
          <w:tcPr>
            <w:tcW w:w="1660" w:type="dxa"/>
            <w:tcBorders>
              <w:top w:val="nil"/>
              <w:left w:val="single" w:sz="8" w:space="0" w:color="000000"/>
              <w:bottom w:val="single" w:sz="8" w:space="0" w:color="000000"/>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Producers and Importers</w:t>
            </w:r>
          </w:p>
        </w:tc>
        <w:tc>
          <w:tcPr>
            <w:tcW w:w="3740" w:type="dxa"/>
            <w:tcBorders>
              <w:top w:val="nil"/>
              <w:left w:val="nil"/>
              <w:bottom w:val="single" w:sz="8" w:space="0" w:color="000000"/>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325320- Pesticide and Other Agricultural Chemical Manufacturing</w:t>
            </w:r>
          </w:p>
        </w:tc>
        <w:tc>
          <w:tcPr>
            <w:tcW w:w="4080" w:type="dxa"/>
            <w:tcBorders>
              <w:top w:val="nil"/>
              <w:left w:val="nil"/>
              <w:bottom w:val="single" w:sz="8" w:space="0" w:color="000000"/>
              <w:right w:val="single" w:sz="8" w:space="0" w:color="000000"/>
            </w:tcBorders>
            <w:shd w:val="clear" w:color="auto" w:fill="auto"/>
          </w:tcPr>
          <w:p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2879- Pesticides</w:t>
            </w:r>
            <w:r w:rsidR="00DA49D2">
              <w:rPr>
                <w:rFonts w:ascii="Times New Roman" w:hAnsi="Times New Roman"/>
                <w:sz w:val="20"/>
                <w:szCs w:val="20"/>
              </w:rPr>
              <w:t xml:space="preserve"> and Agricultural Chemicals</w:t>
            </w:r>
          </w:p>
        </w:tc>
      </w:tr>
    </w:tbl>
    <w:p w:rsidR="00EA018D" w:rsidRPr="00877602" w:rsidRDefault="00EA018D">
      <w:pPr>
        <w:rPr>
          <w:rFonts w:ascii="Times New Roman" w:hAnsi="Times New Roman"/>
        </w:rPr>
      </w:pPr>
    </w:p>
    <w:p w:rsidR="00EA018D" w:rsidRPr="00877602" w:rsidRDefault="00EA018D">
      <w:pPr>
        <w:rPr>
          <w:rFonts w:ascii="Times New Roman" w:hAnsi="Times New Roman"/>
        </w:rPr>
      </w:pPr>
      <w:r w:rsidRPr="00877602">
        <w:rPr>
          <w:rFonts w:ascii="Times New Roman" w:hAnsi="Times New Roman"/>
        </w:rPr>
        <w:t>b)</w:t>
      </w:r>
      <w:r w:rsidRPr="00877602">
        <w:rPr>
          <w:rFonts w:ascii="Times New Roman" w:hAnsi="Times New Roman"/>
        </w:rPr>
        <w:tab/>
        <w:t>Information Requested</w:t>
      </w:r>
    </w:p>
    <w:p w:rsidR="00EA018D" w:rsidRPr="00877602" w:rsidRDefault="00EA018D">
      <w:pPr>
        <w:rPr>
          <w:rFonts w:ascii="Times New Roman" w:hAnsi="Times New Roman"/>
        </w:rPr>
      </w:pPr>
    </w:p>
    <w:p w:rsidR="00811A56" w:rsidRDefault="00811A56">
      <w:pPr>
        <w:rPr>
          <w:rFonts w:ascii="Times New Roman" w:hAnsi="Times New Roman"/>
        </w:rPr>
      </w:pPr>
      <w:r>
        <w:rPr>
          <w:rFonts w:ascii="Times New Roman" w:hAnsi="Times New Roman"/>
        </w:rPr>
        <w:t>(i) Applications</w:t>
      </w:r>
    </w:p>
    <w:p w:rsidR="00811A56" w:rsidRPr="00811A56" w:rsidRDefault="00811A56" w:rsidP="00811A56">
      <w:pPr>
        <w:rPr>
          <w:rFonts w:ascii="Times New Roman" w:hAnsi="Times New Roman"/>
        </w:rPr>
      </w:pPr>
      <w:r>
        <w:rPr>
          <w:rFonts w:ascii="Times New Roman" w:hAnsi="Times New Roman"/>
        </w:rPr>
        <w:tab/>
      </w:r>
      <w:r w:rsidRPr="00811A56">
        <w:rPr>
          <w:rFonts w:ascii="Times New Roman" w:hAnsi="Times New Roman"/>
        </w:rPr>
        <w:t>The Agency</w:t>
      </w:r>
      <w:r>
        <w:rPr>
          <w:rFonts w:ascii="Times New Roman" w:hAnsi="Times New Roman"/>
        </w:rPr>
        <w:t xml:space="preserve"> intends to continue seeking the same information as in previous years and will use the current application forms.</w:t>
      </w:r>
      <w:r w:rsidRPr="00811A56">
        <w:rPr>
          <w:rFonts w:ascii="Times New Roman" w:hAnsi="Times New Roman"/>
        </w:rPr>
        <w:t xml:space="preserve"> The following information encompasses any information that will be requested from those entities seeking a critical use exemption, and includes applications for both pre-plant and post-harvest sectors: </w:t>
      </w:r>
    </w:p>
    <w:p w:rsidR="002F0585" w:rsidRPr="002F0585" w:rsidRDefault="00811A56" w:rsidP="00F5607F">
      <w:pPr>
        <w:pStyle w:val="Level1"/>
        <w:numPr>
          <w:ilvl w:val="0"/>
          <w:numId w:val="9"/>
        </w:numPr>
        <w:tabs>
          <w:tab w:val="left" w:pos="-1440"/>
        </w:tabs>
        <w:ind w:left="720"/>
        <w:rPr>
          <w:rFonts w:ascii="Times New Roman" w:hAnsi="Times New Roman"/>
        </w:rPr>
      </w:pPr>
      <w:r w:rsidRPr="002F0585">
        <w:rPr>
          <w:rFonts w:ascii="Times New Roman" w:hAnsi="Times New Roman"/>
          <w:b/>
        </w:rPr>
        <w:t>Identity of contact person(s).</w:t>
      </w:r>
      <w:r w:rsidRPr="002F0585">
        <w:rPr>
          <w:rFonts w:ascii="Times New Roman" w:hAnsi="Times New Roman"/>
        </w:rPr>
        <w:t xml:space="preserve">  Unless otherwise specified, the person who submits the application will be considered the contact person for all matters relating to the critical use exemption.  Requests must identify by name and telephone number one or more qualified experts who may be contacted in case any questions arise concerning the application.</w:t>
      </w:r>
    </w:p>
    <w:p w:rsidR="002F0585" w:rsidRPr="002F0585" w:rsidRDefault="00811A56" w:rsidP="00F5607F">
      <w:pPr>
        <w:pStyle w:val="Level1"/>
        <w:numPr>
          <w:ilvl w:val="0"/>
          <w:numId w:val="9"/>
        </w:numPr>
        <w:tabs>
          <w:tab w:val="left" w:pos="-1440"/>
        </w:tabs>
        <w:ind w:left="720"/>
        <w:rPr>
          <w:rFonts w:ascii="Times New Roman" w:hAnsi="Times New Roman"/>
        </w:rPr>
      </w:pPr>
      <w:r w:rsidRPr="002F0585">
        <w:rPr>
          <w:rFonts w:ascii="Times New Roman" w:hAnsi="Times New Roman"/>
          <w:b/>
        </w:rPr>
        <w:t>Description of the proposed use.</w:t>
      </w:r>
      <w:r w:rsidRPr="002F0585">
        <w:rPr>
          <w:rFonts w:ascii="Times New Roman" w:hAnsi="Times New Roman"/>
        </w:rPr>
        <w:t xml:space="preserve">  The applications shall provide information on the proposed use (crop/pest combination), the amount of methyl bromide to be used, the location of use, the method of application and any other use information requested by the Administrator.  </w:t>
      </w:r>
    </w:p>
    <w:p w:rsidR="002F0585" w:rsidRPr="002F0585" w:rsidRDefault="00811A56" w:rsidP="00F5607F">
      <w:pPr>
        <w:pStyle w:val="Level1"/>
        <w:numPr>
          <w:ilvl w:val="0"/>
          <w:numId w:val="9"/>
        </w:numPr>
        <w:tabs>
          <w:tab w:val="left" w:pos="-1440"/>
        </w:tabs>
        <w:ind w:left="720"/>
        <w:rPr>
          <w:rFonts w:ascii="Times New Roman" w:hAnsi="Times New Roman"/>
        </w:rPr>
      </w:pPr>
      <w:r w:rsidRPr="002F0585">
        <w:rPr>
          <w:rFonts w:ascii="Times New Roman" w:hAnsi="Times New Roman"/>
          <w:b/>
        </w:rPr>
        <w:t>Description of past use.</w:t>
      </w:r>
      <w:r w:rsidRPr="002F0585">
        <w:rPr>
          <w:rFonts w:ascii="Times New Roman" w:hAnsi="Times New Roman"/>
        </w:rPr>
        <w:t xml:space="preserve">  The applications shall provide information on past use (crop/pest combination), acreage, the amount of methyl bromide used, the method of application and other historical use data requested by the Administrator. </w:t>
      </w:r>
    </w:p>
    <w:p w:rsidR="002F0585" w:rsidRPr="002F0585" w:rsidRDefault="00811A56" w:rsidP="00F5607F">
      <w:pPr>
        <w:pStyle w:val="Level1"/>
        <w:numPr>
          <w:ilvl w:val="0"/>
          <w:numId w:val="9"/>
        </w:numPr>
        <w:tabs>
          <w:tab w:val="left" w:pos="-1440"/>
        </w:tabs>
        <w:ind w:left="720"/>
        <w:rPr>
          <w:rFonts w:ascii="Times New Roman" w:hAnsi="Times New Roman"/>
        </w:rPr>
      </w:pPr>
      <w:r w:rsidRPr="002F0585">
        <w:rPr>
          <w:rFonts w:ascii="Times New Roman" w:hAnsi="Times New Roman"/>
          <w:b/>
        </w:rPr>
        <w:t>Consideration of alternatives (Technical).</w:t>
      </w:r>
      <w:r w:rsidRPr="002F0585">
        <w:rPr>
          <w:rFonts w:ascii="Times New Roman" w:hAnsi="Times New Roman"/>
        </w:rPr>
        <w:t xml:space="preserve">  The applicant must demonstrate what steps have been, and will be, taken to find and implement alternatives.  The applicant must also </w:t>
      </w:r>
      <w:r w:rsidRPr="002F0585">
        <w:rPr>
          <w:rFonts w:ascii="Times New Roman" w:hAnsi="Times New Roman"/>
        </w:rPr>
        <w:lastRenderedPageBreak/>
        <w:t>provide an explanation of, and data relating to, the technical feasibility of currently available alternatives for their proposed use and any other information required by the Administrator to determine whether technically feasible alternatives are available for the proposed use.</w:t>
      </w:r>
    </w:p>
    <w:p w:rsidR="002F0585" w:rsidRPr="002F0585" w:rsidRDefault="00811A56" w:rsidP="00F5607F">
      <w:pPr>
        <w:pStyle w:val="Level1"/>
        <w:numPr>
          <w:ilvl w:val="0"/>
          <w:numId w:val="9"/>
        </w:numPr>
        <w:tabs>
          <w:tab w:val="left" w:pos="-1440"/>
        </w:tabs>
        <w:ind w:left="720"/>
        <w:rPr>
          <w:rFonts w:ascii="Times New Roman" w:hAnsi="Times New Roman"/>
        </w:rPr>
      </w:pPr>
      <w:r w:rsidRPr="002F0585">
        <w:rPr>
          <w:rFonts w:ascii="Times New Roman" w:hAnsi="Times New Roman"/>
          <w:b/>
        </w:rPr>
        <w:t>Consideration of alternatives (Economic).</w:t>
      </w:r>
      <w:r w:rsidRPr="002F0585">
        <w:rPr>
          <w:rFonts w:ascii="Times New Roman" w:hAnsi="Times New Roman"/>
        </w:rPr>
        <w:t xml:space="preserve">  To determine whether an applicant’s proposed use has economically feasible alternatives, EPA will request information on historical revenue and available economic measures, such as operating costs.  </w:t>
      </w:r>
    </w:p>
    <w:p w:rsidR="00811A56" w:rsidRPr="002F0585" w:rsidRDefault="00811A56" w:rsidP="00F5607F">
      <w:pPr>
        <w:pStyle w:val="Level1"/>
        <w:numPr>
          <w:ilvl w:val="0"/>
          <w:numId w:val="9"/>
        </w:numPr>
        <w:tabs>
          <w:tab w:val="left" w:pos="-1440"/>
        </w:tabs>
        <w:ind w:left="720"/>
        <w:rPr>
          <w:rFonts w:ascii="Times New Roman" w:hAnsi="Times New Roman"/>
        </w:rPr>
      </w:pPr>
      <w:r w:rsidRPr="002F0585">
        <w:rPr>
          <w:rFonts w:ascii="Times New Roman" w:hAnsi="Times New Roman"/>
          <w:b/>
        </w:rPr>
        <w:t>Additional information.</w:t>
      </w:r>
      <w:r w:rsidRPr="002F0585">
        <w:rPr>
          <w:rFonts w:ascii="Times New Roman" w:hAnsi="Times New Roman"/>
        </w:rPr>
        <w:t xml:space="preserve">  Additional information required of applicants may include, but is not limited to, agricultural statistics, fumigation conditions and timeline, research proposals and funding levels, and transition plans.  </w:t>
      </w:r>
    </w:p>
    <w:p w:rsidR="00DC1EFB" w:rsidRDefault="00DC1EFB" w:rsidP="00811A56">
      <w:pPr>
        <w:rPr>
          <w:rFonts w:ascii="Times New Roman" w:hAnsi="Times New Roman"/>
        </w:rPr>
      </w:pPr>
    </w:p>
    <w:p w:rsidR="00811A56" w:rsidRPr="00811A56" w:rsidRDefault="00862C5B" w:rsidP="00811A56">
      <w:pPr>
        <w:rPr>
          <w:rFonts w:ascii="Times New Roman" w:hAnsi="Times New Roman"/>
        </w:rPr>
      </w:pPr>
      <w:r>
        <w:rPr>
          <w:rFonts w:ascii="Times New Roman" w:hAnsi="Times New Roman"/>
        </w:rPr>
        <w:t>(ii</w:t>
      </w:r>
      <w:r w:rsidR="00811A56">
        <w:rPr>
          <w:rFonts w:ascii="Times New Roman" w:hAnsi="Times New Roman"/>
        </w:rPr>
        <w:t>) Reporting</w:t>
      </w:r>
    </w:p>
    <w:p w:rsidR="00EA018D" w:rsidRPr="00877602" w:rsidRDefault="00EA018D">
      <w:pPr>
        <w:ind w:firstLine="720"/>
        <w:rPr>
          <w:rFonts w:ascii="Times New Roman" w:hAnsi="Times New Roman"/>
        </w:rPr>
      </w:pPr>
      <w:r w:rsidRPr="00877602">
        <w:rPr>
          <w:rFonts w:ascii="Times New Roman" w:hAnsi="Times New Roman"/>
        </w:rPr>
        <w:t xml:space="preserve">EPA </w:t>
      </w:r>
      <w:r w:rsidR="00BA50B7" w:rsidRPr="00877602">
        <w:rPr>
          <w:rFonts w:ascii="Times New Roman" w:hAnsi="Times New Roman"/>
        </w:rPr>
        <w:t xml:space="preserve">is requesting that entities provide </w:t>
      </w:r>
      <w:r w:rsidRPr="00877602">
        <w:rPr>
          <w:rFonts w:ascii="Times New Roman" w:hAnsi="Times New Roman"/>
        </w:rPr>
        <w:t>the following information to the Agency</w:t>
      </w:r>
      <w:r w:rsidR="00BA50B7" w:rsidRPr="00877602">
        <w:rPr>
          <w:rFonts w:ascii="Times New Roman" w:hAnsi="Times New Roman"/>
        </w:rPr>
        <w:t>:</w:t>
      </w:r>
    </w:p>
    <w:p w:rsidR="00A94309" w:rsidRPr="00877602" w:rsidRDefault="00A94309">
      <w:pPr>
        <w:ind w:firstLine="720"/>
        <w:rPr>
          <w:rFonts w:ascii="Times New Roman" w:hAnsi="Times New Roman"/>
        </w:rPr>
      </w:pPr>
    </w:p>
    <w:p w:rsidR="001F2938" w:rsidRPr="001F2938" w:rsidRDefault="00D14779" w:rsidP="001F2938">
      <w:pPr>
        <w:pStyle w:val="Level1"/>
        <w:tabs>
          <w:tab w:val="left" w:pos="-1440"/>
        </w:tabs>
        <w:ind w:left="0" w:firstLine="0"/>
        <w:rPr>
          <w:rFonts w:ascii="Times New Roman" w:hAnsi="Times New Roman"/>
          <w:b/>
        </w:rPr>
      </w:pPr>
      <w:r w:rsidRPr="001F2938">
        <w:rPr>
          <w:rFonts w:ascii="Times New Roman" w:hAnsi="Times New Roman"/>
          <w:b/>
        </w:rPr>
        <w:t>Producers</w:t>
      </w:r>
      <w:r w:rsidR="00662453" w:rsidRPr="001F2938">
        <w:rPr>
          <w:rFonts w:ascii="Times New Roman" w:hAnsi="Times New Roman"/>
          <w:b/>
        </w:rPr>
        <w:t xml:space="preserve"> and</w:t>
      </w:r>
      <w:r w:rsidRPr="001F2938">
        <w:rPr>
          <w:rFonts w:ascii="Times New Roman" w:hAnsi="Times New Roman"/>
          <w:b/>
        </w:rPr>
        <w:t xml:space="preserve"> </w:t>
      </w:r>
      <w:r w:rsidR="00EA018D" w:rsidRPr="001F2938">
        <w:rPr>
          <w:rFonts w:ascii="Times New Roman" w:hAnsi="Times New Roman"/>
          <w:b/>
        </w:rPr>
        <w:t>importers</w:t>
      </w:r>
    </w:p>
    <w:p w:rsidR="00DA49D2" w:rsidRDefault="00EA018D" w:rsidP="001F2938">
      <w:pPr>
        <w:pStyle w:val="Level1"/>
        <w:numPr>
          <w:ilvl w:val="0"/>
          <w:numId w:val="2"/>
        </w:numPr>
        <w:tabs>
          <w:tab w:val="clear" w:pos="288"/>
          <w:tab w:val="left" w:pos="-1440"/>
          <w:tab w:val="num" w:pos="720"/>
        </w:tabs>
        <w:ind w:left="720" w:hanging="360"/>
        <w:rPr>
          <w:rFonts w:ascii="Times New Roman" w:hAnsi="Times New Roman"/>
        </w:rPr>
      </w:pPr>
      <w:r w:rsidRPr="001F2938">
        <w:rPr>
          <w:rFonts w:ascii="Times New Roman" w:hAnsi="Times New Roman"/>
        </w:rPr>
        <w:t xml:space="preserve">Quarterly: </w:t>
      </w:r>
      <w:r w:rsidR="00662453" w:rsidRPr="001F2938">
        <w:rPr>
          <w:rFonts w:ascii="Times New Roman" w:hAnsi="Times New Roman"/>
        </w:rPr>
        <w:t xml:space="preserve">the quantity </w:t>
      </w:r>
      <w:r w:rsidR="00D14779" w:rsidRPr="001F2938">
        <w:rPr>
          <w:rFonts w:ascii="Times New Roman" w:hAnsi="Times New Roman"/>
        </w:rPr>
        <w:t xml:space="preserve">of methyl bromide </w:t>
      </w:r>
      <w:r w:rsidR="00662453" w:rsidRPr="001F2938">
        <w:rPr>
          <w:rFonts w:ascii="Times New Roman" w:hAnsi="Times New Roman"/>
        </w:rPr>
        <w:t xml:space="preserve">produced or imported </w:t>
      </w:r>
      <w:r w:rsidR="00D14779" w:rsidRPr="001F2938">
        <w:rPr>
          <w:rFonts w:ascii="Times New Roman" w:hAnsi="Times New Roman"/>
        </w:rPr>
        <w:t xml:space="preserve">under the exemptions for Quarantine and Preshipment (QPS), critical uses, </w:t>
      </w:r>
      <w:r w:rsidR="000E7D79" w:rsidRPr="001F2938">
        <w:rPr>
          <w:rFonts w:ascii="Times New Roman" w:hAnsi="Times New Roman"/>
        </w:rPr>
        <w:t>emergency uses,</w:t>
      </w:r>
      <w:r w:rsidR="00D14779" w:rsidRPr="001F2938">
        <w:rPr>
          <w:rFonts w:ascii="Times New Roman" w:hAnsi="Times New Roman"/>
        </w:rPr>
        <w:t xml:space="preserve"> </w:t>
      </w:r>
      <w:r w:rsidR="000E7D79" w:rsidRPr="001F2938">
        <w:rPr>
          <w:rFonts w:ascii="Times New Roman" w:hAnsi="Times New Roman"/>
        </w:rPr>
        <w:t xml:space="preserve">lab uses, and </w:t>
      </w:r>
      <w:r w:rsidR="00D14779" w:rsidRPr="001F2938">
        <w:rPr>
          <w:rFonts w:ascii="Times New Roman" w:hAnsi="Times New Roman"/>
        </w:rPr>
        <w:t xml:space="preserve">export to </w:t>
      </w:r>
      <w:r w:rsidR="000E7D79" w:rsidRPr="001F2938">
        <w:rPr>
          <w:rFonts w:ascii="Times New Roman" w:hAnsi="Times New Roman"/>
        </w:rPr>
        <w:t>Article 5 countries</w:t>
      </w:r>
      <w:r w:rsidR="00DA49D2">
        <w:rPr>
          <w:rFonts w:ascii="Times New Roman" w:hAnsi="Times New Roman"/>
        </w:rPr>
        <w:t>;</w:t>
      </w:r>
    </w:p>
    <w:p w:rsidR="001F2938" w:rsidRPr="001F2938" w:rsidRDefault="00662453" w:rsidP="001F2938">
      <w:pPr>
        <w:pStyle w:val="Level1"/>
        <w:numPr>
          <w:ilvl w:val="0"/>
          <w:numId w:val="2"/>
        </w:numPr>
        <w:tabs>
          <w:tab w:val="clear" w:pos="288"/>
          <w:tab w:val="left" w:pos="-1440"/>
          <w:tab w:val="num" w:pos="720"/>
        </w:tabs>
        <w:ind w:left="720" w:hanging="360"/>
        <w:rPr>
          <w:rFonts w:ascii="Times New Roman" w:hAnsi="Times New Roman"/>
        </w:rPr>
      </w:pPr>
      <w:r w:rsidRPr="001F2938">
        <w:rPr>
          <w:rFonts w:ascii="Times New Roman" w:hAnsi="Times New Roman"/>
        </w:rPr>
        <w:t xml:space="preserve">Quarterly: </w:t>
      </w:r>
      <w:r w:rsidR="000E7D79" w:rsidRPr="001F2938">
        <w:rPr>
          <w:rFonts w:ascii="Times New Roman" w:hAnsi="Times New Roman"/>
        </w:rPr>
        <w:t xml:space="preserve">the quantity </w:t>
      </w:r>
      <w:r w:rsidRPr="001F2938">
        <w:rPr>
          <w:rFonts w:ascii="Times New Roman" w:hAnsi="Times New Roman"/>
        </w:rPr>
        <w:t xml:space="preserve">of methyl bromide </w:t>
      </w:r>
      <w:r w:rsidR="000E7D79" w:rsidRPr="001F2938">
        <w:rPr>
          <w:rFonts w:ascii="Times New Roman" w:hAnsi="Times New Roman"/>
        </w:rPr>
        <w:t xml:space="preserve">produced </w:t>
      </w:r>
      <w:r w:rsidRPr="001F2938">
        <w:rPr>
          <w:rFonts w:ascii="Times New Roman" w:hAnsi="Times New Roman"/>
        </w:rPr>
        <w:t xml:space="preserve">or imported </w:t>
      </w:r>
      <w:r w:rsidR="000E7D79" w:rsidRPr="001F2938">
        <w:rPr>
          <w:rFonts w:ascii="Times New Roman" w:hAnsi="Times New Roman"/>
        </w:rPr>
        <w:t>for uses resulting in its transformation and/or destruction;</w:t>
      </w:r>
    </w:p>
    <w:p w:rsidR="001F2938" w:rsidRPr="001F2938" w:rsidRDefault="000E7D79" w:rsidP="001F2938">
      <w:pPr>
        <w:pStyle w:val="Level1"/>
        <w:numPr>
          <w:ilvl w:val="0"/>
          <w:numId w:val="2"/>
        </w:numPr>
        <w:tabs>
          <w:tab w:val="clear" w:pos="288"/>
          <w:tab w:val="left" w:pos="-1440"/>
          <w:tab w:val="num" w:pos="720"/>
        </w:tabs>
        <w:ind w:left="720" w:hanging="360"/>
        <w:rPr>
          <w:rFonts w:ascii="Times New Roman" w:hAnsi="Times New Roman"/>
        </w:rPr>
      </w:pPr>
      <w:r w:rsidRPr="001F2938">
        <w:rPr>
          <w:rFonts w:ascii="Times New Roman" w:hAnsi="Times New Roman"/>
        </w:rPr>
        <w:t xml:space="preserve">Quarterly: </w:t>
      </w:r>
      <w:r w:rsidR="00DA49D2">
        <w:rPr>
          <w:rFonts w:ascii="Times New Roman" w:hAnsi="Times New Roman"/>
        </w:rPr>
        <w:t xml:space="preserve">the </w:t>
      </w:r>
      <w:r w:rsidR="00EA018D" w:rsidRPr="001F2938">
        <w:rPr>
          <w:rFonts w:ascii="Times New Roman" w:hAnsi="Times New Roman"/>
        </w:rPr>
        <w:t>number and type of expended and unexpended critical use allowances (CUAs)</w:t>
      </w:r>
      <w:r w:rsidRPr="001F2938">
        <w:rPr>
          <w:rFonts w:ascii="Times New Roman" w:hAnsi="Times New Roman"/>
        </w:rPr>
        <w:t xml:space="preserve">  and Article 5 allowances</w:t>
      </w:r>
      <w:r w:rsidR="00EA018D" w:rsidRPr="001F2938">
        <w:rPr>
          <w:rFonts w:ascii="Times New Roman" w:hAnsi="Times New Roman"/>
        </w:rPr>
        <w:t>;</w:t>
      </w:r>
    </w:p>
    <w:p w:rsidR="001F2938" w:rsidRPr="00DA49D2" w:rsidRDefault="00B144C2" w:rsidP="001F2938">
      <w:pPr>
        <w:pStyle w:val="Level1"/>
        <w:numPr>
          <w:ilvl w:val="0"/>
          <w:numId w:val="2"/>
        </w:numPr>
        <w:tabs>
          <w:tab w:val="clear" w:pos="288"/>
          <w:tab w:val="left" w:pos="-1440"/>
          <w:tab w:val="num" w:pos="720"/>
        </w:tabs>
        <w:ind w:left="720" w:hanging="360"/>
        <w:rPr>
          <w:rFonts w:ascii="Times New Roman" w:hAnsi="Times New Roman"/>
        </w:rPr>
      </w:pPr>
      <w:r w:rsidRPr="00DA49D2">
        <w:rPr>
          <w:rFonts w:ascii="Times New Roman" w:hAnsi="Times New Roman"/>
        </w:rPr>
        <w:t xml:space="preserve">Annually: the total amount and type of methyl bromide sold directly to critical uses; </w:t>
      </w:r>
    </w:p>
    <w:p w:rsidR="001F2938" w:rsidRPr="001F2938" w:rsidRDefault="00B144C2" w:rsidP="001F2938">
      <w:pPr>
        <w:pStyle w:val="Level1"/>
        <w:numPr>
          <w:ilvl w:val="0"/>
          <w:numId w:val="2"/>
        </w:numPr>
        <w:tabs>
          <w:tab w:val="clear" w:pos="288"/>
          <w:tab w:val="left" w:pos="-1440"/>
          <w:tab w:val="num" w:pos="720"/>
        </w:tabs>
        <w:ind w:left="720" w:hanging="360"/>
        <w:rPr>
          <w:rFonts w:ascii="Times New Roman" w:hAnsi="Times New Roman"/>
        </w:rPr>
      </w:pPr>
      <w:r w:rsidRPr="001F2938">
        <w:rPr>
          <w:rFonts w:ascii="Times New Roman" w:hAnsi="Times New Roman"/>
        </w:rPr>
        <w:t>Annually: the total amount and type of critical use methyl bromide held in inventory for themselves o</w:t>
      </w:r>
      <w:r w:rsidR="00DA49D2">
        <w:rPr>
          <w:rFonts w:ascii="Times New Roman" w:hAnsi="Times New Roman"/>
        </w:rPr>
        <w:t>r on behalf of a third party</w:t>
      </w:r>
      <w:r w:rsidRPr="001F2938">
        <w:rPr>
          <w:rFonts w:ascii="Times New Roman" w:hAnsi="Times New Roman"/>
        </w:rPr>
        <w:t>;</w:t>
      </w:r>
    </w:p>
    <w:p w:rsidR="001F2938" w:rsidRPr="001F2938" w:rsidRDefault="0062616C" w:rsidP="001F2938">
      <w:pPr>
        <w:pStyle w:val="Level1"/>
        <w:numPr>
          <w:ilvl w:val="0"/>
          <w:numId w:val="2"/>
        </w:numPr>
        <w:tabs>
          <w:tab w:val="clear" w:pos="288"/>
          <w:tab w:val="left" w:pos="-1440"/>
          <w:tab w:val="num" w:pos="720"/>
        </w:tabs>
        <w:ind w:left="720" w:hanging="360"/>
        <w:rPr>
          <w:rFonts w:ascii="Times New Roman" w:hAnsi="Times New Roman"/>
        </w:rPr>
      </w:pPr>
      <w:r w:rsidRPr="001F2938">
        <w:rPr>
          <w:rFonts w:ascii="Times New Roman" w:hAnsi="Times New Roman"/>
        </w:rPr>
        <w:t>Annually: the total amount of methyl bromide that was produced/imported prior to January 1, 2005, that is held in inventory for themselves o</w:t>
      </w:r>
      <w:r w:rsidR="00DA49D2">
        <w:rPr>
          <w:rFonts w:ascii="Times New Roman" w:hAnsi="Times New Roman"/>
        </w:rPr>
        <w:t>r on behalf of a third party</w:t>
      </w:r>
      <w:r w:rsidRPr="001F2938">
        <w:rPr>
          <w:rFonts w:ascii="Times New Roman" w:hAnsi="Times New Roman"/>
        </w:rPr>
        <w:t>;</w:t>
      </w:r>
    </w:p>
    <w:p w:rsidR="0097461C" w:rsidRPr="001F2938" w:rsidRDefault="00026D2F" w:rsidP="001F2938">
      <w:pPr>
        <w:pStyle w:val="Level1"/>
        <w:numPr>
          <w:ilvl w:val="0"/>
          <w:numId w:val="2"/>
        </w:numPr>
        <w:tabs>
          <w:tab w:val="clear" w:pos="288"/>
          <w:tab w:val="left" w:pos="-1440"/>
          <w:tab w:val="num" w:pos="720"/>
        </w:tabs>
        <w:ind w:left="720" w:hanging="360"/>
        <w:rPr>
          <w:rFonts w:ascii="Times New Roman" w:hAnsi="Times New Roman"/>
          <w:b/>
        </w:rPr>
      </w:pPr>
      <w:r w:rsidRPr="001F2938">
        <w:rPr>
          <w:rFonts w:ascii="Times New Roman" w:hAnsi="Times New Roman"/>
        </w:rPr>
        <w:t>Periodically</w:t>
      </w:r>
      <w:r w:rsidR="0097461C" w:rsidRPr="001F2938">
        <w:rPr>
          <w:rFonts w:ascii="Times New Roman" w:hAnsi="Times New Roman"/>
        </w:rPr>
        <w:t xml:space="preserve">, </w:t>
      </w:r>
      <w:r w:rsidR="00321188">
        <w:rPr>
          <w:rFonts w:ascii="Times New Roman" w:hAnsi="Times New Roman"/>
        </w:rPr>
        <w:t>(</w:t>
      </w:r>
      <w:r w:rsidR="0097461C" w:rsidRPr="001F2938">
        <w:rPr>
          <w:rFonts w:ascii="Times New Roman" w:hAnsi="Times New Roman"/>
        </w:rPr>
        <w:t xml:space="preserve">likely less than </w:t>
      </w:r>
      <w:r w:rsidR="00E60800">
        <w:rPr>
          <w:rFonts w:ascii="Times New Roman" w:hAnsi="Times New Roman"/>
        </w:rPr>
        <w:t>annually</w:t>
      </w:r>
      <w:r w:rsidR="00321188">
        <w:rPr>
          <w:rFonts w:ascii="Times New Roman" w:hAnsi="Times New Roman"/>
        </w:rPr>
        <w:t>)</w:t>
      </w:r>
      <w:r w:rsidRPr="001F2938">
        <w:rPr>
          <w:rFonts w:ascii="Times New Roman" w:hAnsi="Times New Roman"/>
        </w:rPr>
        <w:t>: information that the Administrator may reasonably require in carrying out the critical use exemption program under Section 604(d)(6) of the Clean Air Act</w:t>
      </w:r>
      <w:r w:rsidR="0097461C" w:rsidRPr="001F2938">
        <w:rPr>
          <w:rFonts w:ascii="Times New Roman" w:hAnsi="Times New Roman"/>
        </w:rPr>
        <w:t xml:space="preserve"> including </w:t>
      </w:r>
      <w:r w:rsidR="00321188">
        <w:rPr>
          <w:rFonts w:ascii="Times New Roman" w:hAnsi="Times New Roman"/>
        </w:rPr>
        <w:t>management and composition of pre-phaseout inventory</w:t>
      </w:r>
      <w:r w:rsidR="0097461C" w:rsidRPr="001F2938">
        <w:rPr>
          <w:rFonts w:ascii="Times New Roman" w:hAnsi="Times New Roman"/>
        </w:rPr>
        <w:t xml:space="preserve">, </w:t>
      </w:r>
      <w:r w:rsidR="00321188">
        <w:rPr>
          <w:rFonts w:ascii="Times New Roman" w:hAnsi="Times New Roman"/>
        </w:rPr>
        <w:t xml:space="preserve">price </w:t>
      </w:r>
      <w:r w:rsidR="0097461C" w:rsidRPr="001F2938">
        <w:rPr>
          <w:rFonts w:ascii="Times New Roman" w:hAnsi="Times New Roman"/>
        </w:rPr>
        <w:t xml:space="preserve">of methyl bromide and its alternatives, </w:t>
      </w:r>
      <w:r w:rsidR="00683ED3">
        <w:rPr>
          <w:rFonts w:ascii="Times New Roman" w:hAnsi="Times New Roman"/>
        </w:rPr>
        <w:t xml:space="preserve">and </w:t>
      </w:r>
      <w:r w:rsidR="0097461C" w:rsidRPr="001F2938">
        <w:rPr>
          <w:rFonts w:ascii="Times New Roman" w:hAnsi="Times New Roman"/>
        </w:rPr>
        <w:t>fumigant emissio</w:t>
      </w:r>
      <w:r w:rsidR="00321188">
        <w:rPr>
          <w:rFonts w:ascii="Times New Roman" w:hAnsi="Times New Roman"/>
        </w:rPr>
        <w:t>ns reductions practices.</w:t>
      </w:r>
      <w:r w:rsidR="0097461C" w:rsidRPr="001F2938">
        <w:rPr>
          <w:rFonts w:ascii="Times New Roman" w:hAnsi="Times New Roman"/>
        </w:rPr>
        <w:t xml:space="preserve">  EPA may also use the information gathering authority under Section 114 of the Clean Air Act to ensure compliance with existing regulations under the critical use exemption program.  </w:t>
      </w:r>
    </w:p>
    <w:p w:rsidR="00EA018D" w:rsidRPr="001F2938" w:rsidRDefault="00EA018D">
      <w:pPr>
        <w:rPr>
          <w:rFonts w:ascii="Times New Roman" w:hAnsi="Times New Roman"/>
        </w:rPr>
      </w:pPr>
    </w:p>
    <w:p w:rsidR="00662453" w:rsidRPr="001F2938" w:rsidRDefault="00662453" w:rsidP="00662453">
      <w:pPr>
        <w:rPr>
          <w:rFonts w:ascii="Times New Roman" w:hAnsi="Times New Roman"/>
          <w:b/>
        </w:rPr>
      </w:pPr>
      <w:r w:rsidRPr="001F2938">
        <w:rPr>
          <w:rFonts w:ascii="Times New Roman" w:hAnsi="Times New Roman"/>
          <w:b/>
        </w:rPr>
        <w:t>Exporters</w:t>
      </w:r>
    </w:p>
    <w:p w:rsidR="00662453" w:rsidRPr="001F2938" w:rsidRDefault="00662453" w:rsidP="001F2938">
      <w:pPr>
        <w:numPr>
          <w:ilvl w:val="0"/>
          <w:numId w:val="3"/>
        </w:numPr>
        <w:tabs>
          <w:tab w:val="clear" w:pos="288"/>
          <w:tab w:val="num" w:pos="720"/>
        </w:tabs>
        <w:ind w:left="720" w:hanging="270"/>
        <w:rPr>
          <w:rFonts w:ascii="Times New Roman" w:hAnsi="Times New Roman"/>
        </w:rPr>
      </w:pPr>
      <w:r w:rsidRPr="001F2938">
        <w:rPr>
          <w:rFonts w:ascii="Times New Roman" w:hAnsi="Times New Roman"/>
        </w:rPr>
        <w:t>Quarterly: names and addresses of the exporter and the recipient of the exports, and the exporter’s Employer Identification Number;</w:t>
      </w:r>
    </w:p>
    <w:p w:rsidR="00662453" w:rsidRPr="001F2938" w:rsidRDefault="00662453" w:rsidP="001F2938">
      <w:pPr>
        <w:numPr>
          <w:ilvl w:val="0"/>
          <w:numId w:val="3"/>
        </w:numPr>
        <w:tabs>
          <w:tab w:val="clear" w:pos="288"/>
          <w:tab w:val="num" w:pos="720"/>
        </w:tabs>
        <w:ind w:left="720"/>
        <w:rPr>
          <w:rFonts w:ascii="Times New Roman" w:hAnsi="Times New Roman"/>
        </w:rPr>
      </w:pPr>
      <w:r w:rsidRPr="001F2938">
        <w:rPr>
          <w:rFonts w:ascii="Times New Roman" w:hAnsi="Times New Roman"/>
        </w:rPr>
        <w:t xml:space="preserve">Quarterly: the quantity of </w:t>
      </w:r>
      <w:r w:rsidR="001F2938" w:rsidRPr="001F2938">
        <w:rPr>
          <w:rFonts w:ascii="Times New Roman" w:hAnsi="Times New Roman"/>
        </w:rPr>
        <w:t>methyl bromide</w:t>
      </w:r>
      <w:r w:rsidRPr="001F2938">
        <w:rPr>
          <w:rFonts w:ascii="Times New Roman" w:hAnsi="Times New Roman"/>
        </w:rPr>
        <w:t xml:space="preserve"> exported </w:t>
      </w:r>
      <w:r w:rsidR="00805599">
        <w:rPr>
          <w:rFonts w:ascii="Times New Roman" w:hAnsi="Times New Roman"/>
        </w:rPr>
        <w:t>under each exemption</w:t>
      </w:r>
      <w:r w:rsidRPr="001F2938">
        <w:rPr>
          <w:rFonts w:ascii="Times New Roman" w:hAnsi="Times New Roman"/>
        </w:rPr>
        <w:t>; the date on which, and the port from which, the controlled substances were exported from the United States or its territories;</w:t>
      </w:r>
      <w:r w:rsidR="001F2938" w:rsidRPr="001F2938">
        <w:rPr>
          <w:rFonts w:ascii="Times New Roman" w:hAnsi="Times New Roman"/>
        </w:rPr>
        <w:t xml:space="preserve"> and</w:t>
      </w:r>
      <w:r w:rsidRPr="001F2938">
        <w:rPr>
          <w:rFonts w:ascii="Times New Roman" w:hAnsi="Times New Roman"/>
        </w:rPr>
        <w:t xml:space="preserve"> the country to which the contr</w:t>
      </w:r>
      <w:r w:rsidR="001F2938" w:rsidRPr="001F2938">
        <w:rPr>
          <w:rFonts w:ascii="Times New Roman" w:hAnsi="Times New Roman"/>
        </w:rPr>
        <w:t>olled substances were exported.</w:t>
      </w:r>
    </w:p>
    <w:p w:rsidR="001F2938" w:rsidRPr="001F2938" w:rsidRDefault="001F2938" w:rsidP="001F2938">
      <w:pPr>
        <w:pStyle w:val="Level1"/>
        <w:tabs>
          <w:tab w:val="left" w:pos="-1440"/>
        </w:tabs>
        <w:ind w:left="0" w:firstLine="0"/>
        <w:rPr>
          <w:rFonts w:ascii="Times New Roman" w:hAnsi="Times New Roman"/>
        </w:rPr>
      </w:pPr>
    </w:p>
    <w:p w:rsidR="001F2938" w:rsidRPr="001F2938" w:rsidRDefault="00EA018D" w:rsidP="001F2938">
      <w:pPr>
        <w:pStyle w:val="Level1"/>
        <w:tabs>
          <w:tab w:val="left" w:pos="-1440"/>
        </w:tabs>
        <w:ind w:left="0" w:firstLine="0"/>
        <w:rPr>
          <w:rFonts w:ascii="Times New Roman" w:hAnsi="Times New Roman"/>
          <w:b/>
        </w:rPr>
      </w:pPr>
      <w:r w:rsidRPr="001F2938">
        <w:rPr>
          <w:rFonts w:ascii="Times New Roman" w:hAnsi="Times New Roman"/>
          <w:b/>
        </w:rPr>
        <w:t>Distributors</w:t>
      </w:r>
      <w:r w:rsidR="001912A4">
        <w:rPr>
          <w:rFonts w:ascii="Times New Roman" w:hAnsi="Times New Roman"/>
          <w:b/>
        </w:rPr>
        <w:t xml:space="preserve"> and Applicators</w:t>
      </w:r>
    </w:p>
    <w:p w:rsidR="001F2938" w:rsidRPr="001F2938" w:rsidRDefault="00EA018D" w:rsidP="001F2938">
      <w:pPr>
        <w:pStyle w:val="Level1"/>
        <w:numPr>
          <w:ilvl w:val="0"/>
          <w:numId w:val="4"/>
        </w:numPr>
        <w:tabs>
          <w:tab w:val="clear" w:pos="288"/>
          <w:tab w:val="left" w:pos="-1440"/>
          <w:tab w:val="num" w:pos="720"/>
        </w:tabs>
        <w:ind w:left="720"/>
        <w:rPr>
          <w:rFonts w:ascii="Times New Roman" w:hAnsi="Times New Roman"/>
        </w:rPr>
      </w:pPr>
      <w:r w:rsidRPr="001F2938">
        <w:rPr>
          <w:rFonts w:ascii="Times New Roman" w:hAnsi="Times New Roman"/>
        </w:rPr>
        <w:t>Annually: the total amount an</w:t>
      </w:r>
      <w:r w:rsidR="001912A4">
        <w:rPr>
          <w:rFonts w:ascii="Times New Roman" w:hAnsi="Times New Roman"/>
        </w:rPr>
        <w:t>d type of methyl bromide purchased</w:t>
      </w:r>
      <w:r w:rsidRPr="001F2938">
        <w:rPr>
          <w:rFonts w:ascii="Times New Roman" w:hAnsi="Times New Roman"/>
        </w:rPr>
        <w:t>;</w:t>
      </w:r>
    </w:p>
    <w:p w:rsidR="001F2938" w:rsidRPr="001F2938" w:rsidRDefault="0050601D" w:rsidP="001F2938">
      <w:pPr>
        <w:pStyle w:val="Level1"/>
        <w:numPr>
          <w:ilvl w:val="0"/>
          <w:numId w:val="4"/>
        </w:numPr>
        <w:tabs>
          <w:tab w:val="clear" w:pos="288"/>
          <w:tab w:val="left" w:pos="-1440"/>
          <w:tab w:val="num" w:pos="720"/>
        </w:tabs>
        <w:ind w:left="720"/>
        <w:rPr>
          <w:rFonts w:ascii="Times New Roman" w:hAnsi="Times New Roman"/>
        </w:rPr>
      </w:pPr>
      <w:r w:rsidRPr="001F2938">
        <w:rPr>
          <w:rFonts w:ascii="Times New Roman" w:hAnsi="Times New Roman"/>
        </w:rPr>
        <w:t>Annually: the total amount and type of methyl bromide so</w:t>
      </w:r>
      <w:r w:rsidR="001912A4">
        <w:rPr>
          <w:rFonts w:ascii="Times New Roman" w:hAnsi="Times New Roman"/>
        </w:rPr>
        <w:t>ld directly to critical uses</w:t>
      </w:r>
      <w:r w:rsidRPr="001F2938">
        <w:rPr>
          <w:rFonts w:ascii="Times New Roman" w:hAnsi="Times New Roman"/>
        </w:rPr>
        <w:t xml:space="preserve">; </w:t>
      </w:r>
    </w:p>
    <w:p w:rsidR="001F2938" w:rsidRPr="001F2938" w:rsidRDefault="00EA018D" w:rsidP="001F2938">
      <w:pPr>
        <w:pStyle w:val="Level1"/>
        <w:numPr>
          <w:ilvl w:val="0"/>
          <w:numId w:val="4"/>
        </w:numPr>
        <w:tabs>
          <w:tab w:val="clear" w:pos="288"/>
          <w:tab w:val="left" w:pos="-1440"/>
          <w:tab w:val="num" w:pos="720"/>
        </w:tabs>
        <w:ind w:left="720"/>
        <w:rPr>
          <w:rFonts w:ascii="Times New Roman" w:hAnsi="Times New Roman"/>
        </w:rPr>
      </w:pPr>
      <w:r w:rsidRPr="001F2938">
        <w:rPr>
          <w:rFonts w:ascii="Times New Roman" w:hAnsi="Times New Roman"/>
        </w:rPr>
        <w:t xml:space="preserve">Annually: the total amount </w:t>
      </w:r>
      <w:r w:rsidR="0050601D" w:rsidRPr="001F2938">
        <w:rPr>
          <w:rFonts w:ascii="Times New Roman" w:hAnsi="Times New Roman"/>
        </w:rPr>
        <w:t>a</w:t>
      </w:r>
      <w:r w:rsidRPr="001F2938">
        <w:rPr>
          <w:rFonts w:ascii="Times New Roman" w:hAnsi="Times New Roman"/>
        </w:rPr>
        <w:t xml:space="preserve">nd type </w:t>
      </w:r>
      <w:r w:rsidR="0050601D" w:rsidRPr="001F2938">
        <w:rPr>
          <w:rFonts w:ascii="Times New Roman" w:hAnsi="Times New Roman"/>
        </w:rPr>
        <w:t xml:space="preserve">of critical use methyl bromide </w:t>
      </w:r>
      <w:r w:rsidRPr="001F2938">
        <w:rPr>
          <w:rFonts w:ascii="Times New Roman" w:hAnsi="Times New Roman"/>
        </w:rPr>
        <w:t xml:space="preserve">held in inventory for </w:t>
      </w:r>
      <w:r w:rsidRPr="001F2938">
        <w:rPr>
          <w:rFonts w:ascii="Times New Roman" w:hAnsi="Times New Roman"/>
        </w:rPr>
        <w:lastRenderedPageBreak/>
        <w:t>themselves o</w:t>
      </w:r>
      <w:r w:rsidR="001912A4">
        <w:rPr>
          <w:rFonts w:ascii="Times New Roman" w:hAnsi="Times New Roman"/>
        </w:rPr>
        <w:t>r on behalf of a third party</w:t>
      </w:r>
      <w:r w:rsidRPr="001F2938">
        <w:rPr>
          <w:rFonts w:ascii="Times New Roman" w:hAnsi="Times New Roman"/>
        </w:rPr>
        <w:t>;</w:t>
      </w:r>
    </w:p>
    <w:p w:rsidR="001F2938" w:rsidRPr="001F2938" w:rsidRDefault="0062616C" w:rsidP="001F2938">
      <w:pPr>
        <w:pStyle w:val="Level1"/>
        <w:numPr>
          <w:ilvl w:val="0"/>
          <w:numId w:val="4"/>
        </w:numPr>
        <w:tabs>
          <w:tab w:val="clear" w:pos="288"/>
          <w:tab w:val="left" w:pos="-1440"/>
          <w:tab w:val="num" w:pos="720"/>
        </w:tabs>
        <w:ind w:left="720"/>
        <w:rPr>
          <w:rFonts w:ascii="Times New Roman" w:hAnsi="Times New Roman"/>
        </w:rPr>
      </w:pPr>
      <w:r w:rsidRPr="001F2938">
        <w:rPr>
          <w:rFonts w:ascii="Times New Roman" w:hAnsi="Times New Roman"/>
        </w:rPr>
        <w:t>Annually: the total amount of methyl bromide that was produced/imported prior to January 1, 2005, that is held in inventory for themselves o</w:t>
      </w:r>
      <w:r w:rsidR="001912A4">
        <w:rPr>
          <w:rFonts w:ascii="Times New Roman" w:hAnsi="Times New Roman"/>
        </w:rPr>
        <w:t>r on behalf of a third party</w:t>
      </w:r>
      <w:r w:rsidRPr="001F2938">
        <w:rPr>
          <w:rFonts w:ascii="Times New Roman" w:hAnsi="Times New Roman"/>
        </w:rPr>
        <w:t>;</w:t>
      </w:r>
    </w:p>
    <w:p w:rsidR="00683ED3" w:rsidRPr="001F2938" w:rsidRDefault="00683ED3" w:rsidP="006D3FB5">
      <w:pPr>
        <w:pStyle w:val="Level1"/>
        <w:numPr>
          <w:ilvl w:val="0"/>
          <w:numId w:val="4"/>
        </w:numPr>
        <w:tabs>
          <w:tab w:val="clear" w:pos="288"/>
          <w:tab w:val="left" w:pos="-1440"/>
          <w:tab w:val="num" w:pos="720"/>
        </w:tabs>
        <w:ind w:left="720"/>
        <w:rPr>
          <w:rFonts w:ascii="Times New Roman" w:hAnsi="Times New Roman"/>
          <w:b/>
        </w:rPr>
      </w:pPr>
      <w:r w:rsidRPr="001F2938">
        <w:rPr>
          <w:rFonts w:ascii="Times New Roman" w:hAnsi="Times New Roman"/>
        </w:rPr>
        <w:t xml:space="preserve">Periodically, </w:t>
      </w:r>
      <w:r>
        <w:rPr>
          <w:rFonts w:ascii="Times New Roman" w:hAnsi="Times New Roman"/>
        </w:rPr>
        <w:t>(</w:t>
      </w:r>
      <w:r w:rsidRPr="001F2938">
        <w:rPr>
          <w:rFonts w:ascii="Times New Roman" w:hAnsi="Times New Roman"/>
        </w:rPr>
        <w:t xml:space="preserve">likely less than </w:t>
      </w:r>
      <w:r>
        <w:rPr>
          <w:rFonts w:ascii="Times New Roman" w:hAnsi="Times New Roman"/>
        </w:rPr>
        <w:t>annually)</w:t>
      </w:r>
      <w:r w:rsidRPr="001F2938">
        <w:rPr>
          <w:rFonts w:ascii="Times New Roman" w:hAnsi="Times New Roman"/>
        </w:rPr>
        <w:t xml:space="preserve">: information that the Administrator may reasonably require in carrying out the critical use exemption program under Section 604(d)(6) of the Clean Air Act including </w:t>
      </w:r>
      <w:r>
        <w:rPr>
          <w:rFonts w:ascii="Times New Roman" w:hAnsi="Times New Roman"/>
        </w:rPr>
        <w:t>management and composition of pre-phaseout inventory</w:t>
      </w:r>
      <w:r w:rsidRPr="001F2938">
        <w:rPr>
          <w:rFonts w:ascii="Times New Roman" w:hAnsi="Times New Roman"/>
        </w:rPr>
        <w:t xml:space="preserve">, </w:t>
      </w:r>
      <w:r>
        <w:rPr>
          <w:rFonts w:ascii="Times New Roman" w:hAnsi="Times New Roman"/>
        </w:rPr>
        <w:t xml:space="preserve">price </w:t>
      </w:r>
      <w:r w:rsidRPr="001F2938">
        <w:rPr>
          <w:rFonts w:ascii="Times New Roman" w:hAnsi="Times New Roman"/>
        </w:rPr>
        <w:t xml:space="preserve">of methyl bromide and its alternatives, </w:t>
      </w:r>
      <w:r>
        <w:rPr>
          <w:rFonts w:ascii="Times New Roman" w:hAnsi="Times New Roman"/>
        </w:rPr>
        <w:t xml:space="preserve">and </w:t>
      </w:r>
      <w:r w:rsidRPr="001F2938">
        <w:rPr>
          <w:rFonts w:ascii="Times New Roman" w:hAnsi="Times New Roman"/>
        </w:rPr>
        <w:t>fumigant emissio</w:t>
      </w:r>
      <w:r>
        <w:rPr>
          <w:rFonts w:ascii="Times New Roman" w:hAnsi="Times New Roman"/>
        </w:rPr>
        <w:t>ns reductions practices.</w:t>
      </w:r>
      <w:r w:rsidRPr="001F2938">
        <w:rPr>
          <w:rFonts w:ascii="Times New Roman" w:hAnsi="Times New Roman"/>
        </w:rPr>
        <w:t xml:space="preserve">  EPA may also use the information gathering authority under Section 114 of the Clean Air Act to ensure compliance with existing regulations under the critical use exemption program.  </w:t>
      </w:r>
    </w:p>
    <w:p w:rsidR="00811A56" w:rsidRPr="001F2938" w:rsidRDefault="00811A56">
      <w:pPr>
        <w:rPr>
          <w:rFonts w:ascii="Times New Roman" w:hAnsi="Times New Roman"/>
        </w:rPr>
      </w:pPr>
    </w:p>
    <w:p w:rsidR="00EA018D" w:rsidRPr="001F2938" w:rsidRDefault="00862C5B">
      <w:pPr>
        <w:rPr>
          <w:rFonts w:ascii="Times New Roman" w:hAnsi="Times New Roman"/>
        </w:rPr>
      </w:pPr>
      <w:r w:rsidRPr="001F2938">
        <w:rPr>
          <w:rFonts w:ascii="Times New Roman" w:hAnsi="Times New Roman"/>
        </w:rPr>
        <w:t>(iii</w:t>
      </w:r>
      <w:r w:rsidR="00EA018D" w:rsidRPr="001F2938">
        <w:rPr>
          <w:rFonts w:ascii="Times New Roman" w:hAnsi="Times New Roman"/>
        </w:rPr>
        <w:t>)  Recordkeeping</w:t>
      </w:r>
    </w:p>
    <w:p w:rsidR="00EA018D" w:rsidRPr="001F2938" w:rsidRDefault="00EA018D">
      <w:pPr>
        <w:rPr>
          <w:rFonts w:ascii="Times New Roman" w:hAnsi="Times New Roman"/>
        </w:rPr>
      </w:pPr>
    </w:p>
    <w:p w:rsidR="00CB0B4C" w:rsidRDefault="00CB0B4C" w:rsidP="001F2938">
      <w:pPr>
        <w:pStyle w:val="Level1"/>
        <w:tabs>
          <w:tab w:val="left" w:pos="-1440"/>
        </w:tabs>
        <w:ind w:left="0" w:firstLine="0"/>
        <w:rPr>
          <w:rFonts w:ascii="Times New Roman" w:hAnsi="Times New Roman"/>
          <w:b/>
        </w:rPr>
      </w:pPr>
      <w:r>
        <w:rPr>
          <w:rFonts w:ascii="Times New Roman" w:hAnsi="Times New Roman"/>
          <w:b/>
        </w:rPr>
        <w:t>EPA is requiring the following record</w:t>
      </w:r>
      <w:r w:rsidR="004B404C">
        <w:rPr>
          <w:rFonts w:ascii="Times New Roman" w:hAnsi="Times New Roman"/>
          <w:b/>
        </w:rPr>
        <w:t>s are kept for three years.</w:t>
      </w:r>
    </w:p>
    <w:p w:rsidR="001F2938" w:rsidRPr="001F2938" w:rsidRDefault="00EA018D" w:rsidP="001F2938">
      <w:pPr>
        <w:pStyle w:val="Level1"/>
        <w:tabs>
          <w:tab w:val="left" w:pos="-1440"/>
        </w:tabs>
        <w:ind w:left="0" w:firstLine="0"/>
        <w:rPr>
          <w:rFonts w:ascii="Times New Roman" w:hAnsi="Times New Roman"/>
          <w:b/>
        </w:rPr>
      </w:pPr>
      <w:r w:rsidRPr="001F2938">
        <w:rPr>
          <w:rFonts w:ascii="Times New Roman" w:hAnsi="Times New Roman"/>
          <w:b/>
        </w:rPr>
        <w:t>Produce</w:t>
      </w:r>
      <w:r w:rsidR="001F2938" w:rsidRPr="001F2938">
        <w:rPr>
          <w:rFonts w:ascii="Times New Roman" w:hAnsi="Times New Roman"/>
          <w:b/>
        </w:rPr>
        <w:t xml:space="preserve">rs, </w:t>
      </w:r>
      <w:r w:rsidRPr="001F2938">
        <w:rPr>
          <w:rFonts w:ascii="Times New Roman" w:hAnsi="Times New Roman"/>
          <w:b/>
        </w:rPr>
        <w:t>importers</w:t>
      </w:r>
      <w:r w:rsidR="001F2938" w:rsidRPr="001F2938">
        <w:rPr>
          <w:rFonts w:ascii="Times New Roman" w:hAnsi="Times New Roman"/>
          <w:b/>
        </w:rPr>
        <w:t>, and exporters</w:t>
      </w:r>
    </w:p>
    <w:p w:rsidR="001F2938" w:rsidRPr="001F2938" w:rsidRDefault="00EA018D" w:rsidP="001F2938">
      <w:pPr>
        <w:pStyle w:val="Level1"/>
        <w:numPr>
          <w:ilvl w:val="0"/>
          <w:numId w:val="8"/>
        </w:numPr>
        <w:tabs>
          <w:tab w:val="clear" w:pos="288"/>
          <w:tab w:val="left" w:pos="-1440"/>
          <w:tab w:val="num" w:pos="720"/>
        </w:tabs>
        <w:ind w:left="720"/>
        <w:rPr>
          <w:rFonts w:ascii="Times New Roman" w:hAnsi="Times New Roman"/>
        </w:rPr>
      </w:pPr>
      <w:r w:rsidRPr="001F2938">
        <w:rPr>
          <w:rFonts w:ascii="Times New Roman" w:hAnsi="Times New Roman"/>
        </w:rPr>
        <w:t>Self certification form for each sale that indicates the buyer will only sell</w:t>
      </w:r>
      <w:r w:rsidR="004B404C">
        <w:rPr>
          <w:rFonts w:ascii="Times New Roman" w:hAnsi="Times New Roman"/>
        </w:rPr>
        <w:t xml:space="preserve"> or </w:t>
      </w:r>
      <w:r w:rsidRPr="001F2938">
        <w:rPr>
          <w:rFonts w:ascii="Times New Roman" w:hAnsi="Times New Roman"/>
        </w:rPr>
        <w:t>use methyl bromide for approved critical uses;</w:t>
      </w:r>
    </w:p>
    <w:p w:rsidR="001F2938" w:rsidRPr="001F2938" w:rsidRDefault="00EA018D" w:rsidP="001F2938">
      <w:pPr>
        <w:pStyle w:val="Level1"/>
        <w:numPr>
          <w:ilvl w:val="0"/>
          <w:numId w:val="8"/>
        </w:numPr>
        <w:tabs>
          <w:tab w:val="clear" w:pos="288"/>
          <w:tab w:val="left" w:pos="-1440"/>
          <w:tab w:val="num" w:pos="720"/>
        </w:tabs>
        <w:ind w:left="720"/>
        <w:rPr>
          <w:rFonts w:ascii="Times New Roman" w:hAnsi="Times New Roman"/>
        </w:rPr>
      </w:pPr>
      <w:r w:rsidRPr="001F2938">
        <w:rPr>
          <w:rFonts w:ascii="Times New Roman" w:hAnsi="Times New Roman"/>
        </w:rPr>
        <w:t>Order forms and invoices for methyl bromide;</w:t>
      </w:r>
    </w:p>
    <w:p w:rsidR="000E7D79" w:rsidRPr="001F2938" w:rsidRDefault="000E7D79">
      <w:pPr>
        <w:rPr>
          <w:rFonts w:ascii="Times New Roman" w:hAnsi="Times New Roman"/>
        </w:rPr>
      </w:pPr>
    </w:p>
    <w:p w:rsidR="001F2938" w:rsidRPr="001F2938" w:rsidRDefault="00EA018D" w:rsidP="001F2938">
      <w:pPr>
        <w:pStyle w:val="Level1"/>
        <w:tabs>
          <w:tab w:val="left" w:pos="-1440"/>
        </w:tabs>
        <w:ind w:left="0" w:firstLine="0"/>
        <w:rPr>
          <w:rFonts w:ascii="Times New Roman" w:hAnsi="Times New Roman"/>
          <w:b/>
        </w:rPr>
      </w:pPr>
      <w:r w:rsidRPr="001F2938">
        <w:rPr>
          <w:rFonts w:ascii="Times New Roman" w:hAnsi="Times New Roman"/>
          <w:b/>
        </w:rPr>
        <w:t>Distributors</w:t>
      </w:r>
      <w:r w:rsidR="001912A4">
        <w:rPr>
          <w:rFonts w:ascii="Times New Roman" w:hAnsi="Times New Roman"/>
          <w:b/>
        </w:rPr>
        <w:t xml:space="preserve"> and Applicators</w:t>
      </w:r>
    </w:p>
    <w:p w:rsidR="001F2938" w:rsidRPr="001F2938" w:rsidRDefault="00EA018D" w:rsidP="001F2938">
      <w:pPr>
        <w:pStyle w:val="Level1"/>
        <w:numPr>
          <w:ilvl w:val="0"/>
          <w:numId w:val="7"/>
        </w:numPr>
        <w:tabs>
          <w:tab w:val="clear" w:pos="288"/>
          <w:tab w:val="left" w:pos="-1440"/>
          <w:tab w:val="num" w:pos="720"/>
        </w:tabs>
        <w:ind w:left="720"/>
        <w:rPr>
          <w:rFonts w:ascii="Times New Roman" w:hAnsi="Times New Roman"/>
        </w:rPr>
      </w:pPr>
      <w:r w:rsidRPr="001F2938">
        <w:rPr>
          <w:rFonts w:ascii="Times New Roman" w:hAnsi="Times New Roman"/>
        </w:rPr>
        <w:t>Self certification form for each sale that indicates the buyer will only sell/use the methyl bromide for approved critical uses;</w:t>
      </w:r>
    </w:p>
    <w:p w:rsidR="001F2938" w:rsidRPr="001F2938" w:rsidRDefault="00EA018D" w:rsidP="001F2938">
      <w:pPr>
        <w:pStyle w:val="Level1"/>
        <w:numPr>
          <w:ilvl w:val="0"/>
          <w:numId w:val="7"/>
        </w:numPr>
        <w:tabs>
          <w:tab w:val="clear" w:pos="288"/>
          <w:tab w:val="left" w:pos="-1440"/>
          <w:tab w:val="num" w:pos="720"/>
        </w:tabs>
        <w:ind w:left="720"/>
        <w:rPr>
          <w:rFonts w:ascii="Times New Roman" w:hAnsi="Times New Roman"/>
        </w:rPr>
      </w:pPr>
      <w:r w:rsidRPr="001F2938">
        <w:rPr>
          <w:rFonts w:ascii="Times New Roman" w:hAnsi="Times New Roman"/>
        </w:rPr>
        <w:t>Order forms and invoices for methyl bromide;</w:t>
      </w:r>
    </w:p>
    <w:p w:rsidR="00EA018D" w:rsidRPr="00877602" w:rsidRDefault="00EA018D">
      <w:pPr>
        <w:rPr>
          <w:rFonts w:ascii="Times New Roman" w:hAnsi="Times New Roman"/>
        </w:rPr>
      </w:pPr>
    </w:p>
    <w:p w:rsidR="00EA018D" w:rsidRPr="00877602" w:rsidRDefault="00EA018D">
      <w:pPr>
        <w:tabs>
          <w:tab w:val="left" w:pos="-1440"/>
        </w:tabs>
        <w:ind w:left="720" w:hanging="720"/>
        <w:rPr>
          <w:rFonts w:ascii="Times New Roman" w:hAnsi="Times New Roman"/>
        </w:rPr>
      </w:pPr>
      <w:r w:rsidRPr="00877602">
        <w:rPr>
          <w:rFonts w:ascii="Times New Roman" w:hAnsi="Times New Roman"/>
        </w:rPr>
        <w:t>5.</w:t>
      </w:r>
      <w:r w:rsidRPr="00877602">
        <w:rPr>
          <w:rFonts w:ascii="Times New Roman" w:hAnsi="Times New Roman"/>
        </w:rPr>
        <w:tab/>
      </w:r>
      <w:r w:rsidRPr="00877602">
        <w:rPr>
          <w:rFonts w:ascii="Times New Roman" w:hAnsi="Times New Roman"/>
          <w:u w:val="single"/>
        </w:rPr>
        <w:t>The Information Collected, Agency Activities, Collection Methodology, and Information Management</w:t>
      </w:r>
    </w:p>
    <w:p w:rsidR="00EA018D" w:rsidRPr="00877602" w:rsidRDefault="00EA018D">
      <w:pPr>
        <w:rPr>
          <w:rFonts w:ascii="Times New Roman" w:hAnsi="Times New Roman"/>
        </w:rPr>
      </w:pPr>
    </w:p>
    <w:p w:rsidR="00EA018D" w:rsidRDefault="00EA018D">
      <w:pPr>
        <w:rPr>
          <w:rFonts w:ascii="Times New Roman" w:hAnsi="Times New Roman"/>
        </w:rPr>
      </w:pPr>
      <w:r w:rsidRPr="00877602">
        <w:rPr>
          <w:rFonts w:ascii="Times New Roman" w:hAnsi="Times New Roman"/>
        </w:rPr>
        <w:t>a)</w:t>
      </w:r>
      <w:r w:rsidRPr="00877602">
        <w:rPr>
          <w:rFonts w:ascii="Times New Roman" w:hAnsi="Times New Roman"/>
        </w:rPr>
        <w:tab/>
        <w:t>Agency Activities</w:t>
      </w:r>
    </w:p>
    <w:p w:rsidR="00724FB7" w:rsidRDefault="00724FB7">
      <w:pPr>
        <w:rPr>
          <w:rFonts w:ascii="Times New Roman" w:hAnsi="Times New Roman"/>
        </w:rPr>
      </w:pPr>
    </w:p>
    <w:p w:rsidR="00724FB7" w:rsidRDefault="00724FB7">
      <w:pPr>
        <w:rPr>
          <w:rFonts w:ascii="Times New Roman" w:hAnsi="Times New Roman"/>
        </w:rPr>
      </w:pPr>
      <w:r>
        <w:rPr>
          <w:rFonts w:ascii="Times New Roman" w:hAnsi="Times New Roman"/>
        </w:rPr>
        <w:t>(i)</w:t>
      </w:r>
      <w:r>
        <w:rPr>
          <w:rFonts w:ascii="Times New Roman" w:hAnsi="Times New Roman"/>
        </w:rPr>
        <w:tab/>
        <w:t>Applications</w:t>
      </w:r>
    </w:p>
    <w:p w:rsidR="00724FB7" w:rsidRDefault="00724FB7" w:rsidP="00724FB7">
      <w:pPr>
        <w:rPr>
          <w:rFonts w:ascii="Times New Roman" w:hAnsi="Times New Roman"/>
        </w:rPr>
      </w:pPr>
    </w:p>
    <w:p w:rsidR="00724FB7" w:rsidRPr="00724FB7" w:rsidRDefault="00724FB7" w:rsidP="00724FB7">
      <w:pPr>
        <w:rPr>
          <w:rFonts w:ascii="Times New Roman" w:hAnsi="Times New Roman"/>
        </w:rPr>
      </w:pPr>
      <w:r>
        <w:rPr>
          <w:rFonts w:ascii="Times New Roman" w:hAnsi="Times New Roman"/>
        </w:rPr>
        <w:tab/>
        <w:t>Submitted critical use exemption a</w:t>
      </w:r>
      <w:r w:rsidRPr="00724FB7">
        <w:rPr>
          <w:rFonts w:ascii="Times New Roman" w:hAnsi="Times New Roman"/>
        </w:rPr>
        <w:t xml:space="preserve">pplications </w:t>
      </w:r>
      <w:r>
        <w:rPr>
          <w:rFonts w:ascii="Times New Roman" w:hAnsi="Times New Roman"/>
        </w:rPr>
        <w:t>are</w:t>
      </w:r>
      <w:r w:rsidRPr="00724FB7">
        <w:rPr>
          <w:rFonts w:ascii="Times New Roman" w:hAnsi="Times New Roman"/>
        </w:rPr>
        <w:t xml:space="preserve"> receiv</w:t>
      </w:r>
      <w:r>
        <w:rPr>
          <w:rFonts w:ascii="Times New Roman" w:hAnsi="Times New Roman"/>
        </w:rPr>
        <w:t>ed by the Stratospheric Program</w:t>
      </w:r>
      <w:r w:rsidRPr="00724FB7">
        <w:rPr>
          <w:rFonts w:ascii="Times New Roman" w:hAnsi="Times New Roman"/>
        </w:rPr>
        <w:t xml:space="preserve"> Implementation Branch (SPIB), of the Stratospheric Protection Division (SPD) of the Office of Atmospheric Programs (OAP).  The Biological and Economic Assessment Division (BEAD) of the Office of Pesticide Programs</w:t>
      </w:r>
      <w:r>
        <w:rPr>
          <w:rFonts w:ascii="Times New Roman" w:hAnsi="Times New Roman"/>
        </w:rPr>
        <w:t xml:space="preserve"> (OPP) conducts a technical review of the applications</w:t>
      </w:r>
      <w:r w:rsidRPr="00724FB7">
        <w:rPr>
          <w:rFonts w:ascii="Times New Roman" w:hAnsi="Times New Roman"/>
        </w:rPr>
        <w:t xml:space="preserve">.  </w:t>
      </w:r>
      <w:r>
        <w:rPr>
          <w:rFonts w:ascii="Times New Roman" w:hAnsi="Times New Roman"/>
        </w:rPr>
        <w:t>B</w:t>
      </w:r>
      <w:r w:rsidRPr="00724FB7">
        <w:rPr>
          <w:rFonts w:ascii="Times New Roman" w:hAnsi="Times New Roman"/>
        </w:rPr>
        <w:t xml:space="preserve">oth a biologist and an economist </w:t>
      </w:r>
      <w:r>
        <w:rPr>
          <w:rFonts w:ascii="Times New Roman" w:hAnsi="Times New Roman"/>
        </w:rPr>
        <w:t xml:space="preserve">review each </w:t>
      </w:r>
      <w:r w:rsidRPr="00724FB7">
        <w:rPr>
          <w:rFonts w:ascii="Times New Roman" w:hAnsi="Times New Roman"/>
        </w:rPr>
        <w:t xml:space="preserve">application, and the applications are grouped according to agricultural sector.  Specifically, the review determines whether or not there is sufficient information to support the contention that “no technically or economically feasible alternatives exist” for the specified methyl bromide use. The review also determines if a lack of methyl bromide availability would cause a significant market disruption.  These requirements for critical use exemptions were agreed to by the Parties to the Protocol at their Seventh Meeting, and are delineated in Decision IX/6, as well as Section 604(d) of the Clean Air Act (CAA).  </w:t>
      </w:r>
      <w:r>
        <w:rPr>
          <w:rFonts w:ascii="Times New Roman" w:hAnsi="Times New Roman"/>
        </w:rPr>
        <w:t xml:space="preserve">This review may require </w:t>
      </w:r>
      <w:r w:rsidRPr="00724FB7">
        <w:rPr>
          <w:rFonts w:ascii="Times New Roman" w:hAnsi="Times New Roman"/>
        </w:rPr>
        <w:t>additional c</w:t>
      </w:r>
      <w:r>
        <w:rPr>
          <w:rFonts w:ascii="Times New Roman" w:hAnsi="Times New Roman"/>
        </w:rPr>
        <w:t>onsultation with the applicant</w:t>
      </w:r>
      <w:r w:rsidRPr="00724FB7">
        <w:rPr>
          <w:rFonts w:ascii="Times New Roman" w:hAnsi="Times New Roman"/>
        </w:rPr>
        <w:t>s if further clarification is needed</w:t>
      </w:r>
      <w:r>
        <w:rPr>
          <w:rFonts w:ascii="Times New Roman" w:hAnsi="Times New Roman"/>
        </w:rPr>
        <w:t>.</w:t>
      </w:r>
    </w:p>
    <w:p w:rsidR="00724FB7" w:rsidRPr="00724FB7" w:rsidRDefault="00724FB7" w:rsidP="00724FB7">
      <w:pPr>
        <w:rPr>
          <w:rFonts w:ascii="Times New Roman" w:hAnsi="Times New Roman"/>
        </w:rPr>
      </w:pPr>
      <w:r>
        <w:rPr>
          <w:rFonts w:ascii="Times New Roman" w:hAnsi="Times New Roman"/>
        </w:rPr>
        <w:tab/>
      </w:r>
      <w:r w:rsidRPr="00724FB7">
        <w:rPr>
          <w:rFonts w:ascii="Times New Roman" w:hAnsi="Times New Roman"/>
        </w:rPr>
        <w:t xml:space="preserve">EPA, in consultation with the </w:t>
      </w:r>
      <w:r>
        <w:rPr>
          <w:rFonts w:ascii="Times New Roman" w:hAnsi="Times New Roman"/>
        </w:rPr>
        <w:t xml:space="preserve">U.S. Department </w:t>
      </w:r>
      <w:r w:rsidRPr="00724FB7">
        <w:rPr>
          <w:rFonts w:ascii="Times New Roman" w:hAnsi="Times New Roman"/>
        </w:rPr>
        <w:t>of Agriculture and the Department of State, compile</w:t>
      </w:r>
      <w:r>
        <w:rPr>
          <w:rFonts w:ascii="Times New Roman" w:hAnsi="Times New Roman"/>
        </w:rPr>
        <w:t>s</w:t>
      </w:r>
      <w:r w:rsidRPr="00724FB7">
        <w:rPr>
          <w:rFonts w:ascii="Times New Roman" w:hAnsi="Times New Roman"/>
        </w:rPr>
        <w:t xml:space="preserve"> a nomination package containing all uses to be nominated by the U.S. as “critical.”  This </w:t>
      </w:r>
      <w:r w:rsidRPr="00724FB7">
        <w:rPr>
          <w:rFonts w:ascii="Times New Roman" w:hAnsi="Times New Roman"/>
        </w:rPr>
        <w:lastRenderedPageBreak/>
        <w:t xml:space="preserve">package </w:t>
      </w:r>
      <w:r>
        <w:rPr>
          <w:rFonts w:ascii="Times New Roman" w:hAnsi="Times New Roman"/>
        </w:rPr>
        <w:t>is</w:t>
      </w:r>
      <w:r w:rsidRPr="00724FB7">
        <w:rPr>
          <w:rFonts w:ascii="Times New Roman" w:hAnsi="Times New Roman"/>
        </w:rPr>
        <w:t xml:space="preserve"> submitted to the Ozone Secretariat of the Protocol, reviewed by MBTOC and TEAP, and later authorized by the Pa</w:t>
      </w:r>
      <w:r w:rsidR="006B68E7">
        <w:rPr>
          <w:rFonts w:ascii="Times New Roman" w:hAnsi="Times New Roman"/>
        </w:rPr>
        <w:t>rties at their annual meeting. Typically, EPA must respond to one or two rounds of questions from MBTOC as that body conducts a technical review of the U.S. Nomination.</w:t>
      </w:r>
    </w:p>
    <w:p w:rsidR="00724FB7" w:rsidRDefault="00724FB7" w:rsidP="00724FB7">
      <w:pPr>
        <w:rPr>
          <w:rFonts w:ascii="Times New Roman" w:hAnsi="Times New Roman"/>
        </w:rPr>
      </w:pPr>
      <w:r>
        <w:rPr>
          <w:rFonts w:ascii="Times New Roman" w:hAnsi="Times New Roman"/>
        </w:rPr>
        <w:tab/>
      </w:r>
      <w:r w:rsidRPr="00724FB7">
        <w:rPr>
          <w:rFonts w:ascii="Times New Roman" w:hAnsi="Times New Roman"/>
        </w:rPr>
        <w:t xml:space="preserve">In order to complete the </w:t>
      </w:r>
      <w:r w:rsidR="002F0585">
        <w:rPr>
          <w:rFonts w:ascii="Times New Roman" w:hAnsi="Times New Roman"/>
        </w:rPr>
        <w:t xml:space="preserve">application </w:t>
      </w:r>
      <w:r w:rsidRPr="00724FB7">
        <w:rPr>
          <w:rFonts w:ascii="Times New Roman" w:hAnsi="Times New Roman"/>
        </w:rPr>
        <w:t>process, EPA must:</w:t>
      </w:r>
    </w:p>
    <w:p w:rsidR="00E44069" w:rsidRDefault="00E44069" w:rsidP="00724FB7">
      <w:pPr>
        <w:rPr>
          <w:rFonts w:ascii="Times New Roman" w:hAnsi="Times New Roman"/>
        </w:rPr>
      </w:pPr>
    </w:p>
    <w:p w:rsidR="00724FB7" w:rsidRPr="00724FB7" w:rsidRDefault="00724FB7" w:rsidP="00160E4A">
      <w:pPr>
        <w:pStyle w:val="Level1"/>
        <w:numPr>
          <w:ilvl w:val="0"/>
          <w:numId w:val="10"/>
        </w:numPr>
        <w:tabs>
          <w:tab w:val="left" w:pos="-1440"/>
        </w:tabs>
        <w:ind w:left="720"/>
        <w:rPr>
          <w:rFonts w:ascii="Times New Roman" w:hAnsi="Times New Roman"/>
        </w:rPr>
      </w:pPr>
      <w:r w:rsidRPr="00724FB7">
        <w:rPr>
          <w:rFonts w:ascii="Times New Roman" w:hAnsi="Times New Roman"/>
        </w:rPr>
        <w:t>Publish a Federal Register notice announcing the availability of applications</w:t>
      </w:r>
    </w:p>
    <w:p w:rsidR="00724FB7" w:rsidRPr="00724FB7" w:rsidRDefault="00724FB7" w:rsidP="00160E4A">
      <w:pPr>
        <w:pStyle w:val="Level1"/>
        <w:numPr>
          <w:ilvl w:val="0"/>
          <w:numId w:val="10"/>
        </w:numPr>
        <w:tabs>
          <w:tab w:val="left" w:pos="-1440"/>
        </w:tabs>
        <w:ind w:left="720"/>
        <w:rPr>
          <w:rFonts w:ascii="Times New Roman" w:hAnsi="Times New Roman"/>
        </w:rPr>
      </w:pPr>
      <w:r w:rsidRPr="00724FB7">
        <w:rPr>
          <w:rFonts w:ascii="Times New Roman" w:hAnsi="Times New Roman"/>
        </w:rPr>
        <w:t>Collect, compile, and analyze submitted applications</w:t>
      </w:r>
    </w:p>
    <w:p w:rsidR="00724FB7" w:rsidRPr="00724FB7" w:rsidRDefault="00724FB7" w:rsidP="00160E4A">
      <w:pPr>
        <w:pStyle w:val="Level1"/>
        <w:numPr>
          <w:ilvl w:val="0"/>
          <w:numId w:val="10"/>
        </w:numPr>
        <w:tabs>
          <w:tab w:val="left" w:pos="-1440"/>
        </w:tabs>
        <w:ind w:left="720"/>
        <w:rPr>
          <w:rFonts w:ascii="Times New Roman" w:hAnsi="Times New Roman"/>
        </w:rPr>
      </w:pPr>
      <w:r w:rsidRPr="00724FB7">
        <w:rPr>
          <w:rFonts w:ascii="Times New Roman" w:hAnsi="Times New Roman"/>
        </w:rPr>
        <w:t>Review applications for completeness and inform applicants if application is not complete</w:t>
      </w:r>
    </w:p>
    <w:p w:rsidR="00724FB7" w:rsidRPr="00724FB7" w:rsidRDefault="00724FB7" w:rsidP="00160E4A">
      <w:pPr>
        <w:pStyle w:val="Level1"/>
        <w:numPr>
          <w:ilvl w:val="0"/>
          <w:numId w:val="10"/>
        </w:numPr>
        <w:tabs>
          <w:tab w:val="left" w:pos="-1440"/>
        </w:tabs>
        <w:ind w:left="720"/>
        <w:rPr>
          <w:rFonts w:ascii="Times New Roman" w:hAnsi="Times New Roman"/>
        </w:rPr>
      </w:pPr>
      <w:r w:rsidRPr="00724FB7">
        <w:rPr>
          <w:rFonts w:ascii="Times New Roman" w:hAnsi="Times New Roman"/>
        </w:rPr>
        <w:t>Review applications for critical need for methyl bromide (e.g., data supporting a finding that there is no technically or economically feasible alternative)</w:t>
      </w:r>
    </w:p>
    <w:p w:rsidR="00724FB7" w:rsidRPr="00724FB7" w:rsidRDefault="00724FB7" w:rsidP="00160E4A">
      <w:pPr>
        <w:pStyle w:val="Level1"/>
        <w:numPr>
          <w:ilvl w:val="0"/>
          <w:numId w:val="10"/>
        </w:numPr>
        <w:tabs>
          <w:tab w:val="left" w:pos="-1440"/>
        </w:tabs>
        <w:ind w:left="720"/>
        <w:rPr>
          <w:rFonts w:ascii="Times New Roman" w:hAnsi="Times New Roman"/>
        </w:rPr>
      </w:pPr>
      <w:r w:rsidRPr="00724FB7">
        <w:rPr>
          <w:rFonts w:ascii="Times New Roman" w:hAnsi="Times New Roman"/>
        </w:rPr>
        <w:t>Transpose data from the applications into the required nomination format (as consistent with the MBTOC Handbook)</w:t>
      </w:r>
    </w:p>
    <w:p w:rsidR="00724FB7" w:rsidRPr="00724FB7" w:rsidRDefault="00724FB7" w:rsidP="00160E4A">
      <w:pPr>
        <w:pStyle w:val="Level1"/>
        <w:numPr>
          <w:ilvl w:val="0"/>
          <w:numId w:val="10"/>
        </w:numPr>
        <w:tabs>
          <w:tab w:val="left" w:pos="-1440"/>
        </w:tabs>
        <w:ind w:left="720"/>
        <w:rPr>
          <w:rFonts w:ascii="Times New Roman" w:hAnsi="Times New Roman"/>
        </w:rPr>
      </w:pPr>
      <w:r w:rsidRPr="00724FB7">
        <w:rPr>
          <w:rFonts w:ascii="Times New Roman" w:hAnsi="Times New Roman"/>
        </w:rPr>
        <w:t>Compile applications into U.S. nomination package for submission to the Ozone Secretariat</w:t>
      </w:r>
    </w:p>
    <w:p w:rsidR="00724FB7" w:rsidRDefault="00724FB7">
      <w:pPr>
        <w:rPr>
          <w:rFonts w:ascii="Times New Roman" w:hAnsi="Times New Roman"/>
        </w:rPr>
      </w:pPr>
    </w:p>
    <w:p w:rsidR="00724FB7" w:rsidRPr="00877602" w:rsidRDefault="00724FB7">
      <w:pPr>
        <w:rPr>
          <w:rFonts w:ascii="Times New Roman" w:hAnsi="Times New Roman"/>
        </w:rPr>
      </w:pPr>
      <w:r>
        <w:rPr>
          <w:rFonts w:ascii="Times New Roman" w:hAnsi="Times New Roman"/>
        </w:rPr>
        <w:t>(ii)</w:t>
      </w:r>
      <w:r>
        <w:rPr>
          <w:rFonts w:ascii="Times New Roman" w:hAnsi="Times New Roman"/>
        </w:rPr>
        <w:tab/>
        <w:t>Reported Data</w:t>
      </w:r>
    </w:p>
    <w:p w:rsidR="00EA018D" w:rsidRDefault="00EA018D">
      <w:pPr>
        <w:rPr>
          <w:rFonts w:ascii="Times New Roman" w:hAnsi="Times New Roman"/>
        </w:rPr>
      </w:pPr>
    </w:p>
    <w:p w:rsidR="006D0AA5" w:rsidRPr="00724FB7" w:rsidRDefault="007A26A9">
      <w:pPr>
        <w:rPr>
          <w:rFonts w:ascii="Times New Roman" w:hAnsi="Times New Roman"/>
        </w:rPr>
      </w:pPr>
      <w:r>
        <w:rPr>
          <w:rFonts w:ascii="Times New Roman" w:hAnsi="Times New Roman"/>
        </w:rPr>
        <w:t>Reported data are received by the Stratospheric Program Implementation Branch (SPIB), of the Stratospheric Protection Division (SPD) of the Office of Atmospheric Programs (OAP).</w:t>
      </w:r>
    </w:p>
    <w:p w:rsidR="00EA018D" w:rsidRPr="00724FB7" w:rsidRDefault="00EA018D" w:rsidP="00160E4A">
      <w:pPr>
        <w:pStyle w:val="Level1"/>
        <w:numPr>
          <w:ilvl w:val="0"/>
          <w:numId w:val="11"/>
        </w:numPr>
        <w:tabs>
          <w:tab w:val="left" w:pos="-1440"/>
        </w:tabs>
        <w:ind w:left="720"/>
        <w:rPr>
          <w:rFonts w:ascii="Times New Roman" w:hAnsi="Times New Roman"/>
        </w:rPr>
      </w:pPr>
      <w:r w:rsidRPr="00724FB7">
        <w:rPr>
          <w:rFonts w:ascii="Times New Roman" w:hAnsi="Times New Roman"/>
        </w:rPr>
        <w:t xml:space="preserve">All reported data </w:t>
      </w:r>
      <w:r w:rsidR="00F5607F">
        <w:rPr>
          <w:rFonts w:ascii="Times New Roman" w:hAnsi="Times New Roman"/>
        </w:rPr>
        <w:t>are</w:t>
      </w:r>
      <w:r w:rsidRPr="00724FB7">
        <w:rPr>
          <w:rFonts w:ascii="Times New Roman" w:hAnsi="Times New Roman"/>
        </w:rPr>
        <w:t xml:space="preserve"> reviewed by EPA</w:t>
      </w:r>
      <w:r w:rsidR="006B68E7">
        <w:rPr>
          <w:rFonts w:ascii="Times New Roman" w:hAnsi="Times New Roman"/>
        </w:rPr>
        <w:t xml:space="preserve"> for completeness and accuracy, often through follow-up with the reporting entity</w:t>
      </w:r>
      <w:r w:rsidRPr="00724FB7">
        <w:rPr>
          <w:rFonts w:ascii="Times New Roman" w:hAnsi="Times New Roman"/>
        </w:rPr>
        <w:t>.</w:t>
      </w:r>
    </w:p>
    <w:p w:rsidR="00EA018D" w:rsidRPr="00724FB7" w:rsidRDefault="00EA018D" w:rsidP="00160E4A">
      <w:pPr>
        <w:pStyle w:val="Level1"/>
        <w:numPr>
          <w:ilvl w:val="0"/>
          <w:numId w:val="11"/>
        </w:numPr>
        <w:tabs>
          <w:tab w:val="left" w:pos="-1440"/>
        </w:tabs>
        <w:ind w:left="720"/>
        <w:rPr>
          <w:rFonts w:ascii="Times New Roman" w:hAnsi="Times New Roman"/>
        </w:rPr>
      </w:pPr>
      <w:r w:rsidRPr="00724FB7">
        <w:rPr>
          <w:rFonts w:ascii="Times New Roman" w:hAnsi="Times New Roman"/>
        </w:rPr>
        <w:t xml:space="preserve">EPA </w:t>
      </w:r>
      <w:r w:rsidR="007A26A9">
        <w:rPr>
          <w:rFonts w:ascii="Times New Roman" w:hAnsi="Times New Roman"/>
        </w:rPr>
        <w:t>e</w:t>
      </w:r>
      <w:r w:rsidRPr="00724FB7">
        <w:rPr>
          <w:rFonts w:ascii="Times New Roman" w:hAnsi="Times New Roman"/>
        </w:rPr>
        <w:t>nsure</w:t>
      </w:r>
      <w:r w:rsidR="00975857">
        <w:rPr>
          <w:rFonts w:ascii="Times New Roman" w:hAnsi="Times New Roman"/>
        </w:rPr>
        <w:t>s</w:t>
      </w:r>
      <w:r w:rsidRPr="00724FB7">
        <w:rPr>
          <w:rFonts w:ascii="Times New Roman" w:hAnsi="Times New Roman"/>
        </w:rPr>
        <w:t xml:space="preserve"> that compliance has been maintained with U.S. production and consumption levels of exempted material at the national and sector levels.</w:t>
      </w:r>
    </w:p>
    <w:p w:rsidR="00EA018D" w:rsidRPr="00724FB7" w:rsidRDefault="00EA018D" w:rsidP="00160E4A">
      <w:pPr>
        <w:pStyle w:val="Level1"/>
        <w:numPr>
          <w:ilvl w:val="0"/>
          <w:numId w:val="11"/>
        </w:numPr>
        <w:tabs>
          <w:tab w:val="left" w:pos="-1440"/>
        </w:tabs>
        <w:ind w:left="720"/>
        <w:rPr>
          <w:rFonts w:ascii="Times New Roman" w:hAnsi="Times New Roman"/>
        </w:rPr>
      </w:pPr>
      <w:r w:rsidRPr="00724FB7">
        <w:rPr>
          <w:rFonts w:ascii="Times New Roman" w:hAnsi="Times New Roman"/>
        </w:rPr>
        <w:t>EPA report</w:t>
      </w:r>
      <w:r w:rsidR="00975857">
        <w:rPr>
          <w:rFonts w:ascii="Times New Roman" w:hAnsi="Times New Roman"/>
        </w:rPr>
        <w:t>s</w:t>
      </w:r>
      <w:r w:rsidRPr="00724FB7">
        <w:rPr>
          <w:rFonts w:ascii="Times New Roman" w:hAnsi="Times New Roman"/>
        </w:rPr>
        <w:t xml:space="preserve"> annually to the Ozone Secretariat, through the U.S. Department of State, on U.S. compliance with allowable production and consumption levels.</w:t>
      </w:r>
    </w:p>
    <w:p w:rsidR="00EA018D" w:rsidRPr="00407C91" w:rsidRDefault="00EA018D" w:rsidP="00160E4A">
      <w:pPr>
        <w:pStyle w:val="Level1"/>
        <w:numPr>
          <w:ilvl w:val="0"/>
          <w:numId w:val="11"/>
        </w:numPr>
        <w:tabs>
          <w:tab w:val="left" w:pos="-1440"/>
        </w:tabs>
        <w:ind w:left="720"/>
        <w:rPr>
          <w:rFonts w:ascii="Times New Roman" w:hAnsi="Times New Roman"/>
        </w:rPr>
      </w:pPr>
      <w:r w:rsidRPr="00407C91">
        <w:rPr>
          <w:rFonts w:ascii="Times New Roman" w:hAnsi="Times New Roman"/>
        </w:rPr>
        <w:t xml:space="preserve">EPA </w:t>
      </w:r>
      <w:r w:rsidR="00FA40C0" w:rsidRPr="00407C91">
        <w:rPr>
          <w:rFonts w:ascii="Times New Roman" w:hAnsi="Times New Roman"/>
        </w:rPr>
        <w:t xml:space="preserve">uses data on actual use levels </w:t>
      </w:r>
      <w:r w:rsidR="00407C91">
        <w:rPr>
          <w:rFonts w:ascii="Times New Roman" w:hAnsi="Times New Roman"/>
        </w:rPr>
        <w:t xml:space="preserve">and </w:t>
      </w:r>
      <w:r w:rsidR="00FA40C0" w:rsidRPr="00407C91">
        <w:rPr>
          <w:rFonts w:ascii="Times New Roman" w:hAnsi="Times New Roman"/>
        </w:rPr>
        <w:t xml:space="preserve">material in inventory to </w:t>
      </w:r>
      <w:r w:rsidR="00407C91">
        <w:rPr>
          <w:rFonts w:ascii="Times New Roman" w:hAnsi="Times New Roman"/>
        </w:rPr>
        <w:t xml:space="preserve">adjust future nomination and allocation </w:t>
      </w:r>
      <w:r w:rsidR="001A11ED">
        <w:rPr>
          <w:rFonts w:ascii="Times New Roman" w:hAnsi="Times New Roman"/>
        </w:rPr>
        <w:t>amounts</w:t>
      </w:r>
      <w:r w:rsidR="00407C91">
        <w:rPr>
          <w:rFonts w:ascii="Times New Roman" w:hAnsi="Times New Roman"/>
        </w:rPr>
        <w:t>.</w:t>
      </w:r>
      <w:r w:rsidR="00407C91" w:rsidRPr="00407C91" w:rsidDel="00407C91">
        <w:rPr>
          <w:rFonts w:ascii="Times New Roman" w:hAnsi="Times New Roman"/>
        </w:rPr>
        <w:t xml:space="preserve"> </w:t>
      </w:r>
    </w:p>
    <w:p w:rsidR="00EA018D" w:rsidRPr="00724FB7" w:rsidRDefault="00DD41DE" w:rsidP="00160E4A">
      <w:pPr>
        <w:pStyle w:val="Level1"/>
        <w:numPr>
          <w:ilvl w:val="0"/>
          <w:numId w:val="11"/>
        </w:numPr>
        <w:tabs>
          <w:tab w:val="left" w:pos="-1440"/>
        </w:tabs>
        <w:ind w:left="720"/>
        <w:rPr>
          <w:rFonts w:ascii="Times New Roman" w:hAnsi="Times New Roman"/>
        </w:rPr>
      </w:pPr>
      <w:r w:rsidRPr="00407C91">
        <w:rPr>
          <w:rFonts w:ascii="Times New Roman" w:hAnsi="Times New Roman"/>
        </w:rPr>
        <w:t>D</w:t>
      </w:r>
      <w:r w:rsidR="00EA018D" w:rsidRPr="00407C91">
        <w:rPr>
          <w:rFonts w:ascii="Times New Roman" w:hAnsi="Times New Roman"/>
        </w:rPr>
        <w:t xml:space="preserve">ata </w:t>
      </w:r>
      <w:r w:rsidRPr="00407C91">
        <w:rPr>
          <w:rFonts w:ascii="Times New Roman" w:hAnsi="Times New Roman"/>
        </w:rPr>
        <w:t>are maintained</w:t>
      </w:r>
      <w:r>
        <w:rPr>
          <w:rFonts w:ascii="Times New Roman" w:hAnsi="Times New Roman"/>
        </w:rPr>
        <w:t xml:space="preserve"> in EPA data </w:t>
      </w:r>
      <w:r w:rsidR="001A11ED">
        <w:rPr>
          <w:rFonts w:ascii="Times New Roman" w:hAnsi="Times New Roman"/>
        </w:rPr>
        <w:t xml:space="preserve">electronic </w:t>
      </w:r>
      <w:r>
        <w:rPr>
          <w:rFonts w:ascii="Times New Roman" w:hAnsi="Times New Roman"/>
        </w:rPr>
        <w:t>tracking system and file room</w:t>
      </w:r>
      <w:r w:rsidR="00EA018D" w:rsidRPr="00724FB7">
        <w:rPr>
          <w:rFonts w:ascii="Times New Roman" w:hAnsi="Times New Roman"/>
        </w:rPr>
        <w:t>.</w:t>
      </w:r>
    </w:p>
    <w:p w:rsidR="00724FB7" w:rsidRPr="00724FB7" w:rsidRDefault="00724FB7" w:rsidP="00724FB7">
      <w:pPr>
        <w:rPr>
          <w:rFonts w:ascii="Times New Roman" w:hAnsi="Times New Roman"/>
        </w:rPr>
      </w:pPr>
    </w:p>
    <w:p w:rsidR="00EA018D" w:rsidRPr="00877602" w:rsidRDefault="00EA018D">
      <w:pPr>
        <w:rPr>
          <w:rFonts w:ascii="Times New Roman" w:hAnsi="Times New Roman"/>
        </w:rPr>
      </w:pPr>
      <w:r w:rsidRPr="00877602">
        <w:rPr>
          <w:rFonts w:ascii="Times New Roman" w:hAnsi="Times New Roman"/>
        </w:rPr>
        <w:t>b)</w:t>
      </w:r>
      <w:r w:rsidRPr="00877602">
        <w:rPr>
          <w:rFonts w:ascii="Times New Roman" w:hAnsi="Times New Roman"/>
        </w:rPr>
        <w:tab/>
        <w:t>Collection and Methodology and Management</w:t>
      </w:r>
    </w:p>
    <w:p w:rsidR="00EA018D" w:rsidRDefault="00EA018D">
      <w:pPr>
        <w:rPr>
          <w:rFonts w:ascii="Times New Roman" w:hAnsi="Times New Roman"/>
        </w:rPr>
      </w:pPr>
    </w:p>
    <w:p w:rsidR="00A96CB3" w:rsidRDefault="00A96CB3">
      <w:pPr>
        <w:rPr>
          <w:rFonts w:ascii="Times New Roman" w:hAnsi="Times New Roman"/>
        </w:rPr>
      </w:pPr>
      <w:r>
        <w:rPr>
          <w:rFonts w:ascii="Times New Roman" w:hAnsi="Times New Roman"/>
        </w:rPr>
        <w:t>(i)</w:t>
      </w:r>
      <w:r>
        <w:rPr>
          <w:rFonts w:ascii="Times New Roman" w:hAnsi="Times New Roman"/>
        </w:rPr>
        <w:tab/>
        <w:t>Applications</w:t>
      </w:r>
    </w:p>
    <w:p w:rsidR="00A96CB3" w:rsidRDefault="00A96CB3">
      <w:pPr>
        <w:rPr>
          <w:rFonts w:ascii="Times New Roman" w:hAnsi="Times New Roman"/>
        </w:rPr>
      </w:pPr>
      <w:r>
        <w:rPr>
          <w:rFonts w:ascii="Times New Roman" w:hAnsi="Times New Roman"/>
        </w:rPr>
        <w:tab/>
      </w:r>
    </w:p>
    <w:p w:rsidR="00A96CB3" w:rsidRDefault="00A96CB3">
      <w:pPr>
        <w:rPr>
          <w:rFonts w:ascii="Times New Roman" w:hAnsi="Times New Roman"/>
        </w:rPr>
      </w:pPr>
      <w:r>
        <w:rPr>
          <w:rFonts w:ascii="Times New Roman" w:hAnsi="Times New Roman"/>
        </w:rPr>
        <w:tab/>
      </w:r>
      <w:r w:rsidRPr="00A96CB3">
        <w:rPr>
          <w:rFonts w:ascii="Times New Roman" w:hAnsi="Times New Roman"/>
        </w:rPr>
        <w:t xml:space="preserve">When applications for methyl bromide critical uses are received by EPA, they </w:t>
      </w:r>
      <w:r w:rsidR="009339AA">
        <w:rPr>
          <w:rFonts w:ascii="Times New Roman" w:hAnsi="Times New Roman"/>
        </w:rPr>
        <w:t xml:space="preserve">are </w:t>
      </w:r>
      <w:r w:rsidRPr="00A96CB3">
        <w:rPr>
          <w:rFonts w:ascii="Times New Roman" w:hAnsi="Times New Roman"/>
        </w:rPr>
        <w:t xml:space="preserve">assigned a CUE number and tracked in a spreadsheet as active submissions through the process, after which applications become historical files.  </w:t>
      </w:r>
    </w:p>
    <w:p w:rsidR="00A96CB3" w:rsidRDefault="00A96CB3">
      <w:pPr>
        <w:rPr>
          <w:rFonts w:ascii="Times New Roman" w:hAnsi="Times New Roman"/>
        </w:rPr>
      </w:pPr>
    </w:p>
    <w:p w:rsidR="00A96CB3" w:rsidRDefault="00A96CB3">
      <w:pPr>
        <w:rPr>
          <w:rFonts w:ascii="Times New Roman" w:hAnsi="Times New Roman"/>
        </w:rPr>
      </w:pPr>
      <w:r>
        <w:rPr>
          <w:rFonts w:ascii="Times New Roman" w:hAnsi="Times New Roman"/>
        </w:rPr>
        <w:t>(ii)</w:t>
      </w:r>
      <w:r>
        <w:rPr>
          <w:rFonts w:ascii="Times New Roman" w:hAnsi="Times New Roman"/>
        </w:rPr>
        <w:tab/>
        <w:t>Reported Data</w:t>
      </w:r>
    </w:p>
    <w:p w:rsidR="00A96CB3" w:rsidRPr="00A96CB3" w:rsidRDefault="00A96CB3">
      <w:pPr>
        <w:rPr>
          <w:rFonts w:ascii="Times New Roman" w:hAnsi="Times New Roman"/>
        </w:rPr>
      </w:pPr>
    </w:p>
    <w:p w:rsidR="00EA018D" w:rsidRPr="00877602" w:rsidRDefault="00EA018D">
      <w:pPr>
        <w:ind w:firstLine="720"/>
        <w:rPr>
          <w:rFonts w:ascii="Times New Roman" w:hAnsi="Times New Roman"/>
        </w:rPr>
      </w:pPr>
      <w:r w:rsidRPr="00877602">
        <w:rPr>
          <w:rFonts w:ascii="Times New Roman" w:hAnsi="Times New Roman"/>
        </w:rPr>
        <w:t xml:space="preserve">Data </w:t>
      </w:r>
      <w:r w:rsidR="007C33A0">
        <w:rPr>
          <w:rFonts w:ascii="Times New Roman" w:hAnsi="Times New Roman"/>
        </w:rPr>
        <w:t xml:space="preserve">are </w:t>
      </w:r>
      <w:r w:rsidRPr="00877602">
        <w:rPr>
          <w:rFonts w:ascii="Times New Roman" w:hAnsi="Times New Roman"/>
        </w:rPr>
        <w:t xml:space="preserve">tracked by industry </w:t>
      </w:r>
      <w:r w:rsidR="00D94D9A" w:rsidRPr="00877602">
        <w:rPr>
          <w:rFonts w:ascii="Times New Roman" w:hAnsi="Times New Roman"/>
        </w:rPr>
        <w:t xml:space="preserve">and </w:t>
      </w:r>
      <w:r w:rsidR="007C33A0">
        <w:rPr>
          <w:rFonts w:ascii="Times New Roman" w:hAnsi="Times New Roman"/>
        </w:rPr>
        <w:t xml:space="preserve">are </w:t>
      </w:r>
      <w:r w:rsidR="00D94D9A" w:rsidRPr="00877602">
        <w:rPr>
          <w:rFonts w:ascii="Times New Roman" w:hAnsi="Times New Roman"/>
        </w:rPr>
        <w:t>provided to EPA on a q</w:t>
      </w:r>
      <w:r w:rsidRPr="00877602">
        <w:rPr>
          <w:rFonts w:ascii="Times New Roman" w:hAnsi="Times New Roman"/>
        </w:rPr>
        <w:t xml:space="preserve">uarterly </w:t>
      </w:r>
      <w:r w:rsidR="00D94D9A" w:rsidRPr="00877602">
        <w:rPr>
          <w:rFonts w:ascii="Times New Roman" w:hAnsi="Times New Roman"/>
        </w:rPr>
        <w:t>and/or</w:t>
      </w:r>
      <w:r w:rsidRPr="00877602">
        <w:rPr>
          <w:rFonts w:ascii="Times New Roman" w:hAnsi="Times New Roman"/>
        </w:rPr>
        <w:t xml:space="preserve"> annual </w:t>
      </w:r>
      <w:r w:rsidR="00D94D9A" w:rsidRPr="00877602">
        <w:rPr>
          <w:rFonts w:ascii="Times New Roman" w:hAnsi="Times New Roman"/>
        </w:rPr>
        <w:t>basis on forms provided by the Agency on EPA’s website</w:t>
      </w:r>
      <w:r w:rsidR="00A96CB3">
        <w:rPr>
          <w:rFonts w:ascii="Times New Roman" w:hAnsi="Times New Roman"/>
        </w:rPr>
        <w:t xml:space="preserve"> (www.epa.gov/ozone/record/mbr.html)</w:t>
      </w:r>
      <w:r w:rsidRPr="00877602">
        <w:rPr>
          <w:rFonts w:ascii="Times New Roman" w:hAnsi="Times New Roman"/>
        </w:rPr>
        <w:t>.</w:t>
      </w:r>
      <w:r w:rsidR="00D94D9A" w:rsidRPr="00877602">
        <w:rPr>
          <w:rFonts w:ascii="Times New Roman" w:hAnsi="Times New Roman"/>
        </w:rPr>
        <w:t xml:space="preserve">  </w:t>
      </w:r>
      <w:r w:rsidRPr="00877602">
        <w:rPr>
          <w:rFonts w:ascii="Times New Roman" w:hAnsi="Times New Roman"/>
        </w:rPr>
        <w:t>EPA will use our electronic tracking system to update company specific and overall U.S.</w:t>
      </w:r>
      <w:r w:rsidR="00D94D9A" w:rsidRPr="00877602">
        <w:rPr>
          <w:rFonts w:ascii="Times New Roman" w:hAnsi="Times New Roman"/>
        </w:rPr>
        <w:t xml:space="preserve"> compliance with production, </w:t>
      </w:r>
      <w:r w:rsidRPr="00877602">
        <w:rPr>
          <w:rFonts w:ascii="Times New Roman" w:hAnsi="Times New Roman"/>
        </w:rPr>
        <w:t>consumption</w:t>
      </w:r>
      <w:r w:rsidR="00D94D9A" w:rsidRPr="00877602">
        <w:rPr>
          <w:rFonts w:ascii="Times New Roman" w:hAnsi="Times New Roman"/>
        </w:rPr>
        <w:t>, and use</w:t>
      </w:r>
      <w:r w:rsidRPr="00877602">
        <w:rPr>
          <w:rFonts w:ascii="Times New Roman" w:hAnsi="Times New Roman"/>
        </w:rPr>
        <w:t xml:space="preserve">. Confidential business information </w:t>
      </w:r>
      <w:r w:rsidR="00C95995">
        <w:rPr>
          <w:rFonts w:ascii="Times New Roman" w:hAnsi="Times New Roman"/>
        </w:rPr>
        <w:t xml:space="preserve">are </w:t>
      </w:r>
      <w:r w:rsidRPr="00877602">
        <w:rPr>
          <w:rFonts w:ascii="Times New Roman" w:hAnsi="Times New Roman"/>
        </w:rPr>
        <w:t>stored in appropriately controlled areas.</w:t>
      </w:r>
    </w:p>
    <w:p w:rsidR="00EA018D" w:rsidRPr="00877602" w:rsidRDefault="00EA018D">
      <w:pPr>
        <w:rPr>
          <w:rFonts w:ascii="Times New Roman" w:hAnsi="Times New Roman"/>
        </w:rPr>
      </w:pPr>
    </w:p>
    <w:p w:rsidR="00EA018D" w:rsidRPr="00877602" w:rsidRDefault="00EA018D">
      <w:pPr>
        <w:rPr>
          <w:rFonts w:ascii="Times New Roman" w:hAnsi="Times New Roman"/>
        </w:rPr>
      </w:pPr>
      <w:r w:rsidRPr="00877602">
        <w:rPr>
          <w:rFonts w:ascii="Times New Roman" w:hAnsi="Times New Roman"/>
        </w:rPr>
        <w:lastRenderedPageBreak/>
        <w:t>c)</w:t>
      </w:r>
      <w:r w:rsidRPr="00877602">
        <w:rPr>
          <w:rFonts w:ascii="Times New Roman" w:hAnsi="Times New Roman"/>
        </w:rPr>
        <w:tab/>
        <w:t>Small Entity Flexibility</w:t>
      </w:r>
    </w:p>
    <w:p w:rsidR="00F35536" w:rsidRPr="00877602" w:rsidRDefault="00F35536">
      <w:pPr>
        <w:rPr>
          <w:rFonts w:ascii="Times New Roman" w:hAnsi="Times New Roman"/>
        </w:rPr>
      </w:pPr>
    </w:p>
    <w:p w:rsidR="004E6E31" w:rsidRDefault="00F35536" w:rsidP="00017F51">
      <w:pPr>
        <w:ind w:firstLine="720"/>
        <w:rPr>
          <w:rFonts w:ascii="Times New Roman" w:hAnsi="Times New Roman"/>
        </w:rPr>
      </w:pPr>
      <w:r>
        <w:rPr>
          <w:rFonts w:ascii="Times New Roman" w:hAnsi="Times New Roman"/>
        </w:rPr>
        <w:t>This</w:t>
      </w:r>
      <w:r w:rsidR="00EA018D" w:rsidRPr="00877602">
        <w:rPr>
          <w:rFonts w:ascii="Times New Roman" w:hAnsi="Times New Roman"/>
        </w:rPr>
        <w:t xml:space="preserve"> information collection </w:t>
      </w:r>
      <w:r>
        <w:rPr>
          <w:rFonts w:ascii="Times New Roman" w:hAnsi="Times New Roman"/>
        </w:rPr>
        <w:t>is authorized by statute under S</w:t>
      </w:r>
      <w:r w:rsidR="00EA018D" w:rsidRPr="00877602">
        <w:rPr>
          <w:rFonts w:ascii="Times New Roman" w:hAnsi="Times New Roman"/>
        </w:rPr>
        <w:t>ection 604 of the Clean Air Act and is required in order to ensure U.S. compliance with international treaty obligations under the Montreal</w:t>
      </w:r>
      <w:r>
        <w:rPr>
          <w:rFonts w:ascii="Times New Roman" w:hAnsi="Times New Roman"/>
        </w:rPr>
        <w:t xml:space="preserve"> Protocol. </w:t>
      </w:r>
    </w:p>
    <w:p w:rsidR="00F35536" w:rsidRDefault="00713BDE" w:rsidP="004E6E31">
      <w:pPr>
        <w:ind w:firstLine="720"/>
        <w:rPr>
          <w:rFonts w:ascii="Times New Roman" w:hAnsi="Times New Roman"/>
        </w:rPr>
      </w:pPr>
      <w:r>
        <w:rPr>
          <w:rFonts w:ascii="Times New Roman" w:hAnsi="Times New Roman"/>
        </w:rPr>
        <w:t>Methyl bromide was phased out under the Montreal Protocol and the Clean Air Act in 2005, except for limited exemptions. T</w:t>
      </w:r>
      <w:r w:rsidR="004E6E31" w:rsidRPr="00F35536">
        <w:rPr>
          <w:rFonts w:ascii="Times New Roman" w:hAnsi="Times New Roman"/>
        </w:rPr>
        <w:t>he</w:t>
      </w:r>
      <w:r w:rsidR="004E6E31">
        <w:rPr>
          <w:rFonts w:ascii="Times New Roman" w:hAnsi="Times New Roman"/>
        </w:rPr>
        <w:t xml:space="preserve"> application</w:t>
      </w:r>
      <w:r w:rsidR="004E6E31" w:rsidRPr="00F35536">
        <w:rPr>
          <w:rFonts w:ascii="Times New Roman" w:hAnsi="Times New Roman"/>
        </w:rPr>
        <w:t xml:space="preserve"> information collection provide</w:t>
      </w:r>
      <w:r w:rsidR="004E6E31">
        <w:rPr>
          <w:rFonts w:ascii="Times New Roman" w:hAnsi="Times New Roman"/>
        </w:rPr>
        <w:t>s</w:t>
      </w:r>
      <w:r w:rsidR="004E6E31" w:rsidRPr="00F35536">
        <w:rPr>
          <w:rFonts w:ascii="Times New Roman" w:hAnsi="Times New Roman"/>
        </w:rPr>
        <w:t xml:space="preserve"> meaningful relief for those users of methyl bromide who do not have technically or economically feasible alternatives</w:t>
      </w:r>
      <w:r w:rsidR="004E6E31">
        <w:rPr>
          <w:rFonts w:ascii="Times New Roman" w:hAnsi="Times New Roman"/>
        </w:rPr>
        <w:t xml:space="preserve">.  </w:t>
      </w:r>
      <w:r w:rsidR="00F35536" w:rsidRPr="00F35536">
        <w:rPr>
          <w:rFonts w:ascii="Times New Roman" w:hAnsi="Times New Roman"/>
        </w:rPr>
        <w:t>Applying for the exemption is voluntary</w:t>
      </w:r>
      <w:r w:rsidR="004E6E31">
        <w:rPr>
          <w:rFonts w:ascii="Times New Roman" w:hAnsi="Times New Roman"/>
        </w:rPr>
        <w:t xml:space="preserve"> and o</w:t>
      </w:r>
      <w:r w:rsidR="00F35536" w:rsidRPr="00F35536">
        <w:rPr>
          <w:rFonts w:ascii="Times New Roman" w:hAnsi="Times New Roman"/>
        </w:rPr>
        <w:t xml:space="preserve">nly those entities that believe they have </w:t>
      </w:r>
      <w:r>
        <w:rPr>
          <w:rFonts w:ascii="Times New Roman" w:hAnsi="Times New Roman"/>
        </w:rPr>
        <w:t>a critical use</w:t>
      </w:r>
      <w:r w:rsidR="00F35536" w:rsidRPr="00F35536">
        <w:rPr>
          <w:rFonts w:ascii="Times New Roman" w:hAnsi="Times New Roman"/>
        </w:rPr>
        <w:t xml:space="preserve"> will submit an application.  While the exemption itself will relieve burden on affected entities, the burden on all affected entities associated with applying for the exemption, and especially the burden on small entities, has been reduced to every extent possible.  </w:t>
      </w:r>
      <w:r>
        <w:rPr>
          <w:rFonts w:ascii="Times New Roman" w:hAnsi="Times New Roman"/>
        </w:rPr>
        <w:t>EPA encouraged</w:t>
      </w:r>
      <w:r w:rsidR="00F35536" w:rsidRPr="00F35536">
        <w:rPr>
          <w:rFonts w:ascii="Times New Roman" w:hAnsi="Times New Roman"/>
        </w:rPr>
        <w:t xml:space="preserve"> small businesses to participate in and/or form representative organizations that will serve to aid in gathering information a</w:t>
      </w:r>
      <w:r w:rsidR="004E6E31">
        <w:rPr>
          <w:rFonts w:ascii="Times New Roman" w:hAnsi="Times New Roman"/>
        </w:rPr>
        <w:t>nd completion of applications.</w:t>
      </w:r>
      <w:r>
        <w:rPr>
          <w:rFonts w:ascii="Times New Roman" w:hAnsi="Times New Roman"/>
        </w:rPr>
        <w:t xml:space="preserve"> Today, most applications received are submitted by such organizations.</w:t>
      </w:r>
    </w:p>
    <w:p w:rsidR="00EA018D" w:rsidRDefault="00F35536" w:rsidP="004E6E31">
      <w:pPr>
        <w:ind w:firstLine="720"/>
        <w:rPr>
          <w:rFonts w:ascii="Times New Roman" w:hAnsi="Times New Roman"/>
        </w:rPr>
      </w:pPr>
      <w:r>
        <w:rPr>
          <w:rFonts w:ascii="Times New Roman" w:hAnsi="Times New Roman"/>
        </w:rPr>
        <w:t>Bearing in mind</w:t>
      </w:r>
      <w:r w:rsidR="00EA018D" w:rsidRPr="00877602">
        <w:rPr>
          <w:rFonts w:ascii="Times New Roman" w:hAnsi="Times New Roman"/>
        </w:rPr>
        <w:t xml:space="preserve"> U.S. obligations</w:t>
      </w:r>
      <w:r w:rsidR="004E6E31">
        <w:rPr>
          <w:rFonts w:ascii="Times New Roman" w:hAnsi="Times New Roman"/>
        </w:rPr>
        <w:t xml:space="preserve"> under the Protocol</w:t>
      </w:r>
      <w:r w:rsidR="00EA018D" w:rsidRPr="00877602">
        <w:rPr>
          <w:rFonts w:ascii="Times New Roman" w:hAnsi="Times New Roman"/>
        </w:rPr>
        <w:t>, EPA designed a</w:t>
      </w:r>
      <w:r w:rsidR="004E6E31">
        <w:rPr>
          <w:rFonts w:ascii="Times New Roman" w:hAnsi="Times New Roman"/>
        </w:rPr>
        <w:t xml:space="preserve"> reporting and recordkeeping</w:t>
      </w:r>
      <w:r w:rsidR="00EA018D" w:rsidRPr="00877602">
        <w:rPr>
          <w:rFonts w:ascii="Times New Roman" w:hAnsi="Times New Roman"/>
        </w:rPr>
        <w:t xml:space="preserve"> system that would remove almost all burden from the end users of methyl bromide, </w:t>
      </w:r>
      <w:r w:rsidR="004E6E31">
        <w:rPr>
          <w:rFonts w:ascii="Times New Roman" w:hAnsi="Times New Roman"/>
        </w:rPr>
        <w:t xml:space="preserve">some of whom are small entities. This program seeks to place the burden </w:t>
      </w:r>
      <w:r w:rsidR="004E6E31" w:rsidRPr="00877602">
        <w:rPr>
          <w:rFonts w:ascii="Times New Roman" w:hAnsi="Times New Roman"/>
        </w:rPr>
        <w:t>instead on chemical manufacturers, distributors</w:t>
      </w:r>
      <w:r w:rsidR="00713BDE">
        <w:rPr>
          <w:rFonts w:ascii="Times New Roman" w:hAnsi="Times New Roman"/>
        </w:rPr>
        <w:t>,</w:t>
      </w:r>
      <w:r w:rsidR="004E6E31" w:rsidRPr="00877602">
        <w:rPr>
          <w:rFonts w:ascii="Times New Roman" w:hAnsi="Times New Roman"/>
        </w:rPr>
        <w:t xml:space="preserve"> and applicators</w:t>
      </w:r>
      <w:r w:rsidR="00713BDE">
        <w:rPr>
          <w:rFonts w:ascii="Times New Roman" w:hAnsi="Times New Roman"/>
        </w:rPr>
        <w:t xml:space="preserve"> </w:t>
      </w:r>
      <w:r w:rsidR="004E6E31" w:rsidRPr="00877602">
        <w:rPr>
          <w:rFonts w:ascii="Times New Roman" w:hAnsi="Times New Roman"/>
        </w:rPr>
        <w:t>who are not small entities.</w:t>
      </w:r>
      <w:r w:rsidR="004E6E31">
        <w:rPr>
          <w:rFonts w:ascii="Times New Roman" w:hAnsi="Times New Roman"/>
        </w:rPr>
        <w:t xml:space="preserve">  </w:t>
      </w:r>
      <w:r w:rsidR="004E6E31" w:rsidRPr="00877602">
        <w:rPr>
          <w:rFonts w:ascii="Times New Roman" w:hAnsi="Times New Roman"/>
        </w:rPr>
        <w:t xml:space="preserve">EPA created a system that requires end users to sign a short form (1-2 pages in length) certifying that they are buying the exempted material for an allowable use and will use it accordingly. </w:t>
      </w:r>
      <w:r w:rsidR="004E6E31">
        <w:rPr>
          <w:rFonts w:ascii="Times New Roman" w:hAnsi="Times New Roman"/>
        </w:rPr>
        <w:t>T</w:t>
      </w:r>
      <w:r w:rsidR="004E6E31" w:rsidRPr="00877602">
        <w:rPr>
          <w:rFonts w:ascii="Times New Roman" w:hAnsi="Times New Roman"/>
        </w:rPr>
        <w:t xml:space="preserve">he form </w:t>
      </w:r>
      <w:r w:rsidR="00FF5DF7">
        <w:rPr>
          <w:rFonts w:ascii="Times New Roman" w:hAnsi="Times New Roman"/>
        </w:rPr>
        <w:t xml:space="preserve">is </w:t>
      </w:r>
      <w:r w:rsidR="004E6E31" w:rsidRPr="00877602">
        <w:rPr>
          <w:rFonts w:ascii="Times New Roman" w:hAnsi="Times New Roman"/>
        </w:rPr>
        <w:t>kept by the supplier, not the end user.</w:t>
      </w:r>
      <w:r w:rsidR="004E6E31">
        <w:rPr>
          <w:rFonts w:ascii="Times New Roman" w:hAnsi="Times New Roman"/>
        </w:rPr>
        <w:t xml:space="preserve"> </w:t>
      </w:r>
      <w:r w:rsidR="004E6E31" w:rsidRPr="00877602">
        <w:rPr>
          <w:rFonts w:ascii="Times New Roman" w:hAnsi="Times New Roman"/>
        </w:rPr>
        <w:t xml:space="preserve">Participation in this </w:t>
      </w:r>
      <w:r w:rsidR="004E6E31">
        <w:rPr>
          <w:rFonts w:ascii="Times New Roman" w:hAnsi="Times New Roman"/>
        </w:rPr>
        <w:t>exemption program</w:t>
      </w:r>
      <w:r w:rsidR="004E6E31" w:rsidRPr="00877602">
        <w:rPr>
          <w:rFonts w:ascii="Times New Roman" w:hAnsi="Times New Roman"/>
        </w:rPr>
        <w:t xml:space="preserve"> is voluntary and constitutes a benefit.</w:t>
      </w:r>
    </w:p>
    <w:p w:rsidR="004E6E31" w:rsidRPr="00877602" w:rsidRDefault="004E6E31" w:rsidP="004E6E31">
      <w:pPr>
        <w:ind w:firstLine="720"/>
        <w:rPr>
          <w:rFonts w:ascii="Times New Roman" w:hAnsi="Times New Roman"/>
        </w:rPr>
      </w:pPr>
    </w:p>
    <w:p w:rsidR="00EA018D" w:rsidRPr="00877602" w:rsidRDefault="00EA018D">
      <w:pPr>
        <w:rPr>
          <w:rFonts w:ascii="Times New Roman" w:hAnsi="Times New Roman"/>
        </w:rPr>
      </w:pPr>
      <w:r w:rsidRPr="00877602">
        <w:rPr>
          <w:rFonts w:ascii="Times New Roman" w:hAnsi="Times New Roman"/>
        </w:rPr>
        <w:t>d)</w:t>
      </w:r>
      <w:r w:rsidRPr="00877602">
        <w:rPr>
          <w:rFonts w:ascii="Times New Roman" w:hAnsi="Times New Roman"/>
        </w:rPr>
        <w:tab/>
        <w:t xml:space="preserve"> Collection Schedule</w:t>
      </w:r>
    </w:p>
    <w:p w:rsidR="004E6E31" w:rsidRDefault="004E6E31" w:rsidP="004E6E31">
      <w:pPr>
        <w:rPr>
          <w:rFonts w:ascii="Times New Roman" w:hAnsi="Times New Roman"/>
        </w:rPr>
      </w:pPr>
    </w:p>
    <w:p w:rsidR="004E6E31" w:rsidRDefault="004E6E31" w:rsidP="004E6E31">
      <w:pPr>
        <w:rPr>
          <w:rFonts w:ascii="Times New Roman" w:hAnsi="Times New Roman"/>
        </w:rPr>
      </w:pPr>
      <w:r>
        <w:rPr>
          <w:rFonts w:ascii="Times New Roman" w:hAnsi="Times New Roman"/>
        </w:rPr>
        <w:t>(i)</w:t>
      </w:r>
      <w:r>
        <w:rPr>
          <w:rFonts w:ascii="Times New Roman" w:hAnsi="Times New Roman"/>
        </w:rPr>
        <w:tab/>
        <w:t>Applications</w:t>
      </w:r>
    </w:p>
    <w:p w:rsidR="004E6E31" w:rsidRDefault="004E6E31" w:rsidP="004E6E31">
      <w:pPr>
        <w:rPr>
          <w:rFonts w:ascii="Times New Roman" w:hAnsi="Times New Roman"/>
        </w:rPr>
      </w:pPr>
    </w:p>
    <w:p w:rsidR="004E6E31" w:rsidRDefault="004E6E31" w:rsidP="004E6E31">
      <w:pPr>
        <w:rPr>
          <w:rFonts w:ascii="Times New Roman" w:hAnsi="Times New Roman"/>
        </w:rPr>
      </w:pPr>
      <w:r>
        <w:rPr>
          <w:rFonts w:ascii="Times New Roman" w:hAnsi="Times New Roman"/>
        </w:rPr>
        <w:tab/>
      </w:r>
      <w:r w:rsidRPr="004E6E31">
        <w:rPr>
          <w:rFonts w:ascii="Times New Roman" w:hAnsi="Times New Roman"/>
        </w:rPr>
        <w:t>EPA</w:t>
      </w:r>
      <w:r w:rsidR="008B1FE7">
        <w:rPr>
          <w:rFonts w:ascii="Times New Roman" w:hAnsi="Times New Roman"/>
        </w:rPr>
        <w:t xml:space="preserve"> annually</w:t>
      </w:r>
      <w:r w:rsidRPr="004E6E31">
        <w:rPr>
          <w:rFonts w:ascii="Times New Roman" w:hAnsi="Times New Roman"/>
        </w:rPr>
        <w:t xml:space="preserve"> publishes </w:t>
      </w:r>
      <w:r w:rsidR="008B1FE7">
        <w:rPr>
          <w:rFonts w:ascii="Times New Roman" w:hAnsi="Times New Roman"/>
        </w:rPr>
        <w:t xml:space="preserve">a notice </w:t>
      </w:r>
      <w:r w:rsidRPr="004E6E31">
        <w:rPr>
          <w:rFonts w:ascii="Times New Roman" w:hAnsi="Times New Roman"/>
        </w:rPr>
        <w:t>in t</w:t>
      </w:r>
      <w:r w:rsidR="00713BDE">
        <w:rPr>
          <w:rFonts w:ascii="Times New Roman" w:hAnsi="Times New Roman"/>
        </w:rPr>
        <w:t xml:space="preserve">he Federal Register </w:t>
      </w:r>
      <w:r w:rsidRPr="004E6E31">
        <w:rPr>
          <w:rFonts w:ascii="Times New Roman" w:hAnsi="Times New Roman"/>
        </w:rPr>
        <w:t>announcing the availability of the pre-plant</w:t>
      </w:r>
      <w:r w:rsidR="00DF6EB8">
        <w:rPr>
          <w:rFonts w:ascii="Times New Roman" w:hAnsi="Times New Roman"/>
        </w:rPr>
        <w:t xml:space="preserve"> and post-harvest applications.</w:t>
      </w:r>
      <w:r w:rsidRPr="004E6E31">
        <w:rPr>
          <w:rFonts w:ascii="Times New Roman" w:hAnsi="Times New Roman"/>
        </w:rPr>
        <w:t xml:space="preserve">  Entities have between 60 and 90 days from the date of publication to submit an application.  </w:t>
      </w:r>
      <w:r w:rsidR="00DF6EB8">
        <w:rPr>
          <w:rFonts w:ascii="Times New Roman" w:hAnsi="Times New Roman"/>
        </w:rPr>
        <w:t>A</w:t>
      </w:r>
      <w:r w:rsidRPr="004E6E31">
        <w:rPr>
          <w:rFonts w:ascii="Times New Roman" w:hAnsi="Times New Roman"/>
        </w:rPr>
        <w:t>pplications for exemptions are requested with three years of anticipation due to the international process and EPA’s notice-and</w:t>
      </w:r>
      <w:r w:rsidR="008B1FE7">
        <w:rPr>
          <w:rFonts w:ascii="Times New Roman" w:hAnsi="Times New Roman"/>
        </w:rPr>
        <w:t xml:space="preserve">-comment rulemaking procedures. </w:t>
      </w:r>
      <w:r w:rsidRPr="004E6E31">
        <w:rPr>
          <w:rFonts w:ascii="Times New Roman" w:hAnsi="Times New Roman"/>
        </w:rPr>
        <w:t>For example, the first time EPA requested applications, in May 2002, the exemptions were requested for</w:t>
      </w:r>
      <w:r w:rsidR="00DF6EB8">
        <w:rPr>
          <w:rFonts w:ascii="Times New Roman" w:hAnsi="Times New Roman"/>
        </w:rPr>
        <w:t xml:space="preserve"> the use of methyl bromide during</w:t>
      </w:r>
      <w:r w:rsidRPr="004E6E31">
        <w:rPr>
          <w:rFonts w:ascii="Times New Roman" w:hAnsi="Times New Roman"/>
        </w:rPr>
        <w:t xml:space="preserve"> the 2005 calendar year.  The applications requested in May 2003 were for </w:t>
      </w:r>
      <w:r w:rsidR="008B1FE7">
        <w:rPr>
          <w:rFonts w:ascii="Times New Roman" w:hAnsi="Times New Roman"/>
        </w:rPr>
        <w:t xml:space="preserve">use in </w:t>
      </w:r>
      <w:r w:rsidRPr="004E6E31">
        <w:rPr>
          <w:rFonts w:ascii="Times New Roman" w:hAnsi="Times New Roman"/>
        </w:rPr>
        <w:t>the 2006 calendar year, etc.  Once applications are submitted to EPA, the following schedule takes place:</w:t>
      </w:r>
    </w:p>
    <w:p w:rsidR="009F2318" w:rsidRPr="009F2318" w:rsidRDefault="009F2318" w:rsidP="00160E4A">
      <w:pPr>
        <w:pStyle w:val="Level1"/>
        <w:numPr>
          <w:ilvl w:val="0"/>
          <w:numId w:val="12"/>
        </w:numPr>
        <w:tabs>
          <w:tab w:val="left" w:pos="-1440"/>
        </w:tabs>
        <w:ind w:left="720"/>
        <w:rPr>
          <w:rFonts w:ascii="Times New Roman" w:hAnsi="Times New Roman"/>
        </w:rPr>
      </w:pPr>
      <w:r w:rsidRPr="009F2318">
        <w:rPr>
          <w:rFonts w:ascii="Times New Roman" w:hAnsi="Times New Roman"/>
        </w:rPr>
        <w:t>August, Year 1</w:t>
      </w:r>
      <w:r>
        <w:rPr>
          <w:rFonts w:ascii="Times New Roman" w:hAnsi="Times New Roman"/>
        </w:rPr>
        <w:t>: Applications due</w:t>
      </w:r>
    </w:p>
    <w:p w:rsidR="009F2318" w:rsidRPr="009F2318" w:rsidRDefault="009F2318" w:rsidP="00160E4A">
      <w:pPr>
        <w:pStyle w:val="Level1"/>
        <w:numPr>
          <w:ilvl w:val="0"/>
          <w:numId w:val="12"/>
        </w:numPr>
        <w:tabs>
          <w:tab w:val="left" w:pos="-1440"/>
        </w:tabs>
        <w:ind w:left="720"/>
        <w:rPr>
          <w:rFonts w:ascii="Times New Roman" w:hAnsi="Times New Roman"/>
        </w:rPr>
      </w:pPr>
      <w:r w:rsidRPr="009F2318">
        <w:rPr>
          <w:rFonts w:ascii="Times New Roman" w:hAnsi="Times New Roman"/>
        </w:rPr>
        <w:t>September-December, Year 1</w:t>
      </w:r>
      <w:r>
        <w:rPr>
          <w:rFonts w:ascii="Times New Roman" w:hAnsi="Times New Roman"/>
        </w:rPr>
        <w:t xml:space="preserve">: </w:t>
      </w:r>
      <w:r w:rsidR="004E6E31" w:rsidRPr="009F2318">
        <w:rPr>
          <w:rFonts w:ascii="Times New Roman" w:hAnsi="Times New Roman"/>
        </w:rPr>
        <w:t>Review of applications and developm</w:t>
      </w:r>
      <w:r w:rsidR="008B1FE7">
        <w:rPr>
          <w:rFonts w:ascii="Times New Roman" w:hAnsi="Times New Roman"/>
        </w:rPr>
        <w:t>ent of U.S. nomination</w:t>
      </w:r>
    </w:p>
    <w:p w:rsidR="009F2318" w:rsidRPr="009F2318" w:rsidRDefault="00BB3266" w:rsidP="00160E4A">
      <w:pPr>
        <w:pStyle w:val="Level1"/>
        <w:numPr>
          <w:ilvl w:val="0"/>
          <w:numId w:val="12"/>
        </w:numPr>
        <w:tabs>
          <w:tab w:val="left" w:pos="-1440"/>
        </w:tabs>
        <w:ind w:left="720"/>
        <w:rPr>
          <w:rFonts w:ascii="Times New Roman" w:hAnsi="Times New Roman"/>
        </w:rPr>
      </w:pPr>
      <w:r w:rsidRPr="009F2318">
        <w:rPr>
          <w:rFonts w:ascii="Times New Roman" w:hAnsi="Times New Roman"/>
        </w:rPr>
        <w:t>January, Year 2</w:t>
      </w:r>
      <w:r>
        <w:rPr>
          <w:rFonts w:ascii="Times New Roman" w:hAnsi="Times New Roman"/>
        </w:rPr>
        <w:t xml:space="preserve">: </w:t>
      </w:r>
      <w:r w:rsidR="004E6E31" w:rsidRPr="009F2318">
        <w:rPr>
          <w:rFonts w:ascii="Times New Roman" w:hAnsi="Times New Roman"/>
        </w:rPr>
        <w:t>Inter-Agenc</w:t>
      </w:r>
      <w:r>
        <w:rPr>
          <w:rFonts w:ascii="Times New Roman" w:hAnsi="Times New Roman"/>
        </w:rPr>
        <w:t>y review of nomination package</w:t>
      </w:r>
    </w:p>
    <w:p w:rsidR="009F2318" w:rsidRPr="009F2318" w:rsidRDefault="008B1FE7" w:rsidP="00160E4A">
      <w:pPr>
        <w:pStyle w:val="Level1"/>
        <w:numPr>
          <w:ilvl w:val="0"/>
          <w:numId w:val="12"/>
        </w:numPr>
        <w:tabs>
          <w:tab w:val="left" w:pos="-1440"/>
        </w:tabs>
        <w:ind w:left="720"/>
        <w:rPr>
          <w:rFonts w:ascii="Times New Roman" w:hAnsi="Times New Roman"/>
        </w:rPr>
      </w:pPr>
      <w:r>
        <w:rPr>
          <w:rFonts w:ascii="Times New Roman" w:hAnsi="Times New Roman"/>
        </w:rPr>
        <w:t>January 24</w:t>
      </w:r>
      <w:r w:rsidR="00BB3266" w:rsidRPr="009F2318">
        <w:rPr>
          <w:rFonts w:ascii="Times New Roman" w:hAnsi="Times New Roman"/>
        </w:rPr>
        <w:t>, Year 2</w:t>
      </w:r>
      <w:r w:rsidR="00BB3266">
        <w:rPr>
          <w:rFonts w:ascii="Times New Roman" w:hAnsi="Times New Roman"/>
        </w:rPr>
        <w:t xml:space="preserve">: </w:t>
      </w:r>
      <w:r w:rsidR="004E6E31" w:rsidRPr="009F2318">
        <w:rPr>
          <w:rFonts w:ascii="Times New Roman" w:hAnsi="Times New Roman"/>
        </w:rPr>
        <w:t xml:space="preserve">U.S. nomination </w:t>
      </w:r>
      <w:r w:rsidR="00BB3266">
        <w:rPr>
          <w:rFonts w:ascii="Times New Roman" w:hAnsi="Times New Roman"/>
        </w:rPr>
        <w:t>submitted to Ozone Secretariat</w:t>
      </w:r>
    </w:p>
    <w:p w:rsidR="009F2318" w:rsidRPr="009F2318" w:rsidRDefault="00BB3266" w:rsidP="00160E4A">
      <w:pPr>
        <w:pStyle w:val="Level1"/>
        <w:numPr>
          <w:ilvl w:val="0"/>
          <w:numId w:val="12"/>
        </w:numPr>
        <w:tabs>
          <w:tab w:val="left" w:pos="-1440"/>
        </w:tabs>
        <w:ind w:left="720"/>
        <w:rPr>
          <w:rFonts w:ascii="Times New Roman" w:hAnsi="Times New Roman"/>
        </w:rPr>
      </w:pPr>
      <w:r w:rsidRPr="009F2318">
        <w:rPr>
          <w:rFonts w:ascii="Times New Roman" w:hAnsi="Times New Roman"/>
        </w:rPr>
        <w:t>February-June, Year 2</w:t>
      </w:r>
      <w:r>
        <w:rPr>
          <w:rFonts w:ascii="Times New Roman" w:hAnsi="Times New Roman"/>
        </w:rPr>
        <w:t xml:space="preserve">: </w:t>
      </w:r>
      <w:r w:rsidR="004E6E31" w:rsidRPr="009F2318">
        <w:rPr>
          <w:rFonts w:ascii="Times New Roman" w:hAnsi="Times New Roman"/>
        </w:rPr>
        <w:t>Adv</w:t>
      </w:r>
      <w:r>
        <w:rPr>
          <w:rFonts w:ascii="Times New Roman" w:hAnsi="Times New Roman"/>
        </w:rPr>
        <w:t>isory body (MBTOC/TEAP) review</w:t>
      </w:r>
    </w:p>
    <w:p w:rsidR="00BB3266" w:rsidRDefault="00BB3266" w:rsidP="00160E4A">
      <w:pPr>
        <w:pStyle w:val="Level1"/>
        <w:numPr>
          <w:ilvl w:val="0"/>
          <w:numId w:val="12"/>
        </w:numPr>
        <w:tabs>
          <w:tab w:val="left" w:pos="-1440"/>
        </w:tabs>
        <w:ind w:left="720"/>
        <w:rPr>
          <w:rFonts w:ascii="Times New Roman" w:hAnsi="Times New Roman"/>
        </w:rPr>
      </w:pPr>
      <w:r w:rsidRPr="009F2318">
        <w:rPr>
          <w:rFonts w:ascii="Times New Roman" w:hAnsi="Times New Roman"/>
        </w:rPr>
        <w:t>November-December, Year 2</w:t>
      </w:r>
      <w:r>
        <w:rPr>
          <w:rFonts w:ascii="Times New Roman" w:hAnsi="Times New Roman"/>
        </w:rPr>
        <w:t xml:space="preserve">: </w:t>
      </w:r>
      <w:r w:rsidR="004E6E31" w:rsidRPr="009F2318">
        <w:rPr>
          <w:rFonts w:ascii="Times New Roman" w:hAnsi="Times New Roman"/>
        </w:rPr>
        <w:t>Pa</w:t>
      </w:r>
      <w:r>
        <w:rPr>
          <w:rFonts w:ascii="Times New Roman" w:hAnsi="Times New Roman"/>
        </w:rPr>
        <w:t>rties authorize critical uses</w:t>
      </w:r>
    </w:p>
    <w:p w:rsidR="004E6E31" w:rsidRPr="009F2318" w:rsidRDefault="00BB3266" w:rsidP="00160E4A">
      <w:pPr>
        <w:pStyle w:val="Level1"/>
        <w:numPr>
          <w:ilvl w:val="0"/>
          <w:numId w:val="12"/>
        </w:numPr>
        <w:tabs>
          <w:tab w:val="left" w:pos="-1440"/>
        </w:tabs>
        <w:ind w:left="720"/>
        <w:rPr>
          <w:rFonts w:ascii="Times New Roman" w:hAnsi="Times New Roman"/>
        </w:rPr>
      </w:pPr>
      <w:r w:rsidRPr="009F2318">
        <w:rPr>
          <w:rFonts w:ascii="Times New Roman" w:hAnsi="Times New Roman"/>
        </w:rPr>
        <w:t>January-December, Year 3</w:t>
      </w:r>
      <w:r>
        <w:rPr>
          <w:rFonts w:ascii="Times New Roman" w:hAnsi="Times New Roman"/>
        </w:rPr>
        <w:t xml:space="preserve">: </w:t>
      </w:r>
      <w:r w:rsidR="004E6E31" w:rsidRPr="009F2318">
        <w:rPr>
          <w:rFonts w:ascii="Times New Roman" w:hAnsi="Times New Roman"/>
        </w:rPr>
        <w:t>EP</w:t>
      </w:r>
      <w:r w:rsidR="008B1FE7">
        <w:rPr>
          <w:rFonts w:ascii="Times New Roman" w:hAnsi="Times New Roman"/>
        </w:rPr>
        <w:t>A publishes critical uses and allocates allowances</w:t>
      </w:r>
      <w:r w:rsidR="004E6E31" w:rsidRPr="009F2318">
        <w:rPr>
          <w:rFonts w:ascii="Times New Roman" w:hAnsi="Times New Roman"/>
        </w:rPr>
        <w:t xml:space="preserve"> in</w:t>
      </w:r>
      <w:r>
        <w:rPr>
          <w:rFonts w:ascii="Times New Roman" w:hAnsi="Times New Roman"/>
        </w:rPr>
        <w:t xml:space="preserve"> notice-and-comment rulemaking</w:t>
      </w:r>
    </w:p>
    <w:p w:rsidR="004E6E31" w:rsidRPr="004E6E31" w:rsidRDefault="004E6E31" w:rsidP="004E6E31">
      <w:pPr>
        <w:rPr>
          <w:rFonts w:ascii="Times New Roman" w:hAnsi="Times New Roman"/>
        </w:rPr>
      </w:pPr>
    </w:p>
    <w:p w:rsidR="004E6E31" w:rsidRDefault="009F2318" w:rsidP="004E6E31">
      <w:pPr>
        <w:rPr>
          <w:rFonts w:ascii="Times New Roman" w:hAnsi="Times New Roman"/>
        </w:rPr>
      </w:pPr>
      <w:r>
        <w:rPr>
          <w:rFonts w:ascii="Times New Roman" w:hAnsi="Times New Roman"/>
        </w:rPr>
        <w:lastRenderedPageBreak/>
        <w:tab/>
      </w:r>
      <w:r w:rsidR="004E6E31" w:rsidRPr="004E6E31">
        <w:rPr>
          <w:rFonts w:ascii="Times New Roman" w:hAnsi="Times New Roman"/>
        </w:rPr>
        <w:t>Subsequent collection schedules depend on the timetables established by the Parties.  In some instances additional (“Extraordinary”) meetings have been required, delaying the schedule.</w:t>
      </w:r>
    </w:p>
    <w:p w:rsidR="004E6E31" w:rsidRDefault="004E6E31" w:rsidP="004E6E31">
      <w:pPr>
        <w:rPr>
          <w:rFonts w:ascii="Times New Roman" w:hAnsi="Times New Roman"/>
        </w:rPr>
      </w:pPr>
    </w:p>
    <w:p w:rsidR="004E6E31" w:rsidRDefault="004E6E31" w:rsidP="004E6E31">
      <w:pPr>
        <w:rPr>
          <w:rFonts w:ascii="Times New Roman" w:hAnsi="Times New Roman"/>
        </w:rPr>
      </w:pPr>
      <w:r>
        <w:rPr>
          <w:rFonts w:ascii="Times New Roman" w:hAnsi="Times New Roman"/>
        </w:rPr>
        <w:t>(ii)</w:t>
      </w:r>
      <w:r>
        <w:rPr>
          <w:rFonts w:ascii="Times New Roman" w:hAnsi="Times New Roman"/>
        </w:rPr>
        <w:tab/>
        <w:t>Reported Data</w:t>
      </w:r>
    </w:p>
    <w:p w:rsidR="009F2318" w:rsidRPr="004E6E31" w:rsidRDefault="009F2318" w:rsidP="004E6E31">
      <w:pPr>
        <w:rPr>
          <w:rFonts w:ascii="Times New Roman" w:hAnsi="Times New Roman"/>
        </w:rPr>
      </w:pPr>
    </w:p>
    <w:p w:rsidR="00EA018D" w:rsidRPr="00877602" w:rsidRDefault="00EA018D">
      <w:pPr>
        <w:ind w:firstLine="720"/>
        <w:rPr>
          <w:rFonts w:ascii="Times New Roman" w:hAnsi="Times New Roman"/>
        </w:rPr>
      </w:pPr>
      <w:r w:rsidRPr="00877602">
        <w:rPr>
          <w:rFonts w:ascii="Times New Roman" w:hAnsi="Times New Roman"/>
        </w:rPr>
        <w:t>The information is to be submitted on a</w:t>
      </w:r>
      <w:r w:rsidR="0062329C" w:rsidRPr="00877602">
        <w:rPr>
          <w:rFonts w:ascii="Times New Roman" w:hAnsi="Times New Roman"/>
        </w:rPr>
        <w:t>n</w:t>
      </w:r>
      <w:r w:rsidRPr="00877602">
        <w:rPr>
          <w:rFonts w:ascii="Times New Roman" w:hAnsi="Times New Roman"/>
        </w:rPr>
        <w:t xml:space="preserve"> annual or</w:t>
      </w:r>
      <w:r w:rsidR="008B1FE7">
        <w:rPr>
          <w:rFonts w:ascii="Times New Roman" w:hAnsi="Times New Roman"/>
        </w:rPr>
        <w:t xml:space="preserve"> quarterly basis (see section 5</w:t>
      </w:r>
      <w:r w:rsidRPr="00877602">
        <w:rPr>
          <w:rFonts w:ascii="Times New Roman" w:hAnsi="Times New Roman"/>
        </w:rPr>
        <w:t xml:space="preserve">a) to EPA beginning in </w:t>
      </w:r>
      <w:r w:rsidR="009F2318" w:rsidRPr="00A53112">
        <w:rPr>
          <w:rFonts w:ascii="Times New Roman" w:hAnsi="Times New Roman"/>
        </w:rPr>
        <w:t xml:space="preserve">the </w:t>
      </w:r>
      <w:r w:rsidR="008B1FE7">
        <w:rPr>
          <w:rFonts w:ascii="Times New Roman" w:hAnsi="Times New Roman"/>
        </w:rPr>
        <w:t>last quarter of 2011</w:t>
      </w:r>
      <w:r w:rsidRPr="00877602">
        <w:rPr>
          <w:rFonts w:ascii="Times New Roman" w:hAnsi="Times New Roman"/>
        </w:rPr>
        <w:t xml:space="preserve"> and continuing for the life of the exemption.  </w:t>
      </w:r>
    </w:p>
    <w:p w:rsidR="00EA018D" w:rsidRPr="00877602" w:rsidRDefault="00EA018D">
      <w:pPr>
        <w:rPr>
          <w:rFonts w:ascii="Times New Roman" w:hAnsi="Times New Roman"/>
        </w:rPr>
      </w:pPr>
    </w:p>
    <w:p w:rsidR="00EA018D" w:rsidRPr="00877602" w:rsidRDefault="00EA018D">
      <w:pPr>
        <w:rPr>
          <w:rFonts w:ascii="Times New Roman" w:hAnsi="Times New Roman"/>
        </w:rPr>
      </w:pPr>
      <w:r w:rsidRPr="00877602">
        <w:rPr>
          <w:rFonts w:ascii="Times New Roman" w:hAnsi="Times New Roman"/>
        </w:rPr>
        <w:t>6)</w:t>
      </w:r>
      <w:r w:rsidRPr="00877602">
        <w:rPr>
          <w:rFonts w:ascii="Times New Roman" w:hAnsi="Times New Roman"/>
        </w:rPr>
        <w:tab/>
      </w:r>
      <w:r w:rsidRPr="00877602">
        <w:rPr>
          <w:rFonts w:ascii="Times New Roman" w:hAnsi="Times New Roman"/>
          <w:u w:val="single"/>
        </w:rPr>
        <w:t>Estimating the Burden and Cost of Collection</w:t>
      </w:r>
    </w:p>
    <w:p w:rsidR="00EA018D" w:rsidRPr="00877602" w:rsidRDefault="00EA018D">
      <w:pPr>
        <w:rPr>
          <w:rFonts w:ascii="Times New Roman" w:hAnsi="Times New Roman"/>
        </w:rPr>
      </w:pPr>
    </w:p>
    <w:p w:rsidR="00EA018D" w:rsidRPr="00877602" w:rsidRDefault="00EA018D">
      <w:pPr>
        <w:rPr>
          <w:rFonts w:ascii="Times New Roman" w:hAnsi="Times New Roman"/>
        </w:rPr>
      </w:pPr>
      <w:r w:rsidRPr="00877602">
        <w:rPr>
          <w:rFonts w:ascii="Times New Roman" w:hAnsi="Times New Roman"/>
        </w:rPr>
        <w:t>a)</w:t>
      </w:r>
      <w:r w:rsidRPr="00877602">
        <w:rPr>
          <w:rFonts w:ascii="Times New Roman" w:hAnsi="Times New Roman"/>
        </w:rPr>
        <w:tab/>
        <w:t>Estimating the Burden</w:t>
      </w:r>
    </w:p>
    <w:p w:rsidR="00EA018D" w:rsidRDefault="00EA018D">
      <w:pPr>
        <w:rPr>
          <w:rFonts w:ascii="Times New Roman" w:hAnsi="Times New Roman"/>
        </w:rPr>
      </w:pPr>
    </w:p>
    <w:p w:rsidR="00E127F3" w:rsidRDefault="00145364" w:rsidP="00145364">
      <w:pPr>
        <w:ind w:firstLine="720"/>
        <w:rPr>
          <w:rFonts w:ascii="Times New Roman" w:hAnsi="Times New Roman"/>
        </w:rPr>
      </w:pPr>
      <w:r w:rsidRPr="00877602">
        <w:rPr>
          <w:rFonts w:ascii="Times New Roman" w:hAnsi="Times New Roman"/>
        </w:rPr>
        <w:t xml:space="preserve">The basis of the </w:t>
      </w:r>
      <w:r w:rsidR="0044497D">
        <w:rPr>
          <w:rFonts w:ascii="Times New Roman" w:hAnsi="Times New Roman"/>
        </w:rPr>
        <w:t xml:space="preserve">burden </w:t>
      </w:r>
      <w:r w:rsidRPr="00877602">
        <w:rPr>
          <w:rFonts w:ascii="Times New Roman" w:hAnsi="Times New Roman"/>
        </w:rPr>
        <w:t>analysis is</w:t>
      </w:r>
      <w:r w:rsidR="00A0587E">
        <w:rPr>
          <w:rFonts w:ascii="Times New Roman" w:hAnsi="Times New Roman"/>
        </w:rPr>
        <w:t xml:space="preserve"> </w:t>
      </w:r>
      <w:r w:rsidR="00A0587E" w:rsidRPr="00877602">
        <w:rPr>
          <w:rFonts w:ascii="Times New Roman" w:hAnsi="Times New Roman"/>
        </w:rPr>
        <w:t>EPA</w:t>
      </w:r>
      <w:r w:rsidR="00A0587E">
        <w:rPr>
          <w:rFonts w:ascii="Times New Roman" w:hAnsi="Times New Roman"/>
        </w:rPr>
        <w:t>’s</w:t>
      </w:r>
      <w:r w:rsidR="00A0587E" w:rsidRPr="00877602">
        <w:rPr>
          <w:rFonts w:ascii="Times New Roman" w:hAnsi="Times New Roman"/>
        </w:rPr>
        <w:t xml:space="preserve"> experience</w:t>
      </w:r>
      <w:r w:rsidR="00A0587E">
        <w:rPr>
          <w:rFonts w:ascii="Times New Roman" w:hAnsi="Times New Roman"/>
        </w:rPr>
        <w:t xml:space="preserve"> with</w:t>
      </w:r>
      <w:r w:rsidR="00A0587E" w:rsidRPr="00877602">
        <w:rPr>
          <w:rFonts w:ascii="Times New Roman" w:hAnsi="Times New Roman"/>
        </w:rPr>
        <w:t xml:space="preserve"> implementing </w:t>
      </w:r>
      <w:r w:rsidR="00A0587E">
        <w:rPr>
          <w:rFonts w:ascii="Times New Roman" w:hAnsi="Times New Roman"/>
        </w:rPr>
        <w:t>the critical use exemption program</w:t>
      </w:r>
      <w:r w:rsidR="00A0587E" w:rsidRPr="00877602">
        <w:rPr>
          <w:rFonts w:ascii="Times New Roman" w:hAnsi="Times New Roman"/>
        </w:rPr>
        <w:t xml:space="preserve"> </w:t>
      </w:r>
      <w:r w:rsidR="00E127F3">
        <w:rPr>
          <w:rFonts w:ascii="Times New Roman" w:hAnsi="Times New Roman"/>
        </w:rPr>
        <w:t>since 2002 and EPA’s previous ICR analyse</w:t>
      </w:r>
      <w:r w:rsidR="006B5C69">
        <w:rPr>
          <w:rFonts w:ascii="Times New Roman" w:hAnsi="Times New Roman"/>
        </w:rPr>
        <w:t>s</w:t>
      </w:r>
      <w:r w:rsidR="00E127F3">
        <w:rPr>
          <w:rFonts w:ascii="Times New Roman" w:hAnsi="Times New Roman"/>
        </w:rPr>
        <w:t xml:space="preserve"> for the CUE program</w:t>
      </w:r>
      <w:r w:rsidR="006B5C69">
        <w:rPr>
          <w:rFonts w:ascii="Times New Roman" w:hAnsi="Times New Roman"/>
        </w:rPr>
        <w:t xml:space="preserve">.  </w:t>
      </w:r>
      <w:r w:rsidR="00E127F3">
        <w:rPr>
          <w:rFonts w:ascii="Times New Roman" w:hAnsi="Times New Roman"/>
        </w:rPr>
        <w:t xml:space="preserve">EPA expects </w:t>
      </w:r>
      <w:r w:rsidR="00F752C9">
        <w:rPr>
          <w:rFonts w:ascii="Times New Roman" w:hAnsi="Times New Roman"/>
        </w:rPr>
        <w:t xml:space="preserve">that </w:t>
      </w:r>
      <w:r w:rsidR="00E127F3">
        <w:rPr>
          <w:rFonts w:ascii="Times New Roman" w:hAnsi="Times New Roman"/>
        </w:rPr>
        <w:t xml:space="preserve">the burden estimate </w:t>
      </w:r>
      <w:r w:rsidR="00F752C9">
        <w:rPr>
          <w:rFonts w:ascii="Times New Roman" w:hAnsi="Times New Roman"/>
        </w:rPr>
        <w:t xml:space="preserve">is </w:t>
      </w:r>
      <w:r w:rsidR="00E127F3">
        <w:rPr>
          <w:rFonts w:ascii="Times New Roman" w:hAnsi="Times New Roman"/>
        </w:rPr>
        <w:t>conservative</w:t>
      </w:r>
      <w:r w:rsidR="00E44069">
        <w:rPr>
          <w:rFonts w:ascii="Times New Roman" w:hAnsi="Times New Roman"/>
        </w:rPr>
        <w:t>ly high</w:t>
      </w:r>
      <w:r w:rsidR="00E127F3">
        <w:rPr>
          <w:rFonts w:ascii="Times New Roman" w:hAnsi="Times New Roman"/>
        </w:rPr>
        <w:t xml:space="preserve"> as the Agency </w:t>
      </w:r>
      <w:r w:rsidR="006B5C69">
        <w:rPr>
          <w:rFonts w:ascii="Times New Roman" w:hAnsi="Times New Roman"/>
        </w:rPr>
        <w:t>believes that the respondents are familiar with EPA’s regulations and likely have an established system for com</w:t>
      </w:r>
      <w:r w:rsidR="008B1FE7">
        <w:rPr>
          <w:rFonts w:ascii="Times New Roman" w:hAnsi="Times New Roman"/>
        </w:rPr>
        <w:t>plying with those requirements.</w:t>
      </w:r>
    </w:p>
    <w:p w:rsidR="00A94309" w:rsidRPr="00877602" w:rsidRDefault="00A0587E" w:rsidP="006B5C69">
      <w:pPr>
        <w:ind w:firstLine="720"/>
        <w:rPr>
          <w:rFonts w:ascii="Times New Roman" w:hAnsi="Times New Roman"/>
        </w:rPr>
      </w:pPr>
      <w:r>
        <w:rPr>
          <w:rFonts w:ascii="Times New Roman" w:hAnsi="Times New Roman"/>
        </w:rPr>
        <w:t xml:space="preserve">The burden analyzed is that associated </w:t>
      </w:r>
      <w:r w:rsidRPr="00877602">
        <w:rPr>
          <w:rFonts w:ascii="Times New Roman" w:hAnsi="Times New Roman"/>
        </w:rPr>
        <w:t xml:space="preserve">with the </w:t>
      </w:r>
      <w:r>
        <w:rPr>
          <w:rFonts w:ascii="Times New Roman" w:hAnsi="Times New Roman"/>
        </w:rPr>
        <w:t xml:space="preserve">application, </w:t>
      </w:r>
      <w:r w:rsidRPr="00877602">
        <w:rPr>
          <w:rFonts w:ascii="Times New Roman" w:hAnsi="Times New Roman"/>
        </w:rPr>
        <w:t>reporting</w:t>
      </w:r>
      <w:r>
        <w:rPr>
          <w:rFonts w:ascii="Times New Roman" w:hAnsi="Times New Roman"/>
        </w:rPr>
        <w:t>,</w:t>
      </w:r>
      <w:r w:rsidRPr="00877602">
        <w:rPr>
          <w:rFonts w:ascii="Times New Roman" w:hAnsi="Times New Roman"/>
        </w:rPr>
        <w:t xml:space="preserve"> and recordkeeping requirements</w:t>
      </w:r>
      <w:r>
        <w:rPr>
          <w:rFonts w:ascii="Times New Roman" w:hAnsi="Times New Roman"/>
        </w:rPr>
        <w:t xml:space="preserve"> of the program</w:t>
      </w:r>
      <w:r w:rsidRPr="00877602">
        <w:rPr>
          <w:rFonts w:ascii="Times New Roman" w:hAnsi="Times New Roman"/>
        </w:rPr>
        <w:t>.</w:t>
      </w:r>
      <w:r w:rsidR="00E127F3">
        <w:rPr>
          <w:rFonts w:ascii="Times New Roman" w:hAnsi="Times New Roman"/>
        </w:rPr>
        <w:t xml:space="preserve"> </w:t>
      </w:r>
      <w:r>
        <w:rPr>
          <w:rFonts w:ascii="Times New Roman" w:hAnsi="Times New Roman"/>
        </w:rPr>
        <w:t>As in previous ICR</w:t>
      </w:r>
      <w:r w:rsidR="008B1FE7">
        <w:rPr>
          <w:rFonts w:ascii="Times New Roman" w:hAnsi="Times New Roman"/>
        </w:rPr>
        <w:t>s</w:t>
      </w:r>
      <w:r>
        <w:rPr>
          <w:rFonts w:ascii="Times New Roman" w:hAnsi="Times New Roman"/>
        </w:rPr>
        <w:t xml:space="preserve">, EPA identified </w:t>
      </w:r>
      <w:r w:rsidR="00145364" w:rsidRPr="00877602">
        <w:rPr>
          <w:rFonts w:ascii="Times New Roman" w:hAnsi="Times New Roman"/>
        </w:rPr>
        <w:t xml:space="preserve">the steps involved </w:t>
      </w:r>
      <w:r w:rsidR="00306E30">
        <w:rPr>
          <w:rFonts w:ascii="Times New Roman" w:hAnsi="Times New Roman"/>
        </w:rPr>
        <w:t xml:space="preserve">in applying for and </w:t>
      </w:r>
      <w:r w:rsidR="00145364" w:rsidRPr="00877602">
        <w:rPr>
          <w:rFonts w:ascii="Times New Roman" w:hAnsi="Times New Roman"/>
        </w:rPr>
        <w:t>complying with the requirements</w:t>
      </w:r>
      <w:r w:rsidR="00145364">
        <w:rPr>
          <w:rFonts w:ascii="Times New Roman" w:hAnsi="Times New Roman"/>
        </w:rPr>
        <w:t xml:space="preserve"> of the CUE program</w:t>
      </w:r>
      <w:r w:rsidR="00145364" w:rsidRPr="00877602">
        <w:rPr>
          <w:rFonts w:ascii="Times New Roman" w:hAnsi="Times New Roman"/>
        </w:rPr>
        <w:t xml:space="preserve">. </w:t>
      </w:r>
      <w:r w:rsidR="006B5C69">
        <w:rPr>
          <w:rFonts w:ascii="Times New Roman" w:hAnsi="Times New Roman"/>
        </w:rPr>
        <w:t>This includes</w:t>
      </w:r>
      <w:r w:rsidR="006B5C69" w:rsidRPr="00BB3266">
        <w:rPr>
          <w:rFonts w:ascii="Times New Roman" w:hAnsi="Times New Roman"/>
        </w:rPr>
        <w:t xml:space="preserve"> </w:t>
      </w:r>
      <w:r w:rsidR="006B5C69">
        <w:rPr>
          <w:rFonts w:ascii="Times New Roman" w:hAnsi="Times New Roman"/>
        </w:rPr>
        <w:t>identifying</w:t>
      </w:r>
      <w:r w:rsidR="006B5C69" w:rsidRPr="00BB3266">
        <w:rPr>
          <w:rFonts w:ascii="Times New Roman" w:hAnsi="Times New Roman"/>
        </w:rPr>
        <w:t xml:space="preserve"> the principal information needed to support U.S. nominations </w:t>
      </w:r>
      <w:r w:rsidR="006B5C69">
        <w:rPr>
          <w:rFonts w:ascii="Times New Roman" w:hAnsi="Times New Roman"/>
        </w:rPr>
        <w:t xml:space="preserve">to Parties to the Protocol.  </w:t>
      </w:r>
      <w:r w:rsidRPr="00BB3266">
        <w:rPr>
          <w:rFonts w:ascii="Times New Roman" w:hAnsi="Times New Roman"/>
        </w:rPr>
        <w:t>The burden has been estimated by identifying the number of times the step will be undertaken and the number of hours required to complete each step.</w:t>
      </w:r>
    </w:p>
    <w:p w:rsidR="00017F51" w:rsidRPr="00877602" w:rsidRDefault="00017F51">
      <w:pPr>
        <w:rPr>
          <w:rFonts w:ascii="Times New Roman" w:hAnsi="Times New Roman"/>
        </w:rPr>
      </w:pPr>
    </w:p>
    <w:p w:rsidR="00EA018D" w:rsidRDefault="00EA018D" w:rsidP="006B5C69">
      <w:pPr>
        <w:tabs>
          <w:tab w:val="left" w:pos="-1440"/>
        </w:tabs>
        <w:ind w:left="720" w:hanging="720"/>
        <w:rPr>
          <w:rFonts w:ascii="Times New Roman" w:hAnsi="Times New Roman"/>
        </w:rPr>
      </w:pPr>
      <w:r w:rsidRPr="00877602">
        <w:rPr>
          <w:rFonts w:ascii="Times New Roman" w:hAnsi="Times New Roman"/>
        </w:rPr>
        <w:t xml:space="preserve">b) </w:t>
      </w:r>
      <w:r w:rsidRPr="00877602">
        <w:rPr>
          <w:rFonts w:ascii="Times New Roman" w:hAnsi="Times New Roman"/>
        </w:rPr>
        <w:tab/>
        <w:t>Estimating the Respondent Cost</w:t>
      </w:r>
    </w:p>
    <w:p w:rsidR="006B5C69" w:rsidRDefault="006B5C69" w:rsidP="006B5C69">
      <w:pPr>
        <w:tabs>
          <w:tab w:val="left" w:pos="-1440"/>
        </w:tabs>
        <w:ind w:left="720" w:hanging="720"/>
        <w:rPr>
          <w:rFonts w:ascii="Times New Roman" w:hAnsi="Times New Roman"/>
        </w:rPr>
      </w:pPr>
    </w:p>
    <w:p w:rsidR="006B5C69" w:rsidRDefault="006B5C69" w:rsidP="006B5C69">
      <w:pPr>
        <w:tabs>
          <w:tab w:val="left" w:pos="-1440"/>
        </w:tabs>
        <w:ind w:left="720" w:hanging="720"/>
        <w:rPr>
          <w:rFonts w:ascii="Times New Roman" w:hAnsi="Times New Roman"/>
        </w:rPr>
      </w:pPr>
      <w:r>
        <w:rPr>
          <w:rFonts w:ascii="Times New Roman" w:hAnsi="Times New Roman"/>
        </w:rPr>
        <w:t>i)</w:t>
      </w:r>
      <w:r>
        <w:rPr>
          <w:rFonts w:ascii="Times New Roman" w:hAnsi="Times New Roman"/>
        </w:rPr>
        <w:tab/>
        <w:t>Applications</w:t>
      </w:r>
    </w:p>
    <w:p w:rsidR="006B5C69" w:rsidRDefault="006B5C69" w:rsidP="006B5C69">
      <w:pPr>
        <w:tabs>
          <w:tab w:val="left" w:pos="-1440"/>
        </w:tabs>
        <w:ind w:left="720" w:hanging="720"/>
        <w:rPr>
          <w:rFonts w:ascii="Times New Roman" w:hAnsi="Times New Roman"/>
        </w:rPr>
      </w:pPr>
    </w:p>
    <w:p w:rsidR="004179C4" w:rsidRDefault="006B5C69" w:rsidP="00BB6E78">
      <w:pPr>
        <w:ind w:firstLine="720"/>
        <w:rPr>
          <w:rFonts w:ascii="Times New Roman" w:hAnsi="Times New Roman"/>
        </w:rPr>
      </w:pPr>
      <w:r w:rsidRPr="006B5C69">
        <w:rPr>
          <w:rFonts w:ascii="Times New Roman" w:hAnsi="Times New Roman"/>
        </w:rPr>
        <w:t xml:space="preserve">To determine the respondent cost, EPA used an hourly industry wage rate </w:t>
      </w:r>
      <w:r w:rsidRPr="006C40B0">
        <w:rPr>
          <w:rFonts w:ascii="Times New Roman" w:hAnsi="Times New Roman"/>
        </w:rPr>
        <w:t xml:space="preserve">of </w:t>
      </w:r>
      <w:r w:rsidR="00D325A1" w:rsidRPr="006C40B0">
        <w:rPr>
          <w:rFonts w:ascii="Times New Roman" w:hAnsi="Times New Roman"/>
        </w:rPr>
        <w:t>$</w:t>
      </w:r>
      <w:r w:rsidR="00BB6E78">
        <w:rPr>
          <w:rFonts w:ascii="Times New Roman" w:hAnsi="Times New Roman"/>
        </w:rPr>
        <w:t>136.93</w:t>
      </w:r>
      <w:r w:rsidRPr="00263C41">
        <w:rPr>
          <w:rFonts w:ascii="Times New Roman" w:hAnsi="Times New Roman"/>
        </w:rPr>
        <w:t xml:space="preserve"> per hour</w:t>
      </w:r>
      <w:r w:rsidR="00D65736">
        <w:rPr>
          <w:rFonts w:ascii="Times New Roman" w:hAnsi="Times New Roman"/>
        </w:rPr>
        <w:t>, including benefits and overhead</w:t>
      </w:r>
      <w:r w:rsidR="00A53112">
        <w:rPr>
          <w:rFonts w:ascii="Times New Roman" w:hAnsi="Times New Roman"/>
        </w:rPr>
        <w:t xml:space="preserve">. </w:t>
      </w:r>
      <w:r w:rsidRPr="006B5C69">
        <w:rPr>
          <w:rFonts w:ascii="Times New Roman" w:hAnsi="Times New Roman"/>
        </w:rPr>
        <w:t xml:space="preserve">This is the </w:t>
      </w:r>
      <w:r w:rsidR="004179C4">
        <w:rPr>
          <w:rFonts w:ascii="Times New Roman" w:hAnsi="Times New Roman"/>
        </w:rPr>
        <w:t>estimated</w:t>
      </w:r>
      <w:r w:rsidRPr="006B5C69">
        <w:rPr>
          <w:rFonts w:ascii="Times New Roman" w:hAnsi="Times New Roman"/>
        </w:rPr>
        <w:t xml:space="preserve"> hourly </w:t>
      </w:r>
      <w:r w:rsidR="00BB39C6">
        <w:rPr>
          <w:rFonts w:ascii="Times New Roman" w:hAnsi="Times New Roman"/>
        </w:rPr>
        <w:t xml:space="preserve">mean </w:t>
      </w:r>
      <w:r w:rsidRPr="006B5C69">
        <w:rPr>
          <w:rFonts w:ascii="Times New Roman" w:hAnsi="Times New Roman"/>
        </w:rPr>
        <w:t xml:space="preserve">wage rate for </w:t>
      </w:r>
      <w:r w:rsidR="00D325A1">
        <w:rPr>
          <w:rFonts w:ascii="Times New Roman" w:hAnsi="Times New Roman"/>
        </w:rPr>
        <w:t xml:space="preserve">management </w:t>
      </w:r>
      <w:r w:rsidR="004179C4">
        <w:rPr>
          <w:rFonts w:ascii="Times New Roman" w:hAnsi="Times New Roman"/>
        </w:rPr>
        <w:t xml:space="preserve">within the </w:t>
      </w:r>
      <w:r w:rsidR="00BB6E78" w:rsidRPr="00BB6E78">
        <w:rPr>
          <w:rFonts w:ascii="Times New Roman" w:hAnsi="Times New Roman"/>
        </w:rPr>
        <w:t>Management, Scientific, and Technical Consulting Services</w:t>
      </w:r>
      <w:r w:rsidR="00BB6E78">
        <w:rPr>
          <w:rFonts w:ascii="Times New Roman" w:hAnsi="Times New Roman"/>
        </w:rPr>
        <w:t xml:space="preserve"> sector</w:t>
      </w:r>
      <w:r w:rsidR="00BB6E78" w:rsidRPr="004179C4">
        <w:rPr>
          <w:rFonts w:ascii="Times New Roman" w:hAnsi="Times New Roman"/>
        </w:rPr>
        <w:t xml:space="preserve"> </w:t>
      </w:r>
      <w:r w:rsidR="00BB6E78">
        <w:rPr>
          <w:rFonts w:ascii="Times New Roman" w:hAnsi="Times New Roman"/>
        </w:rPr>
        <w:t xml:space="preserve">(541600 Series NAICS code). </w:t>
      </w:r>
      <w:r w:rsidR="00D65736">
        <w:rPr>
          <w:rFonts w:ascii="Times New Roman" w:hAnsi="Times New Roman"/>
        </w:rPr>
        <w:t xml:space="preserve">This rate was developed by the Office of Pesticide Programs within EPA and is based on </w:t>
      </w:r>
      <w:r w:rsidR="00D65736" w:rsidRPr="00D65736">
        <w:rPr>
          <w:rFonts w:ascii="Times New Roman" w:hAnsi="Times New Roman"/>
        </w:rPr>
        <w:t>the National Industry-Specific Occupational Employment and Wage Estimates from the Bureau of Labor Statistics (BLS) at http://www.bl</w:t>
      </w:r>
      <w:r w:rsidR="00D65736">
        <w:rPr>
          <w:rFonts w:ascii="Times New Roman" w:hAnsi="Times New Roman"/>
        </w:rPr>
        <w:t xml:space="preserve">s.gov/oes/current/oes_nat.htm. </w:t>
      </w:r>
      <w:r w:rsidR="00BB6E78">
        <w:rPr>
          <w:rFonts w:ascii="Times New Roman" w:hAnsi="Times New Roman"/>
        </w:rPr>
        <w:t xml:space="preserve">Based on consultations on this ICR, EPA is no longer using the </w:t>
      </w:r>
      <w:r w:rsidR="00BB6E78" w:rsidRPr="004179C4">
        <w:rPr>
          <w:rFonts w:ascii="Times New Roman" w:hAnsi="Times New Roman"/>
        </w:rPr>
        <w:t>Pesticide, Fertilizer, &amp; Other Agricultural Chemical Manufacturing</w:t>
      </w:r>
      <w:r w:rsidR="00BB6E78">
        <w:rPr>
          <w:rFonts w:ascii="Times New Roman" w:hAnsi="Times New Roman"/>
        </w:rPr>
        <w:t xml:space="preserve"> sector</w:t>
      </w:r>
      <w:r w:rsidR="00BB6E78" w:rsidRPr="004179C4">
        <w:rPr>
          <w:rFonts w:ascii="Times New Roman" w:hAnsi="Times New Roman"/>
        </w:rPr>
        <w:t xml:space="preserve"> </w:t>
      </w:r>
      <w:r w:rsidR="00BB6E78">
        <w:rPr>
          <w:rFonts w:ascii="Times New Roman" w:hAnsi="Times New Roman"/>
        </w:rPr>
        <w:t xml:space="preserve">(325300 Series NAICS code) for estimating the respondent cost for completing the applications. </w:t>
      </w:r>
      <w:r w:rsidR="00D65736">
        <w:rPr>
          <w:rFonts w:ascii="Times New Roman" w:hAnsi="Times New Roman"/>
        </w:rPr>
        <w:t xml:space="preserve">EPA anticipates this rate to overestimate the burden on the whole universe of respondents, as </w:t>
      </w:r>
      <w:r w:rsidR="00833C95">
        <w:rPr>
          <w:rFonts w:ascii="Times New Roman" w:hAnsi="Times New Roman"/>
        </w:rPr>
        <w:t>the wage rates are lower for g</w:t>
      </w:r>
      <w:r w:rsidR="00D86252">
        <w:rPr>
          <w:rFonts w:ascii="Times New Roman" w:hAnsi="Times New Roman"/>
        </w:rPr>
        <w:t xml:space="preserve">rowers, applicators, and other respondents </w:t>
      </w:r>
      <w:r w:rsidR="00833C95">
        <w:rPr>
          <w:rFonts w:ascii="Times New Roman" w:hAnsi="Times New Roman"/>
        </w:rPr>
        <w:t xml:space="preserve">within the Critical Use Exemption program. </w:t>
      </w:r>
    </w:p>
    <w:p w:rsidR="00E127F3" w:rsidRDefault="006B5C69">
      <w:pPr>
        <w:ind w:firstLine="720"/>
        <w:rPr>
          <w:rFonts w:ascii="Times New Roman" w:hAnsi="Times New Roman" w:cs="Courier"/>
        </w:rPr>
      </w:pPr>
      <w:r w:rsidRPr="006B5C69">
        <w:rPr>
          <w:rFonts w:ascii="Times New Roman" w:hAnsi="Times New Roman"/>
        </w:rPr>
        <w:t>Burden hours needed to complete each application that is forwar</w:t>
      </w:r>
      <w:r w:rsidR="00BD50F3">
        <w:rPr>
          <w:rFonts w:ascii="Times New Roman" w:hAnsi="Times New Roman"/>
        </w:rPr>
        <w:t xml:space="preserve">ded to EPA is estimated to be </w:t>
      </w:r>
      <w:r w:rsidR="00FD2053">
        <w:rPr>
          <w:rFonts w:ascii="Times New Roman" w:hAnsi="Times New Roman"/>
        </w:rPr>
        <w:t>3</w:t>
      </w:r>
      <w:r w:rsidR="006C40B0">
        <w:rPr>
          <w:rFonts w:ascii="Times New Roman" w:hAnsi="Times New Roman"/>
        </w:rPr>
        <w:t>8</w:t>
      </w:r>
      <w:r w:rsidRPr="006B5C69">
        <w:rPr>
          <w:rFonts w:ascii="Times New Roman" w:hAnsi="Times New Roman"/>
        </w:rPr>
        <w:t xml:space="preserve">.  </w:t>
      </w:r>
      <w:r w:rsidR="007C5EAA">
        <w:rPr>
          <w:rFonts w:ascii="Times New Roman" w:hAnsi="Times New Roman"/>
        </w:rPr>
        <w:t xml:space="preserve">The number of applications has been declining from a maximum of 61 to 33 applications last year. </w:t>
      </w:r>
      <w:r w:rsidR="0038145B">
        <w:rPr>
          <w:rFonts w:ascii="Times New Roman" w:hAnsi="Times New Roman" w:cs="Courier"/>
        </w:rPr>
        <w:t xml:space="preserve">EPA </w:t>
      </w:r>
      <w:r w:rsidR="00F5607F">
        <w:rPr>
          <w:rFonts w:ascii="Times New Roman" w:hAnsi="Times New Roman" w:cs="Courier"/>
        </w:rPr>
        <w:t>does not anticipate</w:t>
      </w:r>
      <w:r w:rsidR="0038145B">
        <w:rPr>
          <w:rFonts w:ascii="Times New Roman" w:hAnsi="Times New Roman" w:cs="Courier"/>
        </w:rPr>
        <w:t xml:space="preserve"> new users or groups to submit applications an</w:t>
      </w:r>
      <w:r w:rsidR="007C5EAA">
        <w:rPr>
          <w:rFonts w:ascii="Times New Roman" w:hAnsi="Times New Roman" w:cs="Courier"/>
        </w:rPr>
        <w:t>d therefore does not expect the</w:t>
      </w:r>
      <w:r w:rsidR="0038145B">
        <w:rPr>
          <w:rFonts w:ascii="Times New Roman" w:hAnsi="Times New Roman" w:cs="Courier"/>
        </w:rPr>
        <w:t xml:space="preserve"> number to increase</w:t>
      </w:r>
      <w:r w:rsidR="007C5EAA">
        <w:rPr>
          <w:rFonts w:ascii="Times New Roman" w:hAnsi="Times New Roman" w:cs="Courier"/>
        </w:rPr>
        <w:t xml:space="preserve"> from 33</w:t>
      </w:r>
      <w:r w:rsidR="0038145B">
        <w:rPr>
          <w:rFonts w:ascii="Times New Roman" w:hAnsi="Times New Roman" w:cs="Courier"/>
        </w:rPr>
        <w:t xml:space="preserve">.  </w:t>
      </w:r>
      <w:r w:rsidR="007C5EAA">
        <w:rPr>
          <w:rFonts w:ascii="Times New Roman" w:hAnsi="Times New Roman" w:cs="Courier"/>
        </w:rPr>
        <w:t xml:space="preserve">EPA is conservatively estimating 40 applicants for the next three years. </w:t>
      </w:r>
      <w:r w:rsidR="00482E79">
        <w:rPr>
          <w:rFonts w:ascii="Times New Roman" w:hAnsi="Times New Roman" w:cs="Courier"/>
        </w:rPr>
        <w:t xml:space="preserve">Total </w:t>
      </w:r>
      <w:r w:rsidR="00BD50F3" w:rsidRPr="0038145B">
        <w:rPr>
          <w:rFonts w:ascii="Times New Roman" w:hAnsi="Times New Roman" w:cs="Courier"/>
        </w:rPr>
        <w:t>burden hours have decreased from previo</w:t>
      </w:r>
      <w:r w:rsidR="00FD2053">
        <w:rPr>
          <w:rFonts w:ascii="Times New Roman" w:hAnsi="Times New Roman" w:cs="Courier"/>
        </w:rPr>
        <w:t>us ICRs as</w:t>
      </w:r>
      <w:r w:rsidR="004B4F5A" w:rsidRPr="0038145B">
        <w:rPr>
          <w:rFonts w:ascii="Times New Roman" w:hAnsi="Times New Roman" w:cs="Courier"/>
        </w:rPr>
        <w:t xml:space="preserve"> the prior ICR estimated </w:t>
      </w:r>
      <w:r w:rsidR="0038145B" w:rsidRPr="0038145B">
        <w:rPr>
          <w:rFonts w:ascii="Times New Roman" w:hAnsi="Times New Roman" w:cs="Courier"/>
        </w:rPr>
        <w:t>75</w:t>
      </w:r>
      <w:r w:rsidR="00FD2053">
        <w:rPr>
          <w:rFonts w:ascii="Times New Roman" w:hAnsi="Times New Roman" w:cs="Courier"/>
        </w:rPr>
        <w:t xml:space="preserve"> </w:t>
      </w:r>
      <w:r w:rsidR="00FD2053">
        <w:rPr>
          <w:rFonts w:ascii="Times New Roman" w:hAnsi="Times New Roman" w:cs="Courier"/>
        </w:rPr>
        <w:lastRenderedPageBreak/>
        <w:t xml:space="preserve">respondents.  </w:t>
      </w:r>
      <w:r w:rsidR="009E61CB">
        <w:rPr>
          <w:rFonts w:ascii="Times New Roman" w:hAnsi="Times New Roman"/>
        </w:rPr>
        <w:t>EPA believes that the number of hours may be an overestimate as there have been</w:t>
      </w:r>
      <w:r w:rsidR="009E61CB" w:rsidRPr="006B5C69">
        <w:rPr>
          <w:rFonts w:ascii="Times New Roman" w:hAnsi="Times New Roman"/>
        </w:rPr>
        <w:t xml:space="preserve"> minimal formatting /data changes to the application form, encouragement of electronic submissions, reduced requirements for repeat applicants, frequent communication with stakeholders, and </w:t>
      </w:r>
      <w:r w:rsidR="008B1FE7">
        <w:rPr>
          <w:rFonts w:ascii="Times New Roman" w:hAnsi="Times New Roman"/>
        </w:rPr>
        <w:t>nine</w:t>
      </w:r>
      <w:r w:rsidR="009E61CB">
        <w:rPr>
          <w:rFonts w:ascii="Times New Roman" w:hAnsi="Times New Roman"/>
        </w:rPr>
        <w:t xml:space="preserve"> years of implementation.</w:t>
      </w:r>
      <w:r w:rsidR="00FD2053" w:rsidRPr="00FD2053">
        <w:rPr>
          <w:rFonts w:ascii="Times New Roman" w:hAnsi="Times New Roman" w:cs="Courier"/>
        </w:rPr>
        <w:t xml:space="preserve"> </w:t>
      </w:r>
      <w:r w:rsidR="00FD2053">
        <w:rPr>
          <w:rFonts w:ascii="Times New Roman" w:hAnsi="Times New Roman" w:cs="Courier"/>
        </w:rPr>
        <w:t xml:space="preserve">EPA has </w:t>
      </w:r>
      <w:r w:rsidR="00482E79">
        <w:rPr>
          <w:rFonts w:ascii="Times New Roman" w:hAnsi="Times New Roman" w:cs="Courier"/>
        </w:rPr>
        <w:t xml:space="preserve">also </w:t>
      </w:r>
      <w:r w:rsidR="00FD2053">
        <w:rPr>
          <w:rFonts w:ascii="Times New Roman" w:hAnsi="Times New Roman" w:cs="Courier"/>
        </w:rPr>
        <w:t xml:space="preserve">found that the </w:t>
      </w:r>
      <w:r w:rsidR="00FD2053" w:rsidRPr="00795F38">
        <w:rPr>
          <w:rFonts w:ascii="Times New Roman" w:hAnsi="Times New Roman" w:cs="Courier"/>
        </w:rPr>
        <w:t xml:space="preserve">majority of users have applied through their consortia, and </w:t>
      </w:r>
      <w:r w:rsidR="00FD2053">
        <w:rPr>
          <w:rFonts w:ascii="Times New Roman" w:hAnsi="Times New Roman" w:cs="Courier"/>
        </w:rPr>
        <w:t>that these</w:t>
      </w:r>
      <w:r w:rsidR="00FD2053" w:rsidRPr="00795F38">
        <w:rPr>
          <w:rFonts w:ascii="Times New Roman" w:hAnsi="Times New Roman" w:cs="Courier"/>
        </w:rPr>
        <w:t xml:space="preserve"> c</w:t>
      </w:r>
      <w:r w:rsidR="00FD2053">
        <w:rPr>
          <w:rFonts w:ascii="Times New Roman" w:hAnsi="Times New Roman" w:cs="Courier"/>
        </w:rPr>
        <w:t>onsortia represent many growers.</w:t>
      </w:r>
    </w:p>
    <w:p w:rsidR="006B5C69" w:rsidRDefault="006B5C69" w:rsidP="006B5C69">
      <w:pPr>
        <w:rPr>
          <w:rFonts w:ascii="Times New Roman" w:hAnsi="Times New Roman"/>
        </w:rPr>
      </w:pPr>
    </w:p>
    <w:p w:rsidR="006B5C69" w:rsidRDefault="006B5C69" w:rsidP="006B5C69">
      <w:pPr>
        <w:rPr>
          <w:rFonts w:ascii="Times New Roman" w:hAnsi="Times New Roman"/>
        </w:rPr>
      </w:pPr>
      <w:r>
        <w:rPr>
          <w:rFonts w:ascii="Times New Roman" w:hAnsi="Times New Roman"/>
        </w:rPr>
        <w:t>ii)</w:t>
      </w:r>
      <w:r>
        <w:rPr>
          <w:rFonts w:ascii="Times New Roman" w:hAnsi="Times New Roman"/>
        </w:rPr>
        <w:tab/>
        <w:t>Reported Data</w:t>
      </w:r>
    </w:p>
    <w:p w:rsidR="006B5C69" w:rsidRPr="00877602" w:rsidRDefault="006B5C69" w:rsidP="006B5C69">
      <w:pPr>
        <w:rPr>
          <w:rFonts w:ascii="Times New Roman" w:hAnsi="Times New Roman"/>
        </w:rPr>
      </w:pPr>
    </w:p>
    <w:p w:rsidR="00FD2053" w:rsidRPr="00FD2053" w:rsidRDefault="00EA018D" w:rsidP="00FD2053">
      <w:pPr>
        <w:ind w:firstLine="720"/>
        <w:rPr>
          <w:rFonts w:ascii="Times New Roman" w:hAnsi="Times New Roman"/>
        </w:rPr>
      </w:pPr>
      <w:r w:rsidRPr="00877602">
        <w:rPr>
          <w:rFonts w:ascii="Times New Roman" w:hAnsi="Times New Roman"/>
        </w:rPr>
        <w:t>To determine respondent costs</w:t>
      </w:r>
      <w:r w:rsidR="006B5C69">
        <w:rPr>
          <w:rFonts w:ascii="Times New Roman" w:hAnsi="Times New Roman"/>
        </w:rPr>
        <w:t xml:space="preserve"> for recordkeeping and reporting</w:t>
      </w:r>
      <w:r w:rsidRPr="00877602">
        <w:rPr>
          <w:rFonts w:ascii="Times New Roman" w:hAnsi="Times New Roman"/>
        </w:rPr>
        <w:t>, EPA used a</w:t>
      </w:r>
      <w:r w:rsidR="00A94309" w:rsidRPr="00877602">
        <w:rPr>
          <w:rFonts w:ascii="Times New Roman" w:hAnsi="Times New Roman"/>
        </w:rPr>
        <w:t>n</w:t>
      </w:r>
      <w:r w:rsidRPr="00877602">
        <w:rPr>
          <w:rFonts w:ascii="Times New Roman" w:hAnsi="Times New Roman"/>
        </w:rPr>
        <w:t xml:space="preserve"> hourly industry wage </w:t>
      </w:r>
      <w:r w:rsidRPr="00E81735">
        <w:rPr>
          <w:rFonts w:ascii="Times New Roman" w:hAnsi="Times New Roman"/>
        </w:rPr>
        <w:t xml:space="preserve">rate </w:t>
      </w:r>
      <w:r w:rsidR="00D86252" w:rsidRPr="00E81735">
        <w:rPr>
          <w:rFonts w:ascii="Times New Roman" w:hAnsi="Times New Roman"/>
        </w:rPr>
        <w:t>of $100.86</w:t>
      </w:r>
      <w:r w:rsidRPr="00E81735">
        <w:rPr>
          <w:rFonts w:ascii="Times New Roman" w:hAnsi="Times New Roman"/>
        </w:rPr>
        <w:t xml:space="preserve"> per hour</w:t>
      </w:r>
      <w:r w:rsidR="00C837F7" w:rsidRPr="00E81735">
        <w:rPr>
          <w:rFonts w:ascii="Times New Roman" w:hAnsi="Times New Roman"/>
        </w:rPr>
        <w:t xml:space="preserve"> as described</w:t>
      </w:r>
      <w:r w:rsidR="00C837F7">
        <w:rPr>
          <w:rFonts w:ascii="Times New Roman" w:hAnsi="Times New Roman"/>
        </w:rPr>
        <w:t xml:space="preserve"> above</w:t>
      </w:r>
      <w:r w:rsidRPr="00877602">
        <w:rPr>
          <w:rFonts w:ascii="Times New Roman" w:hAnsi="Times New Roman"/>
        </w:rPr>
        <w:t>. Some activities, such as rule familiarization, are one time activities therefore total respondent burden hours indicated in Table II (below) may be overestimated.</w:t>
      </w:r>
      <w:r w:rsidR="008805A6">
        <w:rPr>
          <w:rFonts w:ascii="Times New Roman" w:hAnsi="Times New Roman"/>
        </w:rPr>
        <w:t xml:space="preserve">  This </w:t>
      </w:r>
      <w:r w:rsidR="000108B5">
        <w:rPr>
          <w:rFonts w:ascii="Times New Roman" w:hAnsi="Times New Roman"/>
        </w:rPr>
        <w:t>renewal</w:t>
      </w:r>
      <w:r w:rsidR="00FA566D">
        <w:rPr>
          <w:rFonts w:ascii="Times New Roman" w:hAnsi="Times New Roman"/>
        </w:rPr>
        <w:t xml:space="preserve">, as compared to the </w:t>
      </w:r>
      <w:r w:rsidR="000108B5">
        <w:rPr>
          <w:rFonts w:ascii="Times New Roman" w:hAnsi="Times New Roman"/>
        </w:rPr>
        <w:t xml:space="preserve">existing </w:t>
      </w:r>
      <w:r w:rsidR="00FA566D">
        <w:rPr>
          <w:rFonts w:ascii="Times New Roman" w:hAnsi="Times New Roman"/>
        </w:rPr>
        <w:t>ICR,</w:t>
      </w:r>
      <w:r w:rsidR="008805A6">
        <w:rPr>
          <w:rFonts w:ascii="Times New Roman" w:hAnsi="Times New Roman"/>
        </w:rPr>
        <w:t xml:space="preserve"> </w:t>
      </w:r>
      <w:r w:rsidR="00E81735">
        <w:rPr>
          <w:rFonts w:ascii="Times New Roman" w:hAnsi="Times New Roman"/>
        </w:rPr>
        <w:t>reduces the</w:t>
      </w:r>
      <w:r w:rsidR="008805A6">
        <w:rPr>
          <w:rFonts w:ascii="Times New Roman" w:hAnsi="Times New Roman"/>
        </w:rPr>
        <w:t xml:space="preserve"> expected </w:t>
      </w:r>
      <w:r w:rsidR="000108B5">
        <w:rPr>
          <w:rFonts w:ascii="Times New Roman" w:hAnsi="Times New Roman"/>
        </w:rPr>
        <w:t xml:space="preserve">burden for the </w:t>
      </w:r>
      <w:r w:rsidR="008805A6">
        <w:rPr>
          <w:rFonts w:ascii="Times New Roman" w:hAnsi="Times New Roman"/>
        </w:rPr>
        <w:t>respondents compiling and reporting data on an annual basis</w:t>
      </w:r>
      <w:r w:rsidR="00D055A9">
        <w:rPr>
          <w:rFonts w:ascii="Times New Roman" w:hAnsi="Times New Roman"/>
        </w:rPr>
        <w:t>. T</w:t>
      </w:r>
      <w:r w:rsidR="00E81735">
        <w:rPr>
          <w:rFonts w:ascii="Times New Roman" w:hAnsi="Times New Roman"/>
        </w:rPr>
        <w:t>he number of distributors of methyl bromide has decreased as the amount of critical use methyl bromide sold in the U.S. has decreased</w:t>
      </w:r>
      <w:r w:rsidR="008805A6">
        <w:rPr>
          <w:rFonts w:ascii="Times New Roman" w:hAnsi="Times New Roman"/>
        </w:rPr>
        <w:t xml:space="preserve">.  </w:t>
      </w:r>
      <w:r w:rsidR="00D055A9">
        <w:rPr>
          <w:rFonts w:ascii="Times New Roman" w:hAnsi="Times New Roman"/>
        </w:rPr>
        <w:t>Second, this ICR increases t</w:t>
      </w:r>
      <w:r w:rsidR="00E81735">
        <w:rPr>
          <w:rFonts w:ascii="Times New Roman" w:hAnsi="Times New Roman"/>
        </w:rPr>
        <w:t>he number of responses for quarterly reporting to more accurately reflect the number of responses EPA has received in recent years. Prior ICRs had estimated 4 quarterly reports per year per respondent, but some respondents submit more than 4 reports as they are producers, importers, and distributors and must file separate reports for each</w:t>
      </w:r>
      <w:r w:rsidR="00FB2121">
        <w:rPr>
          <w:rFonts w:ascii="Times New Roman" w:hAnsi="Times New Roman"/>
        </w:rPr>
        <w:t>.</w:t>
      </w:r>
      <w:r w:rsidR="00FD2053">
        <w:rPr>
          <w:rFonts w:ascii="Times New Roman" w:hAnsi="Times New Roman"/>
        </w:rPr>
        <w:t xml:space="preserve"> </w:t>
      </w:r>
      <w:r w:rsidR="00FD2053">
        <w:rPr>
          <w:rFonts w:ascii="Times New Roman" w:hAnsi="Times New Roman" w:cs="Courier"/>
        </w:rPr>
        <w:t>As discussed above, t</w:t>
      </w:r>
      <w:r w:rsidR="00FD2053" w:rsidRPr="00795F38">
        <w:rPr>
          <w:rFonts w:ascii="Times New Roman" w:hAnsi="Times New Roman" w:cs="Courier"/>
        </w:rPr>
        <w:t>he number of applications submitted</w:t>
      </w:r>
      <w:r w:rsidR="00FD2053">
        <w:rPr>
          <w:rFonts w:ascii="Times New Roman" w:hAnsi="Times New Roman" w:cs="Courier"/>
        </w:rPr>
        <w:t xml:space="preserve"> the last three years has declined.  This corresponds to a similar decrease in the end user universe which EPA now estimates to</w:t>
      </w:r>
      <w:r w:rsidR="00FD2053" w:rsidRPr="00FA0740">
        <w:rPr>
          <w:rFonts w:ascii="Times New Roman" w:hAnsi="Times New Roman" w:cs="Courier"/>
        </w:rPr>
        <w:t xml:space="preserve"> </w:t>
      </w:r>
      <w:r w:rsidR="00FD2053">
        <w:rPr>
          <w:rFonts w:ascii="Times New Roman" w:hAnsi="Times New Roman" w:cs="Courier"/>
        </w:rPr>
        <w:t xml:space="preserve">be </w:t>
      </w:r>
      <w:r w:rsidR="000261AD">
        <w:rPr>
          <w:rFonts w:ascii="Times New Roman" w:hAnsi="Times New Roman" w:cs="Courier"/>
        </w:rPr>
        <w:t xml:space="preserve">approximately </w:t>
      </w:r>
      <w:r w:rsidR="00FD2053" w:rsidRPr="00FA0740">
        <w:rPr>
          <w:rFonts w:ascii="Times New Roman" w:hAnsi="Times New Roman" w:cs="Courier"/>
        </w:rPr>
        <w:t>1800</w:t>
      </w:r>
      <w:r w:rsidR="00FD2053">
        <w:rPr>
          <w:rFonts w:ascii="Times New Roman" w:hAnsi="Times New Roman" w:cs="Courier"/>
        </w:rPr>
        <w:t xml:space="preserve">.  </w:t>
      </w:r>
    </w:p>
    <w:p w:rsidR="00980F17" w:rsidRDefault="00980F17" w:rsidP="00980F17">
      <w:pPr>
        <w:rPr>
          <w:rFonts w:ascii="Times New Roman" w:hAnsi="Times New Roman"/>
        </w:rPr>
      </w:pPr>
    </w:p>
    <w:p w:rsidR="00D055A9" w:rsidRPr="002B668C" w:rsidRDefault="00EA018D" w:rsidP="002B668C">
      <w:pPr>
        <w:jc w:val="center"/>
        <w:rPr>
          <w:rFonts w:ascii="Times New Roman" w:hAnsi="Times New Roman"/>
          <w:b/>
          <w:bCs/>
        </w:rPr>
      </w:pPr>
      <w:r w:rsidRPr="00127391">
        <w:rPr>
          <w:rFonts w:ascii="Times New Roman" w:hAnsi="Times New Roman"/>
          <w:b/>
          <w:bCs/>
        </w:rPr>
        <w:t>TABLE II- RESPONDENT BURDEN HOURS PER YEAR</w:t>
      </w:r>
    </w:p>
    <w:tbl>
      <w:tblPr>
        <w:tblW w:w="8920" w:type="dxa"/>
        <w:tblInd w:w="93" w:type="dxa"/>
        <w:tblLook w:val="04A0"/>
      </w:tblPr>
      <w:tblGrid>
        <w:gridCol w:w="3934"/>
        <w:gridCol w:w="1306"/>
        <w:gridCol w:w="1400"/>
        <w:gridCol w:w="1200"/>
        <w:gridCol w:w="1080"/>
      </w:tblGrid>
      <w:tr w:rsidR="003E3937" w:rsidRPr="003E3937" w:rsidTr="003E3937">
        <w:trPr>
          <w:trHeight w:val="510"/>
        </w:trPr>
        <w:tc>
          <w:tcPr>
            <w:tcW w:w="4060" w:type="dxa"/>
            <w:tcBorders>
              <w:top w:val="single" w:sz="8" w:space="0" w:color="auto"/>
              <w:left w:val="single" w:sz="8" w:space="0" w:color="auto"/>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b/>
                <w:bCs/>
                <w:sz w:val="20"/>
                <w:szCs w:val="20"/>
              </w:rPr>
            </w:pPr>
            <w:r w:rsidRPr="003E3937">
              <w:rPr>
                <w:rFonts w:ascii="Times New Roman" w:hAnsi="Times New Roman"/>
                <w:b/>
                <w:bCs/>
                <w:sz w:val="20"/>
                <w:szCs w:val="20"/>
              </w:rPr>
              <w:t>Collection Activity</w:t>
            </w:r>
          </w:p>
        </w:tc>
        <w:tc>
          <w:tcPr>
            <w:tcW w:w="1180" w:type="dxa"/>
            <w:tcBorders>
              <w:top w:val="single" w:sz="8" w:space="0" w:color="auto"/>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b/>
                <w:bCs/>
                <w:sz w:val="20"/>
                <w:szCs w:val="20"/>
              </w:rPr>
            </w:pPr>
            <w:r w:rsidRPr="003E3937">
              <w:rPr>
                <w:rFonts w:ascii="Times New Roman" w:hAnsi="Times New Roman"/>
                <w:b/>
                <w:bCs/>
                <w:sz w:val="20"/>
                <w:szCs w:val="20"/>
              </w:rPr>
              <w:t>No. of Respondents</w:t>
            </w:r>
          </w:p>
        </w:tc>
        <w:tc>
          <w:tcPr>
            <w:tcW w:w="1400" w:type="dxa"/>
            <w:tcBorders>
              <w:top w:val="single" w:sz="8" w:space="0" w:color="auto"/>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b/>
                <w:bCs/>
                <w:sz w:val="20"/>
                <w:szCs w:val="20"/>
              </w:rPr>
            </w:pPr>
            <w:r w:rsidRPr="003E3937">
              <w:rPr>
                <w:rFonts w:ascii="Times New Roman" w:hAnsi="Times New Roman"/>
                <w:b/>
                <w:bCs/>
                <w:sz w:val="20"/>
                <w:szCs w:val="20"/>
              </w:rPr>
              <w:t>Total No. of Responses</w:t>
            </w:r>
          </w:p>
        </w:tc>
        <w:tc>
          <w:tcPr>
            <w:tcW w:w="1200" w:type="dxa"/>
            <w:tcBorders>
              <w:top w:val="single" w:sz="8" w:space="0" w:color="auto"/>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b/>
                <w:bCs/>
                <w:sz w:val="20"/>
                <w:szCs w:val="20"/>
              </w:rPr>
            </w:pPr>
            <w:r w:rsidRPr="003E3937">
              <w:rPr>
                <w:rFonts w:ascii="Times New Roman" w:hAnsi="Times New Roman"/>
                <w:b/>
                <w:bCs/>
                <w:sz w:val="20"/>
                <w:szCs w:val="20"/>
              </w:rPr>
              <w:t>Hours per Response</w:t>
            </w:r>
          </w:p>
        </w:tc>
        <w:tc>
          <w:tcPr>
            <w:tcW w:w="1080" w:type="dxa"/>
            <w:tcBorders>
              <w:top w:val="single" w:sz="8" w:space="0" w:color="auto"/>
              <w:left w:val="nil"/>
              <w:bottom w:val="single" w:sz="4" w:space="0" w:color="auto"/>
              <w:right w:val="single" w:sz="8" w:space="0" w:color="auto"/>
            </w:tcBorders>
            <w:shd w:val="clear" w:color="auto" w:fill="auto"/>
            <w:hideMark/>
          </w:tcPr>
          <w:p w:rsidR="003E3937" w:rsidRPr="003E3937" w:rsidRDefault="003E3937" w:rsidP="003E3937">
            <w:pPr>
              <w:widowControl/>
              <w:autoSpaceDE/>
              <w:autoSpaceDN/>
              <w:adjustRightInd/>
              <w:rPr>
                <w:rFonts w:ascii="Times New Roman" w:hAnsi="Times New Roman"/>
                <w:b/>
                <w:bCs/>
                <w:sz w:val="20"/>
                <w:szCs w:val="20"/>
              </w:rPr>
            </w:pPr>
            <w:r w:rsidRPr="003E3937">
              <w:rPr>
                <w:rFonts w:ascii="Times New Roman" w:hAnsi="Times New Roman"/>
                <w:b/>
                <w:bCs/>
                <w:sz w:val="20"/>
                <w:szCs w:val="20"/>
              </w:rPr>
              <w:t>Total Hours</w:t>
            </w:r>
          </w:p>
        </w:tc>
      </w:tr>
      <w:tr w:rsidR="003E3937" w:rsidRPr="003E3937" w:rsidTr="003E3937">
        <w:trPr>
          <w:trHeight w:val="405"/>
        </w:trPr>
        <w:tc>
          <w:tcPr>
            <w:tcW w:w="8920" w:type="dxa"/>
            <w:gridSpan w:val="5"/>
            <w:tcBorders>
              <w:top w:val="single" w:sz="4" w:space="0" w:color="auto"/>
              <w:left w:val="single" w:sz="8" w:space="0" w:color="auto"/>
              <w:bottom w:val="double" w:sz="6" w:space="0" w:color="auto"/>
              <w:right w:val="single" w:sz="8" w:space="0" w:color="000000"/>
            </w:tcBorders>
            <w:shd w:val="clear" w:color="auto" w:fill="auto"/>
            <w:hideMark/>
          </w:tcPr>
          <w:p w:rsidR="003E3937" w:rsidRPr="003E3937" w:rsidRDefault="003E3937" w:rsidP="003E3937">
            <w:pPr>
              <w:widowControl/>
              <w:autoSpaceDE/>
              <w:autoSpaceDN/>
              <w:adjustRightInd/>
              <w:rPr>
                <w:rFonts w:ascii="Times New Roman" w:hAnsi="Times New Roman"/>
                <w:b/>
                <w:bCs/>
              </w:rPr>
            </w:pPr>
            <w:r w:rsidRPr="003E3937">
              <w:rPr>
                <w:rFonts w:ascii="Times New Roman" w:hAnsi="Times New Roman"/>
                <w:b/>
                <w:bCs/>
              </w:rPr>
              <w:t>i)  Applications</w:t>
            </w:r>
          </w:p>
        </w:tc>
      </w:tr>
      <w:tr w:rsidR="003E3937" w:rsidRPr="003E3937" w:rsidTr="003E3937">
        <w:trPr>
          <w:trHeight w:val="270"/>
        </w:trPr>
        <w:tc>
          <w:tcPr>
            <w:tcW w:w="4060" w:type="dxa"/>
            <w:tcBorders>
              <w:top w:val="nil"/>
              <w:left w:val="single" w:sz="8" w:space="0" w:color="auto"/>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sz w:val="20"/>
                <w:szCs w:val="20"/>
              </w:rPr>
            </w:pPr>
            <w:r w:rsidRPr="003E3937">
              <w:rPr>
                <w:rFonts w:ascii="Times New Roman" w:hAnsi="Times New Roman"/>
                <w:sz w:val="20"/>
                <w:szCs w:val="20"/>
              </w:rPr>
              <w:t>Read CAA Request for applications</w:t>
            </w:r>
          </w:p>
        </w:tc>
        <w:tc>
          <w:tcPr>
            <w:tcW w:w="118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40</w:t>
            </w:r>
          </w:p>
        </w:tc>
        <w:tc>
          <w:tcPr>
            <w:tcW w:w="14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40</w:t>
            </w:r>
          </w:p>
        </w:tc>
        <w:tc>
          <w:tcPr>
            <w:tcW w:w="12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0.5</w:t>
            </w:r>
          </w:p>
        </w:tc>
        <w:tc>
          <w:tcPr>
            <w:tcW w:w="1080" w:type="dxa"/>
            <w:tcBorders>
              <w:top w:val="nil"/>
              <w:left w:val="nil"/>
              <w:bottom w:val="single" w:sz="4" w:space="0" w:color="auto"/>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20</w:t>
            </w:r>
          </w:p>
        </w:tc>
      </w:tr>
      <w:tr w:rsidR="003E3937" w:rsidRPr="003E3937" w:rsidTr="003E3937">
        <w:trPr>
          <w:trHeight w:val="510"/>
        </w:trPr>
        <w:tc>
          <w:tcPr>
            <w:tcW w:w="4060" w:type="dxa"/>
            <w:tcBorders>
              <w:top w:val="nil"/>
              <w:left w:val="single" w:sz="8" w:space="0" w:color="auto"/>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sz w:val="20"/>
                <w:szCs w:val="20"/>
              </w:rPr>
            </w:pPr>
            <w:r w:rsidRPr="003E3937">
              <w:rPr>
                <w:rFonts w:ascii="Times New Roman" w:hAnsi="Times New Roman"/>
                <w:sz w:val="20"/>
                <w:szCs w:val="20"/>
              </w:rPr>
              <w:t>Process, compile, and review the requested data for accuracy and appropriateness</w:t>
            </w:r>
          </w:p>
        </w:tc>
        <w:tc>
          <w:tcPr>
            <w:tcW w:w="118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40</w:t>
            </w:r>
          </w:p>
        </w:tc>
        <w:tc>
          <w:tcPr>
            <w:tcW w:w="14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40</w:t>
            </w:r>
          </w:p>
        </w:tc>
        <w:tc>
          <w:tcPr>
            <w:tcW w:w="12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30</w:t>
            </w:r>
          </w:p>
        </w:tc>
        <w:tc>
          <w:tcPr>
            <w:tcW w:w="1080" w:type="dxa"/>
            <w:tcBorders>
              <w:top w:val="nil"/>
              <w:left w:val="nil"/>
              <w:bottom w:val="single" w:sz="4" w:space="0" w:color="auto"/>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1200</w:t>
            </w:r>
          </w:p>
        </w:tc>
      </w:tr>
      <w:tr w:rsidR="003E3937" w:rsidRPr="003E3937" w:rsidTr="003E3937">
        <w:trPr>
          <w:trHeight w:val="510"/>
        </w:trPr>
        <w:tc>
          <w:tcPr>
            <w:tcW w:w="4060" w:type="dxa"/>
            <w:tcBorders>
              <w:top w:val="nil"/>
              <w:left w:val="single" w:sz="8" w:space="0" w:color="auto"/>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sz w:val="20"/>
                <w:szCs w:val="20"/>
              </w:rPr>
            </w:pPr>
            <w:r w:rsidRPr="003E3937">
              <w:rPr>
                <w:rFonts w:ascii="Times New Roman" w:hAnsi="Times New Roman"/>
                <w:sz w:val="20"/>
                <w:szCs w:val="20"/>
              </w:rPr>
              <w:t>Generate application correspondence (and any follow-up information requested)</w:t>
            </w:r>
          </w:p>
        </w:tc>
        <w:tc>
          <w:tcPr>
            <w:tcW w:w="118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40</w:t>
            </w:r>
          </w:p>
        </w:tc>
        <w:tc>
          <w:tcPr>
            <w:tcW w:w="14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40</w:t>
            </w:r>
          </w:p>
        </w:tc>
        <w:tc>
          <w:tcPr>
            <w:tcW w:w="12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7</w:t>
            </w:r>
          </w:p>
        </w:tc>
        <w:tc>
          <w:tcPr>
            <w:tcW w:w="1080" w:type="dxa"/>
            <w:tcBorders>
              <w:top w:val="nil"/>
              <w:left w:val="nil"/>
              <w:bottom w:val="single" w:sz="4" w:space="0" w:color="auto"/>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280</w:t>
            </w:r>
          </w:p>
        </w:tc>
      </w:tr>
      <w:tr w:rsidR="003E3937" w:rsidRPr="003E3937" w:rsidTr="003E3937">
        <w:trPr>
          <w:trHeight w:val="270"/>
        </w:trPr>
        <w:tc>
          <w:tcPr>
            <w:tcW w:w="4060" w:type="dxa"/>
            <w:tcBorders>
              <w:top w:val="nil"/>
              <w:left w:val="single" w:sz="8" w:space="0" w:color="auto"/>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sz w:val="20"/>
                <w:szCs w:val="20"/>
              </w:rPr>
            </w:pPr>
            <w:r w:rsidRPr="003E3937">
              <w:rPr>
                <w:rFonts w:ascii="Times New Roman" w:hAnsi="Times New Roman"/>
                <w:sz w:val="20"/>
                <w:szCs w:val="20"/>
              </w:rPr>
              <w:t>Store, file, or maintain the information</w:t>
            </w:r>
          </w:p>
        </w:tc>
        <w:tc>
          <w:tcPr>
            <w:tcW w:w="1180" w:type="dxa"/>
            <w:tcBorders>
              <w:top w:val="nil"/>
              <w:left w:val="nil"/>
              <w:bottom w:val="nil"/>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40</w:t>
            </w:r>
          </w:p>
        </w:tc>
        <w:tc>
          <w:tcPr>
            <w:tcW w:w="1400" w:type="dxa"/>
            <w:tcBorders>
              <w:top w:val="nil"/>
              <w:left w:val="nil"/>
              <w:bottom w:val="nil"/>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40</w:t>
            </w:r>
          </w:p>
        </w:tc>
        <w:tc>
          <w:tcPr>
            <w:tcW w:w="12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0.5</w:t>
            </w:r>
          </w:p>
        </w:tc>
        <w:tc>
          <w:tcPr>
            <w:tcW w:w="1080" w:type="dxa"/>
            <w:tcBorders>
              <w:top w:val="nil"/>
              <w:left w:val="nil"/>
              <w:bottom w:val="single" w:sz="4" w:space="0" w:color="auto"/>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20</w:t>
            </w:r>
          </w:p>
        </w:tc>
      </w:tr>
      <w:tr w:rsidR="003E3937" w:rsidRPr="003E3937" w:rsidTr="003E3937">
        <w:trPr>
          <w:trHeight w:val="270"/>
        </w:trPr>
        <w:tc>
          <w:tcPr>
            <w:tcW w:w="4060" w:type="dxa"/>
            <w:tcBorders>
              <w:top w:val="single" w:sz="8" w:space="0" w:color="auto"/>
              <w:left w:val="single" w:sz="8" w:space="0" w:color="auto"/>
              <w:bottom w:val="single" w:sz="8"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b/>
                <w:bCs/>
                <w:sz w:val="20"/>
                <w:szCs w:val="20"/>
              </w:rPr>
            </w:pPr>
            <w:r w:rsidRPr="003E3937">
              <w:rPr>
                <w:rFonts w:ascii="Times New Roman" w:hAnsi="Times New Roman"/>
                <w:b/>
                <w:bCs/>
                <w:sz w:val="20"/>
                <w:szCs w:val="20"/>
              </w:rPr>
              <w:t>Total burden for applications</w:t>
            </w:r>
          </w:p>
        </w:tc>
        <w:tc>
          <w:tcPr>
            <w:tcW w:w="1180" w:type="dxa"/>
            <w:tcBorders>
              <w:top w:val="single" w:sz="8" w:space="0" w:color="auto"/>
              <w:left w:val="nil"/>
              <w:bottom w:val="single" w:sz="8"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b/>
                <w:bCs/>
                <w:sz w:val="20"/>
                <w:szCs w:val="20"/>
              </w:rPr>
            </w:pPr>
            <w:r w:rsidRPr="003E3937">
              <w:rPr>
                <w:rFonts w:ascii="Times New Roman" w:hAnsi="Times New Roman"/>
                <w:b/>
                <w:bCs/>
                <w:sz w:val="20"/>
                <w:szCs w:val="20"/>
              </w:rPr>
              <w:t>40</w:t>
            </w:r>
          </w:p>
        </w:tc>
        <w:tc>
          <w:tcPr>
            <w:tcW w:w="1400" w:type="dxa"/>
            <w:tcBorders>
              <w:top w:val="single" w:sz="8" w:space="0" w:color="auto"/>
              <w:left w:val="nil"/>
              <w:bottom w:val="single" w:sz="8"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b/>
                <w:bCs/>
                <w:sz w:val="20"/>
                <w:szCs w:val="20"/>
              </w:rPr>
            </w:pPr>
            <w:r w:rsidRPr="003E3937">
              <w:rPr>
                <w:rFonts w:ascii="Times New Roman" w:hAnsi="Times New Roman"/>
                <w:b/>
                <w:bCs/>
                <w:sz w:val="20"/>
                <w:szCs w:val="20"/>
              </w:rPr>
              <w:t>40</w:t>
            </w:r>
          </w:p>
        </w:tc>
        <w:tc>
          <w:tcPr>
            <w:tcW w:w="1200" w:type="dxa"/>
            <w:tcBorders>
              <w:top w:val="single" w:sz="8" w:space="0" w:color="auto"/>
              <w:left w:val="nil"/>
              <w:bottom w:val="single" w:sz="8"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b/>
                <w:bCs/>
                <w:sz w:val="20"/>
                <w:szCs w:val="20"/>
              </w:rPr>
            </w:pPr>
            <w:r w:rsidRPr="003E3937">
              <w:rPr>
                <w:rFonts w:ascii="Times New Roman" w:hAnsi="Times New Roman"/>
                <w:b/>
                <w:bCs/>
                <w:sz w:val="20"/>
                <w:szCs w:val="20"/>
              </w:rPr>
              <w:t>38</w:t>
            </w:r>
          </w:p>
        </w:tc>
        <w:tc>
          <w:tcPr>
            <w:tcW w:w="1080" w:type="dxa"/>
            <w:tcBorders>
              <w:top w:val="single" w:sz="8" w:space="0" w:color="auto"/>
              <w:left w:val="nil"/>
              <w:bottom w:val="single" w:sz="8" w:space="0" w:color="auto"/>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b/>
                <w:bCs/>
                <w:sz w:val="20"/>
                <w:szCs w:val="20"/>
              </w:rPr>
            </w:pPr>
            <w:r w:rsidRPr="003E3937">
              <w:rPr>
                <w:rFonts w:ascii="Times New Roman" w:hAnsi="Times New Roman"/>
                <w:b/>
                <w:bCs/>
                <w:sz w:val="20"/>
                <w:szCs w:val="20"/>
              </w:rPr>
              <w:t>1,520</w:t>
            </w:r>
          </w:p>
        </w:tc>
      </w:tr>
      <w:tr w:rsidR="003E3937" w:rsidRPr="003E3937" w:rsidTr="003E3937">
        <w:trPr>
          <w:trHeight w:val="270"/>
        </w:trPr>
        <w:tc>
          <w:tcPr>
            <w:tcW w:w="8920" w:type="dxa"/>
            <w:gridSpan w:val="5"/>
            <w:tcBorders>
              <w:top w:val="single" w:sz="8" w:space="0" w:color="auto"/>
              <w:left w:val="single" w:sz="8" w:space="0" w:color="auto"/>
              <w:bottom w:val="single" w:sz="8" w:space="0" w:color="auto"/>
              <w:right w:val="single" w:sz="8" w:space="0" w:color="000000"/>
            </w:tcBorders>
            <w:shd w:val="clear" w:color="000000" w:fill="C0C0C0"/>
            <w:hideMark/>
          </w:tcPr>
          <w:p w:rsidR="003E3937" w:rsidRPr="003E3937" w:rsidRDefault="003E3937" w:rsidP="003E3937">
            <w:pPr>
              <w:widowControl/>
              <w:autoSpaceDE/>
              <w:autoSpaceDN/>
              <w:adjustRightInd/>
              <w:rPr>
                <w:rFonts w:ascii="Times New Roman" w:hAnsi="Times New Roman"/>
                <w:b/>
                <w:bCs/>
                <w:sz w:val="20"/>
                <w:szCs w:val="20"/>
              </w:rPr>
            </w:pPr>
            <w:r w:rsidRPr="003E3937">
              <w:rPr>
                <w:rFonts w:ascii="Times New Roman" w:hAnsi="Times New Roman"/>
                <w:b/>
                <w:bCs/>
                <w:sz w:val="20"/>
                <w:szCs w:val="20"/>
              </w:rPr>
              <w:t> </w:t>
            </w:r>
          </w:p>
        </w:tc>
      </w:tr>
      <w:tr w:rsidR="003E3937" w:rsidRPr="003E3937" w:rsidTr="003E3937">
        <w:trPr>
          <w:trHeight w:val="345"/>
        </w:trPr>
        <w:tc>
          <w:tcPr>
            <w:tcW w:w="8920" w:type="dxa"/>
            <w:gridSpan w:val="5"/>
            <w:tcBorders>
              <w:top w:val="nil"/>
              <w:left w:val="single" w:sz="8" w:space="0" w:color="auto"/>
              <w:bottom w:val="double" w:sz="6" w:space="0" w:color="auto"/>
              <w:right w:val="single" w:sz="8" w:space="0" w:color="000000"/>
            </w:tcBorders>
            <w:shd w:val="clear" w:color="auto" w:fill="auto"/>
            <w:hideMark/>
          </w:tcPr>
          <w:p w:rsidR="003E3937" w:rsidRPr="003E3937" w:rsidRDefault="003E3937" w:rsidP="003E3937">
            <w:pPr>
              <w:widowControl/>
              <w:autoSpaceDE/>
              <w:autoSpaceDN/>
              <w:adjustRightInd/>
              <w:rPr>
                <w:rFonts w:ascii="Times New Roman" w:hAnsi="Times New Roman"/>
                <w:b/>
                <w:bCs/>
              </w:rPr>
            </w:pPr>
            <w:r w:rsidRPr="003E3937">
              <w:rPr>
                <w:rFonts w:ascii="Times New Roman" w:hAnsi="Times New Roman"/>
                <w:b/>
                <w:bCs/>
              </w:rPr>
              <w:t>ii)  Recordkeeping and Reporting</w:t>
            </w:r>
          </w:p>
        </w:tc>
      </w:tr>
      <w:tr w:rsidR="003E3937" w:rsidRPr="003E3937" w:rsidTr="003E3937">
        <w:trPr>
          <w:trHeight w:val="270"/>
        </w:trPr>
        <w:tc>
          <w:tcPr>
            <w:tcW w:w="4060" w:type="dxa"/>
            <w:tcBorders>
              <w:top w:val="nil"/>
              <w:left w:val="single" w:sz="8" w:space="0" w:color="auto"/>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sz w:val="20"/>
                <w:szCs w:val="20"/>
              </w:rPr>
            </w:pPr>
            <w:r w:rsidRPr="003E3937">
              <w:rPr>
                <w:rFonts w:ascii="Times New Roman" w:hAnsi="Times New Roman"/>
                <w:sz w:val="20"/>
                <w:szCs w:val="20"/>
              </w:rPr>
              <w:t>Rule Familiarization</w:t>
            </w:r>
          </w:p>
        </w:tc>
        <w:tc>
          <w:tcPr>
            <w:tcW w:w="118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75</w:t>
            </w:r>
          </w:p>
        </w:tc>
        <w:tc>
          <w:tcPr>
            <w:tcW w:w="14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75</w:t>
            </w:r>
          </w:p>
        </w:tc>
        <w:tc>
          <w:tcPr>
            <w:tcW w:w="12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2</w:t>
            </w:r>
          </w:p>
        </w:tc>
        <w:tc>
          <w:tcPr>
            <w:tcW w:w="1080" w:type="dxa"/>
            <w:tcBorders>
              <w:top w:val="single" w:sz="4" w:space="0" w:color="auto"/>
              <w:left w:val="nil"/>
              <w:bottom w:val="single" w:sz="4" w:space="0" w:color="auto"/>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150</w:t>
            </w:r>
          </w:p>
        </w:tc>
      </w:tr>
      <w:tr w:rsidR="003E3937" w:rsidRPr="003E3937" w:rsidTr="003E3937">
        <w:trPr>
          <w:trHeight w:val="255"/>
        </w:trPr>
        <w:tc>
          <w:tcPr>
            <w:tcW w:w="4060" w:type="dxa"/>
            <w:tcBorders>
              <w:top w:val="nil"/>
              <w:left w:val="single" w:sz="8" w:space="0" w:color="auto"/>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sz w:val="20"/>
                <w:szCs w:val="20"/>
              </w:rPr>
            </w:pPr>
            <w:r w:rsidRPr="003E3937">
              <w:rPr>
                <w:rFonts w:ascii="Times New Roman" w:hAnsi="Times New Roman"/>
                <w:sz w:val="20"/>
                <w:szCs w:val="20"/>
              </w:rPr>
              <w:t>Data Compilation (quarterly basis)</w:t>
            </w:r>
          </w:p>
        </w:tc>
        <w:tc>
          <w:tcPr>
            <w:tcW w:w="118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4</w:t>
            </w:r>
          </w:p>
        </w:tc>
        <w:tc>
          <w:tcPr>
            <w:tcW w:w="14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40</w:t>
            </w:r>
          </w:p>
        </w:tc>
        <w:tc>
          <w:tcPr>
            <w:tcW w:w="12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4</w:t>
            </w:r>
          </w:p>
        </w:tc>
        <w:tc>
          <w:tcPr>
            <w:tcW w:w="1080" w:type="dxa"/>
            <w:tcBorders>
              <w:top w:val="nil"/>
              <w:left w:val="nil"/>
              <w:bottom w:val="single" w:sz="4" w:space="0" w:color="auto"/>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160</w:t>
            </w:r>
          </w:p>
        </w:tc>
      </w:tr>
      <w:tr w:rsidR="003E3937" w:rsidRPr="003E3937" w:rsidTr="003E3937">
        <w:trPr>
          <w:trHeight w:val="255"/>
        </w:trPr>
        <w:tc>
          <w:tcPr>
            <w:tcW w:w="4060" w:type="dxa"/>
            <w:tcBorders>
              <w:top w:val="nil"/>
              <w:left w:val="single" w:sz="8" w:space="0" w:color="auto"/>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sz w:val="20"/>
                <w:szCs w:val="20"/>
              </w:rPr>
            </w:pPr>
            <w:r w:rsidRPr="003E3937">
              <w:rPr>
                <w:rFonts w:ascii="Times New Roman" w:hAnsi="Times New Roman"/>
                <w:sz w:val="20"/>
                <w:szCs w:val="20"/>
              </w:rPr>
              <w:t>Data Compilation (annual basis)</w:t>
            </w:r>
          </w:p>
        </w:tc>
        <w:tc>
          <w:tcPr>
            <w:tcW w:w="118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75</w:t>
            </w:r>
          </w:p>
        </w:tc>
        <w:tc>
          <w:tcPr>
            <w:tcW w:w="14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75</w:t>
            </w:r>
          </w:p>
        </w:tc>
        <w:tc>
          <w:tcPr>
            <w:tcW w:w="12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8.5</w:t>
            </w:r>
          </w:p>
        </w:tc>
        <w:tc>
          <w:tcPr>
            <w:tcW w:w="1080" w:type="dxa"/>
            <w:tcBorders>
              <w:top w:val="nil"/>
              <w:left w:val="nil"/>
              <w:bottom w:val="single" w:sz="4" w:space="0" w:color="auto"/>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637.5</w:t>
            </w:r>
          </w:p>
        </w:tc>
      </w:tr>
      <w:tr w:rsidR="003E3937" w:rsidRPr="003E3937" w:rsidTr="003E3937">
        <w:trPr>
          <w:trHeight w:val="255"/>
        </w:trPr>
        <w:tc>
          <w:tcPr>
            <w:tcW w:w="4060" w:type="dxa"/>
            <w:tcBorders>
              <w:top w:val="nil"/>
              <w:left w:val="single" w:sz="8" w:space="0" w:color="auto"/>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sz w:val="20"/>
                <w:szCs w:val="20"/>
              </w:rPr>
            </w:pPr>
            <w:r w:rsidRPr="003E3937">
              <w:rPr>
                <w:rFonts w:ascii="Times New Roman" w:hAnsi="Times New Roman"/>
                <w:sz w:val="20"/>
                <w:szCs w:val="20"/>
              </w:rPr>
              <w:t>Data Reporting (quarterly basis)</w:t>
            </w:r>
          </w:p>
        </w:tc>
        <w:tc>
          <w:tcPr>
            <w:tcW w:w="118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4</w:t>
            </w:r>
          </w:p>
        </w:tc>
        <w:tc>
          <w:tcPr>
            <w:tcW w:w="14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40</w:t>
            </w:r>
          </w:p>
        </w:tc>
        <w:tc>
          <w:tcPr>
            <w:tcW w:w="12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0.5</w:t>
            </w:r>
          </w:p>
        </w:tc>
        <w:tc>
          <w:tcPr>
            <w:tcW w:w="1080" w:type="dxa"/>
            <w:tcBorders>
              <w:top w:val="nil"/>
              <w:left w:val="nil"/>
              <w:bottom w:val="single" w:sz="4" w:space="0" w:color="auto"/>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20</w:t>
            </w:r>
          </w:p>
        </w:tc>
      </w:tr>
      <w:tr w:rsidR="003E3937" w:rsidRPr="003E3937" w:rsidTr="003E3937">
        <w:trPr>
          <w:trHeight w:val="255"/>
        </w:trPr>
        <w:tc>
          <w:tcPr>
            <w:tcW w:w="4060" w:type="dxa"/>
            <w:tcBorders>
              <w:top w:val="nil"/>
              <w:left w:val="single" w:sz="8" w:space="0" w:color="auto"/>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sz w:val="20"/>
                <w:szCs w:val="20"/>
              </w:rPr>
            </w:pPr>
            <w:r w:rsidRPr="003E3937">
              <w:rPr>
                <w:rFonts w:ascii="Times New Roman" w:hAnsi="Times New Roman"/>
                <w:sz w:val="20"/>
                <w:szCs w:val="20"/>
              </w:rPr>
              <w:t>Data Reporting (annual basis)</w:t>
            </w:r>
          </w:p>
        </w:tc>
        <w:tc>
          <w:tcPr>
            <w:tcW w:w="118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75</w:t>
            </w:r>
          </w:p>
        </w:tc>
        <w:tc>
          <w:tcPr>
            <w:tcW w:w="14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75</w:t>
            </w:r>
          </w:p>
        </w:tc>
        <w:tc>
          <w:tcPr>
            <w:tcW w:w="12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1</w:t>
            </w:r>
          </w:p>
        </w:tc>
        <w:tc>
          <w:tcPr>
            <w:tcW w:w="1080" w:type="dxa"/>
            <w:tcBorders>
              <w:top w:val="nil"/>
              <w:left w:val="nil"/>
              <w:bottom w:val="single" w:sz="4" w:space="0" w:color="auto"/>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75</w:t>
            </w:r>
          </w:p>
        </w:tc>
      </w:tr>
      <w:tr w:rsidR="003E3937" w:rsidRPr="003E3937" w:rsidTr="003E3937">
        <w:trPr>
          <w:trHeight w:val="255"/>
        </w:trPr>
        <w:tc>
          <w:tcPr>
            <w:tcW w:w="4060" w:type="dxa"/>
            <w:tcBorders>
              <w:top w:val="nil"/>
              <w:left w:val="single" w:sz="8" w:space="0" w:color="auto"/>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sz w:val="20"/>
                <w:szCs w:val="20"/>
              </w:rPr>
            </w:pPr>
            <w:r w:rsidRPr="003E3937">
              <w:rPr>
                <w:rFonts w:ascii="Times New Roman" w:hAnsi="Times New Roman"/>
                <w:sz w:val="20"/>
                <w:szCs w:val="20"/>
              </w:rPr>
              <w:t>Reporting on Allowance Trading Activities</w:t>
            </w:r>
          </w:p>
        </w:tc>
        <w:tc>
          <w:tcPr>
            <w:tcW w:w="118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4</w:t>
            </w:r>
          </w:p>
        </w:tc>
        <w:tc>
          <w:tcPr>
            <w:tcW w:w="14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16</w:t>
            </w:r>
          </w:p>
        </w:tc>
        <w:tc>
          <w:tcPr>
            <w:tcW w:w="12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0.5</w:t>
            </w:r>
          </w:p>
        </w:tc>
        <w:tc>
          <w:tcPr>
            <w:tcW w:w="1080" w:type="dxa"/>
            <w:tcBorders>
              <w:top w:val="nil"/>
              <w:left w:val="nil"/>
              <w:bottom w:val="single" w:sz="4" w:space="0" w:color="auto"/>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8</w:t>
            </w:r>
          </w:p>
        </w:tc>
      </w:tr>
      <w:tr w:rsidR="003E3937" w:rsidRPr="003E3937" w:rsidTr="003E3937">
        <w:trPr>
          <w:trHeight w:val="510"/>
        </w:trPr>
        <w:tc>
          <w:tcPr>
            <w:tcW w:w="4060" w:type="dxa"/>
            <w:tcBorders>
              <w:top w:val="nil"/>
              <w:left w:val="single" w:sz="8" w:space="0" w:color="auto"/>
              <w:bottom w:val="nil"/>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sz w:val="20"/>
                <w:szCs w:val="20"/>
              </w:rPr>
            </w:pPr>
            <w:r w:rsidRPr="003E3937">
              <w:rPr>
                <w:rFonts w:ascii="Times New Roman" w:hAnsi="Times New Roman"/>
                <w:sz w:val="20"/>
                <w:szCs w:val="20"/>
              </w:rPr>
              <w:t>Responding to periodic questions regarding CUE program and fumigation industry</w:t>
            </w:r>
          </w:p>
        </w:tc>
        <w:tc>
          <w:tcPr>
            <w:tcW w:w="1180" w:type="dxa"/>
            <w:tcBorders>
              <w:top w:val="nil"/>
              <w:left w:val="nil"/>
              <w:bottom w:val="nil"/>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75</w:t>
            </w:r>
          </w:p>
        </w:tc>
        <w:tc>
          <w:tcPr>
            <w:tcW w:w="1400" w:type="dxa"/>
            <w:tcBorders>
              <w:top w:val="nil"/>
              <w:left w:val="nil"/>
              <w:bottom w:val="nil"/>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75</w:t>
            </w:r>
          </w:p>
        </w:tc>
        <w:tc>
          <w:tcPr>
            <w:tcW w:w="1200" w:type="dxa"/>
            <w:tcBorders>
              <w:top w:val="nil"/>
              <w:left w:val="nil"/>
              <w:bottom w:val="nil"/>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1</w:t>
            </w:r>
          </w:p>
        </w:tc>
        <w:tc>
          <w:tcPr>
            <w:tcW w:w="1080" w:type="dxa"/>
            <w:tcBorders>
              <w:top w:val="nil"/>
              <w:left w:val="nil"/>
              <w:bottom w:val="nil"/>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75</w:t>
            </w:r>
          </w:p>
        </w:tc>
      </w:tr>
      <w:tr w:rsidR="003E3937" w:rsidRPr="003E3937" w:rsidTr="003E3937">
        <w:trPr>
          <w:trHeight w:val="510"/>
        </w:trPr>
        <w:tc>
          <w:tcPr>
            <w:tcW w:w="4060" w:type="dxa"/>
            <w:tcBorders>
              <w:top w:val="single" w:sz="4" w:space="0" w:color="auto"/>
              <w:left w:val="single" w:sz="8" w:space="0" w:color="auto"/>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sz w:val="20"/>
                <w:szCs w:val="20"/>
              </w:rPr>
            </w:pPr>
            <w:r w:rsidRPr="003E3937">
              <w:rPr>
                <w:rFonts w:ascii="Times New Roman" w:hAnsi="Times New Roman"/>
                <w:sz w:val="20"/>
                <w:szCs w:val="20"/>
              </w:rPr>
              <w:t xml:space="preserve">Self Certification Activities by Producers, Importers, and Distributors </w:t>
            </w:r>
          </w:p>
        </w:tc>
        <w:tc>
          <w:tcPr>
            <w:tcW w:w="1180" w:type="dxa"/>
            <w:tcBorders>
              <w:top w:val="single" w:sz="4" w:space="0" w:color="auto"/>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75</w:t>
            </w:r>
          </w:p>
        </w:tc>
        <w:tc>
          <w:tcPr>
            <w:tcW w:w="1400" w:type="dxa"/>
            <w:tcBorders>
              <w:top w:val="single" w:sz="4" w:space="0" w:color="auto"/>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150</w:t>
            </w:r>
          </w:p>
        </w:tc>
        <w:tc>
          <w:tcPr>
            <w:tcW w:w="1200" w:type="dxa"/>
            <w:tcBorders>
              <w:top w:val="single" w:sz="4" w:space="0" w:color="auto"/>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0.25</w:t>
            </w:r>
          </w:p>
        </w:tc>
        <w:tc>
          <w:tcPr>
            <w:tcW w:w="1080" w:type="dxa"/>
            <w:tcBorders>
              <w:top w:val="single" w:sz="4" w:space="0" w:color="auto"/>
              <w:left w:val="nil"/>
              <w:bottom w:val="single" w:sz="4" w:space="0" w:color="auto"/>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37.5</w:t>
            </w:r>
          </w:p>
        </w:tc>
      </w:tr>
      <w:tr w:rsidR="003E3937" w:rsidRPr="003E3937" w:rsidTr="003E3937">
        <w:trPr>
          <w:trHeight w:val="270"/>
        </w:trPr>
        <w:tc>
          <w:tcPr>
            <w:tcW w:w="4060" w:type="dxa"/>
            <w:tcBorders>
              <w:top w:val="nil"/>
              <w:left w:val="single" w:sz="8" w:space="0" w:color="auto"/>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sz w:val="20"/>
                <w:szCs w:val="20"/>
              </w:rPr>
            </w:pPr>
            <w:r w:rsidRPr="003E3937">
              <w:rPr>
                <w:rFonts w:ascii="Times New Roman" w:hAnsi="Times New Roman"/>
                <w:sz w:val="20"/>
                <w:szCs w:val="20"/>
              </w:rPr>
              <w:lastRenderedPageBreak/>
              <w:t xml:space="preserve">Self Certification Activities by End Users </w:t>
            </w:r>
          </w:p>
        </w:tc>
        <w:tc>
          <w:tcPr>
            <w:tcW w:w="118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1,800</w:t>
            </w:r>
          </w:p>
        </w:tc>
        <w:tc>
          <w:tcPr>
            <w:tcW w:w="14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2,300</w:t>
            </w:r>
          </w:p>
        </w:tc>
        <w:tc>
          <w:tcPr>
            <w:tcW w:w="1200" w:type="dxa"/>
            <w:tcBorders>
              <w:top w:val="nil"/>
              <w:left w:val="nil"/>
              <w:bottom w:val="single" w:sz="4"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0.25</w:t>
            </w:r>
          </w:p>
        </w:tc>
        <w:tc>
          <w:tcPr>
            <w:tcW w:w="1080" w:type="dxa"/>
            <w:tcBorders>
              <w:top w:val="nil"/>
              <w:left w:val="nil"/>
              <w:bottom w:val="single" w:sz="4" w:space="0" w:color="auto"/>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sz w:val="20"/>
                <w:szCs w:val="20"/>
              </w:rPr>
            </w:pPr>
            <w:r w:rsidRPr="003E3937">
              <w:rPr>
                <w:rFonts w:ascii="Times New Roman" w:hAnsi="Times New Roman"/>
                <w:sz w:val="20"/>
                <w:szCs w:val="20"/>
              </w:rPr>
              <w:t>575</w:t>
            </w:r>
          </w:p>
        </w:tc>
      </w:tr>
      <w:tr w:rsidR="003E3937" w:rsidRPr="003E3937" w:rsidTr="003E3937">
        <w:trPr>
          <w:trHeight w:val="270"/>
        </w:trPr>
        <w:tc>
          <w:tcPr>
            <w:tcW w:w="4060" w:type="dxa"/>
            <w:tcBorders>
              <w:top w:val="single" w:sz="8" w:space="0" w:color="auto"/>
              <w:left w:val="single" w:sz="8" w:space="0" w:color="auto"/>
              <w:bottom w:val="single" w:sz="8" w:space="0" w:color="auto"/>
              <w:right w:val="single" w:sz="4" w:space="0" w:color="auto"/>
            </w:tcBorders>
            <w:shd w:val="clear" w:color="auto" w:fill="auto"/>
            <w:hideMark/>
          </w:tcPr>
          <w:p w:rsidR="003E3937" w:rsidRPr="003E3937" w:rsidRDefault="003E3937" w:rsidP="003E3937">
            <w:pPr>
              <w:widowControl/>
              <w:autoSpaceDE/>
              <w:autoSpaceDN/>
              <w:adjustRightInd/>
              <w:rPr>
                <w:rFonts w:ascii="Times New Roman" w:hAnsi="Times New Roman"/>
                <w:b/>
                <w:bCs/>
                <w:sz w:val="20"/>
                <w:szCs w:val="20"/>
              </w:rPr>
            </w:pPr>
            <w:r w:rsidRPr="003E3937">
              <w:rPr>
                <w:rFonts w:ascii="Times New Roman" w:hAnsi="Times New Roman"/>
                <w:b/>
                <w:bCs/>
                <w:sz w:val="20"/>
                <w:szCs w:val="20"/>
              </w:rPr>
              <w:t>Total Burden for reporting and recordkeeping</w:t>
            </w:r>
          </w:p>
        </w:tc>
        <w:tc>
          <w:tcPr>
            <w:tcW w:w="1180" w:type="dxa"/>
            <w:tcBorders>
              <w:top w:val="single" w:sz="8" w:space="0" w:color="auto"/>
              <w:left w:val="nil"/>
              <w:bottom w:val="single" w:sz="8"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b/>
                <w:bCs/>
                <w:sz w:val="20"/>
                <w:szCs w:val="20"/>
              </w:rPr>
            </w:pPr>
            <w:r w:rsidRPr="003E3937">
              <w:rPr>
                <w:rFonts w:ascii="Times New Roman" w:hAnsi="Times New Roman"/>
                <w:b/>
                <w:bCs/>
                <w:sz w:val="20"/>
                <w:szCs w:val="20"/>
              </w:rPr>
              <w:t>1,879</w:t>
            </w:r>
          </w:p>
        </w:tc>
        <w:tc>
          <w:tcPr>
            <w:tcW w:w="1400" w:type="dxa"/>
            <w:tcBorders>
              <w:top w:val="single" w:sz="8" w:space="0" w:color="auto"/>
              <w:left w:val="nil"/>
              <w:bottom w:val="single" w:sz="8"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b/>
                <w:bCs/>
                <w:sz w:val="20"/>
                <w:szCs w:val="20"/>
              </w:rPr>
            </w:pPr>
            <w:r w:rsidRPr="003E3937">
              <w:rPr>
                <w:rFonts w:ascii="Times New Roman" w:hAnsi="Times New Roman"/>
                <w:b/>
                <w:bCs/>
                <w:sz w:val="20"/>
                <w:szCs w:val="20"/>
              </w:rPr>
              <w:t>2846</w:t>
            </w:r>
          </w:p>
        </w:tc>
        <w:tc>
          <w:tcPr>
            <w:tcW w:w="1200" w:type="dxa"/>
            <w:tcBorders>
              <w:top w:val="single" w:sz="8" w:space="0" w:color="auto"/>
              <w:left w:val="nil"/>
              <w:bottom w:val="single" w:sz="8" w:space="0" w:color="auto"/>
              <w:right w:val="single" w:sz="4"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b/>
                <w:bCs/>
                <w:sz w:val="20"/>
                <w:szCs w:val="20"/>
              </w:rPr>
            </w:pPr>
            <w:r w:rsidRPr="003E3937">
              <w:rPr>
                <w:rFonts w:ascii="Times New Roman" w:hAnsi="Times New Roman"/>
                <w:b/>
                <w:bCs/>
                <w:sz w:val="20"/>
                <w:szCs w:val="20"/>
              </w:rPr>
              <w:t>18</w:t>
            </w:r>
          </w:p>
        </w:tc>
        <w:tc>
          <w:tcPr>
            <w:tcW w:w="1080" w:type="dxa"/>
            <w:tcBorders>
              <w:top w:val="single" w:sz="8" w:space="0" w:color="auto"/>
              <w:left w:val="nil"/>
              <w:bottom w:val="single" w:sz="8" w:space="0" w:color="auto"/>
              <w:right w:val="single" w:sz="8" w:space="0" w:color="auto"/>
            </w:tcBorders>
            <w:shd w:val="clear" w:color="auto" w:fill="auto"/>
            <w:hideMark/>
          </w:tcPr>
          <w:p w:rsidR="003E3937" w:rsidRPr="003E3937" w:rsidRDefault="003E3937" w:rsidP="003E3937">
            <w:pPr>
              <w:widowControl/>
              <w:autoSpaceDE/>
              <w:autoSpaceDN/>
              <w:adjustRightInd/>
              <w:jc w:val="right"/>
              <w:rPr>
                <w:rFonts w:ascii="Times New Roman" w:hAnsi="Times New Roman"/>
                <w:b/>
                <w:bCs/>
                <w:sz w:val="20"/>
                <w:szCs w:val="20"/>
              </w:rPr>
            </w:pPr>
            <w:r w:rsidRPr="003E3937">
              <w:rPr>
                <w:rFonts w:ascii="Times New Roman" w:hAnsi="Times New Roman"/>
                <w:b/>
                <w:bCs/>
                <w:sz w:val="20"/>
                <w:szCs w:val="20"/>
              </w:rPr>
              <w:t>1,738.0</w:t>
            </w:r>
          </w:p>
        </w:tc>
      </w:tr>
      <w:tr w:rsidR="003E3937" w:rsidRPr="003E3937" w:rsidTr="003E3937">
        <w:trPr>
          <w:trHeight w:val="420"/>
        </w:trPr>
        <w:tc>
          <w:tcPr>
            <w:tcW w:w="4060" w:type="dxa"/>
            <w:tcBorders>
              <w:top w:val="nil"/>
              <w:left w:val="single" w:sz="8" w:space="0" w:color="auto"/>
              <w:bottom w:val="single" w:sz="8" w:space="0" w:color="auto"/>
              <w:right w:val="single" w:sz="4" w:space="0" w:color="auto"/>
            </w:tcBorders>
            <w:shd w:val="clear" w:color="auto" w:fill="auto"/>
            <w:vAlign w:val="bottom"/>
            <w:hideMark/>
          </w:tcPr>
          <w:p w:rsidR="003E3937" w:rsidRPr="003E3937" w:rsidRDefault="003E3937" w:rsidP="003E3937">
            <w:pPr>
              <w:widowControl/>
              <w:autoSpaceDE/>
              <w:autoSpaceDN/>
              <w:adjustRightInd/>
              <w:rPr>
                <w:rFonts w:ascii="Arial" w:hAnsi="Arial" w:cs="Arial"/>
                <w:b/>
                <w:bCs/>
                <w:sz w:val="20"/>
                <w:szCs w:val="20"/>
              </w:rPr>
            </w:pPr>
            <w:r w:rsidRPr="003E3937">
              <w:rPr>
                <w:rFonts w:ascii="Arial" w:hAnsi="Arial" w:cs="Arial"/>
                <w:b/>
                <w:bCs/>
                <w:sz w:val="20"/>
                <w:szCs w:val="20"/>
              </w:rPr>
              <w:t>COMBINED TOTAL BURDEN HOURS</w:t>
            </w:r>
          </w:p>
        </w:tc>
        <w:tc>
          <w:tcPr>
            <w:tcW w:w="1180" w:type="dxa"/>
            <w:tcBorders>
              <w:top w:val="nil"/>
              <w:left w:val="nil"/>
              <w:bottom w:val="single" w:sz="8" w:space="0" w:color="auto"/>
              <w:right w:val="single" w:sz="4" w:space="0" w:color="auto"/>
            </w:tcBorders>
            <w:shd w:val="clear" w:color="auto" w:fill="auto"/>
            <w:noWrap/>
            <w:vAlign w:val="bottom"/>
            <w:hideMark/>
          </w:tcPr>
          <w:p w:rsidR="003E3937" w:rsidRPr="003E3937" w:rsidRDefault="003E3937" w:rsidP="003E3937">
            <w:pPr>
              <w:widowControl/>
              <w:autoSpaceDE/>
              <w:autoSpaceDN/>
              <w:adjustRightInd/>
              <w:jc w:val="right"/>
              <w:rPr>
                <w:rFonts w:ascii="Arial" w:hAnsi="Arial" w:cs="Arial"/>
                <w:b/>
                <w:bCs/>
                <w:sz w:val="20"/>
                <w:szCs w:val="20"/>
              </w:rPr>
            </w:pPr>
            <w:r w:rsidRPr="003E3937">
              <w:rPr>
                <w:rFonts w:ascii="Arial" w:hAnsi="Arial" w:cs="Arial"/>
                <w:b/>
                <w:bCs/>
                <w:sz w:val="20"/>
                <w:szCs w:val="20"/>
              </w:rPr>
              <w:t>1919</w:t>
            </w:r>
          </w:p>
        </w:tc>
        <w:tc>
          <w:tcPr>
            <w:tcW w:w="1400" w:type="dxa"/>
            <w:tcBorders>
              <w:top w:val="nil"/>
              <w:left w:val="nil"/>
              <w:bottom w:val="single" w:sz="8" w:space="0" w:color="auto"/>
              <w:right w:val="single" w:sz="4" w:space="0" w:color="auto"/>
            </w:tcBorders>
            <w:shd w:val="clear" w:color="auto" w:fill="auto"/>
            <w:noWrap/>
            <w:vAlign w:val="bottom"/>
            <w:hideMark/>
          </w:tcPr>
          <w:p w:rsidR="003E3937" w:rsidRPr="003E3937" w:rsidRDefault="003E3937" w:rsidP="003E3937">
            <w:pPr>
              <w:widowControl/>
              <w:autoSpaceDE/>
              <w:autoSpaceDN/>
              <w:adjustRightInd/>
              <w:jc w:val="right"/>
              <w:rPr>
                <w:rFonts w:ascii="Arial" w:hAnsi="Arial" w:cs="Arial"/>
                <w:b/>
                <w:bCs/>
                <w:sz w:val="20"/>
                <w:szCs w:val="20"/>
              </w:rPr>
            </w:pPr>
            <w:r w:rsidRPr="003E3937">
              <w:rPr>
                <w:rFonts w:ascii="Arial" w:hAnsi="Arial" w:cs="Arial"/>
                <w:b/>
                <w:bCs/>
                <w:sz w:val="20"/>
                <w:szCs w:val="20"/>
              </w:rPr>
              <w:t>2886</w:t>
            </w:r>
          </w:p>
        </w:tc>
        <w:tc>
          <w:tcPr>
            <w:tcW w:w="1200" w:type="dxa"/>
            <w:tcBorders>
              <w:top w:val="nil"/>
              <w:left w:val="nil"/>
              <w:bottom w:val="single" w:sz="8" w:space="0" w:color="auto"/>
              <w:right w:val="single" w:sz="4" w:space="0" w:color="auto"/>
            </w:tcBorders>
            <w:shd w:val="clear" w:color="auto" w:fill="auto"/>
            <w:noWrap/>
            <w:vAlign w:val="bottom"/>
            <w:hideMark/>
          </w:tcPr>
          <w:p w:rsidR="003E3937" w:rsidRPr="003E3937" w:rsidRDefault="003E3937" w:rsidP="003E3937">
            <w:pPr>
              <w:widowControl/>
              <w:autoSpaceDE/>
              <w:autoSpaceDN/>
              <w:adjustRightInd/>
              <w:jc w:val="right"/>
              <w:rPr>
                <w:rFonts w:ascii="Arial" w:hAnsi="Arial" w:cs="Arial"/>
                <w:b/>
                <w:bCs/>
                <w:sz w:val="20"/>
                <w:szCs w:val="20"/>
              </w:rPr>
            </w:pPr>
            <w:r w:rsidRPr="003E3937">
              <w:rPr>
                <w:rFonts w:ascii="Arial" w:hAnsi="Arial" w:cs="Arial"/>
                <w:b/>
                <w:bCs/>
                <w:sz w:val="20"/>
                <w:szCs w:val="20"/>
              </w:rPr>
              <w:t>56</w:t>
            </w:r>
          </w:p>
        </w:tc>
        <w:tc>
          <w:tcPr>
            <w:tcW w:w="1080" w:type="dxa"/>
            <w:tcBorders>
              <w:top w:val="nil"/>
              <w:left w:val="nil"/>
              <w:bottom w:val="single" w:sz="8" w:space="0" w:color="auto"/>
              <w:right w:val="single" w:sz="8" w:space="0" w:color="auto"/>
            </w:tcBorders>
            <w:shd w:val="clear" w:color="auto" w:fill="auto"/>
            <w:noWrap/>
            <w:vAlign w:val="bottom"/>
            <w:hideMark/>
          </w:tcPr>
          <w:p w:rsidR="003E3937" w:rsidRPr="003E3937" w:rsidRDefault="003E3937" w:rsidP="003E3937">
            <w:pPr>
              <w:widowControl/>
              <w:autoSpaceDE/>
              <w:autoSpaceDN/>
              <w:adjustRightInd/>
              <w:jc w:val="right"/>
              <w:rPr>
                <w:rFonts w:ascii="Arial" w:hAnsi="Arial" w:cs="Arial"/>
                <w:b/>
                <w:bCs/>
                <w:sz w:val="20"/>
                <w:szCs w:val="20"/>
              </w:rPr>
            </w:pPr>
            <w:r w:rsidRPr="003E3937">
              <w:rPr>
                <w:rFonts w:ascii="Arial" w:hAnsi="Arial" w:cs="Arial"/>
                <w:b/>
                <w:bCs/>
                <w:sz w:val="20"/>
                <w:szCs w:val="20"/>
              </w:rPr>
              <w:t>3,258.0</w:t>
            </w:r>
          </w:p>
        </w:tc>
      </w:tr>
    </w:tbl>
    <w:p w:rsidR="002B668C" w:rsidRDefault="002B668C" w:rsidP="00127391">
      <w:pPr>
        <w:rPr>
          <w:rFonts w:ascii="Times New Roman" w:hAnsi="Times New Roman" w:cs="Courier"/>
        </w:rPr>
      </w:pPr>
    </w:p>
    <w:p w:rsidR="00EA018D" w:rsidRPr="00877602" w:rsidRDefault="00877F41" w:rsidP="00F850C7">
      <w:pPr>
        <w:ind w:firstLine="720"/>
        <w:rPr>
          <w:rFonts w:ascii="Times New Roman" w:hAnsi="Times New Roman" w:cs="Courier"/>
        </w:rPr>
      </w:pPr>
      <w:r w:rsidRPr="00877602">
        <w:rPr>
          <w:rFonts w:ascii="Times New Roman" w:hAnsi="Times New Roman" w:cs="Courier"/>
        </w:rPr>
        <w:t>There are no capital and operating costs associated this action</w:t>
      </w:r>
      <w:r w:rsidR="00A94309" w:rsidRPr="00877602">
        <w:rPr>
          <w:rFonts w:ascii="Times New Roman" w:hAnsi="Times New Roman" w:cs="Courier"/>
        </w:rPr>
        <w:t>.</w:t>
      </w:r>
    </w:p>
    <w:p w:rsidR="00954555" w:rsidRPr="00877602" w:rsidRDefault="00954555" w:rsidP="00F850C7">
      <w:pPr>
        <w:ind w:firstLine="720"/>
        <w:rPr>
          <w:rFonts w:ascii="Times New Roman" w:hAnsi="Times New Roman" w:cs="Courier"/>
        </w:rPr>
      </w:pPr>
    </w:p>
    <w:p w:rsidR="00EA018D" w:rsidRPr="00877602" w:rsidRDefault="00A94309" w:rsidP="00A94309">
      <w:pPr>
        <w:jc w:val="center"/>
        <w:rPr>
          <w:rFonts w:ascii="Times New Roman" w:hAnsi="Times New Roman" w:cs="Courier"/>
        </w:rPr>
      </w:pPr>
      <w:r w:rsidRPr="00877602">
        <w:rPr>
          <w:rFonts w:ascii="Times New Roman" w:hAnsi="Times New Roman" w:cs="Courier"/>
          <w:b/>
        </w:rPr>
        <w:t>TABLE III- CAPITAL AND OPERATING COSTS</w:t>
      </w:r>
    </w:p>
    <w:p w:rsidR="00EA018D" w:rsidRPr="00877602" w:rsidRDefault="00EA018D">
      <w:pPr>
        <w:rPr>
          <w:rFonts w:ascii="Times New Roman" w:hAnsi="Times New Roman" w:cs="Courie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1440"/>
        <w:gridCol w:w="1800"/>
        <w:gridCol w:w="2160"/>
      </w:tblGrid>
      <w:tr w:rsidR="00A94309" w:rsidRPr="00E67443" w:rsidTr="003E3937">
        <w:tc>
          <w:tcPr>
            <w:tcW w:w="3510" w:type="dxa"/>
          </w:tcPr>
          <w:p w:rsidR="00A94309" w:rsidRPr="00E67443" w:rsidRDefault="00A94309">
            <w:pPr>
              <w:rPr>
                <w:rFonts w:ascii="Times New Roman" w:hAnsi="Times New Roman" w:cs="Courier"/>
                <w:b/>
                <w:sz w:val="20"/>
                <w:szCs w:val="20"/>
              </w:rPr>
            </w:pPr>
            <w:r w:rsidRPr="00E67443">
              <w:rPr>
                <w:rFonts w:ascii="Times New Roman" w:hAnsi="Times New Roman" w:cs="Courier"/>
                <w:b/>
                <w:sz w:val="20"/>
                <w:szCs w:val="20"/>
              </w:rPr>
              <w:t>Activity</w:t>
            </w:r>
          </w:p>
        </w:tc>
        <w:tc>
          <w:tcPr>
            <w:tcW w:w="1440" w:type="dxa"/>
          </w:tcPr>
          <w:p w:rsidR="00A94309" w:rsidRPr="00E67443" w:rsidRDefault="00A94309">
            <w:pPr>
              <w:rPr>
                <w:rFonts w:ascii="Times New Roman" w:hAnsi="Times New Roman" w:cs="Courier"/>
                <w:b/>
                <w:sz w:val="20"/>
                <w:szCs w:val="20"/>
              </w:rPr>
            </w:pPr>
            <w:r w:rsidRPr="00E67443">
              <w:rPr>
                <w:rFonts w:ascii="Times New Roman" w:hAnsi="Times New Roman" w:cs="Courier"/>
                <w:b/>
                <w:sz w:val="20"/>
                <w:szCs w:val="20"/>
              </w:rPr>
              <w:t>No of Entities Affected</w:t>
            </w:r>
          </w:p>
        </w:tc>
        <w:tc>
          <w:tcPr>
            <w:tcW w:w="1800" w:type="dxa"/>
          </w:tcPr>
          <w:p w:rsidR="00A94309" w:rsidRPr="00E67443" w:rsidRDefault="00A94309">
            <w:pPr>
              <w:rPr>
                <w:rFonts w:ascii="Times New Roman" w:hAnsi="Times New Roman" w:cs="Courier"/>
                <w:b/>
                <w:sz w:val="20"/>
                <w:szCs w:val="20"/>
              </w:rPr>
            </w:pPr>
            <w:r w:rsidRPr="00E67443">
              <w:rPr>
                <w:rFonts w:ascii="Times New Roman" w:hAnsi="Times New Roman" w:cs="Courier"/>
                <w:b/>
                <w:sz w:val="20"/>
                <w:szCs w:val="20"/>
              </w:rPr>
              <w:t>Estimated Annual Cost</w:t>
            </w:r>
            <w:r w:rsidR="003E3937">
              <w:rPr>
                <w:rFonts w:ascii="Times New Roman" w:hAnsi="Times New Roman" w:cs="Courier"/>
                <w:b/>
                <w:sz w:val="20"/>
                <w:szCs w:val="20"/>
              </w:rPr>
              <w:t xml:space="preserve"> </w:t>
            </w:r>
            <w:r w:rsidRPr="00E67443">
              <w:rPr>
                <w:rFonts w:ascii="Times New Roman" w:hAnsi="Times New Roman" w:cs="Courier"/>
                <w:b/>
                <w:sz w:val="20"/>
                <w:szCs w:val="20"/>
              </w:rPr>
              <w:t>per entity</w:t>
            </w:r>
          </w:p>
        </w:tc>
        <w:tc>
          <w:tcPr>
            <w:tcW w:w="2160" w:type="dxa"/>
          </w:tcPr>
          <w:p w:rsidR="00A94309" w:rsidRPr="00E67443" w:rsidRDefault="00A94309">
            <w:pPr>
              <w:rPr>
                <w:rFonts w:ascii="Times New Roman" w:hAnsi="Times New Roman" w:cs="Courier"/>
                <w:b/>
                <w:sz w:val="20"/>
                <w:szCs w:val="20"/>
              </w:rPr>
            </w:pPr>
            <w:r w:rsidRPr="00E67443">
              <w:rPr>
                <w:rFonts w:ascii="Times New Roman" w:hAnsi="Times New Roman" w:cs="Courier"/>
                <w:b/>
                <w:sz w:val="20"/>
                <w:szCs w:val="20"/>
              </w:rPr>
              <w:t>Total Estimated Annual Cost</w:t>
            </w:r>
          </w:p>
        </w:tc>
      </w:tr>
      <w:tr w:rsidR="005626E2" w:rsidRPr="00E67443" w:rsidTr="003E3937">
        <w:tc>
          <w:tcPr>
            <w:tcW w:w="3510" w:type="dxa"/>
          </w:tcPr>
          <w:p w:rsidR="005626E2" w:rsidRPr="00E67443" w:rsidRDefault="005626E2" w:rsidP="000E7B43">
            <w:pPr>
              <w:rPr>
                <w:rFonts w:ascii="Times New Roman" w:hAnsi="Times New Roman" w:cs="Courier"/>
                <w:b/>
                <w:sz w:val="20"/>
                <w:szCs w:val="20"/>
              </w:rPr>
            </w:pPr>
            <w:r w:rsidRPr="00E67443">
              <w:rPr>
                <w:rFonts w:ascii="Times New Roman" w:hAnsi="Times New Roman" w:cs="Courier"/>
                <w:b/>
                <w:sz w:val="20"/>
                <w:szCs w:val="20"/>
              </w:rPr>
              <w:t>TOTAL CAPITAL AND OPERATING COSTS</w:t>
            </w:r>
          </w:p>
        </w:tc>
        <w:tc>
          <w:tcPr>
            <w:tcW w:w="1440" w:type="dxa"/>
          </w:tcPr>
          <w:p w:rsidR="005626E2" w:rsidRPr="00E67443" w:rsidRDefault="00877F41" w:rsidP="000E7B43">
            <w:pPr>
              <w:rPr>
                <w:rFonts w:ascii="Times New Roman" w:hAnsi="Times New Roman" w:cs="Courier"/>
                <w:sz w:val="20"/>
                <w:szCs w:val="20"/>
              </w:rPr>
            </w:pPr>
            <w:r w:rsidRPr="00E67443">
              <w:rPr>
                <w:rFonts w:ascii="Times New Roman" w:hAnsi="Times New Roman" w:cs="Courier"/>
                <w:sz w:val="20"/>
                <w:szCs w:val="20"/>
              </w:rPr>
              <w:t>0</w:t>
            </w:r>
          </w:p>
        </w:tc>
        <w:tc>
          <w:tcPr>
            <w:tcW w:w="1800" w:type="dxa"/>
          </w:tcPr>
          <w:p w:rsidR="005626E2" w:rsidRPr="00E67443" w:rsidRDefault="00877F41" w:rsidP="000E7B43">
            <w:pPr>
              <w:rPr>
                <w:rFonts w:ascii="Times New Roman" w:hAnsi="Times New Roman" w:cs="Courier"/>
                <w:sz w:val="20"/>
                <w:szCs w:val="20"/>
              </w:rPr>
            </w:pPr>
            <w:r w:rsidRPr="00E67443">
              <w:rPr>
                <w:rFonts w:ascii="Times New Roman" w:hAnsi="Times New Roman" w:cs="Courier"/>
                <w:sz w:val="20"/>
                <w:szCs w:val="20"/>
              </w:rPr>
              <w:t>0</w:t>
            </w:r>
          </w:p>
        </w:tc>
        <w:tc>
          <w:tcPr>
            <w:tcW w:w="2160" w:type="dxa"/>
          </w:tcPr>
          <w:p w:rsidR="005626E2" w:rsidRPr="00E67443" w:rsidRDefault="00877F41" w:rsidP="000E7B43">
            <w:pPr>
              <w:rPr>
                <w:rFonts w:ascii="Times New Roman" w:hAnsi="Times New Roman" w:cs="Courier"/>
                <w:sz w:val="20"/>
                <w:szCs w:val="20"/>
              </w:rPr>
            </w:pPr>
            <w:r w:rsidRPr="00E67443">
              <w:rPr>
                <w:rFonts w:ascii="Times New Roman" w:hAnsi="Times New Roman" w:cs="Courier"/>
                <w:sz w:val="20"/>
                <w:szCs w:val="20"/>
              </w:rPr>
              <w:t>0</w:t>
            </w:r>
          </w:p>
        </w:tc>
      </w:tr>
    </w:tbl>
    <w:p w:rsidR="00EA018D" w:rsidRPr="00877602" w:rsidRDefault="00EA018D">
      <w:pPr>
        <w:rPr>
          <w:rFonts w:ascii="Times New Roman" w:hAnsi="Times New Roman" w:cs="Courier"/>
        </w:rPr>
      </w:pPr>
    </w:p>
    <w:p w:rsidR="00EA018D" w:rsidRPr="00877602" w:rsidRDefault="00EA018D">
      <w:pPr>
        <w:rPr>
          <w:rFonts w:ascii="Times New Roman" w:hAnsi="Times New Roman" w:cs="Courier"/>
        </w:rPr>
      </w:pPr>
      <w:r w:rsidRPr="00877602">
        <w:rPr>
          <w:rFonts w:ascii="Times New Roman" w:hAnsi="Times New Roman" w:cs="Courier"/>
        </w:rPr>
        <w:t>c)</w:t>
      </w:r>
      <w:r w:rsidRPr="00877602">
        <w:rPr>
          <w:rFonts w:ascii="Times New Roman" w:hAnsi="Times New Roman" w:cs="Courier"/>
        </w:rPr>
        <w:tab/>
        <w:t>Estimating Agency Burden and Cost</w:t>
      </w:r>
    </w:p>
    <w:p w:rsidR="00EA018D" w:rsidRDefault="00EA018D">
      <w:pPr>
        <w:rPr>
          <w:rFonts w:ascii="Times New Roman" w:hAnsi="Times New Roman" w:cs="Courier"/>
        </w:rPr>
      </w:pPr>
    </w:p>
    <w:p w:rsidR="00795F38" w:rsidRDefault="00252940">
      <w:pPr>
        <w:rPr>
          <w:rFonts w:ascii="Times New Roman" w:hAnsi="Times New Roman" w:cs="Courier"/>
        </w:rPr>
      </w:pPr>
      <w:r>
        <w:rPr>
          <w:rFonts w:ascii="Times New Roman" w:hAnsi="Times New Roman" w:cs="Courier"/>
        </w:rPr>
        <w:tab/>
      </w:r>
      <w:r w:rsidRPr="00795F38">
        <w:rPr>
          <w:rFonts w:ascii="Times New Roman" w:hAnsi="Times New Roman" w:cs="Courier"/>
        </w:rPr>
        <w:t xml:space="preserve">The estimated cost to the Federal Government of the critical use exemption process consists of two components.  The first is </w:t>
      </w:r>
      <w:r w:rsidR="002001A5">
        <w:rPr>
          <w:rFonts w:ascii="Times New Roman" w:hAnsi="Times New Roman" w:cs="Courier"/>
        </w:rPr>
        <w:t>the</w:t>
      </w:r>
      <w:r w:rsidRPr="00795F38">
        <w:rPr>
          <w:rFonts w:ascii="Times New Roman" w:hAnsi="Times New Roman" w:cs="Courier"/>
        </w:rPr>
        <w:t xml:space="preserve"> number of hours and costs incurred by the Agency to review each application.  The </w:t>
      </w:r>
      <w:r>
        <w:rPr>
          <w:rFonts w:ascii="Times New Roman" w:hAnsi="Times New Roman" w:cs="Courier"/>
        </w:rPr>
        <w:t>second</w:t>
      </w:r>
      <w:r w:rsidRPr="00795F38">
        <w:rPr>
          <w:rFonts w:ascii="Times New Roman" w:hAnsi="Times New Roman" w:cs="Courier"/>
        </w:rPr>
        <w:t xml:space="preserve"> is </w:t>
      </w:r>
      <w:r w:rsidR="008805A6">
        <w:rPr>
          <w:rFonts w:ascii="Times New Roman" w:hAnsi="Times New Roman" w:cs="Courier"/>
        </w:rPr>
        <w:t>the</w:t>
      </w:r>
      <w:r w:rsidRPr="00795F38">
        <w:rPr>
          <w:rFonts w:ascii="Times New Roman" w:hAnsi="Times New Roman" w:cs="Courier"/>
        </w:rPr>
        <w:t xml:space="preserve"> number of hours and costs incurred by the Agency </w:t>
      </w:r>
      <w:r w:rsidRPr="00877602">
        <w:rPr>
          <w:rFonts w:ascii="Times New Roman" w:hAnsi="Times New Roman" w:cs="Courier"/>
        </w:rPr>
        <w:t xml:space="preserve">in reviewing reporting data, </w:t>
      </w:r>
      <w:r w:rsidR="008805A6">
        <w:rPr>
          <w:rFonts w:ascii="Times New Roman" w:hAnsi="Times New Roman" w:cs="Courier"/>
        </w:rPr>
        <w:t>preparing nominations,</w:t>
      </w:r>
      <w:r w:rsidR="008805A6" w:rsidRPr="00877602">
        <w:rPr>
          <w:rFonts w:ascii="Times New Roman" w:hAnsi="Times New Roman" w:cs="Courier"/>
        </w:rPr>
        <w:t xml:space="preserve"> </w:t>
      </w:r>
      <w:r w:rsidRPr="00877602">
        <w:rPr>
          <w:rFonts w:ascii="Times New Roman" w:hAnsi="Times New Roman" w:cs="Courier"/>
        </w:rPr>
        <w:t xml:space="preserve">submitting data to the Ozone Secretariat on U.S. compliance, </w:t>
      </w:r>
      <w:r w:rsidR="008805A6" w:rsidRPr="00877602">
        <w:rPr>
          <w:rFonts w:ascii="Times New Roman" w:hAnsi="Times New Roman" w:cs="Courier"/>
        </w:rPr>
        <w:t>distributing critical use allowances</w:t>
      </w:r>
      <w:r w:rsidR="00FC7CE1">
        <w:rPr>
          <w:rFonts w:ascii="Times New Roman" w:hAnsi="Times New Roman" w:cs="Courier"/>
        </w:rPr>
        <w:t xml:space="preserve">, </w:t>
      </w:r>
      <w:r w:rsidRPr="00877602">
        <w:rPr>
          <w:rFonts w:ascii="Times New Roman" w:hAnsi="Times New Roman" w:cs="Courier"/>
        </w:rPr>
        <w:t>and developing guidance for regulated entities.</w:t>
      </w:r>
    </w:p>
    <w:p w:rsidR="00A74339" w:rsidRPr="00795F38" w:rsidRDefault="00A74339" w:rsidP="00A74339">
      <w:pPr>
        <w:ind w:firstLine="720"/>
        <w:rPr>
          <w:rFonts w:ascii="Times New Roman" w:hAnsi="Times New Roman" w:cs="Courier"/>
        </w:rPr>
      </w:pPr>
      <w:r w:rsidRPr="00127391">
        <w:rPr>
          <w:rFonts w:ascii="Times New Roman" w:hAnsi="Times New Roman" w:cs="Courier"/>
        </w:rPr>
        <w:t xml:space="preserve">The calculations below are based on combined OAR/OPP experience implementing the CUE program over the past </w:t>
      </w:r>
      <w:r w:rsidR="002001A5" w:rsidRPr="00127391">
        <w:rPr>
          <w:rFonts w:ascii="Times New Roman" w:hAnsi="Times New Roman" w:cs="Courier"/>
        </w:rPr>
        <w:t>nine</w:t>
      </w:r>
      <w:r w:rsidRPr="00127391">
        <w:rPr>
          <w:rFonts w:ascii="Times New Roman" w:hAnsi="Times New Roman" w:cs="Courier"/>
        </w:rPr>
        <w:t xml:space="preserve"> years.  </w:t>
      </w:r>
      <w:r w:rsidR="00FB2121" w:rsidRPr="00127391">
        <w:rPr>
          <w:rFonts w:ascii="Times New Roman" w:hAnsi="Times New Roman" w:cs="Courier"/>
        </w:rPr>
        <w:t xml:space="preserve">The Agency burden in reviewing the applications has decreased from those in </w:t>
      </w:r>
      <w:r w:rsidR="00127391">
        <w:rPr>
          <w:rFonts w:ascii="Times New Roman" w:hAnsi="Times New Roman" w:cs="Courier"/>
        </w:rPr>
        <w:t xml:space="preserve">the previous </w:t>
      </w:r>
      <w:r w:rsidR="00FB2121" w:rsidRPr="00127391">
        <w:rPr>
          <w:rFonts w:ascii="Times New Roman" w:hAnsi="Times New Roman" w:cs="Courier"/>
        </w:rPr>
        <w:t xml:space="preserve">ICR as the Agency has developed a regular system over the course of implementing the CUE program over the last </w:t>
      </w:r>
      <w:r w:rsidR="002001A5" w:rsidRPr="00127391">
        <w:rPr>
          <w:rFonts w:ascii="Times New Roman" w:hAnsi="Times New Roman" w:cs="Courier"/>
        </w:rPr>
        <w:t>nine</w:t>
      </w:r>
      <w:r w:rsidR="00FB2121" w:rsidRPr="00127391">
        <w:rPr>
          <w:rFonts w:ascii="Times New Roman" w:hAnsi="Times New Roman" w:cs="Courier"/>
        </w:rPr>
        <w:t xml:space="preserve"> years.  In addition, the number of sectors applying to the program has decreased.  </w:t>
      </w:r>
      <w:r w:rsidRPr="00127391">
        <w:rPr>
          <w:rFonts w:ascii="Times New Roman" w:hAnsi="Times New Roman" w:cs="Courier"/>
        </w:rPr>
        <w:t xml:space="preserve">The values </w:t>
      </w:r>
      <w:r w:rsidR="00221E6D" w:rsidRPr="00127391">
        <w:rPr>
          <w:rFonts w:ascii="Times New Roman" w:hAnsi="Times New Roman" w:cs="Courier"/>
        </w:rPr>
        <w:t xml:space="preserve">in this renewal </w:t>
      </w:r>
      <w:r w:rsidR="00912C82" w:rsidRPr="00127391">
        <w:rPr>
          <w:rFonts w:ascii="Times New Roman" w:hAnsi="Times New Roman" w:cs="Courier"/>
        </w:rPr>
        <w:t xml:space="preserve">for recordkeeping and reporting </w:t>
      </w:r>
      <w:r w:rsidR="00221E6D" w:rsidRPr="00127391">
        <w:rPr>
          <w:rFonts w:ascii="Times New Roman" w:hAnsi="Times New Roman" w:cs="Courier"/>
        </w:rPr>
        <w:t>are</w:t>
      </w:r>
      <w:r w:rsidR="00FB2121" w:rsidRPr="00127391">
        <w:rPr>
          <w:rFonts w:ascii="Times New Roman" w:hAnsi="Times New Roman" w:cs="Courier"/>
        </w:rPr>
        <w:t xml:space="preserve"> also</w:t>
      </w:r>
      <w:r w:rsidR="00221E6D" w:rsidRPr="00127391">
        <w:rPr>
          <w:rFonts w:ascii="Times New Roman" w:hAnsi="Times New Roman" w:cs="Courier"/>
        </w:rPr>
        <w:t xml:space="preserve"> less than the sum of the burdens listed in </w:t>
      </w:r>
      <w:r w:rsidR="00127391">
        <w:rPr>
          <w:rFonts w:ascii="Times New Roman" w:hAnsi="Times New Roman" w:cs="Courier"/>
        </w:rPr>
        <w:t xml:space="preserve">the prior ICR. </w:t>
      </w:r>
      <w:r w:rsidR="00912C82" w:rsidRPr="00127391">
        <w:rPr>
          <w:rFonts w:ascii="Times New Roman" w:hAnsi="Times New Roman" w:cs="Courier"/>
        </w:rPr>
        <w:t>Some</w:t>
      </w:r>
      <w:r w:rsidR="00912C82">
        <w:rPr>
          <w:rFonts w:ascii="Times New Roman" w:hAnsi="Times New Roman" w:cs="Courier"/>
        </w:rPr>
        <w:t xml:space="preserve"> steps analyzed in prior ICRs, such as writing the reporting forms and determining the historic baseline</w:t>
      </w:r>
      <w:r w:rsidR="008805A6">
        <w:rPr>
          <w:rFonts w:ascii="Times New Roman" w:hAnsi="Times New Roman" w:cs="Courier"/>
        </w:rPr>
        <w:t>,</w:t>
      </w:r>
      <w:r w:rsidR="00912C82">
        <w:rPr>
          <w:rFonts w:ascii="Times New Roman" w:hAnsi="Times New Roman" w:cs="Courier"/>
        </w:rPr>
        <w:t xml:space="preserve"> </w:t>
      </w:r>
      <w:r w:rsidR="008805A6">
        <w:rPr>
          <w:rFonts w:ascii="Times New Roman" w:hAnsi="Times New Roman" w:cs="Courier"/>
        </w:rPr>
        <w:t xml:space="preserve">have already been completed </w:t>
      </w:r>
      <w:r w:rsidR="00912C82">
        <w:rPr>
          <w:rFonts w:ascii="Times New Roman" w:hAnsi="Times New Roman" w:cs="Courier"/>
        </w:rPr>
        <w:t>a</w:t>
      </w:r>
      <w:r w:rsidR="00127391">
        <w:rPr>
          <w:rFonts w:ascii="Times New Roman" w:hAnsi="Times New Roman" w:cs="Courier"/>
        </w:rPr>
        <w:t>re unnecessary for this renewal</w:t>
      </w:r>
      <w:r w:rsidR="00FB2121">
        <w:rPr>
          <w:rFonts w:ascii="Times New Roman" w:hAnsi="Times New Roman" w:cs="Courier"/>
        </w:rPr>
        <w:t xml:space="preserve">.  </w:t>
      </w:r>
    </w:p>
    <w:p w:rsidR="00FB7389" w:rsidRPr="008805A6" w:rsidRDefault="00980F17" w:rsidP="008805A6">
      <w:pPr>
        <w:rPr>
          <w:rFonts w:ascii="Times New Roman" w:hAnsi="Times New Roman" w:cs="Courier"/>
        </w:rPr>
      </w:pPr>
      <w:r>
        <w:rPr>
          <w:rFonts w:ascii="Times New Roman" w:hAnsi="Times New Roman" w:cs="Courier"/>
        </w:rPr>
        <w:tab/>
      </w:r>
      <w:r w:rsidR="00795F38" w:rsidRPr="00795F38">
        <w:rPr>
          <w:rFonts w:ascii="Times New Roman" w:hAnsi="Times New Roman" w:cs="Courier"/>
        </w:rPr>
        <w:t xml:space="preserve">The hourly wage rates for EPA clerical, technical and managerial </w:t>
      </w:r>
      <w:r w:rsidR="00EC3E2A">
        <w:rPr>
          <w:rFonts w:ascii="Times New Roman" w:hAnsi="Times New Roman" w:cs="Courier"/>
        </w:rPr>
        <w:t xml:space="preserve">staff were derived from the </w:t>
      </w:r>
      <w:r w:rsidR="00BB39C6" w:rsidRPr="00BB39C6">
        <w:rPr>
          <w:rFonts w:ascii="Times New Roman" w:hAnsi="Times New Roman" w:cs="Courier"/>
        </w:rPr>
        <w:t>2010</w:t>
      </w:r>
      <w:r w:rsidR="00795F38" w:rsidRPr="00BB39C6">
        <w:rPr>
          <w:rFonts w:ascii="Times New Roman" w:hAnsi="Times New Roman" w:cs="Courier"/>
        </w:rPr>
        <w:t xml:space="preserve"> OPM</w:t>
      </w:r>
      <w:r w:rsidR="00795F38" w:rsidRPr="00795F38">
        <w:rPr>
          <w:rFonts w:ascii="Times New Roman" w:hAnsi="Times New Roman" w:cs="Courier"/>
        </w:rPr>
        <w:t xml:space="preserve"> </w:t>
      </w:r>
      <w:r w:rsidR="00BB39C6">
        <w:rPr>
          <w:rFonts w:ascii="Times New Roman" w:hAnsi="Times New Roman" w:cs="Courier"/>
        </w:rPr>
        <w:t xml:space="preserve">pay table </w:t>
      </w:r>
      <w:r w:rsidR="00795F38" w:rsidRPr="00795F38">
        <w:rPr>
          <w:rFonts w:ascii="Times New Roman" w:hAnsi="Times New Roman" w:cs="Courier"/>
        </w:rPr>
        <w:t xml:space="preserve">multiplied </w:t>
      </w:r>
      <w:r w:rsidR="00795F38" w:rsidRPr="00A53112">
        <w:rPr>
          <w:rFonts w:ascii="Times New Roman" w:hAnsi="Times New Roman" w:cs="Courier"/>
        </w:rPr>
        <w:t>by 1.6, the</w:t>
      </w:r>
      <w:r w:rsidR="00795F38" w:rsidRPr="00795F38">
        <w:rPr>
          <w:rFonts w:ascii="Times New Roman" w:hAnsi="Times New Roman" w:cs="Courier"/>
        </w:rPr>
        <w:t xml:space="preserve"> standard government benefits multiplier.  The hourly wage rates are as follows:  EPA estimates an average ho</w:t>
      </w:r>
      <w:r w:rsidR="00EC3E2A">
        <w:rPr>
          <w:rFonts w:ascii="Times New Roman" w:hAnsi="Times New Roman" w:cs="Courier"/>
        </w:rPr>
        <w:t>urly labor cost of $</w:t>
      </w:r>
      <w:r w:rsidR="007D4D41">
        <w:rPr>
          <w:rFonts w:ascii="Times New Roman" w:hAnsi="Times New Roman" w:cs="Courier"/>
        </w:rPr>
        <w:t>76.38</w:t>
      </w:r>
      <w:r w:rsidR="00EC3E2A">
        <w:rPr>
          <w:rFonts w:ascii="Times New Roman" w:hAnsi="Times New Roman" w:cs="Courier"/>
        </w:rPr>
        <w:t xml:space="preserve"> (GS-15</w:t>
      </w:r>
      <w:r w:rsidR="00795F38" w:rsidRPr="00795F38">
        <w:rPr>
          <w:rFonts w:ascii="Times New Roman" w:hAnsi="Times New Roman" w:cs="Courier"/>
        </w:rPr>
        <w:t xml:space="preserve"> </w:t>
      </w:r>
      <w:r w:rsidR="00263C41">
        <w:rPr>
          <w:rFonts w:ascii="Times New Roman" w:hAnsi="Times New Roman" w:cs="Courier"/>
        </w:rPr>
        <w:t>level) for managerial costs, $</w:t>
      </w:r>
      <w:r w:rsidR="007D4D41">
        <w:rPr>
          <w:rFonts w:ascii="Times New Roman" w:hAnsi="Times New Roman" w:cs="Courier"/>
        </w:rPr>
        <w:t>54.94</w:t>
      </w:r>
      <w:r w:rsidR="00263C41">
        <w:rPr>
          <w:rFonts w:ascii="Times New Roman" w:hAnsi="Times New Roman" w:cs="Courier"/>
        </w:rPr>
        <w:t xml:space="preserve"> (GS-13</w:t>
      </w:r>
      <w:r w:rsidR="00795F38" w:rsidRPr="00795F38">
        <w:rPr>
          <w:rFonts w:ascii="Times New Roman" w:hAnsi="Times New Roman" w:cs="Courier"/>
        </w:rPr>
        <w:t xml:space="preserve"> lev</w:t>
      </w:r>
      <w:r w:rsidR="00263C41">
        <w:rPr>
          <w:rFonts w:ascii="Times New Roman" w:hAnsi="Times New Roman" w:cs="Courier"/>
        </w:rPr>
        <w:t>el) for technical staff, and $</w:t>
      </w:r>
      <w:r w:rsidR="007D4D41">
        <w:rPr>
          <w:rFonts w:ascii="Times New Roman" w:hAnsi="Times New Roman" w:cs="Courier"/>
        </w:rPr>
        <w:t>21.02</w:t>
      </w:r>
      <w:r w:rsidR="00795F38" w:rsidRPr="00795F38">
        <w:rPr>
          <w:rFonts w:ascii="Times New Roman" w:hAnsi="Times New Roman" w:cs="Courier"/>
        </w:rPr>
        <w:t xml:space="preserve"> (GS-5 level) for clerical sta</w:t>
      </w:r>
      <w:r w:rsidR="00EC3E2A">
        <w:rPr>
          <w:rFonts w:ascii="Times New Roman" w:hAnsi="Times New Roman" w:cs="Courier"/>
        </w:rPr>
        <w:t xml:space="preserve">ff based on </w:t>
      </w:r>
      <w:r w:rsidR="007D4D41">
        <w:rPr>
          <w:rFonts w:ascii="Times New Roman" w:hAnsi="Times New Roman" w:cs="Courier"/>
        </w:rPr>
        <w:t>2010</w:t>
      </w:r>
      <w:r w:rsidR="00795F38" w:rsidRPr="00795F38">
        <w:rPr>
          <w:rFonts w:ascii="Times New Roman" w:hAnsi="Times New Roman" w:cs="Courier"/>
        </w:rPr>
        <w:t xml:space="preserve"> figures.  While the number of occurrences of each activity is shown per application, EPA intends to continue grouping applications according to agricultural sectors.  Each hour of extramural (contractor) time is valued at </w:t>
      </w:r>
      <w:r w:rsidR="00912C82">
        <w:rPr>
          <w:rFonts w:ascii="Times New Roman" w:hAnsi="Times New Roman" w:cs="Courier"/>
        </w:rPr>
        <w:t>$</w:t>
      </w:r>
      <w:r w:rsidR="007D4D41">
        <w:rPr>
          <w:rFonts w:ascii="Times New Roman" w:hAnsi="Times New Roman" w:cs="Courier"/>
        </w:rPr>
        <w:t>120</w:t>
      </w:r>
      <w:r w:rsidR="00795F38" w:rsidRPr="00A53112">
        <w:rPr>
          <w:rFonts w:ascii="Times New Roman" w:hAnsi="Times New Roman" w:cs="Courier"/>
        </w:rPr>
        <w:t>.00 per hour</w:t>
      </w:r>
      <w:r w:rsidR="00795F38" w:rsidRPr="00795F38">
        <w:rPr>
          <w:rFonts w:ascii="Times New Roman" w:hAnsi="Times New Roman" w:cs="Courier"/>
        </w:rPr>
        <w:t xml:space="preserve"> including overhead and fringe</w:t>
      </w:r>
      <w:r w:rsidR="00E653B6">
        <w:rPr>
          <w:rFonts w:ascii="Times New Roman" w:hAnsi="Times New Roman" w:cs="Courier"/>
        </w:rPr>
        <w:t xml:space="preserve"> benefits</w:t>
      </w:r>
      <w:r w:rsidR="00795F38" w:rsidRPr="00795F38">
        <w:rPr>
          <w:rFonts w:ascii="Times New Roman" w:hAnsi="Times New Roman" w:cs="Courier"/>
        </w:rPr>
        <w:t xml:space="preserve">.  </w:t>
      </w:r>
    </w:p>
    <w:p w:rsidR="00FB7389" w:rsidRPr="00877602" w:rsidRDefault="00FB7389" w:rsidP="00F6278D">
      <w:pPr>
        <w:ind w:firstLine="720"/>
        <w:jc w:val="center"/>
        <w:rPr>
          <w:rFonts w:ascii="Times New Roman" w:hAnsi="Times New Roman" w:cs="Courier"/>
          <w:b/>
        </w:rPr>
      </w:pPr>
    </w:p>
    <w:p w:rsidR="00127391" w:rsidRPr="00877602" w:rsidRDefault="00F6278D" w:rsidP="00127391">
      <w:pPr>
        <w:ind w:firstLine="720"/>
        <w:jc w:val="center"/>
        <w:rPr>
          <w:rFonts w:ascii="Times New Roman" w:hAnsi="Times New Roman" w:cs="Courier"/>
          <w:b/>
        </w:rPr>
      </w:pPr>
      <w:r w:rsidRPr="00127391">
        <w:rPr>
          <w:rFonts w:ascii="Times New Roman" w:hAnsi="Times New Roman" w:cs="Courier"/>
          <w:b/>
        </w:rPr>
        <w:t>TABLE IV- AGENCY BURDEN HOURS</w:t>
      </w:r>
    </w:p>
    <w:tbl>
      <w:tblPr>
        <w:tblW w:w="9480" w:type="dxa"/>
        <w:tblInd w:w="93" w:type="dxa"/>
        <w:tblLook w:val="04A0"/>
      </w:tblPr>
      <w:tblGrid>
        <w:gridCol w:w="3924"/>
        <w:gridCol w:w="1094"/>
        <w:gridCol w:w="1205"/>
        <w:gridCol w:w="1050"/>
        <w:gridCol w:w="980"/>
        <w:gridCol w:w="1227"/>
      </w:tblGrid>
      <w:tr w:rsidR="00156CF7" w:rsidRPr="00156CF7" w:rsidTr="00156CF7">
        <w:trPr>
          <w:trHeight w:val="780"/>
        </w:trPr>
        <w:tc>
          <w:tcPr>
            <w:tcW w:w="4380" w:type="dxa"/>
            <w:tcBorders>
              <w:top w:val="single" w:sz="8" w:space="0" w:color="auto"/>
              <w:left w:val="single" w:sz="8" w:space="0" w:color="auto"/>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 </w:t>
            </w:r>
          </w:p>
        </w:tc>
        <w:tc>
          <w:tcPr>
            <w:tcW w:w="1000" w:type="dxa"/>
            <w:tcBorders>
              <w:top w:val="single" w:sz="8"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No. of Responses</w:t>
            </w:r>
          </w:p>
        </w:tc>
        <w:tc>
          <w:tcPr>
            <w:tcW w:w="1100" w:type="dxa"/>
            <w:tcBorders>
              <w:top w:val="single" w:sz="8"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Managerial hours per response</w:t>
            </w:r>
          </w:p>
        </w:tc>
        <w:tc>
          <w:tcPr>
            <w:tcW w:w="960" w:type="dxa"/>
            <w:tcBorders>
              <w:top w:val="single" w:sz="8"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Technical hours per response</w:t>
            </w:r>
          </w:p>
        </w:tc>
        <w:tc>
          <w:tcPr>
            <w:tcW w:w="980" w:type="dxa"/>
            <w:tcBorders>
              <w:top w:val="single" w:sz="8"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Clerical hours per response</w:t>
            </w:r>
          </w:p>
        </w:tc>
        <w:tc>
          <w:tcPr>
            <w:tcW w:w="1060" w:type="dxa"/>
            <w:tcBorders>
              <w:top w:val="single" w:sz="8" w:space="0" w:color="auto"/>
              <w:left w:val="nil"/>
              <w:bottom w:val="single" w:sz="8" w:space="0" w:color="auto"/>
              <w:right w:val="single" w:sz="8" w:space="0" w:color="auto"/>
            </w:tcBorders>
            <w:shd w:val="clear" w:color="auto" w:fill="auto"/>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Extramural hours per response</w:t>
            </w:r>
          </w:p>
        </w:tc>
      </w:tr>
      <w:tr w:rsidR="00156CF7" w:rsidRPr="00156CF7" w:rsidTr="00156CF7">
        <w:trPr>
          <w:trHeight w:val="330"/>
        </w:trPr>
        <w:tc>
          <w:tcPr>
            <w:tcW w:w="9480" w:type="dxa"/>
            <w:gridSpan w:val="6"/>
            <w:tcBorders>
              <w:top w:val="single" w:sz="8" w:space="0" w:color="auto"/>
              <w:left w:val="single" w:sz="8" w:space="0" w:color="auto"/>
              <w:bottom w:val="double" w:sz="6" w:space="0" w:color="auto"/>
              <w:right w:val="single" w:sz="8" w:space="0" w:color="000000"/>
            </w:tcBorders>
            <w:shd w:val="clear" w:color="auto" w:fill="auto"/>
            <w:hideMark/>
          </w:tcPr>
          <w:p w:rsidR="00156CF7" w:rsidRPr="00156CF7" w:rsidRDefault="00156CF7" w:rsidP="00156CF7">
            <w:pPr>
              <w:widowControl/>
              <w:autoSpaceDE/>
              <w:autoSpaceDN/>
              <w:adjustRightInd/>
              <w:rPr>
                <w:rFonts w:ascii="Times New Roman" w:hAnsi="Times New Roman"/>
                <w:b/>
                <w:bCs/>
              </w:rPr>
            </w:pPr>
            <w:r w:rsidRPr="00156CF7">
              <w:rPr>
                <w:rFonts w:ascii="Times New Roman" w:hAnsi="Times New Roman"/>
                <w:b/>
                <w:bCs/>
              </w:rPr>
              <w:t>i)  Applications</w:t>
            </w:r>
          </w:p>
        </w:tc>
      </w:tr>
      <w:tr w:rsidR="00156CF7" w:rsidRPr="00156CF7" w:rsidTr="00156CF7">
        <w:trPr>
          <w:trHeight w:val="525"/>
        </w:trPr>
        <w:tc>
          <w:tcPr>
            <w:tcW w:w="4380" w:type="dxa"/>
            <w:tcBorders>
              <w:top w:val="nil"/>
              <w:left w:val="single" w:sz="8" w:space="0" w:color="auto"/>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 xml:space="preserve">Read and review the applications for completeness; make appropriate amount of </w:t>
            </w:r>
            <w:r w:rsidRPr="00156CF7">
              <w:rPr>
                <w:rFonts w:ascii="Times New Roman" w:hAnsi="Times New Roman"/>
                <w:sz w:val="20"/>
                <w:szCs w:val="20"/>
              </w:rPr>
              <w:lastRenderedPageBreak/>
              <w:t>electronic/paper copies</w:t>
            </w:r>
          </w:p>
        </w:tc>
        <w:tc>
          <w:tcPr>
            <w:tcW w:w="100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lastRenderedPageBreak/>
              <w:t>40</w:t>
            </w:r>
          </w:p>
        </w:tc>
        <w:tc>
          <w:tcPr>
            <w:tcW w:w="110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c>
          <w:tcPr>
            <w:tcW w:w="96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w:t>
            </w:r>
          </w:p>
        </w:tc>
        <w:tc>
          <w:tcPr>
            <w:tcW w:w="98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w:t>
            </w:r>
          </w:p>
        </w:tc>
        <w:tc>
          <w:tcPr>
            <w:tcW w:w="1060" w:type="dxa"/>
            <w:tcBorders>
              <w:top w:val="nil"/>
              <w:left w:val="nil"/>
              <w:bottom w:val="single" w:sz="4"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0.25</w:t>
            </w:r>
          </w:p>
        </w:tc>
      </w:tr>
      <w:tr w:rsidR="00156CF7" w:rsidRPr="00156CF7" w:rsidTr="00156CF7">
        <w:trPr>
          <w:trHeight w:val="255"/>
        </w:trPr>
        <w:tc>
          <w:tcPr>
            <w:tcW w:w="4380" w:type="dxa"/>
            <w:tcBorders>
              <w:top w:val="nil"/>
              <w:left w:val="single" w:sz="8" w:space="0" w:color="auto"/>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lastRenderedPageBreak/>
              <w:t>Review information submitted for accuracy</w:t>
            </w:r>
          </w:p>
        </w:tc>
        <w:tc>
          <w:tcPr>
            <w:tcW w:w="100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40</w:t>
            </w:r>
          </w:p>
        </w:tc>
        <w:tc>
          <w:tcPr>
            <w:tcW w:w="110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c>
          <w:tcPr>
            <w:tcW w:w="96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10</w:t>
            </w:r>
          </w:p>
        </w:tc>
        <w:tc>
          <w:tcPr>
            <w:tcW w:w="98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c>
          <w:tcPr>
            <w:tcW w:w="1060" w:type="dxa"/>
            <w:tcBorders>
              <w:top w:val="nil"/>
              <w:left w:val="nil"/>
              <w:bottom w:val="single" w:sz="4"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r>
      <w:tr w:rsidR="00156CF7" w:rsidRPr="00156CF7" w:rsidTr="00156CF7">
        <w:trPr>
          <w:trHeight w:val="765"/>
        </w:trPr>
        <w:tc>
          <w:tcPr>
            <w:tcW w:w="4380" w:type="dxa"/>
            <w:tcBorders>
              <w:top w:val="nil"/>
              <w:left w:val="single" w:sz="8" w:space="0" w:color="auto"/>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Perform economic and technical analysis and compile nomination on proposed exemption to the Ozone Secretariat</w:t>
            </w:r>
          </w:p>
        </w:tc>
        <w:tc>
          <w:tcPr>
            <w:tcW w:w="100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40</w:t>
            </w:r>
          </w:p>
        </w:tc>
        <w:tc>
          <w:tcPr>
            <w:tcW w:w="110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5</w:t>
            </w:r>
          </w:p>
        </w:tc>
        <w:tc>
          <w:tcPr>
            <w:tcW w:w="96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40</w:t>
            </w:r>
          </w:p>
        </w:tc>
        <w:tc>
          <w:tcPr>
            <w:tcW w:w="98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45</w:t>
            </w:r>
          </w:p>
        </w:tc>
        <w:tc>
          <w:tcPr>
            <w:tcW w:w="1060" w:type="dxa"/>
            <w:tcBorders>
              <w:top w:val="nil"/>
              <w:left w:val="nil"/>
              <w:bottom w:val="single" w:sz="4"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r>
      <w:tr w:rsidR="00156CF7" w:rsidRPr="00156CF7" w:rsidTr="00156CF7">
        <w:trPr>
          <w:trHeight w:val="765"/>
        </w:trPr>
        <w:tc>
          <w:tcPr>
            <w:tcW w:w="4380" w:type="dxa"/>
            <w:tcBorders>
              <w:top w:val="nil"/>
              <w:left w:val="single" w:sz="8" w:space="0" w:color="auto"/>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Respond to 2 rounds of questions on Nomination from MBTOC/TEAP (advisory bodies to Parties to Protocol)</w:t>
            </w:r>
          </w:p>
        </w:tc>
        <w:tc>
          <w:tcPr>
            <w:tcW w:w="100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80</w:t>
            </w:r>
          </w:p>
        </w:tc>
        <w:tc>
          <w:tcPr>
            <w:tcW w:w="110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2</w:t>
            </w:r>
          </w:p>
        </w:tc>
        <w:tc>
          <w:tcPr>
            <w:tcW w:w="96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10</w:t>
            </w:r>
          </w:p>
        </w:tc>
        <w:tc>
          <w:tcPr>
            <w:tcW w:w="98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c>
          <w:tcPr>
            <w:tcW w:w="1060" w:type="dxa"/>
            <w:tcBorders>
              <w:top w:val="nil"/>
              <w:left w:val="nil"/>
              <w:bottom w:val="single" w:sz="4"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r>
      <w:tr w:rsidR="00156CF7" w:rsidRPr="00156CF7" w:rsidTr="00156CF7">
        <w:trPr>
          <w:trHeight w:val="255"/>
        </w:trPr>
        <w:tc>
          <w:tcPr>
            <w:tcW w:w="4380" w:type="dxa"/>
            <w:tcBorders>
              <w:top w:val="nil"/>
              <w:left w:val="single" w:sz="8" w:space="0" w:color="auto"/>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Final decision on each sector</w:t>
            </w:r>
          </w:p>
        </w:tc>
        <w:tc>
          <w:tcPr>
            <w:tcW w:w="100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12</w:t>
            </w:r>
          </w:p>
        </w:tc>
        <w:tc>
          <w:tcPr>
            <w:tcW w:w="110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10</w:t>
            </w:r>
          </w:p>
        </w:tc>
        <w:tc>
          <w:tcPr>
            <w:tcW w:w="96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15</w:t>
            </w:r>
          </w:p>
        </w:tc>
        <w:tc>
          <w:tcPr>
            <w:tcW w:w="98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c>
          <w:tcPr>
            <w:tcW w:w="1060" w:type="dxa"/>
            <w:tcBorders>
              <w:top w:val="nil"/>
              <w:left w:val="nil"/>
              <w:bottom w:val="single" w:sz="4"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r>
      <w:tr w:rsidR="00156CF7" w:rsidRPr="00156CF7" w:rsidTr="00156CF7">
        <w:trPr>
          <w:trHeight w:val="270"/>
        </w:trPr>
        <w:tc>
          <w:tcPr>
            <w:tcW w:w="4380" w:type="dxa"/>
            <w:tcBorders>
              <w:top w:val="nil"/>
              <w:left w:val="single" w:sz="8" w:space="0" w:color="auto"/>
              <w:bottom w:val="nil"/>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Store, file, and maintain applications</w:t>
            </w:r>
          </w:p>
        </w:tc>
        <w:tc>
          <w:tcPr>
            <w:tcW w:w="100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40</w:t>
            </w:r>
          </w:p>
        </w:tc>
        <w:tc>
          <w:tcPr>
            <w:tcW w:w="110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c>
          <w:tcPr>
            <w:tcW w:w="96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w:t>
            </w:r>
          </w:p>
        </w:tc>
        <w:tc>
          <w:tcPr>
            <w:tcW w:w="98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w:t>
            </w:r>
          </w:p>
        </w:tc>
        <w:tc>
          <w:tcPr>
            <w:tcW w:w="1060" w:type="dxa"/>
            <w:tcBorders>
              <w:top w:val="nil"/>
              <w:left w:val="nil"/>
              <w:bottom w:val="nil"/>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0.25</w:t>
            </w:r>
          </w:p>
        </w:tc>
      </w:tr>
      <w:tr w:rsidR="00156CF7" w:rsidRPr="00156CF7" w:rsidTr="00156CF7">
        <w:trPr>
          <w:trHeight w:val="270"/>
        </w:trPr>
        <w:tc>
          <w:tcPr>
            <w:tcW w:w="4380" w:type="dxa"/>
            <w:tcBorders>
              <w:top w:val="single" w:sz="8" w:space="0" w:color="auto"/>
              <w:left w:val="single" w:sz="8" w:space="0" w:color="auto"/>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TOTAL per response (applications)</w:t>
            </w:r>
          </w:p>
        </w:tc>
        <w:tc>
          <w:tcPr>
            <w:tcW w:w="1000" w:type="dxa"/>
            <w:tcBorders>
              <w:top w:val="single" w:sz="8"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 </w:t>
            </w:r>
          </w:p>
        </w:tc>
        <w:tc>
          <w:tcPr>
            <w:tcW w:w="1100" w:type="dxa"/>
            <w:tcBorders>
              <w:top w:val="single" w:sz="8"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17</w:t>
            </w:r>
          </w:p>
        </w:tc>
        <w:tc>
          <w:tcPr>
            <w:tcW w:w="960" w:type="dxa"/>
            <w:tcBorders>
              <w:top w:val="single" w:sz="8"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77</w:t>
            </w:r>
          </w:p>
        </w:tc>
        <w:tc>
          <w:tcPr>
            <w:tcW w:w="980" w:type="dxa"/>
            <w:tcBorders>
              <w:top w:val="single" w:sz="8"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47</w:t>
            </w:r>
          </w:p>
        </w:tc>
        <w:tc>
          <w:tcPr>
            <w:tcW w:w="1060" w:type="dxa"/>
            <w:tcBorders>
              <w:top w:val="single" w:sz="8" w:space="0" w:color="auto"/>
              <w:left w:val="nil"/>
              <w:bottom w:val="single" w:sz="8"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0.5</w:t>
            </w:r>
          </w:p>
        </w:tc>
      </w:tr>
      <w:tr w:rsidR="00156CF7" w:rsidRPr="00156CF7" w:rsidTr="00156CF7">
        <w:trPr>
          <w:trHeight w:val="270"/>
        </w:trPr>
        <w:tc>
          <w:tcPr>
            <w:tcW w:w="4380" w:type="dxa"/>
            <w:tcBorders>
              <w:top w:val="nil"/>
              <w:left w:val="single" w:sz="8" w:space="0" w:color="auto"/>
              <w:bottom w:val="nil"/>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TOTAL per year (applications)</w:t>
            </w:r>
          </w:p>
        </w:tc>
        <w:tc>
          <w:tcPr>
            <w:tcW w:w="100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 </w:t>
            </w:r>
          </w:p>
        </w:tc>
        <w:tc>
          <w:tcPr>
            <w:tcW w:w="110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480</w:t>
            </w:r>
          </w:p>
        </w:tc>
        <w:tc>
          <w:tcPr>
            <w:tcW w:w="96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3,060</w:t>
            </w:r>
          </w:p>
        </w:tc>
        <w:tc>
          <w:tcPr>
            <w:tcW w:w="98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1,880</w:t>
            </w:r>
          </w:p>
        </w:tc>
        <w:tc>
          <w:tcPr>
            <w:tcW w:w="1060" w:type="dxa"/>
            <w:tcBorders>
              <w:top w:val="nil"/>
              <w:left w:val="nil"/>
              <w:bottom w:val="nil"/>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20</w:t>
            </w:r>
          </w:p>
        </w:tc>
      </w:tr>
      <w:tr w:rsidR="00156CF7" w:rsidRPr="00156CF7" w:rsidTr="00156CF7">
        <w:trPr>
          <w:trHeight w:val="270"/>
        </w:trPr>
        <w:tc>
          <w:tcPr>
            <w:tcW w:w="9480" w:type="dxa"/>
            <w:gridSpan w:val="6"/>
            <w:tcBorders>
              <w:top w:val="single" w:sz="8" w:space="0" w:color="auto"/>
              <w:left w:val="single" w:sz="8" w:space="0" w:color="auto"/>
              <w:bottom w:val="single" w:sz="8" w:space="0" w:color="auto"/>
              <w:right w:val="single" w:sz="8" w:space="0" w:color="000000"/>
            </w:tcBorders>
            <w:shd w:val="clear" w:color="000000" w:fill="C0C0C0"/>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 </w:t>
            </w:r>
          </w:p>
        </w:tc>
      </w:tr>
      <w:tr w:rsidR="00156CF7" w:rsidRPr="00156CF7" w:rsidTr="00156CF7">
        <w:trPr>
          <w:trHeight w:val="330"/>
        </w:trPr>
        <w:tc>
          <w:tcPr>
            <w:tcW w:w="9480" w:type="dxa"/>
            <w:gridSpan w:val="6"/>
            <w:tcBorders>
              <w:top w:val="nil"/>
              <w:left w:val="single" w:sz="8" w:space="0" w:color="auto"/>
              <w:bottom w:val="double" w:sz="6" w:space="0" w:color="auto"/>
              <w:right w:val="single" w:sz="8" w:space="0" w:color="000000"/>
            </w:tcBorders>
            <w:shd w:val="clear" w:color="auto" w:fill="auto"/>
            <w:hideMark/>
          </w:tcPr>
          <w:p w:rsidR="00156CF7" w:rsidRPr="00156CF7" w:rsidRDefault="00156CF7" w:rsidP="00156CF7">
            <w:pPr>
              <w:widowControl/>
              <w:autoSpaceDE/>
              <w:autoSpaceDN/>
              <w:adjustRightInd/>
              <w:rPr>
                <w:rFonts w:ascii="Times New Roman" w:hAnsi="Times New Roman"/>
                <w:b/>
                <w:bCs/>
              </w:rPr>
            </w:pPr>
            <w:r w:rsidRPr="00156CF7">
              <w:rPr>
                <w:rFonts w:ascii="Times New Roman" w:hAnsi="Times New Roman"/>
                <w:b/>
                <w:bCs/>
              </w:rPr>
              <w:t>i)  Reporting and Recordkeeping</w:t>
            </w:r>
          </w:p>
        </w:tc>
      </w:tr>
      <w:tr w:rsidR="00156CF7" w:rsidRPr="00156CF7" w:rsidTr="00156CF7">
        <w:trPr>
          <w:trHeight w:val="270"/>
        </w:trPr>
        <w:tc>
          <w:tcPr>
            <w:tcW w:w="4380" w:type="dxa"/>
            <w:tcBorders>
              <w:top w:val="single" w:sz="4" w:space="0" w:color="auto"/>
              <w:left w:val="single" w:sz="8" w:space="0" w:color="auto"/>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Process annual reports</w:t>
            </w:r>
          </w:p>
        </w:tc>
        <w:tc>
          <w:tcPr>
            <w:tcW w:w="1000" w:type="dxa"/>
            <w:tcBorders>
              <w:top w:val="single" w:sz="4" w:space="0" w:color="auto"/>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75</w:t>
            </w:r>
          </w:p>
        </w:tc>
        <w:tc>
          <w:tcPr>
            <w:tcW w:w="1100" w:type="dxa"/>
            <w:tcBorders>
              <w:top w:val="single" w:sz="4" w:space="0" w:color="auto"/>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0.25</w:t>
            </w:r>
          </w:p>
        </w:tc>
        <w:tc>
          <w:tcPr>
            <w:tcW w:w="960" w:type="dxa"/>
            <w:tcBorders>
              <w:top w:val="single" w:sz="4" w:space="0" w:color="auto"/>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w:t>
            </w:r>
          </w:p>
        </w:tc>
        <w:tc>
          <w:tcPr>
            <w:tcW w:w="980" w:type="dxa"/>
            <w:tcBorders>
              <w:top w:val="single" w:sz="4" w:space="0" w:color="auto"/>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c>
          <w:tcPr>
            <w:tcW w:w="1060" w:type="dxa"/>
            <w:tcBorders>
              <w:top w:val="single" w:sz="4" w:space="0" w:color="auto"/>
              <w:left w:val="nil"/>
              <w:bottom w:val="single" w:sz="4"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0.25</w:t>
            </w:r>
          </w:p>
        </w:tc>
      </w:tr>
      <w:tr w:rsidR="00156CF7" w:rsidRPr="00156CF7" w:rsidTr="00156CF7">
        <w:trPr>
          <w:trHeight w:val="255"/>
        </w:trPr>
        <w:tc>
          <w:tcPr>
            <w:tcW w:w="4380" w:type="dxa"/>
            <w:tcBorders>
              <w:top w:val="nil"/>
              <w:left w:val="single" w:sz="8" w:space="0" w:color="auto"/>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Process quarterly reports</w:t>
            </w:r>
          </w:p>
        </w:tc>
        <w:tc>
          <w:tcPr>
            <w:tcW w:w="100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40</w:t>
            </w:r>
          </w:p>
        </w:tc>
        <w:tc>
          <w:tcPr>
            <w:tcW w:w="110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0.25</w:t>
            </w:r>
          </w:p>
        </w:tc>
        <w:tc>
          <w:tcPr>
            <w:tcW w:w="96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w:t>
            </w:r>
          </w:p>
        </w:tc>
        <w:tc>
          <w:tcPr>
            <w:tcW w:w="98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c>
          <w:tcPr>
            <w:tcW w:w="1060" w:type="dxa"/>
            <w:tcBorders>
              <w:top w:val="nil"/>
              <w:left w:val="nil"/>
              <w:bottom w:val="single" w:sz="4"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0.25</w:t>
            </w:r>
          </w:p>
        </w:tc>
      </w:tr>
      <w:tr w:rsidR="00156CF7" w:rsidRPr="00156CF7" w:rsidTr="00156CF7">
        <w:trPr>
          <w:trHeight w:val="255"/>
        </w:trPr>
        <w:tc>
          <w:tcPr>
            <w:tcW w:w="4380" w:type="dxa"/>
            <w:tcBorders>
              <w:top w:val="nil"/>
              <w:left w:val="single" w:sz="8" w:space="0" w:color="auto"/>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Report to the Ozone Secretariat</w:t>
            </w:r>
          </w:p>
        </w:tc>
        <w:tc>
          <w:tcPr>
            <w:tcW w:w="100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w:t>
            </w:r>
          </w:p>
        </w:tc>
        <w:tc>
          <w:tcPr>
            <w:tcW w:w="110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0.25</w:t>
            </w:r>
          </w:p>
        </w:tc>
        <w:tc>
          <w:tcPr>
            <w:tcW w:w="96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10</w:t>
            </w:r>
          </w:p>
        </w:tc>
        <w:tc>
          <w:tcPr>
            <w:tcW w:w="98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c>
          <w:tcPr>
            <w:tcW w:w="1060" w:type="dxa"/>
            <w:tcBorders>
              <w:top w:val="nil"/>
              <w:left w:val="nil"/>
              <w:bottom w:val="single" w:sz="4"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w:t>
            </w:r>
          </w:p>
        </w:tc>
      </w:tr>
      <w:tr w:rsidR="00156CF7" w:rsidRPr="00156CF7" w:rsidTr="00156CF7">
        <w:trPr>
          <w:trHeight w:val="255"/>
        </w:trPr>
        <w:tc>
          <w:tcPr>
            <w:tcW w:w="4380" w:type="dxa"/>
            <w:tcBorders>
              <w:top w:val="nil"/>
              <w:left w:val="single" w:sz="8" w:space="0" w:color="auto"/>
              <w:bottom w:val="nil"/>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Provide Guidance</w:t>
            </w:r>
          </w:p>
        </w:tc>
        <w:tc>
          <w:tcPr>
            <w:tcW w:w="100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30</w:t>
            </w:r>
          </w:p>
        </w:tc>
        <w:tc>
          <w:tcPr>
            <w:tcW w:w="110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0.25</w:t>
            </w:r>
          </w:p>
        </w:tc>
        <w:tc>
          <w:tcPr>
            <w:tcW w:w="96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w:t>
            </w:r>
          </w:p>
        </w:tc>
        <w:tc>
          <w:tcPr>
            <w:tcW w:w="98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c>
          <w:tcPr>
            <w:tcW w:w="1060" w:type="dxa"/>
            <w:tcBorders>
              <w:top w:val="nil"/>
              <w:left w:val="nil"/>
              <w:bottom w:val="single" w:sz="4"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r>
      <w:tr w:rsidR="00156CF7" w:rsidRPr="00156CF7" w:rsidTr="00156CF7">
        <w:trPr>
          <w:trHeight w:val="525"/>
        </w:trPr>
        <w:tc>
          <w:tcPr>
            <w:tcW w:w="4380" w:type="dxa"/>
            <w:tcBorders>
              <w:top w:val="single" w:sz="4" w:space="0" w:color="auto"/>
              <w:left w:val="single" w:sz="8" w:space="0" w:color="auto"/>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Seek information on CUE program and fumigation industry</w:t>
            </w:r>
          </w:p>
        </w:tc>
        <w:tc>
          <w:tcPr>
            <w:tcW w:w="1000" w:type="dxa"/>
            <w:tcBorders>
              <w:top w:val="single" w:sz="4"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75</w:t>
            </w:r>
          </w:p>
        </w:tc>
        <w:tc>
          <w:tcPr>
            <w:tcW w:w="1100" w:type="dxa"/>
            <w:tcBorders>
              <w:top w:val="single" w:sz="4"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0.25</w:t>
            </w:r>
          </w:p>
        </w:tc>
        <w:tc>
          <w:tcPr>
            <w:tcW w:w="960" w:type="dxa"/>
            <w:tcBorders>
              <w:top w:val="single" w:sz="4"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0.25</w:t>
            </w:r>
          </w:p>
        </w:tc>
        <w:tc>
          <w:tcPr>
            <w:tcW w:w="980" w:type="dxa"/>
            <w:tcBorders>
              <w:top w:val="single" w:sz="4"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c>
          <w:tcPr>
            <w:tcW w:w="1060" w:type="dxa"/>
            <w:tcBorders>
              <w:top w:val="nil"/>
              <w:left w:val="nil"/>
              <w:bottom w:val="single" w:sz="4"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w:t>
            </w:r>
          </w:p>
        </w:tc>
      </w:tr>
      <w:tr w:rsidR="00156CF7" w:rsidRPr="00156CF7" w:rsidTr="00156CF7">
        <w:trPr>
          <w:trHeight w:val="525"/>
        </w:trPr>
        <w:tc>
          <w:tcPr>
            <w:tcW w:w="4380" w:type="dxa"/>
            <w:tcBorders>
              <w:top w:val="nil"/>
              <w:left w:val="single" w:sz="8" w:space="0" w:color="auto"/>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TOTAL per response (recordkeeping and reporting)</w:t>
            </w:r>
          </w:p>
        </w:tc>
        <w:tc>
          <w:tcPr>
            <w:tcW w:w="1000" w:type="dxa"/>
            <w:tcBorders>
              <w:top w:val="nil"/>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 </w:t>
            </w:r>
          </w:p>
        </w:tc>
        <w:tc>
          <w:tcPr>
            <w:tcW w:w="1100" w:type="dxa"/>
            <w:tcBorders>
              <w:top w:val="nil"/>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1.25</w:t>
            </w:r>
          </w:p>
        </w:tc>
        <w:tc>
          <w:tcPr>
            <w:tcW w:w="960" w:type="dxa"/>
            <w:tcBorders>
              <w:top w:val="nil"/>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13.25</w:t>
            </w:r>
          </w:p>
        </w:tc>
        <w:tc>
          <w:tcPr>
            <w:tcW w:w="980" w:type="dxa"/>
            <w:tcBorders>
              <w:top w:val="nil"/>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0</w:t>
            </w:r>
          </w:p>
        </w:tc>
        <w:tc>
          <w:tcPr>
            <w:tcW w:w="1060" w:type="dxa"/>
            <w:tcBorders>
              <w:top w:val="single" w:sz="8" w:space="0" w:color="auto"/>
              <w:left w:val="nil"/>
              <w:bottom w:val="single" w:sz="8"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1.5</w:t>
            </w:r>
          </w:p>
        </w:tc>
      </w:tr>
      <w:tr w:rsidR="00156CF7" w:rsidRPr="00156CF7" w:rsidTr="00156CF7">
        <w:trPr>
          <w:trHeight w:val="270"/>
        </w:trPr>
        <w:tc>
          <w:tcPr>
            <w:tcW w:w="4380" w:type="dxa"/>
            <w:tcBorders>
              <w:top w:val="nil"/>
              <w:left w:val="single" w:sz="8" w:space="0" w:color="auto"/>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TOTAL per year (recordkeeping and reporting)</w:t>
            </w:r>
          </w:p>
        </w:tc>
        <w:tc>
          <w:tcPr>
            <w:tcW w:w="100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 </w:t>
            </w:r>
          </w:p>
        </w:tc>
        <w:tc>
          <w:tcPr>
            <w:tcW w:w="110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55.25</w:t>
            </w:r>
          </w:p>
        </w:tc>
        <w:tc>
          <w:tcPr>
            <w:tcW w:w="96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173.75</w:t>
            </w:r>
          </w:p>
        </w:tc>
        <w:tc>
          <w:tcPr>
            <w:tcW w:w="980" w:type="dxa"/>
            <w:tcBorders>
              <w:top w:val="nil"/>
              <w:left w:val="nil"/>
              <w:bottom w:val="nil"/>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0</w:t>
            </w:r>
          </w:p>
        </w:tc>
        <w:tc>
          <w:tcPr>
            <w:tcW w:w="1060" w:type="dxa"/>
            <w:tcBorders>
              <w:top w:val="nil"/>
              <w:left w:val="nil"/>
              <w:bottom w:val="nil"/>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29.75</w:t>
            </w:r>
          </w:p>
        </w:tc>
      </w:tr>
      <w:tr w:rsidR="00156CF7" w:rsidRPr="00156CF7" w:rsidTr="00156CF7">
        <w:trPr>
          <w:trHeight w:val="270"/>
        </w:trPr>
        <w:tc>
          <w:tcPr>
            <w:tcW w:w="9480" w:type="dxa"/>
            <w:gridSpan w:val="6"/>
            <w:tcBorders>
              <w:top w:val="single" w:sz="8" w:space="0" w:color="auto"/>
              <w:left w:val="single" w:sz="8" w:space="0" w:color="auto"/>
              <w:bottom w:val="single" w:sz="8" w:space="0" w:color="auto"/>
              <w:right w:val="single" w:sz="8" w:space="0" w:color="000000"/>
            </w:tcBorders>
            <w:shd w:val="clear" w:color="000000" w:fill="C0C0C0"/>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 </w:t>
            </w:r>
          </w:p>
        </w:tc>
      </w:tr>
      <w:tr w:rsidR="00156CF7" w:rsidRPr="00156CF7" w:rsidTr="00156CF7">
        <w:trPr>
          <w:trHeight w:val="270"/>
        </w:trPr>
        <w:tc>
          <w:tcPr>
            <w:tcW w:w="4380" w:type="dxa"/>
            <w:tcBorders>
              <w:top w:val="nil"/>
              <w:left w:val="single" w:sz="8" w:space="0" w:color="auto"/>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TOTAL FOR ALL AGENCY ACTION PER YEAR</w:t>
            </w:r>
          </w:p>
        </w:tc>
        <w:tc>
          <w:tcPr>
            <w:tcW w:w="1000" w:type="dxa"/>
            <w:tcBorders>
              <w:top w:val="nil"/>
              <w:left w:val="nil"/>
              <w:bottom w:val="single" w:sz="8" w:space="0" w:color="auto"/>
              <w:right w:val="single" w:sz="4" w:space="0" w:color="auto"/>
            </w:tcBorders>
            <w:shd w:val="clear" w:color="auto" w:fill="auto"/>
            <w:noWrap/>
            <w:vAlign w:val="bottom"/>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 </w:t>
            </w:r>
          </w:p>
        </w:tc>
        <w:tc>
          <w:tcPr>
            <w:tcW w:w="1100" w:type="dxa"/>
            <w:tcBorders>
              <w:top w:val="nil"/>
              <w:left w:val="nil"/>
              <w:bottom w:val="single" w:sz="8" w:space="0" w:color="auto"/>
              <w:right w:val="single" w:sz="4" w:space="0" w:color="auto"/>
            </w:tcBorders>
            <w:shd w:val="clear" w:color="auto" w:fill="auto"/>
            <w:noWrap/>
            <w:vAlign w:val="bottom"/>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535</w:t>
            </w:r>
          </w:p>
        </w:tc>
        <w:tc>
          <w:tcPr>
            <w:tcW w:w="960" w:type="dxa"/>
            <w:tcBorders>
              <w:top w:val="nil"/>
              <w:left w:val="nil"/>
              <w:bottom w:val="single" w:sz="8" w:space="0" w:color="auto"/>
              <w:right w:val="single" w:sz="4" w:space="0" w:color="auto"/>
            </w:tcBorders>
            <w:shd w:val="clear" w:color="auto" w:fill="auto"/>
            <w:noWrap/>
            <w:vAlign w:val="bottom"/>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3,234</w:t>
            </w:r>
          </w:p>
        </w:tc>
        <w:tc>
          <w:tcPr>
            <w:tcW w:w="980" w:type="dxa"/>
            <w:tcBorders>
              <w:top w:val="nil"/>
              <w:left w:val="nil"/>
              <w:bottom w:val="single" w:sz="8" w:space="0" w:color="auto"/>
              <w:right w:val="single" w:sz="4" w:space="0" w:color="auto"/>
            </w:tcBorders>
            <w:shd w:val="clear" w:color="auto" w:fill="auto"/>
            <w:noWrap/>
            <w:vAlign w:val="bottom"/>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1,880</w:t>
            </w:r>
          </w:p>
        </w:tc>
        <w:tc>
          <w:tcPr>
            <w:tcW w:w="1060" w:type="dxa"/>
            <w:tcBorders>
              <w:top w:val="nil"/>
              <w:left w:val="nil"/>
              <w:bottom w:val="single" w:sz="8" w:space="0" w:color="auto"/>
              <w:right w:val="single" w:sz="8" w:space="0" w:color="auto"/>
            </w:tcBorders>
            <w:shd w:val="clear" w:color="auto" w:fill="auto"/>
            <w:noWrap/>
            <w:vAlign w:val="bottom"/>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50</w:t>
            </w:r>
          </w:p>
        </w:tc>
      </w:tr>
    </w:tbl>
    <w:p w:rsidR="00DC38AD" w:rsidRDefault="00DC38AD">
      <w:pPr>
        <w:rPr>
          <w:rFonts w:ascii="Times New Roman" w:hAnsi="Times New Roman" w:cs="Courier"/>
        </w:rPr>
      </w:pPr>
    </w:p>
    <w:p w:rsidR="00EA018D" w:rsidRPr="00877602" w:rsidRDefault="00EA018D">
      <w:pPr>
        <w:rPr>
          <w:rFonts w:ascii="Times New Roman" w:hAnsi="Times New Roman" w:cs="Courier"/>
        </w:rPr>
      </w:pPr>
      <w:r w:rsidRPr="00877602">
        <w:rPr>
          <w:rFonts w:ascii="Times New Roman" w:hAnsi="Times New Roman" w:cs="Courier"/>
        </w:rPr>
        <w:t>d)</w:t>
      </w:r>
      <w:r w:rsidRPr="00877602">
        <w:rPr>
          <w:rFonts w:ascii="Times New Roman" w:hAnsi="Times New Roman" w:cs="Courier"/>
        </w:rPr>
        <w:tab/>
      </w:r>
      <w:r w:rsidR="00BE1296" w:rsidRPr="00877602">
        <w:rPr>
          <w:rFonts w:ascii="Times New Roman" w:hAnsi="Times New Roman" w:cs="Courier"/>
        </w:rPr>
        <w:t>Estimating the Respondent Universe</w:t>
      </w:r>
    </w:p>
    <w:p w:rsidR="00C5630D" w:rsidRDefault="00C5630D" w:rsidP="00260DA4">
      <w:pPr>
        <w:pStyle w:val="Level1"/>
        <w:tabs>
          <w:tab w:val="left" w:pos="-1440"/>
        </w:tabs>
        <w:ind w:left="0" w:firstLine="0"/>
        <w:rPr>
          <w:rFonts w:ascii="Times New Roman" w:hAnsi="Times New Roman"/>
        </w:rPr>
      </w:pPr>
    </w:p>
    <w:p w:rsidR="00C5630D" w:rsidRPr="00721298" w:rsidRDefault="00C5630D" w:rsidP="00260DA4">
      <w:pPr>
        <w:pStyle w:val="Level1"/>
        <w:tabs>
          <w:tab w:val="left" w:pos="-1440"/>
        </w:tabs>
        <w:ind w:left="0" w:firstLine="0"/>
        <w:rPr>
          <w:rFonts w:ascii="Times New Roman" w:hAnsi="Times New Roman"/>
        </w:rPr>
      </w:pPr>
      <w:r>
        <w:rPr>
          <w:rFonts w:ascii="Times New Roman" w:hAnsi="Times New Roman"/>
        </w:rPr>
        <w:tab/>
      </w:r>
      <w:r w:rsidRPr="00877602">
        <w:rPr>
          <w:rFonts w:ascii="Times New Roman" w:hAnsi="Times New Roman"/>
        </w:rPr>
        <w:t>EPA</w:t>
      </w:r>
      <w:r>
        <w:rPr>
          <w:rFonts w:ascii="Times New Roman" w:hAnsi="Times New Roman"/>
        </w:rPr>
        <w:t>’s estimate of the</w:t>
      </w:r>
      <w:r w:rsidRPr="00877602">
        <w:rPr>
          <w:rFonts w:ascii="Times New Roman" w:hAnsi="Times New Roman"/>
        </w:rPr>
        <w:t xml:space="preserve"> number of regulated entities </w:t>
      </w:r>
      <w:r>
        <w:rPr>
          <w:rFonts w:ascii="Times New Roman" w:hAnsi="Times New Roman"/>
        </w:rPr>
        <w:t>is based</w:t>
      </w:r>
      <w:r w:rsidRPr="00877602">
        <w:rPr>
          <w:rFonts w:ascii="Times New Roman" w:hAnsi="Times New Roman"/>
        </w:rPr>
        <w:t xml:space="preserve"> upon </w:t>
      </w:r>
      <w:r>
        <w:rPr>
          <w:rFonts w:ascii="Times New Roman" w:hAnsi="Times New Roman"/>
        </w:rPr>
        <w:t xml:space="preserve">the Agency’s </w:t>
      </w:r>
      <w:r w:rsidRPr="00877602">
        <w:rPr>
          <w:rFonts w:ascii="Times New Roman" w:hAnsi="Times New Roman"/>
        </w:rPr>
        <w:t xml:space="preserve">experience regulating </w:t>
      </w:r>
      <w:r>
        <w:rPr>
          <w:rFonts w:ascii="Times New Roman" w:hAnsi="Times New Roman"/>
        </w:rPr>
        <w:t>those</w:t>
      </w:r>
      <w:r w:rsidRPr="00877602">
        <w:rPr>
          <w:rFonts w:ascii="Times New Roman" w:hAnsi="Times New Roman"/>
        </w:rPr>
        <w:t xml:space="preserve"> entities</w:t>
      </w:r>
      <w:r>
        <w:rPr>
          <w:rFonts w:ascii="Times New Roman" w:hAnsi="Times New Roman"/>
        </w:rPr>
        <w:t xml:space="preserve"> under the CUE program for the last </w:t>
      </w:r>
      <w:r w:rsidR="00C257EA">
        <w:rPr>
          <w:rFonts w:ascii="Times New Roman" w:hAnsi="Times New Roman"/>
        </w:rPr>
        <w:t>nine</w:t>
      </w:r>
      <w:r>
        <w:rPr>
          <w:rFonts w:ascii="Times New Roman" w:hAnsi="Times New Roman"/>
        </w:rPr>
        <w:t xml:space="preserve"> years. This program does not </w:t>
      </w:r>
      <w:r w:rsidR="00C257EA">
        <w:rPr>
          <w:rFonts w:ascii="Times New Roman" w:hAnsi="Times New Roman"/>
        </w:rPr>
        <w:t>require reporting or recordkeeping from</w:t>
      </w:r>
      <w:r>
        <w:rPr>
          <w:rFonts w:ascii="Times New Roman" w:hAnsi="Times New Roman"/>
        </w:rPr>
        <w:t xml:space="preserve"> end users of methyl bromide, but the Agency </w:t>
      </w:r>
      <w:r w:rsidR="009C1091">
        <w:rPr>
          <w:rFonts w:ascii="Times New Roman" w:hAnsi="Times New Roman"/>
        </w:rPr>
        <w:t xml:space="preserve">is able to make an estimation </w:t>
      </w:r>
      <w:r w:rsidR="009C1091" w:rsidRPr="00C5630D">
        <w:rPr>
          <w:rFonts w:ascii="Times New Roman" w:hAnsi="Times New Roman"/>
        </w:rPr>
        <w:t xml:space="preserve">based on self </w:t>
      </w:r>
      <w:r w:rsidR="009C1091" w:rsidRPr="00721298">
        <w:rPr>
          <w:rFonts w:ascii="Times New Roman" w:hAnsi="Times New Roman"/>
        </w:rPr>
        <w:t>reported data from entities who requested an exemption.</w:t>
      </w:r>
    </w:p>
    <w:p w:rsidR="009C1091" w:rsidRPr="00721298" w:rsidRDefault="009C1091" w:rsidP="00721298">
      <w:pPr>
        <w:rPr>
          <w:rFonts w:ascii="Times New Roman" w:hAnsi="Times New Roman"/>
        </w:rPr>
      </w:pPr>
      <w:r w:rsidRPr="00721298">
        <w:rPr>
          <w:rFonts w:ascii="Times New Roman" w:hAnsi="Times New Roman"/>
        </w:rPr>
        <w:tab/>
        <w:t xml:space="preserve">As mentioned above, the number of applications </w:t>
      </w:r>
      <w:r w:rsidR="007C5EAA">
        <w:rPr>
          <w:rFonts w:ascii="Times New Roman" w:hAnsi="Times New Roman"/>
        </w:rPr>
        <w:t>has been declining, and was 33 last year</w:t>
      </w:r>
      <w:r w:rsidRPr="00721298">
        <w:rPr>
          <w:rFonts w:ascii="Times New Roman" w:hAnsi="Times New Roman"/>
        </w:rPr>
        <w:t xml:space="preserve">.  </w:t>
      </w:r>
      <w:r w:rsidR="007C5EAA">
        <w:rPr>
          <w:rFonts w:ascii="Times New Roman" w:hAnsi="Times New Roman"/>
        </w:rPr>
        <w:t xml:space="preserve">The number of applicants for the exemption is much less </w:t>
      </w:r>
      <w:r w:rsidRPr="00721298">
        <w:rPr>
          <w:rFonts w:ascii="Times New Roman" w:hAnsi="Times New Roman"/>
        </w:rPr>
        <w:t xml:space="preserve">than the estimated end user universe of </w:t>
      </w:r>
      <w:r w:rsidR="00127391">
        <w:rPr>
          <w:rFonts w:ascii="Times New Roman" w:hAnsi="Times New Roman"/>
        </w:rPr>
        <w:t>1</w:t>
      </w:r>
      <w:r w:rsidR="00F74A9D">
        <w:rPr>
          <w:rFonts w:ascii="Times New Roman" w:hAnsi="Times New Roman"/>
        </w:rPr>
        <w:t>,</w:t>
      </w:r>
      <w:r w:rsidR="00127391">
        <w:rPr>
          <w:rFonts w:ascii="Times New Roman" w:hAnsi="Times New Roman"/>
        </w:rPr>
        <w:t>800</w:t>
      </w:r>
      <w:r w:rsidRPr="00721298">
        <w:rPr>
          <w:rFonts w:ascii="Times New Roman" w:hAnsi="Times New Roman"/>
        </w:rPr>
        <w:t xml:space="preserve"> as the majority of end users apply through their consortia, not individually. </w:t>
      </w:r>
      <w:r w:rsidR="00003BE5">
        <w:rPr>
          <w:rFonts w:ascii="Times New Roman" w:hAnsi="Times New Roman"/>
        </w:rPr>
        <w:t>EPA continues to encourage u</w:t>
      </w:r>
      <w:r w:rsidR="00721298" w:rsidRPr="00721298">
        <w:rPr>
          <w:rFonts w:ascii="Times New Roman" w:hAnsi="Times New Roman"/>
        </w:rPr>
        <w:t xml:space="preserve">sers </w:t>
      </w:r>
      <w:r w:rsidR="00003BE5">
        <w:rPr>
          <w:rFonts w:ascii="Times New Roman" w:hAnsi="Times New Roman"/>
        </w:rPr>
        <w:t>with similar</w:t>
      </w:r>
      <w:r w:rsidR="00721298" w:rsidRPr="00721298">
        <w:rPr>
          <w:rFonts w:ascii="Times New Roman" w:hAnsi="Times New Roman"/>
        </w:rPr>
        <w:t xml:space="preserve"> circumstances to utilize grower and user organizations to aid in completion of the application, thereby reducing both the burden on applicants (particularly small businesses) and the Agency.  The registrat</w:t>
      </w:r>
      <w:r w:rsidR="002B668C">
        <w:rPr>
          <w:rFonts w:ascii="Times New Roman" w:hAnsi="Times New Roman"/>
        </w:rPr>
        <w:t xml:space="preserve">ion of additional alternatives </w:t>
      </w:r>
      <w:r w:rsidR="00721298" w:rsidRPr="00721298">
        <w:rPr>
          <w:rFonts w:ascii="Times New Roman" w:hAnsi="Times New Roman"/>
        </w:rPr>
        <w:t xml:space="preserve">in the U.S. </w:t>
      </w:r>
      <w:r w:rsidR="00C257EA">
        <w:rPr>
          <w:rFonts w:ascii="Times New Roman" w:hAnsi="Times New Roman"/>
        </w:rPr>
        <w:t>has</w:t>
      </w:r>
      <w:r w:rsidR="00721298" w:rsidRPr="00721298">
        <w:rPr>
          <w:rFonts w:ascii="Times New Roman" w:hAnsi="Times New Roman"/>
        </w:rPr>
        <w:t xml:space="preserve"> also result</w:t>
      </w:r>
      <w:r w:rsidR="00C257EA">
        <w:rPr>
          <w:rFonts w:ascii="Times New Roman" w:hAnsi="Times New Roman"/>
        </w:rPr>
        <w:t>ed</w:t>
      </w:r>
      <w:r w:rsidR="00721298" w:rsidRPr="00721298">
        <w:rPr>
          <w:rFonts w:ascii="Times New Roman" w:hAnsi="Times New Roman"/>
        </w:rPr>
        <w:t xml:space="preserve"> in fewer applications received.  </w:t>
      </w:r>
    </w:p>
    <w:p w:rsidR="00F63CD9" w:rsidRPr="00721298" w:rsidRDefault="009C1091" w:rsidP="00721298">
      <w:pPr>
        <w:pStyle w:val="Level1"/>
        <w:tabs>
          <w:tab w:val="left" w:pos="-1440"/>
        </w:tabs>
        <w:ind w:left="0" w:firstLine="0"/>
        <w:rPr>
          <w:rFonts w:ascii="Times New Roman" w:hAnsi="Times New Roman"/>
        </w:rPr>
      </w:pPr>
      <w:r w:rsidRPr="00721298">
        <w:rPr>
          <w:rFonts w:ascii="Times New Roman" w:hAnsi="Times New Roman"/>
        </w:rPr>
        <w:tab/>
      </w:r>
      <w:r w:rsidR="00C5630D" w:rsidRPr="00721298">
        <w:rPr>
          <w:rFonts w:ascii="Times New Roman" w:hAnsi="Times New Roman"/>
        </w:rPr>
        <w:t xml:space="preserve">There are 4 producers and importers of methyl bromide </w:t>
      </w:r>
      <w:r w:rsidR="00003BE5">
        <w:rPr>
          <w:rFonts w:ascii="Times New Roman" w:hAnsi="Times New Roman"/>
        </w:rPr>
        <w:t xml:space="preserve">who report quarterly and up to </w:t>
      </w:r>
      <w:r w:rsidR="00127391">
        <w:rPr>
          <w:rFonts w:ascii="Times New Roman" w:hAnsi="Times New Roman"/>
        </w:rPr>
        <w:t xml:space="preserve">75 </w:t>
      </w:r>
      <w:r w:rsidR="00C5630D" w:rsidRPr="00721298">
        <w:rPr>
          <w:rFonts w:ascii="Times New Roman" w:hAnsi="Times New Roman"/>
        </w:rPr>
        <w:t xml:space="preserve">distributors/ applicators of methyl bromide who </w:t>
      </w:r>
      <w:r w:rsidR="00003BE5">
        <w:rPr>
          <w:rFonts w:ascii="Times New Roman" w:hAnsi="Times New Roman"/>
        </w:rPr>
        <w:t xml:space="preserve">may </w:t>
      </w:r>
      <w:r w:rsidR="00C5630D" w:rsidRPr="00721298">
        <w:rPr>
          <w:rFonts w:ascii="Times New Roman" w:hAnsi="Times New Roman"/>
        </w:rPr>
        <w:t>report annually</w:t>
      </w:r>
      <w:r w:rsidR="00721298" w:rsidRPr="00721298">
        <w:rPr>
          <w:rFonts w:ascii="Times New Roman" w:hAnsi="Times New Roman"/>
        </w:rPr>
        <w:t xml:space="preserve">. </w:t>
      </w:r>
      <w:r w:rsidR="00CC055D" w:rsidRPr="00721298">
        <w:rPr>
          <w:rFonts w:ascii="Times New Roman" w:hAnsi="Times New Roman"/>
        </w:rPr>
        <w:t>Thus the total number of r</w:t>
      </w:r>
      <w:r w:rsidR="00F66444" w:rsidRPr="00721298">
        <w:rPr>
          <w:rFonts w:ascii="Times New Roman" w:hAnsi="Times New Roman"/>
        </w:rPr>
        <w:t xml:space="preserve">espondents is estimated </w:t>
      </w:r>
      <w:r w:rsidR="00F66444" w:rsidRPr="002B668C">
        <w:rPr>
          <w:rFonts w:ascii="Times New Roman" w:hAnsi="Times New Roman"/>
        </w:rPr>
        <w:t xml:space="preserve">to be </w:t>
      </w:r>
      <w:r w:rsidR="007C5EAA">
        <w:rPr>
          <w:rFonts w:ascii="Times New Roman" w:hAnsi="Times New Roman"/>
        </w:rPr>
        <w:t>1,919</w:t>
      </w:r>
      <w:r w:rsidR="00F66444" w:rsidRPr="002B668C">
        <w:rPr>
          <w:rFonts w:ascii="Times New Roman" w:hAnsi="Times New Roman"/>
        </w:rPr>
        <w:t xml:space="preserve"> (</w:t>
      </w:r>
      <w:r w:rsidR="002B668C" w:rsidRPr="002B668C">
        <w:rPr>
          <w:rFonts w:ascii="Times New Roman" w:hAnsi="Times New Roman"/>
        </w:rPr>
        <w:t>1800</w:t>
      </w:r>
      <w:r w:rsidR="00003BE5" w:rsidRPr="002B668C">
        <w:rPr>
          <w:rFonts w:ascii="Times New Roman" w:hAnsi="Times New Roman"/>
        </w:rPr>
        <w:t xml:space="preserve"> end users, </w:t>
      </w:r>
      <w:r w:rsidR="007C5EAA">
        <w:rPr>
          <w:rFonts w:ascii="Times New Roman" w:hAnsi="Times New Roman"/>
        </w:rPr>
        <w:t>40</w:t>
      </w:r>
      <w:r w:rsidR="00721298" w:rsidRPr="002B668C">
        <w:rPr>
          <w:rFonts w:ascii="Times New Roman" w:hAnsi="Times New Roman"/>
        </w:rPr>
        <w:t xml:space="preserve"> applicants,</w:t>
      </w:r>
      <w:r w:rsidR="00003BE5" w:rsidRPr="002B668C">
        <w:rPr>
          <w:rFonts w:ascii="Times New Roman" w:hAnsi="Times New Roman"/>
        </w:rPr>
        <w:t xml:space="preserve"> </w:t>
      </w:r>
      <w:r w:rsidR="002B668C" w:rsidRPr="002B668C">
        <w:rPr>
          <w:rFonts w:ascii="Times New Roman" w:hAnsi="Times New Roman"/>
        </w:rPr>
        <w:t>75</w:t>
      </w:r>
      <w:r w:rsidR="00721298" w:rsidRPr="002B668C">
        <w:rPr>
          <w:rFonts w:ascii="Times New Roman" w:hAnsi="Times New Roman"/>
        </w:rPr>
        <w:t xml:space="preserve"> distributors/applicators, and</w:t>
      </w:r>
      <w:r w:rsidR="00F66444" w:rsidRPr="002B668C">
        <w:rPr>
          <w:rFonts w:ascii="Times New Roman" w:hAnsi="Times New Roman"/>
        </w:rPr>
        <w:t xml:space="preserve"> 4</w:t>
      </w:r>
      <w:r w:rsidR="00721298" w:rsidRPr="002B668C">
        <w:rPr>
          <w:rFonts w:ascii="Times New Roman" w:hAnsi="Times New Roman"/>
        </w:rPr>
        <w:t xml:space="preserve"> producers/importers</w:t>
      </w:r>
      <w:r w:rsidR="00F66444" w:rsidRPr="002B668C">
        <w:rPr>
          <w:rFonts w:ascii="Times New Roman" w:hAnsi="Times New Roman"/>
        </w:rPr>
        <w:t>)</w:t>
      </w:r>
      <w:r w:rsidR="00CC055D" w:rsidRPr="002B668C">
        <w:rPr>
          <w:rFonts w:ascii="Times New Roman" w:hAnsi="Times New Roman"/>
        </w:rPr>
        <w:t>.</w:t>
      </w:r>
    </w:p>
    <w:p w:rsidR="00F63CD9" w:rsidRPr="00877602" w:rsidRDefault="00F63CD9">
      <w:pPr>
        <w:rPr>
          <w:rFonts w:ascii="Times New Roman" w:hAnsi="Times New Roman" w:cs="Courier"/>
        </w:rPr>
      </w:pPr>
    </w:p>
    <w:p w:rsidR="00F63CD9" w:rsidRPr="00877602" w:rsidRDefault="00F63CD9">
      <w:pPr>
        <w:rPr>
          <w:rFonts w:ascii="Times New Roman" w:hAnsi="Times New Roman" w:cs="Courier"/>
        </w:rPr>
      </w:pPr>
      <w:r w:rsidRPr="00877602">
        <w:rPr>
          <w:rFonts w:ascii="Times New Roman" w:hAnsi="Times New Roman" w:cs="Courier"/>
        </w:rPr>
        <w:t>e)</w:t>
      </w:r>
      <w:r w:rsidRPr="00877602">
        <w:rPr>
          <w:rFonts w:ascii="Times New Roman" w:hAnsi="Times New Roman" w:cs="Courier"/>
        </w:rPr>
        <w:tab/>
        <w:t>Bottom Line Burden Hours and Cost Tables</w:t>
      </w:r>
    </w:p>
    <w:p w:rsidR="00493081" w:rsidRPr="00877602" w:rsidRDefault="00493081">
      <w:pPr>
        <w:rPr>
          <w:rFonts w:ascii="Times New Roman" w:hAnsi="Times New Roman" w:cs="Courier"/>
        </w:rPr>
      </w:pPr>
    </w:p>
    <w:p w:rsidR="005626E2" w:rsidRPr="00877602" w:rsidRDefault="00610C03" w:rsidP="00017F51">
      <w:pPr>
        <w:ind w:firstLine="720"/>
        <w:rPr>
          <w:rFonts w:ascii="Times New Roman" w:hAnsi="Times New Roman" w:cs="Courier"/>
        </w:rPr>
      </w:pPr>
      <w:r w:rsidRPr="00877602">
        <w:rPr>
          <w:rFonts w:ascii="Times New Roman" w:hAnsi="Times New Roman" w:cs="Courier"/>
        </w:rPr>
        <w:t xml:space="preserve">i) </w:t>
      </w:r>
      <w:r w:rsidR="00C42C0F" w:rsidRPr="00877602">
        <w:rPr>
          <w:rFonts w:ascii="Times New Roman" w:hAnsi="Times New Roman" w:cs="Courier"/>
        </w:rPr>
        <w:t xml:space="preserve">The burden </w:t>
      </w:r>
      <w:r w:rsidR="00F63CD9" w:rsidRPr="00877602">
        <w:rPr>
          <w:rFonts w:ascii="Times New Roman" w:hAnsi="Times New Roman" w:cs="Courier"/>
        </w:rPr>
        <w:t xml:space="preserve">hour portion of the respondent </w:t>
      </w:r>
      <w:r w:rsidR="00493081">
        <w:rPr>
          <w:rFonts w:ascii="Times New Roman" w:hAnsi="Times New Roman" w:cs="Courier"/>
        </w:rPr>
        <w:t xml:space="preserve">application, </w:t>
      </w:r>
      <w:r w:rsidR="00F63CD9" w:rsidRPr="00877602">
        <w:rPr>
          <w:rFonts w:ascii="Times New Roman" w:hAnsi="Times New Roman" w:cs="Courier"/>
        </w:rPr>
        <w:t>reporting</w:t>
      </w:r>
      <w:r w:rsidR="00493081">
        <w:rPr>
          <w:rFonts w:ascii="Times New Roman" w:hAnsi="Times New Roman" w:cs="Courier"/>
        </w:rPr>
        <w:t>, and recordkeeping</w:t>
      </w:r>
      <w:r w:rsidR="00F63CD9" w:rsidRPr="00877602">
        <w:rPr>
          <w:rFonts w:ascii="Times New Roman" w:hAnsi="Times New Roman" w:cs="Courier"/>
        </w:rPr>
        <w:t xml:space="preserve"> burden </w:t>
      </w:r>
      <w:r w:rsidRPr="00877602">
        <w:rPr>
          <w:rFonts w:ascii="Times New Roman" w:hAnsi="Times New Roman" w:cs="Courier"/>
        </w:rPr>
        <w:t>and operating/capital costs are</w:t>
      </w:r>
      <w:r w:rsidR="00F63CD9" w:rsidRPr="00877602">
        <w:rPr>
          <w:rFonts w:ascii="Times New Roman" w:hAnsi="Times New Roman" w:cs="Courier"/>
        </w:rPr>
        <w:t xml:space="preserve"> estimated in Table</w:t>
      </w:r>
      <w:r w:rsidRPr="00877602">
        <w:rPr>
          <w:rFonts w:ascii="Times New Roman" w:hAnsi="Times New Roman" w:cs="Courier"/>
        </w:rPr>
        <w:t>s</w:t>
      </w:r>
      <w:r w:rsidR="00F63CD9" w:rsidRPr="00877602">
        <w:rPr>
          <w:rFonts w:ascii="Times New Roman" w:hAnsi="Times New Roman" w:cs="Courier"/>
        </w:rPr>
        <w:t xml:space="preserve"> I</w:t>
      </w:r>
      <w:r w:rsidRPr="00877602">
        <w:rPr>
          <w:rFonts w:ascii="Times New Roman" w:hAnsi="Times New Roman" w:cs="Courier"/>
        </w:rPr>
        <w:t>I and III respectively</w:t>
      </w:r>
      <w:r w:rsidR="00F63CD9" w:rsidRPr="00877602">
        <w:rPr>
          <w:rFonts w:ascii="Times New Roman" w:hAnsi="Times New Roman" w:cs="Courier"/>
        </w:rPr>
        <w:t>.</w:t>
      </w:r>
      <w:r w:rsidR="005626E2" w:rsidRPr="00877602">
        <w:rPr>
          <w:rFonts w:ascii="Times New Roman" w:hAnsi="Times New Roman" w:cs="Courier"/>
        </w:rPr>
        <w:t xml:space="preserve"> The </w:t>
      </w:r>
      <w:r w:rsidRPr="00877602">
        <w:rPr>
          <w:rFonts w:ascii="Times New Roman" w:hAnsi="Times New Roman" w:cs="Courier"/>
        </w:rPr>
        <w:t>dollar estimate associated with this burden is d</w:t>
      </w:r>
      <w:r w:rsidR="005626E2" w:rsidRPr="00877602">
        <w:rPr>
          <w:rFonts w:ascii="Times New Roman" w:hAnsi="Times New Roman" w:cs="Courier"/>
        </w:rPr>
        <w:t>isplayed in Table V</w:t>
      </w:r>
      <w:r w:rsidRPr="00877602">
        <w:rPr>
          <w:rFonts w:ascii="Times New Roman" w:hAnsi="Times New Roman" w:cs="Courier"/>
        </w:rPr>
        <w:t xml:space="preserve"> below</w:t>
      </w:r>
      <w:r w:rsidR="005626E2" w:rsidRPr="00877602">
        <w:rPr>
          <w:rFonts w:ascii="Times New Roman" w:hAnsi="Times New Roman" w:cs="Courier"/>
        </w:rPr>
        <w:t>.</w:t>
      </w:r>
      <w:r w:rsidR="00493081">
        <w:rPr>
          <w:rFonts w:ascii="Times New Roman" w:hAnsi="Times New Roman" w:cs="Courier"/>
        </w:rPr>
        <w:t xml:space="preserve"> </w:t>
      </w:r>
      <w:r w:rsidR="00493081" w:rsidRPr="00493081">
        <w:rPr>
          <w:rFonts w:ascii="Times New Roman" w:hAnsi="Times New Roman" w:cs="Courier"/>
        </w:rPr>
        <w:t xml:space="preserve">The total annual labor cost burden is </w:t>
      </w:r>
      <w:r w:rsidR="00106A16" w:rsidRPr="002B668C">
        <w:rPr>
          <w:rFonts w:ascii="Times New Roman" w:hAnsi="Times New Roman" w:cs="Courier"/>
        </w:rPr>
        <w:t>$</w:t>
      </w:r>
      <w:r w:rsidR="007C5EAA">
        <w:rPr>
          <w:rFonts w:ascii="Times New Roman" w:hAnsi="Times New Roman" w:cs="Courier"/>
        </w:rPr>
        <w:t>988,840</w:t>
      </w:r>
      <w:r w:rsidR="00493081" w:rsidRPr="002B668C">
        <w:rPr>
          <w:rFonts w:ascii="Times New Roman" w:hAnsi="Times New Roman" w:cs="Courier"/>
        </w:rPr>
        <w:t>.</w:t>
      </w:r>
      <w:r w:rsidR="00493081" w:rsidRPr="00493081">
        <w:rPr>
          <w:rFonts w:ascii="Times New Roman" w:hAnsi="Times New Roman" w:cs="Courier"/>
        </w:rPr>
        <w:t xml:space="preserve">  </w:t>
      </w:r>
    </w:p>
    <w:p w:rsidR="005626E2" w:rsidRPr="00877602" w:rsidRDefault="005626E2">
      <w:pPr>
        <w:rPr>
          <w:rFonts w:ascii="Times New Roman" w:hAnsi="Times New Roman" w:cs="Courier"/>
        </w:rPr>
      </w:pPr>
    </w:p>
    <w:p w:rsidR="002B668C" w:rsidRDefault="00F63CD9" w:rsidP="002B668C">
      <w:pPr>
        <w:jc w:val="center"/>
        <w:rPr>
          <w:rFonts w:ascii="Times New Roman" w:hAnsi="Times New Roman" w:cs="Courier"/>
          <w:b/>
        </w:rPr>
      </w:pPr>
      <w:r w:rsidRPr="002B668C">
        <w:rPr>
          <w:rFonts w:ascii="Times New Roman" w:hAnsi="Times New Roman" w:cs="Courier"/>
          <w:b/>
        </w:rPr>
        <w:t>TABLE V- RESPONDENT BURDEN HOURS AND COSTS</w:t>
      </w:r>
    </w:p>
    <w:tbl>
      <w:tblPr>
        <w:tblW w:w="9420" w:type="dxa"/>
        <w:tblInd w:w="93" w:type="dxa"/>
        <w:tblLook w:val="04A0"/>
      </w:tblPr>
      <w:tblGrid>
        <w:gridCol w:w="3680"/>
        <w:gridCol w:w="1480"/>
        <w:gridCol w:w="1720"/>
        <w:gridCol w:w="1180"/>
        <w:gridCol w:w="1360"/>
      </w:tblGrid>
      <w:tr w:rsidR="00156CF7" w:rsidRPr="00156CF7" w:rsidTr="00156CF7">
        <w:trPr>
          <w:trHeight w:val="510"/>
        </w:trPr>
        <w:tc>
          <w:tcPr>
            <w:tcW w:w="3680" w:type="dxa"/>
            <w:tcBorders>
              <w:top w:val="single" w:sz="8" w:space="0" w:color="auto"/>
              <w:left w:val="single" w:sz="8" w:space="0" w:color="auto"/>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center"/>
              <w:rPr>
                <w:rFonts w:ascii="Times New Roman" w:hAnsi="Times New Roman"/>
                <w:b/>
                <w:bCs/>
                <w:sz w:val="20"/>
                <w:szCs w:val="20"/>
              </w:rPr>
            </w:pPr>
            <w:r w:rsidRPr="00156CF7">
              <w:rPr>
                <w:rFonts w:ascii="Times New Roman" w:hAnsi="Times New Roman"/>
                <w:b/>
                <w:bCs/>
                <w:sz w:val="20"/>
                <w:szCs w:val="20"/>
              </w:rPr>
              <w:t>Response</w:t>
            </w:r>
          </w:p>
        </w:tc>
        <w:tc>
          <w:tcPr>
            <w:tcW w:w="1480" w:type="dxa"/>
            <w:tcBorders>
              <w:top w:val="single" w:sz="8" w:space="0" w:color="auto"/>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center"/>
              <w:rPr>
                <w:rFonts w:ascii="Times New Roman" w:hAnsi="Times New Roman"/>
                <w:b/>
                <w:bCs/>
                <w:sz w:val="20"/>
                <w:szCs w:val="20"/>
              </w:rPr>
            </w:pPr>
            <w:r w:rsidRPr="00156CF7">
              <w:rPr>
                <w:rFonts w:ascii="Times New Roman" w:hAnsi="Times New Roman"/>
                <w:b/>
                <w:bCs/>
                <w:sz w:val="20"/>
                <w:szCs w:val="20"/>
              </w:rPr>
              <w:t>No of Responses</w:t>
            </w:r>
          </w:p>
        </w:tc>
        <w:tc>
          <w:tcPr>
            <w:tcW w:w="1720" w:type="dxa"/>
            <w:tcBorders>
              <w:top w:val="single" w:sz="8" w:space="0" w:color="auto"/>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center"/>
              <w:rPr>
                <w:rFonts w:ascii="Times New Roman" w:hAnsi="Times New Roman"/>
                <w:b/>
                <w:bCs/>
                <w:sz w:val="20"/>
                <w:szCs w:val="20"/>
              </w:rPr>
            </w:pPr>
            <w:r w:rsidRPr="00156CF7">
              <w:rPr>
                <w:rFonts w:ascii="Times New Roman" w:hAnsi="Times New Roman"/>
                <w:b/>
                <w:bCs/>
                <w:sz w:val="20"/>
                <w:szCs w:val="20"/>
              </w:rPr>
              <w:t>Hours per response</w:t>
            </w:r>
          </w:p>
        </w:tc>
        <w:tc>
          <w:tcPr>
            <w:tcW w:w="1180" w:type="dxa"/>
            <w:tcBorders>
              <w:top w:val="single" w:sz="8" w:space="0" w:color="auto"/>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center"/>
              <w:rPr>
                <w:rFonts w:ascii="Times New Roman" w:hAnsi="Times New Roman"/>
                <w:b/>
                <w:bCs/>
                <w:sz w:val="20"/>
                <w:szCs w:val="20"/>
              </w:rPr>
            </w:pPr>
            <w:r w:rsidRPr="00156CF7">
              <w:rPr>
                <w:rFonts w:ascii="Times New Roman" w:hAnsi="Times New Roman"/>
                <w:b/>
                <w:bCs/>
                <w:sz w:val="20"/>
                <w:szCs w:val="20"/>
              </w:rPr>
              <w:t>Cost/Hour</w:t>
            </w:r>
          </w:p>
        </w:tc>
        <w:tc>
          <w:tcPr>
            <w:tcW w:w="1360" w:type="dxa"/>
            <w:tcBorders>
              <w:top w:val="single" w:sz="8" w:space="0" w:color="auto"/>
              <w:left w:val="nil"/>
              <w:bottom w:val="single" w:sz="4" w:space="0" w:color="auto"/>
              <w:right w:val="single" w:sz="8" w:space="0" w:color="auto"/>
            </w:tcBorders>
            <w:shd w:val="clear" w:color="auto" w:fill="auto"/>
            <w:hideMark/>
          </w:tcPr>
          <w:p w:rsidR="00156CF7" w:rsidRPr="00156CF7" w:rsidRDefault="00156CF7" w:rsidP="00156CF7">
            <w:pPr>
              <w:widowControl/>
              <w:autoSpaceDE/>
              <w:autoSpaceDN/>
              <w:adjustRightInd/>
              <w:jc w:val="center"/>
              <w:rPr>
                <w:rFonts w:ascii="Times New Roman" w:hAnsi="Times New Roman"/>
                <w:b/>
                <w:bCs/>
                <w:sz w:val="20"/>
                <w:szCs w:val="20"/>
              </w:rPr>
            </w:pPr>
            <w:r w:rsidRPr="00156CF7">
              <w:rPr>
                <w:rFonts w:ascii="Times New Roman" w:hAnsi="Times New Roman"/>
                <w:b/>
                <w:bCs/>
                <w:sz w:val="20"/>
                <w:szCs w:val="20"/>
              </w:rPr>
              <w:t>Total Cost</w:t>
            </w:r>
          </w:p>
        </w:tc>
      </w:tr>
      <w:tr w:rsidR="00156CF7" w:rsidRPr="00156CF7" w:rsidTr="00156CF7">
        <w:trPr>
          <w:trHeight w:val="255"/>
        </w:trPr>
        <w:tc>
          <w:tcPr>
            <w:tcW w:w="3680" w:type="dxa"/>
            <w:tcBorders>
              <w:top w:val="nil"/>
              <w:left w:val="single" w:sz="8" w:space="0" w:color="auto"/>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Application</w:t>
            </w:r>
          </w:p>
        </w:tc>
        <w:tc>
          <w:tcPr>
            <w:tcW w:w="148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40</w:t>
            </w:r>
          </w:p>
        </w:tc>
        <w:tc>
          <w:tcPr>
            <w:tcW w:w="172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38</w:t>
            </w:r>
          </w:p>
        </w:tc>
        <w:tc>
          <w:tcPr>
            <w:tcW w:w="118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 xml:space="preserve">$136.93 </w:t>
            </w:r>
          </w:p>
        </w:tc>
        <w:tc>
          <w:tcPr>
            <w:tcW w:w="1360" w:type="dxa"/>
            <w:tcBorders>
              <w:top w:val="nil"/>
              <w:left w:val="nil"/>
              <w:bottom w:val="single" w:sz="4"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 xml:space="preserve">$208,134 </w:t>
            </w:r>
          </w:p>
        </w:tc>
      </w:tr>
      <w:tr w:rsidR="00156CF7" w:rsidRPr="00156CF7" w:rsidTr="00156CF7">
        <w:trPr>
          <w:trHeight w:val="255"/>
        </w:trPr>
        <w:tc>
          <w:tcPr>
            <w:tcW w:w="3680" w:type="dxa"/>
            <w:tcBorders>
              <w:top w:val="nil"/>
              <w:left w:val="single" w:sz="8" w:space="0" w:color="auto"/>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Recordkeeping and Reporting</w:t>
            </w:r>
          </w:p>
        </w:tc>
        <w:tc>
          <w:tcPr>
            <w:tcW w:w="148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396</w:t>
            </w:r>
          </w:p>
        </w:tc>
        <w:tc>
          <w:tcPr>
            <w:tcW w:w="172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18</w:t>
            </w:r>
          </w:p>
        </w:tc>
        <w:tc>
          <w:tcPr>
            <w:tcW w:w="118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 xml:space="preserve">$100.86 </w:t>
            </w:r>
          </w:p>
        </w:tc>
        <w:tc>
          <w:tcPr>
            <w:tcW w:w="1360" w:type="dxa"/>
            <w:tcBorders>
              <w:top w:val="nil"/>
              <w:left w:val="nil"/>
              <w:bottom w:val="single" w:sz="4"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 xml:space="preserve">$718,930 </w:t>
            </w:r>
          </w:p>
        </w:tc>
      </w:tr>
      <w:tr w:rsidR="00156CF7" w:rsidRPr="00156CF7" w:rsidTr="00156CF7">
        <w:trPr>
          <w:trHeight w:val="525"/>
        </w:trPr>
        <w:tc>
          <w:tcPr>
            <w:tcW w:w="3680" w:type="dxa"/>
            <w:tcBorders>
              <w:top w:val="nil"/>
              <w:left w:val="single" w:sz="8" w:space="0" w:color="auto"/>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Self certification: producers, importers, distributors, end users</w:t>
            </w:r>
          </w:p>
        </w:tc>
        <w:tc>
          <w:tcPr>
            <w:tcW w:w="148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2,450</w:t>
            </w:r>
          </w:p>
        </w:tc>
        <w:tc>
          <w:tcPr>
            <w:tcW w:w="172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0.25</w:t>
            </w:r>
          </w:p>
        </w:tc>
        <w:tc>
          <w:tcPr>
            <w:tcW w:w="1180" w:type="dxa"/>
            <w:tcBorders>
              <w:top w:val="nil"/>
              <w:left w:val="nil"/>
              <w:bottom w:val="single" w:sz="4" w:space="0" w:color="auto"/>
              <w:right w:val="single" w:sz="4"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 xml:space="preserve">$100.86 </w:t>
            </w:r>
          </w:p>
        </w:tc>
        <w:tc>
          <w:tcPr>
            <w:tcW w:w="1360" w:type="dxa"/>
            <w:tcBorders>
              <w:top w:val="nil"/>
              <w:left w:val="nil"/>
              <w:bottom w:val="single" w:sz="4"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sz w:val="20"/>
                <w:szCs w:val="20"/>
              </w:rPr>
            </w:pPr>
            <w:r w:rsidRPr="00156CF7">
              <w:rPr>
                <w:rFonts w:ascii="Times New Roman" w:hAnsi="Times New Roman"/>
                <w:sz w:val="20"/>
                <w:szCs w:val="20"/>
              </w:rPr>
              <w:t xml:space="preserve">$61,777 </w:t>
            </w:r>
          </w:p>
        </w:tc>
      </w:tr>
      <w:tr w:rsidR="00156CF7" w:rsidRPr="00156CF7" w:rsidTr="00156CF7">
        <w:trPr>
          <w:trHeight w:val="270"/>
        </w:trPr>
        <w:tc>
          <w:tcPr>
            <w:tcW w:w="3680" w:type="dxa"/>
            <w:tcBorders>
              <w:top w:val="single" w:sz="8" w:space="0" w:color="auto"/>
              <w:left w:val="single" w:sz="8" w:space="0" w:color="auto"/>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b/>
                <w:bCs/>
                <w:sz w:val="20"/>
                <w:szCs w:val="20"/>
              </w:rPr>
            </w:pPr>
            <w:r w:rsidRPr="00156CF7">
              <w:rPr>
                <w:rFonts w:ascii="Times New Roman" w:hAnsi="Times New Roman"/>
                <w:b/>
                <w:bCs/>
                <w:sz w:val="20"/>
                <w:szCs w:val="20"/>
              </w:rPr>
              <w:t>Total</w:t>
            </w:r>
          </w:p>
        </w:tc>
        <w:tc>
          <w:tcPr>
            <w:tcW w:w="1480" w:type="dxa"/>
            <w:tcBorders>
              <w:top w:val="single" w:sz="8"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 </w:t>
            </w:r>
          </w:p>
        </w:tc>
        <w:tc>
          <w:tcPr>
            <w:tcW w:w="1720" w:type="dxa"/>
            <w:tcBorders>
              <w:top w:val="single" w:sz="8"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 </w:t>
            </w:r>
          </w:p>
        </w:tc>
        <w:tc>
          <w:tcPr>
            <w:tcW w:w="1180" w:type="dxa"/>
            <w:tcBorders>
              <w:top w:val="single" w:sz="8" w:space="0" w:color="auto"/>
              <w:left w:val="nil"/>
              <w:bottom w:val="single" w:sz="8" w:space="0" w:color="auto"/>
              <w:right w:val="single" w:sz="4" w:space="0" w:color="auto"/>
            </w:tcBorders>
            <w:shd w:val="clear" w:color="auto" w:fill="auto"/>
            <w:hideMark/>
          </w:tcPr>
          <w:p w:rsidR="00156CF7" w:rsidRPr="00156CF7" w:rsidRDefault="00156CF7" w:rsidP="00156CF7">
            <w:pPr>
              <w:widowControl/>
              <w:autoSpaceDE/>
              <w:autoSpaceDN/>
              <w:adjustRightInd/>
              <w:rPr>
                <w:rFonts w:ascii="Times New Roman" w:hAnsi="Times New Roman"/>
                <w:sz w:val="20"/>
                <w:szCs w:val="20"/>
              </w:rPr>
            </w:pPr>
            <w:r w:rsidRPr="00156CF7">
              <w:rPr>
                <w:rFonts w:ascii="Times New Roman" w:hAnsi="Times New Roman"/>
                <w:sz w:val="20"/>
                <w:szCs w:val="20"/>
              </w:rPr>
              <w:t> </w:t>
            </w:r>
          </w:p>
        </w:tc>
        <w:tc>
          <w:tcPr>
            <w:tcW w:w="1360" w:type="dxa"/>
            <w:tcBorders>
              <w:top w:val="single" w:sz="8" w:space="0" w:color="auto"/>
              <w:left w:val="nil"/>
              <w:bottom w:val="single" w:sz="8" w:space="0" w:color="auto"/>
              <w:right w:val="single" w:sz="8" w:space="0" w:color="auto"/>
            </w:tcBorders>
            <w:shd w:val="clear" w:color="auto" w:fill="auto"/>
            <w:hideMark/>
          </w:tcPr>
          <w:p w:rsidR="00156CF7" w:rsidRPr="00156CF7" w:rsidRDefault="00156CF7" w:rsidP="00156CF7">
            <w:pPr>
              <w:widowControl/>
              <w:autoSpaceDE/>
              <w:autoSpaceDN/>
              <w:adjustRightInd/>
              <w:jc w:val="right"/>
              <w:rPr>
                <w:rFonts w:ascii="Times New Roman" w:hAnsi="Times New Roman"/>
                <w:b/>
                <w:bCs/>
                <w:sz w:val="20"/>
                <w:szCs w:val="20"/>
              </w:rPr>
            </w:pPr>
            <w:r w:rsidRPr="00156CF7">
              <w:rPr>
                <w:rFonts w:ascii="Times New Roman" w:hAnsi="Times New Roman"/>
                <w:b/>
                <w:bCs/>
                <w:sz w:val="20"/>
                <w:szCs w:val="20"/>
              </w:rPr>
              <w:t xml:space="preserve">$988,840 </w:t>
            </w:r>
          </w:p>
        </w:tc>
      </w:tr>
    </w:tbl>
    <w:p w:rsidR="00A002BF" w:rsidRDefault="00A002BF">
      <w:pPr>
        <w:rPr>
          <w:rFonts w:ascii="Times New Roman" w:hAnsi="Times New Roman" w:cs="Courier"/>
        </w:rPr>
      </w:pPr>
    </w:p>
    <w:p w:rsidR="00106A16" w:rsidRPr="002B668C" w:rsidRDefault="00F850C7">
      <w:pPr>
        <w:rPr>
          <w:rFonts w:ascii="Times New Roman" w:hAnsi="Times New Roman" w:cs="Courier"/>
        </w:rPr>
      </w:pPr>
      <w:r w:rsidRPr="00877602">
        <w:rPr>
          <w:rFonts w:ascii="Times New Roman" w:hAnsi="Times New Roman" w:cs="Courier"/>
        </w:rPr>
        <w:tab/>
      </w:r>
      <w:r w:rsidR="00610C03" w:rsidRPr="00877602">
        <w:rPr>
          <w:rFonts w:ascii="Times New Roman" w:hAnsi="Times New Roman" w:cs="Courier"/>
        </w:rPr>
        <w:t xml:space="preserve">ii) </w:t>
      </w:r>
      <w:r w:rsidR="00106A16" w:rsidRPr="00106A16">
        <w:rPr>
          <w:rFonts w:ascii="Times New Roman" w:hAnsi="Times New Roman" w:cs="Courier"/>
        </w:rPr>
        <w:t>Agency burden is repo</w:t>
      </w:r>
      <w:r w:rsidR="00106A16">
        <w:rPr>
          <w:rFonts w:ascii="Times New Roman" w:hAnsi="Times New Roman" w:cs="Courier"/>
        </w:rPr>
        <w:t>rted in Table I</w:t>
      </w:r>
      <w:r w:rsidR="00003BE5">
        <w:rPr>
          <w:rFonts w:ascii="Times New Roman" w:hAnsi="Times New Roman" w:cs="Courier"/>
        </w:rPr>
        <w:t>V</w:t>
      </w:r>
      <w:r w:rsidR="00106A16">
        <w:rPr>
          <w:rFonts w:ascii="Times New Roman" w:hAnsi="Times New Roman" w:cs="Courier"/>
        </w:rPr>
        <w:t xml:space="preserve">.  This includes technical review of each application as well as </w:t>
      </w:r>
      <w:r w:rsidR="00106A16" w:rsidRPr="00877602">
        <w:rPr>
          <w:rFonts w:ascii="Times New Roman" w:hAnsi="Times New Roman" w:cs="Courier"/>
        </w:rPr>
        <w:t xml:space="preserve">distributing critical use allowances, reviewing reporting data, submitting data to the Ozone Secretariat on U.S. compliance, </w:t>
      </w:r>
      <w:r w:rsidR="00106A16">
        <w:rPr>
          <w:rFonts w:ascii="Times New Roman" w:hAnsi="Times New Roman" w:cs="Courier"/>
        </w:rPr>
        <w:t xml:space="preserve">preparing nominations, </w:t>
      </w:r>
      <w:r w:rsidR="00106A16" w:rsidRPr="00877602">
        <w:rPr>
          <w:rFonts w:ascii="Times New Roman" w:hAnsi="Times New Roman" w:cs="Courier"/>
        </w:rPr>
        <w:t>and developing guidance for regulated entities.</w:t>
      </w:r>
      <w:r w:rsidR="00106A16" w:rsidRPr="00106A16">
        <w:rPr>
          <w:rFonts w:ascii="Times New Roman" w:hAnsi="Times New Roman" w:cs="Courier"/>
        </w:rPr>
        <w:t xml:space="preserve"> </w:t>
      </w:r>
      <w:r w:rsidR="00106A16" w:rsidRPr="00493081">
        <w:rPr>
          <w:rFonts w:ascii="Times New Roman" w:hAnsi="Times New Roman" w:cs="Courier"/>
        </w:rPr>
        <w:t>The total annual labor cost burden</w:t>
      </w:r>
      <w:r w:rsidR="006F65DF" w:rsidRPr="006F65DF">
        <w:rPr>
          <w:rFonts w:ascii="Times New Roman" w:hAnsi="Times New Roman" w:cs="Courier"/>
        </w:rPr>
        <w:t xml:space="preserve"> </w:t>
      </w:r>
      <w:r w:rsidR="006F65DF">
        <w:rPr>
          <w:rFonts w:ascii="Times New Roman" w:hAnsi="Times New Roman" w:cs="Courier"/>
        </w:rPr>
        <w:t xml:space="preserve">below in </w:t>
      </w:r>
      <w:r w:rsidR="006F65DF" w:rsidRPr="002B668C">
        <w:rPr>
          <w:rFonts w:ascii="Times New Roman" w:hAnsi="Times New Roman" w:cs="Courier"/>
        </w:rPr>
        <w:t>Table VI</w:t>
      </w:r>
      <w:r w:rsidR="00106A16" w:rsidRPr="002B668C">
        <w:rPr>
          <w:rFonts w:ascii="Times New Roman" w:hAnsi="Times New Roman" w:cs="Courier"/>
        </w:rPr>
        <w:t xml:space="preserve"> is $</w:t>
      </w:r>
      <w:r w:rsidR="002B668C" w:rsidRPr="002B668C">
        <w:rPr>
          <w:rFonts w:ascii="Times New Roman" w:hAnsi="Times New Roman" w:cs="Courier"/>
        </w:rPr>
        <w:t>6,577</w:t>
      </w:r>
      <w:r w:rsidR="00945E96" w:rsidRPr="002B668C">
        <w:rPr>
          <w:rFonts w:ascii="Times New Roman" w:hAnsi="Times New Roman" w:cs="Courier"/>
        </w:rPr>
        <w:t xml:space="preserve"> per application and $</w:t>
      </w:r>
      <w:r w:rsidR="002B668C" w:rsidRPr="002B668C">
        <w:rPr>
          <w:rFonts w:ascii="Times New Roman" w:hAnsi="Times New Roman" w:cs="Courier"/>
        </w:rPr>
        <w:t>1,003</w:t>
      </w:r>
      <w:r w:rsidR="00A53112" w:rsidRPr="002B668C">
        <w:rPr>
          <w:rFonts w:ascii="Times New Roman" w:hAnsi="Times New Roman" w:cs="Courier"/>
        </w:rPr>
        <w:t xml:space="preserve"> per recordkeeping and reporting response.</w:t>
      </w:r>
      <w:r w:rsidR="00106A16" w:rsidRPr="002B668C">
        <w:rPr>
          <w:rFonts w:ascii="Times New Roman" w:hAnsi="Times New Roman" w:cs="Courier"/>
        </w:rPr>
        <w:t xml:space="preserve">  </w:t>
      </w:r>
      <w:r w:rsidR="00497B34" w:rsidRPr="002B668C">
        <w:rPr>
          <w:rFonts w:ascii="Times New Roman" w:hAnsi="Times New Roman" w:cs="Courier"/>
        </w:rPr>
        <w:t xml:space="preserve">Total </w:t>
      </w:r>
      <w:r w:rsidR="004E44B9" w:rsidRPr="002B668C">
        <w:rPr>
          <w:rFonts w:ascii="Times New Roman" w:hAnsi="Times New Roman" w:cs="Courier"/>
        </w:rPr>
        <w:t xml:space="preserve">annual </w:t>
      </w:r>
      <w:r w:rsidR="00497B34" w:rsidRPr="002B668C">
        <w:rPr>
          <w:rFonts w:ascii="Times New Roman" w:hAnsi="Times New Roman" w:cs="Courier"/>
        </w:rPr>
        <w:t xml:space="preserve">cost to the Agency is </w:t>
      </w:r>
      <w:r w:rsidR="004E44B9" w:rsidRPr="002B668C">
        <w:rPr>
          <w:rFonts w:ascii="Times New Roman" w:hAnsi="Times New Roman" w:cs="Courier"/>
        </w:rPr>
        <w:t>$</w:t>
      </w:r>
      <w:r w:rsidR="007C5EAA">
        <w:rPr>
          <w:rFonts w:ascii="Times New Roman" w:hAnsi="Times New Roman" w:cs="Courier"/>
        </w:rPr>
        <w:t>264,032</w:t>
      </w:r>
      <w:r w:rsidR="002B668C">
        <w:rPr>
          <w:rFonts w:ascii="Times New Roman" w:hAnsi="Times New Roman" w:cs="Courier"/>
        </w:rPr>
        <w:t>.</w:t>
      </w:r>
    </w:p>
    <w:p w:rsidR="00610C03" w:rsidRPr="002B668C" w:rsidRDefault="00610C03">
      <w:pPr>
        <w:rPr>
          <w:rFonts w:ascii="Times New Roman" w:hAnsi="Times New Roman" w:cs="Courier"/>
        </w:rPr>
      </w:pPr>
    </w:p>
    <w:p w:rsidR="00610C03" w:rsidRDefault="00610C03" w:rsidP="00610C03">
      <w:pPr>
        <w:jc w:val="center"/>
        <w:rPr>
          <w:rFonts w:ascii="Times New Roman" w:hAnsi="Times New Roman" w:cs="Courier"/>
          <w:b/>
        </w:rPr>
      </w:pPr>
      <w:r w:rsidRPr="002B668C">
        <w:rPr>
          <w:rFonts w:ascii="Times New Roman" w:hAnsi="Times New Roman" w:cs="Courier"/>
          <w:b/>
        </w:rPr>
        <w:t xml:space="preserve">TABLE VI- </w:t>
      </w:r>
      <w:r w:rsidR="0080783C" w:rsidRPr="002B668C">
        <w:rPr>
          <w:rFonts w:ascii="Times New Roman" w:hAnsi="Times New Roman" w:cs="Courier"/>
          <w:b/>
        </w:rPr>
        <w:t xml:space="preserve">ANNUAL </w:t>
      </w:r>
      <w:r w:rsidRPr="002B668C">
        <w:rPr>
          <w:rFonts w:ascii="Times New Roman" w:hAnsi="Times New Roman" w:cs="Courier"/>
          <w:b/>
        </w:rPr>
        <w:t>AGENCY BURDEN HOURS AND COSTS</w:t>
      </w:r>
    </w:p>
    <w:p w:rsidR="00462413" w:rsidRDefault="00462413">
      <w:pPr>
        <w:rPr>
          <w:rFonts w:ascii="Times New Roman" w:hAnsi="Times New Roman" w:cs="Courier"/>
        </w:rPr>
      </w:pPr>
    </w:p>
    <w:tbl>
      <w:tblPr>
        <w:tblW w:w="9580" w:type="dxa"/>
        <w:tblInd w:w="93" w:type="dxa"/>
        <w:tblLook w:val="04A0"/>
      </w:tblPr>
      <w:tblGrid>
        <w:gridCol w:w="1780"/>
        <w:gridCol w:w="1340"/>
        <w:gridCol w:w="1320"/>
        <w:gridCol w:w="1320"/>
        <w:gridCol w:w="1300"/>
        <w:gridCol w:w="1260"/>
        <w:gridCol w:w="1260"/>
      </w:tblGrid>
      <w:tr w:rsidR="00BB6E78" w:rsidRPr="00BB6E78" w:rsidTr="00BB6E78">
        <w:trPr>
          <w:trHeight w:val="765"/>
        </w:trPr>
        <w:tc>
          <w:tcPr>
            <w:tcW w:w="1780" w:type="dxa"/>
            <w:tcBorders>
              <w:top w:val="single" w:sz="8" w:space="0" w:color="auto"/>
              <w:left w:val="single" w:sz="8" w:space="0" w:color="auto"/>
              <w:bottom w:val="nil"/>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sz w:val="20"/>
                <w:szCs w:val="20"/>
              </w:rPr>
            </w:pPr>
            <w:r w:rsidRPr="00BB6E78">
              <w:rPr>
                <w:rFonts w:ascii="Times New Roman" w:hAnsi="Times New Roman"/>
                <w:sz w:val="20"/>
                <w:szCs w:val="20"/>
              </w:rPr>
              <w:t> </w:t>
            </w:r>
          </w:p>
        </w:tc>
        <w:tc>
          <w:tcPr>
            <w:tcW w:w="1340" w:type="dxa"/>
            <w:tcBorders>
              <w:top w:val="single" w:sz="8" w:space="0" w:color="auto"/>
              <w:left w:val="nil"/>
              <w:bottom w:val="nil"/>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Managerial Hours Annual Total</w:t>
            </w:r>
          </w:p>
        </w:tc>
        <w:tc>
          <w:tcPr>
            <w:tcW w:w="1320" w:type="dxa"/>
            <w:tcBorders>
              <w:top w:val="single" w:sz="8" w:space="0" w:color="auto"/>
              <w:left w:val="nil"/>
              <w:bottom w:val="nil"/>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Technical Hours Annual  Total</w:t>
            </w:r>
          </w:p>
        </w:tc>
        <w:tc>
          <w:tcPr>
            <w:tcW w:w="1320" w:type="dxa"/>
            <w:tcBorders>
              <w:top w:val="single" w:sz="8" w:space="0" w:color="auto"/>
              <w:left w:val="nil"/>
              <w:bottom w:val="nil"/>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 xml:space="preserve">Clerical Hours Annual Total </w:t>
            </w:r>
          </w:p>
        </w:tc>
        <w:tc>
          <w:tcPr>
            <w:tcW w:w="1300" w:type="dxa"/>
            <w:tcBorders>
              <w:top w:val="single" w:sz="8" w:space="0" w:color="auto"/>
              <w:left w:val="nil"/>
              <w:bottom w:val="nil"/>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Extramural Hours Annual Total</w:t>
            </w:r>
          </w:p>
        </w:tc>
        <w:tc>
          <w:tcPr>
            <w:tcW w:w="1260" w:type="dxa"/>
            <w:tcBorders>
              <w:top w:val="single" w:sz="8" w:space="0" w:color="auto"/>
              <w:left w:val="nil"/>
              <w:bottom w:val="nil"/>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Total Agency Hours per Response</w:t>
            </w:r>
          </w:p>
        </w:tc>
        <w:tc>
          <w:tcPr>
            <w:tcW w:w="1260" w:type="dxa"/>
            <w:tcBorders>
              <w:top w:val="single" w:sz="8" w:space="0" w:color="auto"/>
              <w:left w:val="nil"/>
              <w:bottom w:val="nil"/>
              <w:right w:val="single" w:sz="8" w:space="0" w:color="auto"/>
            </w:tcBorders>
            <w:shd w:val="clear" w:color="auto" w:fill="auto"/>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Total Agency Costs per response</w:t>
            </w:r>
          </w:p>
        </w:tc>
      </w:tr>
      <w:tr w:rsidR="00BB6E78" w:rsidRPr="00BB6E78" w:rsidTr="00BB6E78">
        <w:trPr>
          <w:trHeight w:val="255"/>
        </w:trPr>
        <w:tc>
          <w:tcPr>
            <w:tcW w:w="1780" w:type="dxa"/>
            <w:tcBorders>
              <w:top w:val="nil"/>
              <w:left w:val="single" w:sz="8" w:space="0" w:color="auto"/>
              <w:bottom w:val="single" w:sz="4" w:space="0" w:color="auto"/>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 </w:t>
            </w:r>
          </w:p>
        </w:tc>
        <w:tc>
          <w:tcPr>
            <w:tcW w:w="1340" w:type="dxa"/>
            <w:tcBorders>
              <w:top w:val="nil"/>
              <w:left w:val="nil"/>
              <w:bottom w:val="single" w:sz="4" w:space="0" w:color="auto"/>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$76.38</w:t>
            </w:r>
          </w:p>
        </w:tc>
        <w:tc>
          <w:tcPr>
            <w:tcW w:w="1320" w:type="dxa"/>
            <w:tcBorders>
              <w:top w:val="nil"/>
              <w:left w:val="nil"/>
              <w:bottom w:val="single" w:sz="4" w:space="0" w:color="auto"/>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$54.94</w:t>
            </w:r>
          </w:p>
        </w:tc>
        <w:tc>
          <w:tcPr>
            <w:tcW w:w="1320" w:type="dxa"/>
            <w:tcBorders>
              <w:top w:val="nil"/>
              <w:left w:val="nil"/>
              <w:bottom w:val="single" w:sz="4" w:space="0" w:color="auto"/>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$21.02</w:t>
            </w:r>
          </w:p>
        </w:tc>
        <w:tc>
          <w:tcPr>
            <w:tcW w:w="1300" w:type="dxa"/>
            <w:tcBorders>
              <w:top w:val="nil"/>
              <w:left w:val="nil"/>
              <w:bottom w:val="single" w:sz="4" w:space="0" w:color="auto"/>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$120.00</w:t>
            </w:r>
          </w:p>
        </w:tc>
        <w:tc>
          <w:tcPr>
            <w:tcW w:w="1260" w:type="dxa"/>
            <w:tcBorders>
              <w:top w:val="nil"/>
              <w:left w:val="nil"/>
              <w:bottom w:val="single" w:sz="4" w:space="0" w:color="auto"/>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 </w:t>
            </w:r>
          </w:p>
        </w:tc>
        <w:tc>
          <w:tcPr>
            <w:tcW w:w="1260" w:type="dxa"/>
            <w:tcBorders>
              <w:top w:val="nil"/>
              <w:left w:val="nil"/>
              <w:bottom w:val="single" w:sz="4" w:space="0" w:color="auto"/>
              <w:right w:val="single" w:sz="8" w:space="0" w:color="auto"/>
            </w:tcBorders>
            <w:shd w:val="clear" w:color="auto" w:fill="auto"/>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 </w:t>
            </w:r>
          </w:p>
        </w:tc>
      </w:tr>
      <w:tr w:rsidR="00BB6E78" w:rsidRPr="00BB6E78" w:rsidTr="00BB6E78">
        <w:trPr>
          <w:trHeight w:val="270"/>
        </w:trPr>
        <w:tc>
          <w:tcPr>
            <w:tcW w:w="9580" w:type="dxa"/>
            <w:gridSpan w:val="7"/>
            <w:tcBorders>
              <w:top w:val="single" w:sz="4" w:space="0" w:color="auto"/>
              <w:left w:val="single" w:sz="8" w:space="0" w:color="auto"/>
              <w:bottom w:val="double" w:sz="6" w:space="0" w:color="auto"/>
              <w:right w:val="single" w:sz="8" w:space="0" w:color="000000"/>
            </w:tcBorders>
            <w:shd w:val="clear" w:color="000000" w:fill="C0C0C0"/>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Part I.  Hours per response</w:t>
            </w:r>
          </w:p>
        </w:tc>
      </w:tr>
      <w:tr w:rsidR="00BB6E78" w:rsidRPr="00BB6E78" w:rsidTr="00BB6E78">
        <w:trPr>
          <w:trHeight w:val="270"/>
        </w:trPr>
        <w:tc>
          <w:tcPr>
            <w:tcW w:w="1780" w:type="dxa"/>
            <w:tcBorders>
              <w:top w:val="nil"/>
              <w:left w:val="single" w:sz="8" w:space="0" w:color="auto"/>
              <w:bottom w:val="single" w:sz="4" w:space="0" w:color="auto"/>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sz w:val="20"/>
                <w:szCs w:val="20"/>
              </w:rPr>
            </w:pPr>
            <w:r w:rsidRPr="00BB6E78">
              <w:rPr>
                <w:rFonts w:ascii="Times New Roman" w:hAnsi="Times New Roman"/>
                <w:sz w:val="20"/>
                <w:szCs w:val="20"/>
              </w:rPr>
              <w:t xml:space="preserve">     -Application</w:t>
            </w:r>
          </w:p>
        </w:tc>
        <w:tc>
          <w:tcPr>
            <w:tcW w:w="1340" w:type="dxa"/>
            <w:tcBorders>
              <w:top w:val="nil"/>
              <w:left w:val="nil"/>
              <w:bottom w:val="single" w:sz="4" w:space="0" w:color="auto"/>
              <w:right w:val="single" w:sz="4" w:space="0" w:color="auto"/>
            </w:tcBorders>
            <w:shd w:val="clear" w:color="auto" w:fill="auto"/>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17</w:t>
            </w:r>
          </w:p>
        </w:tc>
        <w:tc>
          <w:tcPr>
            <w:tcW w:w="1320" w:type="dxa"/>
            <w:tcBorders>
              <w:top w:val="nil"/>
              <w:left w:val="nil"/>
              <w:bottom w:val="single" w:sz="4" w:space="0" w:color="auto"/>
              <w:right w:val="single" w:sz="4" w:space="0" w:color="auto"/>
            </w:tcBorders>
            <w:shd w:val="clear" w:color="auto" w:fill="auto"/>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77</w:t>
            </w:r>
          </w:p>
        </w:tc>
        <w:tc>
          <w:tcPr>
            <w:tcW w:w="1320" w:type="dxa"/>
            <w:tcBorders>
              <w:top w:val="nil"/>
              <w:left w:val="nil"/>
              <w:bottom w:val="single" w:sz="4" w:space="0" w:color="auto"/>
              <w:right w:val="single" w:sz="4" w:space="0" w:color="auto"/>
            </w:tcBorders>
            <w:shd w:val="clear" w:color="auto" w:fill="auto"/>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47</w:t>
            </w:r>
          </w:p>
        </w:tc>
        <w:tc>
          <w:tcPr>
            <w:tcW w:w="1300" w:type="dxa"/>
            <w:tcBorders>
              <w:top w:val="nil"/>
              <w:left w:val="nil"/>
              <w:bottom w:val="single" w:sz="4" w:space="0" w:color="auto"/>
              <w:right w:val="single" w:sz="4" w:space="0" w:color="auto"/>
            </w:tcBorders>
            <w:shd w:val="clear" w:color="auto" w:fill="auto"/>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0.50</w:t>
            </w:r>
          </w:p>
        </w:tc>
        <w:tc>
          <w:tcPr>
            <w:tcW w:w="1260" w:type="dxa"/>
            <w:tcBorders>
              <w:top w:val="nil"/>
              <w:left w:val="nil"/>
              <w:bottom w:val="single" w:sz="4" w:space="0" w:color="auto"/>
              <w:right w:val="single" w:sz="4" w:space="0" w:color="auto"/>
            </w:tcBorders>
            <w:shd w:val="clear" w:color="auto" w:fill="auto"/>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142</w:t>
            </w:r>
          </w:p>
        </w:tc>
        <w:tc>
          <w:tcPr>
            <w:tcW w:w="1260" w:type="dxa"/>
            <w:tcBorders>
              <w:top w:val="nil"/>
              <w:left w:val="nil"/>
              <w:bottom w:val="single" w:sz="4" w:space="0" w:color="auto"/>
              <w:right w:val="single" w:sz="8" w:space="0" w:color="auto"/>
            </w:tcBorders>
            <w:shd w:val="clear" w:color="auto" w:fill="auto"/>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$6,577</w:t>
            </w:r>
          </w:p>
        </w:tc>
      </w:tr>
      <w:tr w:rsidR="00BB6E78" w:rsidRPr="00BB6E78" w:rsidTr="00BB6E78">
        <w:trPr>
          <w:trHeight w:val="525"/>
        </w:trPr>
        <w:tc>
          <w:tcPr>
            <w:tcW w:w="1780" w:type="dxa"/>
            <w:tcBorders>
              <w:top w:val="nil"/>
              <w:left w:val="single" w:sz="8" w:space="0" w:color="auto"/>
              <w:bottom w:val="nil"/>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sz w:val="20"/>
                <w:szCs w:val="20"/>
              </w:rPr>
            </w:pPr>
            <w:r w:rsidRPr="00BB6E78">
              <w:rPr>
                <w:rFonts w:ascii="Times New Roman" w:hAnsi="Times New Roman"/>
                <w:sz w:val="20"/>
                <w:szCs w:val="20"/>
              </w:rPr>
              <w:t xml:space="preserve">     -Recordkeeping and reporting</w:t>
            </w:r>
          </w:p>
        </w:tc>
        <w:tc>
          <w:tcPr>
            <w:tcW w:w="1340" w:type="dxa"/>
            <w:tcBorders>
              <w:top w:val="nil"/>
              <w:left w:val="nil"/>
              <w:bottom w:val="nil"/>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1.25</w:t>
            </w:r>
          </w:p>
        </w:tc>
        <w:tc>
          <w:tcPr>
            <w:tcW w:w="1320" w:type="dxa"/>
            <w:tcBorders>
              <w:top w:val="nil"/>
              <w:left w:val="nil"/>
              <w:bottom w:val="nil"/>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13.25</w:t>
            </w:r>
          </w:p>
        </w:tc>
        <w:tc>
          <w:tcPr>
            <w:tcW w:w="1320" w:type="dxa"/>
            <w:tcBorders>
              <w:top w:val="nil"/>
              <w:left w:val="nil"/>
              <w:bottom w:val="nil"/>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0</w:t>
            </w:r>
          </w:p>
        </w:tc>
        <w:tc>
          <w:tcPr>
            <w:tcW w:w="1300" w:type="dxa"/>
            <w:tcBorders>
              <w:top w:val="nil"/>
              <w:left w:val="nil"/>
              <w:bottom w:val="nil"/>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1.50</w:t>
            </w:r>
          </w:p>
        </w:tc>
        <w:tc>
          <w:tcPr>
            <w:tcW w:w="1260" w:type="dxa"/>
            <w:tcBorders>
              <w:top w:val="nil"/>
              <w:left w:val="nil"/>
              <w:bottom w:val="nil"/>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16.00</w:t>
            </w:r>
          </w:p>
        </w:tc>
        <w:tc>
          <w:tcPr>
            <w:tcW w:w="1260" w:type="dxa"/>
            <w:tcBorders>
              <w:top w:val="nil"/>
              <w:left w:val="nil"/>
              <w:bottom w:val="nil"/>
              <w:right w:val="single" w:sz="8" w:space="0" w:color="auto"/>
            </w:tcBorders>
            <w:shd w:val="clear" w:color="auto" w:fill="auto"/>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$1,003</w:t>
            </w:r>
          </w:p>
        </w:tc>
      </w:tr>
      <w:tr w:rsidR="00BB6E78" w:rsidRPr="00BB6E78" w:rsidTr="00BB6E78">
        <w:trPr>
          <w:trHeight w:val="270"/>
        </w:trPr>
        <w:tc>
          <w:tcPr>
            <w:tcW w:w="9580" w:type="dxa"/>
            <w:gridSpan w:val="7"/>
            <w:tcBorders>
              <w:top w:val="single" w:sz="8" w:space="0" w:color="auto"/>
              <w:left w:val="single" w:sz="8" w:space="0" w:color="auto"/>
              <w:bottom w:val="double" w:sz="6" w:space="0" w:color="auto"/>
              <w:right w:val="single" w:sz="8" w:space="0" w:color="000000"/>
            </w:tcBorders>
            <w:shd w:val="clear" w:color="000000" w:fill="C0C0C0"/>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Part II. Hours per year</w:t>
            </w:r>
          </w:p>
        </w:tc>
      </w:tr>
      <w:tr w:rsidR="00BB6E78" w:rsidRPr="00BB6E78" w:rsidTr="00BB6E78">
        <w:trPr>
          <w:trHeight w:val="270"/>
        </w:trPr>
        <w:tc>
          <w:tcPr>
            <w:tcW w:w="1780" w:type="dxa"/>
            <w:tcBorders>
              <w:top w:val="nil"/>
              <w:left w:val="single" w:sz="8" w:space="0" w:color="auto"/>
              <w:bottom w:val="single" w:sz="4" w:space="0" w:color="auto"/>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sz w:val="20"/>
                <w:szCs w:val="20"/>
              </w:rPr>
            </w:pPr>
            <w:r w:rsidRPr="00BB6E78">
              <w:rPr>
                <w:rFonts w:ascii="Times New Roman" w:hAnsi="Times New Roman"/>
                <w:sz w:val="20"/>
                <w:szCs w:val="20"/>
              </w:rPr>
              <w:t xml:space="preserve">     -Application</w:t>
            </w:r>
          </w:p>
        </w:tc>
        <w:tc>
          <w:tcPr>
            <w:tcW w:w="1340" w:type="dxa"/>
            <w:tcBorders>
              <w:top w:val="nil"/>
              <w:left w:val="nil"/>
              <w:bottom w:val="single" w:sz="4" w:space="0" w:color="auto"/>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480</w:t>
            </w:r>
          </w:p>
        </w:tc>
        <w:tc>
          <w:tcPr>
            <w:tcW w:w="1320" w:type="dxa"/>
            <w:tcBorders>
              <w:top w:val="nil"/>
              <w:left w:val="nil"/>
              <w:bottom w:val="single" w:sz="4" w:space="0" w:color="auto"/>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3,060</w:t>
            </w:r>
          </w:p>
        </w:tc>
        <w:tc>
          <w:tcPr>
            <w:tcW w:w="1320" w:type="dxa"/>
            <w:tcBorders>
              <w:top w:val="nil"/>
              <w:left w:val="nil"/>
              <w:bottom w:val="single" w:sz="4" w:space="0" w:color="auto"/>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1,880</w:t>
            </w:r>
          </w:p>
        </w:tc>
        <w:tc>
          <w:tcPr>
            <w:tcW w:w="1300" w:type="dxa"/>
            <w:tcBorders>
              <w:top w:val="nil"/>
              <w:left w:val="nil"/>
              <w:bottom w:val="single" w:sz="4" w:space="0" w:color="auto"/>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20</w:t>
            </w:r>
          </w:p>
        </w:tc>
        <w:tc>
          <w:tcPr>
            <w:tcW w:w="1260" w:type="dxa"/>
            <w:tcBorders>
              <w:top w:val="nil"/>
              <w:left w:val="nil"/>
              <w:bottom w:val="single" w:sz="4" w:space="0" w:color="auto"/>
              <w:right w:val="nil"/>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5,440</w:t>
            </w:r>
          </w:p>
        </w:tc>
        <w:tc>
          <w:tcPr>
            <w:tcW w:w="1260" w:type="dxa"/>
            <w:tcBorders>
              <w:top w:val="double" w:sz="6" w:space="0" w:color="auto"/>
              <w:left w:val="single" w:sz="4" w:space="0" w:color="auto"/>
              <w:bottom w:val="nil"/>
              <w:right w:val="single" w:sz="8" w:space="0" w:color="auto"/>
            </w:tcBorders>
            <w:shd w:val="clear" w:color="auto" w:fill="auto"/>
            <w:vAlign w:val="bottom"/>
            <w:hideMark/>
          </w:tcPr>
          <w:p w:rsidR="00BB6E78" w:rsidRPr="00BB6E78" w:rsidRDefault="00BB6E78" w:rsidP="00BB6E78">
            <w:pPr>
              <w:widowControl/>
              <w:autoSpaceDE/>
              <w:autoSpaceDN/>
              <w:adjustRightInd/>
              <w:rPr>
                <w:rFonts w:ascii="Times New Roman" w:hAnsi="Times New Roman"/>
                <w:sz w:val="20"/>
                <w:szCs w:val="20"/>
              </w:rPr>
            </w:pPr>
            <w:r w:rsidRPr="00BB6E78">
              <w:rPr>
                <w:rFonts w:ascii="Times New Roman" w:hAnsi="Times New Roman"/>
                <w:sz w:val="20"/>
                <w:szCs w:val="20"/>
              </w:rPr>
              <w:t> </w:t>
            </w:r>
          </w:p>
        </w:tc>
      </w:tr>
      <w:tr w:rsidR="00BB6E78" w:rsidRPr="00BB6E78" w:rsidTr="00BB6E78">
        <w:trPr>
          <w:trHeight w:val="525"/>
        </w:trPr>
        <w:tc>
          <w:tcPr>
            <w:tcW w:w="1780" w:type="dxa"/>
            <w:tcBorders>
              <w:top w:val="nil"/>
              <w:left w:val="single" w:sz="8" w:space="0" w:color="auto"/>
              <w:bottom w:val="single" w:sz="4" w:space="0" w:color="auto"/>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sz w:val="20"/>
                <w:szCs w:val="20"/>
              </w:rPr>
            </w:pPr>
            <w:r w:rsidRPr="00BB6E78">
              <w:rPr>
                <w:rFonts w:ascii="Times New Roman" w:hAnsi="Times New Roman"/>
                <w:sz w:val="20"/>
                <w:szCs w:val="20"/>
              </w:rPr>
              <w:t xml:space="preserve">     -Recordkeeping and reporting</w:t>
            </w:r>
          </w:p>
        </w:tc>
        <w:tc>
          <w:tcPr>
            <w:tcW w:w="1340" w:type="dxa"/>
            <w:tcBorders>
              <w:top w:val="nil"/>
              <w:left w:val="nil"/>
              <w:bottom w:val="single" w:sz="4" w:space="0" w:color="auto"/>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55</w:t>
            </w:r>
          </w:p>
        </w:tc>
        <w:tc>
          <w:tcPr>
            <w:tcW w:w="1320" w:type="dxa"/>
            <w:tcBorders>
              <w:top w:val="nil"/>
              <w:left w:val="nil"/>
              <w:bottom w:val="single" w:sz="4" w:space="0" w:color="auto"/>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174</w:t>
            </w:r>
          </w:p>
        </w:tc>
        <w:tc>
          <w:tcPr>
            <w:tcW w:w="1320" w:type="dxa"/>
            <w:tcBorders>
              <w:top w:val="nil"/>
              <w:left w:val="nil"/>
              <w:bottom w:val="single" w:sz="4" w:space="0" w:color="auto"/>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0</w:t>
            </w:r>
          </w:p>
        </w:tc>
        <w:tc>
          <w:tcPr>
            <w:tcW w:w="1300" w:type="dxa"/>
            <w:tcBorders>
              <w:top w:val="nil"/>
              <w:left w:val="nil"/>
              <w:bottom w:val="single" w:sz="4" w:space="0" w:color="auto"/>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30</w:t>
            </w:r>
          </w:p>
        </w:tc>
        <w:tc>
          <w:tcPr>
            <w:tcW w:w="1260" w:type="dxa"/>
            <w:tcBorders>
              <w:top w:val="nil"/>
              <w:left w:val="nil"/>
              <w:bottom w:val="single" w:sz="4" w:space="0" w:color="auto"/>
              <w:right w:val="nil"/>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258.75</w:t>
            </w:r>
          </w:p>
        </w:tc>
        <w:tc>
          <w:tcPr>
            <w:tcW w:w="1260" w:type="dxa"/>
            <w:tcBorders>
              <w:top w:val="nil"/>
              <w:left w:val="single" w:sz="4" w:space="0" w:color="auto"/>
              <w:bottom w:val="nil"/>
              <w:right w:val="single" w:sz="8" w:space="0" w:color="auto"/>
            </w:tcBorders>
            <w:shd w:val="clear" w:color="auto" w:fill="auto"/>
            <w:vAlign w:val="bottom"/>
            <w:hideMark/>
          </w:tcPr>
          <w:p w:rsidR="00BB6E78" w:rsidRPr="00BB6E78" w:rsidRDefault="00BB6E78" w:rsidP="00BB6E78">
            <w:pPr>
              <w:widowControl/>
              <w:autoSpaceDE/>
              <w:autoSpaceDN/>
              <w:adjustRightInd/>
              <w:rPr>
                <w:rFonts w:ascii="Times New Roman" w:hAnsi="Times New Roman"/>
                <w:sz w:val="20"/>
                <w:szCs w:val="20"/>
              </w:rPr>
            </w:pPr>
            <w:r w:rsidRPr="00BB6E78">
              <w:rPr>
                <w:rFonts w:ascii="Times New Roman" w:hAnsi="Times New Roman"/>
                <w:sz w:val="20"/>
                <w:szCs w:val="20"/>
              </w:rPr>
              <w:t> </w:t>
            </w:r>
          </w:p>
        </w:tc>
      </w:tr>
      <w:tr w:rsidR="00BB6E78" w:rsidRPr="00BB6E78" w:rsidTr="00BB6E78">
        <w:trPr>
          <w:trHeight w:val="270"/>
        </w:trPr>
        <w:tc>
          <w:tcPr>
            <w:tcW w:w="17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TOTAL HOURS</w:t>
            </w:r>
          </w:p>
        </w:tc>
        <w:tc>
          <w:tcPr>
            <w:tcW w:w="1340" w:type="dxa"/>
            <w:tcBorders>
              <w:top w:val="single" w:sz="8" w:space="0" w:color="auto"/>
              <w:left w:val="nil"/>
              <w:bottom w:val="single" w:sz="8" w:space="0" w:color="auto"/>
              <w:right w:val="single" w:sz="4" w:space="0" w:color="auto"/>
            </w:tcBorders>
            <w:shd w:val="clear" w:color="auto" w:fill="auto"/>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535</w:t>
            </w:r>
          </w:p>
        </w:tc>
        <w:tc>
          <w:tcPr>
            <w:tcW w:w="1320" w:type="dxa"/>
            <w:tcBorders>
              <w:top w:val="single" w:sz="8" w:space="0" w:color="auto"/>
              <w:left w:val="nil"/>
              <w:bottom w:val="single" w:sz="8" w:space="0" w:color="auto"/>
              <w:right w:val="single" w:sz="4" w:space="0" w:color="auto"/>
            </w:tcBorders>
            <w:shd w:val="clear" w:color="auto" w:fill="auto"/>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3,234</w:t>
            </w:r>
          </w:p>
        </w:tc>
        <w:tc>
          <w:tcPr>
            <w:tcW w:w="1320" w:type="dxa"/>
            <w:tcBorders>
              <w:top w:val="single" w:sz="8" w:space="0" w:color="auto"/>
              <w:left w:val="nil"/>
              <w:bottom w:val="single" w:sz="8" w:space="0" w:color="auto"/>
              <w:right w:val="single" w:sz="4" w:space="0" w:color="auto"/>
            </w:tcBorders>
            <w:shd w:val="clear" w:color="auto" w:fill="auto"/>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1,880</w:t>
            </w:r>
          </w:p>
        </w:tc>
        <w:tc>
          <w:tcPr>
            <w:tcW w:w="1300" w:type="dxa"/>
            <w:tcBorders>
              <w:top w:val="single" w:sz="8" w:space="0" w:color="auto"/>
              <w:left w:val="nil"/>
              <w:bottom w:val="single" w:sz="8" w:space="0" w:color="auto"/>
              <w:right w:val="single" w:sz="4" w:space="0" w:color="auto"/>
            </w:tcBorders>
            <w:shd w:val="clear" w:color="auto" w:fill="auto"/>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50</w:t>
            </w:r>
          </w:p>
        </w:tc>
        <w:tc>
          <w:tcPr>
            <w:tcW w:w="1260" w:type="dxa"/>
            <w:tcBorders>
              <w:top w:val="single" w:sz="8" w:space="0" w:color="auto"/>
              <w:left w:val="nil"/>
              <w:bottom w:val="single" w:sz="8" w:space="0" w:color="auto"/>
              <w:right w:val="nil"/>
            </w:tcBorders>
            <w:shd w:val="clear" w:color="auto" w:fill="auto"/>
            <w:hideMark/>
          </w:tcPr>
          <w:p w:rsidR="00BB6E78" w:rsidRPr="00BB6E78" w:rsidRDefault="00BB6E78" w:rsidP="00BB6E78">
            <w:pPr>
              <w:widowControl/>
              <w:autoSpaceDE/>
              <w:autoSpaceDN/>
              <w:adjustRightInd/>
              <w:jc w:val="right"/>
              <w:rPr>
                <w:rFonts w:ascii="Times New Roman" w:hAnsi="Times New Roman"/>
                <w:b/>
                <w:bCs/>
                <w:sz w:val="20"/>
                <w:szCs w:val="20"/>
              </w:rPr>
            </w:pPr>
            <w:r w:rsidRPr="00BB6E78">
              <w:rPr>
                <w:rFonts w:ascii="Times New Roman" w:hAnsi="Times New Roman"/>
                <w:b/>
                <w:bCs/>
                <w:sz w:val="20"/>
                <w:szCs w:val="20"/>
              </w:rPr>
              <w:t>5,699</w:t>
            </w:r>
          </w:p>
        </w:tc>
        <w:tc>
          <w:tcPr>
            <w:tcW w:w="1260" w:type="dxa"/>
            <w:tcBorders>
              <w:top w:val="nil"/>
              <w:left w:val="single" w:sz="4" w:space="0" w:color="auto"/>
              <w:bottom w:val="nil"/>
              <w:right w:val="single" w:sz="8" w:space="0" w:color="auto"/>
            </w:tcBorders>
            <w:shd w:val="clear" w:color="auto" w:fill="auto"/>
            <w:noWrap/>
            <w:vAlign w:val="bottom"/>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 </w:t>
            </w:r>
          </w:p>
        </w:tc>
      </w:tr>
      <w:tr w:rsidR="00BB6E78" w:rsidRPr="00BB6E78" w:rsidTr="00BB6E78">
        <w:trPr>
          <w:trHeight w:val="270"/>
        </w:trPr>
        <w:tc>
          <w:tcPr>
            <w:tcW w:w="1780" w:type="dxa"/>
            <w:tcBorders>
              <w:top w:val="nil"/>
              <w:left w:val="single" w:sz="8" w:space="0" w:color="auto"/>
              <w:bottom w:val="single" w:sz="8" w:space="0" w:color="auto"/>
              <w:right w:val="single" w:sz="4" w:space="0" w:color="auto"/>
            </w:tcBorders>
            <w:shd w:val="clear" w:color="auto" w:fill="auto"/>
            <w:hideMark/>
          </w:tcPr>
          <w:p w:rsidR="00BB6E78" w:rsidRPr="00BB6E78" w:rsidRDefault="00BB6E78" w:rsidP="00BB6E78">
            <w:pPr>
              <w:widowControl/>
              <w:autoSpaceDE/>
              <w:autoSpaceDN/>
              <w:adjustRightInd/>
              <w:rPr>
                <w:rFonts w:ascii="Times New Roman" w:hAnsi="Times New Roman"/>
                <w:b/>
                <w:bCs/>
                <w:sz w:val="20"/>
                <w:szCs w:val="20"/>
              </w:rPr>
            </w:pPr>
            <w:r w:rsidRPr="00BB6E78">
              <w:rPr>
                <w:rFonts w:ascii="Times New Roman" w:hAnsi="Times New Roman"/>
                <w:b/>
                <w:bCs/>
                <w:sz w:val="20"/>
                <w:szCs w:val="20"/>
              </w:rPr>
              <w:t>TOTAL COSTS</w:t>
            </w:r>
          </w:p>
        </w:tc>
        <w:tc>
          <w:tcPr>
            <w:tcW w:w="1340" w:type="dxa"/>
            <w:tcBorders>
              <w:top w:val="nil"/>
              <w:left w:val="nil"/>
              <w:bottom w:val="single" w:sz="8" w:space="0" w:color="auto"/>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$40,882</w:t>
            </w:r>
          </w:p>
        </w:tc>
        <w:tc>
          <w:tcPr>
            <w:tcW w:w="1320" w:type="dxa"/>
            <w:tcBorders>
              <w:top w:val="nil"/>
              <w:left w:val="nil"/>
              <w:bottom w:val="single" w:sz="8" w:space="0" w:color="auto"/>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$177,662</w:t>
            </w:r>
          </w:p>
        </w:tc>
        <w:tc>
          <w:tcPr>
            <w:tcW w:w="1320" w:type="dxa"/>
            <w:tcBorders>
              <w:top w:val="nil"/>
              <w:left w:val="nil"/>
              <w:bottom w:val="single" w:sz="8" w:space="0" w:color="auto"/>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$39,518</w:t>
            </w:r>
          </w:p>
        </w:tc>
        <w:tc>
          <w:tcPr>
            <w:tcW w:w="1300" w:type="dxa"/>
            <w:tcBorders>
              <w:top w:val="nil"/>
              <w:left w:val="nil"/>
              <w:bottom w:val="single" w:sz="8" w:space="0" w:color="auto"/>
              <w:right w:val="single" w:sz="4" w:space="0" w:color="auto"/>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sz w:val="20"/>
                <w:szCs w:val="20"/>
              </w:rPr>
            </w:pPr>
            <w:r w:rsidRPr="00BB6E78">
              <w:rPr>
                <w:rFonts w:ascii="Times New Roman" w:hAnsi="Times New Roman"/>
                <w:sz w:val="20"/>
                <w:szCs w:val="20"/>
              </w:rPr>
              <w:t>$5,970</w:t>
            </w:r>
          </w:p>
        </w:tc>
        <w:tc>
          <w:tcPr>
            <w:tcW w:w="1260" w:type="dxa"/>
            <w:tcBorders>
              <w:top w:val="nil"/>
              <w:left w:val="nil"/>
              <w:bottom w:val="single" w:sz="8" w:space="0" w:color="auto"/>
              <w:right w:val="nil"/>
            </w:tcBorders>
            <w:shd w:val="clear" w:color="auto" w:fill="auto"/>
            <w:noWrap/>
            <w:vAlign w:val="bottom"/>
            <w:hideMark/>
          </w:tcPr>
          <w:p w:rsidR="00BB6E78" w:rsidRPr="00BB6E78" w:rsidRDefault="00BB6E78" w:rsidP="00BB6E78">
            <w:pPr>
              <w:widowControl/>
              <w:autoSpaceDE/>
              <w:autoSpaceDN/>
              <w:adjustRightInd/>
              <w:jc w:val="right"/>
              <w:rPr>
                <w:rFonts w:ascii="Times New Roman" w:hAnsi="Times New Roman"/>
                <w:b/>
                <w:bCs/>
                <w:sz w:val="20"/>
                <w:szCs w:val="20"/>
              </w:rPr>
            </w:pPr>
            <w:r w:rsidRPr="00BB6E78">
              <w:rPr>
                <w:rFonts w:ascii="Times New Roman" w:hAnsi="Times New Roman"/>
                <w:b/>
                <w:bCs/>
                <w:sz w:val="20"/>
                <w:szCs w:val="20"/>
              </w:rPr>
              <w:t>$264,032</w:t>
            </w:r>
          </w:p>
        </w:tc>
        <w:tc>
          <w:tcPr>
            <w:tcW w:w="1260" w:type="dxa"/>
            <w:tcBorders>
              <w:top w:val="nil"/>
              <w:left w:val="single" w:sz="4" w:space="0" w:color="auto"/>
              <w:bottom w:val="single" w:sz="8" w:space="0" w:color="auto"/>
              <w:right w:val="single" w:sz="8" w:space="0" w:color="auto"/>
            </w:tcBorders>
            <w:shd w:val="clear" w:color="auto" w:fill="auto"/>
            <w:noWrap/>
            <w:vAlign w:val="bottom"/>
            <w:hideMark/>
          </w:tcPr>
          <w:p w:rsidR="00BB6E78" w:rsidRPr="00BB6E78" w:rsidRDefault="00BB6E78" w:rsidP="00BB6E78">
            <w:pPr>
              <w:widowControl/>
              <w:autoSpaceDE/>
              <w:autoSpaceDN/>
              <w:adjustRightInd/>
              <w:rPr>
                <w:rFonts w:ascii="Arial" w:hAnsi="Arial" w:cs="Arial"/>
                <w:sz w:val="20"/>
                <w:szCs w:val="20"/>
              </w:rPr>
            </w:pPr>
            <w:r w:rsidRPr="00BB6E78">
              <w:rPr>
                <w:rFonts w:ascii="Arial" w:hAnsi="Arial" w:cs="Arial"/>
                <w:sz w:val="20"/>
                <w:szCs w:val="20"/>
              </w:rPr>
              <w:t> </w:t>
            </w:r>
          </w:p>
        </w:tc>
      </w:tr>
    </w:tbl>
    <w:p w:rsidR="006B68E7" w:rsidRDefault="006B68E7">
      <w:pPr>
        <w:rPr>
          <w:rFonts w:ascii="Times New Roman" w:hAnsi="Times New Roman" w:cs="Courier"/>
        </w:rPr>
      </w:pPr>
    </w:p>
    <w:p w:rsidR="00917C97" w:rsidRDefault="00917C97">
      <w:pPr>
        <w:rPr>
          <w:rFonts w:ascii="Times New Roman" w:hAnsi="Times New Roman" w:cs="Courier"/>
        </w:rPr>
      </w:pPr>
    </w:p>
    <w:p w:rsidR="0080783C" w:rsidRPr="00877602" w:rsidRDefault="0080783C">
      <w:pPr>
        <w:rPr>
          <w:rFonts w:ascii="Times New Roman" w:hAnsi="Times New Roman" w:cs="Courier"/>
        </w:rPr>
      </w:pPr>
      <w:r w:rsidRPr="00877602">
        <w:rPr>
          <w:rFonts w:ascii="Times New Roman" w:hAnsi="Times New Roman" w:cs="Courier"/>
        </w:rPr>
        <w:t>f)</w:t>
      </w:r>
      <w:r w:rsidRPr="00877602">
        <w:rPr>
          <w:rFonts w:ascii="Times New Roman" w:hAnsi="Times New Roman" w:cs="Courier"/>
        </w:rPr>
        <w:tab/>
        <w:t>Reasons for Change in Burden</w:t>
      </w:r>
    </w:p>
    <w:p w:rsidR="0080783C" w:rsidRPr="00877602" w:rsidRDefault="0080783C">
      <w:pPr>
        <w:rPr>
          <w:rFonts w:ascii="Times New Roman" w:hAnsi="Times New Roman" w:cs="Courier"/>
        </w:rPr>
      </w:pPr>
    </w:p>
    <w:p w:rsidR="0080783C" w:rsidRPr="00917C97" w:rsidRDefault="0000093A" w:rsidP="00917C97">
      <w:pPr>
        <w:rPr>
          <w:rFonts w:ascii="Times New Roman" w:hAnsi="Times New Roman" w:cs="Courier"/>
        </w:rPr>
      </w:pPr>
      <w:r>
        <w:rPr>
          <w:rFonts w:ascii="Times New Roman" w:hAnsi="Times New Roman" w:cs="Courier"/>
        </w:rPr>
        <w:tab/>
      </w:r>
      <w:r w:rsidR="00917C97" w:rsidRPr="00917C97">
        <w:rPr>
          <w:rFonts w:ascii="Times New Roman" w:hAnsi="Times New Roman" w:cs="Courier"/>
        </w:rPr>
        <w:t xml:space="preserve">There is a decrease of </w:t>
      </w:r>
      <w:r w:rsidR="002B668C">
        <w:rPr>
          <w:rFonts w:ascii="Times New Roman" w:hAnsi="Times New Roman" w:cs="Courier"/>
        </w:rPr>
        <w:t>1,</w:t>
      </w:r>
      <w:r w:rsidR="00A75999">
        <w:rPr>
          <w:rFonts w:ascii="Times New Roman" w:hAnsi="Times New Roman" w:cs="Courier"/>
        </w:rPr>
        <w:t>6</w:t>
      </w:r>
      <w:r w:rsidR="00F23AD8">
        <w:rPr>
          <w:rFonts w:ascii="Times New Roman" w:hAnsi="Times New Roman" w:cs="Courier"/>
        </w:rPr>
        <w:t>60</w:t>
      </w:r>
      <w:r w:rsidR="00917C97" w:rsidRPr="00917C97">
        <w:rPr>
          <w:rFonts w:ascii="Times New Roman" w:hAnsi="Times New Roman" w:cs="Courier"/>
        </w:rPr>
        <w:t xml:space="preserve"> hours in the total estimated respondent burden compared with </w:t>
      </w:r>
      <w:r w:rsidR="00917C97" w:rsidRPr="00917C97">
        <w:rPr>
          <w:rFonts w:ascii="Times New Roman" w:hAnsi="Times New Roman" w:cs="Courier"/>
        </w:rPr>
        <w:lastRenderedPageBreak/>
        <w:t>the bur</w:t>
      </w:r>
      <w:r w:rsidR="00C257EA">
        <w:rPr>
          <w:rFonts w:ascii="Times New Roman" w:hAnsi="Times New Roman" w:cs="Courier"/>
        </w:rPr>
        <w:t>den currently approved by OMB</w:t>
      </w:r>
      <w:r w:rsidR="002B668C">
        <w:rPr>
          <w:rFonts w:ascii="Times New Roman" w:hAnsi="Times New Roman" w:cs="Courier"/>
        </w:rPr>
        <w:t xml:space="preserve">. </w:t>
      </w:r>
      <w:r w:rsidR="00917C97" w:rsidRPr="00917C97">
        <w:rPr>
          <w:rFonts w:ascii="Times New Roman" w:hAnsi="Times New Roman" w:cs="Courier"/>
        </w:rPr>
        <w:t xml:space="preserve">The </w:t>
      </w:r>
      <w:r w:rsidR="00A75999">
        <w:rPr>
          <w:rFonts w:ascii="Times New Roman" w:hAnsi="Times New Roman" w:cs="Courier"/>
        </w:rPr>
        <w:t xml:space="preserve">primary </w:t>
      </w:r>
      <w:r w:rsidR="00917C97" w:rsidRPr="00917C97">
        <w:rPr>
          <w:rFonts w:ascii="Times New Roman" w:hAnsi="Times New Roman" w:cs="Courier"/>
        </w:rPr>
        <w:t xml:space="preserve">reason for the decrease in burden hours </w:t>
      </w:r>
      <w:r w:rsidR="00A75999">
        <w:rPr>
          <w:rFonts w:ascii="Times New Roman" w:hAnsi="Times New Roman" w:cs="Courier"/>
        </w:rPr>
        <w:t>is</w:t>
      </w:r>
      <w:r w:rsidR="00FD2053">
        <w:rPr>
          <w:rFonts w:ascii="Times New Roman" w:hAnsi="Times New Roman" w:cs="Courier"/>
        </w:rPr>
        <w:t xml:space="preserve"> a decre</w:t>
      </w:r>
      <w:r w:rsidR="00A75999">
        <w:rPr>
          <w:rFonts w:ascii="Times New Roman" w:hAnsi="Times New Roman" w:cs="Courier"/>
        </w:rPr>
        <w:t xml:space="preserve">ase in the number of applicants. There also reflects a </w:t>
      </w:r>
      <w:r w:rsidR="00FD2053">
        <w:rPr>
          <w:rFonts w:ascii="Times New Roman" w:hAnsi="Times New Roman" w:cs="Courier"/>
        </w:rPr>
        <w:t xml:space="preserve">decline in the number of end users. </w:t>
      </w:r>
      <w:r w:rsidR="00A75999" w:rsidRPr="00917C97">
        <w:rPr>
          <w:rFonts w:ascii="Times New Roman" w:hAnsi="Times New Roman" w:cs="Courier"/>
        </w:rPr>
        <w:t>Other reasons for burden reduction include</w:t>
      </w:r>
      <w:r w:rsidR="00A75999">
        <w:rPr>
          <w:rFonts w:ascii="Times New Roman" w:hAnsi="Times New Roman" w:cs="Courier"/>
        </w:rPr>
        <w:t xml:space="preserve"> increased stakeholder </w:t>
      </w:r>
      <w:r w:rsidR="00917C97" w:rsidRPr="00917C97">
        <w:rPr>
          <w:rFonts w:ascii="Times New Roman" w:hAnsi="Times New Roman" w:cs="Courier"/>
        </w:rPr>
        <w:t>familiar</w:t>
      </w:r>
      <w:r w:rsidR="00A75999">
        <w:rPr>
          <w:rFonts w:ascii="Times New Roman" w:hAnsi="Times New Roman" w:cs="Courier"/>
        </w:rPr>
        <w:t>ity</w:t>
      </w:r>
      <w:r w:rsidR="00917C97" w:rsidRPr="00917C97">
        <w:rPr>
          <w:rFonts w:ascii="Times New Roman" w:hAnsi="Times New Roman" w:cs="Courier"/>
        </w:rPr>
        <w:t xml:space="preserve"> with the</w:t>
      </w:r>
      <w:r w:rsidR="00A75999">
        <w:rPr>
          <w:rFonts w:ascii="Times New Roman" w:hAnsi="Times New Roman" w:cs="Courier"/>
        </w:rPr>
        <w:t xml:space="preserve"> critical use exemption program, </w:t>
      </w:r>
      <w:r w:rsidR="00917C97" w:rsidRPr="00917C97">
        <w:rPr>
          <w:rFonts w:ascii="Times New Roman" w:hAnsi="Times New Roman" w:cs="Courier"/>
        </w:rPr>
        <w:t xml:space="preserve">the encouragement of electronic submission of applications and other data and frequent EPA communication with methyl bromide stakeholders. </w:t>
      </w:r>
    </w:p>
    <w:p w:rsidR="0000093A" w:rsidRPr="00877602" w:rsidRDefault="0000093A">
      <w:pPr>
        <w:rPr>
          <w:rFonts w:ascii="Times New Roman" w:hAnsi="Times New Roman" w:cs="Courier"/>
        </w:rPr>
      </w:pPr>
    </w:p>
    <w:p w:rsidR="00610C03" w:rsidRPr="00877602" w:rsidRDefault="0080783C">
      <w:pPr>
        <w:rPr>
          <w:rFonts w:ascii="Times New Roman" w:hAnsi="Times New Roman" w:cs="Courier"/>
        </w:rPr>
      </w:pPr>
      <w:r w:rsidRPr="00877602">
        <w:rPr>
          <w:rFonts w:ascii="Times New Roman" w:hAnsi="Times New Roman" w:cs="Courier"/>
        </w:rPr>
        <w:t>g)</w:t>
      </w:r>
      <w:r w:rsidRPr="00877602">
        <w:rPr>
          <w:rFonts w:ascii="Times New Roman" w:hAnsi="Times New Roman" w:cs="Courier"/>
        </w:rPr>
        <w:tab/>
        <w:t>Burden Statement</w:t>
      </w:r>
    </w:p>
    <w:p w:rsidR="00610C03" w:rsidRDefault="00610C03">
      <w:pPr>
        <w:rPr>
          <w:rFonts w:ascii="Times New Roman" w:hAnsi="Times New Roman" w:cs="Courier"/>
        </w:rPr>
      </w:pPr>
    </w:p>
    <w:p w:rsidR="00432F3F" w:rsidRDefault="00D140F0">
      <w:pPr>
        <w:rPr>
          <w:rFonts w:ascii="Times New Roman" w:hAnsi="Times New Roman"/>
        </w:rPr>
      </w:pPr>
      <w:r w:rsidRPr="00877602">
        <w:rPr>
          <w:rFonts w:ascii="Times New Roman" w:hAnsi="Times New Roman" w:cs="Courier"/>
        </w:rPr>
        <w:tab/>
      </w:r>
      <w:r w:rsidR="001A30EF" w:rsidRPr="001A30EF">
        <w:rPr>
          <w:rFonts w:ascii="Times New Roman" w:hAnsi="Times New Roman"/>
        </w:rPr>
        <w:t xml:space="preserve">The annual public reporting and recordkeeping burden for this collection of information is estimated to average </w:t>
      </w:r>
      <w:r w:rsidR="00CB1498">
        <w:rPr>
          <w:rFonts w:ascii="Times New Roman" w:hAnsi="Times New Roman"/>
        </w:rPr>
        <w:t>1</w:t>
      </w:r>
      <w:r w:rsidR="001A30EF">
        <w:rPr>
          <w:rFonts w:ascii="Times New Roman" w:hAnsi="Times New Roman"/>
        </w:rPr>
        <w:t xml:space="preserve"> hour per </w:t>
      </w:r>
      <w:r w:rsidR="00D45CD4">
        <w:rPr>
          <w:rFonts w:ascii="Times New Roman" w:hAnsi="Times New Roman"/>
        </w:rPr>
        <w:t>response</w:t>
      </w:r>
      <w:r w:rsidR="001A30EF">
        <w:rPr>
          <w:rFonts w:ascii="Times New Roman" w:hAnsi="Times New Roman"/>
        </w:rPr>
        <w:t xml:space="preserve">.  </w:t>
      </w:r>
      <w:r w:rsidRPr="00877602">
        <w:rPr>
          <w:rFonts w:ascii="Times New Roman" w:hAnsi="Times New Roman"/>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w:t>
      </w:r>
      <w:r>
        <w:rPr>
          <w:rFonts w:ascii="Times New Roman" w:hAnsi="Times New Roman"/>
        </w:rPr>
        <w:t>gulations are listed in 40 CFR Part 9 and 48 CFR C</w:t>
      </w:r>
      <w:r w:rsidRPr="00877602">
        <w:rPr>
          <w:rFonts w:ascii="Times New Roman" w:hAnsi="Times New Roman"/>
        </w:rPr>
        <w:t xml:space="preserve">hapter 15.     </w:t>
      </w:r>
    </w:p>
    <w:p w:rsidR="001E5FAA" w:rsidRPr="001E5FAA" w:rsidRDefault="001E5FAA">
      <w:pPr>
        <w:rPr>
          <w:rFonts w:ascii="Times New Roman" w:hAnsi="Times New Roman"/>
        </w:rPr>
      </w:pPr>
      <w:r w:rsidRPr="001E5FAA">
        <w:rPr>
          <w:rFonts w:ascii="Times New Roman" w:hAnsi="Times New Roman"/>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w:t>
      </w:r>
      <w:r w:rsidR="00766846">
        <w:rPr>
          <w:rFonts w:ascii="Times New Roman" w:hAnsi="Times New Roman"/>
        </w:rPr>
        <w:t xml:space="preserve">. </w:t>
      </w:r>
      <w:r w:rsidR="00766846" w:rsidRPr="00072CF4">
        <w:rPr>
          <w:rFonts w:ascii="Times New Roman" w:hAnsi="Times New Roman"/>
        </w:rPr>
        <w:t>EPA-HQ-OAR-</w:t>
      </w:r>
      <w:r w:rsidR="00072CF4" w:rsidRPr="00072CF4">
        <w:rPr>
          <w:rFonts w:ascii="Times New Roman" w:hAnsi="Times New Roman"/>
        </w:rPr>
        <w:t>2011</w:t>
      </w:r>
      <w:r w:rsidR="00766846" w:rsidRPr="00072CF4">
        <w:rPr>
          <w:rFonts w:ascii="Times New Roman" w:hAnsi="Times New Roman"/>
        </w:rPr>
        <w:t>-</w:t>
      </w:r>
      <w:r w:rsidR="00072CF4" w:rsidRPr="00072CF4">
        <w:rPr>
          <w:rFonts w:ascii="Times New Roman" w:hAnsi="Times New Roman"/>
        </w:rPr>
        <w:t>0085</w:t>
      </w:r>
      <w:r w:rsidRPr="00072CF4">
        <w:rPr>
          <w:rFonts w:ascii="Times New Roman" w:hAnsi="Times New Roman"/>
        </w:rPr>
        <w:t>, which is</w:t>
      </w:r>
      <w:r w:rsidRPr="001E5FAA">
        <w:rPr>
          <w:rFonts w:ascii="Times New Roman" w:hAnsi="Times New Roman"/>
        </w:rPr>
        <w:t xml:space="preserve"> available for public viewing at the Air and Radiation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Air and Radiation Docket and Information Center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 for EPA.  Please include the EPA Docket ID No</w:t>
      </w:r>
      <w:r w:rsidR="00766846">
        <w:rPr>
          <w:rFonts w:ascii="Times New Roman" w:hAnsi="Times New Roman"/>
        </w:rPr>
        <w:t xml:space="preserve">. </w:t>
      </w:r>
      <w:r w:rsidR="00766846" w:rsidRPr="00072CF4">
        <w:rPr>
          <w:rFonts w:ascii="Times New Roman" w:hAnsi="Times New Roman"/>
        </w:rPr>
        <w:t>EPA</w:t>
      </w:r>
      <w:r w:rsidR="00072CF4" w:rsidRPr="00072CF4">
        <w:rPr>
          <w:rFonts w:ascii="Times New Roman" w:hAnsi="Times New Roman"/>
        </w:rPr>
        <w:t>-HQ-OAR-2011</w:t>
      </w:r>
      <w:r w:rsidR="00766846" w:rsidRPr="00072CF4">
        <w:rPr>
          <w:rFonts w:ascii="Times New Roman" w:hAnsi="Times New Roman"/>
        </w:rPr>
        <w:t>-</w:t>
      </w:r>
      <w:r w:rsidR="00072CF4" w:rsidRPr="00072CF4">
        <w:rPr>
          <w:rFonts w:ascii="Times New Roman" w:hAnsi="Times New Roman"/>
        </w:rPr>
        <w:t>0085</w:t>
      </w:r>
      <w:r w:rsidRPr="001E5FAA">
        <w:rPr>
          <w:rFonts w:ascii="Times New Roman" w:hAnsi="Times New Roman"/>
        </w:rPr>
        <w:t xml:space="preserve"> and OMB control </w:t>
      </w:r>
      <w:r w:rsidRPr="00250E46">
        <w:rPr>
          <w:rFonts w:ascii="Times New Roman" w:hAnsi="Times New Roman"/>
        </w:rPr>
        <w:t xml:space="preserve">number </w:t>
      </w:r>
      <w:r w:rsidR="00D05054" w:rsidRPr="00250E46">
        <w:rPr>
          <w:rFonts w:ascii="Times New Roman" w:hAnsi="Times New Roman"/>
        </w:rPr>
        <w:t>2060-0</w:t>
      </w:r>
      <w:r w:rsidR="00250E46" w:rsidRPr="00250E46">
        <w:rPr>
          <w:rFonts w:ascii="Times New Roman" w:hAnsi="Times New Roman"/>
        </w:rPr>
        <w:t>482</w:t>
      </w:r>
      <w:r w:rsidRPr="00250E46">
        <w:rPr>
          <w:rFonts w:ascii="Times New Roman" w:hAnsi="Times New Roman"/>
        </w:rPr>
        <w:t xml:space="preserve"> in any</w:t>
      </w:r>
      <w:r w:rsidRPr="001E5FAA">
        <w:rPr>
          <w:rFonts w:ascii="Times New Roman" w:hAnsi="Times New Roman"/>
        </w:rPr>
        <w:t xml:space="preserve"> correspondence.</w:t>
      </w:r>
    </w:p>
    <w:p w:rsidR="001A30EF" w:rsidRDefault="001A30EF" w:rsidP="007956DC">
      <w:pPr>
        <w:rPr>
          <w:rFonts w:ascii="Times New Roman" w:hAnsi="Times New Roman"/>
          <w:u w:val="single"/>
        </w:rPr>
      </w:pPr>
    </w:p>
    <w:p w:rsidR="00D01078" w:rsidRPr="00877602" w:rsidRDefault="00D01078" w:rsidP="007956DC">
      <w:pPr>
        <w:rPr>
          <w:rFonts w:ascii="Times New Roman" w:hAnsi="Times New Roman"/>
          <w:u w:val="single"/>
        </w:rPr>
      </w:pPr>
      <w:r w:rsidRPr="00877602">
        <w:rPr>
          <w:rFonts w:ascii="Times New Roman" w:hAnsi="Times New Roman"/>
          <w:u w:val="single"/>
        </w:rPr>
        <w:t>Part B of the Supporting Statement</w:t>
      </w:r>
    </w:p>
    <w:p w:rsidR="00D01078" w:rsidRPr="00877602" w:rsidRDefault="00D01078" w:rsidP="007956DC">
      <w:pPr>
        <w:rPr>
          <w:rFonts w:ascii="Times New Roman" w:hAnsi="Times New Roman"/>
          <w:u w:val="single"/>
        </w:rPr>
      </w:pPr>
    </w:p>
    <w:p w:rsidR="00D01078" w:rsidRPr="00877602" w:rsidRDefault="00D01078" w:rsidP="00D01078">
      <w:pPr>
        <w:ind w:firstLine="720"/>
        <w:rPr>
          <w:rFonts w:ascii="Times New Roman" w:hAnsi="Times New Roman"/>
        </w:rPr>
      </w:pPr>
      <w:r w:rsidRPr="00877602">
        <w:rPr>
          <w:rFonts w:ascii="Times New Roman" w:hAnsi="Times New Roman"/>
        </w:rPr>
        <w:t>This Section is not applicable.</w:t>
      </w:r>
    </w:p>
    <w:sectPr w:rsidR="00D01078" w:rsidRPr="00877602" w:rsidSect="0062329C">
      <w:footerReference w:type="default" r:id="rId8"/>
      <w:pgSz w:w="12240" w:h="15840"/>
      <w:pgMar w:top="1440" w:right="1080" w:bottom="126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ACA" w:rsidRDefault="00D27ACA">
      <w:r>
        <w:separator/>
      </w:r>
    </w:p>
  </w:endnote>
  <w:endnote w:type="continuationSeparator" w:id="0">
    <w:p w:rsidR="00D27ACA" w:rsidRDefault="00D27A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EAA" w:rsidRPr="00DC1EFB" w:rsidRDefault="007C5EAA" w:rsidP="00DC1EFB">
    <w:pPr>
      <w:jc w:val="center"/>
      <w:rPr>
        <w:rFonts w:ascii="Times New Roman" w:hAnsi="Times New Roman"/>
      </w:rPr>
    </w:pPr>
    <w:r w:rsidRPr="00DC1EFB">
      <w:rPr>
        <w:rStyle w:val="PageNumber"/>
        <w:rFonts w:ascii="Times New Roman" w:hAnsi="Times New Roman"/>
      </w:rPr>
      <w:fldChar w:fldCharType="begin"/>
    </w:r>
    <w:r w:rsidRPr="00DC1EFB">
      <w:rPr>
        <w:rStyle w:val="PageNumber"/>
        <w:rFonts w:ascii="Times New Roman" w:hAnsi="Times New Roman"/>
      </w:rPr>
      <w:instrText xml:space="preserve"> PAGE </w:instrText>
    </w:r>
    <w:r w:rsidRPr="00DC1EFB">
      <w:rPr>
        <w:rStyle w:val="PageNumber"/>
        <w:rFonts w:ascii="Times New Roman" w:hAnsi="Times New Roman"/>
      </w:rPr>
      <w:fldChar w:fldCharType="separate"/>
    </w:r>
    <w:r w:rsidR="00CB1498">
      <w:rPr>
        <w:rStyle w:val="PageNumber"/>
        <w:rFonts w:ascii="Times New Roman" w:hAnsi="Times New Roman"/>
        <w:noProof/>
      </w:rPr>
      <w:t>14</w:t>
    </w:r>
    <w:r w:rsidRPr="00DC1EFB">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ACA" w:rsidRDefault="00D27ACA">
      <w:r>
        <w:separator/>
      </w:r>
    </w:p>
  </w:footnote>
  <w:footnote w:type="continuationSeparator" w:id="0">
    <w:p w:rsidR="00D27ACA" w:rsidRDefault="00D27A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E285E5E"/>
    <w:lvl w:ilvl="0">
      <w:numFmt w:val="decimal"/>
      <w:lvlText w:val="*"/>
      <w:lvlJc w:val="left"/>
    </w:lvl>
  </w:abstractNum>
  <w:abstractNum w:abstractNumId="1">
    <w:nsid w:val="00000001"/>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155E7DC5"/>
    <w:multiLevelType w:val="hybridMultilevel"/>
    <w:tmpl w:val="6906758A"/>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250598"/>
    <w:multiLevelType w:val="hybridMultilevel"/>
    <w:tmpl w:val="84287414"/>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9925E8"/>
    <w:multiLevelType w:val="hybridMultilevel"/>
    <w:tmpl w:val="BB704132"/>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BA5586"/>
    <w:multiLevelType w:val="hybridMultilevel"/>
    <w:tmpl w:val="CF1842E4"/>
    <w:lvl w:ilvl="0" w:tplc="C2E45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A11A80"/>
    <w:multiLevelType w:val="hybridMultilevel"/>
    <w:tmpl w:val="C8144146"/>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7D0FD9"/>
    <w:multiLevelType w:val="hybridMultilevel"/>
    <w:tmpl w:val="3D847558"/>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A3520F"/>
    <w:multiLevelType w:val="hybridMultilevel"/>
    <w:tmpl w:val="BC7A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3FA1EF4"/>
    <w:multiLevelType w:val="hybridMultilevel"/>
    <w:tmpl w:val="71869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5B4666"/>
    <w:multiLevelType w:val="hybridMultilevel"/>
    <w:tmpl w:val="5DB212E0"/>
    <w:lvl w:ilvl="0" w:tplc="1D42A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E90EC6"/>
    <w:multiLevelType w:val="hybridMultilevel"/>
    <w:tmpl w:val="0D4C7086"/>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D85705"/>
    <w:multiLevelType w:val="hybridMultilevel"/>
    <w:tmpl w:val="2FD8E1D0"/>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295F33"/>
    <w:multiLevelType w:val="hybridMultilevel"/>
    <w:tmpl w:val="F8FCA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BA616B"/>
    <w:multiLevelType w:val="hybridMultilevel"/>
    <w:tmpl w:val="236C5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1F36788"/>
    <w:multiLevelType w:val="hybridMultilevel"/>
    <w:tmpl w:val="2A94C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A1C49D7"/>
    <w:multiLevelType w:val="hybridMultilevel"/>
    <w:tmpl w:val="24D09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Courier" w:hAnsi="Courier" w:hint="default"/>
        </w:rPr>
      </w:lvl>
    </w:lvlOverride>
  </w:num>
  <w:num w:numId="2">
    <w:abstractNumId w:val="4"/>
  </w:num>
  <w:num w:numId="3">
    <w:abstractNumId w:val="8"/>
  </w:num>
  <w:num w:numId="4">
    <w:abstractNumId w:val="5"/>
  </w:num>
  <w:num w:numId="5">
    <w:abstractNumId w:val="7"/>
  </w:num>
  <w:num w:numId="6">
    <w:abstractNumId w:val="12"/>
  </w:num>
  <w:num w:numId="7">
    <w:abstractNumId w:val="3"/>
  </w:num>
  <w:num w:numId="8">
    <w:abstractNumId w:val="13"/>
  </w:num>
  <w:num w:numId="9">
    <w:abstractNumId w:val="9"/>
  </w:num>
  <w:num w:numId="10">
    <w:abstractNumId w:val="14"/>
  </w:num>
  <w:num w:numId="11">
    <w:abstractNumId w:val="17"/>
  </w:num>
  <w:num w:numId="12">
    <w:abstractNumId w:val="16"/>
  </w:num>
  <w:num w:numId="13">
    <w:abstractNumId w:val="15"/>
  </w:num>
  <w:num w:numId="14">
    <w:abstractNumId w:val="6"/>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018D"/>
    <w:rsid w:val="0000093A"/>
    <w:rsid w:val="00003BE5"/>
    <w:rsid w:val="000108B5"/>
    <w:rsid w:val="00010D54"/>
    <w:rsid w:val="00017F51"/>
    <w:rsid w:val="00023425"/>
    <w:rsid w:val="000261AD"/>
    <w:rsid w:val="00026D2F"/>
    <w:rsid w:val="00040ED3"/>
    <w:rsid w:val="00044A1E"/>
    <w:rsid w:val="00060451"/>
    <w:rsid w:val="00062AA8"/>
    <w:rsid w:val="00072CF4"/>
    <w:rsid w:val="00076588"/>
    <w:rsid w:val="00080944"/>
    <w:rsid w:val="000D08F9"/>
    <w:rsid w:val="000D249F"/>
    <w:rsid w:val="000E7B43"/>
    <w:rsid w:val="000E7D79"/>
    <w:rsid w:val="0010463A"/>
    <w:rsid w:val="00106A16"/>
    <w:rsid w:val="00116182"/>
    <w:rsid w:val="00123635"/>
    <w:rsid w:val="00127391"/>
    <w:rsid w:val="00130505"/>
    <w:rsid w:val="00137CF0"/>
    <w:rsid w:val="00140290"/>
    <w:rsid w:val="00145364"/>
    <w:rsid w:val="00154E8B"/>
    <w:rsid w:val="00156CF7"/>
    <w:rsid w:val="00160E4A"/>
    <w:rsid w:val="00172D03"/>
    <w:rsid w:val="001735BC"/>
    <w:rsid w:val="00173810"/>
    <w:rsid w:val="001912A4"/>
    <w:rsid w:val="001A061F"/>
    <w:rsid w:val="001A11ED"/>
    <w:rsid w:val="001A30EF"/>
    <w:rsid w:val="001A530D"/>
    <w:rsid w:val="001E1E0C"/>
    <w:rsid w:val="001E5FAA"/>
    <w:rsid w:val="001E64D6"/>
    <w:rsid w:val="001E6ECB"/>
    <w:rsid w:val="001E7E3D"/>
    <w:rsid w:val="001F2938"/>
    <w:rsid w:val="001F436E"/>
    <w:rsid w:val="002001A5"/>
    <w:rsid w:val="00200C3A"/>
    <w:rsid w:val="00221E6D"/>
    <w:rsid w:val="002230E0"/>
    <w:rsid w:val="002355FB"/>
    <w:rsid w:val="002432AA"/>
    <w:rsid w:val="00245E64"/>
    <w:rsid w:val="00250E46"/>
    <w:rsid w:val="00252940"/>
    <w:rsid w:val="00260DA4"/>
    <w:rsid w:val="00262803"/>
    <w:rsid w:val="00263C41"/>
    <w:rsid w:val="00265CA5"/>
    <w:rsid w:val="00293A74"/>
    <w:rsid w:val="0029586B"/>
    <w:rsid w:val="002A29C3"/>
    <w:rsid w:val="002A7633"/>
    <w:rsid w:val="002B668C"/>
    <w:rsid w:val="002D04A8"/>
    <w:rsid w:val="002F0585"/>
    <w:rsid w:val="00306E30"/>
    <w:rsid w:val="003155DA"/>
    <w:rsid w:val="00321188"/>
    <w:rsid w:val="003227E2"/>
    <w:rsid w:val="00366D1B"/>
    <w:rsid w:val="0038145B"/>
    <w:rsid w:val="00386F1F"/>
    <w:rsid w:val="003963D2"/>
    <w:rsid w:val="003A5007"/>
    <w:rsid w:val="003B207F"/>
    <w:rsid w:val="003B23E0"/>
    <w:rsid w:val="003E3937"/>
    <w:rsid w:val="003F09C5"/>
    <w:rsid w:val="00407C91"/>
    <w:rsid w:val="004179C4"/>
    <w:rsid w:val="00420500"/>
    <w:rsid w:val="00420680"/>
    <w:rsid w:val="00432F3F"/>
    <w:rsid w:val="00434DFF"/>
    <w:rsid w:val="0044497D"/>
    <w:rsid w:val="00445CA9"/>
    <w:rsid w:val="00462413"/>
    <w:rsid w:val="00463F37"/>
    <w:rsid w:val="004659A7"/>
    <w:rsid w:val="004739FF"/>
    <w:rsid w:val="00482E79"/>
    <w:rsid w:val="00493081"/>
    <w:rsid w:val="00497B34"/>
    <w:rsid w:val="004A2AD1"/>
    <w:rsid w:val="004B404C"/>
    <w:rsid w:val="004B4293"/>
    <w:rsid w:val="004B4A23"/>
    <w:rsid w:val="004B4F5A"/>
    <w:rsid w:val="004B731D"/>
    <w:rsid w:val="004C2F28"/>
    <w:rsid w:val="004C6A2C"/>
    <w:rsid w:val="004E44B9"/>
    <w:rsid w:val="004E60A9"/>
    <w:rsid w:val="004E6E31"/>
    <w:rsid w:val="004E786D"/>
    <w:rsid w:val="004F3C56"/>
    <w:rsid w:val="0050601D"/>
    <w:rsid w:val="00513EE2"/>
    <w:rsid w:val="00533211"/>
    <w:rsid w:val="00534DE6"/>
    <w:rsid w:val="0056037B"/>
    <w:rsid w:val="005625AA"/>
    <w:rsid w:val="005626E2"/>
    <w:rsid w:val="00563396"/>
    <w:rsid w:val="00574603"/>
    <w:rsid w:val="005750DD"/>
    <w:rsid w:val="00584224"/>
    <w:rsid w:val="005A10AD"/>
    <w:rsid w:val="005A43FC"/>
    <w:rsid w:val="005B4A2A"/>
    <w:rsid w:val="005B4B11"/>
    <w:rsid w:val="005C3B96"/>
    <w:rsid w:val="005C4549"/>
    <w:rsid w:val="005D6D3F"/>
    <w:rsid w:val="006038A6"/>
    <w:rsid w:val="00610C03"/>
    <w:rsid w:val="0062329C"/>
    <w:rsid w:val="0062616C"/>
    <w:rsid w:val="006568B7"/>
    <w:rsid w:val="00662453"/>
    <w:rsid w:val="00662B11"/>
    <w:rsid w:val="00665942"/>
    <w:rsid w:val="00674F1A"/>
    <w:rsid w:val="00683ED3"/>
    <w:rsid w:val="00684BBD"/>
    <w:rsid w:val="006857A7"/>
    <w:rsid w:val="006942BC"/>
    <w:rsid w:val="006A2EAF"/>
    <w:rsid w:val="006B5C69"/>
    <w:rsid w:val="006B68E7"/>
    <w:rsid w:val="006C40B0"/>
    <w:rsid w:val="006C4E84"/>
    <w:rsid w:val="006D0AA5"/>
    <w:rsid w:val="006D3FB5"/>
    <w:rsid w:val="006D4F3A"/>
    <w:rsid w:val="006F65DF"/>
    <w:rsid w:val="006F6D6D"/>
    <w:rsid w:val="0070381E"/>
    <w:rsid w:val="00713BDE"/>
    <w:rsid w:val="00715ED0"/>
    <w:rsid w:val="00721298"/>
    <w:rsid w:val="00724FB7"/>
    <w:rsid w:val="00766846"/>
    <w:rsid w:val="00786DA1"/>
    <w:rsid w:val="007956DC"/>
    <w:rsid w:val="00795F38"/>
    <w:rsid w:val="007A010F"/>
    <w:rsid w:val="007A26A9"/>
    <w:rsid w:val="007A5D1A"/>
    <w:rsid w:val="007C23B1"/>
    <w:rsid w:val="007C33A0"/>
    <w:rsid w:val="007C5EAA"/>
    <w:rsid w:val="007D4D41"/>
    <w:rsid w:val="007D543B"/>
    <w:rsid w:val="007D5E37"/>
    <w:rsid w:val="007E2508"/>
    <w:rsid w:val="007E4C88"/>
    <w:rsid w:val="007F5ECB"/>
    <w:rsid w:val="00805599"/>
    <w:rsid w:val="0080661D"/>
    <w:rsid w:val="00807213"/>
    <w:rsid w:val="0080783C"/>
    <w:rsid w:val="00811430"/>
    <w:rsid w:val="00811A56"/>
    <w:rsid w:val="00823A8B"/>
    <w:rsid w:val="008323D0"/>
    <w:rsid w:val="00833C95"/>
    <w:rsid w:val="0084340A"/>
    <w:rsid w:val="00857090"/>
    <w:rsid w:val="00862C5B"/>
    <w:rsid w:val="00877602"/>
    <w:rsid w:val="00877F41"/>
    <w:rsid w:val="008805A6"/>
    <w:rsid w:val="00881F46"/>
    <w:rsid w:val="008864AC"/>
    <w:rsid w:val="008919A8"/>
    <w:rsid w:val="008A4A1E"/>
    <w:rsid w:val="008B1FE7"/>
    <w:rsid w:val="008D258C"/>
    <w:rsid w:val="008E0569"/>
    <w:rsid w:val="008F059F"/>
    <w:rsid w:val="008F3E13"/>
    <w:rsid w:val="008F72E7"/>
    <w:rsid w:val="00912C82"/>
    <w:rsid w:val="00913BFD"/>
    <w:rsid w:val="00914872"/>
    <w:rsid w:val="00917C97"/>
    <w:rsid w:val="0092114B"/>
    <w:rsid w:val="00927104"/>
    <w:rsid w:val="00927D44"/>
    <w:rsid w:val="00927E59"/>
    <w:rsid w:val="009339AA"/>
    <w:rsid w:val="00945E96"/>
    <w:rsid w:val="00947063"/>
    <w:rsid w:val="00953F15"/>
    <w:rsid w:val="00954555"/>
    <w:rsid w:val="00970DC5"/>
    <w:rsid w:val="0097104F"/>
    <w:rsid w:val="0097461C"/>
    <w:rsid w:val="00975857"/>
    <w:rsid w:val="00980F17"/>
    <w:rsid w:val="00992299"/>
    <w:rsid w:val="00997DCA"/>
    <w:rsid w:val="009B5E5A"/>
    <w:rsid w:val="009C1091"/>
    <w:rsid w:val="009E61CB"/>
    <w:rsid w:val="009F2318"/>
    <w:rsid w:val="009F5B1C"/>
    <w:rsid w:val="00A002BF"/>
    <w:rsid w:val="00A0587E"/>
    <w:rsid w:val="00A21B91"/>
    <w:rsid w:val="00A42970"/>
    <w:rsid w:val="00A5310F"/>
    <w:rsid w:val="00A53112"/>
    <w:rsid w:val="00A536A0"/>
    <w:rsid w:val="00A74339"/>
    <w:rsid w:val="00A745AE"/>
    <w:rsid w:val="00A75999"/>
    <w:rsid w:val="00A8182F"/>
    <w:rsid w:val="00A818B5"/>
    <w:rsid w:val="00A94309"/>
    <w:rsid w:val="00A95969"/>
    <w:rsid w:val="00A96CB3"/>
    <w:rsid w:val="00AA64A8"/>
    <w:rsid w:val="00AB3F24"/>
    <w:rsid w:val="00AB41EA"/>
    <w:rsid w:val="00AC5AF1"/>
    <w:rsid w:val="00AC5C80"/>
    <w:rsid w:val="00AC73A6"/>
    <w:rsid w:val="00AD290B"/>
    <w:rsid w:val="00AE40F4"/>
    <w:rsid w:val="00B0107A"/>
    <w:rsid w:val="00B144C2"/>
    <w:rsid w:val="00B3298E"/>
    <w:rsid w:val="00B449DA"/>
    <w:rsid w:val="00B44D93"/>
    <w:rsid w:val="00B92286"/>
    <w:rsid w:val="00BA50B7"/>
    <w:rsid w:val="00BB0254"/>
    <w:rsid w:val="00BB2A6D"/>
    <w:rsid w:val="00BB3266"/>
    <w:rsid w:val="00BB39C6"/>
    <w:rsid w:val="00BB6E78"/>
    <w:rsid w:val="00BD50F3"/>
    <w:rsid w:val="00BE1296"/>
    <w:rsid w:val="00BF1189"/>
    <w:rsid w:val="00BF345A"/>
    <w:rsid w:val="00C257EA"/>
    <w:rsid w:val="00C41DE5"/>
    <w:rsid w:val="00C42C0F"/>
    <w:rsid w:val="00C52F08"/>
    <w:rsid w:val="00C54EC3"/>
    <w:rsid w:val="00C5630D"/>
    <w:rsid w:val="00C61298"/>
    <w:rsid w:val="00C74359"/>
    <w:rsid w:val="00C75985"/>
    <w:rsid w:val="00C837F7"/>
    <w:rsid w:val="00C91B8C"/>
    <w:rsid w:val="00C92B47"/>
    <w:rsid w:val="00C95995"/>
    <w:rsid w:val="00CB0B4C"/>
    <w:rsid w:val="00CB1498"/>
    <w:rsid w:val="00CC055D"/>
    <w:rsid w:val="00CC12D8"/>
    <w:rsid w:val="00CD4C44"/>
    <w:rsid w:val="00CE5808"/>
    <w:rsid w:val="00CF11C7"/>
    <w:rsid w:val="00CF532D"/>
    <w:rsid w:val="00D00CF3"/>
    <w:rsid w:val="00D01078"/>
    <w:rsid w:val="00D05054"/>
    <w:rsid w:val="00D055A9"/>
    <w:rsid w:val="00D10B31"/>
    <w:rsid w:val="00D10DD1"/>
    <w:rsid w:val="00D13B6E"/>
    <w:rsid w:val="00D140F0"/>
    <w:rsid w:val="00D14779"/>
    <w:rsid w:val="00D14BA6"/>
    <w:rsid w:val="00D17A51"/>
    <w:rsid w:val="00D27ACA"/>
    <w:rsid w:val="00D325A1"/>
    <w:rsid w:val="00D45CD4"/>
    <w:rsid w:val="00D50C2A"/>
    <w:rsid w:val="00D53469"/>
    <w:rsid w:val="00D62746"/>
    <w:rsid w:val="00D65736"/>
    <w:rsid w:val="00D724AE"/>
    <w:rsid w:val="00D82E5D"/>
    <w:rsid w:val="00D86252"/>
    <w:rsid w:val="00D86259"/>
    <w:rsid w:val="00D94D9A"/>
    <w:rsid w:val="00DA49D2"/>
    <w:rsid w:val="00DB2276"/>
    <w:rsid w:val="00DC1EFB"/>
    <w:rsid w:val="00DC38AD"/>
    <w:rsid w:val="00DD3AC9"/>
    <w:rsid w:val="00DD41DE"/>
    <w:rsid w:val="00DD465A"/>
    <w:rsid w:val="00DF6EB8"/>
    <w:rsid w:val="00E05528"/>
    <w:rsid w:val="00E0653F"/>
    <w:rsid w:val="00E127F3"/>
    <w:rsid w:val="00E238EF"/>
    <w:rsid w:val="00E26AD5"/>
    <w:rsid w:val="00E35601"/>
    <w:rsid w:val="00E44069"/>
    <w:rsid w:val="00E5097A"/>
    <w:rsid w:val="00E563A7"/>
    <w:rsid w:val="00E60800"/>
    <w:rsid w:val="00E653B6"/>
    <w:rsid w:val="00E67443"/>
    <w:rsid w:val="00E74487"/>
    <w:rsid w:val="00E81735"/>
    <w:rsid w:val="00E828E7"/>
    <w:rsid w:val="00E973CF"/>
    <w:rsid w:val="00EA018D"/>
    <w:rsid w:val="00EA7764"/>
    <w:rsid w:val="00EB33C2"/>
    <w:rsid w:val="00EC13F2"/>
    <w:rsid w:val="00EC3E2A"/>
    <w:rsid w:val="00EC6CD7"/>
    <w:rsid w:val="00ED5F90"/>
    <w:rsid w:val="00ED689D"/>
    <w:rsid w:val="00EE671C"/>
    <w:rsid w:val="00F158C2"/>
    <w:rsid w:val="00F23AD8"/>
    <w:rsid w:val="00F24903"/>
    <w:rsid w:val="00F35536"/>
    <w:rsid w:val="00F41373"/>
    <w:rsid w:val="00F43E03"/>
    <w:rsid w:val="00F45186"/>
    <w:rsid w:val="00F513E4"/>
    <w:rsid w:val="00F5607F"/>
    <w:rsid w:val="00F565EC"/>
    <w:rsid w:val="00F6278D"/>
    <w:rsid w:val="00F62A3E"/>
    <w:rsid w:val="00F63CD9"/>
    <w:rsid w:val="00F66444"/>
    <w:rsid w:val="00F74A26"/>
    <w:rsid w:val="00F74A9D"/>
    <w:rsid w:val="00F752C9"/>
    <w:rsid w:val="00F773D0"/>
    <w:rsid w:val="00F8454E"/>
    <w:rsid w:val="00F850C7"/>
    <w:rsid w:val="00F92B91"/>
    <w:rsid w:val="00FA0740"/>
    <w:rsid w:val="00FA40C0"/>
    <w:rsid w:val="00FA566D"/>
    <w:rsid w:val="00FA575F"/>
    <w:rsid w:val="00FA6C60"/>
    <w:rsid w:val="00FB2121"/>
    <w:rsid w:val="00FB7389"/>
    <w:rsid w:val="00FC7CE1"/>
    <w:rsid w:val="00FD2053"/>
    <w:rsid w:val="00FE2CF5"/>
    <w:rsid w:val="00FE3E6C"/>
    <w:rsid w:val="00FF2126"/>
    <w:rsid w:val="00FF5D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ind w:left="1440" w:hanging="720"/>
    </w:pPr>
  </w:style>
  <w:style w:type="paragraph" w:customStyle="1" w:styleId="Level3">
    <w:name w:val="Level 3"/>
    <w:basedOn w:val="Normal"/>
    <w:pPr>
      <w:ind w:left="2160" w:hanging="720"/>
    </w:pPr>
  </w:style>
  <w:style w:type="table" w:styleId="TableGrid">
    <w:name w:val="Table Grid"/>
    <w:basedOn w:val="TableNormal"/>
    <w:rsid w:val="00A9430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C1091"/>
    <w:pPr>
      <w:tabs>
        <w:tab w:val="center" w:pos="4320"/>
        <w:tab w:val="right" w:pos="8640"/>
      </w:tabs>
    </w:pPr>
  </w:style>
  <w:style w:type="paragraph" w:styleId="Footer">
    <w:name w:val="footer"/>
    <w:basedOn w:val="Normal"/>
    <w:rsid w:val="009C1091"/>
    <w:pPr>
      <w:tabs>
        <w:tab w:val="center" w:pos="4320"/>
        <w:tab w:val="right" w:pos="8640"/>
      </w:tabs>
    </w:pPr>
  </w:style>
  <w:style w:type="character" w:styleId="CommentReference">
    <w:name w:val="annotation reference"/>
    <w:basedOn w:val="DefaultParagraphFont"/>
    <w:semiHidden/>
    <w:rsid w:val="00D140F0"/>
    <w:rPr>
      <w:sz w:val="16"/>
      <w:szCs w:val="16"/>
    </w:rPr>
  </w:style>
  <w:style w:type="paragraph" w:styleId="CommentText">
    <w:name w:val="annotation text"/>
    <w:basedOn w:val="Normal"/>
    <w:semiHidden/>
    <w:rsid w:val="00D140F0"/>
    <w:rPr>
      <w:sz w:val="20"/>
      <w:szCs w:val="20"/>
    </w:rPr>
  </w:style>
  <w:style w:type="paragraph" w:styleId="CommentSubject">
    <w:name w:val="annotation subject"/>
    <w:basedOn w:val="CommentText"/>
    <w:next w:val="CommentText"/>
    <w:semiHidden/>
    <w:rsid w:val="00D140F0"/>
    <w:rPr>
      <w:b/>
      <w:bCs/>
    </w:rPr>
  </w:style>
  <w:style w:type="paragraph" w:styleId="BalloonText">
    <w:name w:val="Balloon Text"/>
    <w:basedOn w:val="Normal"/>
    <w:semiHidden/>
    <w:rsid w:val="00D140F0"/>
    <w:rPr>
      <w:rFonts w:ascii="Tahoma" w:hAnsi="Tahoma" w:cs="Tahoma"/>
      <w:sz w:val="16"/>
      <w:szCs w:val="16"/>
    </w:rPr>
  </w:style>
  <w:style w:type="character" w:styleId="PageNumber">
    <w:name w:val="page number"/>
    <w:basedOn w:val="DefaultParagraphFont"/>
    <w:rsid w:val="00DC1EFB"/>
  </w:style>
</w:styles>
</file>

<file path=word/webSettings.xml><?xml version="1.0" encoding="utf-8"?>
<w:webSettings xmlns:r="http://schemas.openxmlformats.org/officeDocument/2006/relationships" xmlns:w="http://schemas.openxmlformats.org/wordprocessingml/2006/main">
  <w:divs>
    <w:div w:id="32391813">
      <w:bodyDiv w:val="1"/>
      <w:marLeft w:val="0"/>
      <w:marRight w:val="0"/>
      <w:marTop w:val="0"/>
      <w:marBottom w:val="0"/>
      <w:divBdr>
        <w:top w:val="none" w:sz="0" w:space="0" w:color="auto"/>
        <w:left w:val="none" w:sz="0" w:space="0" w:color="auto"/>
        <w:bottom w:val="none" w:sz="0" w:space="0" w:color="auto"/>
        <w:right w:val="none" w:sz="0" w:space="0" w:color="auto"/>
      </w:divBdr>
    </w:div>
    <w:div w:id="34701093">
      <w:bodyDiv w:val="1"/>
      <w:marLeft w:val="0"/>
      <w:marRight w:val="0"/>
      <w:marTop w:val="0"/>
      <w:marBottom w:val="0"/>
      <w:divBdr>
        <w:top w:val="none" w:sz="0" w:space="0" w:color="auto"/>
        <w:left w:val="none" w:sz="0" w:space="0" w:color="auto"/>
        <w:bottom w:val="none" w:sz="0" w:space="0" w:color="auto"/>
        <w:right w:val="none" w:sz="0" w:space="0" w:color="auto"/>
      </w:divBdr>
    </w:div>
    <w:div w:id="54013496">
      <w:bodyDiv w:val="1"/>
      <w:marLeft w:val="0"/>
      <w:marRight w:val="0"/>
      <w:marTop w:val="0"/>
      <w:marBottom w:val="0"/>
      <w:divBdr>
        <w:top w:val="none" w:sz="0" w:space="0" w:color="auto"/>
        <w:left w:val="none" w:sz="0" w:space="0" w:color="auto"/>
        <w:bottom w:val="none" w:sz="0" w:space="0" w:color="auto"/>
        <w:right w:val="none" w:sz="0" w:space="0" w:color="auto"/>
      </w:divBdr>
    </w:div>
    <w:div w:id="104352095">
      <w:bodyDiv w:val="1"/>
      <w:marLeft w:val="0"/>
      <w:marRight w:val="0"/>
      <w:marTop w:val="0"/>
      <w:marBottom w:val="0"/>
      <w:divBdr>
        <w:top w:val="none" w:sz="0" w:space="0" w:color="auto"/>
        <w:left w:val="none" w:sz="0" w:space="0" w:color="auto"/>
        <w:bottom w:val="none" w:sz="0" w:space="0" w:color="auto"/>
        <w:right w:val="none" w:sz="0" w:space="0" w:color="auto"/>
      </w:divBdr>
    </w:div>
    <w:div w:id="153187780">
      <w:bodyDiv w:val="1"/>
      <w:marLeft w:val="0"/>
      <w:marRight w:val="0"/>
      <w:marTop w:val="0"/>
      <w:marBottom w:val="0"/>
      <w:divBdr>
        <w:top w:val="none" w:sz="0" w:space="0" w:color="auto"/>
        <w:left w:val="none" w:sz="0" w:space="0" w:color="auto"/>
        <w:bottom w:val="none" w:sz="0" w:space="0" w:color="auto"/>
        <w:right w:val="none" w:sz="0" w:space="0" w:color="auto"/>
      </w:divBdr>
    </w:div>
    <w:div w:id="159739146">
      <w:bodyDiv w:val="1"/>
      <w:marLeft w:val="0"/>
      <w:marRight w:val="0"/>
      <w:marTop w:val="0"/>
      <w:marBottom w:val="0"/>
      <w:divBdr>
        <w:top w:val="none" w:sz="0" w:space="0" w:color="auto"/>
        <w:left w:val="none" w:sz="0" w:space="0" w:color="auto"/>
        <w:bottom w:val="none" w:sz="0" w:space="0" w:color="auto"/>
        <w:right w:val="none" w:sz="0" w:space="0" w:color="auto"/>
      </w:divBdr>
    </w:div>
    <w:div w:id="174417314">
      <w:bodyDiv w:val="1"/>
      <w:marLeft w:val="0"/>
      <w:marRight w:val="0"/>
      <w:marTop w:val="0"/>
      <w:marBottom w:val="0"/>
      <w:divBdr>
        <w:top w:val="none" w:sz="0" w:space="0" w:color="auto"/>
        <w:left w:val="none" w:sz="0" w:space="0" w:color="auto"/>
        <w:bottom w:val="none" w:sz="0" w:space="0" w:color="auto"/>
        <w:right w:val="none" w:sz="0" w:space="0" w:color="auto"/>
      </w:divBdr>
    </w:div>
    <w:div w:id="195393573">
      <w:bodyDiv w:val="1"/>
      <w:marLeft w:val="0"/>
      <w:marRight w:val="0"/>
      <w:marTop w:val="0"/>
      <w:marBottom w:val="0"/>
      <w:divBdr>
        <w:top w:val="none" w:sz="0" w:space="0" w:color="auto"/>
        <w:left w:val="none" w:sz="0" w:space="0" w:color="auto"/>
        <w:bottom w:val="none" w:sz="0" w:space="0" w:color="auto"/>
        <w:right w:val="none" w:sz="0" w:space="0" w:color="auto"/>
      </w:divBdr>
    </w:div>
    <w:div w:id="258605373">
      <w:bodyDiv w:val="1"/>
      <w:marLeft w:val="0"/>
      <w:marRight w:val="0"/>
      <w:marTop w:val="0"/>
      <w:marBottom w:val="0"/>
      <w:divBdr>
        <w:top w:val="none" w:sz="0" w:space="0" w:color="auto"/>
        <w:left w:val="none" w:sz="0" w:space="0" w:color="auto"/>
        <w:bottom w:val="none" w:sz="0" w:space="0" w:color="auto"/>
        <w:right w:val="none" w:sz="0" w:space="0" w:color="auto"/>
      </w:divBdr>
    </w:div>
    <w:div w:id="289365249">
      <w:bodyDiv w:val="1"/>
      <w:marLeft w:val="0"/>
      <w:marRight w:val="0"/>
      <w:marTop w:val="0"/>
      <w:marBottom w:val="0"/>
      <w:divBdr>
        <w:top w:val="none" w:sz="0" w:space="0" w:color="auto"/>
        <w:left w:val="none" w:sz="0" w:space="0" w:color="auto"/>
        <w:bottom w:val="none" w:sz="0" w:space="0" w:color="auto"/>
        <w:right w:val="none" w:sz="0" w:space="0" w:color="auto"/>
      </w:divBdr>
    </w:div>
    <w:div w:id="322901011">
      <w:bodyDiv w:val="1"/>
      <w:marLeft w:val="0"/>
      <w:marRight w:val="0"/>
      <w:marTop w:val="0"/>
      <w:marBottom w:val="0"/>
      <w:divBdr>
        <w:top w:val="none" w:sz="0" w:space="0" w:color="auto"/>
        <w:left w:val="none" w:sz="0" w:space="0" w:color="auto"/>
        <w:bottom w:val="none" w:sz="0" w:space="0" w:color="auto"/>
        <w:right w:val="none" w:sz="0" w:space="0" w:color="auto"/>
      </w:divBdr>
    </w:div>
    <w:div w:id="338043794">
      <w:bodyDiv w:val="1"/>
      <w:marLeft w:val="0"/>
      <w:marRight w:val="0"/>
      <w:marTop w:val="0"/>
      <w:marBottom w:val="0"/>
      <w:divBdr>
        <w:top w:val="none" w:sz="0" w:space="0" w:color="auto"/>
        <w:left w:val="none" w:sz="0" w:space="0" w:color="auto"/>
        <w:bottom w:val="none" w:sz="0" w:space="0" w:color="auto"/>
        <w:right w:val="none" w:sz="0" w:space="0" w:color="auto"/>
      </w:divBdr>
    </w:div>
    <w:div w:id="403259976">
      <w:bodyDiv w:val="1"/>
      <w:marLeft w:val="0"/>
      <w:marRight w:val="0"/>
      <w:marTop w:val="0"/>
      <w:marBottom w:val="0"/>
      <w:divBdr>
        <w:top w:val="none" w:sz="0" w:space="0" w:color="auto"/>
        <w:left w:val="none" w:sz="0" w:space="0" w:color="auto"/>
        <w:bottom w:val="none" w:sz="0" w:space="0" w:color="auto"/>
        <w:right w:val="none" w:sz="0" w:space="0" w:color="auto"/>
      </w:divBdr>
    </w:div>
    <w:div w:id="403648427">
      <w:bodyDiv w:val="1"/>
      <w:marLeft w:val="0"/>
      <w:marRight w:val="0"/>
      <w:marTop w:val="0"/>
      <w:marBottom w:val="0"/>
      <w:divBdr>
        <w:top w:val="none" w:sz="0" w:space="0" w:color="auto"/>
        <w:left w:val="none" w:sz="0" w:space="0" w:color="auto"/>
        <w:bottom w:val="none" w:sz="0" w:space="0" w:color="auto"/>
        <w:right w:val="none" w:sz="0" w:space="0" w:color="auto"/>
      </w:divBdr>
    </w:div>
    <w:div w:id="409083946">
      <w:bodyDiv w:val="1"/>
      <w:marLeft w:val="0"/>
      <w:marRight w:val="0"/>
      <w:marTop w:val="0"/>
      <w:marBottom w:val="0"/>
      <w:divBdr>
        <w:top w:val="none" w:sz="0" w:space="0" w:color="auto"/>
        <w:left w:val="none" w:sz="0" w:space="0" w:color="auto"/>
        <w:bottom w:val="none" w:sz="0" w:space="0" w:color="auto"/>
        <w:right w:val="none" w:sz="0" w:space="0" w:color="auto"/>
      </w:divBdr>
    </w:div>
    <w:div w:id="438526772">
      <w:bodyDiv w:val="1"/>
      <w:marLeft w:val="0"/>
      <w:marRight w:val="0"/>
      <w:marTop w:val="0"/>
      <w:marBottom w:val="0"/>
      <w:divBdr>
        <w:top w:val="none" w:sz="0" w:space="0" w:color="auto"/>
        <w:left w:val="none" w:sz="0" w:space="0" w:color="auto"/>
        <w:bottom w:val="none" w:sz="0" w:space="0" w:color="auto"/>
        <w:right w:val="none" w:sz="0" w:space="0" w:color="auto"/>
      </w:divBdr>
    </w:div>
    <w:div w:id="486289381">
      <w:bodyDiv w:val="1"/>
      <w:marLeft w:val="0"/>
      <w:marRight w:val="0"/>
      <w:marTop w:val="0"/>
      <w:marBottom w:val="0"/>
      <w:divBdr>
        <w:top w:val="none" w:sz="0" w:space="0" w:color="auto"/>
        <w:left w:val="none" w:sz="0" w:space="0" w:color="auto"/>
        <w:bottom w:val="none" w:sz="0" w:space="0" w:color="auto"/>
        <w:right w:val="none" w:sz="0" w:space="0" w:color="auto"/>
      </w:divBdr>
    </w:div>
    <w:div w:id="532621120">
      <w:bodyDiv w:val="1"/>
      <w:marLeft w:val="0"/>
      <w:marRight w:val="0"/>
      <w:marTop w:val="0"/>
      <w:marBottom w:val="0"/>
      <w:divBdr>
        <w:top w:val="none" w:sz="0" w:space="0" w:color="auto"/>
        <w:left w:val="none" w:sz="0" w:space="0" w:color="auto"/>
        <w:bottom w:val="none" w:sz="0" w:space="0" w:color="auto"/>
        <w:right w:val="none" w:sz="0" w:space="0" w:color="auto"/>
      </w:divBdr>
    </w:div>
    <w:div w:id="532888425">
      <w:bodyDiv w:val="1"/>
      <w:marLeft w:val="0"/>
      <w:marRight w:val="0"/>
      <w:marTop w:val="0"/>
      <w:marBottom w:val="0"/>
      <w:divBdr>
        <w:top w:val="none" w:sz="0" w:space="0" w:color="auto"/>
        <w:left w:val="none" w:sz="0" w:space="0" w:color="auto"/>
        <w:bottom w:val="none" w:sz="0" w:space="0" w:color="auto"/>
        <w:right w:val="none" w:sz="0" w:space="0" w:color="auto"/>
      </w:divBdr>
    </w:div>
    <w:div w:id="537359642">
      <w:bodyDiv w:val="1"/>
      <w:marLeft w:val="0"/>
      <w:marRight w:val="0"/>
      <w:marTop w:val="0"/>
      <w:marBottom w:val="0"/>
      <w:divBdr>
        <w:top w:val="none" w:sz="0" w:space="0" w:color="auto"/>
        <w:left w:val="none" w:sz="0" w:space="0" w:color="auto"/>
        <w:bottom w:val="none" w:sz="0" w:space="0" w:color="auto"/>
        <w:right w:val="none" w:sz="0" w:space="0" w:color="auto"/>
      </w:divBdr>
    </w:div>
    <w:div w:id="539783007">
      <w:bodyDiv w:val="1"/>
      <w:marLeft w:val="0"/>
      <w:marRight w:val="0"/>
      <w:marTop w:val="0"/>
      <w:marBottom w:val="0"/>
      <w:divBdr>
        <w:top w:val="none" w:sz="0" w:space="0" w:color="auto"/>
        <w:left w:val="none" w:sz="0" w:space="0" w:color="auto"/>
        <w:bottom w:val="none" w:sz="0" w:space="0" w:color="auto"/>
        <w:right w:val="none" w:sz="0" w:space="0" w:color="auto"/>
      </w:divBdr>
    </w:div>
    <w:div w:id="581793058">
      <w:bodyDiv w:val="1"/>
      <w:marLeft w:val="0"/>
      <w:marRight w:val="0"/>
      <w:marTop w:val="0"/>
      <w:marBottom w:val="0"/>
      <w:divBdr>
        <w:top w:val="none" w:sz="0" w:space="0" w:color="auto"/>
        <w:left w:val="none" w:sz="0" w:space="0" w:color="auto"/>
        <w:bottom w:val="none" w:sz="0" w:space="0" w:color="auto"/>
        <w:right w:val="none" w:sz="0" w:space="0" w:color="auto"/>
      </w:divBdr>
    </w:div>
    <w:div w:id="605188845">
      <w:bodyDiv w:val="1"/>
      <w:marLeft w:val="0"/>
      <w:marRight w:val="0"/>
      <w:marTop w:val="0"/>
      <w:marBottom w:val="0"/>
      <w:divBdr>
        <w:top w:val="none" w:sz="0" w:space="0" w:color="auto"/>
        <w:left w:val="none" w:sz="0" w:space="0" w:color="auto"/>
        <w:bottom w:val="none" w:sz="0" w:space="0" w:color="auto"/>
        <w:right w:val="none" w:sz="0" w:space="0" w:color="auto"/>
      </w:divBdr>
    </w:div>
    <w:div w:id="621159326">
      <w:bodyDiv w:val="1"/>
      <w:marLeft w:val="0"/>
      <w:marRight w:val="0"/>
      <w:marTop w:val="0"/>
      <w:marBottom w:val="0"/>
      <w:divBdr>
        <w:top w:val="none" w:sz="0" w:space="0" w:color="auto"/>
        <w:left w:val="none" w:sz="0" w:space="0" w:color="auto"/>
        <w:bottom w:val="none" w:sz="0" w:space="0" w:color="auto"/>
        <w:right w:val="none" w:sz="0" w:space="0" w:color="auto"/>
      </w:divBdr>
    </w:div>
    <w:div w:id="627125040">
      <w:bodyDiv w:val="1"/>
      <w:marLeft w:val="0"/>
      <w:marRight w:val="0"/>
      <w:marTop w:val="0"/>
      <w:marBottom w:val="0"/>
      <w:divBdr>
        <w:top w:val="none" w:sz="0" w:space="0" w:color="auto"/>
        <w:left w:val="none" w:sz="0" w:space="0" w:color="auto"/>
        <w:bottom w:val="none" w:sz="0" w:space="0" w:color="auto"/>
        <w:right w:val="none" w:sz="0" w:space="0" w:color="auto"/>
      </w:divBdr>
    </w:div>
    <w:div w:id="666443479">
      <w:bodyDiv w:val="1"/>
      <w:marLeft w:val="0"/>
      <w:marRight w:val="0"/>
      <w:marTop w:val="0"/>
      <w:marBottom w:val="0"/>
      <w:divBdr>
        <w:top w:val="none" w:sz="0" w:space="0" w:color="auto"/>
        <w:left w:val="none" w:sz="0" w:space="0" w:color="auto"/>
        <w:bottom w:val="none" w:sz="0" w:space="0" w:color="auto"/>
        <w:right w:val="none" w:sz="0" w:space="0" w:color="auto"/>
      </w:divBdr>
    </w:div>
    <w:div w:id="669716040">
      <w:bodyDiv w:val="1"/>
      <w:marLeft w:val="0"/>
      <w:marRight w:val="0"/>
      <w:marTop w:val="0"/>
      <w:marBottom w:val="0"/>
      <w:divBdr>
        <w:top w:val="none" w:sz="0" w:space="0" w:color="auto"/>
        <w:left w:val="none" w:sz="0" w:space="0" w:color="auto"/>
        <w:bottom w:val="none" w:sz="0" w:space="0" w:color="auto"/>
        <w:right w:val="none" w:sz="0" w:space="0" w:color="auto"/>
      </w:divBdr>
    </w:div>
    <w:div w:id="678772527">
      <w:bodyDiv w:val="1"/>
      <w:marLeft w:val="0"/>
      <w:marRight w:val="0"/>
      <w:marTop w:val="0"/>
      <w:marBottom w:val="0"/>
      <w:divBdr>
        <w:top w:val="none" w:sz="0" w:space="0" w:color="auto"/>
        <w:left w:val="none" w:sz="0" w:space="0" w:color="auto"/>
        <w:bottom w:val="none" w:sz="0" w:space="0" w:color="auto"/>
        <w:right w:val="none" w:sz="0" w:space="0" w:color="auto"/>
      </w:divBdr>
    </w:div>
    <w:div w:id="704017414">
      <w:bodyDiv w:val="1"/>
      <w:marLeft w:val="0"/>
      <w:marRight w:val="0"/>
      <w:marTop w:val="0"/>
      <w:marBottom w:val="0"/>
      <w:divBdr>
        <w:top w:val="none" w:sz="0" w:space="0" w:color="auto"/>
        <w:left w:val="none" w:sz="0" w:space="0" w:color="auto"/>
        <w:bottom w:val="none" w:sz="0" w:space="0" w:color="auto"/>
        <w:right w:val="none" w:sz="0" w:space="0" w:color="auto"/>
      </w:divBdr>
    </w:div>
    <w:div w:id="723941873">
      <w:bodyDiv w:val="1"/>
      <w:marLeft w:val="0"/>
      <w:marRight w:val="0"/>
      <w:marTop w:val="0"/>
      <w:marBottom w:val="0"/>
      <w:divBdr>
        <w:top w:val="none" w:sz="0" w:space="0" w:color="auto"/>
        <w:left w:val="none" w:sz="0" w:space="0" w:color="auto"/>
        <w:bottom w:val="none" w:sz="0" w:space="0" w:color="auto"/>
        <w:right w:val="none" w:sz="0" w:space="0" w:color="auto"/>
      </w:divBdr>
    </w:div>
    <w:div w:id="725110390">
      <w:bodyDiv w:val="1"/>
      <w:marLeft w:val="0"/>
      <w:marRight w:val="0"/>
      <w:marTop w:val="0"/>
      <w:marBottom w:val="0"/>
      <w:divBdr>
        <w:top w:val="none" w:sz="0" w:space="0" w:color="auto"/>
        <w:left w:val="none" w:sz="0" w:space="0" w:color="auto"/>
        <w:bottom w:val="none" w:sz="0" w:space="0" w:color="auto"/>
        <w:right w:val="none" w:sz="0" w:space="0" w:color="auto"/>
      </w:divBdr>
    </w:div>
    <w:div w:id="765884346">
      <w:bodyDiv w:val="1"/>
      <w:marLeft w:val="0"/>
      <w:marRight w:val="0"/>
      <w:marTop w:val="0"/>
      <w:marBottom w:val="0"/>
      <w:divBdr>
        <w:top w:val="none" w:sz="0" w:space="0" w:color="auto"/>
        <w:left w:val="none" w:sz="0" w:space="0" w:color="auto"/>
        <w:bottom w:val="none" w:sz="0" w:space="0" w:color="auto"/>
        <w:right w:val="none" w:sz="0" w:space="0" w:color="auto"/>
      </w:divBdr>
    </w:div>
    <w:div w:id="776413602">
      <w:bodyDiv w:val="1"/>
      <w:marLeft w:val="0"/>
      <w:marRight w:val="0"/>
      <w:marTop w:val="0"/>
      <w:marBottom w:val="0"/>
      <w:divBdr>
        <w:top w:val="none" w:sz="0" w:space="0" w:color="auto"/>
        <w:left w:val="none" w:sz="0" w:space="0" w:color="auto"/>
        <w:bottom w:val="none" w:sz="0" w:space="0" w:color="auto"/>
        <w:right w:val="none" w:sz="0" w:space="0" w:color="auto"/>
      </w:divBdr>
    </w:div>
    <w:div w:id="805053042">
      <w:bodyDiv w:val="1"/>
      <w:marLeft w:val="0"/>
      <w:marRight w:val="0"/>
      <w:marTop w:val="0"/>
      <w:marBottom w:val="0"/>
      <w:divBdr>
        <w:top w:val="none" w:sz="0" w:space="0" w:color="auto"/>
        <w:left w:val="none" w:sz="0" w:space="0" w:color="auto"/>
        <w:bottom w:val="none" w:sz="0" w:space="0" w:color="auto"/>
        <w:right w:val="none" w:sz="0" w:space="0" w:color="auto"/>
      </w:divBdr>
    </w:div>
    <w:div w:id="813527763">
      <w:bodyDiv w:val="1"/>
      <w:marLeft w:val="0"/>
      <w:marRight w:val="0"/>
      <w:marTop w:val="0"/>
      <w:marBottom w:val="0"/>
      <w:divBdr>
        <w:top w:val="none" w:sz="0" w:space="0" w:color="auto"/>
        <w:left w:val="none" w:sz="0" w:space="0" w:color="auto"/>
        <w:bottom w:val="none" w:sz="0" w:space="0" w:color="auto"/>
        <w:right w:val="none" w:sz="0" w:space="0" w:color="auto"/>
      </w:divBdr>
    </w:div>
    <w:div w:id="815605909">
      <w:bodyDiv w:val="1"/>
      <w:marLeft w:val="0"/>
      <w:marRight w:val="0"/>
      <w:marTop w:val="0"/>
      <w:marBottom w:val="0"/>
      <w:divBdr>
        <w:top w:val="none" w:sz="0" w:space="0" w:color="auto"/>
        <w:left w:val="none" w:sz="0" w:space="0" w:color="auto"/>
        <w:bottom w:val="none" w:sz="0" w:space="0" w:color="auto"/>
        <w:right w:val="none" w:sz="0" w:space="0" w:color="auto"/>
      </w:divBdr>
    </w:div>
    <w:div w:id="819350489">
      <w:bodyDiv w:val="1"/>
      <w:marLeft w:val="0"/>
      <w:marRight w:val="0"/>
      <w:marTop w:val="0"/>
      <w:marBottom w:val="0"/>
      <w:divBdr>
        <w:top w:val="none" w:sz="0" w:space="0" w:color="auto"/>
        <w:left w:val="none" w:sz="0" w:space="0" w:color="auto"/>
        <w:bottom w:val="none" w:sz="0" w:space="0" w:color="auto"/>
        <w:right w:val="none" w:sz="0" w:space="0" w:color="auto"/>
      </w:divBdr>
    </w:div>
    <w:div w:id="878278448">
      <w:bodyDiv w:val="1"/>
      <w:marLeft w:val="0"/>
      <w:marRight w:val="0"/>
      <w:marTop w:val="0"/>
      <w:marBottom w:val="0"/>
      <w:divBdr>
        <w:top w:val="none" w:sz="0" w:space="0" w:color="auto"/>
        <w:left w:val="none" w:sz="0" w:space="0" w:color="auto"/>
        <w:bottom w:val="none" w:sz="0" w:space="0" w:color="auto"/>
        <w:right w:val="none" w:sz="0" w:space="0" w:color="auto"/>
      </w:divBdr>
    </w:div>
    <w:div w:id="892470174">
      <w:bodyDiv w:val="1"/>
      <w:marLeft w:val="0"/>
      <w:marRight w:val="0"/>
      <w:marTop w:val="0"/>
      <w:marBottom w:val="0"/>
      <w:divBdr>
        <w:top w:val="none" w:sz="0" w:space="0" w:color="auto"/>
        <w:left w:val="none" w:sz="0" w:space="0" w:color="auto"/>
        <w:bottom w:val="none" w:sz="0" w:space="0" w:color="auto"/>
        <w:right w:val="none" w:sz="0" w:space="0" w:color="auto"/>
      </w:divBdr>
    </w:div>
    <w:div w:id="943924147">
      <w:bodyDiv w:val="1"/>
      <w:marLeft w:val="0"/>
      <w:marRight w:val="0"/>
      <w:marTop w:val="0"/>
      <w:marBottom w:val="0"/>
      <w:divBdr>
        <w:top w:val="none" w:sz="0" w:space="0" w:color="auto"/>
        <w:left w:val="none" w:sz="0" w:space="0" w:color="auto"/>
        <w:bottom w:val="none" w:sz="0" w:space="0" w:color="auto"/>
        <w:right w:val="none" w:sz="0" w:space="0" w:color="auto"/>
      </w:divBdr>
    </w:div>
    <w:div w:id="961761697">
      <w:bodyDiv w:val="1"/>
      <w:marLeft w:val="0"/>
      <w:marRight w:val="0"/>
      <w:marTop w:val="0"/>
      <w:marBottom w:val="0"/>
      <w:divBdr>
        <w:top w:val="none" w:sz="0" w:space="0" w:color="auto"/>
        <w:left w:val="none" w:sz="0" w:space="0" w:color="auto"/>
        <w:bottom w:val="none" w:sz="0" w:space="0" w:color="auto"/>
        <w:right w:val="none" w:sz="0" w:space="0" w:color="auto"/>
      </w:divBdr>
    </w:div>
    <w:div w:id="974062465">
      <w:bodyDiv w:val="1"/>
      <w:marLeft w:val="0"/>
      <w:marRight w:val="0"/>
      <w:marTop w:val="0"/>
      <w:marBottom w:val="0"/>
      <w:divBdr>
        <w:top w:val="none" w:sz="0" w:space="0" w:color="auto"/>
        <w:left w:val="none" w:sz="0" w:space="0" w:color="auto"/>
        <w:bottom w:val="none" w:sz="0" w:space="0" w:color="auto"/>
        <w:right w:val="none" w:sz="0" w:space="0" w:color="auto"/>
      </w:divBdr>
    </w:div>
    <w:div w:id="997265710">
      <w:bodyDiv w:val="1"/>
      <w:marLeft w:val="0"/>
      <w:marRight w:val="0"/>
      <w:marTop w:val="0"/>
      <w:marBottom w:val="0"/>
      <w:divBdr>
        <w:top w:val="none" w:sz="0" w:space="0" w:color="auto"/>
        <w:left w:val="none" w:sz="0" w:space="0" w:color="auto"/>
        <w:bottom w:val="none" w:sz="0" w:space="0" w:color="auto"/>
        <w:right w:val="none" w:sz="0" w:space="0" w:color="auto"/>
      </w:divBdr>
    </w:div>
    <w:div w:id="1002319475">
      <w:bodyDiv w:val="1"/>
      <w:marLeft w:val="0"/>
      <w:marRight w:val="0"/>
      <w:marTop w:val="0"/>
      <w:marBottom w:val="0"/>
      <w:divBdr>
        <w:top w:val="none" w:sz="0" w:space="0" w:color="auto"/>
        <w:left w:val="none" w:sz="0" w:space="0" w:color="auto"/>
        <w:bottom w:val="none" w:sz="0" w:space="0" w:color="auto"/>
        <w:right w:val="none" w:sz="0" w:space="0" w:color="auto"/>
      </w:divBdr>
    </w:div>
    <w:div w:id="1034424722">
      <w:bodyDiv w:val="1"/>
      <w:marLeft w:val="0"/>
      <w:marRight w:val="0"/>
      <w:marTop w:val="0"/>
      <w:marBottom w:val="0"/>
      <w:divBdr>
        <w:top w:val="none" w:sz="0" w:space="0" w:color="auto"/>
        <w:left w:val="none" w:sz="0" w:space="0" w:color="auto"/>
        <w:bottom w:val="none" w:sz="0" w:space="0" w:color="auto"/>
        <w:right w:val="none" w:sz="0" w:space="0" w:color="auto"/>
      </w:divBdr>
    </w:div>
    <w:div w:id="1078135206">
      <w:bodyDiv w:val="1"/>
      <w:marLeft w:val="0"/>
      <w:marRight w:val="0"/>
      <w:marTop w:val="0"/>
      <w:marBottom w:val="0"/>
      <w:divBdr>
        <w:top w:val="none" w:sz="0" w:space="0" w:color="auto"/>
        <w:left w:val="none" w:sz="0" w:space="0" w:color="auto"/>
        <w:bottom w:val="none" w:sz="0" w:space="0" w:color="auto"/>
        <w:right w:val="none" w:sz="0" w:space="0" w:color="auto"/>
      </w:divBdr>
    </w:div>
    <w:div w:id="1089615941">
      <w:bodyDiv w:val="1"/>
      <w:marLeft w:val="0"/>
      <w:marRight w:val="0"/>
      <w:marTop w:val="0"/>
      <w:marBottom w:val="0"/>
      <w:divBdr>
        <w:top w:val="none" w:sz="0" w:space="0" w:color="auto"/>
        <w:left w:val="none" w:sz="0" w:space="0" w:color="auto"/>
        <w:bottom w:val="none" w:sz="0" w:space="0" w:color="auto"/>
        <w:right w:val="none" w:sz="0" w:space="0" w:color="auto"/>
      </w:divBdr>
    </w:div>
    <w:div w:id="1116291388">
      <w:bodyDiv w:val="1"/>
      <w:marLeft w:val="0"/>
      <w:marRight w:val="0"/>
      <w:marTop w:val="0"/>
      <w:marBottom w:val="0"/>
      <w:divBdr>
        <w:top w:val="none" w:sz="0" w:space="0" w:color="auto"/>
        <w:left w:val="none" w:sz="0" w:space="0" w:color="auto"/>
        <w:bottom w:val="none" w:sz="0" w:space="0" w:color="auto"/>
        <w:right w:val="none" w:sz="0" w:space="0" w:color="auto"/>
      </w:divBdr>
    </w:div>
    <w:div w:id="1137528888">
      <w:bodyDiv w:val="1"/>
      <w:marLeft w:val="0"/>
      <w:marRight w:val="0"/>
      <w:marTop w:val="0"/>
      <w:marBottom w:val="0"/>
      <w:divBdr>
        <w:top w:val="none" w:sz="0" w:space="0" w:color="auto"/>
        <w:left w:val="none" w:sz="0" w:space="0" w:color="auto"/>
        <w:bottom w:val="none" w:sz="0" w:space="0" w:color="auto"/>
        <w:right w:val="none" w:sz="0" w:space="0" w:color="auto"/>
      </w:divBdr>
    </w:div>
    <w:div w:id="1141994314">
      <w:bodyDiv w:val="1"/>
      <w:marLeft w:val="0"/>
      <w:marRight w:val="0"/>
      <w:marTop w:val="0"/>
      <w:marBottom w:val="0"/>
      <w:divBdr>
        <w:top w:val="none" w:sz="0" w:space="0" w:color="auto"/>
        <w:left w:val="none" w:sz="0" w:space="0" w:color="auto"/>
        <w:bottom w:val="none" w:sz="0" w:space="0" w:color="auto"/>
        <w:right w:val="none" w:sz="0" w:space="0" w:color="auto"/>
      </w:divBdr>
    </w:div>
    <w:div w:id="1218202180">
      <w:bodyDiv w:val="1"/>
      <w:marLeft w:val="0"/>
      <w:marRight w:val="0"/>
      <w:marTop w:val="0"/>
      <w:marBottom w:val="0"/>
      <w:divBdr>
        <w:top w:val="none" w:sz="0" w:space="0" w:color="auto"/>
        <w:left w:val="none" w:sz="0" w:space="0" w:color="auto"/>
        <w:bottom w:val="none" w:sz="0" w:space="0" w:color="auto"/>
        <w:right w:val="none" w:sz="0" w:space="0" w:color="auto"/>
      </w:divBdr>
    </w:div>
    <w:div w:id="1223248275">
      <w:bodyDiv w:val="1"/>
      <w:marLeft w:val="0"/>
      <w:marRight w:val="0"/>
      <w:marTop w:val="0"/>
      <w:marBottom w:val="0"/>
      <w:divBdr>
        <w:top w:val="none" w:sz="0" w:space="0" w:color="auto"/>
        <w:left w:val="none" w:sz="0" w:space="0" w:color="auto"/>
        <w:bottom w:val="none" w:sz="0" w:space="0" w:color="auto"/>
        <w:right w:val="none" w:sz="0" w:space="0" w:color="auto"/>
      </w:divBdr>
    </w:div>
    <w:div w:id="1283414604">
      <w:bodyDiv w:val="1"/>
      <w:marLeft w:val="0"/>
      <w:marRight w:val="0"/>
      <w:marTop w:val="0"/>
      <w:marBottom w:val="0"/>
      <w:divBdr>
        <w:top w:val="none" w:sz="0" w:space="0" w:color="auto"/>
        <w:left w:val="none" w:sz="0" w:space="0" w:color="auto"/>
        <w:bottom w:val="none" w:sz="0" w:space="0" w:color="auto"/>
        <w:right w:val="none" w:sz="0" w:space="0" w:color="auto"/>
      </w:divBdr>
    </w:div>
    <w:div w:id="1290353976">
      <w:bodyDiv w:val="1"/>
      <w:marLeft w:val="0"/>
      <w:marRight w:val="0"/>
      <w:marTop w:val="0"/>
      <w:marBottom w:val="0"/>
      <w:divBdr>
        <w:top w:val="none" w:sz="0" w:space="0" w:color="auto"/>
        <w:left w:val="none" w:sz="0" w:space="0" w:color="auto"/>
        <w:bottom w:val="none" w:sz="0" w:space="0" w:color="auto"/>
        <w:right w:val="none" w:sz="0" w:space="0" w:color="auto"/>
      </w:divBdr>
    </w:div>
    <w:div w:id="1357581767">
      <w:bodyDiv w:val="1"/>
      <w:marLeft w:val="0"/>
      <w:marRight w:val="0"/>
      <w:marTop w:val="0"/>
      <w:marBottom w:val="0"/>
      <w:divBdr>
        <w:top w:val="none" w:sz="0" w:space="0" w:color="auto"/>
        <w:left w:val="none" w:sz="0" w:space="0" w:color="auto"/>
        <w:bottom w:val="none" w:sz="0" w:space="0" w:color="auto"/>
        <w:right w:val="none" w:sz="0" w:space="0" w:color="auto"/>
      </w:divBdr>
    </w:div>
    <w:div w:id="1407148883">
      <w:bodyDiv w:val="1"/>
      <w:marLeft w:val="0"/>
      <w:marRight w:val="0"/>
      <w:marTop w:val="0"/>
      <w:marBottom w:val="0"/>
      <w:divBdr>
        <w:top w:val="none" w:sz="0" w:space="0" w:color="auto"/>
        <w:left w:val="none" w:sz="0" w:space="0" w:color="auto"/>
        <w:bottom w:val="none" w:sz="0" w:space="0" w:color="auto"/>
        <w:right w:val="none" w:sz="0" w:space="0" w:color="auto"/>
      </w:divBdr>
    </w:div>
    <w:div w:id="1414156643">
      <w:bodyDiv w:val="1"/>
      <w:marLeft w:val="0"/>
      <w:marRight w:val="0"/>
      <w:marTop w:val="0"/>
      <w:marBottom w:val="0"/>
      <w:divBdr>
        <w:top w:val="none" w:sz="0" w:space="0" w:color="auto"/>
        <w:left w:val="none" w:sz="0" w:space="0" w:color="auto"/>
        <w:bottom w:val="none" w:sz="0" w:space="0" w:color="auto"/>
        <w:right w:val="none" w:sz="0" w:space="0" w:color="auto"/>
      </w:divBdr>
    </w:div>
    <w:div w:id="1419060366">
      <w:bodyDiv w:val="1"/>
      <w:marLeft w:val="0"/>
      <w:marRight w:val="0"/>
      <w:marTop w:val="0"/>
      <w:marBottom w:val="0"/>
      <w:divBdr>
        <w:top w:val="none" w:sz="0" w:space="0" w:color="auto"/>
        <w:left w:val="none" w:sz="0" w:space="0" w:color="auto"/>
        <w:bottom w:val="none" w:sz="0" w:space="0" w:color="auto"/>
        <w:right w:val="none" w:sz="0" w:space="0" w:color="auto"/>
      </w:divBdr>
    </w:div>
    <w:div w:id="1452242428">
      <w:bodyDiv w:val="1"/>
      <w:marLeft w:val="0"/>
      <w:marRight w:val="0"/>
      <w:marTop w:val="0"/>
      <w:marBottom w:val="0"/>
      <w:divBdr>
        <w:top w:val="none" w:sz="0" w:space="0" w:color="auto"/>
        <w:left w:val="none" w:sz="0" w:space="0" w:color="auto"/>
        <w:bottom w:val="none" w:sz="0" w:space="0" w:color="auto"/>
        <w:right w:val="none" w:sz="0" w:space="0" w:color="auto"/>
      </w:divBdr>
    </w:div>
    <w:div w:id="1471903620">
      <w:bodyDiv w:val="1"/>
      <w:marLeft w:val="0"/>
      <w:marRight w:val="0"/>
      <w:marTop w:val="0"/>
      <w:marBottom w:val="0"/>
      <w:divBdr>
        <w:top w:val="none" w:sz="0" w:space="0" w:color="auto"/>
        <w:left w:val="none" w:sz="0" w:space="0" w:color="auto"/>
        <w:bottom w:val="none" w:sz="0" w:space="0" w:color="auto"/>
        <w:right w:val="none" w:sz="0" w:space="0" w:color="auto"/>
      </w:divBdr>
    </w:div>
    <w:div w:id="1566060648">
      <w:bodyDiv w:val="1"/>
      <w:marLeft w:val="0"/>
      <w:marRight w:val="0"/>
      <w:marTop w:val="0"/>
      <w:marBottom w:val="0"/>
      <w:divBdr>
        <w:top w:val="none" w:sz="0" w:space="0" w:color="auto"/>
        <w:left w:val="none" w:sz="0" w:space="0" w:color="auto"/>
        <w:bottom w:val="none" w:sz="0" w:space="0" w:color="auto"/>
        <w:right w:val="none" w:sz="0" w:space="0" w:color="auto"/>
      </w:divBdr>
    </w:div>
    <w:div w:id="1581671182">
      <w:bodyDiv w:val="1"/>
      <w:marLeft w:val="0"/>
      <w:marRight w:val="0"/>
      <w:marTop w:val="0"/>
      <w:marBottom w:val="0"/>
      <w:divBdr>
        <w:top w:val="none" w:sz="0" w:space="0" w:color="auto"/>
        <w:left w:val="none" w:sz="0" w:space="0" w:color="auto"/>
        <w:bottom w:val="none" w:sz="0" w:space="0" w:color="auto"/>
        <w:right w:val="none" w:sz="0" w:space="0" w:color="auto"/>
      </w:divBdr>
    </w:div>
    <w:div w:id="1586301526">
      <w:bodyDiv w:val="1"/>
      <w:marLeft w:val="0"/>
      <w:marRight w:val="0"/>
      <w:marTop w:val="0"/>
      <w:marBottom w:val="0"/>
      <w:divBdr>
        <w:top w:val="none" w:sz="0" w:space="0" w:color="auto"/>
        <w:left w:val="none" w:sz="0" w:space="0" w:color="auto"/>
        <w:bottom w:val="none" w:sz="0" w:space="0" w:color="auto"/>
        <w:right w:val="none" w:sz="0" w:space="0" w:color="auto"/>
      </w:divBdr>
    </w:div>
    <w:div w:id="1586760731">
      <w:bodyDiv w:val="1"/>
      <w:marLeft w:val="0"/>
      <w:marRight w:val="0"/>
      <w:marTop w:val="0"/>
      <w:marBottom w:val="0"/>
      <w:divBdr>
        <w:top w:val="none" w:sz="0" w:space="0" w:color="auto"/>
        <w:left w:val="none" w:sz="0" w:space="0" w:color="auto"/>
        <w:bottom w:val="none" w:sz="0" w:space="0" w:color="auto"/>
        <w:right w:val="none" w:sz="0" w:space="0" w:color="auto"/>
      </w:divBdr>
    </w:div>
    <w:div w:id="1589581817">
      <w:bodyDiv w:val="1"/>
      <w:marLeft w:val="0"/>
      <w:marRight w:val="0"/>
      <w:marTop w:val="0"/>
      <w:marBottom w:val="0"/>
      <w:divBdr>
        <w:top w:val="none" w:sz="0" w:space="0" w:color="auto"/>
        <w:left w:val="none" w:sz="0" w:space="0" w:color="auto"/>
        <w:bottom w:val="none" w:sz="0" w:space="0" w:color="auto"/>
        <w:right w:val="none" w:sz="0" w:space="0" w:color="auto"/>
      </w:divBdr>
    </w:div>
    <w:div w:id="1607079428">
      <w:bodyDiv w:val="1"/>
      <w:marLeft w:val="0"/>
      <w:marRight w:val="0"/>
      <w:marTop w:val="0"/>
      <w:marBottom w:val="0"/>
      <w:divBdr>
        <w:top w:val="none" w:sz="0" w:space="0" w:color="auto"/>
        <w:left w:val="none" w:sz="0" w:space="0" w:color="auto"/>
        <w:bottom w:val="none" w:sz="0" w:space="0" w:color="auto"/>
        <w:right w:val="none" w:sz="0" w:space="0" w:color="auto"/>
      </w:divBdr>
    </w:div>
    <w:div w:id="1611938856">
      <w:bodyDiv w:val="1"/>
      <w:marLeft w:val="0"/>
      <w:marRight w:val="0"/>
      <w:marTop w:val="0"/>
      <w:marBottom w:val="0"/>
      <w:divBdr>
        <w:top w:val="none" w:sz="0" w:space="0" w:color="auto"/>
        <w:left w:val="none" w:sz="0" w:space="0" w:color="auto"/>
        <w:bottom w:val="none" w:sz="0" w:space="0" w:color="auto"/>
        <w:right w:val="none" w:sz="0" w:space="0" w:color="auto"/>
      </w:divBdr>
    </w:div>
    <w:div w:id="1633822037">
      <w:bodyDiv w:val="1"/>
      <w:marLeft w:val="0"/>
      <w:marRight w:val="0"/>
      <w:marTop w:val="0"/>
      <w:marBottom w:val="0"/>
      <w:divBdr>
        <w:top w:val="none" w:sz="0" w:space="0" w:color="auto"/>
        <w:left w:val="none" w:sz="0" w:space="0" w:color="auto"/>
        <w:bottom w:val="none" w:sz="0" w:space="0" w:color="auto"/>
        <w:right w:val="none" w:sz="0" w:space="0" w:color="auto"/>
      </w:divBdr>
    </w:div>
    <w:div w:id="1666471359">
      <w:bodyDiv w:val="1"/>
      <w:marLeft w:val="0"/>
      <w:marRight w:val="0"/>
      <w:marTop w:val="0"/>
      <w:marBottom w:val="0"/>
      <w:divBdr>
        <w:top w:val="none" w:sz="0" w:space="0" w:color="auto"/>
        <w:left w:val="none" w:sz="0" w:space="0" w:color="auto"/>
        <w:bottom w:val="none" w:sz="0" w:space="0" w:color="auto"/>
        <w:right w:val="none" w:sz="0" w:space="0" w:color="auto"/>
      </w:divBdr>
    </w:div>
    <w:div w:id="1715232883">
      <w:bodyDiv w:val="1"/>
      <w:marLeft w:val="0"/>
      <w:marRight w:val="0"/>
      <w:marTop w:val="0"/>
      <w:marBottom w:val="0"/>
      <w:divBdr>
        <w:top w:val="none" w:sz="0" w:space="0" w:color="auto"/>
        <w:left w:val="none" w:sz="0" w:space="0" w:color="auto"/>
        <w:bottom w:val="none" w:sz="0" w:space="0" w:color="auto"/>
        <w:right w:val="none" w:sz="0" w:space="0" w:color="auto"/>
      </w:divBdr>
    </w:div>
    <w:div w:id="1770076627">
      <w:bodyDiv w:val="1"/>
      <w:marLeft w:val="0"/>
      <w:marRight w:val="0"/>
      <w:marTop w:val="0"/>
      <w:marBottom w:val="0"/>
      <w:divBdr>
        <w:top w:val="none" w:sz="0" w:space="0" w:color="auto"/>
        <w:left w:val="none" w:sz="0" w:space="0" w:color="auto"/>
        <w:bottom w:val="none" w:sz="0" w:space="0" w:color="auto"/>
        <w:right w:val="none" w:sz="0" w:space="0" w:color="auto"/>
      </w:divBdr>
    </w:div>
    <w:div w:id="1851677083">
      <w:bodyDiv w:val="1"/>
      <w:marLeft w:val="0"/>
      <w:marRight w:val="0"/>
      <w:marTop w:val="0"/>
      <w:marBottom w:val="0"/>
      <w:divBdr>
        <w:top w:val="none" w:sz="0" w:space="0" w:color="auto"/>
        <w:left w:val="none" w:sz="0" w:space="0" w:color="auto"/>
        <w:bottom w:val="none" w:sz="0" w:space="0" w:color="auto"/>
        <w:right w:val="none" w:sz="0" w:space="0" w:color="auto"/>
      </w:divBdr>
    </w:div>
    <w:div w:id="1916158484">
      <w:bodyDiv w:val="1"/>
      <w:marLeft w:val="0"/>
      <w:marRight w:val="0"/>
      <w:marTop w:val="0"/>
      <w:marBottom w:val="0"/>
      <w:divBdr>
        <w:top w:val="none" w:sz="0" w:space="0" w:color="auto"/>
        <w:left w:val="none" w:sz="0" w:space="0" w:color="auto"/>
        <w:bottom w:val="none" w:sz="0" w:space="0" w:color="auto"/>
        <w:right w:val="none" w:sz="0" w:space="0" w:color="auto"/>
      </w:divBdr>
    </w:div>
    <w:div w:id="1950310228">
      <w:bodyDiv w:val="1"/>
      <w:marLeft w:val="0"/>
      <w:marRight w:val="0"/>
      <w:marTop w:val="0"/>
      <w:marBottom w:val="0"/>
      <w:divBdr>
        <w:top w:val="none" w:sz="0" w:space="0" w:color="auto"/>
        <w:left w:val="none" w:sz="0" w:space="0" w:color="auto"/>
        <w:bottom w:val="none" w:sz="0" w:space="0" w:color="auto"/>
        <w:right w:val="none" w:sz="0" w:space="0" w:color="auto"/>
      </w:divBdr>
    </w:div>
    <w:div w:id="1955819870">
      <w:bodyDiv w:val="1"/>
      <w:marLeft w:val="0"/>
      <w:marRight w:val="0"/>
      <w:marTop w:val="0"/>
      <w:marBottom w:val="0"/>
      <w:divBdr>
        <w:top w:val="none" w:sz="0" w:space="0" w:color="auto"/>
        <w:left w:val="none" w:sz="0" w:space="0" w:color="auto"/>
        <w:bottom w:val="none" w:sz="0" w:space="0" w:color="auto"/>
        <w:right w:val="none" w:sz="0" w:space="0" w:color="auto"/>
      </w:divBdr>
    </w:div>
    <w:div w:id="1963463643">
      <w:bodyDiv w:val="1"/>
      <w:marLeft w:val="0"/>
      <w:marRight w:val="0"/>
      <w:marTop w:val="0"/>
      <w:marBottom w:val="0"/>
      <w:divBdr>
        <w:top w:val="none" w:sz="0" w:space="0" w:color="auto"/>
        <w:left w:val="none" w:sz="0" w:space="0" w:color="auto"/>
        <w:bottom w:val="none" w:sz="0" w:space="0" w:color="auto"/>
        <w:right w:val="none" w:sz="0" w:space="0" w:color="auto"/>
      </w:divBdr>
    </w:div>
    <w:div w:id="1965578765">
      <w:bodyDiv w:val="1"/>
      <w:marLeft w:val="0"/>
      <w:marRight w:val="0"/>
      <w:marTop w:val="0"/>
      <w:marBottom w:val="0"/>
      <w:divBdr>
        <w:top w:val="none" w:sz="0" w:space="0" w:color="auto"/>
        <w:left w:val="none" w:sz="0" w:space="0" w:color="auto"/>
        <w:bottom w:val="none" w:sz="0" w:space="0" w:color="auto"/>
        <w:right w:val="none" w:sz="0" w:space="0" w:color="auto"/>
      </w:divBdr>
    </w:div>
    <w:div w:id="1969893474">
      <w:bodyDiv w:val="1"/>
      <w:marLeft w:val="0"/>
      <w:marRight w:val="0"/>
      <w:marTop w:val="0"/>
      <w:marBottom w:val="0"/>
      <w:divBdr>
        <w:top w:val="none" w:sz="0" w:space="0" w:color="auto"/>
        <w:left w:val="none" w:sz="0" w:space="0" w:color="auto"/>
        <w:bottom w:val="none" w:sz="0" w:space="0" w:color="auto"/>
        <w:right w:val="none" w:sz="0" w:space="0" w:color="auto"/>
      </w:divBdr>
    </w:div>
    <w:div w:id="1976637922">
      <w:bodyDiv w:val="1"/>
      <w:marLeft w:val="0"/>
      <w:marRight w:val="0"/>
      <w:marTop w:val="0"/>
      <w:marBottom w:val="0"/>
      <w:divBdr>
        <w:top w:val="none" w:sz="0" w:space="0" w:color="auto"/>
        <w:left w:val="none" w:sz="0" w:space="0" w:color="auto"/>
        <w:bottom w:val="none" w:sz="0" w:space="0" w:color="auto"/>
        <w:right w:val="none" w:sz="0" w:space="0" w:color="auto"/>
      </w:divBdr>
    </w:div>
    <w:div w:id="2005814071">
      <w:bodyDiv w:val="1"/>
      <w:marLeft w:val="0"/>
      <w:marRight w:val="0"/>
      <w:marTop w:val="0"/>
      <w:marBottom w:val="0"/>
      <w:divBdr>
        <w:top w:val="none" w:sz="0" w:space="0" w:color="auto"/>
        <w:left w:val="none" w:sz="0" w:space="0" w:color="auto"/>
        <w:bottom w:val="none" w:sz="0" w:space="0" w:color="auto"/>
        <w:right w:val="none" w:sz="0" w:space="0" w:color="auto"/>
      </w:divBdr>
    </w:div>
    <w:div w:id="2018652940">
      <w:bodyDiv w:val="1"/>
      <w:marLeft w:val="0"/>
      <w:marRight w:val="0"/>
      <w:marTop w:val="0"/>
      <w:marBottom w:val="0"/>
      <w:divBdr>
        <w:top w:val="none" w:sz="0" w:space="0" w:color="auto"/>
        <w:left w:val="none" w:sz="0" w:space="0" w:color="auto"/>
        <w:bottom w:val="none" w:sz="0" w:space="0" w:color="auto"/>
        <w:right w:val="none" w:sz="0" w:space="0" w:color="auto"/>
      </w:divBdr>
    </w:div>
    <w:div w:id="21247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4EE94-0BA2-4B80-A8EA-4B764E0E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5931</Words>
  <Characters>33813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Dell Computer Corporation</Company>
  <LinksUpToDate>false</LinksUpToDate>
  <CharactersWithSpaces>39665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subject/>
  <dc:creator>Preferred Customer</dc:creator>
  <cp:keywords/>
  <dc:description/>
  <cp:lastModifiedBy>ckerwin</cp:lastModifiedBy>
  <cp:revision>2</cp:revision>
  <cp:lastPrinted>2011-05-09T16:53:00Z</cp:lastPrinted>
  <dcterms:created xsi:type="dcterms:W3CDTF">2011-10-18T11:13:00Z</dcterms:created>
  <dcterms:modified xsi:type="dcterms:W3CDTF">2011-10-18T11:13:00Z</dcterms:modified>
</cp:coreProperties>
</file>