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88" w:rsidRPr="00F86F84" w:rsidRDefault="00A95088" w:rsidP="00A95088">
      <w:pPr>
        <w:pStyle w:val="APSANormal"/>
        <w:jc w:val="center"/>
        <w:rPr>
          <w:b/>
          <w:sz w:val="28"/>
          <w:szCs w:val="28"/>
        </w:rPr>
      </w:pPr>
      <w:r w:rsidRPr="00F86F84">
        <w:rPr>
          <w:b/>
          <w:sz w:val="36"/>
          <w:szCs w:val="36"/>
        </w:rPr>
        <w:t>P</w:t>
      </w:r>
      <w:r>
        <w:rPr>
          <w:b/>
          <w:sz w:val="28"/>
          <w:szCs w:val="28"/>
        </w:rPr>
        <w:t xml:space="preserve">olicy and </w:t>
      </w:r>
      <w:r w:rsidRPr="00F86F84">
        <w:rPr>
          <w:b/>
          <w:sz w:val="36"/>
          <w:szCs w:val="36"/>
        </w:rPr>
        <w:t>P</w:t>
      </w:r>
      <w:r>
        <w:rPr>
          <w:b/>
          <w:sz w:val="28"/>
          <w:szCs w:val="28"/>
        </w:rPr>
        <w:t xml:space="preserve">rogram </w:t>
      </w:r>
      <w:r w:rsidRPr="00F86F84">
        <w:rPr>
          <w:b/>
          <w:sz w:val="36"/>
          <w:szCs w:val="36"/>
        </w:rPr>
        <w:t>S</w:t>
      </w:r>
      <w:r>
        <w:rPr>
          <w:b/>
          <w:sz w:val="28"/>
          <w:szCs w:val="28"/>
        </w:rPr>
        <w:t xml:space="preserve">tudies </w:t>
      </w:r>
      <w:r w:rsidRPr="00F86F84">
        <w:rPr>
          <w:b/>
          <w:sz w:val="36"/>
          <w:szCs w:val="36"/>
        </w:rPr>
        <w:t>S</w:t>
      </w:r>
      <w:r>
        <w:rPr>
          <w:b/>
          <w:sz w:val="28"/>
          <w:szCs w:val="28"/>
        </w:rPr>
        <w:t>ervice</w:t>
      </w:r>
    </w:p>
    <w:p w:rsidR="00A95088" w:rsidRDefault="00A95088" w:rsidP="00A95088">
      <w:pPr>
        <w:pStyle w:val="BPSALevel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Memorandum</w:t>
      </w:r>
    </w:p>
    <w:p w:rsidR="00A95088" w:rsidRPr="001619E8" w:rsidRDefault="00A95088" w:rsidP="00A95088">
      <w:pPr>
        <w:pStyle w:val="APSANormal"/>
        <w:rPr>
          <w:b/>
          <w:sz w:val="28"/>
          <w:szCs w:val="28"/>
        </w:rPr>
      </w:pPr>
    </w:p>
    <w:p w:rsidR="00A95088" w:rsidRPr="0007793B" w:rsidRDefault="00A95088" w:rsidP="00A95088">
      <w:pPr>
        <w:pStyle w:val="APSANormal"/>
        <w:jc w:val="both"/>
      </w:pPr>
      <w:r w:rsidRPr="0007793B">
        <w:t>To:</w:t>
      </w:r>
      <w:r w:rsidRPr="0007793B">
        <w:tab/>
      </w:r>
      <w:r w:rsidR="003019A4" w:rsidRPr="0007793B">
        <w:t>Katrina Ingalls, RIMS</w:t>
      </w:r>
    </w:p>
    <w:p w:rsidR="00A95088" w:rsidRPr="0007793B" w:rsidRDefault="00A95088" w:rsidP="00A95088">
      <w:pPr>
        <w:pStyle w:val="APSANormal"/>
        <w:jc w:val="both"/>
      </w:pPr>
      <w:r w:rsidRPr="0007793B">
        <w:t>From:</w:t>
      </w:r>
      <w:r w:rsidRPr="0007793B">
        <w:tab/>
      </w:r>
      <w:r w:rsidR="00E80397" w:rsidRPr="0007793B">
        <w:t>Beth Yeh</w:t>
      </w:r>
    </w:p>
    <w:p w:rsidR="00A95088" w:rsidRPr="0007793B" w:rsidRDefault="00A95088" w:rsidP="00A95088">
      <w:pPr>
        <w:pStyle w:val="APSANormal"/>
        <w:jc w:val="both"/>
      </w:pPr>
      <w:r w:rsidRPr="0007793B">
        <w:t>Date:</w:t>
      </w:r>
      <w:r w:rsidRPr="0007793B">
        <w:tab/>
      </w:r>
      <w:r w:rsidR="003019A4" w:rsidRPr="0007793B">
        <w:t>December 14, 2011</w:t>
      </w:r>
    </w:p>
    <w:p w:rsidR="004B11E1" w:rsidRPr="0007793B" w:rsidRDefault="004B11E1" w:rsidP="00DE1D2C">
      <w:pPr>
        <w:pStyle w:val="APSANormal"/>
        <w:ind w:left="720" w:hanging="720"/>
      </w:pPr>
      <w:r w:rsidRPr="0007793B">
        <w:t>Re:</w:t>
      </w:r>
      <w:r w:rsidRPr="0007793B">
        <w:tab/>
      </w:r>
      <w:r w:rsidR="003019A4" w:rsidRPr="0007793B">
        <w:t>Response to OMB’s comments on the Evaluation of the Homeless Children and Youth Program</w:t>
      </w:r>
      <w:r w:rsidR="009B2B7E" w:rsidRPr="0007793B">
        <w:t xml:space="preserve"> </w:t>
      </w:r>
    </w:p>
    <w:p w:rsidR="00F84958" w:rsidRPr="0007793B" w:rsidRDefault="00F84958" w:rsidP="00F84958">
      <w:pPr>
        <w:pStyle w:val="APSANormal"/>
      </w:pPr>
    </w:p>
    <w:p w:rsidR="009969BE" w:rsidRPr="0007793B" w:rsidRDefault="00F84958" w:rsidP="00F84958">
      <w:pPr>
        <w:pStyle w:val="APSANormal"/>
      </w:pPr>
      <w:r w:rsidRPr="0007793B">
        <w:t>We made the following changes to the package in response to OMB’s comments.</w:t>
      </w:r>
      <w:r w:rsidR="009969BE" w:rsidRPr="0007793B">
        <w:t xml:space="preserve">  </w:t>
      </w:r>
    </w:p>
    <w:p w:rsidR="00F84958" w:rsidRPr="0007793B" w:rsidRDefault="00F84958" w:rsidP="00F84958">
      <w:pPr>
        <w:pStyle w:val="APSANormal"/>
      </w:pPr>
    </w:p>
    <w:p w:rsidR="00F84958" w:rsidRPr="0007793B" w:rsidRDefault="00F84958" w:rsidP="00F84958">
      <w:pPr>
        <w:rPr>
          <w:rFonts w:ascii="Times New Roman" w:hAnsi="Times New Roman"/>
          <w:sz w:val="24"/>
          <w:szCs w:val="24"/>
        </w:rPr>
      </w:pPr>
      <w:r w:rsidRPr="0007793B">
        <w:rPr>
          <w:rFonts w:ascii="Times New Roman" w:hAnsi="Times New Roman"/>
          <w:b/>
          <w:sz w:val="24"/>
          <w:szCs w:val="24"/>
        </w:rPr>
        <w:t>OMB comment:</w:t>
      </w:r>
      <w:r w:rsidRPr="0007793B">
        <w:rPr>
          <w:rFonts w:ascii="Times New Roman" w:hAnsi="Times New Roman"/>
          <w:sz w:val="24"/>
          <w:szCs w:val="24"/>
        </w:rPr>
        <w:t xml:space="preserve">  We would prefer it if PPSS would categorize parallel research questions for states and districts in similar groups.</w:t>
      </w:r>
    </w:p>
    <w:p w:rsidR="00F84958" w:rsidRPr="0007793B" w:rsidRDefault="00F84958" w:rsidP="00F84958">
      <w:pPr>
        <w:rPr>
          <w:rFonts w:ascii="Times New Roman" w:hAnsi="Times New Roman"/>
          <w:sz w:val="24"/>
          <w:szCs w:val="24"/>
        </w:rPr>
      </w:pPr>
      <w:r w:rsidRPr="0007793B">
        <w:rPr>
          <w:rFonts w:ascii="Times New Roman" w:hAnsi="Times New Roman"/>
          <w:b/>
          <w:sz w:val="24"/>
          <w:szCs w:val="24"/>
        </w:rPr>
        <w:t>PPSS response:</w:t>
      </w:r>
      <w:r w:rsidRPr="0007793B">
        <w:rPr>
          <w:rFonts w:ascii="Times New Roman" w:hAnsi="Times New Roman"/>
          <w:sz w:val="24"/>
          <w:szCs w:val="24"/>
        </w:rPr>
        <w:t xml:space="preserve">  We revised the research questions to provide parallel research questions for states and districts.  These questions can be found on pages 1 and 2 of supporting statement A.</w:t>
      </w:r>
    </w:p>
    <w:p w:rsidR="00F84958" w:rsidRPr="0007793B" w:rsidRDefault="00F84958" w:rsidP="00F84958">
      <w:pPr>
        <w:rPr>
          <w:rFonts w:ascii="Times New Roman" w:hAnsi="Times New Roman"/>
          <w:sz w:val="24"/>
          <w:szCs w:val="24"/>
        </w:rPr>
      </w:pPr>
      <w:r w:rsidRPr="0007793B">
        <w:rPr>
          <w:rFonts w:ascii="Times New Roman" w:hAnsi="Times New Roman"/>
          <w:b/>
          <w:sz w:val="24"/>
          <w:szCs w:val="24"/>
        </w:rPr>
        <w:t>OMB comment:</w:t>
      </w:r>
      <w:r w:rsidRPr="0007793B">
        <w:rPr>
          <w:rFonts w:ascii="Times New Roman" w:hAnsi="Times New Roman"/>
          <w:sz w:val="24"/>
          <w:szCs w:val="24"/>
        </w:rPr>
        <w:t xml:space="preserve">  We’ve proposed below some additional questions that we think should be included in the instruments to get at how ED’s current data collection informs State and local program implementation. </w:t>
      </w:r>
    </w:p>
    <w:p w:rsidR="00F84958" w:rsidRPr="0007793B" w:rsidRDefault="005A7F62" w:rsidP="00F84958">
      <w:pPr>
        <w:rPr>
          <w:rFonts w:ascii="Times New Roman" w:hAnsi="Times New Roman"/>
          <w:sz w:val="24"/>
          <w:szCs w:val="24"/>
        </w:rPr>
      </w:pPr>
      <w:r w:rsidRPr="0007793B">
        <w:rPr>
          <w:rFonts w:ascii="Times New Roman" w:hAnsi="Times New Roman"/>
          <w:sz w:val="24"/>
          <w:szCs w:val="24"/>
        </w:rPr>
        <w:t xml:space="preserve">PPSS response:  The table discusses how we addressed each </w:t>
      </w:r>
      <w:proofErr w:type="spellStart"/>
      <w:r w:rsidRPr="0007793B">
        <w:rPr>
          <w:rFonts w:ascii="Times New Roman" w:hAnsi="Times New Roman"/>
          <w:sz w:val="24"/>
          <w:szCs w:val="24"/>
        </w:rPr>
        <w:t>subquestion</w:t>
      </w:r>
      <w:proofErr w:type="spellEnd"/>
      <w:r w:rsidRPr="0007793B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1915"/>
        <w:gridCol w:w="3233"/>
        <w:gridCol w:w="2160"/>
        <w:gridCol w:w="2160"/>
      </w:tblGrid>
      <w:tr w:rsidR="004D690C" w:rsidRPr="0007793B" w:rsidTr="004D690C">
        <w:trPr>
          <w:trHeight w:val="255"/>
        </w:trPr>
        <w:tc>
          <w:tcPr>
            <w:tcW w:w="5148" w:type="dxa"/>
            <w:gridSpan w:val="2"/>
            <w:vMerge w:val="restart"/>
          </w:tcPr>
          <w:p w:rsidR="004D690C" w:rsidRPr="0007793B" w:rsidRDefault="004D690C" w:rsidP="00F84958">
            <w:pPr>
              <w:pStyle w:val="APSANormal"/>
              <w:rPr>
                <w:b/>
              </w:rPr>
            </w:pPr>
            <w:r w:rsidRPr="0007793B">
              <w:rPr>
                <w:b/>
              </w:rPr>
              <w:t>OMB question</w:t>
            </w:r>
          </w:p>
        </w:tc>
        <w:tc>
          <w:tcPr>
            <w:tcW w:w="4320" w:type="dxa"/>
            <w:gridSpan w:val="2"/>
          </w:tcPr>
          <w:p w:rsidR="004D690C" w:rsidRPr="0007793B" w:rsidRDefault="004D690C" w:rsidP="005A7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Corresponding question on the survey</w:t>
            </w:r>
          </w:p>
        </w:tc>
      </w:tr>
      <w:tr w:rsidR="004D690C" w:rsidRPr="0007793B" w:rsidTr="004D690C">
        <w:trPr>
          <w:trHeight w:val="255"/>
        </w:trPr>
        <w:tc>
          <w:tcPr>
            <w:tcW w:w="5148" w:type="dxa"/>
            <w:gridSpan w:val="2"/>
            <w:vMerge/>
          </w:tcPr>
          <w:p w:rsidR="004D690C" w:rsidRPr="0007793B" w:rsidRDefault="004D690C" w:rsidP="00F84958">
            <w:pPr>
              <w:pStyle w:val="APSANormal"/>
              <w:rPr>
                <w:b/>
              </w:rPr>
            </w:pPr>
          </w:p>
        </w:tc>
        <w:tc>
          <w:tcPr>
            <w:tcW w:w="2160" w:type="dxa"/>
          </w:tcPr>
          <w:p w:rsidR="004D690C" w:rsidRDefault="004D690C" w:rsidP="005A7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State Survey</w:t>
            </w:r>
          </w:p>
        </w:tc>
        <w:tc>
          <w:tcPr>
            <w:tcW w:w="2160" w:type="dxa"/>
          </w:tcPr>
          <w:p w:rsidR="004D690C" w:rsidRDefault="004D690C" w:rsidP="005A7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District Survey</w:t>
            </w:r>
          </w:p>
        </w:tc>
      </w:tr>
      <w:tr w:rsidR="004D690C" w:rsidRPr="0007793B" w:rsidTr="004D690C">
        <w:tc>
          <w:tcPr>
            <w:tcW w:w="1915" w:type="dxa"/>
            <w:vMerge w:val="restart"/>
          </w:tcPr>
          <w:p w:rsidR="004D690C" w:rsidRPr="0007793B" w:rsidRDefault="004D690C" w:rsidP="00F84958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>1. How do States and districts use the current federal reporting requirements?</w:t>
            </w:r>
          </w:p>
          <w:p w:rsidR="004D690C" w:rsidRPr="0007793B" w:rsidRDefault="004D690C" w:rsidP="00F84958">
            <w:pPr>
              <w:pStyle w:val="APSANormal"/>
            </w:pPr>
          </w:p>
        </w:tc>
        <w:tc>
          <w:tcPr>
            <w:tcW w:w="3233" w:type="dxa"/>
          </w:tcPr>
          <w:p w:rsidR="004D690C" w:rsidRPr="0007793B" w:rsidRDefault="004D690C" w:rsidP="00F84958">
            <w:pPr>
              <w:pStyle w:val="APSANormal"/>
            </w:pPr>
            <w:r w:rsidRPr="0007793B">
              <w:t>a. How do States and districts use the CSPR to identify and address the needs of homeless students?</w:t>
            </w:r>
          </w:p>
        </w:tc>
        <w:tc>
          <w:tcPr>
            <w:tcW w:w="4320" w:type="dxa"/>
            <w:gridSpan w:val="2"/>
          </w:tcPr>
          <w:p w:rsidR="004D690C" w:rsidRPr="0007793B" w:rsidRDefault="004D690C" w:rsidP="004D690C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 xml:space="preserve"> We changed question 7 on the state survey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 address this question.  We think the existing question 11 on the state survey and district survey also addresses this question.</w:t>
            </w:r>
          </w:p>
        </w:tc>
      </w:tr>
      <w:tr w:rsidR="005A7F62" w:rsidRPr="0007793B" w:rsidTr="005A7F62">
        <w:tc>
          <w:tcPr>
            <w:tcW w:w="1915" w:type="dxa"/>
            <w:vMerge/>
          </w:tcPr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3233" w:type="dxa"/>
          </w:tcPr>
          <w:p w:rsidR="005A7F62" w:rsidRPr="0007793B" w:rsidRDefault="005A7F62" w:rsidP="00F84958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>b. Is there data that is missing from the CSPR that would be useful to States and districts?  Conversely is there data that is burdensome to collect and not useful?</w:t>
            </w:r>
          </w:p>
        </w:tc>
        <w:tc>
          <w:tcPr>
            <w:tcW w:w="4320" w:type="dxa"/>
            <w:gridSpan w:val="2"/>
          </w:tcPr>
          <w:p w:rsidR="008D1731" w:rsidRDefault="005A7F62" w:rsidP="008D1731">
            <w:pPr>
              <w:pStyle w:val="APSANormal"/>
            </w:pPr>
            <w:r w:rsidRPr="0007793B">
              <w:t xml:space="preserve">We </w:t>
            </w:r>
            <w:r w:rsidR="008D1731">
              <w:t>changed</w:t>
            </w:r>
            <w:r w:rsidRPr="0007793B">
              <w:t xml:space="preserve"> question 8 on the state </w:t>
            </w:r>
            <w:r w:rsidR="008D1731">
              <w:t xml:space="preserve">and district </w:t>
            </w:r>
            <w:r w:rsidRPr="0007793B">
              <w:t>survey</w:t>
            </w:r>
            <w:r w:rsidR="008D1731">
              <w:t>s</w:t>
            </w:r>
            <w:r w:rsidR="004D690C">
              <w:t xml:space="preserve"> </w:t>
            </w:r>
            <w:r w:rsidRPr="0007793B">
              <w:t xml:space="preserve">to address the </w:t>
            </w:r>
            <w:r w:rsidR="008D1731">
              <w:t>second question (</w:t>
            </w:r>
            <w:r w:rsidRPr="0007793B">
              <w:t>burdensome/not useful</w:t>
            </w:r>
            <w:r w:rsidR="008D1731">
              <w:t>)</w:t>
            </w:r>
            <w:r w:rsidRPr="0007793B">
              <w:t xml:space="preserve">.  </w:t>
            </w:r>
          </w:p>
          <w:p w:rsidR="008D1731" w:rsidRDefault="008D1731" w:rsidP="008D1731">
            <w:pPr>
              <w:pStyle w:val="APSANormal"/>
            </w:pPr>
          </w:p>
          <w:p w:rsidR="005A7F62" w:rsidRPr="0007793B" w:rsidRDefault="008D1731" w:rsidP="008D1731">
            <w:pPr>
              <w:pStyle w:val="APSANormal"/>
            </w:pPr>
            <w:r>
              <w:t xml:space="preserve">We think the first question under 1b and the second question under 1c are related.  </w:t>
            </w:r>
            <w:r w:rsidR="005A7F62" w:rsidRPr="0007793B">
              <w:t xml:space="preserve">We </w:t>
            </w:r>
            <w:r w:rsidR="00C61829" w:rsidRPr="0007793B">
              <w:t>changed</w:t>
            </w:r>
            <w:r w:rsidR="005A7F62" w:rsidRPr="0007793B">
              <w:t xml:space="preserve"> question 9 on the state </w:t>
            </w:r>
            <w:r w:rsidR="004D690C">
              <w:t xml:space="preserve">and district </w:t>
            </w:r>
            <w:r w:rsidR="005A7F62" w:rsidRPr="0007793B">
              <w:t>survey</w:t>
            </w:r>
            <w:r w:rsidR="004D690C">
              <w:t>s</w:t>
            </w:r>
            <w:r w:rsidR="005A7F62" w:rsidRPr="0007793B">
              <w:t xml:space="preserve"> to address </w:t>
            </w:r>
            <w:r>
              <w:t xml:space="preserve">both of these </w:t>
            </w:r>
            <w:r>
              <w:lastRenderedPageBreak/>
              <w:t>questions</w:t>
            </w:r>
            <w:r w:rsidR="005A7F62" w:rsidRPr="0007793B">
              <w:t xml:space="preserve">.  </w:t>
            </w:r>
            <w:r>
              <w:t xml:space="preserve">Since we didn’t want to ask an open-ended question about which data elements should be added to the CSPR we propose asking which data elements the states and districts are collecting outside of the CSPR.  </w:t>
            </w:r>
            <w:r w:rsidR="005A7F62" w:rsidRPr="0007793B">
              <w:t>We think it is implicit that if they are collecting it they think it would be appropriate to add to the CSPR.</w:t>
            </w:r>
          </w:p>
        </w:tc>
      </w:tr>
      <w:tr w:rsidR="005A7F62" w:rsidRPr="0007793B" w:rsidTr="005A7F62">
        <w:tc>
          <w:tcPr>
            <w:tcW w:w="1915" w:type="dxa"/>
            <w:vMerge/>
          </w:tcPr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3233" w:type="dxa"/>
          </w:tcPr>
          <w:p w:rsidR="005A7F62" w:rsidRPr="0007793B" w:rsidRDefault="005A7F62" w:rsidP="00F84958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>c. How much data do States collect that is outside the CSPR?  Why doesn’t the CSPR include this data (question for ED)?</w:t>
            </w:r>
          </w:p>
        </w:tc>
        <w:tc>
          <w:tcPr>
            <w:tcW w:w="4320" w:type="dxa"/>
            <w:gridSpan w:val="2"/>
          </w:tcPr>
          <w:p w:rsidR="005A7F62" w:rsidRPr="0007793B" w:rsidRDefault="005A7F62" w:rsidP="008D1731">
            <w:pPr>
              <w:pStyle w:val="APSANormal"/>
            </w:pPr>
            <w:r w:rsidRPr="0007793B">
              <w:t xml:space="preserve">We </w:t>
            </w:r>
            <w:r w:rsidR="008D1731">
              <w:t>changed</w:t>
            </w:r>
            <w:r w:rsidRPr="0007793B">
              <w:t xml:space="preserve"> question 9 </w:t>
            </w:r>
            <w:r w:rsidR="008D1731">
              <w:t xml:space="preserve">on the district and </w:t>
            </w:r>
            <w:r w:rsidR="008D1731" w:rsidRPr="0007793B">
              <w:t>state</w:t>
            </w:r>
            <w:r w:rsidRPr="0007793B">
              <w:t xml:space="preserve"> survey</w:t>
            </w:r>
            <w:r w:rsidR="008D1731">
              <w:t>s</w:t>
            </w:r>
            <w:r w:rsidRPr="0007793B">
              <w:t xml:space="preserve"> to address how much data do states collect outside the CSPR</w:t>
            </w:r>
            <w:r w:rsidR="008D1731">
              <w:t xml:space="preserve"> (see above response for more information).</w:t>
            </w:r>
          </w:p>
        </w:tc>
      </w:tr>
      <w:tr w:rsidR="005A7F62" w:rsidRPr="0007793B" w:rsidTr="005A7F62">
        <w:tc>
          <w:tcPr>
            <w:tcW w:w="1915" w:type="dxa"/>
            <w:vMerge/>
          </w:tcPr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3233" w:type="dxa"/>
          </w:tcPr>
          <w:p w:rsidR="005A7F62" w:rsidRPr="0007793B" w:rsidRDefault="005A7F62" w:rsidP="005A7F62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>d. Are there other sources of federal data that States and districts use to identify and address the needs of homeless students?</w:t>
            </w:r>
          </w:p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4320" w:type="dxa"/>
            <w:gridSpan w:val="2"/>
          </w:tcPr>
          <w:p w:rsidR="005A7F62" w:rsidRPr="0007793B" w:rsidRDefault="005A7F62" w:rsidP="0007793B">
            <w:pPr>
              <w:pStyle w:val="APSANormal"/>
            </w:pPr>
            <w:r w:rsidRPr="0007793B">
              <w:t xml:space="preserve">We </w:t>
            </w:r>
            <w:r w:rsidR="0007793B" w:rsidRPr="0007793B">
              <w:t>changed</w:t>
            </w:r>
            <w:r w:rsidRPr="0007793B">
              <w:t xml:space="preserve"> question 12 </w:t>
            </w:r>
            <w:r w:rsidR="0007793B" w:rsidRPr="0007793B">
              <w:t>in</w:t>
            </w:r>
            <w:r w:rsidRPr="0007793B">
              <w:t xml:space="preserve"> the state </w:t>
            </w:r>
            <w:r w:rsidR="008D1731">
              <w:t xml:space="preserve">and districts </w:t>
            </w:r>
            <w:r w:rsidRPr="0007793B">
              <w:t>survey</w:t>
            </w:r>
            <w:r w:rsidR="008D1731">
              <w:t>s</w:t>
            </w:r>
            <w:r w:rsidRPr="0007793B">
              <w:t xml:space="preserve"> to address this, but we broadened it to include non-federal sources as well. </w:t>
            </w:r>
          </w:p>
        </w:tc>
      </w:tr>
      <w:tr w:rsidR="005A7F62" w:rsidRPr="0007793B" w:rsidTr="005A7F62">
        <w:tc>
          <w:tcPr>
            <w:tcW w:w="1915" w:type="dxa"/>
            <w:vMerge w:val="restart"/>
          </w:tcPr>
          <w:p w:rsidR="005A7F62" w:rsidRPr="0007793B" w:rsidRDefault="005A7F62" w:rsidP="005A7F62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>2. What are other ways that ED can support States and districts in the administration of the McKinney Vento program?</w:t>
            </w:r>
          </w:p>
        </w:tc>
        <w:tc>
          <w:tcPr>
            <w:tcW w:w="3233" w:type="dxa"/>
          </w:tcPr>
          <w:p w:rsidR="005A7F62" w:rsidRPr="0007793B" w:rsidRDefault="005A7F62" w:rsidP="005A7F62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 xml:space="preserve">a. How do States and districts use the Student Achievement and School Accountability (SASA) reports?  Do they find them useful?  </w:t>
            </w:r>
          </w:p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4320" w:type="dxa"/>
            <w:gridSpan w:val="2"/>
          </w:tcPr>
          <w:p w:rsidR="005A7F62" w:rsidRPr="0007793B" w:rsidRDefault="00C61829" w:rsidP="00C61829">
            <w:pPr>
              <w:pStyle w:val="APSANormal"/>
            </w:pPr>
            <w:r w:rsidRPr="0007793B">
              <w:t>We added question 13 on the state survey.  We didn’t ask about usefulness explicitly, but we think it’s implicit if they using the reports that they find them useful.</w:t>
            </w:r>
            <w:r w:rsidR="008D1731">
              <w:t xml:space="preserve">  We didn’t ask districts about this because we think it’s very unlikely that districts use these.  However, we can add a parallel question to the district survey if OMB would prefer this.</w:t>
            </w:r>
          </w:p>
        </w:tc>
      </w:tr>
      <w:tr w:rsidR="005A7F62" w:rsidRPr="0007793B" w:rsidTr="005A7F62">
        <w:tc>
          <w:tcPr>
            <w:tcW w:w="1915" w:type="dxa"/>
            <w:vMerge/>
          </w:tcPr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3233" w:type="dxa"/>
          </w:tcPr>
          <w:p w:rsidR="005A7F62" w:rsidRPr="0007793B" w:rsidRDefault="005A7F62" w:rsidP="005A7F62">
            <w:pPr>
              <w:rPr>
                <w:rFonts w:ascii="Times New Roman" w:hAnsi="Times New Roman"/>
                <w:sz w:val="24"/>
                <w:szCs w:val="24"/>
              </w:rPr>
            </w:pPr>
            <w:r w:rsidRPr="0007793B">
              <w:rPr>
                <w:rFonts w:ascii="Times New Roman" w:hAnsi="Times New Roman"/>
                <w:sz w:val="24"/>
                <w:szCs w:val="24"/>
              </w:rPr>
              <w:t xml:space="preserve">b. Are there federal barriers that States and districts encounter when administering McKinney Vento?  </w:t>
            </w:r>
          </w:p>
          <w:p w:rsidR="005A7F62" w:rsidRPr="0007793B" w:rsidRDefault="005A7F62" w:rsidP="00F84958">
            <w:pPr>
              <w:pStyle w:val="APSANormal"/>
            </w:pPr>
          </w:p>
        </w:tc>
        <w:tc>
          <w:tcPr>
            <w:tcW w:w="4320" w:type="dxa"/>
            <w:gridSpan w:val="2"/>
          </w:tcPr>
          <w:p w:rsidR="005A7F62" w:rsidRPr="0007793B" w:rsidRDefault="00C61829" w:rsidP="008D1731">
            <w:pPr>
              <w:pStyle w:val="APSANormal"/>
            </w:pPr>
            <w:r w:rsidRPr="0007793B">
              <w:t>We added question 29 on the state survey.</w:t>
            </w:r>
            <w:r w:rsidR="008D1731">
              <w:t xml:space="preserve">  We didn’t ask districts about this because we think it’s very unlikely that districts have federal barriers.  However, we can add a parallel question to the district survey if OMB would prefer this.</w:t>
            </w:r>
          </w:p>
        </w:tc>
      </w:tr>
    </w:tbl>
    <w:p w:rsidR="00F84958" w:rsidRDefault="00F84958" w:rsidP="00F84958">
      <w:pPr>
        <w:pStyle w:val="APSANormal"/>
      </w:pPr>
    </w:p>
    <w:sectPr w:rsidR="00F84958" w:rsidSect="006834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0C" w:rsidRDefault="004D690C" w:rsidP="00F04518">
      <w:pPr>
        <w:spacing w:after="0" w:line="240" w:lineRule="auto"/>
      </w:pPr>
      <w:r>
        <w:separator/>
      </w:r>
    </w:p>
  </w:endnote>
  <w:endnote w:type="continuationSeparator" w:id="0">
    <w:p w:rsidR="004D690C" w:rsidRDefault="004D690C" w:rsidP="00F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C" w:rsidRDefault="00264D6F">
    <w:pPr>
      <w:pStyle w:val="Footer"/>
      <w:jc w:val="center"/>
    </w:pPr>
    <w:fldSimple w:instr=" PAGE   \* MERGEFORMAT ">
      <w:r w:rsidR="00777993">
        <w:rPr>
          <w:noProof/>
        </w:rPr>
        <w:t>1</w:t>
      </w:r>
    </w:fldSimple>
  </w:p>
  <w:p w:rsidR="004D690C" w:rsidRDefault="004D69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0C" w:rsidRDefault="004D690C" w:rsidP="00F04518">
      <w:pPr>
        <w:spacing w:after="0" w:line="240" w:lineRule="auto"/>
      </w:pPr>
      <w:r>
        <w:separator/>
      </w:r>
    </w:p>
  </w:footnote>
  <w:footnote w:type="continuationSeparator" w:id="0">
    <w:p w:rsidR="004D690C" w:rsidRDefault="004D690C" w:rsidP="00F0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010"/>
    <w:multiLevelType w:val="hybridMultilevel"/>
    <w:tmpl w:val="DF567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4CB0"/>
    <w:multiLevelType w:val="hybridMultilevel"/>
    <w:tmpl w:val="6EFE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A0E6B"/>
    <w:multiLevelType w:val="hybridMultilevel"/>
    <w:tmpl w:val="7DD8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C1294"/>
    <w:multiLevelType w:val="hybridMultilevel"/>
    <w:tmpl w:val="92F07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C3D02"/>
    <w:multiLevelType w:val="hybridMultilevel"/>
    <w:tmpl w:val="6CC6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91F17"/>
    <w:multiLevelType w:val="hybridMultilevel"/>
    <w:tmpl w:val="53AC6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65A29"/>
    <w:multiLevelType w:val="hybridMultilevel"/>
    <w:tmpl w:val="147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A19E3"/>
    <w:multiLevelType w:val="hybridMultilevel"/>
    <w:tmpl w:val="2AA8D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EC2"/>
    <w:rsid w:val="0003431B"/>
    <w:rsid w:val="000351BF"/>
    <w:rsid w:val="00050C5A"/>
    <w:rsid w:val="0007793B"/>
    <w:rsid w:val="000B6047"/>
    <w:rsid w:val="001340F1"/>
    <w:rsid w:val="001E138D"/>
    <w:rsid w:val="002207DC"/>
    <w:rsid w:val="00264D6F"/>
    <w:rsid w:val="002803AD"/>
    <w:rsid w:val="002C4190"/>
    <w:rsid w:val="002D4A3A"/>
    <w:rsid w:val="003019A4"/>
    <w:rsid w:val="00331600"/>
    <w:rsid w:val="003B4C97"/>
    <w:rsid w:val="003E29F0"/>
    <w:rsid w:val="004659BD"/>
    <w:rsid w:val="004978C3"/>
    <w:rsid w:val="004A708C"/>
    <w:rsid w:val="004B11E1"/>
    <w:rsid w:val="004D690C"/>
    <w:rsid w:val="00536679"/>
    <w:rsid w:val="00585EC2"/>
    <w:rsid w:val="005A2607"/>
    <w:rsid w:val="005A7F62"/>
    <w:rsid w:val="005C677B"/>
    <w:rsid w:val="006834C1"/>
    <w:rsid w:val="00696FDF"/>
    <w:rsid w:val="006F7F97"/>
    <w:rsid w:val="007670FA"/>
    <w:rsid w:val="00777993"/>
    <w:rsid w:val="0078670E"/>
    <w:rsid w:val="00836E53"/>
    <w:rsid w:val="00863B7F"/>
    <w:rsid w:val="008D1731"/>
    <w:rsid w:val="009655C2"/>
    <w:rsid w:val="009969BE"/>
    <w:rsid w:val="009B2B7E"/>
    <w:rsid w:val="00A21412"/>
    <w:rsid w:val="00A95088"/>
    <w:rsid w:val="00B9336C"/>
    <w:rsid w:val="00BE4DAE"/>
    <w:rsid w:val="00C05230"/>
    <w:rsid w:val="00C25B65"/>
    <w:rsid w:val="00C61829"/>
    <w:rsid w:val="00C76219"/>
    <w:rsid w:val="00CB78F8"/>
    <w:rsid w:val="00CC30EB"/>
    <w:rsid w:val="00D048BB"/>
    <w:rsid w:val="00D22CC8"/>
    <w:rsid w:val="00D50F6B"/>
    <w:rsid w:val="00D551E9"/>
    <w:rsid w:val="00DB3845"/>
    <w:rsid w:val="00DE1D2C"/>
    <w:rsid w:val="00E80397"/>
    <w:rsid w:val="00E8395E"/>
    <w:rsid w:val="00F04518"/>
    <w:rsid w:val="00F37D28"/>
    <w:rsid w:val="00F84958"/>
    <w:rsid w:val="00F96C5C"/>
    <w:rsid w:val="00FA7501"/>
    <w:rsid w:val="00FD65FA"/>
    <w:rsid w:val="00F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4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6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7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7B"/>
    <w:rPr>
      <w:rFonts w:ascii="Tahoma" w:hAnsi="Tahoma" w:cs="Tahoma"/>
      <w:sz w:val="16"/>
      <w:szCs w:val="16"/>
    </w:rPr>
  </w:style>
  <w:style w:type="paragraph" w:customStyle="1" w:styleId="APSANormal">
    <w:name w:val="A. PSA Normal"/>
    <w:basedOn w:val="Normal"/>
    <w:rsid w:val="00A95088"/>
    <w:pPr>
      <w:spacing w:after="0" w:line="240" w:lineRule="auto"/>
    </w:pPr>
    <w:rPr>
      <w:rFonts w:ascii="Times New Roman" w:hAnsi="Times New Roman"/>
      <w:sz w:val="24"/>
      <w:szCs w:val="24"/>
      <w:lang w:eastAsia="ko-KR" w:bidi="en-US"/>
    </w:rPr>
  </w:style>
  <w:style w:type="paragraph" w:customStyle="1" w:styleId="BPSALevel1">
    <w:name w:val="B. PSA Level 1"/>
    <w:basedOn w:val="APSANormal"/>
    <w:next w:val="APSANormal"/>
    <w:rsid w:val="00A95088"/>
    <w:pPr>
      <w:keepNext/>
      <w:jc w:val="center"/>
    </w:pPr>
    <w:rPr>
      <w:rFonts w:ascii="Arial" w:hAnsi="Arial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F04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4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A7501"/>
    <w:pPr>
      <w:ind w:left="720"/>
      <w:contextualSpacing/>
    </w:pPr>
  </w:style>
  <w:style w:type="table" w:styleId="TableGrid">
    <w:name w:val="Table Grid"/>
    <w:basedOn w:val="TableNormal"/>
    <w:uiPriority w:val="59"/>
    <w:rsid w:val="00F84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B816-5159-496C-9E47-7D6EAF8D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Kerachsky</dc:creator>
  <cp:lastModifiedBy>katrina.ingalls</cp:lastModifiedBy>
  <cp:revision>2</cp:revision>
  <dcterms:created xsi:type="dcterms:W3CDTF">2011-12-20T15:25:00Z</dcterms:created>
  <dcterms:modified xsi:type="dcterms:W3CDTF">2011-12-20T15:25:00Z</dcterms:modified>
</cp:coreProperties>
</file>