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167" w:rsidRPr="00566333" w:rsidRDefault="00446167" w:rsidP="00446167">
      <w:pPr>
        <w:pStyle w:val="OMBheading-1"/>
        <w:spacing w:after="120"/>
        <w:ind w:left="0" w:firstLine="0"/>
      </w:pPr>
      <w:bookmarkStart w:id="0" w:name="_Toc152464665"/>
      <w:bookmarkStart w:id="1" w:name="_Toc186528697"/>
      <w:bookmarkStart w:id="2" w:name="_Toc216078525"/>
      <w:bookmarkStart w:id="3" w:name="_Toc216149334"/>
      <w:r w:rsidRPr="00566333">
        <w:t>B.</w:t>
      </w:r>
      <w:r w:rsidRPr="00566333">
        <w:tab/>
        <w:t>Collection of Information Employing Statistical Methods</w:t>
      </w:r>
      <w:bookmarkEnd w:id="0"/>
      <w:bookmarkEnd w:id="1"/>
      <w:bookmarkEnd w:id="2"/>
      <w:bookmarkEnd w:id="3"/>
    </w:p>
    <w:p w:rsidR="00446167" w:rsidRPr="00566333" w:rsidRDefault="00446167" w:rsidP="00446167">
      <w:pPr>
        <w:pStyle w:val="OMBheading-2"/>
        <w:spacing w:after="120"/>
      </w:pPr>
      <w:bookmarkStart w:id="4" w:name="_Toc66688728"/>
      <w:bookmarkStart w:id="5" w:name="_Toc152464666"/>
      <w:bookmarkStart w:id="6" w:name="_Toc186528698"/>
      <w:bookmarkStart w:id="7" w:name="_Toc216078526"/>
      <w:bookmarkStart w:id="8" w:name="_Toc216149335"/>
      <w:bookmarkStart w:id="9" w:name="_Toc66688729"/>
      <w:bookmarkStart w:id="10" w:name="_Toc152464667"/>
      <w:r w:rsidRPr="00566333">
        <w:t>1.</w:t>
      </w:r>
      <w:r w:rsidRPr="00566333">
        <w:tab/>
        <w:t>Respondent Universe and Sampling Methods</w:t>
      </w:r>
      <w:bookmarkEnd w:id="4"/>
      <w:bookmarkEnd w:id="5"/>
      <w:bookmarkEnd w:id="6"/>
      <w:bookmarkEnd w:id="7"/>
      <w:bookmarkEnd w:id="8"/>
      <w:r w:rsidRPr="00566333">
        <w:t xml:space="preserve"> </w:t>
      </w:r>
    </w:p>
    <w:p w:rsidR="00446167" w:rsidRPr="00566333" w:rsidRDefault="00446167" w:rsidP="00446167">
      <w:pPr>
        <w:pStyle w:val="OMBheading-2"/>
        <w:spacing w:after="120"/>
        <w:ind w:left="0" w:firstLine="0"/>
        <w:rPr>
          <w:b w:val="0"/>
          <w:bCs/>
        </w:rPr>
      </w:pPr>
      <w:r w:rsidRPr="00566333">
        <w:rPr>
          <w:b w:val="0"/>
          <w:bCs/>
        </w:rPr>
        <w:t xml:space="preserve">The respondent universe will include all 107 grantees who received funding in September 2011. There will be no sampling. </w:t>
      </w:r>
    </w:p>
    <w:p w:rsidR="00446167" w:rsidRPr="00566333" w:rsidRDefault="00446167" w:rsidP="00446167">
      <w:pPr>
        <w:pStyle w:val="OMBheading-2"/>
        <w:spacing w:after="120"/>
        <w:ind w:left="0" w:firstLine="0"/>
      </w:pPr>
      <w:bookmarkStart w:id="11" w:name="_Toc186528699"/>
      <w:bookmarkStart w:id="12" w:name="_Toc195508848"/>
      <w:bookmarkStart w:id="13" w:name="_Toc216078527"/>
      <w:bookmarkStart w:id="14" w:name="_Toc216149336"/>
      <w:bookmarkEnd w:id="9"/>
      <w:bookmarkEnd w:id="10"/>
      <w:r w:rsidRPr="00566333">
        <w:t>2.</w:t>
      </w:r>
      <w:r w:rsidRPr="00566333">
        <w:tab/>
        <w:t>Procedures for the Collection of Information</w:t>
      </w:r>
      <w:bookmarkEnd w:id="11"/>
      <w:bookmarkEnd w:id="12"/>
      <w:bookmarkEnd w:id="13"/>
      <w:bookmarkEnd w:id="14"/>
      <w:r w:rsidRPr="00566333">
        <w:t xml:space="preserve"> </w:t>
      </w:r>
    </w:p>
    <w:p w:rsidR="00446167" w:rsidRPr="00187045" w:rsidRDefault="00446167" w:rsidP="00446167">
      <w:pPr>
        <w:pStyle w:val="OMBheading-2"/>
        <w:spacing w:after="120"/>
        <w:ind w:left="0" w:firstLine="0"/>
        <w:rPr>
          <w:b w:val="0"/>
          <w:bCs/>
          <w:szCs w:val="24"/>
        </w:rPr>
      </w:pPr>
      <w:r w:rsidRPr="00566333">
        <w:rPr>
          <w:b w:val="0"/>
          <w:bCs/>
        </w:rPr>
        <w:t xml:space="preserve">Individual level data will be collected from all youth participating in the program.  For Tier 1 A/B grantees, individual-level data will pertain only to demographic characteristics and the perceived impact of the program; for Tier 1 C/D and Tier 2/PREIS programs, these data will also include data on the behaviors and intentions measures. Data collection procedures from program participants will vary depending on the methods employed by the grantee, and will likely include paper and pencil, optical scan, and web-based methods. For Tier 1 C/D grantees and Tier 2/PREIS grantees, the methods used for the collection of individual level data may be dictated by the procedures used for evaluation purposes. Grantees will prepare a dataset that contains only the variables needed for the performance measures (See appendix Y, </w:t>
      </w:r>
      <w:r w:rsidRPr="00566333">
        <w:rPr>
          <w:b w:val="0"/>
          <w:bCs/>
          <w:szCs w:val="24"/>
        </w:rPr>
        <w:t>Tier 1 C/D and Tier 2/PREIS performance measure reporting form), which they will upload into a web portal.  RTI will merge all of the datasets from all of the grantees.  For the perceived impact measures, RTI will create a table for each measure, presenting the proportion of youth who report that they are either less likely or much less likely to have sex as a result of the program, and either more likely or much more likely to use condoms or contraception, stratifying by key demographic variables.  For the behaviors and intentions variables, RTI will calculate the difference of differences between the intervention and comparison groups across all grantees, and create tables summarizing these results, stratifying by key demographic variables.</w:t>
      </w:r>
      <w:r>
        <w:rPr>
          <w:b w:val="0"/>
          <w:bCs/>
          <w:szCs w:val="24"/>
        </w:rPr>
        <w:t xml:space="preserve">  </w:t>
      </w:r>
    </w:p>
    <w:p w:rsidR="00446167" w:rsidRDefault="00446167" w:rsidP="00446167">
      <w:pPr>
        <w:pStyle w:val="OMBheading-2"/>
        <w:spacing w:after="120"/>
        <w:ind w:left="0" w:firstLine="0"/>
        <w:rPr>
          <w:b w:val="0"/>
          <w:bCs/>
        </w:rPr>
      </w:pPr>
      <w:r>
        <w:rPr>
          <w:b w:val="0"/>
          <w:bCs/>
        </w:rPr>
        <w:t xml:space="preserve">Some of the grantee/intervention level measures will be collected by aggregating data obtained from the staff implementing the program. These data include those pertaining to reach and retention, dosage, and fidelity (See </w:t>
      </w:r>
      <w:r w:rsidRPr="00414613">
        <w:rPr>
          <w:i/>
          <w:iCs/>
        </w:rPr>
        <w:t>Exhibit 1</w:t>
      </w:r>
      <w:r>
        <w:rPr>
          <w:b w:val="0"/>
          <w:bCs/>
        </w:rPr>
        <w:t xml:space="preserve">). The dissemination measures will be tracked and summarized from the grantees’ records. As with the individual measures, the grantee/intervention level measures will be entered into the web portal, in some cases aggregated by demographic characteristics. </w:t>
      </w:r>
    </w:p>
    <w:p w:rsidR="00446167" w:rsidRDefault="00446167" w:rsidP="00446167">
      <w:pPr>
        <w:pStyle w:val="OMBheading-2"/>
        <w:spacing w:after="120"/>
        <w:ind w:left="0" w:firstLine="0"/>
        <w:rPr>
          <w:b w:val="0"/>
          <w:bCs/>
        </w:rPr>
      </w:pPr>
      <w:r>
        <w:rPr>
          <w:b w:val="0"/>
          <w:bCs/>
        </w:rPr>
        <w:t xml:space="preserve">Data on the soundness of evaluation plans and evaluation implementation will be provided by another the OAH contractor providing technical assistance to the evaluators. </w:t>
      </w:r>
    </w:p>
    <w:p w:rsidR="00446167" w:rsidRDefault="00446167" w:rsidP="00446167">
      <w:pPr>
        <w:pStyle w:val="OMBheading-2"/>
        <w:spacing w:after="120"/>
        <w:ind w:left="0" w:firstLine="0"/>
        <w:rPr>
          <w:b w:val="0"/>
          <w:bCs/>
        </w:rPr>
      </w:pPr>
      <w:r>
        <w:rPr>
          <w:b w:val="0"/>
          <w:bCs/>
        </w:rPr>
        <w:t xml:space="preserve">Once RTI receives the data, RTI will further analyze them by type of grantee. RTI will provide a summary of each measure in an annual report. </w:t>
      </w:r>
    </w:p>
    <w:p w:rsidR="00446167" w:rsidRDefault="00446167" w:rsidP="00446167">
      <w:pPr>
        <w:pStyle w:val="OMBheading-2"/>
        <w:spacing w:after="120"/>
      </w:pPr>
      <w:bookmarkStart w:id="15" w:name="_Toc186528700"/>
      <w:bookmarkStart w:id="16" w:name="_Toc216078528"/>
      <w:bookmarkStart w:id="17" w:name="_Toc216149337"/>
      <w:r w:rsidRPr="00E42CD4">
        <w:t>3.</w:t>
      </w:r>
      <w:r w:rsidRPr="00E42CD4">
        <w:tab/>
        <w:t>Methods to Maximize Response Rates and Deal with Non-response</w:t>
      </w:r>
      <w:bookmarkEnd w:id="15"/>
      <w:bookmarkEnd w:id="16"/>
      <w:bookmarkEnd w:id="17"/>
      <w:r w:rsidRPr="00E42CD4">
        <w:t xml:space="preserve"> </w:t>
      </w:r>
    </w:p>
    <w:p w:rsidR="00446167" w:rsidRPr="007F62E9" w:rsidRDefault="00446167" w:rsidP="00446167">
      <w:pPr>
        <w:pStyle w:val="OMBheading-2"/>
        <w:spacing w:after="120"/>
        <w:ind w:left="0" w:firstLine="0"/>
        <w:rPr>
          <w:b w:val="0"/>
          <w:bCs/>
        </w:rPr>
      </w:pPr>
      <w:r w:rsidRPr="007F62E9">
        <w:rPr>
          <w:b w:val="0"/>
          <w:bCs/>
        </w:rPr>
        <w:t>Because</w:t>
      </w:r>
      <w:r>
        <w:rPr>
          <w:b w:val="0"/>
          <w:bCs/>
        </w:rPr>
        <w:t xml:space="preserve"> </w:t>
      </w:r>
      <w:r w:rsidRPr="007F62E9">
        <w:rPr>
          <w:b w:val="0"/>
          <w:bCs/>
        </w:rPr>
        <w:t>completion of performance measures is a funding requirement for these cooperative agreements, we expect that we will have a 100% response rate.</w:t>
      </w:r>
      <w:r>
        <w:rPr>
          <w:b w:val="0"/>
          <w:bCs/>
        </w:rPr>
        <w:t xml:space="preserve"> This requirement was stipulated in the Funding Opportunity Announcement and was explained during the first annual conference which all grantees attended. All grantees will be trained in the web based data collection procedures to facilitate their responses.</w:t>
      </w:r>
    </w:p>
    <w:p w:rsidR="00446167" w:rsidRPr="0031696A" w:rsidRDefault="00446167" w:rsidP="00446167">
      <w:pPr>
        <w:pStyle w:val="OMBheading-2"/>
        <w:spacing w:after="120"/>
      </w:pPr>
      <w:bookmarkStart w:id="18" w:name="_Toc66688731"/>
      <w:bookmarkStart w:id="19" w:name="_Toc152464669"/>
      <w:bookmarkStart w:id="20" w:name="_Toc186528701"/>
      <w:bookmarkStart w:id="21" w:name="_Toc195508850"/>
      <w:bookmarkStart w:id="22" w:name="_Toc216078529"/>
      <w:bookmarkStart w:id="23" w:name="_Toc216149338"/>
      <w:r w:rsidRPr="0031696A">
        <w:t>4.</w:t>
      </w:r>
      <w:r w:rsidRPr="0031696A">
        <w:tab/>
        <w:t>Tests of Procedures</w:t>
      </w:r>
      <w:bookmarkEnd w:id="18"/>
      <w:r w:rsidRPr="0031696A">
        <w:t xml:space="preserve"> or Methods to be </w:t>
      </w:r>
      <w:proofErr w:type="gramStart"/>
      <w:r w:rsidRPr="0031696A">
        <w:t>Undertaken</w:t>
      </w:r>
      <w:bookmarkEnd w:id="19"/>
      <w:bookmarkEnd w:id="20"/>
      <w:bookmarkEnd w:id="21"/>
      <w:bookmarkEnd w:id="22"/>
      <w:bookmarkEnd w:id="23"/>
      <w:proofErr w:type="gramEnd"/>
      <w:r w:rsidRPr="0031696A">
        <w:t xml:space="preserve"> </w:t>
      </w:r>
    </w:p>
    <w:p w:rsidR="00446167" w:rsidRPr="000F6566" w:rsidRDefault="00446167" w:rsidP="00446167">
      <w:pPr>
        <w:pStyle w:val="OMBbodytext"/>
        <w:spacing w:after="120"/>
        <w:rPr>
          <w:highlight w:val="yellow"/>
        </w:rPr>
      </w:pPr>
      <w:bookmarkStart w:id="24" w:name="_Toc66688732"/>
      <w:bookmarkStart w:id="25" w:name="_Toc152464670"/>
      <w:bookmarkStart w:id="26" w:name="_Toc186528702"/>
      <w:r>
        <w:t xml:space="preserve">A pilot test of the reporting system will be conducted with a sample of </w:t>
      </w:r>
      <w:r w:rsidRPr="00E1765A">
        <w:t xml:space="preserve">grantees to elicit comments on the availability, usefulness, and likely accuracy of the data requested; the burden </w:t>
      </w:r>
      <w:r w:rsidRPr="00E1765A">
        <w:lastRenderedPageBreak/>
        <w:t>associated with providing the data; the overall instruments; and specific instrument questions. [Further information will be inserted once the pilot test is begun]</w:t>
      </w:r>
      <w:r>
        <w:t>.</w:t>
      </w:r>
      <w:r w:rsidRPr="00E1765A">
        <w:t xml:space="preserve"> </w:t>
      </w:r>
    </w:p>
    <w:p w:rsidR="00446167" w:rsidRPr="0031696A" w:rsidRDefault="00446167" w:rsidP="00446167">
      <w:pPr>
        <w:pStyle w:val="OMBheading-2"/>
        <w:spacing w:after="120"/>
      </w:pPr>
      <w:bookmarkStart w:id="27" w:name="_Toc216078530"/>
      <w:bookmarkStart w:id="28" w:name="_Toc216149339"/>
      <w:r w:rsidRPr="0031696A">
        <w:t>5.</w:t>
      </w:r>
      <w:r w:rsidRPr="0031696A">
        <w:tab/>
        <w:t>Individuals Consulted on Statistical Aspects and Individuals Collecting and/or Analyzing Data</w:t>
      </w:r>
      <w:bookmarkEnd w:id="24"/>
      <w:bookmarkEnd w:id="25"/>
      <w:bookmarkEnd w:id="26"/>
      <w:bookmarkEnd w:id="27"/>
      <w:bookmarkEnd w:id="28"/>
      <w:r w:rsidRPr="0031696A">
        <w:t xml:space="preserve"> </w:t>
      </w:r>
    </w:p>
    <w:p w:rsidR="00446167" w:rsidRPr="0031696A" w:rsidRDefault="00446167" w:rsidP="00446167">
      <w:pPr>
        <w:pStyle w:val="OMBbodytext"/>
        <w:spacing w:after="120"/>
      </w:pPr>
      <w:r w:rsidRPr="0031696A">
        <w:t xml:space="preserve">The </w:t>
      </w:r>
      <w:r w:rsidRPr="0031696A">
        <w:rPr>
          <w:b/>
          <w:bCs/>
        </w:rPr>
        <w:t>agency official</w:t>
      </w:r>
      <w:r w:rsidRPr="0031696A">
        <w:t xml:space="preserve"> responsible for receiving and approving contract deliverables is:</w:t>
      </w:r>
    </w:p>
    <w:p w:rsidR="00446167" w:rsidRPr="0031696A" w:rsidRDefault="00446167" w:rsidP="00446167">
      <w:pPr>
        <w:pStyle w:val="OMBbodytext"/>
        <w:spacing w:after="0"/>
      </w:pPr>
      <w:r w:rsidRPr="0031696A">
        <w:t>Amy Farb</w:t>
      </w:r>
      <w:r w:rsidRPr="0031696A">
        <w:br/>
      </w:r>
      <w:r>
        <w:t>240</w:t>
      </w:r>
      <w:r w:rsidRPr="0031696A">
        <w:t>-</w:t>
      </w:r>
      <w:r>
        <w:t>453</w:t>
      </w:r>
      <w:r w:rsidRPr="0031696A">
        <w:t>-</w:t>
      </w:r>
      <w:r>
        <w:t>2836</w:t>
      </w:r>
      <w:r w:rsidRPr="0031696A">
        <w:br/>
        <w:t>Amy.Farb@hhs.gov</w:t>
      </w:r>
    </w:p>
    <w:p w:rsidR="00446167" w:rsidRDefault="00446167" w:rsidP="00446167">
      <w:pPr>
        <w:pStyle w:val="OMBbodytext"/>
        <w:spacing w:after="0"/>
      </w:pPr>
      <w:r w:rsidRPr="0031696A">
        <w:t>Office of Adolescent Health/DHHS</w:t>
      </w:r>
      <w:r w:rsidRPr="0031696A">
        <w:br/>
        <w:t xml:space="preserve">1101 </w:t>
      </w:r>
      <w:proofErr w:type="spellStart"/>
      <w:r w:rsidRPr="0031696A">
        <w:t>Wootton</w:t>
      </w:r>
      <w:proofErr w:type="spellEnd"/>
      <w:r w:rsidRPr="0031696A">
        <w:t xml:space="preserve"> Parkway, Suite 700</w:t>
      </w:r>
      <w:r w:rsidRPr="0031696A">
        <w:br/>
        <w:t>Rockville, MD 20852</w:t>
      </w:r>
    </w:p>
    <w:p w:rsidR="00446167" w:rsidRPr="0031696A" w:rsidRDefault="00446167" w:rsidP="00446167">
      <w:pPr>
        <w:pStyle w:val="OMBbodytext"/>
        <w:spacing w:after="0"/>
      </w:pPr>
    </w:p>
    <w:p w:rsidR="00446167" w:rsidRPr="0031696A" w:rsidRDefault="00446167" w:rsidP="00446167">
      <w:pPr>
        <w:pStyle w:val="OMBbodytext"/>
        <w:keepNext/>
      </w:pPr>
      <w:r w:rsidRPr="0031696A">
        <w:t xml:space="preserve">The persons who </w:t>
      </w:r>
      <w:r w:rsidRPr="0031696A">
        <w:rPr>
          <w:b/>
          <w:bCs/>
        </w:rPr>
        <w:t>designed</w:t>
      </w:r>
      <w:r w:rsidRPr="0031696A">
        <w:t xml:space="preserve"> the data collection are:</w:t>
      </w:r>
    </w:p>
    <w:p w:rsidR="00446167" w:rsidRPr="00CA63B8" w:rsidRDefault="00446167" w:rsidP="00446167">
      <w:pPr>
        <w:pStyle w:val="OMBbodytext"/>
        <w:keepLines/>
        <w:spacing w:after="0"/>
        <w:rPr>
          <w:lang w:val="fr-FR"/>
        </w:rPr>
      </w:pPr>
      <w:r w:rsidRPr="00414613">
        <w:rPr>
          <w:lang w:val="fr-FR"/>
        </w:rPr>
        <w:t>Barri Burrus</w:t>
      </w:r>
    </w:p>
    <w:p w:rsidR="00446167" w:rsidRPr="00CA63B8" w:rsidRDefault="00446167" w:rsidP="00446167">
      <w:pPr>
        <w:pStyle w:val="OMBbodytext"/>
        <w:keepLines/>
        <w:spacing w:after="0"/>
        <w:rPr>
          <w:lang w:val="fr-FR"/>
        </w:rPr>
      </w:pPr>
      <w:r w:rsidRPr="00414613">
        <w:rPr>
          <w:lang w:val="fr-FR"/>
        </w:rPr>
        <w:t>919-597-5109</w:t>
      </w:r>
    </w:p>
    <w:p w:rsidR="00446167" w:rsidRPr="00CA63B8" w:rsidRDefault="00446167" w:rsidP="00446167">
      <w:pPr>
        <w:pStyle w:val="OMBbodytext"/>
        <w:keepLines/>
        <w:spacing w:after="0"/>
        <w:rPr>
          <w:lang w:val="fr-FR"/>
        </w:rPr>
      </w:pPr>
      <w:r w:rsidRPr="00414613">
        <w:rPr>
          <w:lang w:val="fr-FR"/>
        </w:rPr>
        <w:t>barri@rti.org</w:t>
      </w:r>
    </w:p>
    <w:p w:rsidR="00446167" w:rsidRPr="00CA63B8" w:rsidRDefault="00446167" w:rsidP="00446167">
      <w:pPr>
        <w:pStyle w:val="OMBbodytext"/>
        <w:keepLines/>
        <w:spacing w:after="0"/>
        <w:rPr>
          <w:lang w:val="fr-FR"/>
        </w:rPr>
      </w:pPr>
      <w:r w:rsidRPr="00414613">
        <w:rPr>
          <w:lang w:val="fr-FR"/>
        </w:rPr>
        <w:t>RTI International</w:t>
      </w:r>
    </w:p>
    <w:p w:rsidR="00446167" w:rsidRDefault="00446167" w:rsidP="00446167">
      <w:pPr>
        <w:pStyle w:val="OMBbodytext"/>
        <w:keepLines/>
        <w:spacing w:after="0"/>
      </w:pPr>
      <w:r>
        <w:t>3040 E. Cornwallis</w:t>
      </w:r>
    </w:p>
    <w:p w:rsidR="00446167" w:rsidRDefault="00446167" w:rsidP="00446167">
      <w:pPr>
        <w:pStyle w:val="OMBbodytext"/>
        <w:keepLines/>
        <w:spacing w:after="0"/>
      </w:pPr>
      <w:r>
        <w:t>Research Triangle Park, NC 27709</w:t>
      </w:r>
    </w:p>
    <w:p w:rsidR="00446167" w:rsidRPr="0031696A" w:rsidRDefault="00446167" w:rsidP="00446167">
      <w:pPr>
        <w:pStyle w:val="OMBbodytext"/>
        <w:keepLines/>
        <w:spacing w:after="0"/>
      </w:pPr>
    </w:p>
    <w:p w:rsidR="00446167" w:rsidRPr="00CA63B8" w:rsidRDefault="00446167" w:rsidP="00446167">
      <w:pPr>
        <w:pStyle w:val="OMBbodytext"/>
        <w:keepLines/>
        <w:spacing w:after="0"/>
        <w:rPr>
          <w:lang w:val="fr-FR"/>
        </w:rPr>
      </w:pPr>
      <w:r w:rsidRPr="00414613">
        <w:rPr>
          <w:lang w:val="fr-FR"/>
        </w:rPr>
        <w:t>Ellen Wilson</w:t>
      </w:r>
    </w:p>
    <w:p w:rsidR="00446167" w:rsidRPr="00CA63B8" w:rsidRDefault="00446167" w:rsidP="00446167">
      <w:pPr>
        <w:pStyle w:val="OMBbodytext"/>
        <w:keepLines/>
        <w:spacing w:after="0"/>
        <w:rPr>
          <w:lang w:val="fr-FR"/>
        </w:rPr>
      </w:pPr>
      <w:r w:rsidRPr="00414613">
        <w:rPr>
          <w:lang w:val="fr-FR"/>
        </w:rPr>
        <w:t>919-316-3337</w:t>
      </w:r>
    </w:p>
    <w:p w:rsidR="00446167" w:rsidRPr="00CA63B8" w:rsidRDefault="00446167" w:rsidP="00446167">
      <w:pPr>
        <w:pStyle w:val="OMBbodytext"/>
        <w:keepLines/>
        <w:spacing w:after="0"/>
        <w:rPr>
          <w:lang w:val="fr-FR"/>
        </w:rPr>
      </w:pPr>
      <w:r w:rsidRPr="00414613">
        <w:rPr>
          <w:lang w:val="fr-FR"/>
        </w:rPr>
        <w:t>ewilson@rti.org</w:t>
      </w:r>
    </w:p>
    <w:p w:rsidR="00446167" w:rsidRPr="00CA63B8" w:rsidRDefault="00446167" w:rsidP="00446167">
      <w:pPr>
        <w:pStyle w:val="OMBbodytext"/>
        <w:keepLines/>
        <w:spacing w:after="0"/>
        <w:rPr>
          <w:lang w:val="fr-FR"/>
        </w:rPr>
      </w:pPr>
      <w:r w:rsidRPr="00414613">
        <w:rPr>
          <w:lang w:val="fr-FR"/>
        </w:rPr>
        <w:t>RTI International</w:t>
      </w:r>
    </w:p>
    <w:p w:rsidR="00446167" w:rsidRDefault="00446167" w:rsidP="00446167">
      <w:pPr>
        <w:pStyle w:val="OMBbodytext"/>
        <w:keepLines/>
        <w:spacing w:after="0"/>
      </w:pPr>
      <w:r>
        <w:t>3040 E. Cornwallis</w:t>
      </w:r>
    </w:p>
    <w:p w:rsidR="00446167" w:rsidRDefault="00446167" w:rsidP="00446167">
      <w:pPr>
        <w:pStyle w:val="OMBbodytext"/>
        <w:keepLines/>
        <w:spacing w:after="0"/>
      </w:pPr>
      <w:r>
        <w:t>Research Triangle Park, NC 27709</w:t>
      </w:r>
    </w:p>
    <w:p w:rsidR="00446167" w:rsidRPr="0031696A" w:rsidRDefault="00446167" w:rsidP="00446167">
      <w:pPr>
        <w:pStyle w:val="OMBbodytext"/>
        <w:keepLines/>
        <w:spacing w:after="0"/>
      </w:pPr>
    </w:p>
    <w:p w:rsidR="00446167" w:rsidRPr="000464A7" w:rsidRDefault="00446167" w:rsidP="00446167">
      <w:pPr>
        <w:pStyle w:val="OMBbodytext"/>
        <w:keepLines/>
        <w:spacing w:after="0"/>
      </w:pPr>
      <w:r w:rsidRPr="0031696A">
        <w:t>Ina Wallace</w:t>
      </w:r>
    </w:p>
    <w:p w:rsidR="00446167" w:rsidRDefault="00446167" w:rsidP="00446167">
      <w:pPr>
        <w:pStyle w:val="OMBbodytext"/>
        <w:keepLines/>
        <w:spacing w:after="0"/>
      </w:pPr>
      <w:r>
        <w:t>919-541-6967</w:t>
      </w:r>
    </w:p>
    <w:p w:rsidR="00446167" w:rsidRDefault="00446167" w:rsidP="00446167">
      <w:pPr>
        <w:pStyle w:val="OMBbodytext"/>
        <w:keepLines/>
        <w:spacing w:after="0"/>
      </w:pPr>
      <w:r>
        <w:t>wallace@rti.org</w:t>
      </w:r>
    </w:p>
    <w:p w:rsidR="00446167" w:rsidRDefault="00446167" w:rsidP="00446167">
      <w:pPr>
        <w:pStyle w:val="OMBbodytext"/>
        <w:keepLines/>
        <w:spacing w:after="0"/>
      </w:pPr>
      <w:r>
        <w:t>RTI International</w:t>
      </w:r>
    </w:p>
    <w:p w:rsidR="00446167" w:rsidRDefault="00446167" w:rsidP="00446167">
      <w:pPr>
        <w:pStyle w:val="OMBbodytext"/>
        <w:keepLines/>
        <w:spacing w:after="0"/>
      </w:pPr>
      <w:r>
        <w:t>3040 E. Cornwallis</w:t>
      </w:r>
    </w:p>
    <w:p w:rsidR="00446167" w:rsidRDefault="00446167" w:rsidP="00446167">
      <w:pPr>
        <w:pStyle w:val="OMBbodytext"/>
        <w:keepLines/>
        <w:spacing w:after="0"/>
      </w:pPr>
      <w:r>
        <w:t>Research Triangle Park, NC 27709</w:t>
      </w:r>
    </w:p>
    <w:p w:rsidR="00446167" w:rsidRDefault="00446167" w:rsidP="00446167">
      <w:pPr>
        <w:pStyle w:val="OMBbodytext"/>
        <w:keepLines/>
      </w:pPr>
    </w:p>
    <w:p w:rsidR="00446167" w:rsidRDefault="00446167" w:rsidP="00446167">
      <w:pPr>
        <w:pStyle w:val="OMBbodytext"/>
        <w:keepLines/>
      </w:pPr>
      <w:r>
        <w:t xml:space="preserve">The persons who will </w:t>
      </w:r>
      <w:r>
        <w:rPr>
          <w:b/>
          <w:bCs/>
        </w:rPr>
        <w:t xml:space="preserve">collect </w:t>
      </w:r>
      <w:r>
        <w:t>the data are:</w:t>
      </w:r>
    </w:p>
    <w:p w:rsidR="00446167" w:rsidRDefault="00446167" w:rsidP="00446167">
      <w:pPr>
        <w:pStyle w:val="OMBbodytext"/>
        <w:keepLines/>
      </w:pPr>
      <w:r>
        <w:t>The 107 OAH/ACYF grantees</w:t>
      </w:r>
      <w:r>
        <w:br w:type="page"/>
      </w:r>
    </w:p>
    <w:p w:rsidR="00446167" w:rsidRPr="00C37F7C" w:rsidRDefault="00446167" w:rsidP="00446167">
      <w:pPr>
        <w:pStyle w:val="App-No"/>
        <w:rPr>
          <w:lang w:val="en-US"/>
        </w:rPr>
      </w:pPr>
      <w:r w:rsidRPr="00C37F7C">
        <w:rPr>
          <w:lang w:val="en-US"/>
        </w:rPr>
        <w:lastRenderedPageBreak/>
        <w:t xml:space="preserve">Appendix </w:t>
      </w:r>
      <w:r>
        <w:rPr>
          <w:lang w:val="en-US"/>
        </w:rPr>
        <w:t>A</w:t>
      </w:r>
    </w:p>
    <w:p w:rsidR="00446167" w:rsidRPr="00C37F7C" w:rsidRDefault="00446167" w:rsidP="00446167">
      <w:pPr>
        <w:pStyle w:val="App-No"/>
        <w:rPr>
          <w:lang w:val="en-US"/>
        </w:rPr>
      </w:pPr>
    </w:p>
    <w:p w:rsidR="00446167" w:rsidRDefault="00446167" w:rsidP="00446167">
      <w:pPr>
        <w:pStyle w:val="biblio"/>
        <w:ind w:left="0" w:firstLine="0"/>
        <w:jc w:val="center"/>
        <w:rPr>
          <w:rFonts w:ascii="Arial" w:hAnsi="Arial" w:cs="Arial"/>
          <w:b/>
          <w:bCs/>
          <w:sz w:val="28"/>
          <w:szCs w:val="28"/>
          <w:lang w:val="en-US"/>
        </w:rPr>
      </w:pPr>
      <w:r w:rsidRPr="006D12DC">
        <w:rPr>
          <w:rFonts w:ascii="Arial" w:hAnsi="Arial" w:cs="Arial"/>
          <w:b/>
          <w:bCs/>
          <w:i/>
          <w:sz w:val="28"/>
          <w:szCs w:val="28"/>
          <w:lang w:val="en-US"/>
        </w:rPr>
        <w:t>Federal Register</w:t>
      </w:r>
      <w:r w:rsidRPr="006D12DC">
        <w:rPr>
          <w:rFonts w:ascii="Arial" w:hAnsi="Arial" w:cs="Arial"/>
          <w:b/>
          <w:bCs/>
          <w:sz w:val="28"/>
          <w:szCs w:val="28"/>
          <w:lang w:val="en-US"/>
        </w:rPr>
        <w:t xml:space="preserve"> Notice to the Public</w:t>
      </w:r>
    </w:p>
    <w:p w:rsidR="00446167" w:rsidRDefault="00446167" w:rsidP="00446167">
      <w:pPr>
        <w:pStyle w:val="biblio"/>
        <w:ind w:left="0" w:firstLine="0"/>
        <w:jc w:val="center"/>
        <w:rPr>
          <w:rFonts w:ascii="Arial" w:hAnsi="Arial" w:cs="Arial"/>
          <w:b/>
          <w:bCs/>
          <w:sz w:val="28"/>
          <w:szCs w:val="28"/>
          <w:lang w:val="en-US"/>
        </w:rPr>
      </w:pPr>
    </w:p>
    <w:p w:rsidR="00446167" w:rsidRDefault="00446167" w:rsidP="00446167">
      <w:pPr>
        <w:pStyle w:val="biblio"/>
        <w:ind w:left="0" w:firstLine="0"/>
        <w:jc w:val="center"/>
        <w:rPr>
          <w:rFonts w:ascii="Arial" w:hAnsi="Arial" w:cs="Arial"/>
          <w:b/>
          <w:bCs/>
          <w:sz w:val="28"/>
          <w:szCs w:val="28"/>
          <w:lang w:val="en-US"/>
        </w:rPr>
      </w:pPr>
      <w:r>
        <w:rPr>
          <w:rFonts w:ascii="Arial" w:hAnsi="Arial" w:cs="Arial"/>
          <w:b/>
          <w:bCs/>
          <w:sz w:val="28"/>
          <w:szCs w:val="28"/>
          <w:lang w:val="en-US"/>
        </w:rPr>
        <w:br w:type="page"/>
      </w:r>
    </w:p>
    <w:p w:rsidR="00446167" w:rsidRDefault="00446167" w:rsidP="00446167">
      <w:pPr>
        <w:pStyle w:val="biblio"/>
        <w:ind w:left="0" w:firstLine="0"/>
        <w:jc w:val="center"/>
        <w:rPr>
          <w:rFonts w:ascii="Arial" w:hAnsi="Arial" w:cs="Arial"/>
          <w:b/>
          <w:bCs/>
          <w:sz w:val="28"/>
          <w:szCs w:val="28"/>
          <w:lang w:val="en-US"/>
        </w:rPr>
      </w:pPr>
    </w:p>
    <w:p w:rsidR="00446167" w:rsidRPr="00C37F7C" w:rsidRDefault="00446167" w:rsidP="00446167">
      <w:pPr>
        <w:pStyle w:val="App-No"/>
        <w:rPr>
          <w:lang w:val="en-US"/>
        </w:rPr>
      </w:pPr>
      <w:r>
        <w:rPr>
          <w:lang w:val="en-US"/>
        </w:rPr>
        <w:t>Appendix B</w:t>
      </w:r>
    </w:p>
    <w:p w:rsidR="00446167" w:rsidRPr="00C37F7C" w:rsidRDefault="00446167" w:rsidP="00446167">
      <w:pPr>
        <w:pStyle w:val="App-No"/>
        <w:rPr>
          <w:lang w:val="en-US"/>
        </w:rPr>
      </w:pPr>
    </w:p>
    <w:p w:rsidR="00446167" w:rsidRDefault="00446167" w:rsidP="00446167">
      <w:pPr>
        <w:pStyle w:val="App-No"/>
        <w:rPr>
          <w:lang w:val="en-US"/>
        </w:rPr>
      </w:pPr>
      <w:r w:rsidRPr="00C37F7C">
        <w:rPr>
          <w:lang w:val="en-US"/>
        </w:rPr>
        <w:t xml:space="preserve">RTI Institutional Review Board </w:t>
      </w:r>
      <w:r>
        <w:rPr>
          <w:lang w:val="en-US"/>
        </w:rPr>
        <w:t>Notice</w:t>
      </w:r>
    </w:p>
    <w:p w:rsidR="00446167" w:rsidRPr="007F62E9" w:rsidRDefault="00446167" w:rsidP="00446167">
      <w:pPr>
        <w:pStyle w:val="App-No"/>
        <w:rPr>
          <w:lang w:val="en-US"/>
        </w:rPr>
      </w:pPr>
      <w:r>
        <w:rPr>
          <w:sz w:val="22"/>
          <w:szCs w:val="22"/>
          <w:lang w:val="en-US"/>
        </w:rPr>
        <w:t>A</w:t>
      </w:r>
      <w:r w:rsidRPr="007F62E9">
        <w:rPr>
          <w:sz w:val="22"/>
          <w:szCs w:val="22"/>
          <w:lang w:val="en-US"/>
        </w:rPr>
        <w:t>ctivity does not require IRB approval</w:t>
      </w:r>
    </w:p>
    <w:p w:rsidR="003D0909" w:rsidRDefault="003D0909"/>
    <w:sectPr w:rsidR="003D0909" w:rsidSect="003D09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efaultTabStop w:val="720"/>
  <w:characterSpacingControl w:val="doNotCompress"/>
  <w:compat/>
  <w:rsids>
    <w:rsidRoot w:val="00446167"/>
    <w:rsid w:val="000F61A8"/>
    <w:rsid w:val="002104E8"/>
    <w:rsid w:val="0029679F"/>
    <w:rsid w:val="003D0909"/>
    <w:rsid w:val="00446167"/>
    <w:rsid w:val="00544A57"/>
    <w:rsid w:val="00944EB6"/>
    <w:rsid w:val="00997E8D"/>
    <w:rsid w:val="00AB14AC"/>
    <w:rsid w:val="00B97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909"/>
  </w:style>
  <w:style w:type="paragraph" w:styleId="Heading2">
    <w:name w:val="heading 2"/>
    <w:basedOn w:val="Normal"/>
    <w:next w:val="Normal"/>
    <w:link w:val="Heading2Char"/>
    <w:uiPriority w:val="9"/>
    <w:semiHidden/>
    <w:unhideWhenUsed/>
    <w:qFormat/>
    <w:rsid w:val="004461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dytext">
    <w:name w:val="OMB body text"/>
    <w:basedOn w:val="Normal"/>
    <w:link w:val="OMBbodytextChar"/>
    <w:uiPriority w:val="99"/>
    <w:rsid w:val="00446167"/>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rsid w:val="00446167"/>
    <w:rPr>
      <w:rFonts w:ascii="Times New Roman" w:eastAsia="Times New Roman" w:hAnsi="Times New Roman" w:cs="Times New Roman"/>
      <w:sz w:val="24"/>
      <w:szCs w:val="20"/>
    </w:rPr>
  </w:style>
  <w:style w:type="paragraph" w:customStyle="1" w:styleId="OMBheading-1">
    <w:name w:val="OMB heading-1"/>
    <w:basedOn w:val="Heading2"/>
    <w:rsid w:val="00446167"/>
    <w:pPr>
      <w:keepLines w:val="0"/>
      <w:spacing w:before="0" w:after="240" w:line="240" w:lineRule="auto"/>
      <w:ind w:left="720" w:hanging="720"/>
    </w:pPr>
    <w:rPr>
      <w:rFonts w:ascii="Times New Roman" w:eastAsia="Times New Roman" w:hAnsi="Times New Roman" w:cs="Times New Roman"/>
      <w:bCs w:val="0"/>
      <w:color w:val="auto"/>
      <w:sz w:val="28"/>
      <w:szCs w:val="28"/>
    </w:rPr>
  </w:style>
  <w:style w:type="paragraph" w:customStyle="1" w:styleId="OMBheading-2">
    <w:name w:val="OMB heading-2"/>
    <w:basedOn w:val="Normal"/>
    <w:rsid w:val="00446167"/>
    <w:pPr>
      <w:keepNext/>
      <w:spacing w:line="240" w:lineRule="auto"/>
      <w:ind w:left="720" w:hanging="720"/>
    </w:pPr>
    <w:rPr>
      <w:rFonts w:ascii="Times New Roman" w:eastAsia="Times New Roman" w:hAnsi="Times New Roman" w:cs="Times New Roman"/>
      <w:b/>
      <w:sz w:val="24"/>
      <w:szCs w:val="20"/>
    </w:rPr>
  </w:style>
  <w:style w:type="paragraph" w:customStyle="1" w:styleId="biblio">
    <w:name w:val="biblio"/>
    <w:basedOn w:val="Normal"/>
    <w:rsid w:val="00446167"/>
    <w:pPr>
      <w:keepLines/>
      <w:spacing w:after="240" w:line="240" w:lineRule="auto"/>
      <w:ind w:left="720" w:hanging="720"/>
    </w:pPr>
    <w:rPr>
      <w:rFonts w:ascii="Times New Roman" w:eastAsia="Times New Roman" w:hAnsi="Times New Roman" w:cs="Times New Roman"/>
      <w:sz w:val="24"/>
      <w:szCs w:val="20"/>
      <w:lang w:val="it-IT"/>
    </w:rPr>
  </w:style>
  <w:style w:type="paragraph" w:customStyle="1" w:styleId="App-No">
    <w:name w:val="App-No"/>
    <w:basedOn w:val="Normal"/>
    <w:rsid w:val="00446167"/>
    <w:pPr>
      <w:spacing w:after="0" w:line="240" w:lineRule="auto"/>
      <w:jc w:val="center"/>
    </w:pPr>
    <w:rPr>
      <w:rFonts w:ascii="Arial" w:eastAsia="Times New Roman" w:hAnsi="Arial" w:cs="Arial"/>
      <w:b/>
      <w:sz w:val="28"/>
      <w:szCs w:val="28"/>
      <w:lang w:val="fr-FR"/>
    </w:rPr>
  </w:style>
  <w:style w:type="character" w:customStyle="1" w:styleId="Heading2Char">
    <w:name w:val="Heading 2 Char"/>
    <w:basedOn w:val="DefaultParagraphFont"/>
    <w:link w:val="Heading2"/>
    <w:uiPriority w:val="9"/>
    <w:semiHidden/>
    <w:rsid w:val="0044616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663</Words>
  <Characters>3785</Characters>
  <Application>Microsoft Office Word</Application>
  <DocSecurity>0</DocSecurity>
  <Lines>31</Lines>
  <Paragraphs>8</Paragraphs>
  <ScaleCrop>false</ScaleCrop>
  <Company>DHHS</Company>
  <LinksUpToDate>false</LinksUpToDate>
  <CharactersWithSpaces>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1</cp:revision>
  <dcterms:created xsi:type="dcterms:W3CDTF">2011-10-18T20:11:00Z</dcterms:created>
  <dcterms:modified xsi:type="dcterms:W3CDTF">2011-10-18T20:13:00Z</dcterms:modified>
</cp:coreProperties>
</file>