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pStyle w:val="MessageHeader"/>
        <w:ind w:left="0" w:firstLine="0"/>
        <w:jc w:val="center"/>
        <w:rPr>
          <w:rFonts w:ascii="Times New Roman" w:hAnsi="Times New Roman"/>
          <w:sz w:val="32"/>
          <w:szCs w:val="32"/>
        </w:rPr>
      </w:pPr>
      <w:r w:rsidRPr="00A7227A">
        <w:rPr>
          <w:rFonts w:ascii="Times New Roman" w:hAnsi="Times New Roman"/>
          <w:b/>
          <w:sz w:val="32"/>
          <w:szCs w:val="32"/>
        </w:rPr>
        <w:t xml:space="preserve">REPORT: use of </w:t>
      </w:r>
      <w:r w:rsidRPr="00A7227A">
        <w:rPr>
          <w:rFonts w:ascii="Times New Roman" w:hAnsi="Times New Roman"/>
          <w:sz w:val="32"/>
          <w:szCs w:val="32"/>
        </w:rPr>
        <w:t xml:space="preserve">pretesting generic CLEARANCE </w:t>
      </w:r>
    </w:p>
    <w:p w:rsidR="00A7227A" w:rsidRPr="00A7227A" w:rsidRDefault="00A7227A" w:rsidP="00A7227A">
      <w:pPr>
        <w:pStyle w:val="MessageHeader"/>
        <w:ind w:left="0" w:firstLine="0"/>
        <w:jc w:val="center"/>
        <w:rPr>
          <w:rFonts w:ascii="Times New Roman" w:hAnsi="Times New Roman"/>
          <w:b/>
          <w:sz w:val="32"/>
          <w:szCs w:val="32"/>
        </w:rPr>
      </w:pPr>
      <w:r w:rsidRPr="00A7227A">
        <w:rPr>
          <w:rFonts w:ascii="Times New Roman" w:hAnsi="Times New Roman"/>
          <w:sz w:val="32"/>
          <w:szCs w:val="32"/>
        </w:rPr>
        <w:t>(0970-0355) From 2008-2011</w:t>
      </w:r>
      <w:r w:rsidRPr="00A7227A">
        <w:rPr>
          <w:rFonts w:ascii="Times New Roman" w:hAnsi="Times New Roman"/>
          <w:b/>
          <w:sz w:val="32"/>
          <w:szCs w:val="32"/>
        </w:rPr>
        <w:t xml:space="preserve"> </w:t>
      </w:r>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widowControl w:val="0"/>
        <w:suppressAutoHyphens/>
        <w:jc w:val="center"/>
        <w:rPr>
          <w:rFonts w:ascii="Calibri" w:eastAsia="Calibri" w:hAnsi="Calibri" w:cs="Times New Roman"/>
        </w:rPr>
      </w:pPr>
    </w:p>
    <w:p w:rsidR="00A7227A" w:rsidRDefault="00A7227A" w:rsidP="00A7227A">
      <w:pPr>
        <w:jc w:val="center"/>
        <w:rPr>
          <w:rFonts w:ascii="Calibri" w:eastAsia="Calibri" w:hAnsi="Calibri" w:cs="Times New Roman"/>
          <w:sz w:val="28"/>
          <w:szCs w:val="28"/>
        </w:rPr>
      </w:pPr>
      <w:r>
        <w:rPr>
          <w:sz w:val="28"/>
          <w:szCs w:val="28"/>
        </w:rPr>
        <w:t>January 2012</w:t>
      </w: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rPr>
          <w:rFonts w:ascii="Arial" w:eastAsia="Calibri" w:hAnsi="Arial" w:cs="Arial"/>
        </w:rPr>
      </w:pPr>
    </w:p>
    <w:p w:rsidR="00A7227A" w:rsidRDefault="00A7227A" w:rsidP="00A7227A">
      <w:pPr>
        <w:jc w:val="center"/>
        <w:rPr>
          <w:rFonts w:ascii="Arial" w:eastAsia="Calibri" w:hAnsi="Arial" w:cs="Arial"/>
        </w:rPr>
      </w:pPr>
    </w:p>
    <w:p w:rsidR="00A7227A" w:rsidRDefault="00A7227A" w:rsidP="00A7227A">
      <w:pPr>
        <w:jc w:val="center"/>
        <w:rPr>
          <w:rFonts w:ascii="Arial" w:eastAsia="Calibri" w:hAnsi="Arial" w:cs="Arial"/>
        </w:rPr>
      </w:pP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Office of Planning, Research and Evaluation</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 xml:space="preserve">Administration for Children and Families </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U.S. Department of Health and Human Services</w:t>
      </w:r>
    </w:p>
    <w:p w:rsidR="00A7227A" w:rsidRDefault="00A7227A" w:rsidP="00A7227A">
      <w:pPr>
        <w:jc w:val="center"/>
        <w:rPr>
          <w:rFonts w:ascii="Times New Roman" w:eastAsia="Calibri" w:hAnsi="Times New Roman" w:cs="Times New Roman"/>
        </w:rPr>
      </w:pP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7</w:t>
      </w:r>
      <w:r>
        <w:rPr>
          <w:rFonts w:ascii="Times New Roman" w:eastAsia="Calibri" w:hAnsi="Times New Roman" w:cs="Times New Roman"/>
          <w:vertAlign w:val="superscript"/>
        </w:rPr>
        <w:t>th</w:t>
      </w:r>
      <w:r>
        <w:rPr>
          <w:rFonts w:ascii="Times New Roman" w:eastAsia="Calibri" w:hAnsi="Times New Roman" w:cs="Times New Roman"/>
        </w:rPr>
        <w:t xml:space="preserve"> Floor, West Aerospace Building</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370 L’Enfant Promenade, SW</w:t>
      </w:r>
    </w:p>
    <w:p w:rsidR="00A7227A" w:rsidRDefault="00A7227A" w:rsidP="00A7227A">
      <w:pPr>
        <w:jc w:val="center"/>
        <w:rPr>
          <w:rFonts w:ascii="Times New Roman" w:eastAsia="Calibri" w:hAnsi="Times New Roman" w:cs="Times New Roman"/>
        </w:rPr>
      </w:pPr>
      <w:r>
        <w:rPr>
          <w:rFonts w:ascii="Times New Roman" w:eastAsia="Calibri" w:hAnsi="Times New Roman" w:cs="Times New Roman"/>
        </w:rPr>
        <w:t>Washington, D.C. 20447</w:t>
      </w:r>
    </w:p>
    <w:p w:rsidR="0092452D" w:rsidRPr="004B539A" w:rsidRDefault="0092452D" w:rsidP="004035FC">
      <w:pPr>
        <w:rPr>
          <w:rFonts w:ascii="Times New Roman" w:hAnsi="Times New Roman" w:cs="Times New Roman"/>
        </w:rPr>
      </w:pPr>
      <w:r w:rsidRPr="004B539A">
        <w:rPr>
          <w:rFonts w:ascii="Times New Roman" w:hAnsi="Times New Roman" w:cs="Times New Roman"/>
        </w:rPr>
        <w:lastRenderedPageBreak/>
        <w:t>In October 2008, OMB approved ACF’s request for a generic information collection for pre-testing of evaluation surveys</w:t>
      </w:r>
      <w:r w:rsidR="001A0DD1" w:rsidRPr="004B539A">
        <w:rPr>
          <w:rFonts w:ascii="Times New Roman" w:hAnsi="Times New Roman" w:cs="Times New Roman"/>
        </w:rPr>
        <w:t xml:space="preserve"> (0970-0355)</w:t>
      </w:r>
      <w:r w:rsidRPr="004B539A">
        <w:rPr>
          <w:rFonts w:ascii="Times New Roman" w:hAnsi="Times New Roman" w:cs="Times New Roman"/>
        </w:rPr>
        <w:t xml:space="preserve">. This </w:t>
      </w:r>
      <w:r w:rsidR="003F1298">
        <w:rPr>
          <w:rFonts w:ascii="Times New Roman" w:hAnsi="Times New Roman" w:cs="Times New Roman"/>
        </w:rPr>
        <w:t xml:space="preserve">report describes </w:t>
      </w:r>
      <w:r w:rsidRPr="004B539A">
        <w:rPr>
          <w:rFonts w:ascii="Times New Roman" w:hAnsi="Times New Roman" w:cs="Times New Roman"/>
        </w:rPr>
        <w:t xml:space="preserve">the </w:t>
      </w:r>
      <w:r w:rsidR="00485C03" w:rsidRPr="004B539A">
        <w:rPr>
          <w:rFonts w:ascii="Times New Roman" w:hAnsi="Times New Roman" w:cs="Times New Roman"/>
        </w:rPr>
        <w:t>use of the generic IC during the first three years, including the number of hours used, as well as the nature and results of the activities completed under this generic clearance.</w:t>
      </w:r>
      <w:r w:rsidRPr="004B539A">
        <w:rPr>
          <w:rFonts w:ascii="Times New Roman" w:hAnsi="Times New Roman" w:cs="Times New Roman"/>
        </w:rPr>
        <w:t xml:space="preserve"> </w:t>
      </w:r>
    </w:p>
    <w:p w:rsidR="0092452D" w:rsidRPr="004B539A" w:rsidRDefault="0092452D">
      <w:pPr>
        <w:rPr>
          <w:rFonts w:ascii="Times New Roman" w:hAnsi="Times New Roman" w:cs="Times New Roman"/>
        </w:rPr>
      </w:pPr>
    </w:p>
    <w:p w:rsidR="0092452D" w:rsidRDefault="0092452D">
      <w:pPr>
        <w:rPr>
          <w:rFonts w:ascii="Times New Roman" w:hAnsi="Times New Roman" w:cs="Times New Roman"/>
        </w:rPr>
      </w:pPr>
      <w:r w:rsidRPr="004B539A">
        <w:rPr>
          <w:rFonts w:ascii="Times New Roman" w:hAnsi="Times New Roman" w:cs="Times New Roman"/>
        </w:rPr>
        <w:t xml:space="preserve">The original generic IC was approved for </w:t>
      </w:r>
      <w:r w:rsidR="008E4B06" w:rsidRPr="004B539A">
        <w:rPr>
          <w:rFonts w:ascii="Times New Roman" w:hAnsi="Times New Roman" w:cs="Times New Roman"/>
        </w:rPr>
        <w:t>three years, during which time ACF requested</w:t>
      </w:r>
      <w:r w:rsidR="004035FC">
        <w:rPr>
          <w:rFonts w:ascii="Times New Roman" w:hAnsi="Times New Roman" w:cs="Times New Roman"/>
        </w:rPr>
        <w:t xml:space="preserve"> four generic ICs for pretesting</w:t>
      </w:r>
      <w:r w:rsidR="008E4B06" w:rsidRPr="004B539A">
        <w:rPr>
          <w:rFonts w:ascii="Times New Roman" w:hAnsi="Times New Roman" w:cs="Times New Roman"/>
        </w:rPr>
        <w:t xml:space="preserve">. During the first year of use, two projects used the generic IC to pre-test survey instruments, using a total of 175 burden hours. </w:t>
      </w:r>
      <w:r w:rsidR="004035FC">
        <w:rPr>
          <w:rFonts w:ascii="Times New Roman" w:hAnsi="Times New Roman" w:cs="Times New Roman"/>
        </w:rPr>
        <w:t>T</w:t>
      </w:r>
      <w:r w:rsidR="004035FC" w:rsidRPr="004B539A">
        <w:rPr>
          <w:rFonts w:ascii="Times New Roman" w:hAnsi="Times New Roman" w:cs="Times New Roman"/>
        </w:rPr>
        <w:t>o accommodate pre-testing questionnaires to inform a national study</w:t>
      </w:r>
      <w:r w:rsidR="004035FC">
        <w:rPr>
          <w:rFonts w:ascii="Times New Roman" w:hAnsi="Times New Roman" w:cs="Times New Roman"/>
        </w:rPr>
        <w:t xml:space="preserve">, </w:t>
      </w:r>
      <w:r w:rsidR="001A0DD1" w:rsidRPr="004B539A">
        <w:rPr>
          <w:rFonts w:ascii="Times New Roman" w:hAnsi="Times New Roman" w:cs="Times New Roman"/>
        </w:rPr>
        <w:t>the number of respondents and burden hours requested was increased</w:t>
      </w:r>
      <w:r w:rsidR="004035FC">
        <w:rPr>
          <w:rFonts w:ascii="Times New Roman" w:hAnsi="Times New Roman" w:cs="Times New Roman"/>
        </w:rPr>
        <w:t xml:space="preserve"> in the third year</w:t>
      </w:r>
      <w:r w:rsidR="001A0DD1" w:rsidRPr="004B539A">
        <w:rPr>
          <w:rFonts w:ascii="Times New Roman" w:hAnsi="Times New Roman" w:cs="Times New Roman"/>
        </w:rPr>
        <w:t xml:space="preserve">. This national study collected information from 3,330 respondents, using 891 burden hours. A final generic IC was approved in the third year, increasing the total burden hours in the third year to 1,161 hours. Over the three years, information was collected from 3,605 respondents requiring 1,336 hours of burden. </w:t>
      </w:r>
    </w:p>
    <w:p w:rsidR="004035FC" w:rsidRPr="004B539A" w:rsidRDefault="004035FC">
      <w:pPr>
        <w:rPr>
          <w:rFonts w:ascii="Times New Roman" w:hAnsi="Times New Roman" w:cs="Times New Roman"/>
        </w:rPr>
      </w:pPr>
    </w:p>
    <w:p w:rsidR="0092452D" w:rsidRPr="004B539A" w:rsidRDefault="0092452D">
      <w:pPr>
        <w:rPr>
          <w:rFonts w:ascii="Times New Roman" w:hAnsi="Times New Roman" w:cs="Times New Roman"/>
        </w:rPr>
      </w:pPr>
    </w:p>
    <w:tbl>
      <w:tblPr>
        <w:tblStyle w:val="TableGrid"/>
        <w:tblW w:w="0" w:type="auto"/>
        <w:tblLook w:val="04A0"/>
      </w:tblPr>
      <w:tblGrid>
        <w:gridCol w:w="1278"/>
        <w:gridCol w:w="2430"/>
        <w:gridCol w:w="2250"/>
        <w:gridCol w:w="1681"/>
        <w:gridCol w:w="1937"/>
      </w:tblGrid>
      <w:tr w:rsidR="00143646" w:rsidRPr="004B539A" w:rsidTr="008E4B06">
        <w:tc>
          <w:tcPr>
            <w:tcW w:w="1278" w:type="dxa"/>
          </w:tcPr>
          <w:p w:rsidR="00143646" w:rsidRPr="004B539A" w:rsidRDefault="00143646">
            <w:pPr>
              <w:rPr>
                <w:rFonts w:ascii="Times New Roman" w:hAnsi="Times New Roman" w:cs="Times New Roman"/>
                <w:b/>
              </w:rPr>
            </w:pPr>
            <w:r w:rsidRPr="004B539A">
              <w:rPr>
                <w:rFonts w:ascii="Times New Roman" w:hAnsi="Times New Roman" w:cs="Times New Roman"/>
                <w:b/>
              </w:rPr>
              <w:t>Date</w:t>
            </w:r>
          </w:p>
        </w:tc>
        <w:tc>
          <w:tcPr>
            <w:tcW w:w="2430" w:type="dxa"/>
          </w:tcPr>
          <w:p w:rsidR="00143646" w:rsidRPr="004B539A" w:rsidRDefault="00143646">
            <w:pPr>
              <w:rPr>
                <w:rFonts w:ascii="Times New Roman" w:hAnsi="Times New Roman" w:cs="Times New Roman"/>
                <w:b/>
              </w:rPr>
            </w:pPr>
            <w:r w:rsidRPr="004B539A">
              <w:rPr>
                <w:rFonts w:ascii="Times New Roman" w:hAnsi="Times New Roman" w:cs="Times New Roman"/>
                <w:b/>
              </w:rPr>
              <w:t>Project</w:t>
            </w:r>
          </w:p>
        </w:tc>
        <w:tc>
          <w:tcPr>
            <w:tcW w:w="2250" w:type="dxa"/>
          </w:tcPr>
          <w:p w:rsidR="00143646" w:rsidRPr="004B539A" w:rsidRDefault="00143646">
            <w:pPr>
              <w:rPr>
                <w:rFonts w:ascii="Times New Roman" w:hAnsi="Times New Roman" w:cs="Times New Roman"/>
                <w:b/>
              </w:rPr>
            </w:pPr>
            <w:r w:rsidRPr="004B539A">
              <w:rPr>
                <w:rFonts w:ascii="Times New Roman" w:hAnsi="Times New Roman" w:cs="Times New Roman"/>
                <w:b/>
              </w:rPr>
              <w:t>Type of Requests</w:t>
            </w:r>
          </w:p>
        </w:tc>
        <w:tc>
          <w:tcPr>
            <w:tcW w:w="1681" w:type="dxa"/>
          </w:tcPr>
          <w:p w:rsidR="00143646" w:rsidRPr="004B539A" w:rsidRDefault="00143646">
            <w:pPr>
              <w:rPr>
                <w:rFonts w:ascii="Times New Roman" w:hAnsi="Times New Roman" w:cs="Times New Roman"/>
                <w:b/>
              </w:rPr>
            </w:pPr>
            <w:r w:rsidRPr="004B539A">
              <w:rPr>
                <w:rFonts w:ascii="Times New Roman" w:hAnsi="Times New Roman" w:cs="Times New Roman"/>
                <w:b/>
              </w:rPr>
              <w:t>Respondents</w:t>
            </w:r>
          </w:p>
        </w:tc>
        <w:tc>
          <w:tcPr>
            <w:tcW w:w="1937" w:type="dxa"/>
          </w:tcPr>
          <w:p w:rsidR="00143646" w:rsidRPr="004B539A" w:rsidRDefault="00143646">
            <w:pPr>
              <w:rPr>
                <w:rFonts w:ascii="Times New Roman" w:hAnsi="Times New Roman" w:cs="Times New Roman"/>
                <w:b/>
              </w:rPr>
            </w:pPr>
            <w:r w:rsidRPr="004B539A">
              <w:rPr>
                <w:rFonts w:ascii="Times New Roman" w:hAnsi="Times New Roman" w:cs="Times New Roman"/>
                <w:b/>
              </w:rPr>
              <w:t>Burden Hours</w:t>
            </w:r>
          </w:p>
        </w:tc>
      </w:tr>
      <w:tr w:rsidR="00143646" w:rsidRPr="004B539A" w:rsidTr="008E4B06">
        <w:tc>
          <w:tcPr>
            <w:tcW w:w="1278" w:type="dxa"/>
          </w:tcPr>
          <w:p w:rsidR="00143646" w:rsidRPr="004B539A" w:rsidRDefault="00143646">
            <w:pPr>
              <w:rPr>
                <w:rFonts w:ascii="Times New Roman" w:hAnsi="Times New Roman" w:cs="Times New Roman"/>
              </w:rPr>
            </w:pPr>
            <w:r w:rsidRPr="004B539A">
              <w:rPr>
                <w:rFonts w:ascii="Times New Roman" w:hAnsi="Times New Roman" w:cs="Times New Roman"/>
              </w:rPr>
              <w:t>5/5/2009</w:t>
            </w:r>
          </w:p>
        </w:tc>
        <w:tc>
          <w:tcPr>
            <w:tcW w:w="2430" w:type="dxa"/>
          </w:tcPr>
          <w:p w:rsidR="00143646" w:rsidRPr="004B539A" w:rsidRDefault="00143646">
            <w:pPr>
              <w:rPr>
                <w:rFonts w:ascii="Times New Roman" w:hAnsi="Times New Roman" w:cs="Times New Roman"/>
              </w:rPr>
            </w:pPr>
            <w:r w:rsidRPr="004B539A">
              <w:rPr>
                <w:rFonts w:ascii="Times New Roman" w:hAnsi="Times New Roman" w:cs="Times New Roman"/>
              </w:rPr>
              <w:t>FACES 2009</w:t>
            </w:r>
          </w:p>
        </w:tc>
        <w:tc>
          <w:tcPr>
            <w:tcW w:w="2250" w:type="dxa"/>
          </w:tcPr>
          <w:p w:rsidR="00143646" w:rsidRPr="004B539A" w:rsidRDefault="00143646">
            <w:pPr>
              <w:rPr>
                <w:rFonts w:ascii="Times New Roman" w:hAnsi="Times New Roman" w:cs="Times New Roman"/>
              </w:rPr>
            </w:pPr>
            <w:r w:rsidRPr="004B539A">
              <w:rPr>
                <w:rFonts w:ascii="Times New Roman" w:hAnsi="Times New Roman" w:cs="Times New Roman"/>
              </w:rPr>
              <w:t>Pre-test survey instruments</w:t>
            </w:r>
          </w:p>
        </w:tc>
        <w:tc>
          <w:tcPr>
            <w:tcW w:w="1681" w:type="dxa"/>
            <w:vAlign w:val="center"/>
          </w:tcPr>
          <w:p w:rsidR="00143646" w:rsidRPr="004B539A" w:rsidRDefault="00143646" w:rsidP="008E4B06">
            <w:pPr>
              <w:jc w:val="center"/>
              <w:rPr>
                <w:rFonts w:ascii="Times New Roman" w:hAnsi="Times New Roman" w:cs="Times New Roman"/>
              </w:rPr>
            </w:pPr>
            <w:r w:rsidRPr="004B539A">
              <w:rPr>
                <w:rFonts w:ascii="Times New Roman" w:hAnsi="Times New Roman" w:cs="Times New Roman"/>
              </w:rPr>
              <w:t>105</w:t>
            </w:r>
          </w:p>
        </w:tc>
        <w:tc>
          <w:tcPr>
            <w:tcW w:w="1937" w:type="dxa"/>
            <w:vAlign w:val="center"/>
          </w:tcPr>
          <w:p w:rsidR="00143646" w:rsidRPr="004B539A" w:rsidRDefault="00143646" w:rsidP="008E4B06">
            <w:pPr>
              <w:jc w:val="center"/>
              <w:rPr>
                <w:rFonts w:ascii="Times New Roman" w:hAnsi="Times New Roman" w:cs="Times New Roman"/>
              </w:rPr>
            </w:pPr>
            <w:r w:rsidRPr="004B539A">
              <w:rPr>
                <w:rFonts w:ascii="Times New Roman" w:hAnsi="Times New Roman" w:cs="Times New Roman"/>
              </w:rPr>
              <w:t>100</w:t>
            </w:r>
          </w:p>
        </w:tc>
      </w:tr>
      <w:tr w:rsidR="00143646" w:rsidRPr="004B539A" w:rsidTr="008E4B06">
        <w:tc>
          <w:tcPr>
            <w:tcW w:w="1278" w:type="dxa"/>
          </w:tcPr>
          <w:p w:rsidR="00143646" w:rsidRPr="004B539A" w:rsidRDefault="00143646">
            <w:pPr>
              <w:rPr>
                <w:rFonts w:ascii="Times New Roman" w:hAnsi="Times New Roman" w:cs="Times New Roman"/>
              </w:rPr>
            </w:pPr>
            <w:r w:rsidRPr="004B539A">
              <w:rPr>
                <w:rFonts w:ascii="Times New Roman" w:hAnsi="Times New Roman" w:cs="Times New Roman"/>
              </w:rPr>
              <w:t>8/31/2009</w:t>
            </w:r>
          </w:p>
        </w:tc>
        <w:tc>
          <w:tcPr>
            <w:tcW w:w="2430" w:type="dxa"/>
          </w:tcPr>
          <w:p w:rsidR="00143646" w:rsidRPr="004B539A" w:rsidRDefault="00143646">
            <w:pPr>
              <w:rPr>
                <w:rFonts w:ascii="Times New Roman" w:hAnsi="Times New Roman" w:cs="Times New Roman"/>
              </w:rPr>
            </w:pPr>
            <w:r w:rsidRPr="004B539A">
              <w:rPr>
                <w:rFonts w:ascii="Times New Roman" w:hAnsi="Times New Roman" w:cs="Times New Roman"/>
              </w:rPr>
              <w:t>Evaluation of Adolescent Pregnancy Prevention Approaches</w:t>
            </w:r>
          </w:p>
        </w:tc>
        <w:tc>
          <w:tcPr>
            <w:tcW w:w="2250" w:type="dxa"/>
          </w:tcPr>
          <w:p w:rsidR="00143646" w:rsidRPr="004B539A" w:rsidRDefault="005978A3">
            <w:pPr>
              <w:rPr>
                <w:rFonts w:ascii="Times New Roman" w:hAnsi="Times New Roman" w:cs="Times New Roman"/>
              </w:rPr>
            </w:pPr>
            <w:r w:rsidRPr="004B539A">
              <w:rPr>
                <w:rFonts w:ascii="Times New Roman" w:hAnsi="Times New Roman" w:cs="Times New Roman"/>
              </w:rPr>
              <w:t>Pre-test survey instruments</w:t>
            </w:r>
          </w:p>
        </w:tc>
        <w:tc>
          <w:tcPr>
            <w:tcW w:w="1681" w:type="dxa"/>
            <w:vAlign w:val="center"/>
          </w:tcPr>
          <w:p w:rsidR="00143646" w:rsidRPr="004B539A" w:rsidRDefault="00143646" w:rsidP="008E4B06">
            <w:pPr>
              <w:jc w:val="center"/>
              <w:rPr>
                <w:rFonts w:ascii="Times New Roman" w:hAnsi="Times New Roman" w:cs="Times New Roman"/>
              </w:rPr>
            </w:pPr>
            <w:r w:rsidRPr="004B539A">
              <w:rPr>
                <w:rFonts w:ascii="Times New Roman" w:hAnsi="Times New Roman" w:cs="Times New Roman"/>
              </w:rPr>
              <w:t>50</w:t>
            </w:r>
          </w:p>
        </w:tc>
        <w:tc>
          <w:tcPr>
            <w:tcW w:w="1937" w:type="dxa"/>
            <w:vAlign w:val="center"/>
          </w:tcPr>
          <w:p w:rsidR="00143646" w:rsidRPr="004B539A" w:rsidRDefault="00143646" w:rsidP="008E4B06">
            <w:pPr>
              <w:jc w:val="center"/>
              <w:rPr>
                <w:rFonts w:ascii="Times New Roman" w:hAnsi="Times New Roman" w:cs="Times New Roman"/>
              </w:rPr>
            </w:pPr>
            <w:r w:rsidRPr="004B539A">
              <w:rPr>
                <w:rFonts w:ascii="Times New Roman" w:hAnsi="Times New Roman" w:cs="Times New Roman"/>
              </w:rPr>
              <w:t>75</w:t>
            </w:r>
          </w:p>
        </w:tc>
      </w:tr>
      <w:tr w:rsidR="008E4B06" w:rsidRPr="004B539A" w:rsidTr="008E4B06">
        <w:tc>
          <w:tcPr>
            <w:tcW w:w="5958" w:type="dxa"/>
            <w:gridSpan w:val="3"/>
            <w:vAlign w:val="center"/>
          </w:tcPr>
          <w:p w:rsidR="008E4B06" w:rsidRPr="004B539A" w:rsidRDefault="008E4B06" w:rsidP="008E4B06">
            <w:pPr>
              <w:jc w:val="right"/>
              <w:rPr>
                <w:rFonts w:ascii="Times New Roman" w:hAnsi="Times New Roman" w:cs="Times New Roman"/>
                <w:b/>
              </w:rPr>
            </w:pPr>
            <w:r w:rsidRPr="004B539A">
              <w:rPr>
                <w:rFonts w:ascii="Times New Roman" w:hAnsi="Times New Roman" w:cs="Times New Roman"/>
                <w:b/>
              </w:rPr>
              <w:t>Total Year 1</w:t>
            </w:r>
          </w:p>
        </w:tc>
        <w:tc>
          <w:tcPr>
            <w:tcW w:w="1681" w:type="dxa"/>
            <w:vAlign w:val="center"/>
          </w:tcPr>
          <w:p w:rsidR="008E4B06" w:rsidRPr="004B539A" w:rsidRDefault="008E4B06" w:rsidP="008E4B06">
            <w:pPr>
              <w:jc w:val="center"/>
              <w:rPr>
                <w:rFonts w:ascii="Times New Roman" w:hAnsi="Times New Roman" w:cs="Times New Roman"/>
                <w:b/>
              </w:rPr>
            </w:pPr>
            <w:r w:rsidRPr="004B539A">
              <w:rPr>
                <w:rFonts w:ascii="Times New Roman" w:hAnsi="Times New Roman" w:cs="Times New Roman"/>
                <w:b/>
              </w:rPr>
              <w:t>155</w:t>
            </w:r>
          </w:p>
        </w:tc>
        <w:tc>
          <w:tcPr>
            <w:tcW w:w="1937" w:type="dxa"/>
            <w:vAlign w:val="center"/>
          </w:tcPr>
          <w:p w:rsidR="008E4B06" w:rsidRPr="004B539A" w:rsidRDefault="008E4B06" w:rsidP="008E4B06">
            <w:pPr>
              <w:jc w:val="center"/>
              <w:rPr>
                <w:rFonts w:ascii="Times New Roman" w:hAnsi="Times New Roman" w:cs="Times New Roman"/>
                <w:b/>
              </w:rPr>
            </w:pPr>
            <w:r w:rsidRPr="004B539A">
              <w:rPr>
                <w:rFonts w:ascii="Times New Roman" w:hAnsi="Times New Roman" w:cs="Times New Roman"/>
                <w:b/>
              </w:rPr>
              <w:t>175</w:t>
            </w:r>
          </w:p>
        </w:tc>
      </w:tr>
      <w:tr w:rsidR="00143646" w:rsidRPr="004B539A" w:rsidTr="008E4B06">
        <w:tc>
          <w:tcPr>
            <w:tcW w:w="1278" w:type="dxa"/>
          </w:tcPr>
          <w:p w:rsidR="00143646" w:rsidRPr="004B539A" w:rsidRDefault="005978A3">
            <w:pPr>
              <w:rPr>
                <w:rFonts w:ascii="Times New Roman" w:hAnsi="Times New Roman" w:cs="Times New Roman"/>
              </w:rPr>
            </w:pPr>
            <w:r w:rsidRPr="004B539A">
              <w:rPr>
                <w:rFonts w:ascii="Times New Roman" w:hAnsi="Times New Roman" w:cs="Times New Roman"/>
              </w:rPr>
              <w:t>1/21/2011</w:t>
            </w:r>
          </w:p>
        </w:tc>
        <w:tc>
          <w:tcPr>
            <w:tcW w:w="2430" w:type="dxa"/>
          </w:tcPr>
          <w:p w:rsidR="00143646" w:rsidRPr="004B539A" w:rsidRDefault="005978A3">
            <w:pPr>
              <w:rPr>
                <w:rFonts w:ascii="Times New Roman" w:hAnsi="Times New Roman" w:cs="Times New Roman"/>
              </w:rPr>
            </w:pPr>
            <w:r w:rsidRPr="004B539A">
              <w:rPr>
                <w:rFonts w:ascii="Times New Roman" w:hAnsi="Times New Roman" w:cs="Times New Roman"/>
              </w:rPr>
              <w:t>National Survey of Early Care and Education</w:t>
            </w:r>
          </w:p>
        </w:tc>
        <w:tc>
          <w:tcPr>
            <w:tcW w:w="2250" w:type="dxa"/>
          </w:tcPr>
          <w:p w:rsidR="00143646" w:rsidRPr="004B539A" w:rsidRDefault="005978A3">
            <w:pPr>
              <w:rPr>
                <w:rFonts w:ascii="Times New Roman" w:hAnsi="Times New Roman" w:cs="Times New Roman"/>
              </w:rPr>
            </w:pPr>
            <w:r w:rsidRPr="004B539A">
              <w:rPr>
                <w:rFonts w:ascii="Times New Roman" w:hAnsi="Times New Roman" w:cs="Times New Roman"/>
              </w:rPr>
              <w:t>Pre-test Questionnaires</w:t>
            </w:r>
          </w:p>
        </w:tc>
        <w:tc>
          <w:tcPr>
            <w:tcW w:w="1681" w:type="dxa"/>
            <w:vAlign w:val="center"/>
          </w:tcPr>
          <w:p w:rsidR="00143646" w:rsidRPr="004B539A" w:rsidRDefault="005978A3" w:rsidP="008E4B06">
            <w:pPr>
              <w:jc w:val="center"/>
              <w:rPr>
                <w:rFonts w:ascii="Times New Roman" w:hAnsi="Times New Roman" w:cs="Times New Roman"/>
              </w:rPr>
            </w:pPr>
            <w:r w:rsidRPr="004B539A">
              <w:rPr>
                <w:rFonts w:ascii="Times New Roman" w:hAnsi="Times New Roman" w:cs="Times New Roman"/>
              </w:rPr>
              <w:t>3,330</w:t>
            </w:r>
          </w:p>
        </w:tc>
        <w:tc>
          <w:tcPr>
            <w:tcW w:w="1937" w:type="dxa"/>
            <w:vAlign w:val="center"/>
          </w:tcPr>
          <w:p w:rsidR="00143646" w:rsidRPr="004B539A" w:rsidRDefault="005978A3" w:rsidP="008E4B06">
            <w:pPr>
              <w:jc w:val="center"/>
              <w:rPr>
                <w:rFonts w:ascii="Times New Roman" w:hAnsi="Times New Roman" w:cs="Times New Roman"/>
              </w:rPr>
            </w:pPr>
            <w:r w:rsidRPr="004B539A">
              <w:rPr>
                <w:rFonts w:ascii="Times New Roman" w:hAnsi="Times New Roman" w:cs="Times New Roman"/>
              </w:rPr>
              <w:t>891</w:t>
            </w:r>
          </w:p>
        </w:tc>
      </w:tr>
      <w:tr w:rsidR="008E4B06" w:rsidRPr="004B539A" w:rsidTr="008E4B06">
        <w:tc>
          <w:tcPr>
            <w:tcW w:w="1278" w:type="dxa"/>
          </w:tcPr>
          <w:p w:rsidR="008E4B06" w:rsidRPr="004B539A" w:rsidRDefault="008E4B06">
            <w:pPr>
              <w:rPr>
                <w:rFonts w:ascii="Times New Roman" w:hAnsi="Times New Roman" w:cs="Times New Roman"/>
              </w:rPr>
            </w:pPr>
            <w:r w:rsidRPr="004B539A">
              <w:rPr>
                <w:rFonts w:ascii="Times New Roman" w:hAnsi="Times New Roman" w:cs="Times New Roman"/>
              </w:rPr>
              <w:t>10/3/2011</w:t>
            </w:r>
          </w:p>
        </w:tc>
        <w:tc>
          <w:tcPr>
            <w:tcW w:w="2430" w:type="dxa"/>
          </w:tcPr>
          <w:p w:rsidR="008E4B06" w:rsidRPr="004B539A" w:rsidRDefault="008E4B06">
            <w:pPr>
              <w:rPr>
                <w:rFonts w:ascii="Times New Roman" w:hAnsi="Times New Roman" w:cs="Times New Roman"/>
              </w:rPr>
            </w:pPr>
            <w:r w:rsidRPr="004B539A">
              <w:rPr>
                <w:rFonts w:ascii="Times New Roman" w:hAnsi="Times New Roman" w:cs="Times New Roman"/>
              </w:rPr>
              <w:t>Permanency Innovations Initiative</w:t>
            </w:r>
          </w:p>
        </w:tc>
        <w:tc>
          <w:tcPr>
            <w:tcW w:w="2250" w:type="dxa"/>
          </w:tcPr>
          <w:p w:rsidR="008E4B06" w:rsidRPr="004B539A" w:rsidRDefault="008E4B06">
            <w:pPr>
              <w:rPr>
                <w:rFonts w:ascii="Times New Roman" w:hAnsi="Times New Roman" w:cs="Times New Roman"/>
              </w:rPr>
            </w:pPr>
            <w:r w:rsidRPr="004B539A">
              <w:rPr>
                <w:rFonts w:ascii="Times New Roman" w:hAnsi="Times New Roman" w:cs="Times New Roman"/>
              </w:rPr>
              <w:t>Pre-test Family Assessment Battery</w:t>
            </w:r>
          </w:p>
        </w:tc>
        <w:tc>
          <w:tcPr>
            <w:tcW w:w="1681" w:type="dxa"/>
            <w:vAlign w:val="center"/>
          </w:tcPr>
          <w:p w:rsidR="008E4B06" w:rsidRPr="004B539A" w:rsidRDefault="008E4B06" w:rsidP="008E4B06">
            <w:pPr>
              <w:jc w:val="center"/>
              <w:rPr>
                <w:rFonts w:ascii="Times New Roman" w:hAnsi="Times New Roman" w:cs="Times New Roman"/>
              </w:rPr>
            </w:pPr>
            <w:r w:rsidRPr="004B539A">
              <w:rPr>
                <w:rFonts w:ascii="Times New Roman" w:hAnsi="Times New Roman" w:cs="Times New Roman"/>
              </w:rPr>
              <w:t>120</w:t>
            </w:r>
          </w:p>
        </w:tc>
        <w:tc>
          <w:tcPr>
            <w:tcW w:w="1937" w:type="dxa"/>
            <w:vAlign w:val="center"/>
          </w:tcPr>
          <w:p w:rsidR="008E4B06" w:rsidRPr="004B539A" w:rsidRDefault="008E4B06" w:rsidP="008E4B06">
            <w:pPr>
              <w:jc w:val="center"/>
              <w:rPr>
                <w:rFonts w:ascii="Times New Roman" w:hAnsi="Times New Roman" w:cs="Times New Roman"/>
              </w:rPr>
            </w:pPr>
            <w:r w:rsidRPr="004B539A">
              <w:rPr>
                <w:rFonts w:ascii="Times New Roman" w:hAnsi="Times New Roman" w:cs="Times New Roman"/>
              </w:rPr>
              <w:t>270</w:t>
            </w:r>
          </w:p>
        </w:tc>
      </w:tr>
      <w:tr w:rsidR="008E4B06" w:rsidRPr="004B539A" w:rsidTr="008E4B06">
        <w:tc>
          <w:tcPr>
            <w:tcW w:w="5958" w:type="dxa"/>
            <w:gridSpan w:val="3"/>
            <w:vAlign w:val="center"/>
          </w:tcPr>
          <w:p w:rsidR="008E4B06" w:rsidRPr="004B539A" w:rsidRDefault="008E4B06" w:rsidP="008E4B06">
            <w:pPr>
              <w:jc w:val="right"/>
              <w:rPr>
                <w:rFonts w:ascii="Times New Roman" w:hAnsi="Times New Roman" w:cs="Times New Roman"/>
                <w:b/>
              </w:rPr>
            </w:pPr>
            <w:r w:rsidRPr="004B539A">
              <w:rPr>
                <w:rFonts w:ascii="Times New Roman" w:hAnsi="Times New Roman" w:cs="Times New Roman"/>
                <w:b/>
              </w:rPr>
              <w:t>Total Year 3</w:t>
            </w:r>
          </w:p>
        </w:tc>
        <w:tc>
          <w:tcPr>
            <w:tcW w:w="1681" w:type="dxa"/>
            <w:vAlign w:val="center"/>
          </w:tcPr>
          <w:p w:rsidR="008E4B06" w:rsidRPr="004B539A" w:rsidRDefault="008E4B06" w:rsidP="008E4B06">
            <w:pPr>
              <w:jc w:val="center"/>
              <w:rPr>
                <w:rFonts w:ascii="Times New Roman" w:hAnsi="Times New Roman" w:cs="Times New Roman"/>
                <w:b/>
              </w:rPr>
            </w:pPr>
            <w:r w:rsidRPr="004B539A">
              <w:rPr>
                <w:rFonts w:ascii="Times New Roman" w:hAnsi="Times New Roman" w:cs="Times New Roman"/>
                <w:b/>
              </w:rPr>
              <w:t>3,450</w:t>
            </w:r>
          </w:p>
        </w:tc>
        <w:tc>
          <w:tcPr>
            <w:tcW w:w="1937" w:type="dxa"/>
            <w:vAlign w:val="center"/>
          </w:tcPr>
          <w:p w:rsidR="008E4B06" w:rsidRPr="004B539A" w:rsidRDefault="008E4B06" w:rsidP="008E4B06">
            <w:pPr>
              <w:jc w:val="center"/>
              <w:rPr>
                <w:rFonts w:ascii="Times New Roman" w:hAnsi="Times New Roman" w:cs="Times New Roman"/>
                <w:b/>
              </w:rPr>
            </w:pPr>
            <w:r w:rsidRPr="004B539A">
              <w:rPr>
                <w:rFonts w:ascii="Times New Roman" w:hAnsi="Times New Roman" w:cs="Times New Roman"/>
                <w:b/>
              </w:rPr>
              <w:t>1,161</w:t>
            </w:r>
          </w:p>
        </w:tc>
      </w:tr>
      <w:tr w:rsidR="008E4B06" w:rsidRPr="004B539A" w:rsidTr="008E4B06">
        <w:tc>
          <w:tcPr>
            <w:tcW w:w="5958" w:type="dxa"/>
            <w:gridSpan w:val="3"/>
            <w:vAlign w:val="center"/>
          </w:tcPr>
          <w:p w:rsidR="008E4B06" w:rsidRPr="004B539A" w:rsidRDefault="008E4B06" w:rsidP="008E4B06">
            <w:pPr>
              <w:jc w:val="right"/>
              <w:rPr>
                <w:rFonts w:ascii="Times New Roman" w:hAnsi="Times New Roman" w:cs="Times New Roman"/>
                <w:b/>
              </w:rPr>
            </w:pPr>
            <w:r w:rsidRPr="004B539A">
              <w:rPr>
                <w:rFonts w:ascii="Times New Roman" w:hAnsi="Times New Roman" w:cs="Times New Roman"/>
                <w:b/>
              </w:rPr>
              <w:t>Total over 3 Years</w:t>
            </w:r>
          </w:p>
        </w:tc>
        <w:tc>
          <w:tcPr>
            <w:tcW w:w="1681" w:type="dxa"/>
            <w:vAlign w:val="center"/>
          </w:tcPr>
          <w:p w:rsidR="008E4B06" w:rsidRPr="004B539A" w:rsidRDefault="008E4B06" w:rsidP="008E4B06">
            <w:pPr>
              <w:jc w:val="center"/>
              <w:rPr>
                <w:rFonts w:ascii="Times New Roman" w:hAnsi="Times New Roman" w:cs="Times New Roman"/>
                <w:b/>
              </w:rPr>
            </w:pPr>
            <w:r w:rsidRPr="004B539A">
              <w:rPr>
                <w:rFonts w:ascii="Times New Roman" w:hAnsi="Times New Roman" w:cs="Times New Roman"/>
                <w:b/>
              </w:rPr>
              <w:t>3,605</w:t>
            </w:r>
          </w:p>
        </w:tc>
        <w:tc>
          <w:tcPr>
            <w:tcW w:w="1937" w:type="dxa"/>
            <w:vAlign w:val="center"/>
          </w:tcPr>
          <w:p w:rsidR="008E4B06" w:rsidRPr="004B539A" w:rsidRDefault="008E4B06" w:rsidP="008E4B06">
            <w:pPr>
              <w:jc w:val="center"/>
              <w:rPr>
                <w:rFonts w:ascii="Times New Roman" w:hAnsi="Times New Roman" w:cs="Times New Roman"/>
                <w:b/>
              </w:rPr>
            </w:pPr>
            <w:r w:rsidRPr="004B539A">
              <w:rPr>
                <w:rFonts w:ascii="Times New Roman" w:hAnsi="Times New Roman" w:cs="Times New Roman"/>
                <w:b/>
              </w:rPr>
              <w:t>1</w:t>
            </w:r>
            <w:r w:rsidR="004C1685">
              <w:rPr>
                <w:rFonts w:ascii="Times New Roman" w:hAnsi="Times New Roman" w:cs="Times New Roman"/>
                <w:b/>
              </w:rPr>
              <w:t>,</w:t>
            </w:r>
            <w:r w:rsidRPr="004B539A">
              <w:rPr>
                <w:rFonts w:ascii="Times New Roman" w:hAnsi="Times New Roman" w:cs="Times New Roman"/>
                <w:b/>
              </w:rPr>
              <w:t>336</w:t>
            </w:r>
          </w:p>
        </w:tc>
      </w:tr>
    </w:tbl>
    <w:p w:rsidR="0092452D" w:rsidRPr="004B539A" w:rsidRDefault="0092452D">
      <w:pPr>
        <w:rPr>
          <w:rFonts w:ascii="Times New Roman" w:hAnsi="Times New Roman" w:cs="Times New Roman"/>
        </w:rPr>
      </w:pPr>
    </w:p>
    <w:p w:rsidR="00986E51" w:rsidRDefault="00986E51">
      <w:pPr>
        <w:rPr>
          <w:rFonts w:ascii="Times New Roman" w:hAnsi="Times New Roman" w:cs="Times New Roman"/>
        </w:rPr>
      </w:pPr>
    </w:p>
    <w:p w:rsidR="001A0DD1" w:rsidRDefault="001A0DD1">
      <w:pPr>
        <w:rPr>
          <w:rFonts w:ascii="Times New Roman" w:hAnsi="Times New Roman" w:cs="Times New Roman"/>
        </w:rPr>
      </w:pPr>
      <w:r w:rsidRPr="004B539A">
        <w:rPr>
          <w:rFonts w:ascii="Times New Roman" w:hAnsi="Times New Roman" w:cs="Times New Roman"/>
        </w:rPr>
        <w:t xml:space="preserve">The use of the pre-testing generic IC has </w:t>
      </w:r>
      <w:r w:rsidR="004035FC">
        <w:rPr>
          <w:rFonts w:ascii="Times New Roman" w:hAnsi="Times New Roman" w:cs="Times New Roman"/>
        </w:rPr>
        <w:t>been beneficial to the</w:t>
      </w:r>
      <w:r w:rsidRPr="004B539A">
        <w:rPr>
          <w:rFonts w:ascii="Times New Roman" w:hAnsi="Times New Roman" w:cs="Times New Roman"/>
        </w:rPr>
        <w:t xml:space="preserve"> development of instruments</w:t>
      </w:r>
      <w:r w:rsidR="004035FC">
        <w:rPr>
          <w:rFonts w:ascii="Times New Roman" w:hAnsi="Times New Roman" w:cs="Times New Roman"/>
        </w:rPr>
        <w:t xml:space="preserve"> for these research studies</w:t>
      </w:r>
      <w:r w:rsidRPr="004B539A">
        <w:rPr>
          <w:rFonts w:ascii="Times New Roman" w:hAnsi="Times New Roman" w:cs="Times New Roman"/>
        </w:rPr>
        <w:t xml:space="preserve">. The </w:t>
      </w:r>
      <w:r w:rsidR="007A6568" w:rsidRPr="004B539A">
        <w:rPr>
          <w:rFonts w:ascii="Times New Roman" w:hAnsi="Times New Roman" w:cs="Times New Roman"/>
        </w:rPr>
        <w:t xml:space="preserve">following highlights some </w:t>
      </w:r>
      <w:r w:rsidR="00986E51">
        <w:rPr>
          <w:rFonts w:ascii="Times New Roman" w:hAnsi="Times New Roman" w:cs="Times New Roman"/>
        </w:rPr>
        <w:t>of the</w:t>
      </w:r>
      <w:r w:rsidRPr="004B539A">
        <w:rPr>
          <w:rFonts w:ascii="Times New Roman" w:hAnsi="Times New Roman" w:cs="Times New Roman"/>
        </w:rPr>
        <w:t xml:space="preserve"> activities complete</w:t>
      </w:r>
      <w:r w:rsidR="004035FC">
        <w:rPr>
          <w:rFonts w:ascii="Times New Roman" w:hAnsi="Times New Roman" w:cs="Times New Roman"/>
        </w:rPr>
        <w:t>d under this generic clearance</w:t>
      </w:r>
      <w:r w:rsidR="00986E51">
        <w:rPr>
          <w:rFonts w:ascii="Times New Roman" w:hAnsi="Times New Roman" w:cs="Times New Roman"/>
        </w:rPr>
        <w:t xml:space="preserve">. </w:t>
      </w:r>
      <w:r w:rsidR="00986E51" w:rsidRPr="00E13B88">
        <w:rPr>
          <w:rFonts w:ascii="Times New Roman" w:hAnsi="Times New Roman" w:cs="Times New Roman"/>
        </w:rPr>
        <w:t xml:space="preserve">Under the terms of clearance for this generic IC, all of the methods and the data approved </w:t>
      </w:r>
      <w:r w:rsidR="00986E51">
        <w:rPr>
          <w:rFonts w:ascii="Times New Roman" w:hAnsi="Times New Roman" w:cs="Times New Roman"/>
        </w:rPr>
        <w:t xml:space="preserve">in the following ICs </w:t>
      </w:r>
      <w:r w:rsidR="00986E51" w:rsidRPr="00E13B88">
        <w:rPr>
          <w:rFonts w:ascii="Times New Roman" w:hAnsi="Times New Roman" w:cs="Times New Roman"/>
        </w:rPr>
        <w:t>were limited to informing OPRE and ACF’s internal decision-making, research planning, and contextualization of research findings</w:t>
      </w:r>
      <w:r w:rsidR="004C1685">
        <w:rPr>
          <w:rFonts w:ascii="Times New Roman" w:hAnsi="Times New Roman" w:cs="Times New Roman"/>
        </w:rPr>
        <w:t>.</w:t>
      </w:r>
      <w:r w:rsidR="00986E51" w:rsidRPr="00E13B88">
        <w:rPr>
          <w:rFonts w:ascii="Times New Roman" w:hAnsi="Times New Roman" w:cs="Times New Roman"/>
        </w:rPr>
        <w:t xml:space="preserve"> </w:t>
      </w:r>
      <w:r w:rsidR="004C1685">
        <w:rPr>
          <w:rFonts w:ascii="Times New Roman" w:hAnsi="Times New Roman" w:cs="Times New Roman"/>
        </w:rPr>
        <w:t>T</w:t>
      </w:r>
      <w:r w:rsidR="00986E51" w:rsidRPr="00E13B88">
        <w:rPr>
          <w:rFonts w:ascii="Times New Roman" w:hAnsi="Times New Roman" w:cs="Times New Roman"/>
        </w:rPr>
        <w:t>he information collected was used for internal purposes only and was not released to the public</w:t>
      </w:r>
      <w:r w:rsidR="00986E51">
        <w:rPr>
          <w:rFonts w:ascii="Times New Roman" w:hAnsi="Times New Roman" w:cs="Times New Roman"/>
        </w:rPr>
        <w:t>.</w:t>
      </w:r>
    </w:p>
    <w:p w:rsidR="00986E51" w:rsidRPr="004B539A" w:rsidRDefault="00986E51">
      <w:pPr>
        <w:rPr>
          <w:rFonts w:ascii="Times New Roman" w:hAnsi="Times New Roman" w:cs="Times New Roman"/>
        </w:rPr>
      </w:pPr>
    </w:p>
    <w:p w:rsidR="001A0DD1" w:rsidRPr="004B539A" w:rsidRDefault="001A0DD1">
      <w:pPr>
        <w:rPr>
          <w:rFonts w:ascii="Times New Roman" w:hAnsi="Times New Roman" w:cs="Times New Roman"/>
          <w:u w:val="single"/>
        </w:rPr>
      </w:pPr>
      <w:r w:rsidRPr="004B539A">
        <w:rPr>
          <w:rFonts w:ascii="Times New Roman" w:hAnsi="Times New Roman" w:cs="Times New Roman"/>
          <w:u w:val="single"/>
        </w:rPr>
        <w:t>FACES 2009</w:t>
      </w:r>
    </w:p>
    <w:p w:rsidR="00E3689D" w:rsidRPr="004B539A" w:rsidRDefault="00E3689D" w:rsidP="00E3689D">
      <w:pPr>
        <w:rPr>
          <w:rFonts w:ascii="Times New Roman" w:hAnsi="Times New Roman" w:cs="Times New Roman"/>
          <w:color w:val="1F497D"/>
          <w:u w:val="single"/>
        </w:rPr>
      </w:pPr>
      <w:r w:rsidRPr="004B539A">
        <w:rPr>
          <w:rFonts w:ascii="Times New Roman" w:hAnsi="Times New Roman" w:cs="Times New Roman"/>
        </w:rPr>
        <w:t>In March 2009</w:t>
      </w:r>
      <w:r w:rsidR="004035FC">
        <w:rPr>
          <w:rFonts w:ascii="Times New Roman" w:hAnsi="Times New Roman" w:cs="Times New Roman"/>
        </w:rPr>
        <w:t>,</w:t>
      </w:r>
      <w:r w:rsidRPr="004B539A">
        <w:rPr>
          <w:rFonts w:ascii="Times New Roman" w:hAnsi="Times New Roman" w:cs="Times New Roman"/>
        </w:rPr>
        <w:t xml:space="preserve"> ACF requested permission to conduct pretesting of the sampling and consent procedures and the direct child assessment for The Head Start Family and Child Experiences Survey 2009 Cohort (FACES 2009). ACF submitted a generic Information Collection Request (ICR) for the purpose of evaluating (1) new procedures for identifying children and for obtaining parental consent and (2) the administration of new direct child assessment measures in combination with the measures used in FACES 2006. </w:t>
      </w:r>
    </w:p>
    <w:p w:rsidR="004035FC" w:rsidRDefault="004035FC" w:rsidP="00E3689D">
      <w:pPr>
        <w:rPr>
          <w:rFonts w:ascii="Times New Roman" w:hAnsi="Times New Roman" w:cs="Times New Roman"/>
        </w:rPr>
      </w:pPr>
    </w:p>
    <w:p w:rsidR="00E3689D" w:rsidRPr="004B539A" w:rsidRDefault="00E3689D" w:rsidP="00E3689D">
      <w:pPr>
        <w:rPr>
          <w:rFonts w:ascii="Times New Roman" w:hAnsi="Times New Roman" w:cs="Times New Roman"/>
        </w:rPr>
      </w:pPr>
      <w:r w:rsidRPr="004B539A">
        <w:rPr>
          <w:rFonts w:ascii="Times New Roman" w:hAnsi="Times New Roman" w:cs="Times New Roman"/>
        </w:rPr>
        <w:t xml:space="preserve">The generic clearance allowed us to test a new approach to sampling children for FACES and obtaining parental consent through use of a Family Enrollment Specialist (FES). This strategy allowed us to </w:t>
      </w:r>
      <w:r w:rsidRPr="004B539A">
        <w:rPr>
          <w:rFonts w:ascii="Times New Roman" w:hAnsi="Times New Roman" w:cs="Times New Roman"/>
        </w:rPr>
        <w:lastRenderedPageBreak/>
        <w:t>complete the sampling/consent process sooner (before the start of formal data collection) and with less stress on Head Start programs. With respect to the direct child assessment, the generic clearance primarily allowed us to assess the feasibility of incorporating a new measure of expressive vocabulary to the assessment battery. This measure is a conceptually scored measure, so there was particular need to determine how it worked (including administration time) with Spanish/English bilingual children.</w:t>
      </w:r>
    </w:p>
    <w:p w:rsidR="001A0DD1" w:rsidRPr="004B539A" w:rsidRDefault="001A0DD1">
      <w:pPr>
        <w:rPr>
          <w:rFonts w:ascii="Times New Roman" w:hAnsi="Times New Roman" w:cs="Times New Roman"/>
          <w:u w:val="single"/>
        </w:rPr>
      </w:pPr>
    </w:p>
    <w:p w:rsidR="001A0DD1" w:rsidRPr="004B539A" w:rsidRDefault="001A0DD1">
      <w:pPr>
        <w:rPr>
          <w:rFonts w:ascii="Times New Roman" w:hAnsi="Times New Roman" w:cs="Times New Roman"/>
          <w:u w:val="single"/>
        </w:rPr>
      </w:pPr>
      <w:r w:rsidRPr="004B539A">
        <w:rPr>
          <w:rFonts w:ascii="Times New Roman" w:hAnsi="Times New Roman" w:cs="Times New Roman"/>
          <w:u w:val="single"/>
        </w:rPr>
        <w:t>National Survey of Early Care and Education (NSECE)</w:t>
      </w:r>
    </w:p>
    <w:p w:rsidR="004B539A" w:rsidRDefault="004035FC" w:rsidP="004B539A">
      <w:pPr>
        <w:rPr>
          <w:rFonts w:ascii="Times New Roman" w:hAnsi="Times New Roman" w:cs="Times New Roman"/>
        </w:rPr>
      </w:pPr>
      <w:r>
        <w:rPr>
          <w:rFonts w:ascii="Times New Roman" w:hAnsi="Times New Roman" w:cs="Times New Roman"/>
        </w:rPr>
        <w:t>In early 2011, ACF requested permission to use t</w:t>
      </w:r>
      <w:r w:rsidR="004B539A" w:rsidRPr="004B539A">
        <w:rPr>
          <w:rFonts w:ascii="Times New Roman" w:hAnsi="Times New Roman" w:cs="Times New Roman"/>
        </w:rPr>
        <w:t>he Generic Clearance for information collection for the field test activities of the National Survey of E</w:t>
      </w:r>
      <w:r w:rsidR="004C1685">
        <w:rPr>
          <w:rFonts w:ascii="Times New Roman" w:hAnsi="Times New Roman" w:cs="Times New Roman"/>
        </w:rPr>
        <w:t>arly Care and Education (NSECE)</w:t>
      </w:r>
      <w:r w:rsidR="004B539A" w:rsidRPr="004B539A">
        <w:rPr>
          <w:rFonts w:ascii="Times New Roman" w:hAnsi="Times New Roman" w:cs="Times New Roman"/>
        </w:rPr>
        <w:t>. The NSECE is the first national survey of early child care and education in America in twenty years</w:t>
      </w:r>
      <w:r>
        <w:rPr>
          <w:rFonts w:ascii="Times New Roman" w:hAnsi="Times New Roman" w:cs="Times New Roman"/>
        </w:rPr>
        <w:t>,</w:t>
      </w:r>
      <w:r w:rsidR="004B539A" w:rsidRPr="004B539A">
        <w:rPr>
          <w:rFonts w:ascii="Times New Roman" w:hAnsi="Times New Roman" w:cs="Times New Roman"/>
        </w:rPr>
        <w:t xml:space="preserve"> during which the use and funding of early</w:t>
      </w:r>
      <w:r>
        <w:rPr>
          <w:rFonts w:ascii="Times New Roman" w:hAnsi="Times New Roman" w:cs="Times New Roman"/>
        </w:rPr>
        <w:t xml:space="preserve"> care and education as well as before- and</w:t>
      </w:r>
      <w:r w:rsidR="004B539A" w:rsidRPr="004B539A">
        <w:rPr>
          <w:rFonts w:ascii="Times New Roman" w:hAnsi="Times New Roman" w:cs="Times New Roman"/>
        </w:rPr>
        <w:t xml:space="preserve"> after-school care has changed dramatically. Data from the NSECE will be able to provide a current picture of the supply and demand for child care and early education programs and fill a gap in our understanding of the factors influencing parents’ choice of care for their children.</w:t>
      </w:r>
    </w:p>
    <w:p w:rsidR="004035FC" w:rsidRPr="004B539A" w:rsidRDefault="004035FC" w:rsidP="004B539A">
      <w:pPr>
        <w:rPr>
          <w:rFonts w:ascii="Times New Roman" w:hAnsi="Times New Roman" w:cs="Times New Roman"/>
        </w:rPr>
      </w:pPr>
    </w:p>
    <w:p w:rsidR="004B539A" w:rsidRPr="004B539A" w:rsidRDefault="004B539A" w:rsidP="004B539A">
      <w:pPr>
        <w:rPr>
          <w:rFonts w:ascii="Times New Roman" w:hAnsi="Times New Roman" w:cs="Times New Roman"/>
        </w:rPr>
      </w:pPr>
      <w:r w:rsidRPr="004B539A">
        <w:rPr>
          <w:rFonts w:ascii="Times New Roman" w:hAnsi="Times New Roman" w:cs="Times New Roman"/>
        </w:rPr>
        <w:t xml:space="preserve">The field test was a multi-faceted test that mirrored the design of the primary NSECE study and was necessary to test data collection strategies, validate questionnaires and sampling procedures and review analysis plans to ensure these were most likely to function well in the main study. </w:t>
      </w:r>
      <w:r w:rsidRPr="004B539A">
        <w:rPr>
          <w:rFonts w:ascii="Times New Roman" w:eastAsia="Times New Roman" w:hAnsi="Times New Roman" w:cs="Times New Roman"/>
        </w:rPr>
        <w:t xml:space="preserve">The availability of the Generic Clearance </w:t>
      </w:r>
      <w:r w:rsidR="00591095">
        <w:rPr>
          <w:rFonts w:ascii="Times New Roman" w:eastAsia="Times New Roman" w:hAnsi="Times New Roman" w:cs="Times New Roman"/>
        </w:rPr>
        <w:t>allowed us to</w:t>
      </w:r>
      <w:r w:rsidRPr="004B539A">
        <w:rPr>
          <w:rFonts w:ascii="Times New Roman" w:eastAsia="Times New Roman" w:hAnsi="Times New Roman" w:cs="Times New Roman"/>
        </w:rPr>
        <w:t xml:space="preserve"> conduct a comprehensive field test in the context of a very tight timeline</w:t>
      </w:r>
      <w:r w:rsidR="00591095">
        <w:rPr>
          <w:rFonts w:ascii="Times New Roman" w:eastAsia="Times New Roman" w:hAnsi="Times New Roman" w:cs="Times New Roman"/>
        </w:rPr>
        <w:t>, allowing</w:t>
      </w:r>
      <w:r w:rsidRPr="004B539A">
        <w:rPr>
          <w:rFonts w:ascii="Times New Roman" w:eastAsia="Times New Roman" w:hAnsi="Times New Roman" w:cs="Times New Roman"/>
        </w:rPr>
        <w:t xml:space="preserve"> </w:t>
      </w:r>
      <w:r w:rsidR="00591095">
        <w:rPr>
          <w:rFonts w:ascii="Times New Roman" w:eastAsia="Times New Roman" w:hAnsi="Times New Roman" w:cs="Times New Roman"/>
        </w:rPr>
        <w:t xml:space="preserve">for </w:t>
      </w:r>
      <w:r w:rsidR="00591095" w:rsidRPr="004B539A">
        <w:rPr>
          <w:rFonts w:ascii="Times New Roman" w:eastAsia="Times New Roman" w:hAnsi="Times New Roman" w:cs="Times New Roman"/>
        </w:rPr>
        <w:t>implementa</w:t>
      </w:r>
      <w:r w:rsidR="00591095">
        <w:rPr>
          <w:rFonts w:ascii="Times New Roman" w:eastAsia="Times New Roman" w:hAnsi="Times New Roman" w:cs="Times New Roman"/>
        </w:rPr>
        <w:t>tion of</w:t>
      </w:r>
      <w:r w:rsidR="00591095" w:rsidRPr="004B539A">
        <w:rPr>
          <w:rFonts w:ascii="Times New Roman" w:eastAsia="Times New Roman" w:hAnsi="Times New Roman" w:cs="Times New Roman"/>
        </w:rPr>
        <w:t xml:space="preserve"> the main study </w:t>
      </w:r>
      <w:r w:rsidR="00591095">
        <w:rPr>
          <w:rFonts w:ascii="Times New Roman" w:eastAsia="Times New Roman" w:hAnsi="Times New Roman" w:cs="Times New Roman"/>
        </w:rPr>
        <w:t xml:space="preserve">to address </w:t>
      </w:r>
      <w:r w:rsidRPr="004B539A">
        <w:rPr>
          <w:rFonts w:ascii="Times New Roman" w:eastAsia="Times New Roman" w:hAnsi="Times New Roman" w:cs="Times New Roman"/>
        </w:rPr>
        <w:t xml:space="preserve">the urgent need </w:t>
      </w:r>
      <w:r w:rsidR="00591095">
        <w:rPr>
          <w:rFonts w:ascii="Times New Roman" w:eastAsia="Times New Roman" w:hAnsi="Times New Roman" w:cs="Times New Roman"/>
        </w:rPr>
        <w:t>for</w:t>
      </w:r>
      <w:r w:rsidRPr="004B539A">
        <w:rPr>
          <w:rFonts w:ascii="Times New Roman" w:eastAsia="Times New Roman" w:hAnsi="Times New Roman" w:cs="Times New Roman"/>
        </w:rPr>
        <w:t xml:space="preserve"> information to be gathered for policymakers at the national and state levels</w:t>
      </w:r>
      <w:r w:rsidR="00591095">
        <w:rPr>
          <w:rFonts w:ascii="Times New Roman" w:eastAsia="Times New Roman" w:hAnsi="Times New Roman" w:cs="Times New Roman"/>
        </w:rPr>
        <w:t>.</w:t>
      </w:r>
      <w:r w:rsidRPr="004B539A">
        <w:rPr>
          <w:rFonts w:ascii="Times New Roman" w:eastAsia="Times New Roman" w:hAnsi="Times New Roman" w:cs="Times New Roman"/>
        </w:rPr>
        <w:t xml:space="preserve"> Findings from the field test generated revisions in many aspects of the main study, including: survey questionnaire items, length of questionnaires, incentive amounts for respondents, target respondents in program, timing of data collection, and many other key decisions.</w:t>
      </w:r>
      <w:r w:rsidR="00591095" w:rsidRPr="00591095">
        <w:rPr>
          <w:rFonts w:ascii="Times New Roman" w:eastAsia="Times New Roman" w:hAnsi="Times New Roman" w:cs="Times New Roman"/>
        </w:rPr>
        <w:t xml:space="preserve"> </w:t>
      </w:r>
      <w:r w:rsidR="00591095">
        <w:rPr>
          <w:rFonts w:ascii="Times New Roman" w:eastAsia="Times New Roman" w:hAnsi="Times New Roman" w:cs="Times New Roman"/>
        </w:rPr>
        <w:t>The field test conducted under the Generic IC was</w:t>
      </w:r>
      <w:r w:rsidR="00591095" w:rsidRPr="004B539A">
        <w:rPr>
          <w:rFonts w:ascii="Times New Roman" w:eastAsia="Times New Roman" w:hAnsi="Times New Roman" w:cs="Times New Roman"/>
        </w:rPr>
        <w:t xml:space="preserve"> critical to </w:t>
      </w:r>
      <w:r w:rsidR="00591095">
        <w:rPr>
          <w:rFonts w:ascii="Times New Roman" w:eastAsia="Times New Roman" w:hAnsi="Times New Roman" w:cs="Times New Roman"/>
        </w:rPr>
        <w:t xml:space="preserve">getting the main study in the field on time, </w:t>
      </w:r>
      <w:r w:rsidR="00591095" w:rsidRPr="004B539A">
        <w:rPr>
          <w:rFonts w:ascii="Times New Roman" w:eastAsia="Times New Roman" w:hAnsi="Times New Roman" w:cs="Times New Roman"/>
        </w:rPr>
        <w:t>with the key information needed for successful implementation.</w:t>
      </w:r>
    </w:p>
    <w:p w:rsidR="001A0DD1" w:rsidRPr="004B539A" w:rsidRDefault="001A0DD1">
      <w:pPr>
        <w:rPr>
          <w:rFonts w:ascii="Times New Roman" w:hAnsi="Times New Roman" w:cs="Times New Roman"/>
          <w:u w:val="single"/>
        </w:rPr>
      </w:pPr>
    </w:p>
    <w:sectPr w:rsidR="001A0DD1" w:rsidRPr="004B539A"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B1043"/>
    <w:multiLevelType w:val="hybridMultilevel"/>
    <w:tmpl w:val="7B1C5C08"/>
    <w:lvl w:ilvl="0" w:tplc="585A0C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85C03"/>
    <w:rsid w:val="00016502"/>
    <w:rsid w:val="0009480D"/>
    <w:rsid w:val="000A2DB4"/>
    <w:rsid w:val="000F1509"/>
    <w:rsid w:val="00143646"/>
    <w:rsid w:val="00152121"/>
    <w:rsid w:val="00166223"/>
    <w:rsid w:val="001841B6"/>
    <w:rsid w:val="001A0DD1"/>
    <w:rsid w:val="001B5A73"/>
    <w:rsid w:val="001D17F9"/>
    <w:rsid w:val="00375D4F"/>
    <w:rsid w:val="003B6089"/>
    <w:rsid w:val="003C3A19"/>
    <w:rsid w:val="003E2797"/>
    <w:rsid w:val="003F1298"/>
    <w:rsid w:val="004035FC"/>
    <w:rsid w:val="00414135"/>
    <w:rsid w:val="00422FED"/>
    <w:rsid w:val="00447D9E"/>
    <w:rsid w:val="00485C03"/>
    <w:rsid w:val="004B539A"/>
    <w:rsid w:val="004C1428"/>
    <w:rsid w:val="004C1685"/>
    <w:rsid w:val="004D2F34"/>
    <w:rsid w:val="00517837"/>
    <w:rsid w:val="005902A9"/>
    <w:rsid w:val="00591095"/>
    <w:rsid w:val="005978A3"/>
    <w:rsid w:val="005D057C"/>
    <w:rsid w:val="005E091F"/>
    <w:rsid w:val="006659E4"/>
    <w:rsid w:val="006706A1"/>
    <w:rsid w:val="006B1D77"/>
    <w:rsid w:val="007673AC"/>
    <w:rsid w:val="007A2024"/>
    <w:rsid w:val="007A6568"/>
    <w:rsid w:val="0082632B"/>
    <w:rsid w:val="00830815"/>
    <w:rsid w:val="00882B62"/>
    <w:rsid w:val="00893E6B"/>
    <w:rsid w:val="008D2FE2"/>
    <w:rsid w:val="008E21E2"/>
    <w:rsid w:val="008E2315"/>
    <w:rsid w:val="008E4B06"/>
    <w:rsid w:val="0092452D"/>
    <w:rsid w:val="00954CFC"/>
    <w:rsid w:val="0095558F"/>
    <w:rsid w:val="00986E51"/>
    <w:rsid w:val="009974C8"/>
    <w:rsid w:val="009D43E4"/>
    <w:rsid w:val="00A430D8"/>
    <w:rsid w:val="00A513B8"/>
    <w:rsid w:val="00A61C78"/>
    <w:rsid w:val="00A7227A"/>
    <w:rsid w:val="00A976E4"/>
    <w:rsid w:val="00AA1F98"/>
    <w:rsid w:val="00AB0E71"/>
    <w:rsid w:val="00AB3782"/>
    <w:rsid w:val="00AD74E0"/>
    <w:rsid w:val="00B243E1"/>
    <w:rsid w:val="00B85298"/>
    <w:rsid w:val="00BB25F1"/>
    <w:rsid w:val="00C21A50"/>
    <w:rsid w:val="00C30F86"/>
    <w:rsid w:val="00C40F2F"/>
    <w:rsid w:val="00C42577"/>
    <w:rsid w:val="00C95C19"/>
    <w:rsid w:val="00D51095"/>
    <w:rsid w:val="00DA41F7"/>
    <w:rsid w:val="00DC7814"/>
    <w:rsid w:val="00E3689D"/>
    <w:rsid w:val="00E73310"/>
    <w:rsid w:val="00E73602"/>
    <w:rsid w:val="00E974BF"/>
    <w:rsid w:val="00ED46FE"/>
    <w:rsid w:val="00F55524"/>
    <w:rsid w:val="00FB2CBE"/>
    <w:rsid w:val="00FC209D"/>
    <w:rsid w:val="00FD075F"/>
    <w:rsid w:val="00FD0D8B"/>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7212774">
      <w:bodyDiv w:val="1"/>
      <w:marLeft w:val="0"/>
      <w:marRight w:val="0"/>
      <w:marTop w:val="0"/>
      <w:marBottom w:val="0"/>
      <w:divBdr>
        <w:top w:val="none" w:sz="0" w:space="0" w:color="auto"/>
        <w:left w:val="none" w:sz="0" w:space="0" w:color="auto"/>
        <w:bottom w:val="none" w:sz="0" w:space="0" w:color="auto"/>
        <w:right w:val="none" w:sz="0" w:space="0" w:color="auto"/>
      </w:divBdr>
    </w:div>
    <w:div w:id="1129208533">
      <w:bodyDiv w:val="1"/>
      <w:marLeft w:val="0"/>
      <w:marRight w:val="0"/>
      <w:marTop w:val="0"/>
      <w:marBottom w:val="0"/>
      <w:divBdr>
        <w:top w:val="none" w:sz="0" w:space="0" w:color="auto"/>
        <w:left w:val="none" w:sz="0" w:space="0" w:color="auto"/>
        <w:bottom w:val="none" w:sz="0" w:space="0" w:color="auto"/>
        <w:right w:val="none" w:sz="0" w:space="0" w:color="auto"/>
      </w:divBdr>
    </w:div>
    <w:div w:id="1460145687">
      <w:bodyDiv w:val="1"/>
      <w:marLeft w:val="0"/>
      <w:marRight w:val="0"/>
      <w:marTop w:val="0"/>
      <w:marBottom w:val="0"/>
      <w:divBdr>
        <w:top w:val="none" w:sz="0" w:space="0" w:color="auto"/>
        <w:left w:val="none" w:sz="0" w:space="0" w:color="auto"/>
        <w:bottom w:val="none" w:sz="0" w:space="0" w:color="auto"/>
        <w:right w:val="none" w:sz="0" w:space="0" w:color="auto"/>
      </w:divBdr>
    </w:div>
    <w:div w:id="19497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41AF-98D3-441D-A703-3ED46388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bbarker</cp:lastModifiedBy>
  <cp:revision>2</cp:revision>
  <dcterms:created xsi:type="dcterms:W3CDTF">2012-01-26T19:36:00Z</dcterms:created>
  <dcterms:modified xsi:type="dcterms:W3CDTF">2012-01-26T19:36:00Z</dcterms:modified>
</cp:coreProperties>
</file>