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C27" w:rsidRPr="00F20B59" w:rsidRDefault="00B37C27" w:rsidP="00B37C27">
      <w:pPr>
        <w:jc w:val="center"/>
        <w:rPr>
          <w:color w:val="000000"/>
          <w:sz w:val="28"/>
          <w:szCs w:val="28"/>
        </w:rPr>
      </w:pPr>
      <w:bookmarkStart w:id="0" w:name="_GoBack"/>
      <w:bookmarkEnd w:id="0"/>
      <w:r w:rsidRPr="00F20B59">
        <w:rPr>
          <w:color w:val="000000"/>
          <w:sz w:val="28"/>
          <w:szCs w:val="28"/>
        </w:rPr>
        <w:t>Supporting Statement B for Request for Clearance:</w:t>
      </w:r>
    </w:p>
    <w:p w:rsidR="00B37C27" w:rsidRPr="00F20B59" w:rsidRDefault="00B37C27" w:rsidP="00B37C27">
      <w:pPr>
        <w:jc w:val="center"/>
        <w:rPr>
          <w:color w:val="000000"/>
          <w:sz w:val="28"/>
          <w:szCs w:val="28"/>
        </w:rPr>
      </w:pPr>
    </w:p>
    <w:p w:rsidR="00B37C27" w:rsidRPr="00F20B59" w:rsidRDefault="00B37C27" w:rsidP="00B37C27">
      <w:pPr>
        <w:jc w:val="center"/>
        <w:rPr>
          <w:bCs/>
          <w:color w:val="000000"/>
          <w:sz w:val="28"/>
          <w:szCs w:val="28"/>
        </w:rPr>
      </w:pPr>
      <w:r w:rsidRPr="00F20B59">
        <w:rPr>
          <w:bCs/>
          <w:color w:val="000000"/>
          <w:sz w:val="28"/>
          <w:szCs w:val="28"/>
        </w:rPr>
        <w:t>NATIONAL HOSPITAL AMBULATORY MEDICAL CARE SURVEY</w:t>
      </w:r>
    </w:p>
    <w:p w:rsidR="00B37C27" w:rsidRPr="00F20B59" w:rsidRDefault="00B37C27" w:rsidP="00B37C27">
      <w:pPr>
        <w:jc w:val="center"/>
        <w:rPr>
          <w:color w:val="000000"/>
          <w:sz w:val="28"/>
          <w:szCs w:val="28"/>
        </w:rPr>
      </w:pPr>
    </w:p>
    <w:p w:rsidR="00B37C27" w:rsidRPr="00F20B59" w:rsidRDefault="00B37C27" w:rsidP="00B37C27">
      <w:pPr>
        <w:jc w:val="center"/>
        <w:rPr>
          <w:color w:val="000000"/>
          <w:sz w:val="28"/>
          <w:szCs w:val="28"/>
        </w:rPr>
      </w:pPr>
    </w:p>
    <w:p w:rsidR="00B37C27" w:rsidRPr="00F20B59" w:rsidRDefault="00B37C27" w:rsidP="00B37C27">
      <w:pPr>
        <w:jc w:val="center"/>
        <w:rPr>
          <w:color w:val="000000"/>
          <w:sz w:val="28"/>
          <w:szCs w:val="28"/>
        </w:rPr>
      </w:pPr>
      <w:r w:rsidRPr="00F20B59">
        <w:rPr>
          <w:color w:val="000000"/>
          <w:sz w:val="28"/>
          <w:szCs w:val="28"/>
        </w:rPr>
        <w:t>OMB No. 0920-0278</w:t>
      </w:r>
    </w:p>
    <w:p w:rsidR="00E346F1" w:rsidRPr="00F20B59" w:rsidRDefault="00E346F1" w:rsidP="00E346F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F20B59">
        <w:rPr>
          <w:rFonts w:ascii="Times New Roman" w:hAnsi="Times New Roman"/>
          <w:color w:val="000000"/>
          <w:sz w:val="28"/>
          <w:szCs w:val="28"/>
        </w:rPr>
        <w:t>(Expires 08/31/2012)</w:t>
      </w:r>
    </w:p>
    <w:p w:rsidR="00B37C27" w:rsidRPr="00F20B59" w:rsidRDefault="00B37C27" w:rsidP="00B37C27">
      <w:pPr>
        <w:jc w:val="center"/>
        <w:rPr>
          <w:color w:val="000000"/>
          <w:sz w:val="28"/>
          <w:szCs w:val="28"/>
        </w:rPr>
      </w:pPr>
    </w:p>
    <w:p w:rsidR="00B37C27" w:rsidRPr="00F20B59" w:rsidRDefault="00B37C27" w:rsidP="00B37C27">
      <w:pPr>
        <w:jc w:val="center"/>
        <w:rPr>
          <w:color w:val="000000"/>
          <w:sz w:val="28"/>
          <w:szCs w:val="28"/>
        </w:rPr>
      </w:pPr>
      <w:r w:rsidRPr="00F20B59">
        <w:rPr>
          <w:color w:val="000000"/>
          <w:sz w:val="28"/>
          <w:szCs w:val="28"/>
        </w:rPr>
        <w:t>Contact Information:</w:t>
      </w:r>
    </w:p>
    <w:p w:rsidR="00B37C27" w:rsidRPr="00F20B59" w:rsidRDefault="00B37C27" w:rsidP="00B37C27">
      <w:pPr>
        <w:jc w:val="center"/>
        <w:rPr>
          <w:color w:val="000000"/>
          <w:sz w:val="28"/>
          <w:szCs w:val="28"/>
        </w:rPr>
      </w:pPr>
    </w:p>
    <w:p w:rsidR="00566A55" w:rsidRPr="00F20B59" w:rsidRDefault="00566A55" w:rsidP="00566A55">
      <w:pPr>
        <w:jc w:val="center"/>
        <w:rPr>
          <w:color w:val="000000"/>
          <w:sz w:val="28"/>
          <w:szCs w:val="28"/>
        </w:rPr>
      </w:pPr>
      <w:r w:rsidRPr="00F20B59">
        <w:rPr>
          <w:color w:val="000000"/>
          <w:sz w:val="28"/>
          <w:szCs w:val="28"/>
        </w:rPr>
        <w:t xml:space="preserve">David A. Woodwell, M.P.H. </w:t>
      </w:r>
    </w:p>
    <w:p w:rsidR="00B37C27" w:rsidRPr="00F20B59" w:rsidRDefault="00566A55" w:rsidP="00B37C27">
      <w:pPr>
        <w:jc w:val="center"/>
        <w:rPr>
          <w:color w:val="000000"/>
          <w:sz w:val="28"/>
          <w:szCs w:val="28"/>
        </w:rPr>
      </w:pPr>
      <w:r w:rsidRPr="00F20B59">
        <w:rPr>
          <w:color w:val="000000"/>
          <w:sz w:val="28"/>
          <w:szCs w:val="28"/>
        </w:rPr>
        <w:t>Lead Statistician</w:t>
      </w:r>
      <w:r w:rsidR="00B37C27" w:rsidRPr="00F20B59">
        <w:rPr>
          <w:color w:val="000000"/>
          <w:sz w:val="28"/>
          <w:szCs w:val="28"/>
        </w:rPr>
        <w:t>, Ambulatory and Hospital Care Statistics Branch</w:t>
      </w:r>
    </w:p>
    <w:p w:rsidR="00B37C27" w:rsidRPr="00F20B59" w:rsidRDefault="00B37C27" w:rsidP="00B37C27">
      <w:pPr>
        <w:jc w:val="center"/>
        <w:rPr>
          <w:color w:val="000000"/>
          <w:sz w:val="28"/>
          <w:szCs w:val="28"/>
        </w:rPr>
      </w:pPr>
      <w:r w:rsidRPr="00F20B59">
        <w:rPr>
          <w:color w:val="000000"/>
          <w:sz w:val="28"/>
          <w:szCs w:val="28"/>
        </w:rPr>
        <w:t>Division of Health Care Statistics</w:t>
      </w:r>
    </w:p>
    <w:p w:rsidR="00B37C27" w:rsidRPr="00F20B59" w:rsidRDefault="00B37C27" w:rsidP="00B37C27">
      <w:pPr>
        <w:jc w:val="center"/>
        <w:rPr>
          <w:color w:val="000000"/>
          <w:sz w:val="28"/>
          <w:szCs w:val="28"/>
        </w:rPr>
      </w:pPr>
      <w:r w:rsidRPr="00F20B59">
        <w:rPr>
          <w:color w:val="000000"/>
          <w:sz w:val="28"/>
          <w:szCs w:val="28"/>
        </w:rPr>
        <w:t>National Center for Health Statistics/CDC</w:t>
      </w:r>
    </w:p>
    <w:p w:rsidR="00B37C27" w:rsidRPr="00F20B59" w:rsidRDefault="00B37C27" w:rsidP="00B37C27">
      <w:pPr>
        <w:jc w:val="center"/>
        <w:rPr>
          <w:color w:val="000000"/>
          <w:sz w:val="28"/>
          <w:szCs w:val="28"/>
        </w:rPr>
      </w:pPr>
      <w:r w:rsidRPr="00F20B59">
        <w:rPr>
          <w:color w:val="000000"/>
          <w:sz w:val="28"/>
          <w:szCs w:val="28"/>
        </w:rPr>
        <w:t xml:space="preserve">3311 Toledo Road, Room </w:t>
      </w:r>
      <w:r w:rsidR="00566A55" w:rsidRPr="00F20B59">
        <w:rPr>
          <w:color w:val="000000"/>
          <w:sz w:val="28"/>
          <w:szCs w:val="28"/>
        </w:rPr>
        <w:t>3329</w:t>
      </w:r>
    </w:p>
    <w:p w:rsidR="00B37C27" w:rsidRPr="00F20B59" w:rsidRDefault="00B37C27" w:rsidP="00B37C27">
      <w:pPr>
        <w:jc w:val="center"/>
        <w:rPr>
          <w:color w:val="000000"/>
          <w:sz w:val="28"/>
          <w:szCs w:val="28"/>
        </w:rPr>
      </w:pPr>
      <w:r w:rsidRPr="00F20B59">
        <w:rPr>
          <w:color w:val="000000"/>
          <w:sz w:val="28"/>
          <w:szCs w:val="28"/>
        </w:rPr>
        <w:t>Hyattsville, MD 20782</w:t>
      </w:r>
    </w:p>
    <w:p w:rsidR="00B37C27" w:rsidRPr="00F20B59" w:rsidRDefault="00B37C27" w:rsidP="00B37C27">
      <w:pPr>
        <w:jc w:val="center"/>
        <w:rPr>
          <w:color w:val="000000"/>
          <w:sz w:val="28"/>
          <w:szCs w:val="28"/>
        </w:rPr>
      </w:pPr>
      <w:r w:rsidRPr="00F20B59">
        <w:rPr>
          <w:color w:val="000000"/>
          <w:sz w:val="28"/>
          <w:szCs w:val="28"/>
        </w:rPr>
        <w:t>301-458-</w:t>
      </w:r>
      <w:r w:rsidR="00566A55" w:rsidRPr="00F20B59">
        <w:rPr>
          <w:color w:val="000000"/>
          <w:sz w:val="28"/>
          <w:szCs w:val="28"/>
        </w:rPr>
        <w:t>4592</w:t>
      </w:r>
    </w:p>
    <w:p w:rsidR="00B37C27" w:rsidRPr="00F20B59" w:rsidRDefault="00B37C27" w:rsidP="00B37C27">
      <w:pPr>
        <w:jc w:val="center"/>
        <w:rPr>
          <w:color w:val="000000"/>
          <w:sz w:val="28"/>
          <w:szCs w:val="28"/>
        </w:rPr>
      </w:pPr>
      <w:r w:rsidRPr="00F20B59">
        <w:rPr>
          <w:color w:val="000000"/>
          <w:sz w:val="28"/>
          <w:szCs w:val="28"/>
        </w:rPr>
        <w:t>301-458-4693 (fax)</w:t>
      </w:r>
    </w:p>
    <w:p w:rsidR="00566A55" w:rsidRPr="00F20B59" w:rsidRDefault="0026734F" w:rsidP="00566A55">
      <w:pPr>
        <w:jc w:val="center"/>
        <w:rPr>
          <w:color w:val="000000"/>
          <w:sz w:val="28"/>
          <w:szCs w:val="28"/>
        </w:rPr>
      </w:pPr>
      <w:hyperlink r:id="rId8" w:history="1">
        <w:r w:rsidR="00566A55" w:rsidRPr="00F20B59">
          <w:rPr>
            <w:rStyle w:val="Hyperlink"/>
            <w:sz w:val="28"/>
            <w:szCs w:val="28"/>
          </w:rPr>
          <w:t>daw0@cdc.gov</w:t>
        </w:r>
      </w:hyperlink>
    </w:p>
    <w:p w:rsidR="00B37C27" w:rsidRPr="00F20B59" w:rsidRDefault="00B37C27" w:rsidP="00B37C27">
      <w:pPr>
        <w:jc w:val="center"/>
        <w:rPr>
          <w:color w:val="000000"/>
          <w:sz w:val="28"/>
          <w:szCs w:val="28"/>
        </w:rPr>
      </w:pPr>
    </w:p>
    <w:p w:rsidR="00B37C27" w:rsidRPr="00F20B59" w:rsidRDefault="00B37C27" w:rsidP="00B37C27">
      <w:pPr>
        <w:jc w:val="center"/>
        <w:rPr>
          <w:color w:val="000000"/>
          <w:sz w:val="28"/>
          <w:szCs w:val="28"/>
        </w:rPr>
      </w:pPr>
    </w:p>
    <w:p w:rsidR="00B37C27" w:rsidRPr="00F20B59" w:rsidRDefault="00C36263" w:rsidP="00B37C27">
      <w:pPr>
        <w:jc w:val="center"/>
        <w:rPr>
          <w:sz w:val="28"/>
          <w:szCs w:val="28"/>
        </w:rPr>
      </w:pPr>
      <w:r w:rsidRPr="00F20B59">
        <w:rPr>
          <w:sz w:val="28"/>
          <w:szCs w:val="28"/>
        </w:rPr>
        <w:t>September 1</w:t>
      </w:r>
      <w:r w:rsidR="00B37C27" w:rsidRPr="00F20B59">
        <w:rPr>
          <w:sz w:val="28"/>
          <w:szCs w:val="28"/>
        </w:rPr>
        <w:t>, 20</w:t>
      </w:r>
      <w:r w:rsidR="00566A55" w:rsidRPr="00F20B59">
        <w:rPr>
          <w:sz w:val="28"/>
          <w:szCs w:val="28"/>
        </w:rPr>
        <w:t>11</w:t>
      </w:r>
      <w:r w:rsidR="00B37C27" w:rsidRPr="00F20B59">
        <w:rPr>
          <w:sz w:val="28"/>
          <w:szCs w:val="28"/>
        </w:rPr>
        <w:t xml:space="preserve"> </w:t>
      </w:r>
    </w:p>
    <w:p w:rsidR="007E2E6E" w:rsidRPr="00F20B59" w:rsidRDefault="007E2E6E" w:rsidP="00794F8B">
      <w:pPr>
        <w:rPr>
          <w:sz w:val="28"/>
          <w:szCs w:val="28"/>
        </w:rPr>
      </w:pPr>
    </w:p>
    <w:p w:rsidR="00794F8B" w:rsidRPr="00F20B59" w:rsidRDefault="0026734F" w:rsidP="007E2E6E">
      <w:pPr>
        <w:jc w:val="center"/>
        <w:rPr>
          <w:b/>
          <w:bCs/>
          <w:color w:val="000000"/>
        </w:rPr>
      </w:pPr>
      <w:r w:rsidRPr="0026734F">
        <w:rPr>
          <w:noProof/>
          <w:sz w:val="28"/>
          <w:szCs w:val="28"/>
        </w:rPr>
        <w:pict>
          <v:rect id="Rectangle 3" o:spid="_x0000_s1026" style="position:absolute;left:0;text-align:left;margin-left:490.5pt;margin-top:312.6pt;width:21.75pt;height:1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8X3GQIAADsEAAAOAAAAZHJzL2Uyb0RvYy54bWysU8FuEzEQvSPxD5bvZJMlSdtVNlWVEoRU&#10;oKLwAY7Xm7WwPWbsZBO+nrE3DQFuFT5YHs/4+c2bmcXtwRq2Vxg0uJpPRmPOlJPQaLet+bev6zfX&#10;nIUoXCMMOFXzowr8dvn61aL3lSqhA9MoZATiQtX7mncx+qooguyUFWEEXjlytoBWRDJxWzQoekK3&#10;pijH43nRAzYeQaoQ6PZ+cPJlxm9bJePntg0qMlNz4hbzjnnfpL1YLkS1ReE7LU80xAtYWKEdfXqG&#10;uhdRsB3qf6CslggB2jiSYAtoWy1VzoGymYz/yuapE17lXEic4M8yhf8HKz/tH5HppuYlZ05YKtEX&#10;Ek24rVHsbZKn96GiqCf/iCnB4B9Afg/MwaqjKHWHCH2nREOkJim++ONBMgI9ZZv+IzSELnYRslKH&#10;Fm0CJA3YIRfkeC6IOkQm6bK8mpfljDNJrnJ6NZ/lghWien7sMcT3CixLh5ojUc/gYv8QYiIjqueQ&#10;TB6MbtbamGzgdrMyyPaCemOdV+ZPOV6GGcf6mt/MiMdLIayO1ORG25pfj9Ma2i6p9s41uQWj0GY4&#10;E2XjTjIm5YYKbKA5kooIQwfTxNGhA/zJWU/dW/PwYydQcWY+OKrEzWQ6Te2ejensqiQDLz2bS49w&#10;kqBqHjkbjqs4jMjOo9529NMk5+7gjqrX6qxsquzA6kSWOjQLfpqmNAKXdo76PfPLXwAAAP//AwBQ&#10;SwMEFAAGAAgAAAAhAC63sybgAAAADAEAAA8AAABkcnMvZG93bnJldi54bWxMj81OwzAQhO9IvIO1&#10;SNyoUyuNSohTQQniwqEUuG/tJYnwTxS7bcrT457KcXZGs99Uq8kadqAx9N5JmM8yYOSU171rJXx+&#10;vNwtgYWITqPxjiScKMCqvr6qsNT+6N7psI0tSyUulCihi3EoOQ+qI4th5gdyyfv2o8WY5NhyPeIx&#10;lVvDRZYV3GLv0ocOB1p3pH62eythg/i8+X1V6qk5veUNrb8a8kbK25vp8QFYpClewnDGT+hQJ6ad&#10;3zsdmJFwv5ynLVFCIRYC2DmRiXwBbJdORS6A1xX/P6L+AwAA//8DAFBLAQItABQABgAIAAAAIQC2&#10;gziS/gAAAOEBAAATAAAAAAAAAAAAAAAAAAAAAABbQ29udGVudF9UeXBlc10ueG1sUEsBAi0AFAAG&#10;AAgAAAAhADj9If/WAAAAlAEAAAsAAAAAAAAAAAAAAAAALwEAAF9yZWxzLy5yZWxzUEsBAi0AFAAG&#10;AAgAAAAhAI/vxfcZAgAAOwQAAA4AAAAAAAAAAAAAAAAALgIAAGRycy9lMm9Eb2MueG1sUEsBAi0A&#10;FAAGAAgAAAAhAC63sybgAAAADAEAAA8AAAAAAAAAAAAAAAAAcwQAAGRycy9kb3ducmV2LnhtbFBL&#10;BQYAAAAABAAEAPMAAACABQAAAAA=&#10;" strokecolor="white"/>
        </w:pict>
      </w:r>
      <w:r w:rsidRPr="0026734F">
        <w:rPr>
          <w:noProof/>
          <w:sz w:val="28"/>
          <w:szCs w:val="28"/>
        </w:rPr>
        <w:pict>
          <v:rect id="Rectangle 2" o:spid="_x0000_s1027" style="position:absolute;left:0;text-align:left;margin-left:407.25pt;margin-top:312.6pt;width:36pt;height:1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9HAIAADsEAAAOAAAAZHJzL2Uyb0RvYy54bWysU9uO0zAQfUfiHyy/07RVu5eo6WrVpQhp&#10;gRXLfoDrOImF7TFjt2n5esZOt3TZF4TIg+XJjI/PnDNe3OytYTuFQYOr+GQ05kw5CbV2bcWfvq3f&#10;XXEWonC1MOBUxQ8q8Jvl2zeL3pdqCh2YWiEjEBfK3le8i9GXRRFkp6wII/DKUbIBtCJSiG1Ro+gJ&#10;3ZpiOh5fFD1g7RGkCoH+3g1Jvsz4TaNk/NI0QUVmKk7cYl4xr5u0FsuFKFsUvtPySEP8AwsrtKNL&#10;T1B3Igq2Rf0KymqJEKCJIwm2gKbRUuUeqJvJ+I9uHjvhVe6FxAn+JFP4f7Dy8+4Bma7JO86csGTR&#10;VxJNuNYoNk3y9D6UVPXoHzA1GPw9yO+BOVh1VKVuEaHvlKiJ1CTVFy8OpCDQUbbpP0FN6GIbISu1&#10;b9AmQNKA7bMhh5Mhah+ZpJ+z+SWZzJmk1HR2eTHPhhWifD7sMcQPCixLm4ojUc/gYncfYiIjyueS&#10;TB6MrtfamBxgu1kZZDtBs7HOX+ZPPZ6XGcf6il/Pp/OM/CIX/g7C6khDbrSt+NU4fcPYJdXeuzqP&#10;YBTaDHuibNxRxqTc4MAG6gOpiDBMML042nSAPznraXorHn5sBSrOzEdHTlxPZrM07jnIKnKG55nN&#10;eUY4SVAVj5wN21UcnsjWo247ummSe3dwS+41OiubnB1YHcnShGbBj68pPYHzOFf9fvPLXwAAAP//&#10;AwBQSwMEFAAGAAgAAAAhAPMvwoXfAAAACwEAAA8AAABkcnMvZG93bnJldi54bWxMj8FOwzAMhu9I&#10;vENkJG4sXdVVVWk6wSjiwmEMuHuJaSuapGqyrePpMSd29O9Pvz9X69kO4khT6L1TsFwkIMhpb3rX&#10;Kvh4f74rQISIzuDgHSk4U4B1fX1VYWn8yb3RcRdbwSUulKigi3EspQy6I4th4UdyvPvyk8XI49RK&#10;M+GJy+0g0yTJpcXe8YUOR9p0pL93B6tgi/i0/XnR+rE5v2YNbT4b8oNStzfzwz2ISHP8h+FPn9Wh&#10;Zqe9PzgTxKCgWGYrRhXk6SoFwURR5JzsOcmzFGRdycsf6l8AAAD//wMAUEsBAi0AFAAGAAgAAAAh&#10;ALaDOJL+AAAA4QEAABMAAAAAAAAAAAAAAAAAAAAAAFtDb250ZW50X1R5cGVzXS54bWxQSwECLQAU&#10;AAYACAAAACEAOP0h/9YAAACUAQAACwAAAAAAAAAAAAAAAAAvAQAAX3JlbHMvLnJlbHNQSwECLQAU&#10;AAYACAAAACEABraf/RwCAAA7BAAADgAAAAAAAAAAAAAAAAAuAgAAZHJzL2Uyb0RvYy54bWxQSwEC&#10;LQAUAAYACAAAACEA8y/Chd8AAAALAQAADwAAAAAAAAAAAAAAAAB2BAAAZHJzL2Rvd25yZXYueG1s&#10;UEsFBgAAAAAEAAQA8wAAAIIFAAAAAA==&#10;" strokecolor="white"/>
        </w:pict>
      </w:r>
      <w:r w:rsidR="007E2E6E" w:rsidRPr="00F20B59">
        <w:rPr>
          <w:sz w:val="28"/>
          <w:szCs w:val="28"/>
        </w:rPr>
        <w:t>Revised November 28, 2011</w:t>
      </w:r>
      <w:r w:rsidR="00B37C27" w:rsidRPr="00F20B59">
        <w:rPr>
          <w:sz w:val="28"/>
          <w:szCs w:val="28"/>
        </w:rPr>
        <w:br w:type="page"/>
      </w:r>
      <w:r w:rsidR="00794F8B" w:rsidRPr="00F20B59">
        <w:rPr>
          <w:b/>
          <w:bCs/>
          <w:color w:val="000000"/>
        </w:rPr>
        <w:lastRenderedPageBreak/>
        <w:t>B.  Collections of Information Employing Statistical Methods</w:t>
      </w:r>
    </w:p>
    <w:p w:rsidR="00794F8B" w:rsidRPr="00F20B59" w:rsidRDefault="00794F8B" w:rsidP="00794F8B">
      <w:pPr>
        <w:rPr>
          <w:color w:val="000000"/>
          <w:sz w:val="16"/>
        </w:rPr>
      </w:pPr>
    </w:p>
    <w:p w:rsidR="00794F8B" w:rsidRPr="00F20B59" w:rsidRDefault="00794F8B" w:rsidP="00794F8B">
      <w:pPr>
        <w:rPr>
          <w:color w:val="000000"/>
        </w:rPr>
      </w:pPr>
      <w:r w:rsidRPr="00F20B59">
        <w:rPr>
          <w:color w:val="000000"/>
        </w:rPr>
        <w:t xml:space="preserve">The primary goal of </w:t>
      </w:r>
      <w:r w:rsidR="00DD3191" w:rsidRPr="00F20B59">
        <w:rPr>
          <w:color w:val="000000"/>
        </w:rPr>
        <w:t xml:space="preserve">the </w:t>
      </w:r>
      <w:r w:rsidR="00187062" w:rsidRPr="00F20B59">
        <w:rPr>
          <w:color w:val="000000"/>
        </w:rPr>
        <w:t>National Hospital Ambulatory Medical Care Survey (NHAMCS)</w:t>
      </w:r>
      <w:r w:rsidRPr="00F20B59">
        <w:rPr>
          <w:color w:val="000000"/>
        </w:rPr>
        <w:t xml:space="preserve"> is to </w:t>
      </w:r>
      <w:r w:rsidR="007F2450" w:rsidRPr="00F20B59">
        <w:rPr>
          <w:color w:val="000000"/>
        </w:rPr>
        <w:t xml:space="preserve">collect data </w:t>
      </w:r>
      <w:r w:rsidRPr="00F20B59">
        <w:rPr>
          <w:color w:val="000000"/>
        </w:rPr>
        <w:t>o</w:t>
      </w:r>
      <w:r w:rsidR="007F2450" w:rsidRPr="00F20B59">
        <w:rPr>
          <w:color w:val="000000"/>
        </w:rPr>
        <w:t>n</w:t>
      </w:r>
      <w:r w:rsidRPr="00F20B59">
        <w:rPr>
          <w:color w:val="000000"/>
        </w:rPr>
        <w:t xml:space="preserve"> visits to </w:t>
      </w:r>
      <w:r w:rsidR="007F2450" w:rsidRPr="00F20B59">
        <w:rPr>
          <w:color w:val="000000"/>
        </w:rPr>
        <w:t>emergency departments (EDs),</w:t>
      </w:r>
      <w:r w:rsidR="002626AE" w:rsidRPr="00F20B59">
        <w:rPr>
          <w:color w:val="000000"/>
        </w:rPr>
        <w:t xml:space="preserve"> </w:t>
      </w:r>
      <w:r w:rsidR="007F2450" w:rsidRPr="00F20B59">
        <w:rPr>
          <w:color w:val="000000"/>
        </w:rPr>
        <w:t xml:space="preserve">outpatient departments (OPDs) and hospital-based </w:t>
      </w:r>
      <w:r w:rsidR="00566A55" w:rsidRPr="00F20B59">
        <w:rPr>
          <w:color w:val="000000"/>
        </w:rPr>
        <w:t xml:space="preserve">ambulatory surgery locations (ASLs) </w:t>
      </w:r>
      <w:r w:rsidR="007F2450" w:rsidRPr="00F20B59">
        <w:rPr>
          <w:color w:val="000000"/>
        </w:rPr>
        <w:t>and freestanding ambulatory surgery centers (</w:t>
      </w:r>
      <w:r w:rsidR="00566A55" w:rsidRPr="00F20B59">
        <w:rPr>
          <w:color w:val="000000"/>
        </w:rPr>
        <w:t>FS-</w:t>
      </w:r>
      <w:r w:rsidR="007F2450" w:rsidRPr="00F20B59">
        <w:rPr>
          <w:color w:val="000000"/>
        </w:rPr>
        <w:t>ASCs)</w:t>
      </w:r>
      <w:r w:rsidRPr="00F20B59">
        <w:rPr>
          <w:color w:val="000000"/>
        </w:rPr>
        <w:t xml:space="preserve">.  </w:t>
      </w:r>
      <w:r w:rsidR="00566A55" w:rsidRPr="00F20B59">
        <w:rPr>
          <w:color w:val="000000"/>
        </w:rPr>
        <w:t>According to the 2009 NHAMCS, the estimated number of U.S. hospital ED and OPD clinic visits were 136,072,</w:t>
      </w:r>
      <w:r w:rsidR="004E6031" w:rsidRPr="00F20B59">
        <w:rPr>
          <w:color w:val="000000"/>
        </w:rPr>
        <w:t>00</w:t>
      </w:r>
      <w:r w:rsidR="00566A55" w:rsidRPr="00F20B59">
        <w:rPr>
          <w:color w:val="000000"/>
        </w:rPr>
        <w:t>0 and 96,132,</w:t>
      </w:r>
      <w:r w:rsidR="004E6031" w:rsidRPr="00F20B59">
        <w:rPr>
          <w:color w:val="000000"/>
        </w:rPr>
        <w:t>000</w:t>
      </w:r>
      <w:r w:rsidR="00566A55" w:rsidRPr="00F20B59">
        <w:rPr>
          <w:color w:val="000000"/>
        </w:rPr>
        <w:t>, respectively.  In 2009, there were an estimated 14,06</w:t>
      </w:r>
      <w:r w:rsidR="004E6031" w:rsidRPr="00F20B59">
        <w:rPr>
          <w:color w:val="000000"/>
        </w:rPr>
        <w:t>5</w:t>
      </w:r>
      <w:r w:rsidR="00566A55" w:rsidRPr="00F20B59">
        <w:rPr>
          <w:color w:val="000000"/>
        </w:rPr>
        <w:t>,</w:t>
      </w:r>
      <w:r w:rsidR="004E6031" w:rsidRPr="00F20B59">
        <w:rPr>
          <w:color w:val="000000"/>
        </w:rPr>
        <w:t>000</w:t>
      </w:r>
      <w:r w:rsidR="00566A55" w:rsidRPr="00F20B59">
        <w:rPr>
          <w:color w:val="000000"/>
        </w:rPr>
        <w:t xml:space="preserve"> visits to hospital-based </w:t>
      </w:r>
      <w:r w:rsidR="00857B81" w:rsidRPr="00F20B59">
        <w:rPr>
          <w:color w:val="000000"/>
        </w:rPr>
        <w:t>ASLs</w:t>
      </w:r>
      <w:r w:rsidR="00566A55" w:rsidRPr="00F20B59">
        <w:rPr>
          <w:color w:val="000000"/>
        </w:rPr>
        <w:t xml:space="preserve">.  For hospitals, </w:t>
      </w:r>
      <w:r w:rsidR="00ED361C" w:rsidRPr="00F20B59">
        <w:rPr>
          <w:color w:val="000000"/>
        </w:rPr>
        <w:t xml:space="preserve">NHAMCS uses a four-stage probability design based on samples of geographic Primary Sampling Units (PSUs), hospitals within PSUs, OPD clinics within hospitals, and patient visits within OPD clinics, </w:t>
      </w:r>
      <w:r w:rsidR="007B0AA6" w:rsidRPr="00F20B59">
        <w:rPr>
          <w:color w:val="000000"/>
        </w:rPr>
        <w:t>ASLs</w:t>
      </w:r>
      <w:r w:rsidR="00ED361C" w:rsidRPr="00F20B59">
        <w:rPr>
          <w:color w:val="000000"/>
        </w:rPr>
        <w:t>, and ED</w:t>
      </w:r>
      <w:r w:rsidR="00524649" w:rsidRPr="00F20B59">
        <w:rPr>
          <w:color w:val="000000"/>
        </w:rPr>
        <w:t xml:space="preserve"> units</w:t>
      </w:r>
      <w:r w:rsidR="00ED361C" w:rsidRPr="00F20B59">
        <w:rPr>
          <w:color w:val="000000"/>
        </w:rPr>
        <w:t>.</w:t>
      </w:r>
      <w:r w:rsidR="00566A55" w:rsidRPr="00F20B59">
        <w:rPr>
          <w:color w:val="000000"/>
        </w:rPr>
        <w:t xml:space="preserve">  In FS-ASCs, NHAMCS uses a three-stage probability design based on PSUs, FS-ASC facilities within PSUs, and </w:t>
      </w:r>
      <w:r w:rsidR="00E125C4" w:rsidRPr="00F20B59">
        <w:rPr>
          <w:color w:val="000000"/>
        </w:rPr>
        <w:t>ASLs</w:t>
      </w:r>
      <w:r w:rsidR="00566A55" w:rsidRPr="00F20B59">
        <w:rPr>
          <w:color w:val="000000"/>
        </w:rPr>
        <w:t xml:space="preserve"> within FS-ASCs.</w:t>
      </w:r>
    </w:p>
    <w:p w:rsidR="00794F8B" w:rsidRPr="00F20B59" w:rsidRDefault="00794F8B" w:rsidP="00794F8B">
      <w:pPr>
        <w:rPr>
          <w:color w:val="000000"/>
          <w:sz w:val="18"/>
        </w:rPr>
      </w:pPr>
    </w:p>
    <w:p w:rsidR="00794F8B" w:rsidRPr="00F20B59" w:rsidRDefault="00794F8B" w:rsidP="00794F8B">
      <w:pPr>
        <w:rPr>
          <w:b/>
          <w:bCs/>
          <w:color w:val="000000"/>
        </w:rPr>
      </w:pPr>
      <w:r w:rsidRPr="00F20B59">
        <w:rPr>
          <w:b/>
          <w:bCs/>
          <w:color w:val="000000"/>
        </w:rPr>
        <w:t>1.  Respondent Universe and Sampling Methods</w:t>
      </w:r>
    </w:p>
    <w:p w:rsidR="007F3374" w:rsidRPr="00F20B59" w:rsidRDefault="007F3374" w:rsidP="00794F8B">
      <w:pPr>
        <w:rPr>
          <w:color w:val="000000"/>
          <w:sz w:val="18"/>
        </w:rPr>
      </w:pPr>
    </w:p>
    <w:p w:rsidR="0066115E" w:rsidRPr="00F20B59" w:rsidRDefault="007F3374" w:rsidP="0066115E">
      <w:pPr>
        <w:tabs>
          <w:tab w:val="left" w:pos="360"/>
          <w:tab w:val="right" w:pos="9360"/>
        </w:tabs>
        <w:ind w:left="360"/>
        <w:rPr>
          <w:color w:val="000000"/>
        </w:rPr>
      </w:pPr>
      <w:bookmarkStart w:id="1" w:name="OLE_LINK22"/>
      <w:bookmarkStart w:id="2" w:name="OLE_LINK23"/>
      <w:r w:rsidRPr="00F20B59">
        <w:rPr>
          <w:color w:val="000000"/>
        </w:rPr>
        <w:t xml:space="preserve">The NHAMCS universe and sampling design are outlined at </w:t>
      </w:r>
      <w:hyperlink r:id="rId9" w:anchor="nhamcs_procedures" w:history="1">
        <w:r w:rsidR="00F20B59" w:rsidRPr="009F1555">
          <w:rPr>
            <w:rStyle w:val="Hyperlink"/>
          </w:rPr>
          <w:t>http://www.cdc.gov/nchs/ahcd/ahcd_estimation_procedures.htm#nhamcs_procedures</w:t>
        </w:r>
      </w:hyperlink>
      <w:r w:rsidRPr="00F20B59">
        <w:rPr>
          <w:color w:val="000000"/>
        </w:rPr>
        <w:t xml:space="preserve">.  </w:t>
      </w:r>
      <w:r w:rsidR="00794F8B" w:rsidRPr="00F20B59">
        <w:rPr>
          <w:color w:val="000000"/>
        </w:rPr>
        <w:t xml:space="preserve">The universe for the NHAMCS consists of non-Federal hospitals in the 50 states and  District of Columbia which have six or more beds staffed for inpatient use </w:t>
      </w:r>
      <w:r w:rsidR="00ED361C" w:rsidRPr="00F20B59">
        <w:rPr>
          <w:color w:val="000000"/>
        </w:rPr>
        <w:t>which</w:t>
      </w:r>
      <w:r w:rsidR="00794F8B" w:rsidRPr="00F20B59">
        <w:rPr>
          <w:color w:val="000000"/>
        </w:rPr>
        <w:t xml:space="preserve"> are </w:t>
      </w:r>
      <w:r w:rsidR="00ED361C" w:rsidRPr="00F20B59">
        <w:rPr>
          <w:color w:val="000000"/>
        </w:rPr>
        <w:t xml:space="preserve">either </w:t>
      </w:r>
      <w:r w:rsidR="00794F8B" w:rsidRPr="00F20B59">
        <w:rPr>
          <w:color w:val="000000"/>
        </w:rPr>
        <w:t>general hospitals or have an average length of stay for all patients of less than 30 days</w:t>
      </w:r>
      <w:r w:rsidR="00386EB4" w:rsidRPr="00F20B59">
        <w:rPr>
          <w:color w:val="000000"/>
        </w:rPr>
        <w:t>,</w:t>
      </w:r>
      <w:r w:rsidR="00A259BD" w:rsidRPr="00F20B59">
        <w:rPr>
          <w:color w:val="000000"/>
        </w:rPr>
        <w:t xml:space="preserve"> but are not institutional hospitals</w:t>
      </w:r>
      <w:r w:rsidR="00794F8B" w:rsidRPr="00F20B59">
        <w:rPr>
          <w:color w:val="000000"/>
        </w:rPr>
        <w:t xml:space="preserve">.  Until 2003, the hospital sampling frame was constructed from the SMG Hospital Market Database.  Beginning with 2003, the sample frame sources are the annual “Verispan Healthcare Market Index" and Verispan’s "Second Quarter, Hospital Market Profiling Solution.”  The initial NHAMCS sample of hospitals was selected in 1991 from the 1991 SMG data file.  According to the 1991 SMG file, there were about 6,250 NHAMCS-eligible hospitals of which about 5,600 had EDs.  </w:t>
      </w:r>
      <w:r w:rsidR="00CC7E4B" w:rsidRPr="00F20B59">
        <w:rPr>
          <w:color w:val="000000"/>
        </w:rPr>
        <w:t xml:space="preserve">The hospital sample was updated for 2001, 2004, 2007 </w:t>
      </w:r>
      <w:r w:rsidR="00C20E98" w:rsidRPr="00F20B59">
        <w:rPr>
          <w:color w:val="000000"/>
        </w:rPr>
        <w:t xml:space="preserve">and 2010 </w:t>
      </w:r>
      <w:r w:rsidR="00CC7E4B" w:rsidRPr="00F20B59">
        <w:rPr>
          <w:color w:val="000000"/>
        </w:rPr>
        <w:t xml:space="preserve">by extending the sampling process to new hospitals as if they had been in the sampling frame for 1991, when the original NHAMCS hospital sample was selected. </w:t>
      </w:r>
      <w:r w:rsidR="00794F8B" w:rsidRPr="00F20B59">
        <w:rPr>
          <w:color w:val="000000"/>
        </w:rPr>
        <w:t xml:space="preserve">The </w:t>
      </w:r>
      <w:r w:rsidR="00A259BD" w:rsidRPr="00F20B59">
        <w:rPr>
          <w:color w:val="000000"/>
        </w:rPr>
        <w:t xml:space="preserve">hospital </w:t>
      </w:r>
      <w:r w:rsidR="00794F8B" w:rsidRPr="00F20B59">
        <w:rPr>
          <w:color w:val="000000"/>
        </w:rPr>
        <w:t>universe</w:t>
      </w:r>
      <w:r w:rsidR="009724A5" w:rsidRPr="00F20B59">
        <w:rPr>
          <w:color w:val="000000"/>
        </w:rPr>
        <w:t xml:space="preserve"> frame</w:t>
      </w:r>
      <w:r w:rsidR="00794F8B" w:rsidRPr="00F20B59">
        <w:rPr>
          <w:color w:val="000000"/>
        </w:rPr>
        <w:t xml:space="preserve"> and sample were </w:t>
      </w:r>
      <w:r w:rsidR="00CC7E4B" w:rsidRPr="00F20B59">
        <w:rPr>
          <w:color w:val="000000"/>
        </w:rPr>
        <w:t xml:space="preserve">most recently </w:t>
      </w:r>
      <w:r w:rsidR="00794F8B" w:rsidRPr="00F20B59">
        <w:rPr>
          <w:color w:val="000000"/>
        </w:rPr>
        <w:t>updated for the 200</w:t>
      </w:r>
      <w:r w:rsidR="00CC7E4B" w:rsidRPr="00F20B59">
        <w:rPr>
          <w:color w:val="000000"/>
        </w:rPr>
        <w:t>8</w:t>
      </w:r>
      <w:r w:rsidR="00794F8B" w:rsidRPr="00F20B59">
        <w:rPr>
          <w:color w:val="000000"/>
        </w:rPr>
        <w:t xml:space="preserve">-09 NHAMCS </w:t>
      </w:r>
      <w:r w:rsidR="00806E40" w:rsidRPr="00F20B59">
        <w:rPr>
          <w:color w:val="000000"/>
        </w:rPr>
        <w:t xml:space="preserve">(see Table 1) </w:t>
      </w:r>
      <w:r w:rsidR="00794F8B" w:rsidRPr="00F20B59">
        <w:rPr>
          <w:color w:val="000000"/>
        </w:rPr>
        <w:t xml:space="preserve">using hospital data from Verispan, L.L.C., specifically their “Healthcare Market Index, Updated May 15, 2006” and their “Hospital Market Profiling Solution, Second Quarter, 2006.”  These products were formerly known as the SMG Hospital Database.  Using the </w:t>
      </w:r>
      <w:r w:rsidR="00C20E98" w:rsidRPr="00F20B59">
        <w:rPr>
          <w:color w:val="000000"/>
        </w:rPr>
        <w:t xml:space="preserve">2009 </w:t>
      </w:r>
      <w:r w:rsidR="00794F8B" w:rsidRPr="00F20B59">
        <w:rPr>
          <w:color w:val="000000"/>
        </w:rPr>
        <w:t>data to update the sample allow</w:t>
      </w:r>
      <w:r w:rsidR="004A0796" w:rsidRPr="00F20B59">
        <w:rPr>
          <w:color w:val="000000"/>
        </w:rPr>
        <w:t>ed</w:t>
      </w:r>
      <w:r w:rsidR="00794F8B" w:rsidRPr="00F20B59">
        <w:rPr>
          <w:color w:val="000000"/>
        </w:rPr>
        <w:t xml:space="preserve"> for the inclusion of hospitals that had opened or changed their eligibility status since the previous sample was updated for</w:t>
      </w:r>
      <w:r w:rsidR="00806E40" w:rsidRPr="00F20B59">
        <w:rPr>
          <w:color w:val="000000"/>
        </w:rPr>
        <w:t xml:space="preserve"> </w:t>
      </w:r>
      <w:r w:rsidR="00C20E98" w:rsidRPr="00F20B59">
        <w:rPr>
          <w:color w:val="000000"/>
        </w:rPr>
        <w:t>2006</w:t>
      </w:r>
      <w:r w:rsidR="00794F8B" w:rsidRPr="00F20B59">
        <w:rPr>
          <w:color w:val="000000"/>
        </w:rPr>
        <w:t xml:space="preserve">. </w:t>
      </w:r>
      <w:r w:rsidR="00C6766C" w:rsidRPr="00F20B59">
        <w:rPr>
          <w:color w:val="000000"/>
        </w:rPr>
        <w:t xml:space="preserve"> </w:t>
      </w:r>
    </w:p>
    <w:bookmarkEnd w:id="1"/>
    <w:bookmarkEnd w:id="2"/>
    <w:p w:rsidR="00794F8B" w:rsidRPr="00F20B59" w:rsidRDefault="00794F8B" w:rsidP="00794F8B">
      <w:pPr>
        <w:rPr>
          <w:color w:val="000000"/>
          <w:sz w:val="10"/>
        </w:rPr>
      </w:pPr>
    </w:p>
    <w:p w:rsidR="00806E40" w:rsidRPr="00F20B59" w:rsidRDefault="00806E40" w:rsidP="00655C3A">
      <w:pPr>
        <w:ind w:left="360"/>
        <w:rPr>
          <w:caps/>
          <w:sz w:val="22"/>
          <w:u w:val="single"/>
        </w:rPr>
      </w:pPr>
      <w:r w:rsidRPr="00F20B59">
        <w:rPr>
          <w:sz w:val="22"/>
          <w:u w:val="single"/>
        </w:rPr>
        <w:t>Table 1: Hospitals in Core N</w:t>
      </w:r>
      <w:r w:rsidRPr="00F20B59">
        <w:rPr>
          <w:caps/>
          <w:sz w:val="22"/>
          <w:u w:val="single"/>
        </w:rPr>
        <w:t>HAMCS,</w:t>
      </w:r>
      <w:r w:rsidRPr="00F20B59">
        <w:rPr>
          <w:sz w:val="22"/>
          <w:u w:val="single"/>
        </w:rPr>
        <w:t xml:space="preserve"> by Region and ED/OPD Status</w:t>
      </w:r>
    </w:p>
    <w:tbl>
      <w:tblPr>
        <w:tblW w:w="7380" w:type="dxa"/>
        <w:tblInd w:w="288" w:type="dxa"/>
        <w:tblCellMar>
          <w:left w:w="0" w:type="dxa"/>
          <w:right w:w="0" w:type="dxa"/>
        </w:tblCellMar>
        <w:tblLook w:val="04A0"/>
      </w:tblPr>
      <w:tblGrid>
        <w:gridCol w:w="222"/>
        <w:gridCol w:w="1149"/>
        <w:gridCol w:w="1329"/>
        <w:gridCol w:w="900"/>
        <w:gridCol w:w="1080"/>
        <w:gridCol w:w="1980"/>
        <w:gridCol w:w="720"/>
      </w:tblGrid>
      <w:tr w:rsidR="00655C3A" w:rsidRPr="00F20B59" w:rsidTr="00F20B59">
        <w:trPr>
          <w:trHeight w:val="367"/>
        </w:trPr>
        <w:tc>
          <w:tcPr>
            <w:tcW w:w="222" w:type="dxa"/>
            <w:noWrap/>
            <w:tcMar>
              <w:top w:w="0" w:type="dxa"/>
              <w:left w:w="108" w:type="dxa"/>
              <w:bottom w:w="0" w:type="dxa"/>
              <w:right w:w="108" w:type="dxa"/>
            </w:tcMar>
            <w:vAlign w:val="bottom"/>
            <w:hideMark/>
          </w:tcPr>
          <w:p w:rsidR="00806E40" w:rsidRPr="00F20B59" w:rsidRDefault="00806E40" w:rsidP="00806E40">
            <w:pPr>
              <w:rPr>
                <w:sz w:val="18"/>
                <w:szCs w:val="20"/>
              </w:rPr>
            </w:pPr>
          </w:p>
        </w:tc>
        <w:tc>
          <w:tcPr>
            <w:tcW w:w="11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6E40" w:rsidRPr="00F20B59" w:rsidRDefault="00806E40" w:rsidP="00655C3A">
            <w:pPr>
              <w:jc w:val="center"/>
              <w:rPr>
                <w:rFonts w:eastAsiaTheme="minorHAnsi"/>
                <w:b/>
                <w:sz w:val="18"/>
                <w:szCs w:val="20"/>
              </w:rPr>
            </w:pPr>
            <w:r w:rsidRPr="00F20B59">
              <w:rPr>
                <w:b/>
                <w:sz w:val="18"/>
                <w:szCs w:val="20"/>
              </w:rPr>
              <w:t>Region</w:t>
            </w:r>
          </w:p>
        </w:tc>
        <w:tc>
          <w:tcPr>
            <w:tcW w:w="13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6E40" w:rsidRPr="00F20B59" w:rsidRDefault="00806E40" w:rsidP="00655C3A">
            <w:pPr>
              <w:jc w:val="center"/>
              <w:rPr>
                <w:rFonts w:eastAsiaTheme="minorHAnsi"/>
                <w:b/>
                <w:sz w:val="18"/>
                <w:szCs w:val="20"/>
              </w:rPr>
            </w:pPr>
            <w:r w:rsidRPr="00F20B59">
              <w:rPr>
                <w:b/>
                <w:sz w:val="18"/>
                <w:szCs w:val="20"/>
              </w:rPr>
              <w:t>ED and OPD</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6E40" w:rsidRPr="00F20B59" w:rsidRDefault="00806E40" w:rsidP="00655C3A">
            <w:pPr>
              <w:jc w:val="center"/>
              <w:rPr>
                <w:rFonts w:eastAsiaTheme="minorHAnsi"/>
                <w:b/>
                <w:sz w:val="18"/>
                <w:szCs w:val="20"/>
              </w:rPr>
            </w:pPr>
            <w:r w:rsidRPr="00F20B59">
              <w:rPr>
                <w:b/>
                <w:sz w:val="18"/>
                <w:szCs w:val="20"/>
              </w:rPr>
              <w:t>ED only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6E40" w:rsidRPr="00F20B59" w:rsidRDefault="00806E40" w:rsidP="00655C3A">
            <w:pPr>
              <w:jc w:val="center"/>
              <w:rPr>
                <w:rFonts w:eastAsiaTheme="minorHAnsi"/>
                <w:b/>
                <w:sz w:val="18"/>
                <w:szCs w:val="20"/>
              </w:rPr>
            </w:pPr>
            <w:r w:rsidRPr="00F20B59">
              <w:rPr>
                <w:b/>
                <w:sz w:val="18"/>
                <w:szCs w:val="20"/>
              </w:rPr>
              <w:t>OPD only</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6E40" w:rsidRPr="00F20B59" w:rsidRDefault="00806E40" w:rsidP="00655C3A">
            <w:pPr>
              <w:jc w:val="center"/>
              <w:rPr>
                <w:rFonts w:eastAsiaTheme="minorHAnsi"/>
                <w:b/>
                <w:sz w:val="18"/>
                <w:szCs w:val="20"/>
              </w:rPr>
            </w:pPr>
            <w:r w:rsidRPr="00F20B59">
              <w:rPr>
                <w:b/>
                <w:sz w:val="18"/>
                <w:szCs w:val="20"/>
              </w:rPr>
              <w:t>Neither ED nor OPD</w:t>
            </w:r>
          </w:p>
        </w:tc>
        <w:tc>
          <w:tcPr>
            <w:tcW w:w="720" w:type="dxa"/>
            <w:tcBorders>
              <w:top w:val="single" w:sz="8" w:space="0" w:color="auto"/>
              <w:left w:val="nil"/>
              <w:bottom w:val="single" w:sz="8" w:space="0" w:color="auto"/>
              <w:right w:val="single" w:sz="8" w:space="0" w:color="auto"/>
            </w:tcBorders>
            <w:vAlign w:val="center"/>
          </w:tcPr>
          <w:p w:rsidR="00806E40" w:rsidRPr="00F20B59" w:rsidRDefault="00806E40" w:rsidP="00655C3A">
            <w:pPr>
              <w:jc w:val="center"/>
              <w:rPr>
                <w:b/>
                <w:sz w:val="18"/>
                <w:szCs w:val="20"/>
              </w:rPr>
            </w:pPr>
            <w:r w:rsidRPr="00F20B59">
              <w:rPr>
                <w:b/>
                <w:sz w:val="18"/>
                <w:szCs w:val="20"/>
              </w:rPr>
              <w:t>Total</w:t>
            </w:r>
          </w:p>
        </w:tc>
      </w:tr>
      <w:tr w:rsidR="00133015" w:rsidRPr="00F20B59" w:rsidTr="00F20B59">
        <w:trPr>
          <w:trHeight w:val="270"/>
        </w:trPr>
        <w:tc>
          <w:tcPr>
            <w:tcW w:w="222" w:type="dxa"/>
            <w:noWrap/>
            <w:tcMar>
              <w:top w:w="0" w:type="dxa"/>
              <w:left w:w="108" w:type="dxa"/>
              <w:bottom w:w="0" w:type="dxa"/>
              <w:right w:w="108" w:type="dxa"/>
            </w:tcMar>
            <w:vAlign w:val="bottom"/>
            <w:hideMark/>
          </w:tcPr>
          <w:p w:rsidR="00133015" w:rsidRPr="00F20B59" w:rsidRDefault="00133015" w:rsidP="00806E40">
            <w:pPr>
              <w:rPr>
                <w:sz w:val="18"/>
                <w:szCs w:val="20"/>
              </w:rPr>
            </w:pPr>
          </w:p>
        </w:tc>
        <w:tc>
          <w:tcPr>
            <w:tcW w:w="1149" w:type="dxa"/>
            <w:tcBorders>
              <w:top w:val="nil"/>
              <w:left w:val="single" w:sz="8" w:space="0" w:color="auto"/>
              <w:right w:val="single" w:sz="8" w:space="0" w:color="auto"/>
            </w:tcBorders>
            <w:tcMar>
              <w:top w:w="0" w:type="dxa"/>
              <w:left w:w="108" w:type="dxa"/>
              <w:bottom w:w="0" w:type="dxa"/>
              <w:right w:w="108" w:type="dxa"/>
            </w:tcMar>
            <w:vAlign w:val="center"/>
            <w:hideMark/>
          </w:tcPr>
          <w:p w:rsidR="00133015" w:rsidRPr="00F20B59" w:rsidRDefault="00133015" w:rsidP="00806E40">
            <w:pPr>
              <w:rPr>
                <w:sz w:val="18"/>
                <w:szCs w:val="20"/>
              </w:rPr>
            </w:pPr>
            <w:r w:rsidRPr="00F20B59">
              <w:rPr>
                <w:sz w:val="18"/>
                <w:szCs w:val="20"/>
              </w:rPr>
              <w:t>Northeast</w:t>
            </w:r>
          </w:p>
          <w:p w:rsidR="00133015" w:rsidRPr="00F20B59" w:rsidRDefault="00133015" w:rsidP="00806E40">
            <w:pPr>
              <w:ind w:left="333"/>
              <w:rPr>
                <w:rFonts w:eastAsiaTheme="minorHAnsi"/>
                <w:sz w:val="18"/>
                <w:szCs w:val="20"/>
              </w:rPr>
            </w:pPr>
            <w:r w:rsidRPr="00F20B59">
              <w:rPr>
                <w:sz w:val="18"/>
                <w:szCs w:val="20"/>
              </w:rPr>
              <w:t>Frame</w:t>
            </w:r>
          </w:p>
        </w:tc>
        <w:tc>
          <w:tcPr>
            <w:tcW w:w="1329" w:type="dxa"/>
            <w:tcBorders>
              <w:top w:val="nil"/>
              <w:left w:val="nil"/>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545</w:t>
            </w:r>
          </w:p>
        </w:tc>
        <w:tc>
          <w:tcPr>
            <w:tcW w:w="900" w:type="dxa"/>
            <w:tcBorders>
              <w:top w:val="nil"/>
              <w:left w:val="nil"/>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116</w:t>
            </w:r>
          </w:p>
        </w:tc>
        <w:tc>
          <w:tcPr>
            <w:tcW w:w="1080" w:type="dxa"/>
            <w:tcBorders>
              <w:top w:val="nil"/>
              <w:left w:val="nil"/>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69</w:t>
            </w:r>
          </w:p>
        </w:tc>
        <w:tc>
          <w:tcPr>
            <w:tcW w:w="1980" w:type="dxa"/>
            <w:tcBorders>
              <w:top w:val="nil"/>
              <w:left w:val="nil"/>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117</w:t>
            </w:r>
          </w:p>
        </w:tc>
        <w:tc>
          <w:tcPr>
            <w:tcW w:w="720" w:type="dxa"/>
            <w:tcBorders>
              <w:top w:val="nil"/>
              <w:left w:val="nil"/>
              <w:right w:val="single" w:sz="8" w:space="0" w:color="auto"/>
            </w:tcBorders>
            <w:vAlign w:val="bottom"/>
          </w:tcPr>
          <w:p w:rsidR="00133015" w:rsidRPr="00F20B59" w:rsidRDefault="00133015" w:rsidP="00133015">
            <w:pPr>
              <w:jc w:val="center"/>
              <w:rPr>
                <w:sz w:val="18"/>
                <w:szCs w:val="20"/>
              </w:rPr>
            </w:pPr>
            <w:r w:rsidRPr="00F20B59">
              <w:rPr>
                <w:sz w:val="18"/>
                <w:szCs w:val="20"/>
              </w:rPr>
              <w:t>847</w:t>
            </w:r>
          </w:p>
        </w:tc>
      </w:tr>
      <w:tr w:rsidR="00133015" w:rsidRPr="00F20B59" w:rsidTr="00F20B59">
        <w:trPr>
          <w:trHeight w:val="270"/>
        </w:trPr>
        <w:tc>
          <w:tcPr>
            <w:tcW w:w="222" w:type="dxa"/>
            <w:noWrap/>
            <w:tcMar>
              <w:top w:w="0" w:type="dxa"/>
              <w:left w:w="108" w:type="dxa"/>
              <w:bottom w:w="0" w:type="dxa"/>
              <w:right w:w="108" w:type="dxa"/>
            </w:tcMar>
            <w:vAlign w:val="bottom"/>
          </w:tcPr>
          <w:p w:rsidR="00133015" w:rsidRPr="00F20B59" w:rsidRDefault="00133015" w:rsidP="00806E40">
            <w:pPr>
              <w:rPr>
                <w:sz w:val="18"/>
                <w:szCs w:val="20"/>
              </w:rPr>
            </w:pPr>
          </w:p>
        </w:tc>
        <w:tc>
          <w:tcPr>
            <w:tcW w:w="11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3015" w:rsidRPr="00F20B59" w:rsidRDefault="00133015" w:rsidP="00806E40">
            <w:pPr>
              <w:ind w:left="333"/>
              <w:rPr>
                <w:sz w:val="18"/>
                <w:szCs w:val="20"/>
              </w:rPr>
            </w:pPr>
            <w:r w:rsidRPr="00F20B59">
              <w:rPr>
                <w:sz w:val="18"/>
                <w:szCs w:val="20"/>
              </w:rPr>
              <w:t>Sample</w:t>
            </w:r>
          </w:p>
        </w:tc>
        <w:tc>
          <w:tcPr>
            <w:tcW w:w="132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74</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15</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4</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16</w:t>
            </w:r>
          </w:p>
        </w:tc>
        <w:tc>
          <w:tcPr>
            <w:tcW w:w="720" w:type="dxa"/>
            <w:tcBorders>
              <w:top w:val="nil"/>
              <w:left w:val="nil"/>
              <w:bottom w:val="single" w:sz="8" w:space="0" w:color="auto"/>
              <w:right w:val="single" w:sz="8" w:space="0" w:color="auto"/>
            </w:tcBorders>
            <w:vAlign w:val="bottom"/>
          </w:tcPr>
          <w:p w:rsidR="00133015" w:rsidRPr="00F20B59" w:rsidRDefault="00133015" w:rsidP="00133015">
            <w:pPr>
              <w:jc w:val="center"/>
              <w:rPr>
                <w:sz w:val="18"/>
                <w:szCs w:val="20"/>
              </w:rPr>
            </w:pPr>
            <w:r w:rsidRPr="00F20B59">
              <w:rPr>
                <w:sz w:val="18"/>
                <w:szCs w:val="20"/>
              </w:rPr>
              <w:t>109</w:t>
            </w:r>
          </w:p>
        </w:tc>
      </w:tr>
      <w:tr w:rsidR="00133015" w:rsidRPr="00F20B59" w:rsidTr="00F20B59">
        <w:trPr>
          <w:trHeight w:val="270"/>
        </w:trPr>
        <w:tc>
          <w:tcPr>
            <w:tcW w:w="222" w:type="dxa"/>
            <w:noWrap/>
            <w:tcMar>
              <w:top w:w="0" w:type="dxa"/>
              <w:left w:w="108" w:type="dxa"/>
              <w:bottom w:w="0" w:type="dxa"/>
              <w:right w:w="108" w:type="dxa"/>
            </w:tcMar>
            <w:vAlign w:val="bottom"/>
            <w:hideMark/>
          </w:tcPr>
          <w:p w:rsidR="00133015" w:rsidRPr="00F20B59" w:rsidRDefault="00133015" w:rsidP="00806E40">
            <w:pPr>
              <w:rPr>
                <w:sz w:val="18"/>
                <w:szCs w:val="20"/>
              </w:rPr>
            </w:pPr>
          </w:p>
        </w:tc>
        <w:tc>
          <w:tcPr>
            <w:tcW w:w="1149" w:type="dxa"/>
            <w:tcBorders>
              <w:top w:val="nil"/>
              <w:left w:val="single" w:sz="8" w:space="0" w:color="auto"/>
              <w:right w:val="single" w:sz="8" w:space="0" w:color="auto"/>
            </w:tcBorders>
            <w:tcMar>
              <w:top w:w="0" w:type="dxa"/>
              <w:left w:w="108" w:type="dxa"/>
              <w:bottom w:w="0" w:type="dxa"/>
              <w:right w:w="108" w:type="dxa"/>
            </w:tcMar>
            <w:vAlign w:val="center"/>
            <w:hideMark/>
          </w:tcPr>
          <w:p w:rsidR="00133015" w:rsidRPr="00F20B59" w:rsidRDefault="00133015" w:rsidP="00806E40">
            <w:pPr>
              <w:rPr>
                <w:sz w:val="18"/>
                <w:szCs w:val="20"/>
              </w:rPr>
            </w:pPr>
            <w:r w:rsidRPr="00F20B59">
              <w:rPr>
                <w:sz w:val="18"/>
                <w:szCs w:val="20"/>
              </w:rPr>
              <w:t>Midwest</w:t>
            </w:r>
          </w:p>
          <w:p w:rsidR="00133015" w:rsidRPr="00F20B59" w:rsidRDefault="00133015" w:rsidP="00806E40">
            <w:pPr>
              <w:ind w:left="333"/>
              <w:rPr>
                <w:rFonts w:eastAsiaTheme="minorHAnsi"/>
                <w:sz w:val="18"/>
                <w:szCs w:val="20"/>
              </w:rPr>
            </w:pPr>
            <w:r w:rsidRPr="00F20B59">
              <w:rPr>
                <w:sz w:val="18"/>
                <w:szCs w:val="20"/>
              </w:rPr>
              <w:t>Frame</w:t>
            </w:r>
          </w:p>
        </w:tc>
        <w:tc>
          <w:tcPr>
            <w:tcW w:w="1329" w:type="dxa"/>
            <w:tcBorders>
              <w:top w:val="nil"/>
              <w:left w:val="nil"/>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1314</w:t>
            </w:r>
          </w:p>
        </w:tc>
        <w:tc>
          <w:tcPr>
            <w:tcW w:w="900" w:type="dxa"/>
            <w:tcBorders>
              <w:top w:val="nil"/>
              <w:left w:val="nil"/>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123</w:t>
            </w:r>
          </w:p>
        </w:tc>
        <w:tc>
          <w:tcPr>
            <w:tcW w:w="1080" w:type="dxa"/>
            <w:tcBorders>
              <w:top w:val="nil"/>
              <w:left w:val="nil"/>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81</w:t>
            </w:r>
          </w:p>
        </w:tc>
        <w:tc>
          <w:tcPr>
            <w:tcW w:w="1980" w:type="dxa"/>
            <w:tcBorders>
              <w:top w:val="nil"/>
              <w:left w:val="nil"/>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187</w:t>
            </w:r>
          </w:p>
        </w:tc>
        <w:tc>
          <w:tcPr>
            <w:tcW w:w="720" w:type="dxa"/>
            <w:tcBorders>
              <w:top w:val="nil"/>
              <w:left w:val="nil"/>
              <w:right w:val="single" w:sz="8" w:space="0" w:color="auto"/>
            </w:tcBorders>
            <w:vAlign w:val="bottom"/>
          </w:tcPr>
          <w:p w:rsidR="00133015" w:rsidRPr="00F20B59" w:rsidRDefault="00133015" w:rsidP="00133015">
            <w:pPr>
              <w:jc w:val="center"/>
              <w:rPr>
                <w:sz w:val="18"/>
                <w:szCs w:val="20"/>
              </w:rPr>
            </w:pPr>
            <w:r w:rsidRPr="00F20B59">
              <w:rPr>
                <w:sz w:val="18"/>
                <w:szCs w:val="20"/>
              </w:rPr>
              <w:t>1705</w:t>
            </w:r>
          </w:p>
        </w:tc>
      </w:tr>
      <w:tr w:rsidR="00133015" w:rsidRPr="00F20B59" w:rsidTr="00F20B59">
        <w:trPr>
          <w:trHeight w:val="270"/>
        </w:trPr>
        <w:tc>
          <w:tcPr>
            <w:tcW w:w="222" w:type="dxa"/>
            <w:noWrap/>
            <w:tcMar>
              <w:top w:w="0" w:type="dxa"/>
              <w:left w:w="108" w:type="dxa"/>
              <w:bottom w:w="0" w:type="dxa"/>
              <w:right w:w="108" w:type="dxa"/>
            </w:tcMar>
            <w:vAlign w:val="bottom"/>
          </w:tcPr>
          <w:p w:rsidR="00133015" w:rsidRPr="00F20B59" w:rsidRDefault="00133015" w:rsidP="00806E40">
            <w:pPr>
              <w:rPr>
                <w:sz w:val="18"/>
                <w:szCs w:val="20"/>
              </w:rPr>
            </w:pPr>
          </w:p>
        </w:tc>
        <w:tc>
          <w:tcPr>
            <w:tcW w:w="11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3015" w:rsidRPr="00F20B59" w:rsidRDefault="00133015" w:rsidP="00806E40">
            <w:pPr>
              <w:ind w:left="333"/>
              <w:rPr>
                <w:sz w:val="18"/>
                <w:szCs w:val="20"/>
              </w:rPr>
            </w:pPr>
            <w:r w:rsidRPr="00F20B59">
              <w:rPr>
                <w:sz w:val="18"/>
                <w:szCs w:val="20"/>
              </w:rPr>
              <w:t>Sample</w:t>
            </w:r>
          </w:p>
        </w:tc>
        <w:tc>
          <w:tcPr>
            <w:tcW w:w="132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81</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11</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5</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12</w:t>
            </w:r>
          </w:p>
        </w:tc>
        <w:tc>
          <w:tcPr>
            <w:tcW w:w="720" w:type="dxa"/>
            <w:tcBorders>
              <w:top w:val="nil"/>
              <w:left w:val="nil"/>
              <w:bottom w:val="single" w:sz="8" w:space="0" w:color="auto"/>
              <w:right w:val="single" w:sz="8" w:space="0" w:color="auto"/>
            </w:tcBorders>
            <w:vAlign w:val="bottom"/>
          </w:tcPr>
          <w:p w:rsidR="00133015" w:rsidRPr="00F20B59" w:rsidRDefault="00133015" w:rsidP="00133015">
            <w:pPr>
              <w:jc w:val="center"/>
              <w:rPr>
                <w:sz w:val="18"/>
                <w:szCs w:val="20"/>
              </w:rPr>
            </w:pPr>
            <w:r w:rsidRPr="00F20B59">
              <w:rPr>
                <w:sz w:val="18"/>
                <w:szCs w:val="20"/>
              </w:rPr>
              <w:t>109</w:t>
            </w:r>
          </w:p>
        </w:tc>
      </w:tr>
      <w:tr w:rsidR="00133015" w:rsidRPr="00F20B59" w:rsidTr="00F20B59">
        <w:trPr>
          <w:trHeight w:val="270"/>
        </w:trPr>
        <w:tc>
          <w:tcPr>
            <w:tcW w:w="222" w:type="dxa"/>
            <w:noWrap/>
            <w:tcMar>
              <w:top w:w="0" w:type="dxa"/>
              <w:left w:w="108" w:type="dxa"/>
              <w:bottom w:w="0" w:type="dxa"/>
              <w:right w:w="108" w:type="dxa"/>
            </w:tcMar>
            <w:vAlign w:val="bottom"/>
            <w:hideMark/>
          </w:tcPr>
          <w:p w:rsidR="00133015" w:rsidRPr="00F20B59" w:rsidRDefault="00133015" w:rsidP="00806E40">
            <w:pPr>
              <w:rPr>
                <w:sz w:val="18"/>
                <w:szCs w:val="20"/>
              </w:rPr>
            </w:pPr>
          </w:p>
        </w:tc>
        <w:tc>
          <w:tcPr>
            <w:tcW w:w="1149" w:type="dxa"/>
            <w:tcBorders>
              <w:top w:val="nil"/>
              <w:left w:val="single" w:sz="8" w:space="0" w:color="auto"/>
              <w:right w:val="single" w:sz="8" w:space="0" w:color="auto"/>
            </w:tcBorders>
            <w:tcMar>
              <w:top w:w="0" w:type="dxa"/>
              <w:left w:w="108" w:type="dxa"/>
              <w:bottom w:w="0" w:type="dxa"/>
              <w:right w:w="108" w:type="dxa"/>
            </w:tcMar>
            <w:vAlign w:val="center"/>
            <w:hideMark/>
          </w:tcPr>
          <w:p w:rsidR="00133015" w:rsidRPr="00F20B59" w:rsidRDefault="00133015" w:rsidP="00806E40">
            <w:pPr>
              <w:rPr>
                <w:sz w:val="18"/>
                <w:szCs w:val="20"/>
              </w:rPr>
            </w:pPr>
            <w:r w:rsidRPr="00F20B59">
              <w:rPr>
                <w:sz w:val="18"/>
                <w:szCs w:val="20"/>
              </w:rPr>
              <w:t>South</w:t>
            </w:r>
          </w:p>
          <w:p w:rsidR="00133015" w:rsidRPr="00F20B59" w:rsidRDefault="00133015" w:rsidP="00806E40">
            <w:pPr>
              <w:ind w:left="333"/>
              <w:rPr>
                <w:rFonts w:eastAsiaTheme="minorHAnsi"/>
                <w:sz w:val="18"/>
                <w:szCs w:val="20"/>
              </w:rPr>
            </w:pPr>
            <w:r w:rsidRPr="00F20B59">
              <w:rPr>
                <w:sz w:val="18"/>
                <w:szCs w:val="20"/>
              </w:rPr>
              <w:t>Frame</w:t>
            </w:r>
          </w:p>
        </w:tc>
        <w:tc>
          <w:tcPr>
            <w:tcW w:w="1329" w:type="dxa"/>
            <w:tcBorders>
              <w:top w:val="nil"/>
              <w:left w:val="nil"/>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1641</w:t>
            </w:r>
          </w:p>
        </w:tc>
        <w:tc>
          <w:tcPr>
            <w:tcW w:w="900" w:type="dxa"/>
            <w:tcBorders>
              <w:top w:val="nil"/>
              <w:left w:val="nil"/>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259</w:t>
            </w:r>
          </w:p>
        </w:tc>
        <w:tc>
          <w:tcPr>
            <w:tcW w:w="1080" w:type="dxa"/>
            <w:tcBorders>
              <w:top w:val="nil"/>
              <w:left w:val="nil"/>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201</w:t>
            </w:r>
          </w:p>
        </w:tc>
        <w:tc>
          <w:tcPr>
            <w:tcW w:w="1980" w:type="dxa"/>
            <w:tcBorders>
              <w:top w:val="nil"/>
              <w:left w:val="nil"/>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422</w:t>
            </w:r>
          </w:p>
        </w:tc>
        <w:tc>
          <w:tcPr>
            <w:tcW w:w="720" w:type="dxa"/>
            <w:tcBorders>
              <w:top w:val="nil"/>
              <w:left w:val="nil"/>
              <w:right w:val="single" w:sz="8" w:space="0" w:color="auto"/>
            </w:tcBorders>
            <w:vAlign w:val="bottom"/>
          </w:tcPr>
          <w:p w:rsidR="00133015" w:rsidRPr="00F20B59" w:rsidRDefault="00133015" w:rsidP="00133015">
            <w:pPr>
              <w:jc w:val="center"/>
              <w:rPr>
                <w:sz w:val="18"/>
                <w:szCs w:val="20"/>
              </w:rPr>
            </w:pPr>
            <w:r w:rsidRPr="00F20B59">
              <w:rPr>
                <w:sz w:val="18"/>
                <w:szCs w:val="20"/>
              </w:rPr>
              <w:t>2523</w:t>
            </w:r>
          </w:p>
        </w:tc>
      </w:tr>
      <w:tr w:rsidR="00133015" w:rsidRPr="00F20B59" w:rsidTr="00F20B59">
        <w:trPr>
          <w:trHeight w:val="270"/>
        </w:trPr>
        <w:tc>
          <w:tcPr>
            <w:tcW w:w="222" w:type="dxa"/>
            <w:noWrap/>
            <w:tcMar>
              <w:top w:w="0" w:type="dxa"/>
              <w:left w:w="108" w:type="dxa"/>
              <w:bottom w:w="0" w:type="dxa"/>
              <w:right w:w="108" w:type="dxa"/>
            </w:tcMar>
            <w:vAlign w:val="bottom"/>
          </w:tcPr>
          <w:p w:rsidR="00133015" w:rsidRPr="00F20B59" w:rsidRDefault="00133015" w:rsidP="00806E40">
            <w:pPr>
              <w:rPr>
                <w:sz w:val="18"/>
                <w:szCs w:val="20"/>
              </w:rPr>
            </w:pPr>
          </w:p>
        </w:tc>
        <w:tc>
          <w:tcPr>
            <w:tcW w:w="11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3015" w:rsidRPr="00F20B59" w:rsidRDefault="00133015" w:rsidP="00806E40">
            <w:pPr>
              <w:ind w:left="333"/>
              <w:rPr>
                <w:sz w:val="18"/>
                <w:szCs w:val="20"/>
              </w:rPr>
            </w:pPr>
            <w:r w:rsidRPr="00F20B59">
              <w:rPr>
                <w:sz w:val="18"/>
                <w:szCs w:val="20"/>
              </w:rPr>
              <w:t>Sample</w:t>
            </w:r>
          </w:p>
        </w:tc>
        <w:tc>
          <w:tcPr>
            <w:tcW w:w="132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119</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12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10</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32</w:t>
            </w:r>
          </w:p>
        </w:tc>
        <w:tc>
          <w:tcPr>
            <w:tcW w:w="720" w:type="dxa"/>
            <w:tcBorders>
              <w:top w:val="nil"/>
              <w:left w:val="nil"/>
              <w:bottom w:val="single" w:sz="8" w:space="0" w:color="auto"/>
              <w:right w:val="single" w:sz="8" w:space="0" w:color="auto"/>
            </w:tcBorders>
            <w:vAlign w:val="bottom"/>
          </w:tcPr>
          <w:p w:rsidR="00133015" w:rsidRPr="00F20B59" w:rsidRDefault="00133015" w:rsidP="00133015">
            <w:pPr>
              <w:jc w:val="center"/>
              <w:rPr>
                <w:sz w:val="18"/>
                <w:szCs w:val="20"/>
              </w:rPr>
            </w:pPr>
            <w:r w:rsidRPr="00F20B59">
              <w:rPr>
                <w:sz w:val="18"/>
                <w:szCs w:val="20"/>
              </w:rPr>
              <w:t>173</w:t>
            </w:r>
          </w:p>
        </w:tc>
      </w:tr>
      <w:tr w:rsidR="00133015" w:rsidRPr="00F20B59" w:rsidTr="00F20B59">
        <w:trPr>
          <w:trHeight w:val="270"/>
        </w:trPr>
        <w:tc>
          <w:tcPr>
            <w:tcW w:w="222" w:type="dxa"/>
            <w:noWrap/>
            <w:tcMar>
              <w:top w:w="0" w:type="dxa"/>
              <w:left w:w="108" w:type="dxa"/>
              <w:bottom w:w="0" w:type="dxa"/>
              <w:right w:w="108" w:type="dxa"/>
            </w:tcMar>
            <w:vAlign w:val="bottom"/>
            <w:hideMark/>
          </w:tcPr>
          <w:p w:rsidR="00133015" w:rsidRPr="00F20B59" w:rsidRDefault="00133015" w:rsidP="00806E40">
            <w:pPr>
              <w:rPr>
                <w:sz w:val="18"/>
                <w:szCs w:val="20"/>
              </w:rPr>
            </w:pPr>
          </w:p>
        </w:tc>
        <w:tc>
          <w:tcPr>
            <w:tcW w:w="1149" w:type="dxa"/>
            <w:tcBorders>
              <w:top w:val="nil"/>
              <w:left w:val="single" w:sz="8" w:space="0" w:color="auto"/>
              <w:right w:val="single" w:sz="8" w:space="0" w:color="auto"/>
            </w:tcBorders>
            <w:tcMar>
              <w:top w:w="0" w:type="dxa"/>
              <w:left w:w="108" w:type="dxa"/>
              <w:bottom w:w="0" w:type="dxa"/>
              <w:right w:w="108" w:type="dxa"/>
            </w:tcMar>
            <w:vAlign w:val="center"/>
            <w:hideMark/>
          </w:tcPr>
          <w:p w:rsidR="00133015" w:rsidRPr="00F20B59" w:rsidRDefault="00133015" w:rsidP="00806E40">
            <w:pPr>
              <w:rPr>
                <w:sz w:val="18"/>
                <w:szCs w:val="20"/>
              </w:rPr>
            </w:pPr>
            <w:r w:rsidRPr="00F20B59">
              <w:rPr>
                <w:sz w:val="18"/>
                <w:szCs w:val="20"/>
              </w:rPr>
              <w:t>West</w:t>
            </w:r>
          </w:p>
          <w:p w:rsidR="00133015" w:rsidRPr="00F20B59" w:rsidRDefault="00133015" w:rsidP="00806E40">
            <w:pPr>
              <w:ind w:left="333"/>
              <w:rPr>
                <w:rFonts w:eastAsiaTheme="minorHAnsi"/>
                <w:sz w:val="18"/>
                <w:szCs w:val="20"/>
              </w:rPr>
            </w:pPr>
            <w:r w:rsidRPr="00F20B59">
              <w:rPr>
                <w:sz w:val="18"/>
                <w:szCs w:val="20"/>
              </w:rPr>
              <w:t>Frame</w:t>
            </w:r>
          </w:p>
        </w:tc>
        <w:tc>
          <w:tcPr>
            <w:tcW w:w="1329" w:type="dxa"/>
            <w:tcBorders>
              <w:top w:val="nil"/>
              <w:left w:val="nil"/>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792</w:t>
            </w:r>
          </w:p>
        </w:tc>
        <w:tc>
          <w:tcPr>
            <w:tcW w:w="900" w:type="dxa"/>
            <w:tcBorders>
              <w:top w:val="nil"/>
              <w:left w:val="nil"/>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112</w:t>
            </w:r>
          </w:p>
        </w:tc>
        <w:tc>
          <w:tcPr>
            <w:tcW w:w="1080" w:type="dxa"/>
            <w:tcBorders>
              <w:top w:val="nil"/>
              <w:left w:val="nil"/>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82</w:t>
            </w:r>
          </w:p>
        </w:tc>
        <w:tc>
          <w:tcPr>
            <w:tcW w:w="1980" w:type="dxa"/>
            <w:tcBorders>
              <w:top w:val="nil"/>
              <w:left w:val="nil"/>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169</w:t>
            </w:r>
          </w:p>
        </w:tc>
        <w:tc>
          <w:tcPr>
            <w:tcW w:w="720" w:type="dxa"/>
            <w:tcBorders>
              <w:top w:val="nil"/>
              <w:left w:val="nil"/>
              <w:right w:val="single" w:sz="8" w:space="0" w:color="auto"/>
            </w:tcBorders>
            <w:vAlign w:val="bottom"/>
          </w:tcPr>
          <w:p w:rsidR="00133015" w:rsidRPr="00F20B59" w:rsidRDefault="00133015" w:rsidP="00133015">
            <w:pPr>
              <w:jc w:val="center"/>
              <w:rPr>
                <w:sz w:val="18"/>
                <w:szCs w:val="20"/>
              </w:rPr>
            </w:pPr>
            <w:r w:rsidRPr="00F20B59">
              <w:rPr>
                <w:sz w:val="18"/>
                <w:szCs w:val="20"/>
              </w:rPr>
              <w:t>1155</w:t>
            </w:r>
          </w:p>
        </w:tc>
      </w:tr>
      <w:tr w:rsidR="00133015" w:rsidRPr="00F20B59" w:rsidTr="00F20B59">
        <w:trPr>
          <w:trHeight w:val="165"/>
        </w:trPr>
        <w:tc>
          <w:tcPr>
            <w:tcW w:w="222" w:type="dxa"/>
            <w:vMerge w:val="restart"/>
            <w:noWrap/>
            <w:tcMar>
              <w:top w:w="0" w:type="dxa"/>
              <w:left w:w="108" w:type="dxa"/>
              <w:bottom w:w="0" w:type="dxa"/>
              <w:right w:w="108" w:type="dxa"/>
            </w:tcMar>
            <w:vAlign w:val="bottom"/>
          </w:tcPr>
          <w:p w:rsidR="00133015" w:rsidRPr="00F20B59" w:rsidRDefault="00133015" w:rsidP="00806E40">
            <w:pPr>
              <w:rPr>
                <w:sz w:val="18"/>
                <w:szCs w:val="20"/>
              </w:rPr>
            </w:pPr>
          </w:p>
        </w:tc>
        <w:tc>
          <w:tcPr>
            <w:tcW w:w="114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133015" w:rsidRPr="00F20B59" w:rsidRDefault="00133015" w:rsidP="00806E40">
            <w:pPr>
              <w:ind w:left="333"/>
              <w:rPr>
                <w:sz w:val="18"/>
                <w:szCs w:val="20"/>
              </w:rPr>
            </w:pPr>
            <w:r w:rsidRPr="00F20B59">
              <w:rPr>
                <w:sz w:val="18"/>
                <w:szCs w:val="20"/>
              </w:rPr>
              <w:t>Sample</w:t>
            </w:r>
          </w:p>
        </w:tc>
        <w:tc>
          <w:tcPr>
            <w:tcW w:w="1329" w:type="dxa"/>
            <w:tcBorders>
              <w:top w:val="nil"/>
              <w:left w:val="nil"/>
              <w:bottom w:val="single" w:sz="4" w:space="0" w:color="auto"/>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61</w:t>
            </w:r>
          </w:p>
        </w:tc>
        <w:tc>
          <w:tcPr>
            <w:tcW w:w="900" w:type="dxa"/>
            <w:tcBorders>
              <w:top w:val="nil"/>
              <w:left w:val="nil"/>
              <w:bottom w:val="single" w:sz="4" w:space="0" w:color="auto"/>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12</w:t>
            </w:r>
          </w:p>
        </w:tc>
        <w:tc>
          <w:tcPr>
            <w:tcW w:w="1080" w:type="dxa"/>
            <w:tcBorders>
              <w:top w:val="nil"/>
              <w:left w:val="nil"/>
              <w:bottom w:val="single" w:sz="4" w:space="0" w:color="auto"/>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1</w:t>
            </w:r>
          </w:p>
        </w:tc>
        <w:tc>
          <w:tcPr>
            <w:tcW w:w="1980" w:type="dxa"/>
            <w:tcBorders>
              <w:top w:val="nil"/>
              <w:left w:val="nil"/>
              <w:bottom w:val="single" w:sz="4" w:space="0" w:color="auto"/>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rFonts w:eastAsiaTheme="minorHAnsi"/>
                <w:sz w:val="18"/>
                <w:szCs w:val="20"/>
              </w:rPr>
            </w:pPr>
            <w:r w:rsidRPr="00F20B59">
              <w:rPr>
                <w:sz w:val="18"/>
                <w:szCs w:val="20"/>
              </w:rPr>
              <w:t>8</w:t>
            </w:r>
          </w:p>
        </w:tc>
        <w:tc>
          <w:tcPr>
            <w:tcW w:w="720" w:type="dxa"/>
            <w:tcBorders>
              <w:top w:val="nil"/>
              <w:left w:val="nil"/>
              <w:bottom w:val="single" w:sz="4" w:space="0" w:color="auto"/>
              <w:right w:val="single" w:sz="8" w:space="0" w:color="auto"/>
            </w:tcBorders>
            <w:vAlign w:val="bottom"/>
          </w:tcPr>
          <w:p w:rsidR="00133015" w:rsidRPr="00F20B59" w:rsidRDefault="00133015" w:rsidP="00133015">
            <w:pPr>
              <w:jc w:val="center"/>
              <w:rPr>
                <w:sz w:val="18"/>
                <w:szCs w:val="20"/>
              </w:rPr>
            </w:pPr>
            <w:r w:rsidRPr="00F20B59">
              <w:rPr>
                <w:sz w:val="18"/>
                <w:szCs w:val="20"/>
              </w:rPr>
              <w:t>82</w:t>
            </w:r>
          </w:p>
        </w:tc>
      </w:tr>
      <w:tr w:rsidR="00133015" w:rsidRPr="00F20B59" w:rsidTr="00F20B59">
        <w:trPr>
          <w:trHeight w:val="230"/>
        </w:trPr>
        <w:tc>
          <w:tcPr>
            <w:tcW w:w="222" w:type="dxa"/>
            <w:vMerge/>
            <w:noWrap/>
            <w:tcMar>
              <w:top w:w="0" w:type="dxa"/>
              <w:left w:w="108" w:type="dxa"/>
              <w:bottom w:w="0" w:type="dxa"/>
              <w:right w:w="108" w:type="dxa"/>
            </w:tcMar>
            <w:vAlign w:val="bottom"/>
          </w:tcPr>
          <w:p w:rsidR="00133015" w:rsidRPr="00F20B59" w:rsidRDefault="00133015" w:rsidP="00806E40">
            <w:pPr>
              <w:rPr>
                <w:sz w:val="18"/>
                <w:szCs w:val="20"/>
              </w:rPr>
            </w:pPr>
          </w:p>
        </w:tc>
        <w:tc>
          <w:tcPr>
            <w:tcW w:w="1149" w:type="dxa"/>
            <w:tcBorders>
              <w:top w:val="single" w:sz="4" w:space="0" w:color="auto"/>
              <w:left w:val="single" w:sz="8" w:space="0" w:color="auto"/>
              <w:right w:val="single" w:sz="8" w:space="0" w:color="auto"/>
            </w:tcBorders>
            <w:tcMar>
              <w:top w:w="0" w:type="dxa"/>
              <w:left w:w="108" w:type="dxa"/>
              <w:bottom w:w="0" w:type="dxa"/>
              <w:right w:w="108" w:type="dxa"/>
            </w:tcMar>
            <w:vAlign w:val="center"/>
          </w:tcPr>
          <w:p w:rsidR="00133015" w:rsidRPr="00F20B59" w:rsidRDefault="00133015" w:rsidP="00655C3A">
            <w:pPr>
              <w:rPr>
                <w:sz w:val="18"/>
                <w:szCs w:val="20"/>
              </w:rPr>
            </w:pPr>
            <w:r w:rsidRPr="00F20B59">
              <w:rPr>
                <w:sz w:val="18"/>
                <w:szCs w:val="20"/>
              </w:rPr>
              <w:t>Total</w:t>
            </w:r>
          </w:p>
        </w:tc>
        <w:tc>
          <w:tcPr>
            <w:tcW w:w="1329" w:type="dxa"/>
            <w:tcBorders>
              <w:top w:val="single" w:sz="4" w:space="0" w:color="auto"/>
              <w:left w:val="nil"/>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sz w:val="18"/>
                <w:szCs w:val="20"/>
              </w:rPr>
            </w:pPr>
          </w:p>
        </w:tc>
        <w:tc>
          <w:tcPr>
            <w:tcW w:w="900" w:type="dxa"/>
            <w:tcBorders>
              <w:top w:val="single" w:sz="4" w:space="0" w:color="auto"/>
              <w:left w:val="nil"/>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sz w:val="18"/>
                <w:szCs w:val="20"/>
              </w:rPr>
            </w:pPr>
          </w:p>
        </w:tc>
        <w:tc>
          <w:tcPr>
            <w:tcW w:w="1080" w:type="dxa"/>
            <w:tcBorders>
              <w:top w:val="single" w:sz="4" w:space="0" w:color="auto"/>
              <w:left w:val="nil"/>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sz w:val="18"/>
                <w:szCs w:val="20"/>
              </w:rPr>
            </w:pPr>
          </w:p>
        </w:tc>
        <w:tc>
          <w:tcPr>
            <w:tcW w:w="1980" w:type="dxa"/>
            <w:tcBorders>
              <w:top w:val="single" w:sz="4" w:space="0" w:color="auto"/>
              <w:left w:val="nil"/>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sz w:val="18"/>
                <w:szCs w:val="20"/>
              </w:rPr>
            </w:pPr>
          </w:p>
        </w:tc>
        <w:tc>
          <w:tcPr>
            <w:tcW w:w="720" w:type="dxa"/>
            <w:tcBorders>
              <w:top w:val="single" w:sz="4" w:space="0" w:color="auto"/>
              <w:left w:val="nil"/>
              <w:right w:val="single" w:sz="8" w:space="0" w:color="auto"/>
            </w:tcBorders>
            <w:vAlign w:val="bottom"/>
          </w:tcPr>
          <w:p w:rsidR="00133015" w:rsidRPr="00F20B59" w:rsidRDefault="00133015" w:rsidP="00133015">
            <w:pPr>
              <w:jc w:val="center"/>
              <w:rPr>
                <w:sz w:val="18"/>
                <w:szCs w:val="20"/>
              </w:rPr>
            </w:pPr>
          </w:p>
        </w:tc>
      </w:tr>
      <w:tr w:rsidR="00133015" w:rsidRPr="00F20B59" w:rsidTr="00F20B59">
        <w:trPr>
          <w:trHeight w:val="270"/>
        </w:trPr>
        <w:tc>
          <w:tcPr>
            <w:tcW w:w="222" w:type="dxa"/>
            <w:noWrap/>
            <w:tcMar>
              <w:top w:w="0" w:type="dxa"/>
              <w:left w:w="108" w:type="dxa"/>
              <w:bottom w:w="0" w:type="dxa"/>
              <w:right w:w="108" w:type="dxa"/>
            </w:tcMar>
            <w:vAlign w:val="bottom"/>
          </w:tcPr>
          <w:p w:rsidR="00133015" w:rsidRPr="00F20B59" w:rsidRDefault="00133015" w:rsidP="00806E40">
            <w:pPr>
              <w:rPr>
                <w:sz w:val="18"/>
                <w:szCs w:val="20"/>
              </w:rPr>
            </w:pPr>
          </w:p>
        </w:tc>
        <w:tc>
          <w:tcPr>
            <w:tcW w:w="1149" w:type="dxa"/>
            <w:tcBorders>
              <w:left w:val="single" w:sz="8" w:space="0" w:color="auto"/>
              <w:right w:val="single" w:sz="8" w:space="0" w:color="auto"/>
            </w:tcBorders>
            <w:tcMar>
              <w:top w:w="0" w:type="dxa"/>
              <w:left w:w="108" w:type="dxa"/>
              <w:bottom w:w="0" w:type="dxa"/>
              <w:right w:w="108" w:type="dxa"/>
            </w:tcMar>
            <w:vAlign w:val="center"/>
          </w:tcPr>
          <w:p w:rsidR="00133015" w:rsidRPr="00F20B59" w:rsidRDefault="00133015" w:rsidP="00133015">
            <w:pPr>
              <w:ind w:left="333"/>
              <w:rPr>
                <w:sz w:val="18"/>
                <w:szCs w:val="20"/>
              </w:rPr>
            </w:pPr>
            <w:r w:rsidRPr="00F20B59">
              <w:rPr>
                <w:sz w:val="18"/>
                <w:szCs w:val="20"/>
              </w:rPr>
              <w:t>Frame</w:t>
            </w:r>
          </w:p>
        </w:tc>
        <w:tc>
          <w:tcPr>
            <w:tcW w:w="1329" w:type="dxa"/>
            <w:tcBorders>
              <w:left w:val="nil"/>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sz w:val="18"/>
                <w:szCs w:val="20"/>
              </w:rPr>
            </w:pPr>
            <w:r w:rsidRPr="00F20B59">
              <w:rPr>
                <w:sz w:val="18"/>
                <w:szCs w:val="20"/>
              </w:rPr>
              <w:t>4292</w:t>
            </w:r>
          </w:p>
        </w:tc>
        <w:tc>
          <w:tcPr>
            <w:tcW w:w="900" w:type="dxa"/>
            <w:tcBorders>
              <w:left w:val="nil"/>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sz w:val="18"/>
                <w:szCs w:val="20"/>
              </w:rPr>
            </w:pPr>
            <w:r w:rsidRPr="00F20B59">
              <w:rPr>
                <w:sz w:val="18"/>
                <w:szCs w:val="20"/>
              </w:rPr>
              <w:t>610</w:t>
            </w:r>
          </w:p>
        </w:tc>
        <w:tc>
          <w:tcPr>
            <w:tcW w:w="1080" w:type="dxa"/>
            <w:tcBorders>
              <w:left w:val="nil"/>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sz w:val="18"/>
                <w:szCs w:val="20"/>
              </w:rPr>
            </w:pPr>
            <w:r w:rsidRPr="00F20B59">
              <w:rPr>
                <w:sz w:val="18"/>
                <w:szCs w:val="20"/>
              </w:rPr>
              <w:t>433</w:t>
            </w:r>
          </w:p>
        </w:tc>
        <w:tc>
          <w:tcPr>
            <w:tcW w:w="1980" w:type="dxa"/>
            <w:tcBorders>
              <w:left w:val="nil"/>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sz w:val="18"/>
                <w:szCs w:val="20"/>
              </w:rPr>
            </w:pPr>
            <w:r w:rsidRPr="00F20B59">
              <w:rPr>
                <w:sz w:val="18"/>
                <w:szCs w:val="20"/>
              </w:rPr>
              <w:t>895</w:t>
            </w:r>
          </w:p>
        </w:tc>
        <w:tc>
          <w:tcPr>
            <w:tcW w:w="720" w:type="dxa"/>
            <w:tcBorders>
              <w:left w:val="nil"/>
              <w:right w:val="single" w:sz="8" w:space="0" w:color="auto"/>
            </w:tcBorders>
            <w:vAlign w:val="bottom"/>
          </w:tcPr>
          <w:p w:rsidR="00133015" w:rsidRPr="00F20B59" w:rsidRDefault="00133015" w:rsidP="00133015">
            <w:pPr>
              <w:jc w:val="center"/>
              <w:rPr>
                <w:sz w:val="18"/>
                <w:szCs w:val="20"/>
              </w:rPr>
            </w:pPr>
            <w:r w:rsidRPr="00F20B59">
              <w:rPr>
                <w:sz w:val="18"/>
                <w:szCs w:val="20"/>
              </w:rPr>
              <w:t>6230</w:t>
            </w:r>
          </w:p>
        </w:tc>
      </w:tr>
      <w:tr w:rsidR="00133015" w:rsidRPr="00F20B59" w:rsidTr="00F20B59">
        <w:trPr>
          <w:trHeight w:val="270"/>
        </w:trPr>
        <w:tc>
          <w:tcPr>
            <w:tcW w:w="222" w:type="dxa"/>
            <w:noWrap/>
            <w:tcMar>
              <w:top w:w="0" w:type="dxa"/>
              <w:left w:w="108" w:type="dxa"/>
              <w:bottom w:w="0" w:type="dxa"/>
              <w:right w:w="108" w:type="dxa"/>
            </w:tcMar>
            <w:vAlign w:val="bottom"/>
          </w:tcPr>
          <w:p w:rsidR="00133015" w:rsidRPr="00F20B59" w:rsidRDefault="00133015" w:rsidP="00806E40">
            <w:pPr>
              <w:rPr>
                <w:sz w:val="18"/>
                <w:szCs w:val="20"/>
              </w:rPr>
            </w:pPr>
          </w:p>
        </w:tc>
        <w:tc>
          <w:tcPr>
            <w:tcW w:w="1149"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133015" w:rsidRPr="00F20B59" w:rsidDel="00655C3A" w:rsidRDefault="00133015" w:rsidP="00133015">
            <w:pPr>
              <w:ind w:left="333"/>
              <w:rPr>
                <w:sz w:val="18"/>
                <w:szCs w:val="20"/>
              </w:rPr>
            </w:pPr>
            <w:r w:rsidRPr="00F20B59">
              <w:rPr>
                <w:sz w:val="18"/>
                <w:szCs w:val="20"/>
              </w:rPr>
              <w:t>Sample</w:t>
            </w:r>
          </w:p>
        </w:tc>
        <w:tc>
          <w:tcPr>
            <w:tcW w:w="1329" w:type="dxa"/>
            <w:tcBorders>
              <w:left w:val="nil"/>
              <w:bottom w:val="single" w:sz="8" w:space="0" w:color="auto"/>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sz w:val="18"/>
                <w:szCs w:val="20"/>
              </w:rPr>
            </w:pPr>
            <w:r w:rsidRPr="00F20B59">
              <w:rPr>
                <w:sz w:val="18"/>
                <w:szCs w:val="20"/>
              </w:rPr>
              <w:t>335</w:t>
            </w:r>
          </w:p>
        </w:tc>
        <w:tc>
          <w:tcPr>
            <w:tcW w:w="900" w:type="dxa"/>
            <w:tcBorders>
              <w:left w:val="nil"/>
              <w:bottom w:val="single" w:sz="8" w:space="0" w:color="auto"/>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sz w:val="18"/>
                <w:szCs w:val="20"/>
              </w:rPr>
            </w:pPr>
            <w:r w:rsidRPr="00F20B59">
              <w:rPr>
                <w:sz w:val="18"/>
                <w:szCs w:val="20"/>
              </w:rPr>
              <w:t>50</w:t>
            </w:r>
          </w:p>
        </w:tc>
        <w:tc>
          <w:tcPr>
            <w:tcW w:w="1080" w:type="dxa"/>
            <w:tcBorders>
              <w:left w:val="nil"/>
              <w:bottom w:val="single" w:sz="8" w:space="0" w:color="auto"/>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sz w:val="18"/>
                <w:szCs w:val="20"/>
              </w:rPr>
            </w:pPr>
            <w:r w:rsidRPr="00F20B59">
              <w:rPr>
                <w:sz w:val="18"/>
                <w:szCs w:val="20"/>
              </w:rPr>
              <w:t>20</w:t>
            </w:r>
          </w:p>
        </w:tc>
        <w:tc>
          <w:tcPr>
            <w:tcW w:w="1980" w:type="dxa"/>
            <w:tcBorders>
              <w:left w:val="nil"/>
              <w:bottom w:val="single" w:sz="8" w:space="0" w:color="auto"/>
              <w:right w:val="single" w:sz="8" w:space="0" w:color="auto"/>
            </w:tcBorders>
            <w:noWrap/>
            <w:tcMar>
              <w:top w:w="0" w:type="dxa"/>
              <w:left w:w="108" w:type="dxa"/>
              <w:bottom w:w="0" w:type="dxa"/>
              <w:right w:w="108" w:type="dxa"/>
            </w:tcMar>
            <w:vAlign w:val="bottom"/>
          </w:tcPr>
          <w:p w:rsidR="00133015" w:rsidRPr="00F20B59" w:rsidRDefault="00133015" w:rsidP="00133015">
            <w:pPr>
              <w:jc w:val="center"/>
              <w:rPr>
                <w:sz w:val="18"/>
                <w:szCs w:val="20"/>
              </w:rPr>
            </w:pPr>
            <w:r w:rsidRPr="00F20B59">
              <w:rPr>
                <w:sz w:val="18"/>
                <w:szCs w:val="20"/>
              </w:rPr>
              <w:t>68</w:t>
            </w:r>
          </w:p>
        </w:tc>
        <w:tc>
          <w:tcPr>
            <w:tcW w:w="720" w:type="dxa"/>
            <w:tcBorders>
              <w:left w:val="nil"/>
              <w:bottom w:val="single" w:sz="8" w:space="0" w:color="auto"/>
              <w:right w:val="single" w:sz="8" w:space="0" w:color="auto"/>
            </w:tcBorders>
            <w:vAlign w:val="bottom"/>
          </w:tcPr>
          <w:p w:rsidR="00133015" w:rsidRPr="00F20B59" w:rsidRDefault="00133015" w:rsidP="00133015">
            <w:pPr>
              <w:jc w:val="center"/>
              <w:rPr>
                <w:sz w:val="18"/>
                <w:szCs w:val="20"/>
              </w:rPr>
            </w:pPr>
            <w:r w:rsidRPr="00F20B59">
              <w:rPr>
                <w:sz w:val="18"/>
                <w:szCs w:val="20"/>
              </w:rPr>
              <w:t>473</w:t>
            </w:r>
          </w:p>
        </w:tc>
      </w:tr>
    </w:tbl>
    <w:p w:rsidR="0004755E" w:rsidRPr="00F20B59" w:rsidRDefault="00F20B59" w:rsidP="00655C3A">
      <w:pPr>
        <w:pStyle w:val="NormalWeb"/>
        <w:ind w:left="360"/>
        <w:rPr>
          <w:color w:val="000000"/>
        </w:rPr>
      </w:pPr>
      <w:r>
        <w:rPr>
          <w:color w:val="000000"/>
        </w:rPr>
        <w:lastRenderedPageBreak/>
        <w:t>T</w:t>
      </w:r>
      <w:r w:rsidR="00794F8B" w:rsidRPr="00F20B59">
        <w:rPr>
          <w:color w:val="000000"/>
        </w:rPr>
        <w:t>he NHAMCS sample is a multi-stage design with a first stage sample of two of the four PSU panels in the 1985-94 National Health Interview Survey (NHIS</w:t>
      </w:r>
      <w:r w:rsidR="00ED361C" w:rsidRPr="00F20B59">
        <w:rPr>
          <w:color w:val="000000"/>
        </w:rPr>
        <w:t>).</w:t>
      </w:r>
      <w:r w:rsidR="00334880" w:rsidRPr="00F20B59">
        <w:rPr>
          <w:color w:val="000000"/>
        </w:rPr>
        <w:t xml:space="preserve">  </w:t>
      </w:r>
      <w:r w:rsidR="00ED361C" w:rsidRPr="00F20B59">
        <w:rPr>
          <w:color w:val="000000"/>
        </w:rPr>
        <w:t>T</w:t>
      </w:r>
      <w:r w:rsidR="00794F8B" w:rsidRPr="00F20B59">
        <w:rPr>
          <w:color w:val="000000"/>
        </w:rPr>
        <w:t>he first</w:t>
      </w:r>
      <w:r w:rsidR="00621F72" w:rsidRPr="00F20B59">
        <w:rPr>
          <w:color w:val="000000"/>
        </w:rPr>
        <w:t>-</w:t>
      </w:r>
      <w:r w:rsidR="00794F8B" w:rsidRPr="00F20B59">
        <w:rPr>
          <w:color w:val="000000"/>
        </w:rPr>
        <w:t xml:space="preserve">stage sample consists of 112 PSUs.  From the sample PSUs, a stratified sample of approximately 600 hospitals was selected for the NHAMCS with hospital strata defined by whether hospitals had either EDs or OPDs according to the sampling frame data.  Sample hospitals are randomly assigned to 16 4-week reporting periods as described below.  </w:t>
      </w:r>
      <w:r w:rsidR="00F5400C" w:rsidRPr="00F20B59">
        <w:rPr>
          <w:color w:val="000000"/>
        </w:rPr>
        <w:t xml:space="preserve">We expect </w:t>
      </w:r>
      <w:r w:rsidR="00A259BD" w:rsidRPr="00F20B59">
        <w:rPr>
          <w:color w:val="000000"/>
        </w:rPr>
        <w:t xml:space="preserve">approximately </w:t>
      </w:r>
      <w:r w:rsidR="00566A55" w:rsidRPr="00F20B59">
        <w:rPr>
          <w:color w:val="000000"/>
        </w:rPr>
        <w:t xml:space="preserve">542 </w:t>
      </w:r>
      <w:r w:rsidR="00F5400C" w:rsidRPr="00F20B59">
        <w:rPr>
          <w:color w:val="000000"/>
        </w:rPr>
        <w:t>hospitals to be in-scope.</w:t>
      </w:r>
      <w:r w:rsidR="00521002" w:rsidRPr="00F20B59">
        <w:rPr>
          <w:color w:val="000000"/>
        </w:rPr>
        <w:t xml:space="preserve">  This sample is sufficient to produce estimates with relative standard errors of 30 percent of less.  See discussion of NCHS standards for reliability at </w:t>
      </w:r>
      <w:hyperlink r:id="rId10" w:history="1">
        <w:r w:rsidR="00521002" w:rsidRPr="00F20B59">
          <w:rPr>
            <w:rStyle w:val="Hyperlink"/>
          </w:rPr>
          <w:t>http://www.cdc.gov/nchs/ahcd/ahcd_estimation_reliability.htm</w:t>
        </w:r>
      </w:hyperlink>
      <w:r w:rsidR="00521002" w:rsidRPr="00F20B59">
        <w:rPr>
          <w:color w:val="000000"/>
        </w:rPr>
        <w:t xml:space="preserve"> .</w:t>
      </w:r>
    </w:p>
    <w:p w:rsidR="000C2E2D" w:rsidRPr="00F20B59" w:rsidRDefault="0004755E" w:rsidP="007C3373">
      <w:pPr>
        <w:ind w:left="360"/>
      </w:pPr>
      <w:r w:rsidRPr="00F20B59">
        <w:rPr>
          <w:color w:val="000000"/>
        </w:rPr>
        <w:t xml:space="preserve">In 2012, an additional 167 hospitals will be added to the sample in order to allow state-based estimates of emergency department characteristics in the five most populous states: </w:t>
      </w:r>
      <w:r w:rsidRPr="00F20B59">
        <w:rPr>
          <w:rFonts w:eastAsia="Calibri"/>
        </w:rPr>
        <w:t>California, Texas, New York, Florida, and Illinois</w:t>
      </w:r>
      <w:r w:rsidRPr="00F20B59">
        <w:rPr>
          <w:color w:val="000000"/>
        </w:rPr>
        <w:t xml:space="preserve">. </w:t>
      </w:r>
      <w:r w:rsidR="00806E40" w:rsidRPr="00F20B59">
        <w:rPr>
          <w:color w:val="000000"/>
        </w:rPr>
        <w:t xml:space="preserve">Table 2 shows the number of hospitals in the </w:t>
      </w:r>
      <w:r w:rsidR="009724A5" w:rsidRPr="00F20B59">
        <w:rPr>
          <w:color w:val="000000"/>
        </w:rPr>
        <w:t>core</w:t>
      </w:r>
      <w:r w:rsidR="00806E40" w:rsidRPr="00F20B59">
        <w:rPr>
          <w:color w:val="000000"/>
        </w:rPr>
        <w:t xml:space="preserve"> frame and</w:t>
      </w:r>
      <w:r w:rsidR="009724A5" w:rsidRPr="00F20B59">
        <w:rPr>
          <w:color w:val="000000"/>
        </w:rPr>
        <w:t xml:space="preserve"> </w:t>
      </w:r>
      <w:r w:rsidR="007E2E6E" w:rsidRPr="00F20B59">
        <w:rPr>
          <w:color w:val="000000"/>
        </w:rPr>
        <w:t xml:space="preserve">sample and </w:t>
      </w:r>
      <w:r w:rsidR="009724A5" w:rsidRPr="00F20B59">
        <w:rPr>
          <w:color w:val="000000"/>
        </w:rPr>
        <w:t xml:space="preserve">the number of supplement hospitals added </w:t>
      </w:r>
      <w:r w:rsidR="00806E40" w:rsidRPr="00F20B59">
        <w:rPr>
          <w:color w:val="000000"/>
        </w:rPr>
        <w:t xml:space="preserve">in the 2012 sample </w:t>
      </w:r>
      <w:r w:rsidR="009724A5" w:rsidRPr="00F20B59">
        <w:rPr>
          <w:color w:val="000000"/>
        </w:rPr>
        <w:t xml:space="preserve">to provide ED characteristics </w:t>
      </w:r>
      <w:r w:rsidR="00806E40" w:rsidRPr="00F20B59">
        <w:rPr>
          <w:color w:val="000000"/>
        </w:rPr>
        <w:t xml:space="preserve">for the </w:t>
      </w:r>
      <w:r w:rsidR="009724A5" w:rsidRPr="00F20B59">
        <w:rPr>
          <w:color w:val="000000"/>
        </w:rPr>
        <w:t xml:space="preserve">five </w:t>
      </w:r>
      <w:r w:rsidR="00806E40" w:rsidRPr="00F20B59">
        <w:rPr>
          <w:color w:val="000000"/>
        </w:rPr>
        <w:t>states</w:t>
      </w:r>
      <w:r w:rsidR="009724A5" w:rsidRPr="00F20B59">
        <w:rPr>
          <w:color w:val="000000"/>
        </w:rPr>
        <w:t xml:space="preserve">. </w:t>
      </w:r>
      <w:r w:rsidR="00806E40" w:rsidRPr="00F20B59">
        <w:rPr>
          <w:color w:val="000000"/>
        </w:rPr>
        <w:t xml:space="preserve"> </w:t>
      </w:r>
      <w:r w:rsidRPr="00F20B59">
        <w:rPr>
          <w:color w:val="000000"/>
        </w:rPr>
        <w:t xml:space="preserve">These 167 hospitals will be divided into 13 groups and assigned to the four-week reporting periods for 2012.  </w:t>
      </w:r>
      <w:r w:rsidR="007C3373" w:rsidRPr="00F20B59">
        <w:t xml:space="preserve">The supplement sample is a stratified list sample of ED hospitals (with emergency departments) in the five states targeted for state level estimates.  The strata for this sample are defined by the five states and MSA (Metropolitan Statistical Areas defined by the Office of Management and Budget) status.  Hospitals were selected with systematic random sampling and probability proportional to annual emergency department visit volume. The supplement sample was distributed to strata in a way that assures the combined total sample (original 2012 NHAMCS and supplement) includes at least 64 ED hospitals from each of the targeted states and representation from both MSA and non-MSA areas in each of those states.  </w:t>
      </w:r>
      <w:r w:rsidR="000C2E2D" w:rsidRPr="00F20B59">
        <w:t xml:space="preserve">Based on precision levels observed in the 2009 NHAMCS, the total ED sample (in </w:t>
      </w:r>
      <w:r w:rsidR="007C3373" w:rsidRPr="00F20B59">
        <w:t xml:space="preserve">original 2012 </w:t>
      </w:r>
      <w:r w:rsidR="000C2E2D" w:rsidRPr="00F20B59">
        <w:t>NHAMCS plus supplemental sample) in each of the five targeted states is expected to produce RSEs of 20 percent or less for that state’s estimates of the following parameters:</w:t>
      </w:r>
    </w:p>
    <w:p w:rsidR="000C2E2D" w:rsidRPr="00F20B59" w:rsidRDefault="000C2E2D" w:rsidP="000C2E2D">
      <w:pPr>
        <w:pStyle w:val="NoSpacing"/>
        <w:ind w:left="450"/>
        <w:rPr>
          <w:rFonts w:ascii="Times New Roman" w:hAnsi="Times New Roman"/>
          <w:sz w:val="24"/>
          <w:szCs w:val="24"/>
        </w:rPr>
      </w:pPr>
    </w:p>
    <w:p w:rsidR="000C2E2D" w:rsidRPr="00F20B59" w:rsidRDefault="000C2E2D" w:rsidP="000C2E2D">
      <w:pPr>
        <w:pStyle w:val="NoSpacing"/>
        <w:numPr>
          <w:ilvl w:val="0"/>
          <w:numId w:val="2"/>
        </w:numPr>
        <w:ind w:left="1080"/>
        <w:rPr>
          <w:rFonts w:ascii="Times New Roman" w:hAnsi="Times New Roman"/>
          <w:sz w:val="24"/>
          <w:szCs w:val="24"/>
        </w:rPr>
      </w:pPr>
      <w:r w:rsidRPr="00F20B59">
        <w:rPr>
          <w:rFonts w:ascii="Times New Roman" w:hAnsi="Times New Roman"/>
          <w:sz w:val="24"/>
          <w:szCs w:val="24"/>
          <w:u w:val="single"/>
        </w:rPr>
        <w:t>Median</w:t>
      </w:r>
      <w:r w:rsidRPr="00F20B59">
        <w:rPr>
          <w:rFonts w:ascii="Times New Roman" w:hAnsi="Times New Roman"/>
          <w:sz w:val="24"/>
          <w:szCs w:val="24"/>
        </w:rPr>
        <w:t xml:space="preserve"> length of visit among all patients seen in the ED</w:t>
      </w:r>
    </w:p>
    <w:p w:rsidR="000C2E2D" w:rsidRPr="00F20B59" w:rsidRDefault="000C2E2D" w:rsidP="000C2E2D">
      <w:pPr>
        <w:pStyle w:val="NoSpacing"/>
        <w:numPr>
          <w:ilvl w:val="0"/>
          <w:numId w:val="2"/>
        </w:numPr>
        <w:ind w:left="1080"/>
        <w:rPr>
          <w:rFonts w:ascii="Times New Roman" w:hAnsi="Times New Roman"/>
          <w:sz w:val="24"/>
          <w:szCs w:val="24"/>
        </w:rPr>
      </w:pPr>
      <w:r w:rsidRPr="00F20B59">
        <w:rPr>
          <w:rFonts w:ascii="Times New Roman" w:hAnsi="Times New Roman"/>
          <w:sz w:val="24"/>
          <w:szCs w:val="24"/>
        </w:rPr>
        <w:t xml:space="preserve">Number of visits per population in state </w:t>
      </w:r>
    </w:p>
    <w:p w:rsidR="000C2E2D" w:rsidRPr="00F20B59" w:rsidRDefault="000C2E2D" w:rsidP="000C2E2D">
      <w:pPr>
        <w:pStyle w:val="NoSpacing"/>
        <w:numPr>
          <w:ilvl w:val="0"/>
          <w:numId w:val="2"/>
        </w:numPr>
        <w:ind w:left="1080"/>
        <w:rPr>
          <w:rFonts w:ascii="Times New Roman" w:hAnsi="Times New Roman"/>
          <w:sz w:val="24"/>
          <w:szCs w:val="24"/>
        </w:rPr>
      </w:pPr>
      <w:r w:rsidRPr="00F20B59">
        <w:rPr>
          <w:rFonts w:ascii="Times New Roman" w:hAnsi="Times New Roman"/>
          <w:sz w:val="24"/>
          <w:szCs w:val="24"/>
        </w:rPr>
        <w:t xml:space="preserve">Among patients who are seen by a physician, the </w:t>
      </w:r>
      <w:r w:rsidRPr="00F20B59">
        <w:rPr>
          <w:rFonts w:ascii="Times New Roman" w:hAnsi="Times New Roman"/>
          <w:sz w:val="24"/>
          <w:szCs w:val="24"/>
          <w:u w:val="single"/>
        </w:rPr>
        <w:t>median</w:t>
      </w:r>
      <w:r w:rsidRPr="00F20B59">
        <w:rPr>
          <w:rFonts w:ascii="Times New Roman" w:hAnsi="Times New Roman"/>
          <w:sz w:val="24"/>
          <w:szCs w:val="24"/>
        </w:rPr>
        <w:t xml:space="preserve"> wait time to see a physician</w:t>
      </w:r>
    </w:p>
    <w:p w:rsidR="000C2E2D" w:rsidRPr="00F20B59" w:rsidRDefault="000C2E2D" w:rsidP="000C2E2D">
      <w:pPr>
        <w:pStyle w:val="NoSpacing"/>
        <w:numPr>
          <w:ilvl w:val="0"/>
          <w:numId w:val="2"/>
        </w:numPr>
        <w:ind w:left="1080"/>
        <w:rPr>
          <w:rFonts w:ascii="Times New Roman" w:hAnsi="Times New Roman"/>
          <w:sz w:val="24"/>
          <w:szCs w:val="24"/>
        </w:rPr>
      </w:pPr>
      <w:r w:rsidRPr="00F20B59">
        <w:rPr>
          <w:rFonts w:ascii="Times New Roman" w:hAnsi="Times New Roman"/>
          <w:sz w:val="24"/>
          <w:szCs w:val="24"/>
        </w:rPr>
        <w:t xml:space="preserve">Number of visits by each of the following paytypes: </w:t>
      </w:r>
      <w:r w:rsidRPr="00F20B59">
        <w:rPr>
          <w:rFonts w:ascii="Times New Roman" w:hAnsi="Times New Roman"/>
          <w:sz w:val="24"/>
          <w:szCs w:val="24"/>
          <w:u w:val="single"/>
        </w:rPr>
        <w:t>private pay, Medicare, Medicaid, and Self pay/nocharge.</w:t>
      </w:r>
    </w:p>
    <w:p w:rsidR="004A0796" w:rsidRPr="00F20B59" w:rsidRDefault="000C2E2D" w:rsidP="00794F8B">
      <w:pPr>
        <w:pStyle w:val="NoSpacing"/>
        <w:numPr>
          <w:ilvl w:val="0"/>
          <w:numId w:val="2"/>
        </w:numPr>
        <w:ind w:left="1080"/>
        <w:rPr>
          <w:rFonts w:ascii="Times New Roman" w:hAnsi="Times New Roman"/>
          <w:sz w:val="24"/>
          <w:szCs w:val="24"/>
        </w:rPr>
      </w:pPr>
      <w:r w:rsidRPr="00F20B59">
        <w:rPr>
          <w:rFonts w:ascii="Times New Roman" w:hAnsi="Times New Roman"/>
          <w:sz w:val="24"/>
          <w:szCs w:val="24"/>
          <w:u w:val="single"/>
        </w:rPr>
        <w:t>Median</w:t>
      </w:r>
      <w:r w:rsidRPr="00F20B59">
        <w:rPr>
          <w:rFonts w:ascii="Times New Roman" w:hAnsi="Times New Roman"/>
          <w:sz w:val="24"/>
          <w:szCs w:val="24"/>
        </w:rPr>
        <w:t xml:space="preserve"> length of visit for </w:t>
      </w:r>
      <w:r w:rsidRPr="00F20B59">
        <w:rPr>
          <w:rFonts w:ascii="Times New Roman" w:hAnsi="Times New Roman"/>
          <w:sz w:val="24"/>
          <w:szCs w:val="24"/>
          <w:u w:val="single"/>
        </w:rPr>
        <w:t>patients admitted to the hospital through the ED</w:t>
      </w:r>
    </w:p>
    <w:p w:rsidR="000C2E2D" w:rsidRPr="00F20B59" w:rsidRDefault="000C2E2D" w:rsidP="00794F8B">
      <w:pPr>
        <w:rPr>
          <w:color w:val="000000"/>
        </w:rPr>
      </w:pPr>
    </w:p>
    <w:p w:rsidR="00133015" w:rsidRPr="00F20B59" w:rsidRDefault="00133015" w:rsidP="00133015">
      <w:pPr>
        <w:ind w:left="360"/>
        <w:rPr>
          <w:color w:val="000000"/>
          <w:sz w:val="22"/>
          <w:u w:val="single"/>
        </w:rPr>
      </w:pPr>
      <w:r w:rsidRPr="00F20B59">
        <w:rPr>
          <w:color w:val="000000"/>
          <w:sz w:val="22"/>
          <w:u w:val="single"/>
        </w:rPr>
        <w:t>Table 2: ED hospitals in 2012 NHAMCS Sampling Frame, Regular Sample and Supplemental Sample by SR/NSR and MSA Status of Area</w:t>
      </w:r>
    </w:p>
    <w:p w:rsidR="002C682A" w:rsidRPr="00F20B59" w:rsidRDefault="002C682A" w:rsidP="00133015">
      <w:pPr>
        <w:ind w:left="360"/>
        <w:rPr>
          <w:color w:val="000000"/>
          <w:sz w:val="22"/>
          <w:u w:val="single"/>
        </w:rPr>
      </w:pPr>
    </w:p>
    <w:tbl>
      <w:tblPr>
        <w:tblW w:w="0" w:type="auto"/>
        <w:tblInd w:w="468" w:type="dxa"/>
        <w:tblLook w:val="04A0"/>
      </w:tblPr>
      <w:tblGrid>
        <w:gridCol w:w="971"/>
        <w:gridCol w:w="1301"/>
        <w:gridCol w:w="607"/>
        <w:gridCol w:w="937"/>
        <w:gridCol w:w="607"/>
        <w:gridCol w:w="222"/>
        <w:gridCol w:w="937"/>
        <w:gridCol w:w="222"/>
        <w:gridCol w:w="486"/>
      </w:tblGrid>
      <w:tr w:rsidR="002C682A" w:rsidRPr="00F20B59" w:rsidTr="002C682A">
        <w:trPr>
          <w:trHeight w:val="315"/>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State</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Data Source</w:t>
            </w:r>
          </w:p>
        </w:tc>
        <w:tc>
          <w:tcPr>
            <w:tcW w:w="0" w:type="auto"/>
            <w:gridSpan w:val="2"/>
            <w:tcBorders>
              <w:top w:val="single" w:sz="4" w:space="0" w:color="auto"/>
              <w:left w:val="single" w:sz="4" w:space="0" w:color="auto"/>
              <w:bottom w:val="nil"/>
              <w:right w:val="single" w:sz="4" w:space="0" w:color="auto"/>
            </w:tcBorders>
            <w:shd w:val="clear" w:color="auto" w:fill="auto"/>
            <w:noWrap/>
            <w:vAlign w:val="bottom"/>
            <w:hideMark/>
          </w:tcPr>
          <w:p w:rsidR="002C682A" w:rsidRPr="00F20B59" w:rsidRDefault="002C682A" w:rsidP="002C682A">
            <w:pPr>
              <w:jc w:val="center"/>
              <w:rPr>
                <w:color w:val="000000"/>
                <w:sz w:val="18"/>
                <w:szCs w:val="18"/>
              </w:rPr>
            </w:pPr>
            <w:r w:rsidRPr="00F20B59">
              <w:rPr>
                <w:color w:val="000000"/>
                <w:sz w:val="18"/>
                <w:szCs w:val="18"/>
              </w:rPr>
              <w:t>Certainty PSUs</w:t>
            </w:r>
          </w:p>
        </w:tc>
        <w:tc>
          <w:tcPr>
            <w:tcW w:w="0" w:type="auto"/>
            <w:gridSpan w:val="3"/>
            <w:tcBorders>
              <w:top w:val="single" w:sz="4" w:space="0" w:color="auto"/>
              <w:left w:val="single" w:sz="4" w:space="0" w:color="auto"/>
              <w:bottom w:val="nil"/>
              <w:right w:val="single" w:sz="4" w:space="0" w:color="auto"/>
            </w:tcBorders>
            <w:shd w:val="clear" w:color="auto" w:fill="auto"/>
            <w:noWrap/>
            <w:vAlign w:val="bottom"/>
            <w:hideMark/>
          </w:tcPr>
          <w:p w:rsidR="002C682A" w:rsidRPr="00F20B59" w:rsidRDefault="002C682A" w:rsidP="002C682A">
            <w:pPr>
              <w:jc w:val="center"/>
              <w:rPr>
                <w:color w:val="000000"/>
                <w:sz w:val="18"/>
                <w:szCs w:val="18"/>
              </w:rPr>
            </w:pPr>
            <w:r w:rsidRPr="00F20B59">
              <w:rPr>
                <w:color w:val="000000"/>
                <w:sz w:val="18"/>
                <w:szCs w:val="18"/>
              </w:rPr>
              <w:t>All other areas</w:t>
            </w:r>
          </w:p>
        </w:tc>
        <w:tc>
          <w:tcPr>
            <w:tcW w:w="0" w:type="auto"/>
            <w:gridSpan w:val="2"/>
            <w:tcBorders>
              <w:top w:val="single" w:sz="4" w:space="0" w:color="auto"/>
              <w:left w:val="single" w:sz="4" w:space="0" w:color="auto"/>
              <w:bottom w:val="nil"/>
              <w:right w:val="single" w:sz="4" w:space="0" w:color="auto"/>
            </w:tcBorders>
            <w:shd w:val="clear" w:color="auto" w:fill="auto"/>
            <w:vAlign w:val="bottom"/>
          </w:tcPr>
          <w:p w:rsidR="002C682A" w:rsidRPr="00F20B59" w:rsidRDefault="002C682A" w:rsidP="002C682A">
            <w:pPr>
              <w:rPr>
                <w:color w:val="000000"/>
                <w:sz w:val="18"/>
                <w:szCs w:val="18"/>
              </w:rPr>
            </w:pPr>
            <w:r w:rsidRPr="00F20B59">
              <w:rPr>
                <w:color w:val="000000"/>
                <w:sz w:val="18"/>
                <w:szCs w:val="18"/>
              </w:rPr>
              <w:t>Totals</w:t>
            </w:r>
          </w:p>
        </w:tc>
      </w:tr>
      <w:tr w:rsidR="002C682A" w:rsidRPr="00F20B59" w:rsidTr="002C682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Sample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682A" w:rsidRPr="00F20B59" w:rsidRDefault="002C682A" w:rsidP="002C682A">
            <w:pPr>
              <w:jc w:val="center"/>
              <w:rPr>
                <w:color w:val="000000"/>
                <w:sz w:val="18"/>
                <w:szCs w:val="18"/>
              </w:rPr>
            </w:pPr>
            <w:r w:rsidRPr="00F20B59">
              <w:rPr>
                <w:color w:val="000000"/>
                <w:sz w:val="18"/>
                <w:szCs w:val="18"/>
              </w:rPr>
              <w:t>MSA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682A" w:rsidRPr="00F20B59" w:rsidRDefault="002C682A" w:rsidP="002C682A">
            <w:pPr>
              <w:jc w:val="center"/>
              <w:rPr>
                <w:color w:val="000000"/>
                <w:sz w:val="18"/>
                <w:szCs w:val="18"/>
              </w:rPr>
            </w:pPr>
            <w:r w:rsidRPr="00F20B59">
              <w:rPr>
                <w:color w:val="000000"/>
                <w:sz w:val="18"/>
                <w:szCs w:val="18"/>
              </w:rPr>
              <w:t>non-MSA</w:t>
            </w: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2C682A" w:rsidRPr="00F20B59" w:rsidRDefault="002C682A" w:rsidP="002C682A">
            <w:pPr>
              <w:jc w:val="center"/>
              <w:rPr>
                <w:color w:val="000000"/>
                <w:sz w:val="18"/>
                <w:szCs w:val="18"/>
              </w:rPr>
            </w:pPr>
            <w:r w:rsidRPr="00F20B59">
              <w:rPr>
                <w:color w:val="000000"/>
                <w:sz w:val="18"/>
                <w:szCs w:val="18"/>
              </w:rPr>
              <w:t>MSA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C682A" w:rsidRPr="00F20B59" w:rsidRDefault="002C682A" w:rsidP="002C682A">
            <w:pPr>
              <w:jc w:val="center"/>
              <w:rPr>
                <w:color w:val="000000"/>
                <w:sz w:val="18"/>
                <w:szCs w:val="18"/>
              </w:rPr>
            </w:pPr>
          </w:p>
        </w:tc>
        <w:tc>
          <w:tcPr>
            <w:tcW w:w="0" w:type="auto"/>
            <w:tcBorders>
              <w:top w:val="single" w:sz="4" w:space="0" w:color="auto"/>
              <w:left w:val="single" w:sz="4" w:space="0" w:color="auto"/>
              <w:bottom w:val="single" w:sz="4" w:space="0" w:color="auto"/>
              <w:right w:val="nil"/>
            </w:tcBorders>
            <w:shd w:val="clear" w:color="auto" w:fill="auto"/>
            <w:vAlign w:val="bottom"/>
          </w:tcPr>
          <w:p w:rsidR="002C682A" w:rsidRPr="00F20B59" w:rsidRDefault="002C682A" w:rsidP="002C682A">
            <w:pPr>
              <w:jc w:val="center"/>
              <w:rPr>
                <w:color w:val="000000"/>
                <w:sz w:val="18"/>
                <w:szCs w:val="18"/>
              </w:rPr>
            </w:pPr>
            <w:r w:rsidRPr="00F20B59">
              <w:rPr>
                <w:color w:val="000000"/>
                <w:sz w:val="18"/>
                <w:szCs w:val="18"/>
              </w:rPr>
              <w:t>non-MSA</w:t>
            </w:r>
          </w:p>
        </w:tc>
        <w:tc>
          <w:tcPr>
            <w:tcW w:w="0" w:type="auto"/>
            <w:tcBorders>
              <w:left w:val="single" w:sz="4" w:space="0" w:color="auto"/>
              <w:bottom w:val="single" w:sz="4" w:space="0" w:color="auto"/>
              <w:right w:val="nil"/>
            </w:tcBorders>
            <w:shd w:val="clear" w:color="auto" w:fill="auto"/>
            <w:vAlign w:val="bottom"/>
          </w:tcPr>
          <w:p w:rsidR="002C682A" w:rsidRPr="00F20B59" w:rsidRDefault="002C682A" w:rsidP="002C682A">
            <w:pP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 </w:t>
            </w:r>
          </w:p>
        </w:tc>
      </w:tr>
      <w:tr w:rsidR="002C682A" w:rsidRPr="00F20B59" w:rsidTr="002C682A">
        <w:trPr>
          <w:trHeight w:val="187"/>
        </w:trPr>
        <w:tc>
          <w:tcPr>
            <w:tcW w:w="0" w:type="auto"/>
            <w:tcBorders>
              <w:top w:val="nil"/>
              <w:left w:val="single" w:sz="4" w:space="0" w:color="auto"/>
              <w:bottom w:val="nil"/>
              <w:right w:val="nil"/>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California</w:t>
            </w:r>
          </w:p>
        </w:tc>
        <w:tc>
          <w:tcPr>
            <w:tcW w:w="0" w:type="auto"/>
            <w:tcBorders>
              <w:top w:val="nil"/>
              <w:left w:val="single" w:sz="4" w:space="0" w:color="auto"/>
              <w:bottom w:val="nil"/>
              <w:right w:val="single" w:sz="4" w:space="0" w:color="auto"/>
            </w:tcBorders>
            <w:shd w:val="clear" w:color="auto" w:fill="auto"/>
            <w:vAlign w:val="bottom"/>
          </w:tcPr>
          <w:p w:rsidR="002C682A" w:rsidRPr="00F20B59" w:rsidRDefault="002C682A" w:rsidP="002C682A">
            <w:pPr>
              <w:rPr>
                <w:color w:val="000000"/>
                <w:sz w:val="18"/>
                <w:szCs w:val="18"/>
              </w:rPr>
            </w:pP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nil"/>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nil"/>
            </w:tcBorders>
            <w:shd w:val="clear" w:color="auto" w:fill="auto"/>
            <w:vAlign w:val="bottom"/>
          </w:tcPr>
          <w:p w:rsidR="002C682A" w:rsidRPr="00F20B59" w:rsidRDefault="002C682A">
            <w:pPr>
              <w:rPr>
                <w:color w:val="000000"/>
                <w:sz w:val="18"/>
                <w:szCs w:val="18"/>
              </w:rPr>
            </w:pPr>
          </w:p>
        </w:tc>
        <w:tc>
          <w:tcPr>
            <w:tcW w:w="0" w:type="auto"/>
            <w:tcBorders>
              <w:top w:val="nil"/>
              <w:left w:val="single" w:sz="4" w:space="0" w:color="auto"/>
              <w:bottom w:val="nil"/>
              <w:right w:val="nil"/>
            </w:tcBorders>
            <w:shd w:val="clear" w:color="auto" w:fill="auto"/>
            <w:vAlign w:val="bottom"/>
          </w:tcPr>
          <w:p w:rsidR="002C682A" w:rsidRPr="00F20B59" w:rsidRDefault="002C682A">
            <w:pPr>
              <w:rPr>
                <w:color w:val="000000"/>
                <w:sz w:val="18"/>
                <w:szCs w:val="18"/>
              </w:rPr>
            </w:pP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pPr>
              <w:rPr>
                <w:color w:val="000000"/>
                <w:sz w:val="18"/>
                <w:szCs w:val="18"/>
              </w:rPr>
            </w:pPr>
          </w:p>
        </w:tc>
      </w:tr>
      <w:tr w:rsidR="002C682A" w:rsidRPr="00F20B59" w:rsidTr="002C682A">
        <w:trPr>
          <w:trHeight w:val="187"/>
        </w:trPr>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Frame</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247</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0</w:t>
            </w:r>
          </w:p>
        </w:tc>
        <w:tc>
          <w:tcPr>
            <w:tcW w:w="0" w:type="auto"/>
            <w:tcBorders>
              <w:top w:val="nil"/>
              <w:left w:val="single" w:sz="4" w:space="0" w:color="auto"/>
              <w:bottom w:val="nil"/>
              <w:right w:val="nil"/>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84</w:t>
            </w: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rsidP="002C682A">
            <w:pPr>
              <w:jc w:val="right"/>
              <w:rPr>
                <w:color w:val="000000"/>
                <w:sz w:val="18"/>
                <w:szCs w:val="18"/>
              </w:rPr>
            </w:pP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r w:rsidRPr="00F20B59">
              <w:rPr>
                <w:color w:val="000000"/>
                <w:sz w:val="18"/>
                <w:szCs w:val="18"/>
              </w:rPr>
              <w:t>32</w:t>
            </w: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363</w:t>
            </w:r>
          </w:p>
        </w:tc>
      </w:tr>
      <w:tr w:rsidR="002C682A" w:rsidRPr="00F20B59" w:rsidTr="002C682A">
        <w:trPr>
          <w:trHeight w:val="187"/>
        </w:trPr>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Sample</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44</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nil"/>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15</w:t>
            </w: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rsidP="002C682A">
            <w:pPr>
              <w:jc w:val="right"/>
              <w:rPr>
                <w:color w:val="000000"/>
                <w:sz w:val="18"/>
                <w:szCs w:val="18"/>
              </w:rPr>
            </w:pP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r w:rsidRPr="00F20B59">
              <w:rPr>
                <w:color w:val="000000"/>
                <w:sz w:val="18"/>
                <w:szCs w:val="18"/>
              </w:rPr>
              <w:t>5</w:t>
            </w: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64</w:t>
            </w:r>
          </w:p>
        </w:tc>
      </w:tr>
      <w:tr w:rsidR="002C682A" w:rsidRPr="00F20B59" w:rsidTr="002C682A">
        <w:trPr>
          <w:trHeight w:val="187"/>
        </w:trPr>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 xml:space="preserve">     Regular </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37</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0</w:t>
            </w:r>
          </w:p>
        </w:tc>
        <w:tc>
          <w:tcPr>
            <w:tcW w:w="0" w:type="auto"/>
            <w:tcBorders>
              <w:top w:val="nil"/>
              <w:left w:val="single" w:sz="4" w:space="0" w:color="auto"/>
              <w:bottom w:val="nil"/>
              <w:right w:val="nil"/>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11</w:t>
            </w: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rsidP="002C682A">
            <w:pPr>
              <w:jc w:val="right"/>
              <w:rPr>
                <w:color w:val="000000"/>
                <w:sz w:val="18"/>
                <w:szCs w:val="18"/>
              </w:rPr>
            </w:pP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r w:rsidRPr="00F20B59">
              <w:rPr>
                <w:color w:val="000000"/>
                <w:sz w:val="18"/>
                <w:szCs w:val="18"/>
              </w:rPr>
              <w:t>1</w:t>
            </w: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49</w:t>
            </w:r>
          </w:p>
        </w:tc>
      </w:tr>
      <w:tr w:rsidR="002C682A" w:rsidRPr="00F20B59" w:rsidTr="002C682A">
        <w:trPr>
          <w:trHeight w:val="187"/>
        </w:trPr>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rsidP="002C682A">
            <w:pPr>
              <w:rPr>
                <w:color w:val="000000"/>
                <w:sz w:val="18"/>
                <w:szCs w:val="18"/>
              </w:rPr>
            </w:pPr>
            <w:r w:rsidRPr="00F20B59">
              <w:rPr>
                <w:color w:val="000000"/>
                <w:sz w:val="18"/>
                <w:szCs w:val="18"/>
              </w:rPr>
              <w:t xml:space="preserve">     Supplement</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7</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nil"/>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4</w:t>
            </w: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rsidP="002C682A">
            <w:pPr>
              <w:jc w:val="right"/>
              <w:rPr>
                <w:color w:val="000000"/>
                <w:sz w:val="18"/>
                <w:szCs w:val="18"/>
              </w:rPr>
            </w:pP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r w:rsidRPr="00F20B59">
              <w:rPr>
                <w:color w:val="000000"/>
                <w:sz w:val="18"/>
                <w:szCs w:val="18"/>
              </w:rPr>
              <w:t>4</w:t>
            </w: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15</w:t>
            </w:r>
          </w:p>
        </w:tc>
      </w:tr>
      <w:tr w:rsidR="002C682A" w:rsidRPr="00F20B59" w:rsidTr="002C682A">
        <w:trPr>
          <w:trHeight w:val="187"/>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Texas</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 </w:t>
            </w:r>
          </w:p>
        </w:tc>
        <w:tc>
          <w:tcPr>
            <w:tcW w:w="0" w:type="auto"/>
            <w:tcBorders>
              <w:top w:val="single" w:sz="4" w:space="0" w:color="auto"/>
              <w:left w:val="single" w:sz="4" w:space="0" w:color="auto"/>
              <w:bottom w:val="nil"/>
              <w:right w:val="nil"/>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 </w:t>
            </w:r>
          </w:p>
        </w:tc>
        <w:tc>
          <w:tcPr>
            <w:tcW w:w="0" w:type="auto"/>
            <w:tcBorders>
              <w:top w:val="single" w:sz="4" w:space="0" w:color="auto"/>
              <w:left w:val="nil"/>
              <w:bottom w:val="nil"/>
              <w:right w:val="single" w:sz="4" w:space="0" w:color="auto"/>
            </w:tcBorders>
            <w:shd w:val="clear" w:color="auto" w:fill="auto"/>
            <w:noWrap/>
            <w:vAlign w:val="bottom"/>
            <w:hideMark/>
          </w:tcPr>
          <w:p w:rsidR="002C682A" w:rsidRPr="00F20B59" w:rsidRDefault="002C682A" w:rsidP="002C682A">
            <w:pPr>
              <w:rPr>
                <w:color w:val="000000"/>
                <w:sz w:val="18"/>
                <w:szCs w:val="18"/>
              </w:rPr>
            </w:pPr>
          </w:p>
        </w:tc>
        <w:tc>
          <w:tcPr>
            <w:tcW w:w="0" w:type="auto"/>
            <w:tcBorders>
              <w:top w:val="single" w:sz="4" w:space="0" w:color="auto"/>
              <w:left w:val="single" w:sz="4" w:space="0" w:color="auto"/>
              <w:bottom w:val="nil"/>
              <w:right w:val="nil"/>
            </w:tcBorders>
            <w:shd w:val="clear" w:color="auto" w:fill="auto"/>
            <w:vAlign w:val="bottom"/>
          </w:tcPr>
          <w:p w:rsidR="002C682A" w:rsidRPr="00F20B59" w:rsidRDefault="002C682A" w:rsidP="002C682A">
            <w:pPr>
              <w:rPr>
                <w:color w:val="000000"/>
                <w:sz w:val="18"/>
                <w:szCs w:val="18"/>
              </w:rPr>
            </w:pPr>
            <w:r w:rsidRPr="00F20B59">
              <w:rPr>
                <w:color w:val="000000"/>
                <w:sz w:val="18"/>
                <w:szCs w:val="18"/>
              </w:rPr>
              <w:t> </w:t>
            </w:r>
          </w:p>
        </w:tc>
        <w:tc>
          <w:tcPr>
            <w:tcW w:w="0" w:type="auto"/>
            <w:tcBorders>
              <w:top w:val="single" w:sz="4" w:space="0" w:color="auto"/>
              <w:left w:val="single" w:sz="4" w:space="0" w:color="auto"/>
              <w:bottom w:val="nil"/>
              <w:right w:val="nil"/>
            </w:tcBorders>
            <w:shd w:val="clear" w:color="auto" w:fill="auto"/>
            <w:vAlign w:val="bottom"/>
          </w:tcPr>
          <w:p w:rsidR="002C682A" w:rsidRPr="00F20B59" w:rsidRDefault="002C682A" w:rsidP="002C682A">
            <w:pPr>
              <w:rPr>
                <w:color w:val="000000"/>
                <w:sz w:val="18"/>
                <w:szCs w:val="18"/>
              </w:rPr>
            </w:pPr>
          </w:p>
        </w:tc>
        <w:tc>
          <w:tcPr>
            <w:tcW w:w="0" w:type="auto"/>
            <w:tcBorders>
              <w:top w:val="single" w:sz="4" w:space="0" w:color="auto"/>
              <w:left w:val="nil"/>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 </w:t>
            </w:r>
          </w:p>
        </w:tc>
      </w:tr>
      <w:tr w:rsidR="002C682A" w:rsidRPr="00F20B59" w:rsidTr="002C682A">
        <w:trPr>
          <w:trHeight w:val="187"/>
        </w:trPr>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Frame</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125</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0</w:t>
            </w:r>
          </w:p>
        </w:tc>
        <w:tc>
          <w:tcPr>
            <w:tcW w:w="0" w:type="auto"/>
            <w:tcBorders>
              <w:top w:val="nil"/>
              <w:left w:val="single" w:sz="4" w:space="0" w:color="auto"/>
              <w:bottom w:val="nil"/>
              <w:right w:val="nil"/>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154</w:t>
            </w: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rsidP="002C682A">
            <w:pPr>
              <w:jc w:val="right"/>
              <w:rPr>
                <w:color w:val="000000"/>
                <w:sz w:val="18"/>
                <w:szCs w:val="18"/>
              </w:rPr>
            </w:pP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r w:rsidRPr="00F20B59">
              <w:rPr>
                <w:color w:val="000000"/>
                <w:sz w:val="18"/>
                <w:szCs w:val="18"/>
              </w:rPr>
              <w:t>150</w:t>
            </w: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429</w:t>
            </w:r>
          </w:p>
        </w:tc>
      </w:tr>
      <w:tr w:rsidR="002C682A" w:rsidRPr="00F20B59" w:rsidTr="002C682A">
        <w:trPr>
          <w:trHeight w:val="187"/>
        </w:trPr>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Sample</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24</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nil"/>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30</w:t>
            </w: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rsidP="002C682A">
            <w:pPr>
              <w:jc w:val="right"/>
              <w:rPr>
                <w:color w:val="000000"/>
                <w:sz w:val="18"/>
                <w:szCs w:val="18"/>
              </w:rPr>
            </w:pP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r w:rsidRPr="00F20B59">
              <w:rPr>
                <w:color w:val="000000"/>
                <w:sz w:val="18"/>
                <w:szCs w:val="18"/>
              </w:rPr>
              <w:t>10</w:t>
            </w: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64</w:t>
            </w:r>
          </w:p>
        </w:tc>
      </w:tr>
      <w:tr w:rsidR="002C682A" w:rsidRPr="00F20B59" w:rsidTr="002C682A">
        <w:trPr>
          <w:trHeight w:val="187"/>
        </w:trPr>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rsidP="00466EA3">
            <w:pPr>
              <w:rPr>
                <w:color w:val="000000"/>
                <w:sz w:val="18"/>
                <w:szCs w:val="18"/>
              </w:rPr>
            </w:pPr>
            <w:r w:rsidRPr="00F20B59">
              <w:rPr>
                <w:color w:val="000000"/>
                <w:sz w:val="18"/>
                <w:szCs w:val="18"/>
              </w:rPr>
              <w:t xml:space="preserve">     Regular </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13</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0</w:t>
            </w:r>
          </w:p>
        </w:tc>
        <w:tc>
          <w:tcPr>
            <w:tcW w:w="0" w:type="auto"/>
            <w:tcBorders>
              <w:top w:val="nil"/>
              <w:left w:val="single" w:sz="4" w:space="0" w:color="auto"/>
              <w:bottom w:val="nil"/>
              <w:right w:val="nil"/>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18</w:t>
            </w: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rsidP="002C682A">
            <w:pPr>
              <w:jc w:val="right"/>
              <w:rPr>
                <w:color w:val="000000"/>
                <w:sz w:val="18"/>
                <w:szCs w:val="18"/>
              </w:rPr>
            </w:pP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r w:rsidRPr="00F20B59">
              <w:rPr>
                <w:color w:val="000000"/>
                <w:sz w:val="18"/>
                <w:szCs w:val="18"/>
              </w:rPr>
              <w:t>6</w:t>
            </w: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37</w:t>
            </w:r>
          </w:p>
        </w:tc>
      </w:tr>
      <w:tr w:rsidR="002C682A" w:rsidRPr="00F20B59" w:rsidTr="002C682A">
        <w:trPr>
          <w:trHeight w:val="187"/>
        </w:trPr>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rsidP="00466EA3">
            <w:pPr>
              <w:rPr>
                <w:color w:val="000000"/>
                <w:sz w:val="18"/>
                <w:szCs w:val="18"/>
              </w:rPr>
            </w:pPr>
            <w:r w:rsidRPr="00F20B59">
              <w:rPr>
                <w:color w:val="000000"/>
                <w:sz w:val="18"/>
                <w:szCs w:val="18"/>
              </w:rPr>
              <w:t xml:space="preserve">     Supplement</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11</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nil"/>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12</w:t>
            </w: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rsidP="002C682A">
            <w:pPr>
              <w:jc w:val="right"/>
              <w:rPr>
                <w:color w:val="000000"/>
                <w:sz w:val="18"/>
                <w:szCs w:val="18"/>
              </w:rPr>
            </w:pP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r w:rsidRPr="00F20B59">
              <w:rPr>
                <w:color w:val="000000"/>
                <w:sz w:val="18"/>
                <w:szCs w:val="18"/>
              </w:rPr>
              <w:t>4</w:t>
            </w: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27</w:t>
            </w:r>
          </w:p>
        </w:tc>
      </w:tr>
      <w:tr w:rsidR="002C682A" w:rsidRPr="00F20B59" w:rsidTr="002C682A">
        <w:trPr>
          <w:trHeight w:val="187"/>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New York</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 </w:t>
            </w:r>
          </w:p>
        </w:tc>
        <w:tc>
          <w:tcPr>
            <w:tcW w:w="0" w:type="auto"/>
            <w:tcBorders>
              <w:top w:val="single" w:sz="4" w:space="0" w:color="auto"/>
              <w:left w:val="single" w:sz="4" w:space="0" w:color="auto"/>
              <w:bottom w:val="nil"/>
              <w:right w:val="nil"/>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 </w:t>
            </w:r>
          </w:p>
        </w:tc>
        <w:tc>
          <w:tcPr>
            <w:tcW w:w="0" w:type="auto"/>
            <w:tcBorders>
              <w:top w:val="single" w:sz="4" w:space="0" w:color="auto"/>
              <w:left w:val="nil"/>
              <w:bottom w:val="nil"/>
              <w:right w:val="single" w:sz="4" w:space="0" w:color="auto"/>
            </w:tcBorders>
            <w:shd w:val="clear" w:color="auto" w:fill="auto"/>
            <w:noWrap/>
            <w:vAlign w:val="bottom"/>
            <w:hideMark/>
          </w:tcPr>
          <w:p w:rsidR="002C682A" w:rsidRPr="00F20B59" w:rsidRDefault="002C682A" w:rsidP="002C682A">
            <w:pPr>
              <w:rPr>
                <w:color w:val="000000"/>
                <w:sz w:val="18"/>
                <w:szCs w:val="18"/>
              </w:rPr>
            </w:pPr>
          </w:p>
        </w:tc>
        <w:tc>
          <w:tcPr>
            <w:tcW w:w="0" w:type="auto"/>
            <w:tcBorders>
              <w:top w:val="single" w:sz="4" w:space="0" w:color="auto"/>
              <w:left w:val="single" w:sz="4" w:space="0" w:color="auto"/>
              <w:bottom w:val="nil"/>
              <w:right w:val="nil"/>
            </w:tcBorders>
            <w:shd w:val="clear" w:color="auto" w:fill="auto"/>
            <w:vAlign w:val="bottom"/>
          </w:tcPr>
          <w:p w:rsidR="002C682A" w:rsidRPr="00F20B59" w:rsidRDefault="002C682A" w:rsidP="002C682A">
            <w:pPr>
              <w:rPr>
                <w:color w:val="000000"/>
                <w:sz w:val="18"/>
                <w:szCs w:val="18"/>
              </w:rPr>
            </w:pPr>
            <w:r w:rsidRPr="00F20B59">
              <w:rPr>
                <w:color w:val="000000"/>
                <w:sz w:val="18"/>
                <w:szCs w:val="18"/>
              </w:rPr>
              <w:t> </w:t>
            </w:r>
          </w:p>
        </w:tc>
        <w:tc>
          <w:tcPr>
            <w:tcW w:w="0" w:type="auto"/>
            <w:tcBorders>
              <w:top w:val="single" w:sz="4" w:space="0" w:color="auto"/>
              <w:left w:val="single" w:sz="4" w:space="0" w:color="auto"/>
              <w:bottom w:val="nil"/>
              <w:right w:val="nil"/>
            </w:tcBorders>
            <w:shd w:val="clear" w:color="auto" w:fill="auto"/>
            <w:vAlign w:val="bottom"/>
          </w:tcPr>
          <w:p w:rsidR="002C682A" w:rsidRPr="00F20B59" w:rsidRDefault="002C682A" w:rsidP="002C682A">
            <w:pPr>
              <w:rPr>
                <w:color w:val="000000"/>
                <w:sz w:val="18"/>
                <w:szCs w:val="18"/>
              </w:rPr>
            </w:pPr>
          </w:p>
        </w:tc>
        <w:tc>
          <w:tcPr>
            <w:tcW w:w="0" w:type="auto"/>
            <w:tcBorders>
              <w:top w:val="single" w:sz="4" w:space="0" w:color="auto"/>
              <w:left w:val="nil"/>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 </w:t>
            </w:r>
          </w:p>
        </w:tc>
      </w:tr>
      <w:tr w:rsidR="002C682A" w:rsidRPr="00F20B59" w:rsidTr="002C682A">
        <w:trPr>
          <w:trHeight w:val="187"/>
        </w:trPr>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Frame</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97</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0</w:t>
            </w:r>
          </w:p>
        </w:tc>
        <w:tc>
          <w:tcPr>
            <w:tcW w:w="0" w:type="auto"/>
            <w:tcBorders>
              <w:top w:val="nil"/>
              <w:left w:val="single" w:sz="4" w:space="0" w:color="auto"/>
              <w:bottom w:val="nil"/>
              <w:right w:val="nil"/>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62</w:t>
            </w: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rsidP="002C682A">
            <w:pPr>
              <w:jc w:val="right"/>
              <w:rPr>
                <w:color w:val="000000"/>
                <w:sz w:val="18"/>
                <w:szCs w:val="18"/>
              </w:rPr>
            </w:pP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r w:rsidRPr="00F20B59">
              <w:rPr>
                <w:color w:val="000000"/>
                <w:sz w:val="18"/>
                <w:szCs w:val="18"/>
              </w:rPr>
              <w:t>44</w:t>
            </w: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203</w:t>
            </w:r>
          </w:p>
        </w:tc>
      </w:tr>
      <w:tr w:rsidR="002C682A" w:rsidRPr="00F20B59" w:rsidTr="002C682A">
        <w:trPr>
          <w:trHeight w:val="187"/>
        </w:trPr>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Sample</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36</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nil"/>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23</w:t>
            </w: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rsidP="002C682A">
            <w:pPr>
              <w:jc w:val="right"/>
              <w:rPr>
                <w:color w:val="000000"/>
                <w:sz w:val="18"/>
                <w:szCs w:val="18"/>
              </w:rPr>
            </w:pP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r w:rsidRPr="00F20B59">
              <w:rPr>
                <w:color w:val="000000"/>
                <w:sz w:val="18"/>
                <w:szCs w:val="18"/>
              </w:rPr>
              <w:t>5</w:t>
            </w: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64</w:t>
            </w:r>
          </w:p>
        </w:tc>
      </w:tr>
      <w:tr w:rsidR="002C682A" w:rsidRPr="00F20B59" w:rsidTr="002C682A">
        <w:trPr>
          <w:trHeight w:val="187"/>
        </w:trPr>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rsidP="00466EA3">
            <w:pPr>
              <w:rPr>
                <w:color w:val="000000"/>
                <w:sz w:val="18"/>
                <w:szCs w:val="18"/>
              </w:rPr>
            </w:pPr>
            <w:r w:rsidRPr="00F20B59">
              <w:rPr>
                <w:color w:val="000000"/>
                <w:sz w:val="18"/>
                <w:szCs w:val="18"/>
              </w:rPr>
              <w:t xml:space="preserve">     Regular </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27</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0</w:t>
            </w:r>
          </w:p>
        </w:tc>
        <w:tc>
          <w:tcPr>
            <w:tcW w:w="0" w:type="auto"/>
            <w:tcBorders>
              <w:top w:val="nil"/>
              <w:left w:val="single" w:sz="4" w:space="0" w:color="auto"/>
              <w:bottom w:val="nil"/>
              <w:right w:val="nil"/>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3</w:t>
            </w: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rsidP="002C682A">
            <w:pPr>
              <w:jc w:val="right"/>
              <w:rPr>
                <w:color w:val="000000"/>
                <w:sz w:val="18"/>
                <w:szCs w:val="18"/>
              </w:rPr>
            </w:pP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r w:rsidRPr="00F20B59">
              <w:rPr>
                <w:color w:val="000000"/>
                <w:sz w:val="18"/>
                <w:szCs w:val="18"/>
              </w:rPr>
              <w:t>0</w:t>
            </w: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30</w:t>
            </w:r>
          </w:p>
        </w:tc>
      </w:tr>
      <w:tr w:rsidR="002C682A" w:rsidRPr="00F20B59" w:rsidTr="002C682A">
        <w:trPr>
          <w:trHeight w:val="187"/>
        </w:trPr>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rsidP="00466EA3">
            <w:pPr>
              <w:rPr>
                <w:color w:val="000000"/>
                <w:sz w:val="18"/>
                <w:szCs w:val="18"/>
              </w:rPr>
            </w:pPr>
            <w:r w:rsidRPr="00F20B59">
              <w:rPr>
                <w:color w:val="000000"/>
                <w:sz w:val="18"/>
                <w:szCs w:val="18"/>
              </w:rPr>
              <w:t xml:space="preserve">     Supplement</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9</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nil"/>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20</w:t>
            </w: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rsidP="002C682A">
            <w:pPr>
              <w:jc w:val="right"/>
              <w:rPr>
                <w:color w:val="000000"/>
                <w:sz w:val="18"/>
                <w:szCs w:val="18"/>
              </w:rPr>
            </w:pP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r w:rsidRPr="00F20B59">
              <w:rPr>
                <w:color w:val="000000"/>
                <w:sz w:val="18"/>
                <w:szCs w:val="18"/>
              </w:rPr>
              <w:t>5</w:t>
            </w: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34</w:t>
            </w:r>
          </w:p>
        </w:tc>
      </w:tr>
      <w:tr w:rsidR="002C682A" w:rsidRPr="00F20B59" w:rsidTr="002C682A">
        <w:trPr>
          <w:trHeight w:val="187"/>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Florida</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 </w:t>
            </w:r>
          </w:p>
        </w:tc>
        <w:tc>
          <w:tcPr>
            <w:tcW w:w="0" w:type="auto"/>
            <w:tcBorders>
              <w:top w:val="single" w:sz="4" w:space="0" w:color="auto"/>
              <w:left w:val="single" w:sz="4" w:space="0" w:color="auto"/>
              <w:bottom w:val="nil"/>
              <w:right w:val="nil"/>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 </w:t>
            </w:r>
          </w:p>
        </w:tc>
        <w:tc>
          <w:tcPr>
            <w:tcW w:w="0" w:type="auto"/>
            <w:tcBorders>
              <w:top w:val="single" w:sz="4" w:space="0" w:color="auto"/>
              <w:left w:val="nil"/>
              <w:bottom w:val="nil"/>
              <w:right w:val="single" w:sz="4" w:space="0" w:color="auto"/>
            </w:tcBorders>
            <w:shd w:val="clear" w:color="auto" w:fill="auto"/>
            <w:noWrap/>
            <w:vAlign w:val="bottom"/>
            <w:hideMark/>
          </w:tcPr>
          <w:p w:rsidR="002C682A" w:rsidRPr="00F20B59" w:rsidRDefault="002C682A" w:rsidP="002C682A">
            <w:pPr>
              <w:rPr>
                <w:color w:val="000000"/>
                <w:sz w:val="18"/>
                <w:szCs w:val="18"/>
              </w:rPr>
            </w:pPr>
          </w:p>
        </w:tc>
        <w:tc>
          <w:tcPr>
            <w:tcW w:w="0" w:type="auto"/>
            <w:tcBorders>
              <w:top w:val="single" w:sz="4" w:space="0" w:color="auto"/>
              <w:left w:val="single" w:sz="4" w:space="0" w:color="auto"/>
              <w:bottom w:val="nil"/>
              <w:right w:val="nil"/>
            </w:tcBorders>
            <w:shd w:val="clear" w:color="auto" w:fill="auto"/>
            <w:vAlign w:val="bottom"/>
          </w:tcPr>
          <w:p w:rsidR="002C682A" w:rsidRPr="00F20B59" w:rsidRDefault="002C682A" w:rsidP="002C682A">
            <w:pPr>
              <w:rPr>
                <w:color w:val="000000"/>
                <w:sz w:val="18"/>
                <w:szCs w:val="18"/>
              </w:rPr>
            </w:pPr>
            <w:r w:rsidRPr="00F20B59">
              <w:rPr>
                <w:color w:val="000000"/>
                <w:sz w:val="18"/>
                <w:szCs w:val="18"/>
              </w:rPr>
              <w:t> </w:t>
            </w:r>
          </w:p>
        </w:tc>
        <w:tc>
          <w:tcPr>
            <w:tcW w:w="0" w:type="auto"/>
            <w:tcBorders>
              <w:top w:val="single" w:sz="4" w:space="0" w:color="auto"/>
              <w:left w:val="single" w:sz="4" w:space="0" w:color="auto"/>
              <w:bottom w:val="nil"/>
              <w:right w:val="nil"/>
            </w:tcBorders>
            <w:shd w:val="clear" w:color="auto" w:fill="auto"/>
            <w:vAlign w:val="bottom"/>
          </w:tcPr>
          <w:p w:rsidR="002C682A" w:rsidRPr="00F20B59" w:rsidRDefault="002C682A" w:rsidP="002C682A">
            <w:pPr>
              <w:rPr>
                <w:color w:val="000000"/>
                <w:sz w:val="18"/>
                <w:szCs w:val="18"/>
              </w:rPr>
            </w:pPr>
          </w:p>
        </w:tc>
        <w:tc>
          <w:tcPr>
            <w:tcW w:w="0" w:type="auto"/>
            <w:tcBorders>
              <w:top w:val="single" w:sz="4" w:space="0" w:color="auto"/>
              <w:left w:val="nil"/>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 </w:t>
            </w:r>
          </w:p>
        </w:tc>
      </w:tr>
      <w:tr w:rsidR="002C682A" w:rsidRPr="00F20B59" w:rsidTr="002C682A">
        <w:trPr>
          <w:trHeight w:val="187"/>
        </w:trPr>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Frame</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69</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0</w:t>
            </w:r>
          </w:p>
        </w:tc>
        <w:tc>
          <w:tcPr>
            <w:tcW w:w="0" w:type="auto"/>
            <w:tcBorders>
              <w:top w:val="nil"/>
              <w:left w:val="single" w:sz="4" w:space="0" w:color="auto"/>
              <w:bottom w:val="nil"/>
              <w:right w:val="nil"/>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105</w:t>
            </w: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rsidP="002C682A">
            <w:pPr>
              <w:jc w:val="right"/>
              <w:rPr>
                <w:color w:val="000000"/>
                <w:sz w:val="18"/>
                <w:szCs w:val="18"/>
              </w:rPr>
            </w:pP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r w:rsidRPr="00F20B59">
              <w:rPr>
                <w:color w:val="000000"/>
                <w:sz w:val="18"/>
                <w:szCs w:val="18"/>
              </w:rPr>
              <w:t>32</w:t>
            </w: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206</w:t>
            </w:r>
          </w:p>
        </w:tc>
      </w:tr>
      <w:tr w:rsidR="002C682A" w:rsidRPr="00F20B59" w:rsidTr="002C682A">
        <w:trPr>
          <w:trHeight w:val="187"/>
        </w:trPr>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Sample</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24</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nil"/>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35</w:t>
            </w: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rsidP="002C682A">
            <w:pPr>
              <w:jc w:val="right"/>
              <w:rPr>
                <w:color w:val="000000"/>
                <w:sz w:val="18"/>
                <w:szCs w:val="18"/>
              </w:rPr>
            </w:pP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r w:rsidRPr="00F20B59">
              <w:rPr>
                <w:color w:val="000000"/>
                <w:sz w:val="18"/>
                <w:szCs w:val="18"/>
              </w:rPr>
              <w:t>5</w:t>
            </w: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64</w:t>
            </w:r>
          </w:p>
        </w:tc>
      </w:tr>
      <w:tr w:rsidR="002C682A" w:rsidRPr="00F20B59" w:rsidTr="002C682A">
        <w:trPr>
          <w:trHeight w:val="187"/>
        </w:trPr>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rsidP="00466EA3">
            <w:pPr>
              <w:rPr>
                <w:color w:val="000000"/>
                <w:sz w:val="18"/>
                <w:szCs w:val="18"/>
              </w:rPr>
            </w:pPr>
            <w:r w:rsidRPr="00F20B59">
              <w:rPr>
                <w:color w:val="000000"/>
                <w:sz w:val="18"/>
                <w:szCs w:val="18"/>
              </w:rPr>
              <w:t xml:space="preserve">     Regular </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6</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0</w:t>
            </w:r>
          </w:p>
        </w:tc>
        <w:tc>
          <w:tcPr>
            <w:tcW w:w="0" w:type="auto"/>
            <w:tcBorders>
              <w:top w:val="nil"/>
              <w:left w:val="single" w:sz="4" w:space="0" w:color="auto"/>
              <w:bottom w:val="nil"/>
              <w:right w:val="nil"/>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4</w:t>
            </w: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rsidP="002C682A">
            <w:pPr>
              <w:jc w:val="right"/>
              <w:rPr>
                <w:color w:val="000000"/>
                <w:sz w:val="18"/>
                <w:szCs w:val="18"/>
              </w:rPr>
            </w:pP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r w:rsidRPr="00F20B59">
              <w:rPr>
                <w:color w:val="000000"/>
                <w:sz w:val="18"/>
                <w:szCs w:val="18"/>
              </w:rPr>
              <w:t>1</w:t>
            </w: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11</w:t>
            </w:r>
          </w:p>
        </w:tc>
      </w:tr>
      <w:tr w:rsidR="002C682A" w:rsidRPr="00F20B59" w:rsidTr="002C682A">
        <w:trPr>
          <w:trHeight w:val="187"/>
        </w:trPr>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rsidP="00466EA3">
            <w:pPr>
              <w:rPr>
                <w:color w:val="000000"/>
                <w:sz w:val="18"/>
                <w:szCs w:val="18"/>
              </w:rPr>
            </w:pPr>
            <w:r w:rsidRPr="00F20B59">
              <w:rPr>
                <w:color w:val="000000"/>
                <w:sz w:val="18"/>
                <w:szCs w:val="18"/>
              </w:rPr>
              <w:t xml:space="preserve">     Supplement</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18</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nil"/>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31</w:t>
            </w: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rsidP="002C682A">
            <w:pPr>
              <w:jc w:val="right"/>
              <w:rPr>
                <w:color w:val="000000"/>
                <w:sz w:val="18"/>
                <w:szCs w:val="18"/>
              </w:rPr>
            </w:pP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r w:rsidRPr="00F20B59">
              <w:rPr>
                <w:color w:val="000000"/>
                <w:sz w:val="18"/>
                <w:szCs w:val="18"/>
              </w:rPr>
              <w:t>4</w:t>
            </w: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53</w:t>
            </w:r>
          </w:p>
        </w:tc>
      </w:tr>
      <w:tr w:rsidR="002C682A" w:rsidRPr="00F20B59" w:rsidTr="002C682A">
        <w:trPr>
          <w:trHeight w:val="187"/>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Illinois</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 </w:t>
            </w:r>
          </w:p>
        </w:tc>
        <w:tc>
          <w:tcPr>
            <w:tcW w:w="0" w:type="auto"/>
            <w:tcBorders>
              <w:top w:val="single" w:sz="4" w:space="0" w:color="auto"/>
              <w:left w:val="single" w:sz="4" w:space="0" w:color="auto"/>
              <w:bottom w:val="nil"/>
              <w:right w:val="nil"/>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 </w:t>
            </w:r>
          </w:p>
        </w:tc>
        <w:tc>
          <w:tcPr>
            <w:tcW w:w="0" w:type="auto"/>
            <w:tcBorders>
              <w:top w:val="single" w:sz="4" w:space="0" w:color="auto"/>
              <w:left w:val="nil"/>
              <w:bottom w:val="nil"/>
              <w:right w:val="single" w:sz="4" w:space="0" w:color="auto"/>
            </w:tcBorders>
            <w:shd w:val="clear" w:color="auto" w:fill="auto"/>
            <w:noWrap/>
            <w:vAlign w:val="bottom"/>
            <w:hideMark/>
          </w:tcPr>
          <w:p w:rsidR="002C682A" w:rsidRPr="00F20B59" w:rsidRDefault="002C682A" w:rsidP="002C682A">
            <w:pPr>
              <w:rPr>
                <w:color w:val="000000"/>
                <w:sz w:val="18"/>
                <w:szCs w:val="18"/>
              </w:rPr>
            </w:pPr>
          </w:p>
        </w:tc>
        <w:tc>
          <w:tcPr>
            <w:tcW w:w="0" w:type="auto"/>
            <w:tcBorders>
              <w:top w:val="single" w:sz="4" w:space="0" w:color="auto"/>
              <w:left w:val="single" w:sz="4" w:space="0" w:color="auto"/>
              <w:bottom w:val="nil"/>
              <w:right w:val="nil"/>
            </w:tcBorders>
            <w:shd w:val="clear" w:color="auto" w:fill="auto"/>
            <w:vAlign w:val="bottom"/>
          </w:tcPr>
          <w:p w:rsidR="002C682A" w:rsidRPr="00F20B59" w:rsidRDefault="002C682A" w:rsidP="002C682A">
            <w:pPr>
              <w:rPr>
                <w:color w:val="000000"/>
                <w:sz w:val="18"/>
                <w:szCs w:val="18"/>
              </w:rPr>
            </w:pPr>
            <w:r w:rsidRPr="00F20B59">
              <w:rPr>
                <w:color w:val="000000"/>
                <w:sz w:val="18"/>
                <w:szCs w:val="18"/>
              </w:rPr>
              <w:t> </w:t>
            </w:r>
          </w:p>
        </w:tc>
        <w:tc>
          <w:tcPr>
            <w:tcW w:w="0" w:type="auto"/>
            <w:tcBorders>
              <w:top w:val="single" w:sz="4" w:space="0" w:color="auto"/>
              <w:left w:val="single" w:sz="4" w:space="0" w:color="auto"/>
              <w:bottom w:val="nil"/>
              <w:right w:val="nil"/>
            </w:tcBorders>
            <w:shd w:val="clear" w:color="auto" w:fill="auto"/>
            <w:vAlign w:val="bottom"/>
          </w:tcPr>
          <w:p w:rsidR="002C682A" w:rsidRPr="00F20B59" w:rsidRDefault="002C682A" w:rsidP="002C682A">
            <w:pPr>
              <w:rPr>
                <w:color w:val="000000"/>
                <w:sz w:val="18"/>
                <w:szCs w:val="18"/>
              </w:rPr>
            </w:pPr>
          </w:p>
        </w:tc>
        <w:tc>
          <w:tcPr>
            <w:tcW w:w="0" w:type="auto"/>
            <w:tcBorders>
              <w:top w:val="single" w:sz="4" w:space="0" w:color="auto"/>
              <w:left w:val="nil"/>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 </w:t>
            </w:r>
          </w:p>
        </w:tc>
      </w:tr>
      <w:tr w:rsidR="002C682A" w:rsidRPr="00F20B59" w:rsidTr="002C682A">
        <w:trPr>
          <w:trHeight w:val="187"/>
        </w:trPr>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Frame</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92</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0</w:t>
            </w:r>
          </w:p>
        </w:tc>
        <w:tc>
          <w:tcPr>
            <w:tcW w:w="0" w:type="auto"/>
            <w:tcBorders>
              <w:top w:val="nil"/>
              <w:left w:val="single" w:sz="4" w:space="0" w:color="auto"/>
              <w:bottom w:val="nil"/>
              <w:right w:val="nil"/>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35</w:t>
            </w: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rsidP="002C682A">
            <w:pPr>
              <w:jc w:val="right"/>
              <w:rPr>
                <w:color w:val="000000"/>
                <w:sz w:val="18"/>
                <w:szCs w:val="18"/>
              </w:rPr>
            </w:pP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r w:rsidRPr="00F20B59">
              <w:rPr>
                <w:color w:val="000000"/>
                <w:sz w:val="18"/>
                <w:szCs w:val="18"/>
              </w:rPr>
              <w:t>64</w:t>
            </w: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191</w:t>
            </w:r>
          </w:p>
        </w:tc>
      </w:tr>
      <w:tr w:rsidR="002C682A" w:rsidRPr="00F20B59" w:rsidTr="002C682A">
        <w:trPr>
          <w:trHeight w:val="187"/>
        </w:trPr>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Sample</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40</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nil"/>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15</w:t>
            </w: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rsidP="002C682A">
            <w:pPr>
              <w:jc w:val="right"/>
              <w:rPr>
                <w:color w:val="000000"/>
                <w:sz w:val="18"/>
                <w:szCs w:val="18"/>
              </w:rPr>
            </w:pP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r w:rsidRPr="00F20B59">
              <w:rPr>
                <w:color w:val="000000"/>
                <w:sz w:val="18"/>
                <w:szCs w:val="18"/>
              </w:rPr>
              <w:t>9</w:t>
            </w: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64</w:t>
            </w:r>
          </w:p>
        </w:tc>
      </w:tr>
      <w:tr w:rsidR="002C682A" w:rsidRPr="00F20B59" w:rsidTr="002C682A">
        <w:trPr>
          <w:trHeight w:val="243"/>
        </w:trPr>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rPr>
                <w:color w:val="000000"/>
                <w:sz w:val="18"/>
                <w:szCs w:val="18"/>
              </w:rPr>
            </w:pP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rsidP="00466EA3">
            <w:pPr>
              <w:rPr>
                <w:color w:val="000000"/>
                <w:sz w:val="18"/>
                <w:szCs w:val="18"/>
              </w:rPr>
            </w:pPr>
            <w:r w:rsidRPr="00F20B59">
              <w:rPr>
                <w:color w:val="000000"/>
                <w:sz w:val="18"/>
                <w:szCs w:val="18"/>
              </w:rPr>
              <w:t xml:space="preserve">     Regular </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13</w:t>
            </w:r>
          </w:p>
        </w:tc>
        <w:tc>
          <w:tcPr>
            <w:tcW w:w="0" w:type="auto"/>
            <w:tcBorders>
              <w:top w:val="nil"/>
              <w:left w:val="single" w:sz="4" w:space="0" w:color="auto"/>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0</w:t>
            </w:r>
          </w:p>
        </w:tc>
        <w:tc>
          <w:tcPr>
            <w:tcW w:w="0" w:type="auto"/>
            <w:tcBorders>
              <w:top w:val="nil"/>
              <w:left w:val="single" w:sz="4" w:space="0" w:color="auto"/>
              <w:bottom w:val="nil"/>
              <w:right w:val="nil"/>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8</w:t>
            </w: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rsidP="002C682A">
            <w:pPr>
              <w:jc w:val="right"/>
              <w:rPr>
                <w:color w:val="000000"/>
                <w:sz w:val="18"/>
                <w:szCs w:val="18"/>
              </w:rPr>
            </w:pP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r w:rsidRPr="00F20B59">
              <w:rPr>
                <w:color w:val="000000"/>
                <w:sz w:val="18"/>
                <w:szCs w:val="18"/>
              </w:rPr>
              <w:t>5</w:t>
            </w:r>
          </w:p>
        </w:tc>
        <w:tc>
          <w:tcPr>
            <w:tcW w:w="0" w:type="auto"/>
            <w:tcBorders>
              <w:top w:val="nil"/>
              <w:left w:val="single" w:sz="4" w:space="0" w:color="auto"/>
              <w:bottom w:val="nil"/>
              <w:right w:val="nil"/>
            </w:tcBorders>
            <w:shd w:val="clear" w:color="auto" w:fill="auto"/>
            <w:vAlign w:val="bottom"/>
          </w:tcPr>
          <w:p w:rsidR="002C682A" w:rsidRPr="00F20B59" w:rsidRDefault="002C682A" w:rsidP="002C682A">
            <w:pPr>
              <w:jc w:val="right"/>
              <w:rPr>
                <w:color w:val="000000"/>
                <w:sz w:val="18"/>
                <w:szCs w:val="18"/>
              </w:rPr>
            </w:pPr>
          </w:p>
        </w:tc>
        <w:tc>
          <w:tcPr>
            <w:tcW w:w="0" w:type="auto"/>
            <w:tcBorders>
              <w:top w:val="nil"/>
              <w:left w:val="nil"/>
              <w:bottom w:val="nil"/>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26</w:t>
            </w:r>
          </w:p>
        </w:tc>
      </w:tr>
      <w:tr w:rsidR="002C682A" w:rsidRPr="00F20B59" w:rsidTr="002C682A">
        <w:trPr>
          <w:trHeight w:val="1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C682A" w:rsidRPr="00F20B59" w:rsidRDefault="002C682A" w:rsidP="00466EA3">
            <w:pPr>
              <w:rPr>
                <w:color w:val="000000"/>
                <w:sz w:val="18"/>
                <w:szCs w:val="18"/>
              </w:rPr>
            </w:pPr>
            <w:r w:rsidRPr="00F20B59">
              <w:rPr>
                <w:color w:val="000000"/>
                <w:sz w:val="18"/>
                <w:szCs w:val="18"/>
              </w:rPr>
              <w:t xml:space="preserve">     Supplement</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27</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C682A" w:rsidRPr="00F20B59" w:rsidRDefault="002C682A">
            <w:pPr>
              <w:rPr>
                <w:color w:val="000000"/>
                <w:sz w:val="18"/>
                <w:szCs w:val="18"/>
              </w:rPr>
            </w:pPr>
            <w:r w:rsidRPr="00F20B59">
              <w:rPr>
                <w:color w:val="000000"/>
                <w:sz w:val="18"/>
                <w:szCs w:val="18"/>
              </w:rPr>
              <w:t> </w:t>
            </w:r>
          </w:p>
        </w:tc>
        <w:tc>
          <w:tcPr>
            <w:tcW w:w="0" w:type="auto"/>
            <w:tcBorders>
              <w:top w:val="nil"/>
              <w:left w:val="single" w:sz="4" w:space="0" w:color="auto"/>
              <w:bottom w:val="single" w:sz="4" w:space="0" w:color="auto"/>
              <w:right w:val="nil"/>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7</w:t>
            </w:r>
          </w:p>
        </w:tc>
        <w:tc>
          <w:tcPr>
            <w:tcW w:w="0" w:type="auto"/>
            <w:tcBorders>
              <w:top w:val="nil"/>
              <w:left w:val="nil"/>
              <w:bottom w:val="single" w:sz="4" w:space="0" w:color="auto"/>
              <w:right w:val="single" w:sz="4" w:space="0" w:color="auto"/>
            </w:tcBorders>
            <w:shd w:val="clear" w:color="auto" w:fill="auto"/>
            <w:noWrap/>
            <w:vAlign w:val="bottom"/>
            <w:hideMark/>
          </w:tcPr>
          <w:p w:rsidR="002C682A" w:rsidRPr="00F20B59" w:rsidRDefault="002C682A" w:rsidP="002C682A">
            <w:pPr>
              <w:jc w:val="right"/>
              <w:rPr>
                <w:color w:val="000000"/>
                <w:sz w:val="18"/>
                <w:szCs w:val="18"/>
              </w:rPr>
            </w:pPr>
          </w:p>
        </w:tc>
        <w:tc>
          <w:tcPr>
            <w:tcW w:w="0" w:type="auto"/>
            <w:tcBorders>
              <w:top w:val="nil"/>
              <w:left w:val="single" w:sz="4" w:space="0" w:color="auto"/>
              <w:bottom w:val="single" w:sz="4" w:space="0" w:color="auto"/>
              <w:right w:val="nil"/>
            </w:tcBorders>
            <w:shd w:val="clear" w:color="auto" w:fill="auto"/>
            <w:vAlign w:val="bottom"/>
          </w:tcPr>
          <w:p w:rsidR="002C682A" w:rsidRPr="00F20B59" w:rsidRDefault="002C682A" w:rsidP="002C682A">
            <w:pPr>
              <w:jc w:val="right"/>
              <w:rPr>
                <w:color w:val="000000"/>
                <w:sz w:val="18"/>
                <w:szCs w:val="18"/>
              </w:rPr>
            </w:pPr>
            <w:r w:rsidRPr="00F20B59">
              <w:rPr>
                <w:color w:val="000000"/>
                <w:sz w:val="18"/>
                <w:szCs w:val="18"/>
              </w:rPr>
              <w:t>4</w:t>
            </w:r>
          </w:p>
        </w:tc>
        <w:tc>
          <w:tcPr>
            <w:tcW w:w="0" w:type="auto"/>
            <w:tcBorders>
              <w:top w:val="nil"/>
              <w:left w:val="single" w:sz="4" w:space="0" w:color="auto"/>
              <w:bottom w:val="single" w:sz="4" w:space="0" w:color="auto"/>
              <w:right w:val="nil"/>
            </w:tcBorders>
            <w:shd w:val="clear" w:color="auto" w:fill="auto"/>
            <w:vAlign w:val="bottom"/>
          </w:tcPr>
          <w:p w:rsidR="002C682A" w:rsidRPr="00F20B59" w:rsidRDefault="002C682A" w:rsidP="002C682A">
            <w:pPr>
              <w:jc w:val="right"/>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2C682A" w:rsidRPr="00F20B59" w:rsidRDefault="002C682A">
            <w:pPr>
              <w:jc w:val="right"/>
              <w:rPr>
                <w:color w:val="000000"/>
                <w:sz w:val="18"/>
                <w:szCs w:val="18"/>
              </w:rPr>
            </w:pPr>
            <w:r w:rsidRPr="00F20B59">
              <w:rPr>
                <w:color w:val="000000"/>
                <w:sz w:val="18"/>
                <w:szCs w:val="18"/>
              </w:rPr>
              <w:t>38</w:t>
            </w:r>
          </w:p>
        </w:tc>
      </w:tr>
    </w:tbl>
    <w:p w:rsidR="00806E40" w:rsidRPr="00F20B59" w:rsidRDefault="00806E40" w:rsidP="00794F8B">
      <w:pPr>
        <w:rPr>
          <w:color w:val="000000"/>
        </w:rPr>
      </w:pPr>
    </w:p>
    <w:p w:rsidR="00794F8B" w:rsidRPr="00F20B59" w:rsidRDefault="00794F8B" w:rsidP="005A1DA2">
      <w:pPr>
        <w:rPr>
          <w:color w:val="000000"/>
        </w:rPr>
      </w:pPr>
      <w:r w:rsidRPr="00F20B59">
        <w:rPr>
          <w:color w:val="000000"/>
          <w:u w:val="single"/>
        </w:rPr>
        <w:t>Hospitals</w:t>
      </w:r>
    </w:p>
    <w:p w:rsidR="00794F8B" w:rsidRPr="00F20B59" w:rsidRDefault="00794F8B" w:rsidP="00794F8B">
      <w:pPr>
        <w:rPr>
          <w:color w:val="000000"/>
        </w:rPr>
      </w:pPr>
    </w:p>
    <w:p w:rsidR="00794F8B" w:rsidRPr="00F20B59" w:rsidRDefault="00794F8B" w:rsidP="00A767DE">
      <w:pPr>
        <w:tabs>
          <w:tab w:val="left" w:pos="360"/>
          <w:tab w:val="right" w:pos="9360"/>
        </w:tabs>
        <w:ind w:left="360"/>
        <w:rPr>
          <w:color w:val="000000"/>
        </w:rPr>
      </w:pPr>
      <w:r w:rsidRPr="00F20B59">
        <w:rPr>
          <w:color w:val="000000"/>
        </w:rPr>
        <w:t>Non-Federal, short-stay</w:t>
      </w:r>
      <w:r w:rsidR="00621F72" w:rsidRPr="00F20B59">
        <w:rPr>
          <w:color w:val="000000"/>
        </w:rPr>
        <w:t>,</w:t>
      </w:r>
      <w:r w:rsidRPr="00F20B59">
        <w:rPr>
          <w:color w:val="000000"/>
        </w:rPr>
        <w:t xml:space="preserve"> and general hospitals in the sample PSUs are eligible for inclusion in the sample.  </w:t>
      </w:r>
      <w:r w:rsidR="007066EA" w:rsidRPr="00F20B59">
        <w:rPr>
          <w:color w:val="000000"/>
        </w:rPr>
        <w:t xml:space="preserve">Institutional hospitals and hospitals with fewer than 6 beds for inpatient use are excluded from the sample.  </w:t>
      </w:r>
      <w:r w:rsidRPr="00F20B59">
        <w:rPr>
          <w:color w:val="000000"/>
        </w:rPr>
        <w:t xml:space="preserve">Hospitals are stratified by whether </w:t>
      </w:r>
      <w:r w:rsidR="002626AE" w:rsidRPr="00F20B59">
        <w:t>they have an ED and/or OPD vs. have neither an ED nor OPD and by certainty status (self representing vs. non-self representing) of the sample area for their location.</w:t>
      </w:r>
      <w:r w:rsidRPr="00F20B59">
        <w:rPr>
          <w:color w:val="000000"/>
        </w:rPr>
        <w:t xml:space="preserve">  Prior to sampling, hospitals are arrayed within PSUs by type of ownership (voluntary nonprofit, non-Federal government, proprietary) and size, where size is measured by combined volume of ED and OPD visits reported in the hospital sampling frame (constructed from SMG data through 2002 and from Verispan data starting in 2003).  From the arrayed hospital list, five hospitals are selected in each PSU without replacement and with probability proportional to the visit volume.  If there are five or fewer hospitals, then all hospitals in the PSU are selected.  </w:t>
      </w:r>
    </w:p>
    <w:p w:rsidR="00794F8B" w:rsidRPr="00F20B59" w:rsidRDefault="00794F8B" w:rsidP="00A767DE">
      <w:pPr>
        <w:ind w:left="360"/>
        <w:rPr>
          <w:color w:val="000000"/>
        </w:rPr>
      </w:pPr>
    </w:p>
    <w:p w:rsidR="00794F8B" w:rsidRPr="00F20B59" w:rsidRDefault="00794F8B" w:rsidP="00A767DE">
      <w:pPr>
        <w:ind w:left="360"/>
      </w:pPr>
      <w:r w:rsidRPr="00F20B59">
        <w:rPr>
          <w:color w:val="000000"/>
        </w:rPr>
        <w:t xml:space="preserve">A sample of approximately 600 hospitals </w:t>
      </w:r>
      <w:r w:rsidR="000E64BB" w:rsidRPr="00F20B59">
        <w:rPr>
          <w:color w:val="000000"/>
        </w:rPr>
        <w:t>is</w:t>
      </w:r>
      <w:r w:rsidRPr="00F20B59">
        <w:rPr>
          <w:color w:val="000000"/>
        </w:rPr>
        <w:t xml:space="preserve"> randomly divided into 16 groups of hospitals (i.e., 37-38 hospitals in each group) in order to avoid hospitals participating during the same time period each year.  One hospital group </w:t>
      </w:r>
      <w:r w:rsidR="0003000C" w:rsidRPr="00F20B59">
        <w:rPr>
          <w:color w:val="000000"/>
        </w:rPr>
        <w:t xml:space="preserve">is </w:t>
      </w:r>
      <w:r w:rsidRPr="00F20B59">
        <w:rPr>
          <w:color w:val="000000"/>
        </w:rPr>
        <w:t>assigned to each of the four-week reporting periods during 20</w:t>
      </w:r>
      <w:r w:rsidR="00C11480" w:rsidRPr="00F20B59">
        <w:rPr>
          <w:color w:val="000000"/>
        </w:rPr>
        <w:t>1</w:t>
      </w:r>
      <w:r w:rsidR="0066115E" w:rsidRPr="00F20B59">
        <w:rPr>
          <w:color w:val="000000"/>
        </w:rPr>
        <w:t>2</w:t>
      </w:r>
      <w:r w:rsidRPr="00F20B59">
        <w:rPr>
          <w:color w:val="000000"/>
        </w:rPr>
        <w:t xml:space="preserve"> through 20</w:t>
      </w:r>
      <w:r w:rsidR="00C11480" w:rsidRPr="00F20B59">
        <w:rPr>
          <w:color w:val="000000"/>
        </w:rPr>
        <w:t>1</w:t>
      </w:r>
      <w:r w:rsidR="0066115E" w:rsidRPr="00F20B59">
        <w:rPr>
          <w:color w:val="000000"/>
        </w:rPr>
        <w:t>3</w:t>
      </w:r>
      <w:r w:rsidRPr="00F20B59">
        <w:rPr>
          <w:color w:val="000000"/>
        </w:rPr>
        <w:t xml:space="preserve">, meaning that each hospital will be inducted approximately every 15 months.  Substitution of the reporting period is not permitted.  </w:t>
      </w:r>
      <w:r w:rsidR="00394C8A" w:rsidRPr="00F20B59">
        <w:rPr>
          <w:color w:val="000000"/>
        </w:rPr>
        <w:t>Based on the results of the 200</w:t>
      </w:r>
      <w:r w:rsidR="004F7BEB" w:rsidRPr="00F20B59">
        <w:rPr>
          <w:color w:val="000000"/>
        </w:rPr>
        <w:t>9</w:t>
      </w:r>
      <w:r w:rsidR="00394C8A" w:rsidRPr="00F20B59">
        <w:rPr>
          <w:color w:val="000000"/>
        </w:rPr>
        <w:t xml:space="preserve"> NHAMCS, the projected unweighted and weighted response rates for 201</w:t>
      </w:r>
      <w:r w:rsidR="004F7BEB" w:rsidRPr="00F20B59">
        <w:rPr>
          <w:color w:val="000000"/>
        </w:rPr>
        <w:t>2</w:t>
      </w:r>
      <w:r w:rsidR="00394C8A" w:rsidRPr="00F20B59">
        <w:rPr>
          <w:color w:val="000000"/>
        </w:rPr>
        <w:t xml:space="preserve"> are 8</w:t>
      </w:r>
      <w:r w:rsidR="004F7BEB" w:rsidRPr="00F20B59">
        <w:rPr>
          <w:color w:val="000000"/>
        </w:rPr>
        <w:t>3</w:t>
      </w:r>
      <w:r w:rsidR="00394C8A" w:rsidRPr="00F20B59">
        <w:rPr>
          <w:color w:val="000000"/>
        </w:rPr>
        <w:t>% and 8</w:t>
      </w:r>
      <w:r w:rsidR="004F7BEB" w:rsidRPr="00F20B59">
        <w:rPr>
          <w:color w:val="000000"/>
        </w:rPr>
        <w:t>2</w:t>
      </w:r>
      <w:r w:rsidR="00394C8A" w:rsidRPr="00F20B59">
        <w:rPr>
          <w:color w:val="000000"/>
        </w:rPr>
        <w:t xml:space="preserve">% for the ED and </w:t>
      </w:r>
      <w:r w:rsidR="0066115E" w:rsidRPr="00F20B59">
        <w:rPr>
          <w:color w:val="000000"/>
        </w:rPr>
        <w:t>7</w:t>
      </w:r>
      <w:r w:rsidR="004F7BEB" w:rsidRPr="00F20B59">
        <w:rPr>
          <w:color w:val="000000"/>
        </w:rPr>
        <w:t>3</w:t>
      </w:r>
      <w:r w:rsidR="00394C8A" w:rsidRPr="00F20B59">
        <w:rPr>
          <w:color w:val="000000"/>
        </w:rPr>
        <w:t xml:space="preserve">% and </w:t>
      </w:r>
      <w:r w:rsidR="0066115E" w:rsidRPr="00F20B59">
        <w:rPr>
          <w:color w:val="000000"/>
        </w:rPr>
        <w:t>7</w:t>
      </w:r>
      <w:r w:rsidR="004F7BEB" w:rsidRPr="00F20B59">
        <w:rPr>
          <w:color w:val="000000"/>
        </w:rPr>
        <w:t>4</w:t>
      </w:r>
      <w:r w:rsidR="00394C8A" w:rsidRPr="00F20B59">
        <w:rPr>
          <w:color w:val="000000"/>
        </w:rPr>
        <w:t xml:space="preserve">% for the OPD, respectively.  The projected unweighted and weighted response rates for </w:t>
      </w:r>
      <w:r w:rsidR="0004755E" w:rsidRPr="00F20B59">
        <w:rPr>
          <w:color w:val="000000"/>
        </w:rPr>
        <w:t xml:space="preserve">ambulatory surgery locations </w:t>
      </w:r>
      <w:r w:rsidR="00394C8A" w:rsidRPr="00F20B59">
        <w:rPr>
          <w:color w:val="000000"/>
        </w:rPr>
        <w:t xml:space="preserve">are </w:t>
      </w:r>
      <w:r w:rsidR="004F7BEB" w:rsidRPr="00F20B59">
        <w:rPr>
          <w:color w:val="000000"/>
        </w:rPr>
        <w:t>68</w:t>
      </w:r>
      <w:r w:rsidR="00394C8A" w:rsidRPr="00F20B59">
        <w:rPr>
          <w:color w:val="000000"/>
        </w:rPr>
        <w:t xml:space="preserve">% and </w:t>
      </w:r>
      <w:r w:rsidR="004F7BEB" w:rsidRPr="00F20B59">
        <w:rPr>
          <w:color w:val="000000"/>
        </w:rPr>
        <w:t>74</w:t>
      </w:r>
      <w:r w:rsidR="00394C8A" w:rsidRPr="00F20B59">
        <w:rPr>
          <w:color w:val="000000"/>
        </w:rPr>
        <w:t xml:space="preserve">%, respectively, based on </w:t>
      </w:r>
      <w:r w:rsidR="004F7BEB" w:rsidRPr="00F20B59">
        <w:rPr>
          <w:color w:val="000000"/>
        </w:rPr>
        <w:t>2009 response rates for hospital-based AS</w:t>
      </w:r>
      <w:r w:rsidR="0004755E" w:rsidRPr="00F20B59">
        <w:rPr>
          <w:color w:val="000000"/>
        </w:rPr>
        <w:t>L</w:t>
      </w:r>
      <w:r w:rsidR="004F7BEB" w:rsidRPr="00F20B59">
        <w:rPr>
          <w:color w:val="000000"/>
        </w:rPr>
        <w:t>s</w:t>
      </w:r>
      <w:r w:rsidR="00394C8A" w:rsidRPr="00F20B59">
        <w:rPr>
          <w:color w:val="000000"/>
        </w:rPr>
        <w:t>.</w:t>
      </w:r>
    </w:p>
    <w:p w:rsidR="00794F8B" w:rsidRPr="00F20B59" w:rsidRDefault="00794F8B" w:rsidP="00794F8B">
      <w:pPr>
        <w:rPr>
          <w:color w:val="FF0000"/>
          <w:u w:val="single"/>
        </w:rPr>
      </w:pPr>
    </w:p>
    <w:p w:rsidR="00B52F5D" w:rsidRPr="00F20B59" w:rsidRDefault="00B52F5D" w:rsidP="00B52F5D">
      <w:pPr>
        <w:rPr>
          <w:color w:val="000000"/>
          <w:u w:val="single"/>
        </w:rPr>
      </w:pPr>
      <w:r w:rsidRPr="00F20B59">
        <w:rPr>
          <w:color w:val="000000"/>
          <w:u w:val="single"/>
        </w:rPr>
        <w:t>Freestanding ASCs</w:t>
      </w:r>
    </w:p>
    <w:p w:rsidR="00B52F5D" w:rsidRPr="00F20B59" w:rsidRDefault="00B52F5D" w:rsidP="00B52F5D">
      <w:pPr>
        <w:rPr>
          <w:color w:val="000000"/>
        </w:rPr>
      </w:pPr>
    </w:p>
    <w:p w:rsidR="00B52F5D" w:rsidRPr="00F20B59" w:rsidRDefault="00B52F5D" w:rsidP="00B52F5D">
      <w:pPr>
        <w:ind w:left="360"/>
        <w:rPr>
          <w:color w:val="000000"/>
        </w:rPr>
      </w:pPr>
      <w:r w:rsidRPr="00F20B59">
        <w:rPr>
          <w:color w:val="000000"/>
        </w:rPr>
        <w:t xml:space="preserve">Ambulatory surgery </w:t>
      </w:r>
      <w:r w:rsidR="00585D28" w:rsidRPr="00F20B59">
        <w:rPr>
          <w:color w:val="000000"/>
        </w:rPr>
        <w:t>locations</w:t>
      </w:r>
      <w:r w:rsidRPr="00F20B59">
        <w:rPr>
          <w:color w:val="000000"/>
        </w:rPr>
        <w:t xml:space="preserve"> that are not affiliated with a hospital are considered to be freestanding ASCs.  The universe of freestanding ASCs includes ones that are regulated by the states or certified by the Centers for Medicare and Medicaid Services (CMS) for Medicare participation.  Out-of-scope freestanding ASCs include those dedicated exclusively to dentistry, podiatry, abortion, births, and family planning.  The sampling frame for the 2006 NSAS consisted of facilities listed in the 2005 Verispan Freestanding Outpatient Surgery Center Database and Medicare-certified facilities listed in the CMS Provider-of-Services (POS) file. </w:t>
      </w:r>
      <w:r w:rsidR="002C7EED" w:rsidRPr="00F20B59">
        <w:t xml:space="preserve">The 2006 NSAS FS-ASC sample was a stratified list sample of 472 FS-ASCs with strata defined by surgery specialty groups.   Of those 472 FS-ASCs, 74 were out-of-scope leaving 398 in-scope facilities from which to select the 2010-12 sample.  </w:t>
      </w:r>
    </w:p>
    <w:p w:rsidR="00B52F5D" w:rsidRPr="00F20B59" w:rsidRDefault="00B52F5D" w:rsidP="00B52F5D">
      <w:pPr>
        <w:ind w:left="360"/>
        <w:rPr>
          <w:color w:val="000000"/>
        </w:rPr>
      </w:pPr>
    </w:p>
    <w:p w:rsidR="002C7EED" w:rsidRPr="00F20B59" w:rsidRDefault="002C7EED" w:rsidP="002C7EED">
      <w:pPr>
        <w:pStyle w:val="NoSpacing"/>
        <w:tabs>
          <w:tab w:val="left" w:pos="360"/>
        </w:tabs>
        <w:ind w:left="360"/>
        <w:rPr>
          <w:rFonts w:ascii="Times New Roman" w:hAnsi="Times New Roman"/>
          <w:sz w:val="24"/>
          <w:szCs w:val="24"/>
        </w:rPr>
      </w:pPr>
      <w:r w:rsidRPr="00F20B59">
        <w:rPr>
          <w:rFonts w:ascii="Times New Roman" w:hAnsi="Times New Roman"/>
          <w:sz w:val="24"/>
          <w:szCs w:val="24"/>
        </w:rPr>
        <w:t xml:space="preserve">A total of 246 FS-ASC facilities were selected from the 2006 NSAS sample.  All of the inscope NSAS sample facilities located within the NHAMCS sample area PSUs were selected.  The area sample included only 216 NSAS facilities.   A stratified list sample of 30 additional inscope facilities was selected from the remaining inscope NSAS sample with strata defined by the four regions and five </w:t>
      </w:r>
      <w:r w:rsidRPr="00F20B59">
        <w:rPr>
          <w:rFonts w:ascii="Times New Roman" w:hAnsi="Times New Roman"/>
          <w:color w:val="000000"/>
          <w:sz w:val="24"/>
          <w:szCs w:val="24"/>
        </w:rPr>
        <w:t>ASC specialty groups (general, multi-specialty, ophthalmic, gastroenterologic, and other)</w:t>
      </w:r>
      <w:r w:rsidRPr="00F20B59">
        <w:rPr>
          <w:rFonts w:ascii="Times New Roman" w:hAnsi="Times New Roman"/>
          <w:sz w:val="24"/>
          <w:szCs w:val="24"/>
        </w:rPr>
        <w:t>. To assure the annual NHAMCS sample would include at least two facilities from each stratum as the sample is rotated over 16 four-week reporting periods, the 30 facilities from outside the area sample were allocated to strata which had fewer than three sample facilities in the area sample. Systematic random sampling was used to select the additional sample facilities from each stratum.</w:t>
      </w:r>
    </w:p>
    <w:p w:rsidR="002C7EED" w:rsidRPr="00F20B59" w:rsidRDefault="002C7EED" w:rsidP="002C7EED">
      <w:pPr>
        <w:pStyle w:val="NoSpacing"/>
        <w:tabs>
          <w:tab w:val="left" w:pos="360"/>
        </w:tabs>
        <w:ind w:left="360"/>
        <w:rPr>
          <w:rFonts w:ascii="Times New Roman" w:hAnsi="Times New Roman"/>
          <w:sz w:val="24"/>
          <w:szCs w:val="24"/>
        </w:rPr>
      </w:pPr>
    </w:p>
    <w:p w:rsidR="002C7EED" w:rsidRPr="00F20B59" w:rsidRDefault="002C7EED" w:rsidP="002C7EED">
      <w:pPr>
        <w:ind w:left="360"/>
        <w:rPr>
          <w:color w:val="000000"/>
        </w:rPr>
      </w:pPr>
      <w:r w:rsidRPr="00F20B59">
        <w:rPr>
          <w:color w:val="000000"/>
        </w:rPr>
        <w:t xml:space="preserve">The FS-ASC sample was divided into 16 nationally representative groups which were randomly assigned to 4-week reporting periods so that an average of 200 FS-ASCs are included in the sample annually.  FS-ASCs are inducted through a facility induction form that is similar to the hospital induction form.  A list of ASLs within the facility and satellite locations are obtained during the FS-ASC induction. </w:t>
      </w:r>
      <w:r w:rsidRPr="00F20B59" w:rsidDel="00AF4AC6">
        <w:rPr>
          <w:color w:val="000000"/>
        </w:rPr>
        <w:t xml:space="preserve"> </w:t>
      </w:r>
    </w:p>
    <w:p w:rsidR="00B52F5D" w:rsidRPr="00F20B59" w:rsidRDefault="00B52F5D" w:rsidP="00794F8B">
      <w:pPr>
        <w:rPr>
          <w:color w:val="FF0000"/>
          <w:u w:val="single"/>
        </w:rPr>
      </w:pPr>
    </w:p>
    <w:p w:rsidR="00794F8B" w:rsidRPr="00F20B59" w:rsidRDefault="00794F8B" w:rsidP="005A1DA2">
      <w:pPr>
        <w:rPr>
          <w:color w:val="000000"/>
          <w:u w:val="single"/>
        </w:rPr>
      </w:pPr>
      <w:r w:rsidRPr="00F20B59">
        <w:rPr>
          <w:color w:val="000000"/>
          <w:u w:val="single"/>
        </w:rPr>
        <w:t>Outpatient Clinics</w:t>
      </w:r>
      <w:r w:rsidR="00544339" w:rsidRPr="00F20B59">
        <w:rPr>
          <w:color w:val="000000"/>
          <w:u w:val="single"/>
        </w:rPr>
        <w:t>,</w:t>
      </w:r>
      <w:r w:rsidRPr="00F20B59">
        <w:rPr>
          <w:color w:val="000000"/>
          <w:u w:val="single"/>
        </w:rPr>
        <w:t xml:space="preserve"> Emergency Service Areas</w:t>
      </w:r>
      <w:r w:rsidR="00544339" w:rsidRPr="00F20B59">
        <w:rPr>
          <w:color w:val="000000"/>
          <w:u w:val="single"/>
        </w:rPr>
        <w:t>, and</w:t>
      </w:r>
      <w:r w:rsidR="00EF7074" w:rsidRPr="00F20B59">
        <w:rPr>
          <w:color w:val="000000"/>
          <w:u w:val="single"/>
        </w:rPr>
        <w:t xml:space="preserve"> </w:t>
      </w:r>
      <w:r w:rsidR="00544339" w:rsidRPr="00F20B59">
        <w:rPr>
          <w:color w:val="000000"/>
          <w:u w:val="single"/>
        </w:rPr>
        <w:t xml:space="preserve">Ambulatory Surgery </w:t>
      </w:r>
      <w:r w:rsidR="0066115E" w:rsidRPr="00F20B59">
        <w:rPr>
          <w:color w:val="000000"/>
          <w:u w:val="single"/>
        </w:rPr>
        <w:t>Locations</w:t>
      </w:r>
    </w:p>
    <w:p w:rsidR="00794F8B" w:rsidRPr="00F20B59" w:rsidRDefault="00794F8B" w:rsidP="00794F8B">
      <w:pPr>
        <w:rPr>
          <w:color w:val="000000"/>
        </w:rPr>
      </w:pPr>
    </w:p>
    <w:p w:rsidR="00794F8B" w:rsidRPr="00F20B59" w:rsidRDefault="00A767DE" w:rsidP="00A767DE">
      <w:pPr>
        <w:ind w:left="360"/>
        <w:rPr>
          <w:color w:val="000000"/>
        </w:rPr>
      </w:pPr>
      <w:r w:rsidRPr="00F20B59">
        <w:rPr>
          <w:color w:val="000000"/>
        </w:rPr>
        <w:t xml:space="preserve">Within each selected hospital, outpatient departments, emergency departments, and ambulatory surgery </w:t>
      </w:r>
      <w:r w:rsidR="0004755E" w:rsidRPr="00F20B59">
        <w:rPr>
          <w:color w:val="000000"/>
        </w:rPr>
        <w:t xml:space="preserve">locations </w:t>
      </w:r>
      <w:r w:rsidR="00B85EC2" w:rsidRPr="00F20B59">
        <w:rPr>
          <w:color w:val="000000"/>
        </w:rPr>
        <w:t>are inducted into the survey</w:t>
      </w:r>
      <w:r w:rsidRPr="00F20B59">
        <w:rPr>
          <w:color w:val="000000"/>
        </w:rPr>
        <w:t>.</w:t>
      </w:r>
      <w:r w:rsidR="00B85EC2" w:rsidRPr="00F20B59">
        <w:rPr>
          <w:color w:val="000000"/>
        </w:rPr>
        <w:t xml:space="preserve">  </w:t>
      </w:r>
      <w:r w:rsidRPr="00F20B59">
        <w:rPr>
          <w:color w:val="000000"/>
        </w:rPr>
        <w:t xml:space="preserve">For each </w:t>
      </w:r>
      <w:r w:rsidR="00794F8B" w:rsidRPr="00F20B59">
        <w:rPr>
          <w:color w:val="000000"/>
        </w:rPr>
        <w:t>OPD, a sample of clinics is selected</w:t>
      </w:r>
      <w:r w:rsidR="000E64BB" w:rsidRPr="00F20B59">
        <w:rPr>
          <w:color w:val="000000"/>
        </w:rPr>
        <w:t xml:space="preserve"> if more than 5 clinics exist</w:t>
      </w:r>
      <w:r w:rsidR="00794F8B" w:rsidRPr="00F20B59">
        <w:rPr>
          <w:color w:val="000000"/>
        </w:rPr>
        <w:t>.  Clinics are in</w:t>
      </w:r>
      <w:r w:rsidR="00B85EC2" w:rsidRPr="00F20B59">
        <w:rPr>
          <w:color w:val="000000"/>
        </w:rPr>
        <w:t>-</w:t>
      </w:r>
      <w:r w:rsidR="00794F8B" w:rsidRPr="00F20B59">
        <w:rPr>
          <w:color w:val="000000"/>
        </w:rPr>
        <w:t>scope if ambulatory medical care is provided under the supervision of a physician and under the auspices of the hospital.  Clinics providing only ancillary services, such as diagnostic X</w:t>
      </w:r>
      <w:r w:rsidR="00794F8B" w:rsidRPr="00F20B59">
        <w:rPr>
          <w:color w:val="000000"/>
        </w:rPr>
        <w:noBreakHyphen/>
        <w:t>rays or radiation therapy, are out</w:t>
      </w:r>
      <w:r w:rsidR="00794F8B" w:rsidRPr="00F20B59">
        <w:rPr>
          <w:color w:val="000000"/>
        </w:rPr>
        <w:noBreakHyphen/>
        <w:t>of</w:t>
      </w:r>
      <w:r w:rsidR="00794F8B" w:rsidRPr="00F20B59">
        <w:rPr>
          <w:color w:val="000000"/>
        </w:rPr>
        <w:noBreakHyphen/>
        <w:t xml:space="preserve">scope.  Services provided in dental or dental surgery clinics, pharmacies, or other settings in which physician services are not typically provided also are out-of-scope.  In addition, </w:t>
      </w:r>
      <w:r w:rsidR="00F16762" w:rsidRPr="00F20B59">
        <w:rPr>
          <w:color w:val="000000"/>
        </w:rPr>
        <w:t>freestanding</w:t>
      </w:r>
      <w:r w:rsidR="00794F8B" w:rsidRPr="00F20B59">
        <w:rPr>
          <w:color w:val="000000"/>
        </w:rPr>
        <w:t xml:space="preserve"> </w:t>
      </w:r>
      <w:r w:rsidR="0003000C" w:rsidRPr="00F20B59">
        <w:rPr>
          <w:color w:val="000000"/>
        </w:rPr>
        <w:t xml:space="preserve">medical </w:t>
      </w:r>
      <w:r w:rsidR="00794F8B" w:rsidRPr="00F20B59">
        <w:rPr>
          <w:color w:val="000000"/>
        </w:rPr>
        <w:t xml:space="preserve">clinics </w:t>
      </w:r>
      <w:r w:rsidR="009E3655" w:rsidRPr="00F20B59">
        <w:rPr>
          <w:color w:val="000000"/>
        </w:rPr>
        <w:t xml:space="preserve">or physician groups that are physically located </w:t>
      </w:r>
      <w:r w:rsidR="00BD2A80" w:rsidRPr="00F20B59">
        <w:rPr>
          <w:color w:val="000000"/>
        </w:rPr>
        <w:t>with</w:t>
      </w:r>
      <w:r w:rsidR="009E3655" w:rsidRPr="00F20B59">
        <w:rPr>
          <w:color w:val="000000"/>
        </w:rPr>
        <w:t xml:space="preserve">in a hospital, but not affiliated with the hospital (i.e., the hospital basically serves as landlord) </w:t>
      </w:r>
      <w:r w:rsidR="00794F8B" w:rsidRPr="00F20B59">
        <w:rPr>
          <w:color w:val="000000"/>
        </w:rPr>
        <w:t xml:space="preserve">are out-of-scope </w:t>
      </w:r>
      <w:r w:rsidR="002C7EED" w:rsidRPr="00F20B59">
        <w:rPr>
          <w:color w:val="000000"/>
        </w:rPr>
        <w:t xml:space="preserve">because </w:t>
      </w:r>
      <w:r w:rsidR="00794F8B" w:rsidRPr="00F20B59">
        <w:rPr>
          <w:color w:val="000000"/>
        </w:rPr>
        <w:t xml:space="preserve">they are included in the </w:t>
      </w:r>
      <w:r w:rsidR="00F5400C" w:rsidRPr="00F20B59">
        <w:rPr>
          <w:color w:val="000000"/>
        </w:rPr>
        <w:t>National Ambulatory Medical Care Survey (</w:t>
      </w:r>
      <w:r w:rsidR="00794F8B" w:rsidRPr="00F20B59">
        <w:rPr>
          <w:color w:val="000000"/>
        </w:rPr>
        <w:t>NAMCS</w:t>
      </w:r>
      <w:r w:rsidR="00F5400C" w:rsidRPr="00F20B59">
        <w:rPr>
          <w:color w:val="000000"/>
        </w:rPr>
        <w:t>)</w:t>
      </w:r>
      <w:r w:rsidR="00794F8B" w:rsidRPr="00F20B59">
        <w:rPr>
          <w:color w:val="000000"/>
        </w:rPr>
        <w:t>.</w:t>
      </w:r>
      <w:r w:rsidR="000B0A44" w:rsidRPr="00F20B59">
        <w:rPr>
          <w:color w:val="000000"/>
        </w:rPr>
        <w:t xml:space="preserve"> </w:t>
      </w:r>
      <w:r w:rsidR="00794F8B" w:rsidRPr="00F20B59">
        <w:rPr>
          <w:color w:val="000000"/>
        </w:rPr>
        <w:t xml:space="preserve">Emergency services </w:t>
      </w:r>
      <w:r w:rsidR="009E3655" w:rsidRPr="00F20B59">
        <w:rPr>
          <w:color w:val="000000"/>
        </w:rPr>
        <w:t>contracted by the hospital</w:t>
      </w:r>
      <w:r w:rsidR="00794F8B" w:rsidRPr="00F20B59">
        <w:rPr>
          <w:color w:val="000000"/>
        </w:rPr>
        <w:t xml:space="preserve"> under the "hospital as landlord" arrangement, however, are eligible for the </w:t>
      </w:r>
      <w:r w:rsidR="009E3655" w:rsidRPr="00F20B59">
        <w:rPr>
          <w:color w:val="000000"/>
        </w:rPr>
        <w:t xml:space="preserve">ED component of the </w:t>
      </w:r>
      <w:r w:rsidR="00794F8B" w:rsidRPr="00F20B59">
        <w:rPr>
          <w:color w:val="000000"/>
        </w:rPr>
        <w:t>study.</w:t>
      </w:r>
    </w:p>
    <w:p w:rsidR="00DE0DD4" w:rsidRPr="00F20B59" w:rsidRDefault="00DE0DD4" w:rsidP="00A767DE">
      <w:pPr>
        <w:ind w:left="360"/>
        <w:rPr>
          <w:color w:val="000000"/>
        </w:rPr>
      </w:pPr>
    </w:p>
    <w:p w:rsidR="00794F8B" w:rsidRPr="00F20B59" w:rsidRDefault="00794F8B" w:rsidP="00A767DE">
      <w:pPr>
        <w:ind w:left="360"/>
        <w:rPr>
          <w:color w:val="000000"/>
        </w:rPr>
      </w:pPr>
      <w:r w:rsidRPr="00F20B59">
        <w:rPr>
          <w:color w:val="000000"/>
        </w:rPr>
        <w:t>During the visit by a field representative to induct a hospital into the survey, a list of all outpatient clinics is obtained from the sample hospital.  Hospitals may de</w:t>
      </w:r>
      <w:r w:rsidR="00BD2A80" w:rsidRPr="00F20B59">
        <w:rPr>
          <w:color w:val="000000"/>
        </w:rPr>
        <w:t>term</w:t>
      </w:r>
      <w:r w:rsidRPr="00F20B59">
        <w:rPr>
          <w:color w:val="000000"/>
        </w:rPr>
        <w:t xml:space="preserve">ine </w:t>
      </w:r>
      <w:r w:rsidR="00FE46B5" w:rsidRPr="00F20B59">
        <w:rPr>
          <w:color w:val="000000"/>
        </w:rPr>
        <w:t>what constitutes a distinct</w:t>
      </w:r>
      <w:r w:rsidRPr="00F20B59">
        <w:rPr>
          <w:color w:val="000000"/>
        </w:rPr>
        <w:t xml:space="preserve"> clinic differently, for example, by physical location within the hospital, staff providing the services, specialty or subspecialty, schedules, or patients' source of payment.  Because of these differences, "separate clinics" in the NHAMCS are defined as the smallest administrative units for which the hospital keeps separate patient volume statistics.  Each clinic's function, specialty, and expected number of visits during the assigned reporting period are also collected.  This clinic frame is stratified by specialty:  general medicine, surgery, pediatrics, obstetrics/gynecology, substance abuse, and other clinics.  For sampling purposes, clinics with very low volumes are combined to form clinic sampling units of a minimum size.  If a sample hospital has more than 5 clinic sampling units, then 2 units from each of the 6 specialty strata are selected with probability proportionate to the total expected number of visits to the clinics.  If there are 5 or fewer clinic sampling units, then all are included in the sample.  On average, hospitals in the sample have 3.6 clinics per OPD.</w:t>
      </w:r>
    </w:p>
    <w:p w:rsidR="00794F8B" w:rsidRPr="00F20B59" w:rsidRDefault="00794F8B" w:rsidP="00A767DE">
      <w:pPr>
        <w:ind w:left="360"/>
        <w:rPr>
          <w:color w:val="000000"/>
        </w:rPr>
      </w:pPr>
    </w:p>
    <w:p w:rsidR="00794F8B" w:rsidRPr="00F20B59" w:rsidRDefault="00794F8B" w:rsidP="00A767DE">
      <w:pPr>
        <w:ind w:left="360"/>
        <w:rPr>
          <w:color w:val="000000"/>
        </w:rPr>
      </w:pPr>
      <w:r w:rsidRPr="00F20B59">
        <w:rPr>
          <w:color w:val="000000"/>
        </w:rPr>
        <w:t xml:space="preserve">Within the hospital’s ED, a list of all emergency service areas (ESAs) is obtained during the hospital induction interview.  ESAs are defined as the smallest administrative unit of an ED where separate patient statistics are kept.  It may be located on hospital grounds or operated off site by the hospital.  The ED is treated as a separate stratum and </w:t>
      </w:r>
      <w:r w:rsidR="00B85EC2" w:rsidRPr="00F20B59">
        <w:rPr>
          <w:color w:val="000000"/>
        </w:rPr>
        <w:t>all</w:t>
      </w:r>
      <w:r w:rsidRPr="00F20B59">
        <w:rPr>
          <w:color w:val="000000"/>
        </w:rPr>
        <w:t xml:space="preserve"> ESAs within a sample hospital are included.  </w:t>
      </w:r>
    </w:p>
    <w:p w:rsidR="00B85EC2" w:rsidRPr="00F20B59" w:rsidRDefault="00B85EC2" w:rsidP="00A767DE">
      <w:pPr>
        <w:ind w:left="360"/>
        <w:rPr>
          <w:color w:val="000000"/>
        </w:rPr>
      </w:pPr>
    </w:p>
    <w:p w:rsidR="00223128" w:rsidRPr="00F20B59" w:rsidRDefault="00585D28" w:rsidP="00223128">
      <w:pPr>
        <w:ind w:left="360"/>
      </w:pPr>
      <w:r w:rsidRPr="00F20B59">
        <w:rPr>
          <w:color w:val="000000"/>
        </w:rPr>
        <w:t xml:space="preserve">Hospital-based </w:t>
      </w:r>
      <w:r w:rsidR="00B52F5D" w:rsidRPr="00F20B59">
        <w:rPr>
          <w:color w:val="000000"/>
        </w:rPr>
        <w:t xml:space="preserve">ASLs </w:t>
      </w:r>
      <w:r w:rsidR="0092246E" w:rsidRPr="00F20B59">
        <w:rPr>
          <w:color w:val="000000"/>
        </w:rPr>
        <w:t>are</w:t>
      </w:r>
      <w:r w:rsidR="00223128" w:rsidRPr="00F20B59">
        <w:rPr>
          <w:color w:val="000000"/>
        </w:rPr>
        <w:t xml:space="preserve"> treated as a separate stratum.  </w:t>
      </w:r>
      <w:r w:rsidR="00EF7074" w:rsidRPr="00F20B59">
        <w:rPr>
          <w:color w:val="000000"/>
        </w:rPr>
        <w:t>A list of AS</w:t>
      </w:r>
      <w:r w:rsidR="0092246E" w:rsidRPr="00F20B59">
        <w:rPr>
          <w:color w:val="000000"/>
        </w:rPr>
        <w:t>Ls</w:t>
      </w:r>
      <w:r w:rsidR="0003000C" w:rsidRPr="00F20B59">
        <w:rPr>
          <w:color w:val="000000"/>
        </w:rPr>
        <w:t xml:space="preserve"> </w:t>
      </w:r>
      <w:r w:rsidR="00EF7074" w:rsidRPr="00F20B59">
        <w:rPr>
          <w:color w:val="000000"/>
        </w:rPr>
        <w:t xml:space="preserve">within the </w:t>
      </w:r>
      <w:r w:rsidRPr="00F20B59">
        <w:rPr>
          <w:color w:val="000000"/>
        </w:rPr>
        <w:t xml:space="preserve">hospital </w:t>
      </w:r>
      <w:r w:rsidR="00223128" w:rsidRPr="00F20B59">
        <w:rPr>
          <w:color w:val="000000"/>
        </w:rPr>
        <w:t xml:space="preserve">and satellite locations </w:t>
      </w:r>
      <w:r w:rsidR="00EF7074" w:rsidRPr="00F20B59">
        <w:rPr>
          <w:color w:val="000000"/>
        </w:rPr>
        <w:t>i</w:t>
      </w:r>
      <w:r w:rsidR="00D95574" w:rsidRPr="00F20B59">
        <w:rPr>
          <w:color w:val="000000"/>
        </w:rPr>
        <w:t>s</w:t>
      </w:r>
      <w:r w:rsidR="00EF7074" w:rsidRPr="00F20B59">
        <w:rPr>
          <w:color w:val="000000"/>
        </w:rPr>
        <w:t xml:space="preserve"> obtained during the </w:t>
      </w:r>
      <w:r w:rsidRPr="00F20B59">
        <w:rPr>
          <w:color w:val="000000"/>
        </w:rPr>
        <w:t>hospital</w:t>
      </w:r>
      <w:r w:rsidR="00930826" w:rsidRPr="00F20B59">
        <w:rPr>
          <w:color w:val="000000"/>
        </w:rPr>
        <w:t xml:space="preserve"> </w:t>
      </w:r>
      <w:r w:rsidR="00EF7074" w:rsidRPr="00F20B59">
        <w:rPr>
          <w:color w:val="000000"/>
        </w:rPr>
        <w:t>induction.</w:t>
      </w:r>
      <w:r w:rsidR="0003000C" w:rsidRPr="00F20B59">
        <w:rPr>
          <w:color w:val="000000"/>
        </w:rPr>
        <w:t xml:space="preserve">  </w:t>
      </w:r>
      <w:r w:rsidR="00223128" w:rsidRPr="00F20B59">
        <w:rPr>
          <w:color w:val="000000"/>
        </w:rPr>
        <w:t>I</w:t>
      </w:r>
      <w:r w:rsidR="00223128" w:rsidRPr="00F20B59">
        <w:t xml:space="preserve">n-scope locations include all dedicated ambulatory surgery rooms, cystoscopy and endoscopy units, cardiac catheterization labs, laser procedure, and pain block rooms. Out-of-scope locations include those dedicated exclusively to dentistry, podiatry, abortion, births, family planning, and small procedures. </w:t>
      </w:r>
    </w:p>
    <w:p w:rsidR="00EF7074" w:rsidRPr="00F20B59" w:rsidRDefault="00EF7074" w:rsidP="00B52F5D">
      <w:pPr>
        <w:rPr>
          <w:color w:val="000000"/>
        </w:rPr>
      </w:pPr>
    </w:p>
    <w:p w:rsidR="00794F8B" w:rsidRPr="00F20B59" w:rsidRDefault="00794F8B" w:rsidP="00794F8B">
      <w:pPr>
        <w:rPr>
          <w:color w:val="000000"/>
        </w:rPr>
      </w:pPr>
      <w:r w:rsidRPr="00F20B59">
        <w:rPr>
          <w:color w:val="000000"/>
          <w:u w:val="single"/>
        </w:rPr>
        <w:t>Visits</w:t>
      </w:r>
      <w:r w:rsidR="00F5400C" w:rsidRPr="00F20B59">
        <w:rPr>
          <w:color w:val="000000"/>
          <w:u w:val="single"/>
        </w:rPr>
        <w:t xml:space="preserve"> in all locations</w:t>
      </w:r>
    </w:p>
    <w:p w:rsidR="00794F8B" w:rsidRPr="00F20B59" w:rsidRDefault="00794F8B" w:rsidP="00794F8B">
      <w:pPr>
        <w:rPr>
          <w:color w:val="000000"/>
        </w:rPr>
      </w:pPr>
    </w:p>
    <w:p w:rsidR="00794F8B" w:rsidRPr="00F20B59" w:rsidRDefault="00794F8B" w:rsidP="005A1DA2">
      <w:pPr>
        <w:ind w:left="360"/>
        <w:rPr>
          <w:color w:val="000000"/>
        </w:rPr>
      </w:pPr>
      <w:r w:rsidRPr="00F20B59">
        <w:rPr>
          <w:color w:val="000000"/>
        </w:rPr>
        <w:t>Within sampling units, patient visits are systematically selected over the 4-week reporting period assigned to hospitals</w:t>
      </w:r>
      <w:r w:rsidR="00862CB1" w:rsidRPr="00F20B59">
        <w:rPr>
          <w:color w:val="000000"/>
        </w:rPr>
        <w:t xml:space="preserve"> </w:t>
      </w:r>
      <w:r w:rsidR="00647B9B" w:rsidRPr="00F20B59">
        <w:rPr>
          <w:color w:val="000000"/>
        </w:rPr>
        <w:t xml:space="preserve">and </w:t>
      </w:r>
      <w:r w:rsidR="0004755E" w:rsidRPr="00F20B59">
        <w:rPr>
          <w:color w:val="000000"/>
        </w:rPr>
        <w:t>FS-</w:t>
      </w:r>
      <w:r w:rsidR="00647B9B" w:rsidRPr="00F20B59">
        <w:rPr>
          <w:color w:val="000000"/>
        </w:rPr>
        <w:t>ASCs</w:t>
      </w:r>
      <w:r w:rsidRPr="00F20B59">
        <w:rPr>
          <w:color w:val="000000"/>
        </w:rPr>
        <w:t xml:space="preserve">.  </w:t>
      </w:r>
      <w:r w:rsidR="00585D28" w:rsidRPr="00F20B59">
        <w:rPr>
          <w:color w:val="000000"/>
        </w:rPr>
        <w:t xml:space="preserve">Sampling units are defined as an ambulatory care unit, such as an ESA, clinic, or ASL, from which patient visits are sampled.  </w:t>
      </w:r>
      <w:r w:rsidRPr="00F20B59">
        <w:rPr>
          <w:color w:val="000000"/>
        </w:rPr>
        <w:t>A visit is defined as a direct, personal exchange between an ambulatory patient and a physician, or a staff member acting under a physician's direction, for the purpose of seeking care and rendering health services.  Visits solely for administrative purposes, such as payment of a bill, and visits in which no medical care is provided, such as visits to deliver a specimen, are out</w:t>
      </w:r>
      <w:r w:rsidR="00B85EC2" w:rsidRPr="00F20B59">
        <w:rPr>
          <w:color w:val="000000"/>
        </w:rPr>
        <w:t>-</w:t>
      </w:r>
      <w:r w:rsidRPr="00F20B59">
        <w:rPr>
          <w:color w:val="000000"/>
        </w:rPr>
        <w:t>of</w:t>
      </w:r>
      <w:r w:rsidR="00B85EC2" w:rsidRPr="00F20B59">
        <w:rPr>
          <w:color w:val="000000"/>
        </w:rPr>
        <w:t>-</w:t>
      </w:r>
      <w:r w:rsidRPr="00F20B59">
        <w:rPr>
          <w:color w:val="000000"/>
        </w:rPr>
        <w:t>scope.</w:t>
      </w:r>
    </w:p>
    <w:p w:rsidR="00794F8B" w:rsidRPr="00F20B59" w:rsidRDefault="00794F8B" w:rsidP="00794F8B">
      <w:pPr>
        <w:rPr>
          <w:color w:val="000000"/>
        </w:rPr>
      </w:pPr>
    </w:p>
    <w:p w:rsidR="00794F8B" w:rsidRPr="00F20B59" w:rsidRDefault="00794F8B" w:rsidP="005A1DA2">
      <w:pPr>
        <w:ind w:left="360"/>
        <w:rPr>
          <w:color w:val="000000"/>
        </w:rPr>
      </w:pPr>
      <w:r w:rsidRPr="00F20B59">
        <w:rPr>
          <w:color w:val="000000"/>
        </w:rPr>
        <w:t xml:space="preserve">Samples of approximately 100 visits are targeted from </w:t>
      </w:r>
      <w:r w:rsidR="00181B85" w:rsidRPr="00F20B59">
        <w:rPr>
          <w:color w:val="000000"/>
        </w:rPr>
        <w:t xml:space="preserve">each hospital </w:t>
      </w:r>
      <w:r w:rsidRPr="00F20B59">
        <w:rPr>
          <w:color w:val="000000"/>
        </w:rPr>
        <w:t xml:space="preserve">ED </w:t>
      </w:r>
      <w:r w:rsidR="00EF7074" w:rsidRPr="00F20B59">
        <w:rPr>
          <w:color w:val="000000"/>
        </w:rPr>
        <w:t xml:space="preserve">and </w:t>
      </w:r>
      <w:r w:rsidR="00181B85" w:rsidRPr="00F20B59">
        <w:rPr>
          <w:color w:val="000000"/>
        </w:rPr>
        <w:t xml:space="preserve">across all </w:t>
      </w:r>
      <w:r w:rsidR="00EF7074" w:rsidRPr="00F20B59">
        <w:rPr>
          <w:color w:val="000000"/>
        </w:rPr>
        <w:t>AS</w:t>
      </w:r>
      <w:r w:rsidR="004F7BEB" w:rsidRPr="00F20B59">
        <w:rPr>
          <w:color w:val="000000"/>
        </w:rPr>
        <w:t>L</w:t>
      </w:r>
      <w:r w:rsidR="00EF7074" w:rsidRPr="00F20B59">
        <w:rPr>
          <w:color w:val="000000"/>
        </w:rPr>
        <w:t xml:space="preserve">s </w:t>
      </w:r>
      <w:r w:rsidR="00181B85" w:rsidRPr="00F20B59">
        <w:rPr>
          <w:color w:val="000000"/>
        </w:rPr>
        <w:t>in a hospital, while</w:t>
      </w:r>
      <w:r w:rsidRPr="00F20B59">
        <w:rPr>
          <w:color w:val="000000"/>
        </w:rPr>
        <w:t xml:space="preserve"> </w:t>
      </w:r>
      <w:r w:rsidR="00EF7074" w:rsidRPr="00F20B59">
        <w:rPr>
          <w:color w:val="000000"/>
        </w:rPr>
        <w:t xml:space="preserve">200 visits are targeted from </w:t>
      </w:r>
      <w:r w:rsidRPr="00F20B59">
        <w:rPr>
          <w:color w:val="000000"/>
        </w:rPr>
        <w:t xml:space="preserve">OPDs.  </w:t>
      </w:r>
      <w:r w:rsidR="00585D28" w:rsidRPr="00F20B59">
        <w:rPr>
          <w:color w:val="000000"/>
        </w:rPr>
        <w:t xml:space="preserve">Within </w:t>
      </w:r>
      <w:r w:rsidR="00181B85" w:rsidRPr="00F20B59">
        <w:rPr>
          <w:color w:val="000000"/>
        </w:rPr>
        <w:t xml:space="preserve">FS-ASCs, 100 visits are targeted for sampling across all of the ASLs within that facility.  </w:t>
      </w:r>
      <w:r w:rsidRPr="00F20B59">
        <w:rPr>
          <w:color w:val="000000"/>
        </w:rPr>
        <w:t xml:space="preserve">If there are more than five clinics in a hospital, then up to 30 visits are targeted from each clinic included in the survey.  In clinics with volumes higher than these desired figures, visits are sampled by a systematic procedure which selects every nth visit after a random start.  Sampling rates are determined from the expected number of patients to be seen during the reporting period and the desired number of sample records.  This basic procedure is adapted, as necessary, to the record keeping systems of the particular hospitals.  Previous studies found that many clinics keep their own logs which are used as the sampling frame for visits.  </w:t>
      </w:r>
    </w:p>
    <w:p w:rsidR="00794F8B" w:rsidRPr="00F20B59" w:rsidRDefault="00794F8B" w:rsidP="005A1DA2">
      <w:pPr>
        <w:ind w:left="360"/>
        <w:rPr>
          <w:color w:val="000000"/>
        </w:rPr>
      </w:pPr>
    </w:p>
    <w:p w:rsidR="00BB5062" w:rsidRPr="00F20B59" w:rsidRDefault="00BB5062" w:rsidP="00BB5062">
      <w:pPr>
        <w:ind w:left="360"/>
      </w:pPr>
      <w:r w:rsidRPr="00F20B59">
        <w:rPr>
          <w:color w:val="000000"/>
        </w:rPr>
        <w:t>Samples of approximately 100 ambulatory surgery visits are targeted from FS-ASCs and hospitals with ASLs.  The procedures</w:t>
      </w:r>
      <w:r w:rsidRPr="00F20B59">
        <w:t xml:space="preserve"> used to select AS visits are the same as that for visits in EDs and OPDs.  Sampled visits will be drawn from all in-scope locations within a facility where ambulatory surgery is performed. </w:t>
      </w:r>
    </w:p>
    <w:p w:rsidR="00C25224" w:rsidRPr="00F20B59" w:rsidRDefault="00C25224" w:rsidP="00794F8B">
      <w:pPr>
        <w:rPr>
          <w:color w:val="000000"/>
        </w:rPr>
      </w:pPr>
    </w:p>
    <w:p w:rsidR="00794F8B" w:rsidRPr="00F20B59" w:rsidRDefault="00794F8B" w:rsidP="00794F8B">
      <w:pPr>
        <w:rPr>
          <w:color w:val="000000"/>
        </w:rPr>
      </w:pPr>
      <w:r w:rsidRPr="00F20B59">
        <w:rPr>
          <w:b/>
          <w:bCs/>
          <w:color w:val="000000"/>
        </w:rPr>
        <w:t>2.  Procedures for the Collection of Information</w:t>
      </w:r>
    </w:p>
    <w:p w:rsidR="00794F8B" w:rsidRPr="00F20B59" w:rsidRDefault="00794F8B" w:rsidP="00794F8B">
      <w:pPr>
        <w:ind w:left="360"/>
        <w:rPr>
          <w:color w:val="000000"/>
        </w:rPr>
      </w:pPr>
    </w:p>
    <w:p w:rsidR="00794F8B" w:rsidRPr="00F20B59" w:rsidRDefault="00794F8B" w:rsidP="00794F8B">
      <w:pPr>
        <w:rPr>
          <w:color w:val="000000"/>
        </w:rPr>
      </w:pPr>
      <w:r w:rsidRPr="00F20B59">
        <w:rPr>
          <w:color w:val="000000"/>
          <w:u w:val="single"/>
        </w:rPr>
        <w:t>Training</w:t>
      </w:r>
    </w:p>
    <w:p w:rsidR="00794F8B" w:rsidRPr="00F20B59" w:rsidRDefault="00794F8B" w:rsidP="00794F8B">
      <w:pPr>
        <w:rPr>
          <w:color w:val="000000"/>
        </w:rPr>
      </w:pPr>
    </w:p>
    <w:p w:rsidR="00794F8B" w:rsidRPr="00F20B59" w:rsidRDefault="00794F8B" w:rsidP="00C44839">
      <w:pPr>
        <w:ind w:left="360"/>
        <w:rPr>
          <w:color w:val="000000"/>
        </w:rPr>
      </w:pPr>
      <w:r w:rsidRPr="00F20B59">
        <w:rPr>
          <w:color w:val="000000"/>
        </w:rPr>
        <w:t xml:space="preserve">Training in data collection procedures is conducted at different times with four different types of staff.  Census Bureau Headquarters staff are responsible for training the Regional Office staff.  Regional Office staff have the primary responsibility for training the field representatives and supervising hospital data collection activities.  Field representative training covers the following topics:  inducting </w:t>
      </w:r>
      <w:r w:rsidR="00181B85" w:rsidRPr="00F20B59">
        <w:rPr>
          <w:color w:val="000000"/>
        </w:rPr>
        <w:t>facilities (hospitals and FS-ASCs)</w:t>
      </w:r>
      <w:r w:rsidRPr="00F20B59">
        <w:rPr>
          <w:color w:val="000000"/>
        </w:rPr>
        <w:t xml:space="preserve">, confidentiality, Health Insurance Portability and Accountability Act (HIPAA), supervising patient visit sampling, retrieving missing data, and medical record abstraction. </w:t>
      </w:r>
      <w:r w:rsidR="00967F34" w:rsidRPr="00F20B59">
        <w:rPr>
          <w:color w:val="000000"/>
        </w:rPr>
        <w:t xml:space="preserve">Where the </w:t>
      </w:r>
      <w:r w:rsidR="00181B85" w:rsidRPr="00F20B59">
        <w:rPr>
          <w:color w:val="000000"/>
        </w:rPr>
        <w:t>facility</w:t>
      </w:r>
      <w:r w:rsidR="00967F34" w:rsidRPr="00F20B59">
        <w:rPr>
          <w:color w:val="000000"/>
        </w:rPr>
        <w:t xml:space="preserve"> staff insist upon performing PRF abstraction, f</w:t>
      </w:r>
      <w:r w:rsidRPr="00F20B59">
        <w:rPr>
          <w:color w:val="000000"/>
        </w:rPr>
        <w:t>ield representatives train the staff on</w:t>
      </w:r>
      <w:r w:rsidR="00181B85" w:rsidRPr="00F20B59">
        <w:rPr>
          <w:color w:val="000000"/>
        </w:rPr>
        <w:t xml:space="preserve"> visit sampling</w:t>
      </w:r>
      <w:r w:rsidRPr="00F20B59">
        <w:rPr>
          <w:color w:val="000000"/>
        </w:rPr>
        <w:t xml:space="preserve"> </w:t>
      </w:r>
      <w:r w:rsidR="002C7EED" w:rsidRPr="00F20B59">
        <w:rPr>
          <w:color w:val="000000"/>
        </w:rPr>
        <w:t xml:space="preserve">and </w:t>
      </w:r>
      <w:r w:rsidRPr="00F20B59">
        <w:rPr>
          <w:color w:val="000000"/>
        </w:rPr>
        <w:t xml:space="preserve">completion of the </w:t>
      </w:r>
      <w:r w:rsidR="00E346F1" w:rsidRPr="00F20B59">
        <w:rPr>
          <w:color w:val="000000"/>
        </w:rPr>
        <w:t xml:space="preserve">computerized </w:t>
      </w:r>
      <w:r w:rsidRPr="00F20B59">
        <w:rPr>
          <w:color w:val="000000"/>
        </w:rPr>
        <w:t xml:space="preserve">Patient Record forms.  </w:t>
      </w:r>
      <w:r w:rsidR="00967F34" w:rsidRPr="00F20B59">
        <w:rPr>
          <w:color w:val="000000"/>
        </w:rPr>
        <w:t>In most cases, we anticipate that the field representative will perform PRF abstraction.</w:t>
      </w:r>
    </w:p>
    <w:p w:rsidR="00794F8B" w:rsidRPr="00F20B59" w:rsidRDefault="00794F8B" w:rsidP="00794F8B">
      <w:pPr>
        <w:rPr>
          <w:color w:val="000000"/>
        </w:rPr>
      </w:pPr>
    </w:p>
    <w:p w:rsidR="00794F8B" w:rsidRPr="00F20B59" w:rsidRDefault="00794F8B" w:rsidP="00C44839">
      <w:pPr>
        <w:ind w:left="360"/>
        <w:rPr>
          <w:color w:val="000000"/>
        </w:rPr>
      </w:pPr>
      <w:r w:rsidRPr="00F20B59">
        <w:rPr>
          <w:color w:val="000000"/>
        </w:rPr>
        <w:t>Census Bureau Headquarters staff are responsible for writing the field manual which contains the following:  the purposes of the survey; interviewing techniques; a description of the NHAMCS induction questionnaire and related forms; and the procedures for inducting hospitals, conducting hospital visits, sampling clinics, supervising patient visit sampling, and retrieving missing data.</w:t>
      </w:r>
    </w:p>
    <w:p w:rsidR="00794F8B" w:rsidRPr="00F20B59" w:rsidRDefault="00794F8B" w:rsidP="00794F8B">
      <w:pPr>
        <w:rPr>
          <w:color w:val="000000"/>
        </w:rPr>
      </w:pPr>
    </w:p>
    <w:p w:rsidR="00794F8B" w:rsidRPr="00F20B59" w:rsidRDefault="00794F8B" w:rsidP="00794F8B">
      <w:pPr>
        <w:rPr>
          <w:color w:val="000000"/>
        </w:rPr>
      </w:pPr>
      <w:r w:rsidRPr="00F20B59">
        <w:rPr>
          <w:color w:val="000000"/>
          <w:u w:val="single"/>
        </w:rPr>
        <w:t>Initial Contact</w:t>
      </w:r>
    </w:p>
    <w:p w:rsidR="00794F8B" w:rsidRPr="00F20B59" w:rsidRDefault="00794F8B" w:rsidP="00794F8B">
      <w:pPr>
        <w:rPr>
          <w:color w:val="000000"/>
        </w:rPr>
      </w:pPr>
    </w:p>
    <w:p w:rsidR="00794F8B" w:rsidRPr="00F20B59" w:rsidRDefault="00794F8B" w:rsidP="00C44839">
      <w:pPr>
        <w:ind w:left="360"/>
        <w:rPr>
          <w:rFonts w:ascii="Garamond" w:hAnsi="Garamond"/>
        </w:rPr>
      </w:pPr>
      <w:r w:rsidRPr="00F20B59">
        <w:rPr>
          <w:color w:val="000000"/>
        </w:rPr>
        <w:t>An introductory letter is sent from the Director of NCHS (</w:t>
      </w:r>
      <w:r w:rsidR="00E346F1" w:rsidRPr="00F20B59">
        <w:rPr>
          <w:color w:val="000000"/>
        </w:rPr>
        <w:t>Attachment</w:t>
      </w:r>
      <w:r w:rsidRPr="00F20B59">
        <w:rPr>
          <w:color w:val="000000"/>
        </w:rPr>
        <w:t xml:space="preserve"> </w:t>
      </w:r>
      <w:r w:rsidR="003C5E3E" w:rsidRPr="00F20B59">
        <w:rPr>
          <w:color w:val="000000"/>
        </w:rPr>
        <w:t>G</w:t>
      </w:r>
      <w:r w:rsidRPr="00F20B59">
        <w:rPr>
          <w:color w:val="000000"/>
        </w:rPr>
        <w:t>) to the chief executive officer of each sampled hospital</w:t>
      </w:r>
      <w:r w:rsidR="00C96BE2" w:rsidRPr="00F20B59">
        <w:rPr>
          <w:color w:val="000000"/>
        </w:rPr>
        <w:t xml:space="preserve"> or </w:t>
      </w:r>
      <w:r w:rsidR="002C7EED" w:rsidRPr="00F20B59">
        <w:rPr>
          <w:color w:val="000000"/>
        </w:rPr>
        <w:t>FS-</w:t>
      </w:r>
      <w:r w:rsidR="00C96BE2" w:rsidRPr="00F20B59">
        <w:rPr>
          <w:color w:val="000000"/>
        </w:rPr>
        <w:t>ASC</w:t>
      </w:r>
      <w:r w:rsidRPr="00F20B59">
        <w:rPr>
          <w:color w:val="000000"/>
        </w:rPr>
        <w:t xml:space="preserve">.  The letter describes the purpose of the survey, the authority for data collection, that participation is voluntary and that all collected information is confidential including the identity of the hospital </w:t>
      </w:r>
      <w:r w:rsidR="00C96BE2" w:rsidRPr="00F20B59">
        <w:rPr>
          <w:color w:val="000000"/>
        </w:rPr>
        <w:t xml:space="preserve">or </w:t>
      </w:r>
      <w:r w:rsidR="0035218A" w:rsidRPr="00F20B59">
        <w:rPr>
          <w:color w:val="000000"/>
        </w:rPr>
        <w:t xml:space="preserve">freestanding </w:t>
      </w:r>
      <w:r w:rsidR="00C96BE2" w:rsidRPr="00F20B59">
        <w:rPr>
          <w:color w:val="000000"/>
        </w:rPr>
        <w:t>ASC</w:t>
      </w:r>
      <w:r w:rsidR="00547200" w:rsidRPr="00F20B59">
        <w:rPr>
          <w:color w:val="000000"/>
        </w:rPr>
        <w:t xml:space="preserve"> [308(d) confidentiality requirements and Confidential Information Protection and Statistical Efficiency Act</w:t>
      </w:r>
      <w:r w:rsidR="00FD242E" w:rsidRPr="00F20B59">
        <w:rPr>
          <w:color w:val="000000"/>
        </w:rPr>
        <w:t xml:space="preserve"> (PL-107-347)</w:t>
      </w:r>
      <w:r w:rsidR="00547200" w:rsidRPr="00F20B59">
        <w:rPr>
          <w:color w:val="000000"/>
        </w:rPr>
        <w:t>]</w:t>
      </w:r>
      <w:r w:rsidRPr="00F20B59">
        <w:rPr>
          <w:color w:val="000000"/>
        </w:rPr>
        <w:t xml:space="preserve">.  It also covers requirements related to </w:t>
      </w:r>
      <w:r w:rsidR="00C25224" w:rsidRPr="00F20B59">
        <w:rPr>
          <w:color w:val="000000"/>
        </w:rPr>
        <w:t>Health Insurance Portability and Accountability Act (</w:t>
      </w:r>
      <w:r w:rsidRPr="00F20B59">
        <w:rPr>
          <w:color w:val="000000"/>
        </w:rPr>
        <w:t>HIPAA</w:t>
      </w:r>
      <w:r w:rsidR="00C25224" w:rsidRPr="00F20B59">
        <w:rPr>
          <w:color w:val="000000"/>
        </w:rPr>
        <w:t>)</w:t>
      </w:r>
      <w:r w:rsidRPr="00F20B59">
        <w:rPr>
          <w:color w:val="000000"/>
        </w:rPr>
        <w:t xml:space="preserve">.  </w:t>
      </w:r>
      <w:r w:rsidR="00E346F1" w:rsidRPr="00F20B59">
        <w:rPr>
          <w:color w:val="000000"/>
        </w:rPr>
        <w:t>A</w:t>
      </w:r>
      <w:r w:rsidRPr="00F20B59">
        <w:rPr>
          <w:color w:val="000000"/>
        </w:rPr>
        <w:t>t no time are the patients contacted to obtain information.  Letters of endorsement by the American College of Emergency Physicians, Society for Academic Emergency Medicine, Emergency Nurses Association, American College of Osteopathic Emergency Physicians</w:t>
      </w:r>
      <w:r w:rsidR="005502FF" w:rsidRPr="00F20B59">
        <w:rPr>
          <w:color w:val="000000"/>
        </w:rPr>
        <w:t xml:space="preserve">, </w:t>
      </w:r>
      <w:r w:rsidR="00740250" w:rsidRPr="00F20B59">
        <w:t>A</w:t>
      </w:r>
      <w:r w:rsidRPr="00F20B59">
        <w:t>merican College of Surgeons (ACS), American Health Information Management Association (AHIMA), American Academy of Ophthalmology (AAO), Society for Ambulatory Anesthesia (SAMBA)</w:t>
      </w:r>
      <w:r w:rsidR="005502FF" w:rsidRPr="00F20B59">
        <w:t>,</w:t>
      </w:r>
      <w:r w:rsidR="005502FF" w:rsidRPr="00F20B59">
        <w:rPr>
          <w:color w:val="000000"/>
        </w:rPr>
        <w:t xml:space="preserve"> and the Surgeon General (</w:t>
      </w:r>
      <w:r w:rsidR="00E346F1" w:rsidRPr="00F20B59">
        <w:rPr>
          <w:color w:val="000000"/>
        </w:rPr>
        <w:t>Attachment</w:t>
      </w:r>
      <w:r w:rsidR="005502FF" w:rsidRPr="00F20B59">
        <w:rPr>
          <w:color w:val="000000"/>
        </w:rPr>
        <w:t xml:space="preserve"> </w:t>
      </w:r>
      <w:r w:rsidR="003C5E3E" w:rsidRPr="00F20B59">
        <w:rPr>
          <w:color w:val="000000"/>
        </w:rPr>
        <w:t>H</w:t>
      </w:r>
      <w:r w:rsidR="005502FF" w:rsidRPr="00F20B59">
        <w:rPr>
          <w:color w:val="000000"/>
        </w:rPr>
        <w:t>) are included in the mailing.</w:t>
      </w:r>
    </w:p>
    <w:p w:rsidR="00794F8B" w:rsidRPr="00F20B59" w:rsidRDefault="00794F8B" w:rsidP="00794F8B">
      <w:pPr>
        <w:rPr>
          <w:color w:val="000000"/>
          <w:u w:val="single"/>
        </w:rPr>
      </w:pPr>
    </w:p>
    <w:p w:rsidR="00794F8B" w:rsidRPr="00F20B59" w:rsidRDefault="00794F8B" w:rsidP="00794F8B">
      <w:pPr>
        <w:rPr>
          <w:color w:val="000000"/>
        </w:rPr>
      </w:pPr>
      <w:r w:rsidRPr="00F20B59">
        <w:rPr>
          <w:color w:val="000000"/>
          <w:u w:val="single"/>
        </w:rPr>
        <w:t>Hospital Induction</w:t>
      </w:r>
    </w:p>
    <w:p w:rsidR="00794F8B" w:rsidRPr="00F20B59" w:rsidRDefault="00794F8B" w:rsidP="00794F8B">
      <w:pPr>
        <w:rPr>
          <w:color w:val="000000"/>
        </w:rPr>
      </w:pPr>
    </w:p>
    <w:p w:rsidR="00794F8B" w:rsidRPr="00F20B59" w:rsidRDefault="00794F8B" w:rsidP="00C44839">
      <w:pPr>
        <w:ind w:left="360"/>
        <w:rPr>
          <w:color w:val="000000"/>
        </w:rPr>
      </w:pPr>
      <w:r w:rsidRPr="00F20B59">
        <w:rPr>
          <w:color w:val="000000"/>
        </w:rPr>
        <w:t>The introductory letter is followed by a telephone call from the field representative to verify hospital eligibility for the survey and to arrange for an appointment with the chief executive officer, directors of the ED</w:t>
      </w:r>
      <w:r w:rsidR="00740250" w:rsidRPr="00F20B59">
        <w:rPr>
          <w:color w:val="000000"/>
        </w:rPr>
        <w:t xml:space="preserve">, </w:t>
      </w:r>
      <w:r w:rsidRPr="00F20B59">
        <w:rPr>
          <w:color w:val="000000"/>
        </w:rPr>
        <w:t>OPD</w:t>
      </w:r>
      <w:r w:rsidR="00740250" w:rsidRPr="00F20B59">
        <w:rPr>
          <w:color w:val="000000"/>
        </w:rPr>
        <w:t>, and AS</w:t>
      </w:r>
      <w:r w:rsidR="004F7BEB" w:rsidRPr="00F20B59">
        <w:rPr>
          <w:color w:val="000000"/>
        </w:rPr>
        <w:t>L</w:t>
      </w:r>
      <w:r w:rsidR="00181B85" w:rsidRPr="00F20B59">
        <w:rPr>
          <w:color w:val="000000"/>
        </w:rPr>
        <w:t>s</w:t>
      </w:r>
      <w:r w:rsidRPr="00F20B59">
        <w:rPr>
          <w:color w:val="000000"/>
        </w:rPr>
        <w:t>, and whoever is designated as hospital coordinator for this survey.  During the meeting, the field representative explains the purpose of the survey, describes the data collection methods and length of data collection, and obtains both general descriptive information about the organization of the ED</w:t>
      </w:r>
      <w:r w:rsidR="00740250" w:rsidRPr="00F20B59">
        <w:rPr>
          <w:color w:val="000000"/>
        </w:rPr>
        <w:t>,</w:t>
      </w:r>
      <w:r w:rsidRPr="00F20B59">
        <w:rPr>
          <w:color w:val="000000"/>
        </w:rPr>
        <w:t xml:space="preserve"> OPD</w:t>
      </w:r>
      <w:r w:rsidR="00740250" w:rsidRPr="00F20B59">
        <w:rPr>
          <w:color w:val="000000"/>
        </w:rPr>
        <w:t>, and AS</w:t>
      </w:r>
      <w:r w:rsidR="004F7BEB" w:rsidRPr="00F20B59">
        <w:rPr>
          <w:color w:val="000000"/>
        </w:rPr>
        <w:t>L</w:t>
      </w:r>
      <w:r w:rsidR="00181B85" w:rsidRPr="00F20B59">
        <w:rPr>
          <w:color w:val="000000"/>
        </w:rPr>
        <w:t>s</w:t>
      </w:r>
      <w:r w:rsidRPr="00F20B59">
        <w:rPr>
          <w:color w:val="000000"/>
        </w:rPr>
        <w:t xml:space="preserve"> and specific information needed to sample </w:t>
      </w:r>
      <w:r w:rsidR="00524649" w:rsidRPr="00F20B59">
        <w:rPr>
          <w:color w:val="000000"/>
        </w:rPr>
        <w:t xml:space="preserve">ambulatory units </w:t>
      </w:r>
      <w:r w:rsidRPr="00F20B59">
        <w:rPr>
          <w:color w:val="000000"/>
        </w:rPr>
        <w:t xml:space="preserve">within the hospitals.  The </w:t>
      </w:r>
      <w:r w:rsidR="000274BA" w:rsidRPr="00F20B59">
        <w:rPr>
          <w:color w:val="000000"/>
        </w:rPr>
        <w:t xml:space="preserve">Hospital Induction Interview </w:t>
      </w:r>
      <w:r w:rsidRPr="00F20B59">
        <w:rPr>
          <w:color w:val="000000"/>
        </w:rPr>
        <w:t>(</w:t>
      </w:r>
      <w:r w:rsidR="00E346F1" w:rsidRPr="00F20B59">
        <w:rPr>
          <w:color w:val="000000"/>
        </w:rPr>
        <w:t>Attachment</w:t>
      </w:r>
      <w:r w:rsidRPr="00F20B59">
        <w:rPr>
          <w:color w:val="000000"/>
        </w:rPr>
        <w:t xml:space="preserve"> </w:t>
      </w:r>
      <w:r w:rsidR="000274BA" w:rsidRPr="00F20B59">
        <w:rPr>
          <w:color w:val="000000"/>
        </w:rPr>
        <w:t>I</w:t>
      </w:r>
      <w:r w:rsidRPr="00F20B59">
        <w:rPr>
          <w:color w:val="000000"/>
        </w:rPr>
        <w:t>) is administered to screen sample hospitals, verify the hospital sampling frame information, induct the sample hospitals, and obtain ED</w:t>
      </w:r>
      <w:r w:rsidR="00740250" w:rsidRPr="00F20B59">
        <w:rPr>
          <w:color w:val="000000"/>
        </w:rPr>
        <w:t>,</w:t>
      </w:r>
      <w:r w:rsidRPr="00F20B59">
        <w:rPr>
          <w:color w:val="000000"/>
        </w:rPr>
        <w:t xml:space="preserve"> OPD</w:t>
      </w:r>
      <w:r w:rsidR="00181B85" w:rsidRPr="00F20B59">
        <w:rPr>
          <w:color w:val="000000"/>
        </w:rPr>
        <w:t>, and ASL</w:t>
      </w:r>
      <w:r w:rsidRPr="00F20B59">
        <w:rPr>
          <w:color w:val="000000"/>
        </w:rPr>
        <w:t xml:space="preserve"> data.</w:t>
      </w:r>
      <w:r w:rsidR="00F1673F" w:rsidRPr="00F20B59">
        <w:rPr>
          <w:color w:val="000000"/>
        </w:rPr>
        <w:t xml:space="preserve">  For the new sample of 167 hospitals, only general hospital information and ED data will be obtained (Attachment J).</w:t>
      </w:r>
    </w:p>
    <w:p w:rsidR="00794F8B" w:rsidRPr="00F20B59" w:rsidRDefault="00794F8B" w:rsidP="00794F8B">
      <w:pPr>
        <w:rPr>
          <w:color w:val="000000"/>
        </w:rPr>
      </w:pPr>
      <w:r w:rsidRPr="00F20B59">
        <w:rPr>
          <w:color w:val="000000"/>
        </w:rPr>
        <w:t xml:space="preserve">   </w:t>
      </w:r>
    </w:p>
    <w:p w:rsidR="00061283" w:rsidRPr="00F20B59" w:rsidRDefault="00726040" w:rsidP="00061283">
      <w:pPr>
        <w:rPr>
          <w:color w:val="000000"/>
          <w:u w:val="single"/>
        </w:rPr>
      </w:pPr>
      <w:r w:rsidRPr="00F20B59">
        <w:rPr>
          <w:color w:val="000000"/>
          <w:u w:val="single"/>
        </w:rPr>
        <w:t>Freestanding</w:t>
      </w:r>
      <w:r w:rsidR="00061283" w:rsidRPr="00F20B59">
        <w:rPr>
          <w:color w:val="000000"/>
          <w:u w:val="single"/>
        </w:rPr>
        <w:t xml:space="preserve"> Ambulatory Surgery Center (ASC) Induction</w:t>
      </w:r>
    </w:p>
    <w:p w:rsidR="007927AB" w:rsidRPr="00F20B59" w:rsidRDefault="007927AB" w:rsidP="00061283">
      <w:pPr>
        <w:rPr>
          <w:color w:val="000000"/>
        </w:rPr>
      </w:pPr>
    </w:p>
    <w:p w:rsidR="00061283" w:rsidRPr="00F20B59" w:rsidRDefault="007927AB" w:rsidP="00C44839">
      <w:pPr>
        <w:ind w:left="360"/>
        <w:rPr>
          <w:color w:val="000000"/>
        </w:rPr>
      </w:pPr>
      <w:r w:rsidRPr="00F20B59">
        <w:rPr>
          <w:color w:val="000000"/>
        </w:rPr>
        <w:t xml:space="preserve">The introductory letter </w:t>
      </w:r>
      <w:r w:rsidR="009B0A10" w:rsidRPr="00F20B59">
        <w:rPr>
          <w:color w:val="000000"/>
        </w:rPr>
        <w:t>(</w:t>
      </w:r>
      <w:r w:rsidR="00E346F1" w:rsidRPr="00F20B59">
        <w:rPr>
          <w:color w:val="000000"/>
        </w:rPr>
        <w:t>Attachment</w:t>
      </w:r>
      <w:r w:rsidR="009B0A10" w:rsidRPr="00F20B59">
        <w:rPr>
          <w:color w:val="000000"/>
        </w:rPr>
        <w:t xml:space="preserve"> </w:t>
      </w:r>
      <w:r w:rsidR="000274BA" w:rsidRPr="00F20B59">
        <w:rPr>
          <w:color w:val="000000"/>
        </w:rPr>
        <w:t>G</w:t>
      </w:r>
      <w:r w:rsidR="009B0A10" w:rsidRPr="00F20B59">
        <w:rPr>
          <w:color w:val="000000"/>
        </w:rPr>
        <w:t xml:space="preserve">) </w:t>
      </w:r>
      <w:r w:rsidRPr="00F20B59">
        <w:rPr>
          <w:color w:val="000000"/>
        </w:rPr>
        <w:t xml:space="preserve">to the freestanding ambulatory surgery center director is followed by a telephone call from the field representative to verify </w:t>
      </w:r>
      <w:r w:rsidR="00181B85" w:rsidRPr="00F20B59">
        <w:rPr>
          <w:color w:val="000000"/>
        </w:rPr>
        <w:t>the facility’s</w:t>
      </w:r>
      <w:r w:rsidRPr="00F20B59">
        <w:rPr>
          <w:color w:val="000000"/>
        </w:rPr>
        <w:t xml:space="preserve"> eligibility for the survey and to arrange for an appointment with the director and whoever is designated as </w:t>
      </w:r>
      <w:r w:rsidR="00181B85" w:rsidRPr="00F20B59">
        <w:rPr>
          <w:color w:val="000000"/>
        </w:rPr>
        <w:t>the facility’s</w:t>
      </w:r>
      <w:r w:rsidRPr="00F20B59">
        <w:rPr>
          <w:color w:val="000000"/>
        </w:rPr>
        <w:t xml:space="preserve"> coordinator for this survey.  During the meeting, the field representative explains the purpose of the survey and describes the data collection methods and length of data collection.  The </w:t>
      </w:r>
      <w:r w:rsidR="000274BA" w:rsidRPr="00F20B59">
        <w:rPr>
          <w:color w:val="000000"/>
        </w:rPr>
        <w:t>Freestanding ASC</w:t>
      </w:r>
      <w:r w:rsidRPr="00F20B59">
        <w:rPr>
          <w:color w:val="000000"/>
        </w:rPr>
        <w:t xml:space="preserve"> </w:t>
      </w:r>
      <w:r w:rsidR="00CF2A7A" w:rsidRPr="00F20B59">
        <w:rPr>
          <w:color w:val="000000"/>
        </w:rPr>
        <w:t>Induction Form</w:t>
      </w:r>
      <w:r w:rsidRPr="00F20B59">
        <w:rPr>
          <w:color w:val="000000"/>
        </w:rPr>
        <w:t xml:space="preserve"> (</w:t>
      </w:r>
      <w:r w:rsidR="00E346F1" w:rsidRPr="00F20B59">
        <w:rPr>
          <w:color w:val="000000"/>
        </w:rPr>
        <w:t>Attachment</w:t>
      </w:r>
      <w:r w:rsidRPr="00F20B59">
        <w:rPr>
          <w:color w:val="000000"/>
        </w:rPr>
        <w:t xml:space="preserve"> </w:t>
      </w:r>
      <w:r w:rsidR="00F1673F" w:rsidRPr="00F20B59">
        <w:rPr>
          <w:color w:val="000000"/>
        </w:rPr>
        <w:t>K</w:t>
      </w:r>
      <w:r w:rsidRPr="00F20B59">
        <w:rPr>
          <w:color w:val="000000"/>
        </w:rPr>
        <w:t xml:space="preserve">) is administered to screen sample </w:t>
      </w:r>
      <w:r w:rsidR="00C82996" w:rsidRPr="00F20B59">
        <w:rPr>
          <w:color w:val="000000"/>
        </w:rPr>
        <w:t>FS-</w:t>
      </w:r>
      <w:r w:rsidRPr="00F20B59">
        <w:rPr>
          <w:color w:val="000000"/>
        </w:rPr>
        <w:t xml:space="preserve">ASCs, verify </w:t>
      </w:r>
      <w:r w:rsidR="00C82996" w:rsidRPr="00F20B59">
        <w:rPr>
          <w:color w:val="000000"/>
        </w:rPr>
        <w:t>FS-</w:t>
      </w:r>
      <w:r w:rsidRPr="00F20B59">
        <w:rPr>
          <w:color w:val="000000"/>
        </w:rPr>
        <w:t>ASC sampling frame information, induct the AS</w:t>
      </w:r>
      <w:r w:rsidR="00C82996" w:rsidRPr="00F20B59">
        <w:rPr>
          <w:color w:val="000000"/>
        </w:rPr>
        <w:t>Ls within the FS-ASC</w:t>
      </w:r>
      <w:r w:rsidRPr="00F20B59">
        <w:rPr>
          <w:color w:val="000000"/>
        </w:rPr>
        <w:t xml:space="preserve">, </w:t>
      </w:r>
      <w:r w:rsidR="004F115E" w:rsidRPr="00F20B59">
        <w:rPr>
          <w:color w:val="000000"/>
        </w:rPr>
        <w:t xml:space="preserve">and </w:t>
      </w:r>
      <w:r w:rsidRPr="00F20B59">
        <w:rPr>
          <w:color w:val="000000"/>
        </w:rPr>
        <w:t xml:space="preserve">obtain general descriptive information about the organization of the </w:t>
      </w:r>
      <w:r w:rsidR="00C82996" w:rsidRPr="00F20B59">
        <w:rPr>
          <w:color w:val="000000"/>
        </w:rPr>
        <w:t>FS-</w:t>
      </w:r>
      <w:r w:rsidRPr="00F20B59">
        <w:rPr>
          <w:color w:val="000000"/>
        </w:rPr>
        <w:t>ASC.</w:t>
      </w:r>
    </w:p>
    <w:p w:rsidR="00181B85" w:rsidRPr="00F20B59" w:rsidRDefault="00181B85" w:rsidP="00C44839">
      <w:pPr>
        <w:ind w:left="360"/>
        <w:rPr>
          <w:color w:val="000000"/>
        </w:rPr>
      </w:pPr>
    </w:p>
    <w:p w:rsidR="007927AB" w:rsidRPr="00F20B59" w:rsidRDefault="007927AB" w:rsidP="00794F8B">
      <w:pPr>
        <w:rPr>
          <w:color w:val="000000"/>
          <w:u w:val="single"/>
        </w:rPr>
      </w:pPr>
      <w:r w:rsidRPr="00F20B59">
        <w:rPr>
          <w:color w:val="000000"/>
          <w:u w:val="single"/>
        </w:rPr>
        <w:t>Completion of Patient Record Forms</w:t>
      </w:r>
    </w:p>
    <w:p w:rsidR="007927AB" w:rsidRPr="00F20B59" w:rsidRDefault="007927AB" w:rsidP="00794F8B">
      <w:pPr>
        <w:rPr>
          <w:color w:val="000000"/>
        </w:rPr>
      </w:pPr>
    </w:p>
    <w:p w:rsidR="00A53523" w:rsidRPr="00F20B59" w:rsidRDefault="00A53523" w:rsidP="00A53523">
      <w:pPr>
        <w:ind w:left="360"/>
        <w:rPr>
          <w:color w:val="000000"/>
        </w:rPr>
      </w:pPr>
      <w:bookmarkStart w:id="3" w:name="OLE_LINK12"/>
      <w:bookmarkStart w:id="4" w:name="OLE_LINK13"/>
      <w:r w:rsidRPr="00F20B59">
        <w:rPr>
          <w:color w:val="000000"/>
        </w:rPr>
        <w:t>In order to decrease burden to facility staff and to facilit</w:t>
      </w:r>
      <w:r w:rsidR="00E346F1" w:rsidRPr="00F20B59">
        <w:rPr>
          <w:color w:val="000000"/>
        </w:rPr>
        <w:t>ate</w:t>
      </w:r>
      <w:r w:rsidRPr="00F20B59">
        <w:rPr>
          <w:color w:val="000000"/>
        </w:rPr>
        <w:t xml:space="preserve"> the data collection procedures, field representatives will complete the Patient Record forms.  We anticipate that approximately 75% of facilities will allow abstraction by field representatives.  The remaining 25% of facilities that insist upon doing the abstraction will be supplied with laptops from the Census Bureau which are outfitted with the computerized Patient Record form.  The laptop will have no other applications and users will only be allowed to access the Patient Record form instrument.  After abstraction is completed, the laptop will be collected by the Field Representative and the patient record data will be securely transmitted to Census Bureau data servers.</w:t>
      </w:r>
    </w:p>
    <w:p w:rsidR="00A53523" w:rsidRPr="00F20B59" w:rsidRDefault="00A53523" w:rsidP="00C44839">
      <w:pPr>
        <w:ind w:left="360"/>
        <w:rPr>
          <w:color w:val="000000"/>
        </w:rPr>
      </w:pPr>
    </w:p>
    <w:p w:rsidR="00794F8B" w:rsidRPr="00F20B59" w:rsidRDefault="00794F8B" w:rsidP="00C44839">
      <w:pPr>
        <w:ind w:left="360"/>
        <w:rPr>
          <w:color w:val="000000"/>
        </w:rPr>
      </w:pPr>
      <w:r w:rsidRPr="00F20B59">
        <w:rPr>
          <w:color w:val="000000"/>
        </w:rPr>
        <w:t>Patient visit data are recorded for each sample visit using either the ED</w:t>
      </w:r>
      <w:r w:rsidR="00110CDE" w:rsidRPr="00F20B59">
        <w:rPr>
          <w:color w:val="000000"/>
        </w:rPr>
        <w:t xml:space="preserve"> Patient Record form (PRF) (</w:t>
      </w:r>
      <w:r w:rsidR="00E346F1" w:rsidRPr="00F20B59">
        <w:rPr>
          <w:color w:val="000000"/>
        </w:rPr>
        <w:t>Attachment</w:t>
      </w:r>
      <w:r w:rsidR="00110CDE" w:rsidRPr="00F20B59">
        <w:rPr>
          <w:color w:val="000000"/>
        </w:rPr>
        <w:t xml:space="preserve"> M)</w:t>
      </w:r>
      <w:r w:rsidR="005A3E1A" w:rsidRPr="00F20B59">
        <w:rPr>
          <w:color w:val="000000"/>
        </w:rPr>
        <w:t>,</w:t>
      </w:r>
      <w:r w:rsidRPr="00F20B59">
        <w:rPr>
          <w:color w:val="000000"/>
        </w:rPr>
        <w:t xml:space="preserve"> OPD</w:t>
      </w:r>
      <w:r w:rsidR="00110CDE" w:rsidRPr="00F20B59">
        <w:rPr>
          <w:color w:val="000000"/>
        </w:rPr>
        <w:t xml:space="preserve"> PRF (</w:t>
      </w:r>
      <w:r w:rsidR="00E346F1" w:rsidRPr="00F20B59">
        <w:rPr>
          <w:color w:val="000000"/>
        </w:rPr>
        <w:t>Attachment</w:t>
      </w:r>
      <w:r w:rsidR="00110CDE" w:rsidRPr="00F20B59">
        <w:rPr>
          <w:color w:val="000000"/>
        </w:rPr>
        <w:t xml:space="preserve"> N)</w:t>
      </w:r>
      <w:r w:rsidR="005A3E1A" w:rsidRPr="00F20B59">
        <w:rPr>
          <w:color w:val="000000"/>
        </w:rPr>
        <w:t>, or AS</w:t>
      </w:r>
      <w:r w:rsidRPr="00F20B59">
        <w:rPr>
          <w:color w:val="000000"/>
        </w:rPr>
        <w:t xml:space="preserve"> PR</w:t>
      </w:r>
      <w:r w:rsidR="00110CDE" w:rsidRPr="00F20B59">
        <w:rPr>
          <w:color w:val="000000"/>
        </w:rPr>
        <w:t>F</w:t>
      </w:r>
      <w:r w:rsidR="00E1532C" w:rsidRPr="00F20B59">
        <w:rPr>
          <w:color w:val="000000"/>
        </w:rPr>
        <w:t xml:space="preserve"> (</w:t>
      </w:r>
      <w:r w:rsidR="00E346F1" w:rsidRPr="00F20B59">
        <w:rPr>
          <w:color w:val="000000"/>
        </w:rPr>
        <w:t>Attachment</w:t>
      </w:r>
      <w:r w:rsidR="00E1532C" w:rsidRPr="00F20B59">
        <w:rPr>
          <w:color w:val="000000"/>
        </w:rPr>
        <w:t xml:space="preserve"> O)</w:t>
      </w:r>
      <w:r w:rsidRPr="00F20B59">
        <w:rPr>
          <w:color w:val="000000"/>
        </w:rPr>
        <w:t xml:space="preserve">.  Instructions on completing the PRFs and definitions of terms are provided in the </w:t>
      </w:r>
      <w:r w:rsidR="00A53523" w:rsidRPr="00F20B59">
        <w:rPr>
          <w:color w:val="000000"/>
        </w:rPr>
        <w:t>computerized instrument through help screens.</w:t>
      </w:r>
      <w:r w:rsidRPr="00F20B59">
        <w:rPr>
          <w:color w:val="000000"/>
        </w:rPr>
        <w:t xml:space="preserve">  </w:t>
      </w:r>
    </w:p>
    <w:bookmarkEnd w:id="3"/>
    <w:bookmarkEnd w:id="4"/>
    <w:p w:rsidR="00794F8B" w:rsidRPr="00F20B59" w:rsidRDefault="00794F8B" w:rsidP="00C44839">
      <w:pPr>
        <w:ind w:left="360"/>
        <w:rPr>
          <w:color w:val="000000"/>
        </w:rPr>
      </w:pPr>
    </w:p>
    <w:p w:rsidR="00A53523" w:rsidRPr="00F20B59" w:rsidRDefault="00794F8B" w:rsidP="0071246A">
      <w:pPr>
        <w:ind w:left="360"/>
        <w:rPr>
          <w:color w:val="000000"/>
        </w:rPr>
      </w:pPr>
      <w:bookmarkStart w:id="5" w:name="OLE_LINK14"/>
      <w:bookmarkStart w:id="6" w:name="OLE_LINK15"/>
      <w:r w:rsidRPr="00F20B59">
        <w:rPr>
          <w:color w:val="000000"/>
        </w:rPr>
        <w:t>The Patient Record form</w:t>
      </w:r>
      <w:r w:rsidR="009F17C2" w:rsidRPr="00F20B59">
        <w:rPr>
          <w:color w:val="000000"/>
        </w:rPr>
        <w:t>s</w:t>
      </w:r>
      <w:r w:rsidRPr="00F20B59">
        <w:rPr>
          <w:color w:val="000000"/>
        </w:rPr>
        <w:t xml:space="preserve"> for the NHAMCS routinely collect data on patient characteristics such as age, sex, race, and ethnicity, and visit characteristics such as date of visit, reason for visit in patient’s own words, physician diagnoses, medications provided or prescribed, and expected source of payment. Periodically specific items on diagnostic tests, procedures or non-medication therapies are added or deleted.  </w:t>
      </w:r>
      <w:bookmarkEnd w:id="5"/>
      <w:bookmarkEnd w:id="6"/>
    </w:p>
    <w:p w:rsidR="00A53523" w:rsidRPr="00F20B59" w:rsidRDefault="00A53523" w:rsidP="0071246A">
      <w:pPr>
        <w:ind w:left="360"/>
        <w:rPr>
          <w:color w:val="000000"/>
        </w:rPr>
      </w:pPr>
    </w:p>
    <w:p w:rsidR="00A53523" w:rsidRPr="00F20B59" w:rsidRDefault="00A53523" w:rsidP="00A53523">
      <w:pPr>
        <w:ind w:left="360"/>
        <w:rPr>
          <w:color w:val="000000"/>
        </w:rPr>
      </w:pPr>
      <w:r w:rsidRPr="00F20B59">
        <w:rPr>
          <w:color w:val="000000"/>
        </w:rPr>
        <w:t>For the 2012 ED PRF (</w:t>
      </w:r>
      <w:r w:rsidR="00E346F1" w:rsidRPr="00F20B59">
        <w:rPr>
          <w:color w:val="000000"/>
        </w:rPr>
        <w:t>Attachment</w:t>
      </w:r>
      <w:r w:rsidRPr="00F20B59">
        <w:rPr>
          <w:color w:val="000000"/>
        </w:rPr>
        <w:t xml:space="preserve"> </w:t>
      </w:r>
      <w:r w:rsidR="000274BA" w:rsidRPr="00F20B59">
        <w:rPr>
          <w:color w:val="000000"/>
        </w:rPr>
        <w:t>M</w:t>
      </w:r>
      <w:r w:rsidRPr="00F20B59">
        <w:rPr>
          <w:color w:val="000000"/>
        </w:rPr>
        <w:t>), we will remove a question on the Glasgow Coma scale due to poor item response and we will add checkboxes to the list of the patient’s current conditions in Item 6b.</w:t>
      </w:r>
    </w:p>
    <w:p w:rsidR="00A53523" w:rsidRPr="00F20B59" w:rsidRDefault="00A53523" w:rsidP="00A53523">
      <w:pPr>
        <w:ind w:left="360"/>
        <w:rPr>
          <w:color w:val="000000"/>
        </w:rPr>
      </w:pPr>
      <w:r w:rsidRPr="00F20B59">
        <w:rPr>
          <w:color w:val="000000"/>
        </w:rPr>
        <w:t xml:space="preserve">  </w:t>
      </w:r>
    </w:p>
    <w:p w:rsidR="00A53523" w:rsidRPr="00F20B59" w:rsidRDefault="00A53523" w:rsidP="00A53523">
      <w:pPr>
        <w:ind w:left="360"/>
        <w:rPr>
          <w:color w:val="000000"/>
        </w:rPr>
      </w:pPr>
      <w:r w:rsidRPr="00F20B59">
        <w:rPr>
          <w:color w:val="000000"/>
        </w:rPr>
        <w:t xml:space="preserve">The Outpatient Department Patient Record form (OPD PRF, </w:t>
      </w:r>
      <w:r w:rsidR="00E346F1" w:rsidRPr="00F20B59">
        <w:rPr>
          <w:color w:val="000000"/>
        </w:rPr>
        <w:t>Attachment</w:t>
      </w:r>
      <w:r w:rsidR="000274BA" w:rsidRPr="00F20B59">
        <w:rPr>
          <w:color w:val="000000"/>
        </w:rPr>
        <w:t xml:space="preserve"> N</w:t>
      </w:r>
      <w:r w:rsidRPr="00F20B59">
        <w:rPr>
          <w:color w:val="000000"/>
        </w:rPr>
        <w:t xml:space="preserve">), will be modified for 2012.  We will add checkboxes to assess the patient’s asthma severity and control practices.  Also on the OPD PRF we will combine the checkboxes </w:t>
      </w:r>
      <w:r w:rsidR="002C7EED" w:rsidRPr="00F20B59">
        <w:rPr>
          <w:color w:val="000000"/>
        </w:rPr>
        <w:t xml:space="preserve">under </w:t>
      </w:r>
      <w:r w:rsidRPr="00F20B59">
        <w:rPr>
          <w:color w:val="000000"/>
        </w:rPr>
        <w:t>Diagnostic/Screening Services, Health Education, and Non-medication treatment into one new item entitled Services to eliminate confusion in the classification of certain services.  We will remove checkboxes that say “other blood test,” “other imaging,” and “other health education” and replace them with write-in fields at the end of the item.  We will also add checkboxes based on services that are commonly written into blank spaces on the form to save the abstractor from having to write out the name of the service.  The additional checkboxes are: 5-General medical exam, 6-Neurologic, 23-Audiometry, 24-Provided (under Biopsy), 25-Cardiac stress test, 26-Colonscopy, 26-Provided (under Colonoscopy), 28-EEG (Electroencephalogram), 30-EMG (Electromyography), 32-Fetal monitoring, 31-Provided (under Excision of tissue), 36-Peak flow, 38-Sigmoidoscopy, 38-Provided (under Sigmoidoscopy), 39-Spirometry, 40-Tonometry.</w:t>
      </w:r>
    </w:p>
    <w:p w:rsidR="00A53523" w:rsidRPr="00F20B59" w:rsidRDefault="00A53523" w:rsidP="00A53523">
      <w:pPr>
        <w:ind w:left="360"/>
        <w:rPr>
          <w:color w:val="000000"/>
        </w:rPr>
      </w:pPr>
    </w:p>
    <w:p w:rsidR="00A53523" w:rsidRPr="00F20B59" w:rsidRDefault="00A53523" w:rsidP="00A53523">
      <w:pPr>
        <w:ind w:left="360"/>
        <w:rPr>
          <w:color w:val="000000"/>
        </w:rPr>
      </w:pPr>
      <w:r w:rsidRPr="00F20B59">
        <w:rPr>
          <w:color w:val="000000"/>
        </w:rPr>
        <w:t>We will also modify the Ambulatory Surgery (AS) PRF (</w:t>
      </w:r>
      <w:r w:rsidR="00E346F1" w:rsidRPr="00F20B59">
        <w:rPr>
          <w:color w:val="000000"/>
        </w:rPr>
        <w:t>Attachment</w:t>
      </w:r>
      <w:r w:rsidRPr="00F20B59">
        <w:rPr>
          <w:color w:val="000000"/>
        </w:rPr>
        <w:t xml:space="preserve"> </w:t>
      </w:r>
      <w:r w:rsidR="000274BA" w:rsidRPr="00F20B59">
        <w:rPr>
          <w:color w:val="000000"/>
        </w:rPr>
        <w:t>O</w:t>
      </w:r>
      <w:r w:rsidRPr="00F20B59">
        <w:rPr>
          <w:color w:val="000000"/>
        </w:rPr>
        <w:t xml:space="preserve">) for 2012 by removing External Cause of Injury and adding checkboxes for additional diagnoses that could impact the surgery.  Also on the AS PRF, we’ve deleted a question administration of oxygen and added checkboxes of the most commonly administered drugs and anesthetics to reduce the time and effort needed to write out the names.  Last, we’ve added additional checkboxes to Disposition in order to get a more accurate response to the item.  </w:t>
      </w:r>
    </w:p>
    <w:p w:rsidR="00794F8B" w:rsidRPr="00F20B59" w:rsidRDefault="00794F8B" w:rsidP="00794F8B">
      <w:pPr>
        <w:rPr>
          <w:color w:val="000000"/>
        </w:rPr>
      </w:pPr>
    </w:p>
    <w:p w:rsidR="00794F8B" w:rsidRPr="00F20B59" w:rsidRDefault="00794F8B" w:rsidP="00794F8B">
      <w:pPr>
        <w:rPr>
          <w:color w:val="000000"/>
        </w:rPr>
      </w:pPr>
      <w:r w:rsidRPr="00F20B59">
        <w:rPr>
          <w:color w:val="000000"/>
          <w:u w:val="single"/>
        </w:rPr>
        <w:t>Monitoring Data Collection and Quality Control</w:t>
      </w:r>
    </w:p>
    <w:p w:rsidR="00794F8B" w:rsidRPr="00F20B59" w:rsidRDefault="00794F8B" w:rsidP="00794F8B">
      <w:pPr>
        <w:rPr>
          <w:color w:val="000000"/>
        </w:rPr>
      </w:pPr>
    </w:p>
    <w:p w:rsidR="00794F8B" w:rsidRPr="00F20B59" w:rsidRDefault="00794F8B" w:rsidP="004868AF">
      <w:pPr>
        <w:ind w:left="360"/>
        <w:rPr>
          <w:color w:val="000000"/>
        </w:rPr>
      </w:pPr>
      <w:r w:rsidRPr="00F20B59">
        <w:rPr>
          <w:color w:val="000000"/>
        </w:rPr>
        <w:t xml:space="preserve">Census Bureau Headquarters staff from the Demographic Surveys Division, Housing Surveys Branch, is responsible for overseeing the data collection.  Census Bureau Headquarters staff, Field Division, is responsible for the supervision of staff in the Bureau’s Regional Offices who in turn supervise the field representatives.  </w:t>
      </w:r>
    </w:p>
    <w:p w:rsidR="00794F8B" w:rsidRPr="00F20B59" w:rsidRDefault="00794F8B" w:rsidP="004868AF">
      <w:pPr>
        <w:ind w:left="360"/>
        <w:rPr>
          <w:color w:val="000000"/>
        </w:rPr>
      </w:pPr>
    </w:p>
    <w:p w:rsidR="004C4981" w:rsidRPr="00F20B59" w:rsidRDefault="00794F8B" w:rsidP="004868AF">
      <w:pPr>
        <w:pStyle w:val="BodyText"/>
        <w:ind w:left="360"/>
        <w:rPr>
          <w:rFonts w:ascii="Times New Roman" w:hAnsi="Times New Roman"/>
          <w:color w:val="000000"/>
        </w:rPr>
      </w:pPr>
      <w:r w:rsidRPr="00F20B59">
        <w:rPr>
          <w:rFonts w:ascii="Times New Roman" w:hAnsi="Times New Roman"/>
          <w:color w:val="000000"/>
        </w:rPr>
        <w:t>The field representative visits the sampled ESAs</w:t>
      </w:r>
      <w:r w:rsidR="00F60054" w:rsidRPr="00F20B59">
        <w:rPr>
          <w:rFonts w:ascii="Times New Roman" w:hAnsi="Times New Roman"/>
          <w:color w:val="000000"/>
        </w:rPr>
        <w:t>,</w:t>
      </w:r>
      <w:r w:rsidRPr="00F20B59">
        <w:rPr>
          <w:rFonts w:ascii="Times New Roman" w:hAnsi="Times New Roman"/>
          <w:color w:val="000000"/>
        </w:rPr>
        <w:t xml:space="preserve"> clinics</w:t>
      </w:r>
      <w:r w:rsidR="00F60054" w:rsidRPr="00F20B59">
        <w:rPr>
          <w:rFonts w:ascii="Times New Roman" w:hAnsi="Times New Roman"/>
          <w:color w:val="000000"/>
        </w:rPr>
        <w:t>, and AS</w:t>
      </w:r>
      <w:r w:rsidR="00B52F5D" w:rsidRPr="00F20B59">
        <w:rPr>
          <w:rFonts w:ascii="Times New Roman" w:hAnsi="Times New Roman"/>
          <w:color w:val="000000"/>
        </w:rPr>
        <w:t>Ls</w:t>
      </w:r>
      <w:r w:rsidRPr="00F20B59">
        <w:rPr>
          <w:rFonts w:ascii="Times New Roman" w:hAnsi="Times New Roman"/>
          <w:color w:val="000000"/>
        </w:rPr>
        <w:t xml:space="preserve"> each week during the data collection period and maintains telephone contact with the staff involved in the data collection effort.  An essential part of this effort is quality control which focuses on the completeness of the patient sampling frame, adherence to the sampling procedures, and assurance that a Patient Record form is completely filled out for every sample patient visit.  </w:t>
      </w:r>
      <w:r w:rsidR="004C4981" w:rsidRPr="00F20B59">
        <w:rPr>
          <w:rFonts w:ascii="Times New Roman" w:hAnsi="Times New Roman"/>
          <w:color w:val="000000"/>
        </w:rPr>
        <w:t xml:space="preserve">Computerization of the Patient Record form has allowed for automated edits to be built into the instrument, so that keying errors are automatically detected as the data entry person is entering data. </w:t>
      </w:r>
    </w:p>
    <w:p w:rsidR="004C4981" w:rsidRPr="00F20B59" w:rsidRDefault="004C4981" w:rsidP="004868AF">
      <w:pPr>
        <w:ind w:left="360"/>
        <w:rPr>
          <w:color w:val="000000"/>
        </w:rPr>
      </w:pPr>
    </w:p>
    <w:p w:rsidR="00794F8B" w:rsidRPr="00F20B59" w:rsidRDefault="00C71319" w:rsidP="00C71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F20B59">
        <w:rPr>
          <w:color w:val="000000"/>
        </w:rPr>
        <w:t xml:space="preserve">Once a case is completed, the </w:t>
      </w:r>
      <w:r w:rsidR="00794F8B" w:rsidRPr="00F20B59">
        <w:rPr>
          <w:color w:val="000000"/>
        </w:rPr>
        <w:t xml:space="preserve">survey </w:t>
      </w:r>
      <w:r w:rsidRPr="00F20B59">
        <w:rPr>
          <w:color w:val="000000"/>
        </w:rPr>
        <w:t xml:space="preserve">data </w:t>
      </w:r>
      <w:r w:rsidR="00794F8B" w:rsidRPr="00F20B59">
        <w:rPr>
          <w:color w:val="000000"/>
        </w:rPr>
        <w:t xml:space="preserve">are </w:t>
      </w:r>
      <w:r w:rsidRPr="00F20B59">
        <w:rPr>
          <w:color w:val="000000"/>
        </w:rPr>
        <w:t>encrypted and sent to a secure Census Bureau database through a secure internet connection</w:t>
      </w:r>
      <w:r w:rsidR="00794F8B" w:rsidRPr="00F20B59">
        <w:rPr>
          <w:color w:val="000000"/>
        </w:rPr>
        <w:t xml:space="preserve">.  </w:t>
      </w:r>
      <w:r w:rsidRPr="00F20B59">
        <w:rPr>
          <w:color w:val="000000"/>
        </w:rPr>
        <w:t>The data are then sent to our keying and coding contractor who will do medical and drug coding on the verbatim text fields</w:t>
      </w:r>
      <w:r w:rsidR="00794F8B" w:rsidRPr="00F20B59">
        <w:rPr>
          <w:color w:val="000000"/>
        </w:rPr>
        <w:t>.  Keying and data entry activities are performed under contract.  All medical and drug coding</w:t>
      </w:r>
      <w:r w:rsidR="007C4E74" w:rsidRPr="00F20B59">
        <w:rPr>
          <w:color w:val="000000"/>
        </w:rPr>
        <w:t>,</w:t>
      </w:r>
      <w:r w:rsidR="00794F8B" w:rsidRPr="00F20B59">
        <w:rPr>
          <w:color w:val="000000"/>
        </w:rPr>
        <w:t xml:space="preserve"> as well as all data entry operations</w:t>
      </w:r>
      <w:r w:rsidR="007C4E74" w:rsidRPr="00F20B59">
        <w:rPr>
          <w:color w:val="000000"/>
        </w:rPr>
        <w:t>,</w:t>
      </w:r>
      <w:r w:rsidR="00794F8B" w:rsidRPr="00F20B59">
        <w:rPr>
          <w:color w:val="000000"/>
        </w:rPr>
        <w:t xml:space="preserve"> are subject to quality control procedures</w:t>
      </w:r>
      <w:r w:rsidR="007C4E74" w:rsidRPr="00F20B59">
        <w:rPr>
          <w:color w:val="000000"/>
        </w:rPr>
        <w:t>—specifically,</w:t>
      </w:r>
      <w:r w:rsidR="00794F8B" w:rsidRPr="00F20B59">
        <w:rPr>
          <w:color w:val="000000"/>
        </w:rPr>
        <w:t xml:space="preserve"> a 10-percent quality control sample of survey records are independently keyed and coded.  Computer edits for code ranges and inconsistencies are also performed.  </w:t>
      </w:r>
    </w:p>
    <w:p w:rsidR="00794F8B" w:rsidRPr="00F20B59" w:rsidRDefault="00794F8B" w:rsidP="004868AF">
      <w:pPr>
        <w:ind w:left="360"/>
        <w:rPr>
          <w:color w:val="000000"/>
        </w:rPr>
      </w:pPr>
    </w:p>
    <w:p w:rsidR="00BA61C6" w:rsidRPr="00F20B59" w:rsidRDefault="00794F8B" w:rsidP="00BA61C6">
      <w:pPr>
        <w:ind w:left="360"/>
        <w:rPr>
          <w:color w:val="000000"/>
        </w:rPr>
      </w:pPr>
      <w:r w:rsidRPr="00F20B59">
        <w:rPr>
          <w:color w:val="000000"/>
        </w:rPr>
        <w:t xml:space="preserve">For some items, missing values </w:t>
      </w:r>
      <w:r w:rsidR="00E10F0D" w:rsidRPr="00F20B59">
        <w:rPr>
          <w:color w:val="000000"/>
        </w:rPr>
        <w:t>a</w:t>
      </w:r>
      <w:r w:rsidRPr="00F20B59">
        <w:rPr>
          <w:color w:val="000000"/>
        </w:rPr>
        <w:t>re imputed by randomly assigning a value from Patient Record forms with similar characteristics.  For the ED data, imputation</w:t>
      </w:r>
      <w:r w:rsidR="00E10F0D" w:rsidRPr="00F20B59">
        <w:rPr>
          <w:color w:val="000000"/>
        </w:rPr>
        <w:t>s</w:t>
      </w:r>
      <w:r w:rsidRPr="00F20B59">
        <w:rPr>
          <w:color w:val="000000"/>
        </w:rPr>
        <w:t xml:space="preserve"> for </w:t>
      </w:r>
      <w:r w:rsidR="00E10F0D" w:rsidRPr="00F20B59">
        <w:rPr>
          <w:color w:val="000000"/>
        </w:rPr>
        <w:t>birth year and sex</w:t>
      </w:r>
      <w:r w:rsidRPr="00F20B59">
        <w:rPr>
          <w:color w:val="000000"/>
        </w:rPr>
        <w:t xml:space="preserve"> </w:t>
      </w:r>
      <w:r w:rsidR="00E10F0D" w:rsidRPr="00F20B59">
        <w:rPr>
          <w:color w:val="000000"/>
        </w:rPr>
        <w:t>are</w:t>
      </w:r>
      <w:r w:rsidRPr="00F20B59">
        <w:rPr>
          <w:color w:val="000000"/>
        </w:rPr>
        <w:t xml:space="preserve"> based on ED volume, geographic region, immediacy with which patient should be seen, and the three-digit ICD-9-CM code for primary diagnosis</w:t>
      </w:r>
      <w:r w:rsidR="00E10F0D" w:rsidRPr="00F20B59">
        <w:rPr>
          <w:color w:val="000000"/>
        </w:rPr>
        <w:t xml:space="preserve"> and for immediacy it is based on ED volume, region, and primary diagnosis</w:t>
      </w:r>
      <w:r w:rsidRPr="00F20B59">
        <w:rPr>
          <w:color w:val="000000"/>
        </w:rPr>
        <w:t xml:space="preserve">.  </w:t>
      </w:r>
      <w:r w:rsidR="00E10F0D" w:rsidRPr="00F20B59">
        <w:rPr>
          <w:color w:val="000000"/>
        </w:rPr>
        <w:t xml:space="preserve">For the OPD data, all imputations are based on geographic region, OPD volume by clinic type, and the three-digit ICD-9-CM code for primary diagnosis.  </w:t>
      </w:r>
      <w:r w:rsidR="00BA61C6" w:rsidRPr="00F20B59">
        <w:rPr>
          <w:color w:val="000000"/>
        </w:rPr>
        <w:t xml:space="preserve">For the </w:t>
      </w:r>
      <w:r w:rsidR="00435DBE" w:rsidRPr="00F20B59">
        <w:rPr>
          <w:color w:val="000000"/>
        </w:rPr>
        <w:t xml:space="preserve">ambulatory surgery </w:t>
      </w:r>
      <w:r w:rsidR="00BA61C6" w:rsidRPr="00F20B59">
        <w:rPr>
          <w:color w:val="000000"/>
        </w:rPr>
        <w:t xml:space="preserve">data, all imputations will be based on geographic region, AS volume, and the three-digit ICD-9-CM code for primary diagnosis.  </w:t>
      </w:r>
    </w:p>
    <w:p w:rsidR="000274BA" w:rsidRPr="00F20B59" w:rsidRDefault="000274BA" w:rsidP="00794F8B">
      <w:pPr>
        <w:rPr>
          <w:color w:val="000000"/>
        </w:rPr>
      </w:pPr>
    </w:p>
    <w:p w:rsidR="00794F8B" w:rsidRPr="00F20B59" w:rsidRDefault="00794F8B" w:rsidP="00794F8B">
      <w:pPr>
        <w:rPr>
          <w:color w:val="000000"/>
        </w:rPr>
      </w:pPr>
      <w:r w:rsidRPr="00F20B59">
        <w:rPr>
          <w:color w:val="000000"/>
          <w:u w:val="single"/>
        </w:rPr>
        <w:t>Estimation Procedures</w:t>
      </w:r>
    </w:p>
    <w:p w:rsidR="00794F8B" w:rsidRPr="00F20B59" w:rsidRDefault="00794F8B" w:rsidP="00794F8B">
      <w:pPr>
        <w:rPr>
          <w:color w:val="000000"/>
        </w:rPr>
      </w:pPr>
    </w:p>
    <w:p w:rsidR="00794F8B" w:rsidRPr="00F20B59" w:rsidRDefault="00B25B73" w:rsidP="004868AF">
      <w:pPr>
        <w:ind w:left="360"/>
        <w:rPr>
          <w:color w:val="000000"/>
        </w:rPr>
      </w:pPr>
      <w:r w:rsidRPr="00F20B59">
        <w:rPr>
          <w:color w:val="000000"/>
        </w:rPr>
        <w:t xml:space="preserve">Estimation procedure for NHAMCS are described at </w:t>
      </w:r>
      <w:hyperlink r:id="rId11" w:anchor="nhamcs_procedures" w:history="1">
        <w:r w:rsidRPr="00F20B59">
          <w:rPr>
            <w:rStyle w:val="Hyperlink"/>
          </w:rPr>
          <w:t>http://www.cdc.gov/nchs/ahcd/ahcd_estimation_procedures.htm#nhamcs_procedures</w:t>
        </w:r>
      </w:hyperlink>
      <w:r w:rsidRPr="00F20B59">
        <w:rPr>
          <w:color w:val="000000"/>
        </w:rPr>
        <w:t xml:space="preserve"> .  </w:t>
      </w:r>
      <w:r w:rsidR="00794F8B" w:rsidRPr="00F20B59">
        <w:rPr>
          <w:color w:val="000000"/>
        </w:rPr>
        <w:t>Separate national estimates will be produced for visits to hospital EDs</w:t>
      </w:r>
      <w:r w:rsidR="00C44839" w:rsidRPr="00F20B59">
        <w:rPr>
          <w:color w:val="000000"/>
        </w:rPr>
        <w:t>,</w:t>
      </w:r>
      <w:r w:rsidR="00794F8B" w:rsidRPr="00F20B59">
        <w:rPr>
          <w:color w:val="000000"/>
        </w:rPr>
        <w:t xml:space="preserve"> OPDs</w:t>
      </w:r>
      <w:r w:rsidR="00C44839" w:rsidRPr="00F20B59">
        <w:rPr>
          <w:color w:val="000000"/>
        </w:rPr>
        <w:t xml:space="preserve">, </w:t>
      </w:r>
      <w:r w:rsidR="00B52F5D" w:rsidRPr="00F20B59">
        <w:rPr>
          <w:color w:val="000000"/>
        </w:rPr>
        <w:t xml:space="preserve">ASLs, </w:t>
      </w:r>
      <w:r w:rsidR="00337608" w:rsidRPr="00F20B59">
        <w:rPr>
          <w:color w:val="000000"/>
        </w:rPr>
        <w:t xml:space="preserve">and </w:t>
      </w:r>
      <w:r w:rsidR="00826475" w:rsidRPr="00F20B59">
        <w:rPr>
          <w:color w:val="000000"/>
        </w:rPr>
        <w:t>freestanding ASCs</w:t>
      </w:r>
      <w:r w:rsidR="00794F8B" w:rsidRPr="00F20B59">
        <w:rPr>
          <w:color w:val="000000"/>
        </w:rPr>
        <w:t xml:space="preserve">.  The estimation procedure has three basic components: (a) inflation by reciprocals of the sampling selection probabilities, (b) adjustments for nonresponse, and (c) calibration ratio adjustment.  Beginning in 1997, the calibration ratio adjustment for OPD estimates was replaced by an adjustment that controls for effects of rotating hospital sample panels into and out of the sample each year.  (The full NHAMCS hospital </w:t>
      </w:r>
      <w:r w:rsidR="00826475" w:rsidRPr="00F20B59">
        <w:rPr>
          <w:color w:val="000000"/>
        </w:rPr>
        <w:t xml:space="preserve">and freestanding ASC </w:t>
      </w:r>
      <w:r w:rsidR="00794F8B" w:rsidRPr="00F20B59">
        <w:rPr>
          <w:color w:val="000000"/>
        </w:rPr>
        <w:t>sample</w:t>
      </w:r>
      <w:r w:rsidR="00826475" w:rsidRPr="00F20B59">
        <w:rPr>
          <w:color w:val="000000"/>
        </w:rPr>
        <w:t>s</w:t>
      </w:r>
      <w:r w:rsidR="00794F8B" w:rsidRPr="00F20B59">
        <w:rPr>
          <w:color w:val="000000"/>
        </w:rPr>
        <w:t xml:space="preserve"> </w:t>
      </w:r>
      <w:r w:rsidR="00826475" w:rsidRPr="00F20B59">
        <w:rPr>
          <w:color w:val="000000"/>
        </w:rPr>
        <w:t>are</w:t>
      </w:r>
      <w:r w:rsidR="00794F8B" w:rsidRPr="00F20B59">
        <w:rPr>
          <w:color w:val="000000"/>
        </w:rPr>
        <w:t xml:space="preserve"> partitioned into 16 panels that are rotated into the sample over 16 periods of 4 weeks each so that only 13 panels are used in any one year.)  Also, beginning with 1997 data, the sampling weights of some OPDs were permanently trimmed to prevent single OPDs from contributing more than 15% of their region’s total to OPD visit estimates.  For visits to EDs, the calibration adjustments are based on current ED visit counts recorded in the Verispan Healthcare Market Index and Verispan’s "Second Quarter, Hospital Market Profiling Solution”  for hospitals in the NHAMCS universe.  </w:t>
      </w:r>
    </w:p>
    <w:p w:rsidR="007705A5" w:rsidRPr="00F20B59" w:rsidRDefault="007705A5" w:rsidP="00794F8B">
      <w:pPr>
        <w:rPr>
          <w:color w:val="000000"/>
        </w:rPr>
      </w:pPr>
    </w:p>
    <w:p w:rsidR="00794F8B" w:rsidRPr="00F20B59" w:rsidRDefault="004868AF" w:rsidP="004868AF">
      <w:pPr>
        <w:ind w:left="360"/>
      </w:pPr>
      <w:r w:rsidRPr="00F20B59">
        <w:t>S</w:t>
      </w:r>
      <w:r w:rsidR="00794F8B" w:rsidRPr="00F20B59">
        <w:t xml:space="preserve">eparate national estimates for </w:t>
      </w:r>
      <w:r w:rsidR="00826475" w:rsidRPr="00F20B59">
        <w:t xml:space="preserve">both hospital-based and freestanding ASCs </w:t>
      </w:r>
      <w:r w:rsidR="00794F8B" w:rsidRPr="00F20B59">
        <w:t xml:space="preserve">will be produced.  For the </w:t>
      </w:r>
      <w:r w:rsidR="00B52F5D" w:rsidRPr="00F20B59">
        <w:t xml:space="preserve">ASL </w:t>
      </w:r>
      <w:r w:rsidR="00B118E3" w:rsidRPr="00F20B59">
        <w:t xml:space="preserve">and </w:t>
      </w:r>
      <w:r w:rsidR="00B52F5D" w:rsidRPr="00F20B59">
        <w:t>FS-</w:t>
      </w:r>
      <w:r w:rsidR="00794F8B" w:rsidRPr="00F20B59">
        <w:t>ASC component</w:t>
      </w:r>
      <w:r w:rsidR="00B118E3" w:rsidRPr="00F20B59">
        <w:t>s</w:t>
      </w:r>
      <w:r w:rsidR="00794F8B" w:rsidRPr="00F20B59">
        <w:t xml:space="preserve"> of NHAMCS, the weighting will be similar to that used for visits to EDs described above.</w:t>
      </w:r>
    </w:p>
    <w:p w:rsidR="00794F8B" w:rsidRPr="00F20B59" w:rsidRDefault="00794F8B" w:rsidP="00794F8B">
      <w:pPr>
        <w:rPr>
          <w:color w:val="FF0000"/>
        </w:rPr>
      </w:pPr>
    </w:p>
    <w:p w:rsidR="00D477CD" w:rsidRPr="00F20B59" w:rsidRDefault="00D477CD" w:rsidP="00D477CD">
      <w:pPr>
        <w:ind w:left="360"/>
        <w:rPr>
          <w:color w:val="000000"/>
        </w:rPr>
      </w:pPr>
      <w:r w:rsidRPr="00F20B59">
        <w:rPr>
          <w:color w:val="000000"/>
        </w:rPr>
        <w:t>Beginning in 2004, the nonresponse adjustment factor was changed to account for the seasonality of the reporting period.  Extra weights for nonresponding hospitals were shifted to responding hospitals in reporting periods within the same quarter of the year.  The shift in nonresponse adjustment did not significantly affect any of the overall annual estimates.</w:t>
      </w:r>
    </w:p>
    <w:p w:rsidR="004C4981" w:rsidRPr="00F20B59" w:rsidRDefault="004C4981" w:rsidP="00D477CD">
      <w:pPr>
        <w:ind w:left="360"/>
        <w:rPr>
          <w:color w:val="000000"/>
        </w:rPr>
      </w:pPr>
    </w:p>
    <w:p w:rsidR="0075508F" w:rsidRPr="00F20B59" w:rsidRDefault="0075508F" w:rsidP="0075508F">
      <w:pPr>
        <w:ind w:left="360"/>
        <w:rPr>
          <w:color w:val="000000"/>
        </w:rPr>
      </w:pPr>
      <w:r w:rsidRPr="00F20B59">
        <w:rPr>
          <w:color w:val="000000"/>
        </w:rPr>
        <w:t xml:space="preserve">State level estimates of ED visits will be produced for states targeted for the supplemental sample.  The </w:t>
      </w:r>
      <w:r w:rsidR="007C3373" w:rsidRPr="00F20B59">
        <w:rPr>
          <w:color w:val="000000"/>
        </w:rPr>
        <w:t xml:space="preserve">procedures </w:t>
      </w:r>
      <w:r w:rsidRPr="00F20B59">
        <w:rPr>
          <w:color w:val="000000"/>
        </w:rPr>
        <w:t>for these estimates will be similar to methods used for the national NHAMCS estimates.  That is, the estimation procedure for each state has three basic components: (a) inflation by reciprocals of the selection probabilities, (b) adjustments for nonresponse, and (c) calibration ratio adjustment.  The calibration adjustments will use ED visit counts recorded for state hospitals in the Second Quarter release of Hospital Market data base available from SDI (</w:t>
      </w:r>
      <w:hyperlink r:id="rId12" w:history="1">
        <w:r w:rsidRPr="00F20B59">
          <w:rPr>
            <w:rStyle w:val="Hyperlink"/>
          </w:rPr>
          <w:t>http://sdihealth.com/healthcare-lists/hrp.aspx</w:t>
        </w:r>
      </w:hyperlink>
      <w:r w:rsidRPr="00F20B59">
        <w:rPr>
          <w:color w:val="000000"/>
        </w:rPr>
        <w:t>).  This data based was formerly known as the Verispan Healthcare Market Index and Verispan’s "Second Quarter, Hospital Market Profiling Solution”.</w:t>
      </w:r>
    </w:p>
    <w:p w:rsidR="0075508F" w:rsidRPr="00F20B59" w:rsidRDefault="0075508F" w:rsidP="0075508F">
      <w:pPr>
        <w:ind w:left="360"/>
        <w:rPr>
          <w:color w:val="000000"/>
        </w:rPr>
      </w:pPr>
    </w:p>
    <w:p w:rsidR="00DA1279" w:rsidRPr="00F20B59" w:rsidRDefault="00DA1279" w:rsidP="00DA1279">
      <w:pPr>
        <w:ind w:left="360"/>
        <w:rPr>
          <w:color w:val="000000"/>
        </w:rPr>
      </w:pPr>
      <w:r w:rsidRPr="00F20B59">
        <w:rPr>
          <w:color w:val="000000"/>
        </w:rPr>
        <w:t>For the state level estimates, the weights will be adjusted within each of the five states to account for non-response at the hospital level and for non-response at the ESA (emergency service area) level.  Weights of visits to hospitals similar to a non-respondent hospital will be inflated to account for visits represented by the non-respondent hospital where hospitals will be judged to be similar if they are in the same ownership control group (government, voluntary non-profit, or proprietary) and MSA status (in an MSA or not in an MSA).  Weights of visits to ESAs similar to the non-respondent ESA will be inflated to account for visits represented by the non-respondent ESA were ESAs are judged to be similar if they are in hospitals of the same ownership control group and MSA status group.</w:t>
      </w:r>
    </w:p>
    <w:p w:rsidR="0075508F" w:rsidRPr="00F20B59" w:rsidRDefault="0075508F" w:rsidP="00D477CD">
      <w:pPr>
        <w:ind w:left="360"/>
        <w:rPr>
          <w:color w:val="000000"/>
        </w:rPr>
      </w:pPr>
    </w:p>
    <w:p w:rsidR="00435DBE" w:rsidRPr="00F20B59" w:rsidRDefault="00435DBE" w:rsidP="00D477CD">
      <w:pPr>
        <w:ind w:left="360"/>
        <w:rPr>
          <w:color w:val="000000"/>
        </w:rPr>
      </w:pPr>
    </w:p>
    <w:p w:rsidR="00794F8B" w:rsidRPr="00F20B59" w:rsidRDefault="00794F8B" w:rsidP="00794F8B">
      <w:pPr>
        <w:rPr>
          <w:color w:val="000000"/>
        </w:rPr>
      </w:pPr>
      <w:r w:rsidRPr="00F20B59">
        <w:rPr>
          <w:color w:val="000000"/>
          <w:u w:val="single"/>
        </w:rPr>
        <w:t>Sampling Errors</w:t>
      </w:r>
    </w:p>
    <w:p w:rsidR="00794F8B" w:rsidRPr="00F20B59" w:rsidRDefault="00794F8B" w:rsidP="00794F8B">
      <w:pPr>
        <w:rPr>
          <w:color w:val="000000"/>
        </w:rPr>
      </w:pPr>
    </w:p>
    <w:p w:rsidR="00794F8B" w:rsidRPr="00F20B59" w:rsidRDefault="00794F8B" w:rsidP="004868AF">
      <w:pPr>
        <w:ind w:left="360"/>
        <w:rPr>
          <w:rFonts w:ascii="Arial" w:hAnsi="Arial" w:cs="Arial"/>
          <w:color w:val="000000"/>
        </w:rPr>
      </w:pPr>
      <w:r w:rsidRPr="00F20B59">
        <w:rPr>
          <w:color w:val="000000"/>
        </w:rPr>
        <w:t>Standard errors are calculated using a first-order Taylor series approximation method as applied in SUDAAN variance software.</w:t>
      </w:r>
      <w:r w:rsidRPr="00F20B59">
        <w:rPr>
          <w:rFonts w:ascii="Arial" w:hAnsi="Arial" w:cs="Arial"/>
          <w:color w:val="000000"/>
        </w:rPr>
        <w:t xml:space="preserve">  </w:t>
      </w:r>
    </w:p>
    <w:p w:rsidR="000C2E2D" w:rsidRPr="00F20B59" w:rsidRDefault="000C2E2D" w:rsidP="004868AF">
      <w:pPr>
        <w:ind w:left="360"/>
        <w:rPr>
          <w:rFonts w:ascii="Arial" w:hAnsi="Arial" w:cs="Arial"/>
          <w:color w:val="000000"/>
        </w:rPr>
      </w:pPr>
    </w:p>
    <w:p w:rsidR="00953840" w:rsidRPr="00F20B59" w:rsidRDefault="00953840" w:rsidP="004868AF">
      <w:pPr>
        <w:ind w:left="360"/>
        <w:rPr>
          <w:rFonts w:ascii="Arial" w:hAnsi="Arial" w:cs="Arial"/>
          <w:color w:val="000000"/>
        </w:rPr>
      </w:pPr>
    </w:p>
    <w:p w:rsidR="00130B6A" w:rsidRPr="00F20B59" w:rsidRDefault="00130B6A" w:rsidP="00794F8B">
      <w:pPr>
        <w:rPr>
          <w:color w:val="000000"/>
        </w:rPr>
      </w:pPr>
    </w:p>
    <w:p w:rsidR="00794F8B" w:rsidRPr="00F20B59" w:rsidRDefault="00794F8B" w:rsidP="00794F8B">
      <w:pPr>
        <w:rPr>
          <w:color w:val="000000"/>
        </w:rPr>
      </w:pPr>
      <w:r w:rsidRPr="00F20B59">
        <w:rPr>
          <w:b/>
          <w:bCs/>
          <w:color w:val="000000"/>
        </w:rPr>
        <w:t>3.  Methods to Maximize Response Rates and Deal with Nonresponse</w:t>
      </w:r>
    </w:p>
    <w:p w:rsidR="00794F8B" w:rsidRPr="00F20B59" w:rsidRDefault="00794F8B" w:rsidP="00794F8B">
      <w:pPr>
        <w:rPr>
          <w:color w:val="000000"/>
        </w:rPr>
      </w:pPr>
    </w:p>
    <w:p w:rsidR="00794F8B" w:rsidRPr="00F20B59" w:rsidRDefault="002E05D5" w:rsidP="00794F8B">
      <w:pPr>
        <w:rPr>
          <w:color w:val="000000"/>
        </w:rPr>
      </w:pPr>
      <w:r w:rsidRPr="00F20B59">
        <w:rPr>
          <w:color w:val="000000"/>
        </w:rPr>
        <w:t xml:space="preserve">Based on the results of the 2009 NHAMCS, the projected unweighted and weighted response rates for 2012 are 83% and 82% for the ED and 73% and 74% for the OPD, respectively.  The projected unweighted and weighted response rates for </w:t>
      </w:r>
      <w:r w:rsidR="00435DBE" w:rsidRPr="00F20B59">
        <w:rPr>
          <w:color w:val="000000"/>
        </w:rPr>
        <w:t xml:space="preserve">ASLs </w:t>
      </w:r>
      <w:r w:rsidRPr="00F20B59">
        <w:rPr>
          <w:color w:val="000000"/>
        </w:rPr>
        <w:t>are 68% and 74%, respectively, based on 2009 response rates for hospital-based AS</w:t>
      </w:r>
      <w:r w:rsidR="00435DBE" w:rsidRPr="00F20B59">
        <w:rPr>
          <w:color w:val="000000"/>
        </w:rPr>
        <w:t>L</w:t>
      </w:r>
      <w:r w:rsidRPr="00F20B59">
        <w:rPr>
          <w:color w:val="000000"/>
        </w:rPr>
        <w:t xml:space="preserve">s. </w:t>
      </w:r>
      <w:r w:rsidR="00794F8B" w:rsidRPr="00F20B59">
        <w:rPr>
          <w:color w:val="000000"/>
        </w:rPr>
        <w:t xml:space="preserve">Endorsements </w:t>
      </w:r>
      <w:r w:rsidR="00BF7B7C" w:rsidRPr="00F20B59">
        <w:rPr>
          <w:color w:val="000000"/>
        </w:rPr>
        <w:t>were</w:t>
      </w:r>
      <w:r w:rsidR="00794F8B" w:rsidRPr="00F20B59">
        <w:rPr>
          <w:color w:val="000000"/>
        </w:rPr>
        <w:t xml:space="preserve"> solicited from several prominent national organizations, including the American College of Emergency Physicians, Society for Academic Emergency Medicine, Emergency Nurses Association, American College of Osteopathic Emergency Physicians</w:t>
      </w:r>
      <w:r w:rsidR="00F60054" w:rsidRPr="00F20B59">
        <w:rPr>
          <w:color w:val="000000"/>
        </w:rPr>
        <w:t xml:space="preserve">, </w:t>
      </w:r>
      <w:r w:rsidR="00F60054" w:rsidRPr="00F20B59">
        <w:t>American College of Surgeons (ACS), American Health Information Management Association (AHIMA), American Academy of Ophthalmology (AAO), Society for Ambulatory Anesthesia (SAMBA),</w:t>
      </w:r>
      <w:r w:rsidR="00794F8B" w:rsidRPr="00F20B59">
        <w:rPr>
          <w:color w:val="000000"/>
        </w:rPr>
        <w:t xml:space="preserve"> and the Surgeon General.  NCHS developed a participant web page </w:t>
      </w:r>
      <w:r w:rsidR="00F060FC" w:rsidRPr="00F20B59">
        <w:rPr>
          <w:color w:val="000000"/>
        </w:rPr>
        <w:t xml:space="preserve">at </w:t>
      </w:r>
      <w:r w:rsidR="00794F8B" w:rsidRPr="00F20B59">
        <w:rPr>
          <w:color w:val="000000"/>
        </w:rPr>
        <w:t>www.cdc.gov/nhamcs, which gives a brief background on the NHAMCS, as well as provides information regarding selection and participation, confidentiality and privacy, the HIPAA Privacy Rule, new data components, data utilization</w:t>
      </w:r>
      <w:r w:rsidR="00BF7B7C" w:rsidRPr="00F20B59">
        <w:rPr>
          <w:color w:val="000000"/>
        </w:rPr>
        <w:t>,</w:t>
      </w:r>
      <w:r w:rsidR="00794F8B" w:rsidRPr="00F20B59">
        <w:rPr>
          <w:color w:val="000000"/>
        </w:rPr>
        <w:t xml:space="preserve"> and contact information.  </w:t>
      </w:r>
    </w:p>
    <w:p w:rsidR="00C82996" w:rsidRPr="00F20B59" w:rsidRDefault="00C82996" w:rsidP="00794F8B">
      <w:pPr>
        <w:rPr>
          <w:color w:val="000000"/>
        </w:rPr>
      </w:pPr>
    </w:p>
    <w:p w:rsidR="00794F8B" w:rsidRPr="00F20B59" w:rsidRDefault="00794F8B" w:rsidP="00794F8B">
      <w:pPr>
        <w:rPr>
          <w:color w:val="000000"/>
        </w:rPr>
      </w:pPr>
      <w:r w:rsidRPr="00F20B59">
        <w:rPr>
          <w:color w:val="000000"/>
        </w:rPr>
        <w:t>Data collection procedures are designed to minimize response burden, a major concern and influence on response rates.  This survey does require commitment from a large number of persons within each hospital</w:t>
      </w:r>
      <w:r w:rsidR="00BF7B7C" w:rsidRPr="00F20B59">
        <w:rPr>
          <w:color w:val="000000"/>
        </w:rPr>
        <w:t xml:space="preserve"> and </w:t>
      </w:r>
      <w:r w:rsidR="00435DBE" w:rsidRPr="00F20B59">
        <w:rPr>
          <w:color w:val="000000"/>
        </w:rPr>
        <w:t>FS-</w:t>
      </w:r>
      <w:r w:rsidR="00BF7B7C" w:rsidRPr="00F20B59">
        <w:rPr>
          <w:color w:val="000000"/>
        </w:rPr>
        <w:t>ASC</w:t>
      </w:r>
      <w:r w:rsidRPr="00F20B59">
        <w:rPr>
          <w:color w:val="000000"/>
        </w:rPr>
        <w:t>, including the director, clinic</w:t>
      </w:r>
      <w:r w:rsidR="007127FE" w:rsidRPr="00F20B59">
        <w:rPr>
          <w:color w:val="000000"/>
        </w:rPr>
        <w:t>,</w:t>
      </w:r>
      <w:r w:rsidRPr="00F20B59">
        <w:rPr>
          <w:color w:val="000000"/>
        </w:rPr>
        <w:t xml:space="preserve"> ESA</w:t>
      </w:r>
      <w:r w:rsidR="007127FE" w:rsidRPr="00F20B59">
        <w:rPr>
          <w:color w:val="000000"/>
        </w:rPr>
        <w:t>, and AS</w:t>
      </w:r>
      <w:r w:rsidR="00C36263" w:rsidRPr="00F20B59">
        <w:rPr>
          <w:color w:val="000000"/>
        </w:rPr>
        <w:t>L</w:t>
      </w:r>
      <w:r w:rsidRPr="00F20B59">
        <w:rPr>
          <w:color w:val="000000"/>
        </w:rPr>
        <w:t xml:space="preserve"> directors, and medical and clerical staff.  Refusals to participate may occur at any one of the stages of induction or data collection.  At the time of refusal, a refusal report is completed and the Census Bureau Regional Office is notified.  Reasons for refusal vary considerably, necessitating refusal conversion procedures which are flexible and responsive to individual concerns.  In general, the following survey features are stressed:  the data are needed by the hospital and medical professions for a variety of purposes and do not exist elsewhere; all data about </w:t>
      </w:r>
      <w:r w:rsidR="00435DBE" w:rsidRPr="00F20B59">
        <w:rPr>
          <w:color w:val="000000"/>
        </w:rPr>
        <w:t>facilities</w:t>
      </w:r>
      <w:r w:rsidRPr="00F20B59">
        <w:rPr>
          <w:color w:val="000000"/>
        </w:rPr>
        <w:t xml:space="preserve">, </w:t>
      </w:r>
      <w:r w:rsidR="00435DBE" w:rsidRPr="00F20B59">
        <w:rPr>
          <w:color w:val="000000"/>
        </w:rPr>
        <w:t>ambulatory units</w:t>
      </w:r>
      <w:r w:rsidRPr="00F20B59">
        <w:rPr>
          <w:color w:val="000000"/>
        </w:rPr>
        <w:t xml:space="preserve">, and patients are kept confidential; and every effort is made to minimize the disruption of </w:t>
      </w:r>
      <w:r w:rsidR="00435DBE" w:rsidRPr="00F20B59">
        <w:rPr>
          <w:color w:val="000000"/>
        </w:rPr>
        <w:t xml:space="preserve">facility </w:t>
      </w:r>
      <w:r w:rsidRPr="00F20B59">
        <w:rPr>
          <w:color w:val="000000"/>
        </w:rPr>
        <w:t>routine.  Based on earlier experiences, these features are often persuasive in converting refusals.</w:t>
      </w:r>
    </w:p>
    <w:p w:rsidR="00794F8B" w:rsidRPr="00F20B59" w:rsidRDefault="00794F8B" w:rsidP="00794F8B">
      <w:pPr>
        <w:rPr>
          <w:color w:val="FF0000"/>
        </w:rPr>
      </w:pP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b/>
          <w:bCs/>
          <w:color w:val="000000"/>
        </w:rPr>
        <w:t>4.  Tests of Procedures or Methods to be Undertaken</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C4981" w:rsidRPr="00F20B59" w:rsidRDefault="004C4981" w:rsidP="004C4981">
      <w:pPr>
        <w:rPr>
          <w:color w:val="000000"/>
        </w:rPr>
      </w:pPr>
      <w:r w:rsidRPr="00F20B59">
        <w:rPr>
          <w:color w:val="000000"/>
        </w:rPr>
        <w:t>In 2012, a pretest in hospital-based ASLs and freestanding ASCs will assess the feasibility of obtaining information on colorectal cancer screening during ambulatory surgery visits where a colonoscopy is performed.</w:t>
      </w:r>
      <w:r w:rsidR="002E05D5" w:rsidRPr="00F20B59">
        <w:rPr>
          <w:color w:val="000000"/>
        </w:rPr>
        <w:t xml:space="preserve">  </w:t>
      </w:r>
      <w:r w:rsidR="00547200" w:rsidRPr="00F20B59">
        <w:rPr>
          <w:color w:val="000000"/>
        </w:rPr>
        <w:t xml:space="preserve">In </w:t>
      </w:r>
      <w:r w:rsidR="00F93D58" w:rsidRPr="00F20B59">
        <w:rPr>
          <w:color w:val="000000"/>
        </w:rPr>
        <w:t>fall</w:t>
      </w:r>
      <w:r w:rsidR="00547200" w:rsidRPr="00F20B59">
        <w:rPr>
          <w:color w:val="000000"/>
        </w:rPr>
        <w:t xml:space="preserve"> 2011, a small pilot test will be conducted in 5 hospitals and 4 freestanding ASCs.  Based on the results of the pilot test, we will use 4-5 questions from the pilot test in the pretest (Attachment Q). The pilot questions were drafted based on consultations with experts in colorectal cancer screening research and federal partners and submitted to OMB for final approval.  The questions will be added to the AS Patient Record form and will be completed for patients that have a colonoscopy performed at the sampled visit.  Because the pretest will only add a few questions to the AS Patient Record form, and because the questions will only be asked of patients with a colonoscopy at the sample visit, we do not anticipate that the pretest will change the burden of the AS Patient Record form.  Final pretest questions will be submitted to OMB prior to the pretest.</w:t>
      </w:r>
    </w:p>
    <w:p w:rsidR="004C4981" w:rsidRPr="00F20B59" w:rsidRDefault="004C4981" w:rsidP="004C4981">
      <w:pPr>
        <w:rPr>
          <w:color w:val="000000"/>
        </w:rPr>
      </w:pPr>
    </w:p>
    <w:p w:rsidR="004C4981" w:rsidRPr="00F20B59" w:rsidRDefault="004C4981" w:rsidP="004C49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20B59">
        <w:rPr>
          <w:color w:val="000000"/>
        </w:rPr>
        <w:t xml:space="preserve">Colonoscopy is a highly effective clinical preventive service delivered in a variety of ambulatory settings, including hospital-based </w:t>
      </w:r>
      <w:r w:rsidR="003A49B8" w:rsidRPr="00F20B59">
        <w:rPr>
          <w:color w:val="000000"/>
        </w:rPr>
        <w:t>ASLs</w:t>
      </w:r>
      <w:r w:rsidRPr="00F20B59">
        <w:rPr>
          <w:color w:val="000000"/>
        </w:rPr>
        <w:t xml:space="preserve"> and freestanding </w:t>
      </w:r>
      <w:r w:rsidR="003A49B8" w:rsidRPr="00F20B59">
        <w:rPr>
          <w:color w:val="000000"/>
        </w:rPr>
        <w:t>ASCs</w:t>
      </w:r>
      <w:r w:rsidRPr="00F20B59">
        <w:rPr>
          <w:color w:val="000000"/>
        </w:rPr>
        <w:t>. Most data on patterns of colorectal screening are self-reported and collected directly from patients.  However this approach limits the level of clinical detail available, and is subject to reporting bias.  Moreover, self-reported data provide no information about the relationships between practice and provider characteristics and the performance of these procedures.  Obtaining visit-level data on colonoscopy procedures through NHAMCS will allow researchers to analyze these relationships.  The endeavor is sponsored jointly by the National Center for Chronic Di</w:t>
      </w:r>
      <w:r w:rsidR="00B52F5D" w:rsidRPr="00F20B59">
        <w:rPr>
          <w:color w:val="000000"/>
        </w:rPr>
        <w:t xml:space="preserve">sease Prevention and Promotion </w:t>
      </w:r>
      <w:r w:rsidRPr="00F20B59">
        <w:rPr>
          <w:color w:val="000000"/>
        </w:rPr>
        <w:t>and the National Cancer Institute.</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94F8B" w:rsidRPr="00F20B59" w:rsidRDefault="00794F8B" w:rsidP="006A7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b/>
          <w:bCs/>
          <w:color w:val="000000"/>
        </w:rPr>
        <w:t>5.  Individuals Consulted on Statistical Aspects and Individuals Collecting and/or Analyzing Data</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The statistician responsible for the survey sample design is:</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Iris Shimizu, Ph.D.</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Mathematical Statistician</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Statistical Research and Survey Design Staff</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Office of Research and Methodology</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National Center for Health Statistics</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Telephone:  301/458</w:t>
      </w:r>
      <w:r w:rsidRPr="00F20B59">
        <w:rPr>
          <w:color w:val="000000"/>
        </w:rPr>
        <w:noBreakHyphen/>
        <w:t>4497</w:t>
      </w:r>
    </w:p>
    <w:p w:rsidR="00794F8B" w:rsidRPr="00F20B59" w:rsidRDefault="0026734F"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hyperlink r:id="rId13" w:history="1">
        <w:r w:rsidR="00794F8B" w:rsidRPr="00F20B59">
          <w:rPr>
            <w:rStyle w:val="Hyperlink"/>
            <w:color w:val="000000"/>
          </w:rPr>
          <w:t>Ims1@cdc.gov</w:t>
        </w:r>
      </w:hyperlink>
    </w:p>
    <w:p w:rsidR="00587F5A" w:rsidRPr="00F20B59" w:rsidRDefault="00587F5A"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The data collection agent is the Census Bureau and the contact person is:</w:t>
      </w:r>
    </w:p>
    <w:p w:rsidR="004E6031" w:rsidRPr="00F20B59" w:rsidRDefault="004E6031"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Joseph Huesman</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Chief, Housing Surveys Branch</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Demographic Surveys Division</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Bureau of the Census</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Telephone:  301/763-</w:t>
      </w:r>
      <w:r w:rsidR="004E6031" w:rsidRPr="00F20B59">
        <w:rPr>
          <w:color w:val="000000"/>
        </w:rPr>
        <w:t>4822</w:t>
      </w:r>
    </w:p>
    <w:p w:rsidR="004E6031" w:rsidRPr="00F20B59" w:rsidRDefault="0026734F"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hyperlink r:id="rId14" w:history="1">
        <w:r w:rsidR="004E6031" w:rsidRPr="00F20B59">
          <w:rPr>
            <w:rStyle w:val="Hyperlink"/>
          </w:rPr>
          <w:t>joseph.john.huesman@census.gov</w:t>
        </w:r>
      </w:hyperlink>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The data will be analyzed under the direction of:</w:t>
      </w:r>
    </w:p>
    <w:p w:rsidR="00794F8B" w:rsidRPr="00F20B59" w:rsidRDefault="0099205F"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Paul Beatty</w:t>
      </w:r>
      <w:r w:rsidR="00794F8B" w:rsidRPr="00F20B59">
        <w:rPr>
          <w:color w:val="000000"/>
        </w:rPr>
        <w:t xml:space="preserve">, </w:t>
      </w:r>
      <w:r w:rsidR="007B25F5" w:rsidRPr="00F20B59">
        <w:rPr>
          <w:color w:val="000000"/>
        </w:rPr>
        <w:t>Ph</w:t>
      </w:r>
      <w:r w:rsidR="00794F8B" w:rsidRPr="00F20B59">
        <w:rPr>
          <w:color w:val="000000"/>
        </w:rPr>
        <w:t>.D.</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Chief, Ambulatory and Hospital Care Statistics Branch</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Division of Health Care Statistics</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National Center for Health Statistics</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Telephone:  301/458-4</w:t>
      </w:r>
      <w:r w:rsidR="0099205F" w:rsidRPr="00F20B59">
        <w:rPr>
          <w:color w:val="000000"/>
        </w:rPr>
        <w:t>090</w:t>
      </w:r>
    </w:p>
    <w:p w:rsidR="00794F8B" w:rsidRPr="00F20B59" w:rsidRDefault="009B0A10"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PBeatty@cdc.gov</w:t>
      </w:r>
      <w:r w:rsidRPr="00F20B59" w:rsidDel="009B0A10">
        <w:rPr>
          <w:color w:val="000000"/>
        </w:rPr>
        <w:t xml:space="preserve"> </w:t>
      </w:r>
      <w:hyperlink r:id="rId15" w:history="1"/>
    </w:p>
    <w:p w:rsidR="00794F8B" w:rsidRPr="00F20B59" w:rsidRDefault="00794F8B" w:rsidP="009B0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F20B59">
        <w:rPr>
          <w:color w:val="000000"/>
        </w:rPr>
        <w:br w:type="page"/>
      </w:r>
      <w:r w:rsidR="00E346F1" w:rsidRPr="00F20B59">
        <w:rPr>
          <w:b/>
          <w:color w:val="000000"/>
        </w:rPr>
        <w:t>ATTACHMENT</w:t>
      </w:r>
      <w:r w:rsidRPr="00F20B59">
        <w:rPr>
          <w:b/>
          <w:color w:val="000000"/>
        </w:rPr>
        <w:t>S</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94F8B" w:rsidRPr="00F20B59" w:rsidRDefault="00926463" w:rsidP="00794F8B">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F20B59">
        <w:rPr>
          <w:color w:val="000000"/>
        </w:rPr>
        <w:t>Applicable Laws and Regulations</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C46AC" w:rsidRPr="00F20B59" w:rsidRDefault="00794F8B" w:rsidP="00794F8B">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F20B59">
        <w:rPr>
          <w:color w:val="000000"/>
        </w:rPr>
        <w:t>List of NHAMCS Publications</w:t>
      </w:r>
    </w:p>
    <w:p w:rsidR="00BC46AC" w:rsidRPr="00F20B59" w:rsidRDefault="00BC46AC" w:rsidP="00BC46A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94F8B" w:rsidRPr="00F20B59" w:rsidRDefault="00794F8B" w:rsidP="00794F8B">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F20B59">
        <w:rPr>
          <w:color w:val="000000"/>
        </w:rPr>
        <w:t>Federal Register</w:t>
      </w:r>
      <w:r w:rsidR="00A769D1" w:rsidRPr="00F20B59">
        <w:rPr>
          <w:color w:val="000000"/>
        </w:rPr>
        <w:t xml:space="preserve"> 60-Day Notice</w:t>
      </w:r>
    </w:p>
    <w:p w:rsidR="008D3AE6" w:rsidRPr="00F20B59" w:rsidRDefault="008D3AE6" w:rsidP="008D3AE6">
      <w:pPr>
        <w:pStyle w:val="ListParagraph"/>
        <w:rPr>
          <w:color w:val="000000"/>
        </w:rPr>
      </w:pPr>
    </w:p>
    <w:p w:rsidR="008D3AE6" w:rsidRPr="00F20B59" w:rsidRDefault="008D3AE6" w:rsidP="00794F8B">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F20B59">
        <w:rPr>
          <w:color w:val="000000"/>
        </w:rPr>
        <w:t>Public Comment on Federal Register 60-Day Notice</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94F8B" w:rsidRPr="00F20B59" w:rsidRDefault="00794F8B" w:rsidP="00794F8B">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F20B59">
        <w:rPr>
          <w:color w:val="000000"/>
        </w:rPr>
        <w:t>List of Consultants for NHAMCS</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94F8B" w:rsidRPr="00F20B59" w:rsidRDefault="00794F8B" w:rsidP="00794F8B">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F20B59">
        <w:rPr>
          <w:color w:val="000000"/>
        </w:rPr>
        <w:t>CDC #20</w:t>
      </w:r>
      <w:r w:rsidR="00F63463" w:rsidRPr="00F20B59">
        <w:rPr>
          <w:color w:val="000000"/>
        </w:rPr>
        <w:t>10</w:t>
      </w:r>
      <w:r w:rsidRPr="00F20B59">
        <w:rPr>
          <w:color w:val="000000"/>
        </w:rPr>
        <w:t>-0</w:t>
      </w:r>
      <w:r w:rsidR="00F63463" w:rsidRPr="00F20B59">
        <w:rPr>
          <w:color w:val="000000"/>
        </w:rPr>
        <w:t>3</w:t>
      </w:r>
      <w:r w:rsidRPr="00F20B59">
        <w:rPr>
          <w:color w:val="000000"/>
        </w:rPr>
        <w:t xml:space="preserve"> IRB Approval for Continuation of Protocol</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00"/>
        <w:rPr>
          <w:color w:val="000000"/>
        </w:rPr>
      </w:pPr>
    </w:p>
    <w:p w:rsidR="00794F8B" w:rsidRPr="00F20B59" w:rsidRDefault="00356154" w:rsidP="00794F8B">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F20B59">
        <w:rPr>
          <w:color w:val="000000"/>
        </w:rPr>
        <w:t>(</w:t>
      </w:r>
      <w:r w:rsidR="00FF664E" w:rsidRPr="00F20B59">
        <w:rPr>
          <w:color w:val="000000"/>
        </w:rPr>
        <w:t>1</w:t>
      </w:r>
      <w:r w:rsidRPr="00F20B59">
        <w:rPr>
          <w:color w:val="000000"/>
        </w:rPr>
        <w:t>)</w:t>
      </w:r>
      <w:r w:rsidR="00FF664E" w:rsidRPr="00F20B59">
        <w:rPr>
          <w:color w:val="000000"/>
        </w:rPr>
        <w:t xml:space="preserve"> </w:t>
      </w:r>
      <w:r w:rsidR="00794F8B" w:rsidRPr="00F20B59">
        <w:rPr>
          <w:color w:val="000000"/>
        </w:rPr>
        <w:t>Introductory Letters to NHAMCS Hospitals</w:t>
      </w:r>
    </w:p>
    <w:p w:rsidR="00FF664E" w:rsidRPr="00F20B59" w:rsidRDefault="00FF664E" w:rsidP="00FF664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FF664E" w:rsidRPr="00F20B59" w:rsidRDefault="00356154" w:rsidP="0035615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ab/>
        <w:t>(</w:t>
      </w:r>
      <w:r w:rsidR="00FF664E" w:rsidRPr="00F20B59">
        <w:rPr>
          <w:color w:val="000000"/>
        </w:rPr>
        <w:t>2</w:t>
      </w:r>
      <w:r w:rsidRPr="00F20B59">
        <w:rPr>
          <w:color w:val="000000"/>
        </w:rPr>
        <w:t>)</w:t>
      </w:r>
      <w:r w:rsidR="00FF664E" w:rsidRPr="00F20B59">
        <w:rPr>
          <w:color w:val="000000"/>
        </w:rPr>
        <w:t xml:space="preserve"> Introductory Letter to </w:t>
      </w:r>
      <w:r w:rsidR="00F21E5B" w:rsidRPr="00F20B59">
        <w:rPr>
          <w:color w:val="000000"/>
        </w:rPr>
        <w:t>Freestanding</w:t>
      </w:r>
      <w:r w:rsidR="00FF664E" w:rsidRPr="00F20B59">
        <w:rPr>
          <w:color w:val="000000"/>
        </w:rPr>
        <w:t xml:space="preserve"> ASCs</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94F8B" w:rsidRPr="00F20B59" w:rsidRDefault="00794F8B" w:rsidP="00794F8B">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F20B59">
        <w:rPr>
          <w:color w:val="000000"/>
        </w:rPr>
        <w:t>NHAMCS Endorsing Letters</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p>
    <w:p w:rsidR="00794F8B" w:rsidRPr="00F20B59" w:rsidRDefault="00794F8B" w:rsidP="00794F8B">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F20B59">
        <w:rPr>
          <w:color w:val="000000"/>
        </w:rPr>
        <w:t xml:space="preserve">Hospital Induction Form </w:t>
      </w:r>
    </w:p>
    <w:p w:rsidR="003B0777" w:rsidRPr="00F20B59" w:rsidRDefault="003B0777" w:rsidP="003B0777">
      <w:pPr>
        <w:pStyle w:val="ListParagraph"/>
        <w:rPr>
          <w:color w:val="000000"/>
        </w:rPr>
      </w:pPr>
    </w:p>
    <w:p w:rsidR="003B0777" w:rsidRPr="00F20B59" w:rsidRDefault="003B0777" w:rsidP="003B077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F20B59">
        <w:rPr>
          <w:color w:val="000000"/>
        </w:rPr>
        <w:t>Hospital Induction Form for New Sample of Hospitals</w:t>
      </w:r>
    </w:p>
    <w:p w:rsidR="007127FE" w:rsidRPr="00F20B59" w:rsidRDefault="007127FE" w:rsidP="007127F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7127FE" w:rsidRPr="00F20B59" w:rsidRDefault="00F21E5B" w:rsidP="00794F8B">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F20B59">
        <w:rPr>
          <w:color w:val="000000"/>
        </w:rPr>
        <w:t>Freestanding</w:t>
      </w:r>
      <w:r w:rsidR="007127FE" w:rsidRPr="00F20B59">
        <w:rPr>
          <w:color w:val="000000"/>
        </w:rPr>
        <w:t xml:space="preserve"> Ambulatory Surgery Center Induction Form</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94F8B" w:rsidRPr="00F20B59" w:rsidRDefault="00794F8B" w:rsidP="00794F8B">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F20B59">
        <w:rPr>
          <w:color w:val="000000"/>
        </w:rPr>
        <w:t xml:space="preserve">Ambulatory Unit </w:t>
      </w:r>
      <w:r w:rsidR="00547200" w:rsidRPr="00F20B59">
        <w:rPr>
          <w:color w:val="000000"/>
        </w:rPr>
        <w:t>Induction Form</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94F8B" w:rsidRPr="00F20B59" w:rsidRDefault="00794F8B" w:rsidP="00794F8B">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F20B59">
        <w:rPr>
          <w:color w:val="000000"/>
        </w:rPr>
        <w:t>Emergency Department Patient Record form</w:t>
      </w:r>
      <w:r w:rsidR="007705A5" w:rsidRPr="00F20B59">
        <w:rPr>
          <w:color w:val="000000"/>
        </w:rPr>
        <w:t xml:space="preserve"> </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94F8B" w:rsidRPr="00F20B59" w:rsidRDefault="00794F8B" w:rsidP="00794F8B">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F20B59">
        <w:rPr>
          <w:color w:val="000000"/>
        </w:rPr>
        <w:t>Outpatient Department Patient Record form</w:t>
      </w:r>
      <w:r w:rsidR="007705A5" w:rsidRPr="00F20B59">
        <w:rPr>
          <w:color w:val="000000"/>
        </w:rPr>
        <w:t xml:space="preserve"> </w:t>
      </w:r>
    </w:p>
    <w:p w:rsidR="007127FE" w:rsidRPr="00F20B59" w:rsidRDefault="007127FE" w:rsidP="007127F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7127FE" w:rsidRPr="00F20B59" w:rsidRDefault="007127FE" w:rsidP="00794F8B">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F20B59">
        <w:rPr>
          <w:color w:val="000000"/>
        </w:rPr>
        <w:t>Ambulatory Surgery Patient Record form</w:t>
      </w:r>
    </w:p>
    <w:p w:rsidR="00587000" w:rsidRPr="00F20B59" w:rsidRDefault="00587000" w:rsidP="0058700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794F8B" w:rsidRPr="00F20B59" w:rsidRDefault="00530108" w:rsidP="002522E6">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F20B59">
        <w:rPr>
          <w:color w:val="000000"/>
        </w:rPr>
        <w:t>Pulling and Refiling Medical Records</w:t>
      </w:r>
    </w:p>
    <w:p w:rsidR="00547200" w:rsidRPr="00F20B59" w:rsidRDefault="00547200" w:rsidP="00547200">
      <w:pPr>
        <w:pStyle w:val="ListParagraph"/>
        <w:rPr>
          <w:color w:val="000000"/>
        </w:rPr>
      </w:pPr>
    </w:p>
    <w:p w:rsidR="00547200" w:rsidRPr="00F20B59" w:rsidRDefault="00547200" w:rsidP="002522E6">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F20B59">
        <w:rPr>
          <w:color w:val="000000"/>
        </w:rPr>
        <w:t>Colonoscopy Supplement Pilot Questions</w:t>
      </w:r>
    </w:p>
    <w:sectPr w:rsidR="00547200" w:rsidRPr="00F20B59" w:rsidSect="00655C3A">
      <w:headerReference w:type="even" r:id="rId16"/>
      <w:headerReference w:type="default" r:id="rId17"/>
      <w:footerReference w:type="even" r:id="rId18"/>
      <w:footerReference w:type="default" r:id="rId19"/>
      <w:headerReference w:type="first" r:id="rId20"/>
      <w:pgSz w:w="12240" w:h="15840"/>
      <w:pgMar w:top="1440" w:right="900" w:bottom="1440" w:left="108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C9B" w:rsidRDefault="00D23C9B">
      <w:r>
        <w:separator/>
      </w:r>
    </w:p>
  </w:endnote>
  <w:endnote w:type="continuationSeparator" w:id="0">
    <w:p w:rsidR="00D23C9B" w:rsidRDefault="00D23C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015" w:rsidRDefault="0026734F" w:rsidP="00EA3984">
    <w:pPr>
      <w:pStyle w:val="Footer"/>
      <w:framePr w:wrap="around" w:vAnchor="text" w:hAnchor="margin" w:xAlign="right" w:y="1"/>
      <w:rPr>
        <w:rStyle w:val="PageNumber"/>
      </w:rPr>
    </w:pPr>
    <w:r>
      <w:rPr>
        <w:rStyle w:val="PageNumber"/>
      </w:rPr>
      <w:fldChar w:fldCharType="begin"/>
    </w:r>
    <w:r w:rsidR="00133015">
      <w:rPr>
        <w:rStyle w:val="PageNumber"/>
      </w:rPr>
      <w:instrText xml:space="preserve">PAGE  </w:instrText>
    </w:r>
    <w:r>
      <w:rPr>
        <w:rStyle w:val="PageNumber"/>
      </w:rPr>
      <w:fldChar w:fldCharType="end"/>
    </w:r>
  </w:p>
  <w:p w:rsidR="00133015" w:rsidRDefault="00133015" w:rsidP="00C15F8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015" w:rsidRPr="00887E2C" w:rsidRDefault="0026734F" w:rsidP="00EA3984">
    <w:pPr>
      <w:pStyle w:val="Footer"/>
      <w:framePr w:wrap="around" w:vAnchor="text" w:hAnchor="margin" w:xAlign="right" w:y="1"/>
      <w:rPr>
        <w:rStyle w:val="PageNumber"/>
        <w:sz w:val="22"/>
      </w:rPr>
    </w:pPr>
    <w:r w:rsidRPr="00887E2C">
      <w:rPr>
        <w:rStyle w:val="PageNumber"/>
        <w:sz w:val="22"/>
      </w:rPr>
      <w:fldChar w:fldCharType="begin"/>
    </w:r>
    <w:r w:rsidR="00133015" w:rsidRPr="00887E2C">
      <w:rPr>
        <w:rStyle w:val="PageNumber"/>
        <w:sz w:val="22"/>
      </w:rPr>
      <w:instrText xml:space="preserve">PAGE  </w:instrText>
    </w:r>
    <w:r w:rsidRPr="00887E2C">
      <w:rPr>
        <w:rStyle w:val="PageNumber"/>
        <w:sz w:val="22"/>
      </w:rPr>
      <w:fldChar w:fldCharType="separate"/>
    </w:r>
    <w:r w:rsidR="006D1080">
      <w:rPr>
        <w:rStyle w:val="PageNumber"/>
        <w:noProof/>
        <w:sz w:val="22"/>
      </w:rPr>
      <w:t>3</w:t>
    </w:r>
    <w:r w:rsidRPr="00887E2C">
      <w:rPr>
        <w:rStyle w:val="PageNumber"/>
        <w:sz w:val="22"/>
      </w:rPr>
      <w:fldChar w:fldCharType="end"/>
    </w:r>
  </w:p>
  <w:p w:rsidR="00133015" w:rsidRDefault="00133015" w:rsidP="00C15F8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C9B" w:rsidRDefault="00D23C9B">
      <w:r>
        <w:separator/>
      </w:r>
    </w:p>
  </w:footnote>
  <w:footnote w:type="continuationSeparator" w:id="0">
    <w:p w:rsidR="00D23C9B" w:rsidRDefault="00D23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015" w:rsidRDefault="001330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015" w:rsidRDefault="001330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015" w:rsidRDefault="001330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023DF"/>
    <w:multiLevelType w:val="hybridMultilevel"/>
    <w:tmpl w:val="C798C3D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4F03780E"/>
    <w:multiLevelType w:val="hybridMultilevel"/>
    <w:tmpl w:val="852AFE8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28674">
      <o:colormenu v:ext="edit" strokecolor="none [3212]"/>
    </o:shapedefaults>
  </w:hdrShapeDefaults>
  <w:footnotePr>
    <w:footnote w:id="-1"/>
    <w:footnote w:id="0"/>
  </w:footnotePr>
  <w:endnotePr>
    <w:endnote w:id="-1"/>
    <w:endnote w:id="0"/>
  </w:endnotePr>
  <w:compat/>
  <w:rsids>
    <w:rsidRoot w:val="00794F8B"/>
    <w:rsid w:val="000274BA"/>
    <w:rsid w:val="0003000C"/>
    <w:rsid w:val="00043A9F"/>
    <w:rsid w:val="00046004"/>
    <w:rsid w:val="0004755E"/>
    <w:rsid w:val="0005667D"/>
    <w:rsid w:val="00061283"/>
    <w:rsid w:val="00061902"/>
    <w:rsid w:val="00066A14"/>
    <w:rsid w:val="0008447C"/>
    <w:rsid w:val="00097E6B"/>
    <w:rsid w:val="000A39C2"/>
    <w:rsid w:val="000A39ED"/>
    <w:rsid w:val="000B0A44"/>
    <w:rsid w:val="000B1BC0"/>
    <w:rsid w:val="000C2E2D"/>
    <w:rsid w:val="000D12E5"/>
    <w:rsid w:val="000D3812"/>
    <w:rsid w:val="000E64BB"/>
    <w:rsid w:val="000E7CA9"/>
    <w:rsid w:val="000F0FDB"/>
    <w:rsid w:val="000F2450"/>
    <w:rsid w:val="000F3BC3"/>
    <w:rsid w:val="00103C1E"/>
    <w:rsid w:val="00104F94"/>
    <w:rsid w:val="0010539A"/>
    <w:rsid w:val="0010730C"/>
    <w:rsid w:val="00110CDE"/>
    <w:rsid w:val="0012720A"/>
    <w:rsid w:val="00130B6A"/>
    <w:rsid w:val="00131C88"/>
    <w:rsid w:val="00133015"/>
    <w:rsid w:val="00133BA4"/>
    <w:rsid w:val="00166A9C"/>
    <w:rsid w:val="00173944"/>
    <w:rsid w:val="00181B85"/>
    <w:rsid w:val="00187062"/>
    <w:rsid w:val="00192A47"/>
    <w:rsid w:val="00193A6D"/>
    <w:rsid w:val="00193F0A"/>
    <w:rsid w:val="001B5954"/>
    <w:rsid w:val="001D0BC0"/>
    <w:rsid w:val="001D7E48"/>
    <w:rsid w:val="001F52E0"/>
    <w:rsid w:val="00213777"/>
    <w:rsid w:val="00214874"/>
    <w:rsid w:val="0022194F"/>
    <w:rsid w:val="00223128"/>
    <w:rsid w:val="002522E6"/>
    <w:rsid w:val="002626AE"/>
    <w:rsid w:val="0026734F"/>
    <w:rsid w:val="0027158A"/>
    <w:rsid w:val="002762E0"/>
    <w:rsid w:val="0029113B"/>
    <w:rsid w:val="0029165C"/>
    <w:rsid w:val="00295986"/>
    <w:rsid w:val="002A4D32"/>
    <w:rsid w:val="002C682A"/>
    <w:rsid w:val="002C7EED"/>
    <w:rsid w:val="002E05D5"/>
    <w:rsid w:val="002E79BB"/>
    <w:rsid w:val="002F2DB1"/>
    <w:rsid w:val="003061F4"/>
    <w:rsid w:val="00307B58"/>
    <w:rsid w:val="00320332"/>
    <w:rsid w:val="00324B19"/>
    <w:rsid w:val="00334880"/>
    <w:rsid w:val="00337608"/>
    <w:rsid w:val="003455C7"/>
    <w:rsid w:val="00347BED"/>
    <w:rsid w:val="0035218A"/>
    <w:rsid w:val="00356154"/>
    <w:rsid w:val="003605FC"/>
    <w:rsid w:val="00386EB4"/>
    <w:rsid w:val="00394C8A"/>
    <w:rsid w:val="003972D1"/>
    <w:rsid w:val="003A1BD0"/>
    <w:rsid w:val="003A49B8"/>
    <w:rsid w:val="003B0777"/>
    <w:rsid w:val="003B54E0"/>
    <w:rsid w:val="003C5E3E"/>
    <w:rsid w:val="003D156A"/>
    <w:rsid w:val="003D751F"/>
    <w:rsid w:val="003E6C2F"/>
    <w:rsid w:val="003F2E07"/>
    <w:rsid w:val="003F5B98"/>
    <w:rsid w:val="00403CDC"/>
    <w:rsid w:val="0042578C"/>
    <w:rsid w:val="00435DBE"/>
    <w:rsid w:val="00445831"/>
    <w:rsid w:val="0044769C"/>
    <w:rsid w:val="004868AF"/>
    <w:rsid w:val="00491D26"/>
    <w:rsid w:val="004A0796"/>
    <w:rsid w:val="004C4981"/>
    <w:rsid w:val="004E200B"/>
    <w:rsid w:val="004E30C9"/>
    <w:rsid w:val="004E5C6D"/>
    <w:rsid w:val="004E6031"/>
    <w:rsid w:val="004F05C7"/>
    <w:rsid w:val="004F115E"/>
    <w:rsid w:val="004F7BEB"/>
    <w:rsid w:val="00500FF9"/>
    <w:rsid w:val="0050602C"/>
    <w:rsid w:val="00515314"/>
    <w:rsid w:val="0051557E"/>
    <w:rsid w:val="00521002"/>
    <w:rsid w:val="00524649"/>
    <w:rsid w:val="00530108"/>
    <w:rsid w:val="0053563F"/>
    <w:rsid w:val="00544339"/>
    <w:rsid w:val="00547200"/>
    <w:rsid w:val="005502FF"/>
    <w:rsid w:val="005567EB"/>
    <w:rsid w:val="00560DD1"/>
    <w:rsid w:val="00566A55"/>
    <w:rsid w:val="00572FDF"/>
    <w:rsid w:val="00584844"/>
    <w:rsid w:val="00585D28"/>
    <w:rsid w:val="00587000"/>
    <w:rsid w:val="00587F5A"/>
    <w:rsid w:val="005A1DA2"/>
    <w:rsid w:val="005A3E1A"/>
    <w:rsid w:val="005B4BC7"/>
    <w:rsid w:val="005C2EE6"/>
    <w:rsid w:val="005C39C5"/>
    <w:rsid w:val="005D1533"/>
    <w:rsid w:val="005D7AFF"/>
    <w:rsid w:val="00601F2D"/>
    <w:rsid w:val="00621D68"/>
    <w:rsid w:val="00621F72"/>
    <w:rsid w:val="00647B9B"/>
    <w:rsid w:val="006505F9"/>
    <w:rsid w:val="006521A0"/>
    <w:rsid w:val="00653955"/>
    <w:rsid w:val="00655C3A"/>
    <w:rsid w:val="00656904"/>
    <w:rsid w:val="0066115E"/>
    <w:rsid w:val="00661FA4"/>
    <w:rsid w:val="00670341"/>
    <w:rsid w:val="0067623B"/>
    <w:rsid w:val="006868ED"/>
    <w:rsid w:val="00686DDA"/>
    <w:rsid w:val="006901D8"/>
    <w:rsid w:val="006A24E9"/>
    <w:rsid w:val="006A759A"/>
    <w:rsid w:val="006B6925"/>
    <w:rsid w:val="006C744C"/>
    <w:rsid w:val="006D1080"/>
    <w:rsid w:val="006E1F06"/>
    <w:rsid w:val="006E3267"/>
    <w:rsid w:val="006F4637"/>
    <w:rsid w:val="007037C2"/>
    <w:rsid w:val="00705472"/>
    <w:rsid w:val="00706011"/>
    <w:rsid w:val="007066EA"/>
    <w:rsid w:val="00706A5C"/>
    <w:rsid w:val="0071246A"/>
    <w:rsid w:val="007127FE"/>
    <w:rsid w:val="00715631"/>
    <w:rsid w:val="007247E4"/>
    <w:rsid w:val="00726040"/>
    <w:rsid w:val="00740250"/>
    <w:rsid w:val="007522F0"/>
    <w:rsid w:val="007526B7"/>
    <w:rsid w:val="0075508F"/>
    <w:rsid w:val="00762FD5"/>
    <w:rsid w:val="007705A5"/>
    <w:rsid w:val="007755FA"/>
    <w:rsid w:val="0079255D"/>
    <w:rsid w:val="007927AB"/>
    <w:rsid w:val="00792B48"/>
    <w:rsid w:val="00792EC1"/>
    <w:rsid w:val="00794F8B"/>
    <w:rsid w:val="007976D8"/>
    <w:rsid w:val="007B0AA6"/>
    <w:rsid w:val="007B25F5"/>
    <w:rsid w:val="007B60C9"/>
    <w:rsid w:val="007C3373"/>
    <w:rsid w:val="007C4E74"/>
    <w:rsid w:val="007D04D1"/>
    <w:rsid w:val="007D5F35"/>
    <w:rsid w:val="007E2E6E"/>
    <w:rsid w:val="007F2450"/>
    <w:rsid w:val="007F3374"/>
    <w:rsid w:val="00806E40"/>
    <w:rsid w:val="00823CDE"/>
    <w:rsid w:val="00826475"/>
    <w:rsid w:val="008304F9"/>
    <w:rsid w:val="00835898"/>
    <w:rsid w:val="00857B81"/>
    <w:rsid w:val="00862CB1"/>
    <w:rsid w:val="00874323"/>
    <w:rsid w:val="00887E2C"/>
    <w:rsid w:val="008A1DA0"/>
    <w:rsid w:val="008C2AFE"/>
    <w:rsid w:val="008D3AE6"/>
    <w:rsid w:val="008E6F6D"/>
    <w:rsid w:val="00904063"/>
    <w:rsid w:val="0092246E"/>
    <w:rsid w:val="00926463"/>
    <w:rsid w:val="00930826"/>
    <w:rsid w:val="00932FCE"/>
    <w:rsid w:val="009431D2"/>
    <w:rsid w:val="00953840"/>
    <w:rsid w:val="00955428"/>
    <w:rsid w:val="00967F34"/>
    <w:rsid w:val="009724A5"/>
    <w:rsid w:val="00990C32"/>
    <w:rsid w:val="0099205F"/>
    <w:rsid w:val="00996503"/>
    <w:rsid w:val="00996629"/>
    <w:rsid w:val="009A0AC0"/>
    <w:rsid w:val="009B0A10"/>
    <w:rsid w:val="009B13DE"/>
    <w:rsid w:val="009B197C"/>
    <w:rsid w:val="009C5CA8"/>
    <w:rsid w:val="009D3740"/>
    <w:rsid w:val="009D5399"/>
    <w:rsid w:val="009E3655"/>
    <w:rsid w:val="009F17C2"/>
    <w:rsid w:val="009F19AA"/>
    <w:rsid w:val="00A203B4"/>
    <w:rsid w:val="00A23BAB"/>
    <w:rsid w:val="00A259BD"/>
    <w:rsid w:val="00A2661D"/>
    <w:rsid w:val="00A43BE6"/>
    <w:rsid w:val="00A53523"/>
    <w:rsid w:val="00A6405C"/>
    <w:rsid w:val="00A66715"/>
    <w:rsid w:val="00A700F6"/>
    <w:rsid w:val="00A7599D"/>
    <w:rsid w:val="00A767DE"/>
    <w:rsid w:val="00A769D1"/>
    <w:rsid w:val="00A8378B"/>
    <w:rsid w:val="00AB0115"/>
    <w:rsid w:val="00AB0E4B"/>
    <w:rsid w:val="00AB2941"/>
    <w:rsid w:val="00AB6884"/>
    <w:rsid w:val="00AC26CA"/>
    <w:rsid w:val="00AC2DBC"/>
    <w:rsid w:val="00AE7DF8"/>
    <w:rsid w:val="00AF4AC6"/>
    <w:rsid w:val="00B0170C"/>
    <w:rsid w:val="00B10525"/>
    <w:rsid w:val="00B118E3"/>
    <w:rsid w:val="00B25B73"/>
    <w:rsid w:val="00B32130"/>
    <w:rsid w:val="00B36D12"/>
    <w:rsid w:val="00B36DEA"/>
    <w:rsid w:val="00B37C27"/>
    <w:rsid w:val="00B4346A"/>
    <w:rsid w:val="00B52F5D"/>
    <w:rsid w:val="00B62379"/>
    <w:rsid w:val="00B66D6C"/>
    <w:rsid w:val="00B8039C"/>
    <w:rsid w:val="00B85EC2"/>
    <w:rsid w:val="00BA61C6"/>
    <w:rsid w:val="00BA64F5"/>
    <w:rsid w:val="00BA70AA"/>
    <w:rsid w:val="00BB488B"/>
    <w:rsid w:val="00BB5062"/>
    <w:rsid w:val="00BB54A3"/>
    <w:rsid w:val="00BC45AD"/>
    <w:rsid w:val="00BC46AC"/>
    <w:rsid w:val="00BD2A80"/>
    <w:rsid w:val="00BD2AF0"/>
    <w:rsid w:val="00BD433C"/>
    <w:rsid w:val="00BF7B7C"/>
    <w:rsid w:val="00C04327"/>
    <w:rsid w:val="00C11480"/>
    <w:rsid w:val="00C15F8B"/>
    <w:rsid w:val="00C173C4"/>
    <w:rsid w:val="00C178DD"/>
    <w:rsid w:val="00C20E98"/>
    <w:rsid w:val="00C25224"/>
    <w:rsid w:val="00C36263"/>
    <w:rsid w:val="00C42F6F"/>
    <w:rsid w:val="00C44839"/>
    <w:rsid w:val="00C47907"/>
    <w:rsid w:val="00C55BAC"/>
    <w:rsid w:val="00C63B58"/>
    <w:rsid w:val="00C6766C"/>
    <w:rsid w:val="00C71319"/>
    <w:rsid w:val="00C72222"/>
    <w:rsid w:val="00C82996"/>
    <w:rsid w:val="00C84EDA"/>
    <w:rsid w:val="00C96BE2"/>
    <w:rsid w:val="00CA0625"/>
    <w:rsid w:val="00CA78BE"/>
    <w:rsid w:val="00CC213D"/>
    <w:rsid w:val="00CC7E4B"/>
    <w:rsid w:val="00CD1EF8"/>
    <w:rsid w:val="00CD2319"/>
    <w:rsid w:val="00CD2EEA"/>
    <w:rsid w:val="00CE6DD0"/>
    <w:rsid w:val="00CF032C"/>
    <w:rsid w:val="00CF2A7A"/>
    <w:rsid w:val="00D23C9B"/>
    <w:rsid w:val="00D32C77"/>
    <w:rsid w:val="00D477CD"/>
    <w:rsid w:val="00D5160A"/>
    <w:rsid w:val="00D56759"/>
    <w:rsid w:val="00D6051D"/>
    <w:rsid w:val="00D64B3C"/>
    <w:rsid w:val="00D9406E"/>
    <w:rsid w:val="00D95574"/>
    <w:rsid w:val="00D979D8"/>
    <w:rsid w:val="00DA1279"/>
    <w:rsid w:val="00DA2D97"/>
    <w:rsid w:val="00DD3191"/>
    <w:rsid w:val="00DD621A"/>
    <w:rsid w:val="00DD7374"/>
    <w:rsid w:val="00DE0DD4"/>
    <w:rsid w:val="00E10F0D"/>
    <w:rsid w:val="00E125C4"/>
    <w:rsid w:val="00E1532C"/>
    <w:rsid w:val="00E2173C"/>
    <w:rsid w:val="00E346F1"/>
    <w:rsid w:val="00E46FA0"/>
    <w:rsid w:val="00E50DBB"/>
    <w:rsid w:val="00E63799"/>
    <w:rsid w:val="00E74ABB"/>
    <w:rsid w:val="00E92501"/>
    <w:rsid w:val="00E94956"/>
    <w:rsid w:val="00E94FA0"/>
    <w:rsid w:val="00E963C8"/>
    <w:rsid w:val="00EA3984"/>
    <w:rsid w:val="00EB00C5"/>
    <w:rsid w:val="00EC6F08"/>
    <w:rsid w:val="00ED361C"/>
    <w:rsid w:val="00ED6C85"/>
    <w:rsid w:val="00EE58D6"/>
    <w:rsid w:val="00EF7074"/>
    <w:rsid w:val="00F060FC"/>
    <w:rsid w:val="00F1673F"/>
    <w:rsid w:val="00F16762"/>
    <w:rsid w:val="00F20B59"/>
    <w:rsid w:val="00F21E5B"/>
    <w:rsid w:val="00F27AA6"/>
    <w:rsid w:val="00F5400C"/>
    <w:rsid w:val="00F60054"/>
    <w:rsid w:val="00F63463"/>
    <w:rsid w:val="00F765A8"/>
    <w:rsid w:val="00F8657C"/>
    <w:rsid w:val="00F90642"/>
    <w:rsid w:val="00F93D58"/>
    <w:rsid w:val="00F942FB"/>
    <w:rsid w:val="00FD242E"/>
    <w:rsid w:val="00FE46B5"/>
    <w:rsid w:val="00FF66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73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94F8B"/>
    <w:pPr>
      <w:widowControl w:val="0"/>
      <w:autoSpaceDE w:val="0"/>
      <w:autoSpaceDN w:val="0"/>
      <w:adjustRightInd w:val="0"/>
    </w:pPr>
    <w:rPr>
      <w:rFonts w:ascii="Courier" w:hAnsi="Courier"/>
    </w:rPr>
  </w:style>
  <w:style w:type="character" w:styleId="Hyperlink">
    <w:name w:val="Hyperlink"/>
    <w:basedOn w:val="DefaultParagraphFont"/>
    <w:rsid w:val="00794F8B"/>
    <w:rPr>
      <w:color w:val="0000FF"/>
      <w:u w:val="single"/>
    </w:rPr>
  </w:style>
  <w:style w:type="paragraph" w:styleId="Footer">
    <w:name w:val="footer"/>
    <w:basedOn w:val="Normal"/>
    <w:rsid w:val="00C15F8B"/>
    <w:pPr>
      <w:tabs>
        <w:tab w:val="center" w:pos="4320"/>
        <w:tab w:val="right" w:pos="8640"/>
      </w:tabs>
    </w:pPr>
  </w:style>
  <w:style w:type="character" w:styleId="PageNumber">
    <w:name w:val="page number"/>
    <w:basedOn w:val="DefaultParagraphFont"/>
    <w:rsid w:val="00C15F8B"/>
  </w:style>
  <w:style w:type="paragraph" w:styleId="BalloonText">
    <w:name w:val="Balloon Text"/>
    <w:basedOn w:val="Normal"/>
    <w:semiHidden/>
    <w:rsid w:val="00166A9C"/>
    <w:rPr>
      <w:rFonts w:ascii="Tahoma" w:hAnsi="Tahoma" w:cs="Tahoma"/>
      <w:sz w:val="16"/>
      <w:szCs w:val="16"/>
    </w:rPr>
  </w:style>
  <w:style w:type="character" w:styleId="CommentReference">
    <w:name w:val="annotation reference"/>
    <w:basedOn w:val="DefaultParagraphFont"/>
    <w:semiHidden/>
    <w:rsid w:val="00C11480"/>
    <w:rPr>
      <w:sz w:val="16"/>
      <w:szCs w:val="16"/>
    </w:rPr>
  </w:style>
  <w:style w:type="paragraph" w:styleId="CommentText">
    <w:name w:val="annotation text"/>
    <w:basedOn w:val="Normal"/>
    <w:semiHidden/>
    <w:rsid w:val="00C11480"/>
    <w:rPr>
      <w:sz w:val="20"/>
      <w:szCs w:val="20"/>
    </w:rPr>
  </w:style>
  <w:style w:type="paragraph" w:styleId="CommentSubject">
    <w:name w:val="annotation subject"/>
    <w:basedOn w:val="CommentText"/>
    <w:next w:val="CommentText"/>
    <w:semiHidden/>
    <w:rsid w:val="00C11480"/>
    <w:rPr>
      <w:b/>
      <w:bCs/>
    </w:rPr>
  </w:style>
  <w:style w:type="paragraph" w:styleId="Header">
    <w:name w:val="header"/>
    <w:basedOn w:val="Normal"/>
    <w:link w:val="HeaderChar"/>
    <w:rsid w:val="00C55BAC"/>
    <w:pPr>
      <w:tabs>
        <w:tab w:val="center" w:pos="4680"/>
        <w:tab w:val="right" w:pos="9360"/>
      </w:tabs>
    </w:pPr>
  </w:style>
  <w:style w:type="character" w:customStyle="1" w:styleId="HeaderChar">
    <w:name w:val="Header Char"/>
    <w:basedOn w:val="DefaultParagraphFont"/>
    <w:link w:val="Header"/>
    <w:rsid w:val="00C55BAC"/>
    <w:rPr>
      <w:sz w:val="24"/>
      <w:szCs w:val="24"/>
    </w:rPr>
  </w:style>
  <w:style w:type="paragraph" w:customStyle="1" w:styleId="Style0">
    <w:name w:val="Style0"/>
    <w:rsid w:val="00E346F1"/>
    <w:pPr>
      <w:autoSpaceDE w:val="0"/>
      <w:autoSpaceDN w:val="0"/>
      <w:adjustRightInd w:val="0"/>
    </w:pPr>
    <w:rPr>
      <w:rFonts w:ascii="Arial" w:hAnsi="Arial"/>
      <w:sz w:val="24"/>
      <w:szCs w:val="24"/>
    </w:rPr>
  </w:style>
  <w:style w:type="paragraph" w:styleId="ListParagraph">
    <w:name w:val="List Paragraph"/>
    <w:basedOn w:val="Normal"/>
    <w:uiPriority w:val="34"/>
    <w:qFormat/>
    <w:rsid w:val="003B0777"/>
    <w:pPr>
      <w:ind w:left="720"/>
    </w:pPr>
  </w:style>
  <w:style w:type="paragraph" w:styleId="NoSpacing">
    <w:name w:val="No Spacing"/>
    <w:uiPriority w:val="1"/>
    <w:qFormat/>
    <w:rsid w:val="002C7EED"/>
    <w:rPr>
      <w:rFonts w:ascii="Calibri" w:eastAsia="Calibri" w:hAnsi="Calibri"/>
      <w:sz w:val="22"/>
      <w:szCs w:val="22"/>
    </w:rPr>
  </w:style>
  <w:style w:type="paragraph" w:styleId="NormalWeb">
    <w:name w:val="Normal (Web)"/>
    <w:basedOn w:val="Normal"/>
    <w:uiPriority w:val="99"/>
    <w:unhideWhenUsed/>
    <w:rsid w:val="000C2E2D"/>
    <w:pPr>
      <w:spacing w:after="1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94F8B"/>
    <w:pPr>
      <w:widowControl w:val="0"/>
      <w:autoSpaceDE w:val="0"/>
      <w:autoSpaceDN w:val="0"/>
      <w:adjustRightInd w:val="0"/>
    </w:pPr>
    <w:rPr>
      <w:rFonts w:ascii="Courier" w:hAnsi="Courier"/>
    </w:rPr>
  </w:style>
  <w:style w:type="character" w:styleId="Hyperlink">
    <w:name w:val="Hyperlink"/>
    <w:basedOn w:val="DefaultParagraphFont"/>
    <w:rsid w:val="00794F8B"/>
    <w:rPr>
      <w:color w:val="0000FF"/>
      <w:u w:val="single"/>
    </w:rPr>
  </w:style>
  <w:style w:type="paragraph" w:styleId="Footer">
    <w:name w:val="footer"/>
    <w:basedOn w:val="Normal"/>
    <w:rsid w:val="00C15F8B"/>
    <w:pPr>
      <w:tabs>
        <w:tab w:val="center" w:pos="4320"/>
        <w:tab w:val="right" w:pos="8640"/>
      </w:tabs>
    </w:pPr>
  </w:style>
  <w:style w:type="character" w:styleId="PageNumber">
    <w:name w:val="page number"/>
    <w:basedOn w:val="DefaultParagraphFont"/>
    <w:rsid w:val="00C15F8B"/>
  </w:style>
  <w:style w:type="paragraph" w:styleId="BalloonText">
    <w:name w:val="Balloon Text"/>
    <w:basedOn w:val="Normal"/>
    <w:semiHidden/>
    <w:rsid w:val="00166A9C"/>
    <w:rPr>
      <w:rFonts w:ascii="Tahoma" w:hAnsi="Tahoma" w:cs="Tahoma"/>
      <w:sz w:val="16"/>
      <w:szCs w:val="16"/>
    </w:rPr>
  </w:style>
  <w:style w:type="character" w:styleId="CommentReference">
    <w:name w:val="annotation reference"/>
    <w:basedOn w:val="DefaultParagraphFont"/>
    <w:semiHidden/>
    <w:rsid w:val="00C11480"/>
    <w:rPr>
      <w:sz w:val="16"/>
      <w:szCs w:val="16"/>
    </w:rPr>
  </w:style>
  <w:style w:type="paragraph" w:styleId="CommentText">
    <w:name w:val="annotation text"/>
    <w:basedOn w:val="Normal"/>
    <w:semiHidden/>
    <w:rsid w:val="00C11480"/>
    <w:rPr>
      <w:sz w:val="20"/>
      <w:szCs w:val="20"/>
    </w:rPr>
  </w:style>
  <w:style w:type="paragraph" w:styleId="CommentSubject">
    <w:name w:val="annotation subject"/>
    <w:basedOn w:val="CommentText"/>
    <w:next w:val="CommentText"/>
    <w:semiHidden/>
    <w:rsid w:val="00C11480"/>
    <w:rPr>
      <w:b/>
      <w:bCs/>
    </w:rPr>
  </w:style>
  <w:style w:type="paragraph" w:styleId="Header">
    <w:name w:val="header"/>
    <w:basedOn w:val="Normal"/>
    <w:link w:val="HeaderChar"/>
    <w:rsid w:val="00C55BAC"/>
    <w:pPr>
      <w:tabs>
        <w:tab w:val="center" w:pos="4680"/>
        <w:tab w:val="right" w:pos="9360"/>
      </w:tabs>
    </w:pPr>
  </w:style>
  <w:style w:type="character" w:customStyle="1" w:styleId="HeaderChar">
    <w:name w:val="Header Char"/>
    <w:basedOn w:val="DefaultParagraphFont"/>
    <w:link w:val="Header"/>
    <w:rsid w:val="00C55BAC"/>
    <w:rPr>
      <w:sz w:val="24"/>
      <w:szCs w:val="24"/>
    </w:rPr>
  </w:style>
  <w:style w:type="paragraph" w:customStyle="1" w:styleId="Style0">
    <w:name w:val="Style0"/>
    <w:rsid w:val="00E346F1"/>
    <w:pPr>
      <w:autoSpaceDE w:val="0"/>
      <w:autoSpaceDN w:val="0"/>
      <w:adjustRightInd w:val="0"/>
    </w:pPr>
    <w:rPr>
      <w:rFonts w:ascii="Arial" w:hAnsi="Arial"/>
      <w:sz w:val="24"/>
      <w:szCs w:val="24"/>
    </w:rPr>
  </w:style>
  <w:style w:type="paragraph" w:styleId="ListParagraph">
    <w:name w:val="List Paragraph"/>
    <w:basedOn w:val="Normal"/>
    <w:uiPriority w:val="34"/>
    <w:qFormat/>
    <w:rsid w:val="003B0777"/>
    <w:pPr>
      <w:ind w:left="720"/>
    </w:pPr>
  </w:style>
  <w:style w:type="paragraph" w:styleId="NoSpacing">
    <w:name w:val="No Spacing"/>
    <w:uiPriority w:val="1"/>
    <w:qFormat/>
    <w:rsid w:val="002C7EED"/>
    <w:rPr>
      <w:rFonts w:ascii="Calibri" w:eastAsia="Calibri" w:hAnsi="Calibri"/>
      <w:sz w:val="22"/>
      <w:szCs w:val="22"/>
    </w:rPr>
  </w:style>
  <w:style w:type="paragraph" w:styleId="NormalWeb">
    <w:name w:val="Normal (Web)"/>
    <w:basedOn w:val="Normal"/>
    <w:uiPriority w:val="99"/>
    <w:unhideWhenUsed/>
    <w:rsid w:val="000C2E2D"/>
    <w:pPr>
      <w:spacing w:after="180"/>
    </w:pPr>
  </w:style>
</w:styles>
</file>

<file path=word/webSettings.xml><?xml version="1.0" encoding="utf-8"?>
<w:webSettings xmlns:r="http://schemas.openxmlformats.org/officeDocument/2006/relationships" xmlns:w="http://schemas.openxmlformats.org/wordprocessingml/2006/main">
  <w:divs>
    <w:div w:id="154154098">
      <w:bodyDiv w:val="1"/>
      <w:marLeft w:val="0"/>
      <w:marRight w:val="0"/>
      <w:marTop w:val="0"/>
      <w:marBottom w:val="0"/>
      <w:divBdr>
        <w:top w:val="none" w:sz="0" w:space="0" w:color="auto"/>
        <w:left w:val="none" w:sz="0" w:space="0" w:color="auto"/>
        <w:bottom w:val="none" w:sz="0" w:space="0" w:color="auto"/>
        <w:right w:val="none" w:sz="0" w:space="0" w:color="auto"/>
      </w:divBdr>
    </w:div>
    <w:div w:id="773017675">
      <w:bodyDiv w:val="1"/>
      <w:marLeft w:val="0"/>
      <w:marRight w:val="0"/>
      <w:marTop w:val="0"/>
      <w:marBottom w:val="0"/>
      <w:divBdr>
        <w:top w:val="none" w:sz="0" w:space="0" w:color="auto"/>
        <w:left w:val="none" w:sz="0" w:space="0" w:color="auto"/>
        <w:bottom w:val="none" w:sz="0" w:space="0" w:color="auto"/>
        <w:right w:val="none" w:sz="0" w:space="0" w:color="auto"/>
      </w:divBdr>
    </w:div>
    <w:div w:id="946044627">
      <w:bodyDiv w:val="1"/>
      <w:marLeft w:val="4"/>
      <w:marRight w:val="4"/>
      <w:marTop w:val="4"/>
      <w:marBottom w:val="4"/>
      <w:divBdr>
        <w:top w:val="none" w:sz="0" w:space="0" w:color="auto"/>
        <w:left w:val="none" w:sz="0" w:space="0" w:color="auto"/>
        <w:bottom w:val="none" w:sz="0" w:space="0" w:color="auto"/>
        <w:right w:val="none" w:sz="0" w:space="0" w:color="auto"/>
      </w:divBdr>
      <w:divsChild>
        <w:div w:id="201554917">
          <w:marLeft w:val="0"/>
          <w:marRight w:val="0"/>
          <w:marTop w:val="0"/>
          <w:marBottom w:val="0"/>
          <w:divBdr>
            <w:top w:val="none" w:sz="0" w:space="0" w:color="auto"/>
            <w:left w:val="none" w:sz="0" w:space="0" w:color="auto"/>
            <w:bottom w:val="none" w:sz="0" w:space="0" w:color="auto"/>
            <w:right w:val="none" w:sz="0" w:space="0" w:color="auto"/>
          </w:divBdr>
          <w:divsChild>
            <w:div w:id="808471894">
              <w:marLeft w:val="0"/>
              <w:marRight w:val="0"/>
              <w:marTop w:val="0"/>
              <w:marBottom w:val="0"/>
              <w:divBdr>
                <w:top w:val="none" w:sz="0" w:space="0" w:color="auto"/>
                <w:left w:val="none" w:sz="0" w:space="0" w:color="auto"/>
                <w:bottom w:val="none" w:sz="0" w:space="0" w:color="auto"/>
                <w:right w:val="none" w:sz="0" w:space="0" w:color="auto"/>
              </w:divBdr>
              <w:divsChild>
                <w:div w:id="493885002">
                  <w:marLeft w:val="0"/>
                  <w:marRight w:val="0"/>
                  <w:marTop w:val="0"/>
                  <w:marBottom w:val="180"/>
                  <w:divBdr>
                    <w:top w:val="none" w:sz="0" w:space="0" w:color="auto"/>
                    <w:left w:val="none" w:sz="0" w:space="0" w:color="auto"/>
                    <w:bottom w:val="none" w:sz="0" w:space="0" w:color="auto"/>
                    <w:right w:val="none" w:sz="0" w:space="0" w:color="auto"/>
                  </w:divBdr>
                  <w:divsChild>
                    <w:div w:id="274485835">
                      <w:marLeft w:val="0"/>
                      <w:marRight w:val="0"/>
                      <w:marTop w:val="0"/>
                      <w:marBottom w:val="0"/>
                      <w:divBdr>
                        <w:top w:val="none" w:sz="0" w:space="0" w:color="auto"/>
                        <w:left w:val="none" w:sz="0" w:space="0" w:color="auto"/>
                        <w:bottom w:val="none" w:sz="0" w:space="0" w:color="auto"/>
                        <w:right w:val="none" w:sz="0" w:space="0" w:color="auto"/>
                      </w:divBdr>
                      <w:divsChild>
                        <w:div w:id="1143738046">
                          <w:marLeft w:val="0"/>
                          <w:marRight w:val="0"/>
                          <w:marTop w:val="0"/>
                          <w:marBottom w:val="0"/>
                          <w:divBdr>
                            <w:top w:val="none" w:sz="0" w:space="0" w:color="auto"/>
                            <w:left w:val="none" w:sz="0" w:space="0" w:color="auto"/>
                            <w:bottom w:val="none" w:sz="0" w:space="0" w:color="auto"/>
                            <w:right w:val="none" w:sz="0" w:space="0" w:color="auto"/>
                          </w:divBdr>
                          <w:divsChild>
                            <w:div w:id="51376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361970">
      <w:bodyDiv w:val="1"/>
      <w:marLeft w:val="0"/>
      <w:marRight w:val="0"/>
      <w:marTop w:val="0"/>
      <w:marBottom w:val="0"/>
      <w:divBdr>
        <w:top w:val="none" w:sz="0" w:space="0" w:color="auto"/>
        <w:left w:val="none" w:sz="0" w:space="0" w:color="auto"/>
        <w:bottom w:val="none" w:sz="0" w:space="0" w:color="auto"/>
        <w:right w:val="none" w:sz="0" w:space="0" w:color="auto"/>
      </w:divBdr>
    </w:div>
    <w:div w:id="1645505722">
      <w:bodyDiv w:val="1"/>
      <w:marLeft w:val="4"/>
      <w:marRight w:val="4"/>
      <w:marTop w:val="4"/>
      <w:marBottom w:val="4"/>
      <w:divBdr>
        <w:top w:val="none" w:sz="0" w:space="0" w:color="auto"/>
        <w:left w:val="none" w:sz="0" w:space="0" w:color="auto"/>
        <w:bottom w:val="none" w:sz="0" w:space="0" w:color="auto"/>
        <w:right w:val="none" w:sz="0" w:space="0" w:color="auto"/>
      </w:divBdr>
      <w:divsChild>
        <w:div w:id="521433058">
          <w:marLeft w:val="0"/>
          <w:marRight w:val="0"/>
          <w:marTop w:val="0"/>
          <w:marBottom w:val="0"/>
          <w:divBdr>
            <w:top w:val="none" w:sz="0" w:space="0" w:color="auto"/>
            <w:left w:val="none" w:sz="0" w:space="0" w:color="auto"/>
            <w:bottom w:val="none" w:sz="0" w:space="0" w:color="auto"/>
            <w:right w:val="none" w:sz="0" w:space="0" w:color="auto"/>
          </w:divBdr>
          <w:divsChild>
            <w:div w:id="1509640805">
              <w:marLeft w:val="0"/>
              <w:marRight w:val="0"/>
              <w:marTop w:val="0"/>
              <w:marBottom w:val="0"/>
              <w:divBdr>
                <w:top w:val="none" w:sz="0" w:space="0" w:color="auto"/>
                <w:left w:val="none" w:sz="0" w:space="0" w:color="auto"/>
                <w:bottom w:val="none" w:sz="0" w:space="0" w:color="auto"/>
                <w:right w:val="none" w:sz="0" w:space="0" w:color="auto"/>
              </w:divBdr>
              <w:divsChild>
                <w:div w:id="1449544855">
                  <w:marLeft w:val="0"/>
                  <w:marRight w:val="0"/>
                  <w:marTop w:val="0"/>
                  <w:marBottom w:val="180"/>
                  <w:divBdr>
                    <w:top w:val="none" w:sz="0" w:space="0" w:color="auto"/>
                    <w:left w:val="none" w:sz="0" w:space="0" w:color="auto"/>
                    <w:bottom w:val="none" w:sz="0" w:space="0" w:color="auto"/>
                    <w:right w:val="none" w:sz="0" w:space="0" w:color="auto"/>
                  </w:divBdr>
                  <w:divsChild>
                    <w:div w:id="1549873338">
                      <w:marLeft w:val="0"/>
                      <w:marRight w:val="0"/>
                      <w:marTop w:val="0"/>
                      <w:marBottom w:val="0"/>
                      <w:divBdr>
                        <w:top w:val="none" w:sz="0" w:space="0" w:color="auto"/>
                        <w:left w:val="none" w:sz="0" w:space="0" w:color="auto"/>
                        <w:bottom w:val="none" w:sz="0" w:space="0" w:color="auto"/>
                        <w:right w:val="none" w:sz="0" w:space="0" w:color="auto"/>
                      </w:divBdr>
                      <w:divsChild>
                        <w:div w:id="1572303886">
                          <w:marLeft w:val="0"/>
                          <w:marRight w:val="0"/>
                          <w:marTop w:val="0"/>
                          <w:marBottom w:val="0"/>
                          <w:divBdr>
                            <w:top w:val="none" w:sz="0" w:space="0" w:color="auto"/>
                            <w:left w:val="none" w:sz="0" w:space="0" w:color="auto"/>
                            <w:bottom w:val="none" w:sz="0" w:space="0" w:color="auto"/>
                            <w:right w:val="none" w:sz="0" w:space="0" w:color="auto"/>
                          </w:divBdr>
                          <w:divsChild>
                            <w:div w:id="21347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61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w0@cdc.gov" TargetMode="External"/><Relationship Id="rId13" Type="http://schemas.openxmlformats.org/officeDocument/2006/relationships/hyperlink" Target="mailto:Ims1@cdc.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ihealth.com/healthcare-lists/hrp.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nchs/ahcd/ahcd_estimation_procedures.htm" TargetMode="External"/><Relationship Id="rId5" Type="http://schemas.openxmlformats.org/officeDocument/2006/relationships/webSettings" Target="webSettings.xml"/><Relationship Id="rId15" Type="http://schemas.openxmlformats.org/officeDocument/2006/relationships/hyperlink" Target="mailto:" TargetMode="External"/><Relationship Id="rId23" Type="http://schemas.microsoft.com/office/2007/relationships/stylesWithEffects" Target="stylesWithEffects.xml"/><Relationship Id="rId10" Type="http://schemas.openxmlformats.org/officeDocument/2006/relationships/hyperlink" Target="http://www.cdc.gov/nchs/ahcd/ahcd_estimation_reliability.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dc.gov/nchs/ahcd/ahcd_estimation_procedures.htm" TargetMode="External"/><Relationship Id="rId14" Type="http://schemas.openxmlformats.org/officeDocument/2006/relationships/hyperlink" Target="mailto:joseph.john.huesman@censu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DB44A-11A7-4921-8136-C377D3B60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5375</Words>
  <Characters>30644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Supporting Statement B</vt:lpstr>
    </vt:vector>
  </TitlesOfParts>
  <Company>ITSO</Company>
  <LinksUpToDate>false</LinksUpToDate>
  <CharactersWithSpaces>35948</CharactersWithSpaces>
  <SharedDoc>false</SharedDoc>
  <HLinks>
    <vt:vector size="24" baseType="variant">
      <vt:variant>
        <vt:i4>6422640</vt:i4>
      </vt:variant>
      <vt:variant>
        <vt:i4>9</vt:i4>
      </vt:variant>
      <vt:variant>
        <vt:i4>0</vt:i4>
      </vt:variant>
      <vt:variant>
        <vt:i4>5</vt:i4>
      </vt:variant>
      <vt:variant>
        <vt:lpwstr>mailto:</vt:lpwstr>
      </vt:variant>
      <vt:variant>
        <vt:lpwstr/>
      </vt:variant>
      <vt:variant>
        <vt:i4>1245217</vt:i4>
      </vt:variant>
      <vt:variant>
        <vt:i4>6</vt:i4>
      </vt:variant>
      <vt:variant>
        <vt:i4>0</vt:i4>
      </vt:variant>
      <vt:variant>
        <vt:i4>5</vt:i4>
      </vt:variant>
      <vt:variant>
        <vt:lpwstr>mailto:joseph.john.huesman@census.gov</vt:lpwstr>
      </vt:variant>
      <vt:variant>
        <vt:lpwstr/>
      </vt:variant>
      <vt:variant>
        <vt:i4>1900657</vt:i4>
      </vt:variant>
      <vt:variant>
        <vt:i4>3</vt:i4>
      </vt:variant>
      <vt:variant>
        <vt:i4>0</vt:i4>
      </vt:variant>
      <vt:variant>
        <vt:i4>5</vt:i4>
      </vt:variant>
      <vt:variant>
        <vt:lpwstr>mailto:Ims1@cdc.gov</vt:lpwstr>
      </vt:variant>
      <vt:variant>
        <vt:lpwstr/>
      </vt:variant>
      <vt:variant>
        <vt:i4>1310844</vt:i4>
      </vt:variant>
      <vt:variant>
        <vt:i4>0</vt:i4>
      </vt:variant>
      <vt:variant>
        <vt:i4>0</vt:i4>
      </vt:variant>
      <vt:variant>
        <vt:i4>5</vt:i4>
      </vt:variant>
      <vt:variant>
        <vt:lpwstr>mailto:daw0@cdc.gov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dc:title>
  <dc:creator>MJH5</dc:creator>
  <cp:lastModifiedBy>bbarker</cp:lastModifiedBy>
  <cp:revision>2</cp:revision>
  <cp:lastPrinted>2011-08-23T17:37:00Z</cp:lastPrinted>
  <dcterms:created xsi:type="dcterms:W3CDTF">2011-12-02T17:11:00Z</dcterms:created>
  <dcterms:modified xsi:type="dcterms:W3CDTF">2011-12-02T17:11:00Z</dcterms:modified>
</cp:coreProperties>
</file>