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AA3192" w:rsidRDefault="00D37DB0" w:rsidP="00C455BE">
      <w:pPr>
        <w:spacing w:after="0"/>
        <w:jc w:val="center"/>
        <w:rPr>
          <w:rFonts w:asciiTheme="majorHAnsi" w:hAnsiTheme="majorHAnsi"/>
          <w:b/>
          <w:bCs/>
          <w:sz w:val="40"/>
        </w:rPr>
      </w:pPr>
      <w:bookmarkStart w:id="0" w:name="_GoBack"/>
      <w:bookmarkEnd w:id="0"/>
      <w:r>
        <w:rPr>
          <w:rFonts w:asciiTheme="majorHAnsi" w:hAnsiTheme="majorHAnsi"/>
          <w:b/>
          <w:bCs/>
          <w:sz w:val="40"/>
        </w:rPr>
        <w:t>Assess</w:t>
      </w:r>
      <w:r w:rsidR="00117E7C">
        <w:rPr>
          <w:rFonts w:asciiTheme="majorHAnsi" w:hAnsiTheme="majorHAnsi"/>
          <w:b/>
          <w:bCs/>
          <w:sz w:val="40"/>
        </w:rPr>
        <w:t>ment</w:t>
      </w:r>
      <w:r w:rsidR="003C5BD2">
        <w:rPr>
          <w:rFonts w:asciiTheme="majorHAnsi" w:hAnsiTheme="majorHAnsi"/>
          <w:b/>
          <w:bCs/>
          <w:sz w:val="40"/>
        </w:rPr>
        <w:t xml:space="preserve"> </w:t>
      </w:r>
      <w:r w:rsidR="00117E7C">
        <w:rPr>
          <w:rFonts w:asciiTheme="majorHAnsi" w:hAnsiTheme="majorHAnsi"/>
          <w:b/>
          <w:bCs/>
          <w:sz w:val="40"/>
        </w:rPr>
        <w:t xml:space="preserve">of </w:t>
      </w:r>
      <w:r w:rsidR="00A93AD2">
        <w:rPr>
          <w:rFonts w:asciiTheme="majorHAnsi" w:hAnsiTheme="majorHAnsi"/>
          <w:b/>
          <w:bCs/>
          <w:sz w:val="40"/>
        </w:rPr>
        <w:t xml:space="preserve">the </w:t>
      </w:r>
      <w:r w:rsidR="00C455BE">
        <w:rPr>
          <w:rFonts w:asciiTheme="majorHAnsi" w:hAnsiTheme="majorHAnsi"/>
          <w:b/>
          <w:bCs/>
          <w:sz w:val="40"/>
        </w:rPr>
        <w:t xml:space="preserve">STLT Health Department </w:t>
      </w:r>
      <w:r w:rsidR="00117E7C">
        <w:rPr>
          <w:rFonts w:asciiTheme="majorHAnsi" w:hAnsiTheme="majorHAnsi"/>
          <w:b/>
          <w:bCs/>
          <w:sz w:val="40"/>
        </w:rPr>
        <w:t>Data Submission Process</w:t>
      </w:r>
      <w:r w:rsidR="00C455BE">
        <w:rPr>
          <w:rFonts w:asciiTheme="majorHAnsi" w:hAnsiTheme="majorHAnsi"/>
          <w:b/>
          <w:bCs/>
          <w:sz w:val="40"/>
        </w:rPr>
        <w:t>es</w:t>
      </w:r>
      <w:r w:rsidR="00117E7C">
        <w:rPr>
          <w:rFonts w:asciiTheme="majorHAnsi" w:hAnsiTheme="majorHAnsi"/>
          <w:b/>
          <w:bCs/>
          <w:sz w:val="40"/>
        </w:rPr>
        <w:t xml:space="preserve"> </w:t>
      </w:r>
      <w:r w:rsidR="00A93AD2">
        <w:rPr>
          <w:rFonts w:asciiTheme="majorHAnsi" w:hAnsiTheme="majorHAnsi"/>
          <w:b/>
          <w:bCs/>
          <w:sz w:val="40"/>
        </w:rPr>
        <w:t xml:space="preserve">into </w:t>
      </w:r>
      <w:proofErr w:type="spellStart"/>
      <w:r w:rsidR="00A93AD2">
        <w:rPr>
          <w:rFonts w:asciiTheme="majorHAnsi" w:hAnsiTheme="majorHAnsi"/>
          <w:b/>
          <w:bCs/>
          <w:sz w:val="40"/>
        </w:rPr>
        <w:t>BioSense</w:t>
      </w:r>
      <w:proofErr w:type="spellEnd"/>
      <w:r w:rsidR="00A93AD2">
        <w:rPr>
          <w:rFonts w:asciiTheme="majorHAnsi" w:hAnsiTheme="majorHAnsi"/>
          <w:b/>
          <w:bCs/>
          <w:sz w:val="40"/>
        </w:rPr>
        <w:t xml:space="preserve"> 2.0 </w:t>
      </w:r>
      <w:r w:rsidR="00F12BB4">
        <w:rPr>
          <w:rFonts w:asciiTheme="majorHAnsi" w:hAnsiTheme="majorHAnsi"/>
          <w:b/>
          <w:bCs/>
          <w:sz w:val="40"/>
        </w:rPr>
        <w:br/>
      </w:r>
    </w:p>
    <w:p w:rsidR="006361D1" w:rsidRDefault="006361D1" w:rsidP="00484011">
      <w:pPr>
        <w:spacing w:after="0"/>
        <w:jc w:val="center"/>
        <w:rPr>
          <w:rFonts w:asciiTheme="majorHAnsi" w:hAnsiTheme="majorHAnsi"/>
          <w:b/>
        </w:rPr>
      </w:pPr>
    </w:p>
    <w:p w:rsidR="00716F94" w:rsidRPr="00AA3192" w:rsidRDefault="00484011" w:rsidP="00484011">
      <w:pPr>
        <w:spacing w:after="0"/>
        <w:jc w:val="center"/>
        <w:rPr>
          <w:rFonts w:asciiTheme="majorHAnsi" w:hAnsiTheme="majorHAnsi"/>
        </w:rPr>
      </w:pPr>
      <w:r w:rsidRPr="00AA3192">
        <w:rPr>
          <w:rFonts w:asciiTheme="majorHAnsi" w:hAnsiTheme="majorHAnsi"/>
        </w:rPr>
        <w:t>OSTL</w:t>
      </w:r>
      <w:r w:rsidR="00316F00">
        <w:rPr>
          <w:rFonts w:asciiTheme="majorHAnsi" w:hAnsiTheme="majorHAnsi"/>
        </w:rPr>
        <w:t>TS Generic Information Collection</w:t>
      </w:r>
      <w:r w:rsidRPr="00AA3192">
        <w:rPr>
          <w:rFonts w:asciiTheme="majorHAnsi" w:hAnsiTheme="majorHAnsi"/>
        </w:rPr>
        <w:t xml:space="preserve"> Request</w:t>
      </w:r>
    </w:p>
    <w:p w:rsidR="00484011" w:rsidRPr="00AA3192" w:rsidRDefault="00484011" w:rsidP="00484011">
      <w:pPr>
        <w:pStyle w:val="Header"/>
        <w:tabs>
          <w:tab w:val="clear" w:pos="4680"/>
        </w:tabs>
        <w:jc w:val="center"/>
      </w:pPr>
      <w:r w:rsidRPr="00AA3192">
        <w:t>OMB No. 0920-0879</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Supporting Statement – Section A</w:t>
      </w:r>
    </w:p>
    <w:p w:rsidR="009B4A51" w:rsidRDefault="009B4A51" w:rsidP="00716F94">
      <w:pPr>
        <w:spacing w:after="0"/>
        <w:rPr>
          <w:rFonts w:asciiTheme="majorHAnsi" w:hAnsiTheme="majorHAnsi"/>
          <w:b/>
        </w:rPr>
      </w:pPr>
    </w:p>
    <w:p w:rsidR="00484011" w:rsidRDefault="00484011" w:rsidP="00716F94">
      <w:pPr>
        <w:spacing w:after="0"/>
        <w:rPr>
          <w:rFonts w:asciiTheme="majorHAnsi" w:hAnsiTheme="majorHAnsi"/>
          <w:b/>
        </w:rPr>
      </w:pPr>
    </w:p>
    <w:p w:rsidR="00AA3192" w:rsidRDefault="00AA3192" w:rsidP="00716F94">
      <w:pPr>
        <w:spacing w:after="0"/>
        <w:rPr>
          <w:rFonts w:asciiTheme="majorHAnsi" w:hAnsiTheme="majorHAnsi"/>
          <w:b/>
        </w:rPr>
      </w:pPr>
    </w:p>
    <w:p w:rsidR="00187D5A" w:rsidRDefault="00187D5A" w:rsidP="00716F94">
      <w:pPr>
        <w:spacing w:after="0"/>
        <w:rPr>
          <w:rFonts w:asciiTheme="majorHAnsi" w:hAnsiTheme="majorHAnsi"/>
          <w:b/>
        </w:rPr>
      </w:pPr>
    </w:p>
    <w:p w:rsidR="009B4A51" w:rsidRPr="009B4A51" w:rsidRDefault="009B4A51" w:rsidP="009B4A51">
      <w:pPr>
        <w:spacing w:after="0"/>
        <w:jc w:val="center"/>
        <w:rPr>
          <w:rFonts w:asciiTheme="majorHAnsi" w:hAnsiTheme="majorHAnsi"/>
        </w:rPr>
      </w:pPr>
      <w:r w:rsidRPr="00D262B9">
        <w:rPr>
          <w:rFonts w:asciiTheme="majorHAnsi" w:hAnsiTheme="majorHAnsi"/>
          <w:b/>
        </w:rPr>
        <w:t>Submitted:</w:t>
      </w:r>
      <w:r w:rsidRPr="00D262B9">
        <w:rPr>
          <w:rFonts w:asciiTheme="majorHAnsi" w:hAnsiTheme="majorHAnsi"/>
        </w:rPr>
        <w:t xml:space="preserve"> </w:t>
      </w:r>
      <w:r w:rsidR="006A6944">
        <w:rPr>
          <w:rFonts w:asciiTheme="majorHAnsi" w:hAnsiTheme="majorHAnsi"/>
        </w:rPr>
        <w:t xml:space="preserve">November </w:t>
      </w:r>
      <w:r w:rsidR="002F5505">
        <w:rPr>
          <w:rFonts w:asciiTheme="majorHAnsi" w:hAnsiTheme="majorHAnsi"/>
        </w:rPr>
        <w:t>6</w:t>
      </w:r>
      <w:r w:rsidR="006A6944">
        <w:rPr>
          <w:rFonts w:asciiTheme="majorHAnsi" w:hAnsiTheme="majorHAnsi"/>
        </w:rPr>
        <w:t>, 2013</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321B51" w:rsidRPr="00E43AA9" w:rsidRDefault="00716F94" w:rsidP="000B0962">
      <w:pPr>
        <w:spacing w:after="0"/>
      </w:pPr>
      <w:r w:rsidRPr="00667C89">
        <w:rPr>
          <w:rFonts w:asciiTheme="majorHAnsi" w:hAnsiTheme="majorHAnsi"/>
          <w:b/>
          <w:u w:val="single"/>
        </w:rPr>
        <w:t>P</w:t>
      </w:r>
      <w:r w:rsidR="00667C89" w:rsidRPr="00667C89">
        <w:rPr>
          <w:rFonts w:asciiTheme="majorHAnsi" w:hAnsiTheme="majorHAnsi"/>
          <w:b/>
          <w:u w:val="single"/>
        </w:rPr>
        <w:t>rogram Official/Project Officer</w:t>
      </w:r>
      <w:r w:rsidR="000B0962">
        <w:tab/>
      </w:r>
    </w:p>
    <w:p w:rsidR="00321B51" w:rsidRPr="00F81564" w:rsidRDefault="00A56403" w:rsidP="000B0962">
      <w:pPr>
        <w:spacing w:after="0" w:line="240" w:lineRule="auto"/>
        <w:rPr>
          <w:rFonts w:ascii="Times New Roman" w:hAnsi="Times New Roman" w:cs="Times New Roman"/>
          <w:bCs/>
          <w:color w:val="000000" w:themeColor="text1"/>
        </w:rPr>
      </w:pPr>
      <w:r w:rsidRPr="00F81564">
        <w:rPr>
          <w:rFonts w:ascii="Times New Roman" w:hAnsi="Times New Roman" w:cs="Times New Roman"/>
          <w:bCs/>
          <w:color w:val="000000" w:themeColor="text1"/>
        </w:rPr>
        <w:t xml:space="preserve">Julie </w:t>
      </w:r>
      <w:proofErr w:type="spellStart"/>
      <w:r w:rsidRPr="00F81564">
        <w:rPr>
          <w:rFonts w:ascii="Times New Roman" w:hAnsi="Times New Roman" w:cs="Times New Roman"/>
          <w:bCs/>
          <w:color w:val="000000" w:themeColor="text1"/>
        </w:rPr>
        <w:t>Zajac</w:t>
      </w:r>
      <w:proofErr w:type="spellEnd"/>
      <w:r w:rsidR="00F81564">
        <w:rPr>
          <w:rFonts w:ascii="Times New Roman" w:hAnsi="Times New Roman" w:cs="Times New Roman"/>
          <w:bCs/>
          <w:color w:val="000000" w:themeColor="text1"/>
        </w:rPr>
        <w:t>-Cox, MPH</w:t>
      </w:r>
    </w:p>
    <w:p w:rsidR="00321B51" w:rsidRPr="00F81564" w:rsidRDefault="00A56403" w:rsidP="000B0962">
      <w:pPr>
        <w:spacing w:after="0" w:line="240" w:lineRule="auto"/>
        <w:rPr>
          <w:rFonts w:ascii="Times New Roman" w:hAnsi="Times New Roman" w:cs="Times New Roman"/>
          <w:color w:val="000000" w:themeColor="text1"/>
        </w:rPr>
      </w:pPr>
      <w:r w:rsidRPr="00F81564">
        <w:rPr>
          <w:rFonts w:ascii="Times New Roman" w:hAnsi="Times New Roman" w:cs="Times New Roman"/>
          <w:color w:val="000000" w:themeColor="text1"/>
        </w:rPr>
        <w:t>Associate Director for Policy (Acting)</w:t>
      </w:r>
    </w:p>
    <w:p w:rsidR="00F81564" w:rsidRPr="00F81564" w:rsidRDefault="00F81564" w:rsidP="000B0962">
      <w:pPr>
        <w:spacing w:after="0" w:line="240" w:lineRule="auto"/>
        <w:rPr>
          <w:rFonts w:ascii="Times New Roman" w:hAnsi="Times New Roman" w:cs="Times New Roman"/>
          <w:color w:val="000000" w:themeColor="text1"/>
        </w:rPr>
      </w:pPr>
      <w:r w:rsidRPr="00F81564">
        <w:rPr>
          <w:rFonts w:ascii="Times New Roman" w:hAnsi="Times New Roman" w:cs="Times New Roman"/>
          <w:color w:val="000000" w:themeColor="text1"/>
        </w:rPr>
        <w:t>Centers for Disease Control and Prevention</w:t>
      </w:r>
    </w:p>
    <w:p w:rsidR="00F81564" w:rsidRPr="00F81564" w:rsidRDefault="00F81564" w:rsidP="000B0962">
      <w:pPr>
        <w:spacing w:after="0" w:line="240" w:lineRule="auto"/>
        <w:rPr>
          <w:rFonts w:ascii="Times New Roman" w:hAnsi="Times New Roman" w:cs="Times New Roman"/>
          <w:color w:val="000000" w:themeColor="text1"/>
        </w:rPr>
      </w:pPr>
      <w:r w:rsidRPr="00F81564">
        <w:rPr>
          <w:rFonts w:ascii="Times New Roman" w:hAnsi="Times New Roman" w:cs="Times New Roman"/>
          <w:color w:val="000000" w:themeColor="text1"/>
        </w:rPr>
        <w:t>Office of Public Health Scientific Services (proposed)</w:t>
      </w:r>
    </w:p>
    <w:p w:rsidR="00F81564" w:rsidRPr="00F81564" w:rsidRDefault="00F81564" w:rsidP="000B0962">
      <w:pPr>
        <w:spacing w:after="0" w:line="240" w:lineRule="auto"/>
        <w:rPr>
          <w:rFonts w:ascii="Times New Roman" w:hAnsi="Times New Roman" w:cs="Times New Roman"/>
          <w:color w:val="000000" w:themeColor="text1"/>
        </w:rPr>
      </w:pPr>
      <w:r w:rsidRPr="00F81564">
        <w:rPr>
          <w:rFonts w:ascii="Times New Roman" w:hAnsi="Times New Roman" w:cs="Times New Roman"/>
          <w:color w:val="000000" w:themeColor="text1"/>
        </w:rPr>
        <w:t>Center for Surveillance, Epidemiology, and Laboratory Services (proposed)</w:t>
      </w:r>
    </w:p>
    <w:p w:rsidR="00321B51" w:rsidRPr="00F81564" w:rsidRDefault="00F81564" w:rsidP="000B0962">
      <w:pPr>
        <w:spacing w:after="0" w:line="240" w:lineRule="auto"/>
        <w:rPr>
          <w:rFonts w:ascii="Times New Roman" w:hAnsi="Times New Roman" w:cs="Times New Roman"/>
          <w:color w:val="000000" w:themeColor="text1"/>
        </w:rPr>
      </w:pPr>
      <w:r w:rsidRPr="00F81564">
        <w:rPr>
          <w:rFonts w:ascii="Times New Roman" w:hAnsi="Times New Roman" w:cs="Times New Roman"/>
          <w:color w:val="000000" w:themeColor="text1"/>
        </w:rPr>
        <w:t>Division of Health Informatics and Surveillance (prop</w:t>
      </w:r>
      <w:r w:rsidR="00A56403" w:rsidRPr="00F81564">
        <w:rPr>
          <w:rFonts w:ascii="Times New Roman" w:hAnsi="Times New Roman" w:cs="Times New Roman"/>
          <w:color w:val="000000" w:themeColor="text1"/>
        </w:rPr>
        <w:t>osed)</w:t>
      </w:r>
    </w:p>
    <w:p w:rsidR="00A56403" w:rsidRPr="00F81564" w:rsidRDefault="00A56403" w:rsidP="000B0962">
      <w:pPr>
        <w:spacing w:after="0" w:line="240" w:lineRule="auto"/>
        <w:rPr>
          <w:rFonts w:ascii="Times New Roman" w:hAnsi="Times New Roman" w:cs="Times New Roman"/>
          <w:color w:val="000000" w:themeColor="text1"/>
        </w:rPr>
      </w:pPr>
      <w:r w:rsidRPr="00F81564">
        <w:rPr>
          <w:rFonts w:ascii="Times New Roman" w:hAnsi="Times New Roman" w:cs="Times New Roman"/>
          <w:color w:val="000000" w:themeColor="text1"/>
        </w:rPr>
        <w:t>2500 Century Parkway NE</w:t>
      </w:r>
      <w:r w:rsidR="00F81564" w:rsidRPr="00F81564">
        <w:rPr>
          <w:rFonts w:ascii="Times New Roman" w:hAnsi="Times New Roman" w:cs="Times New Roman"/>
          <w:color w:val="000000" w:themeColor="text1"/>
        </w:rPr>
        <w:t>, MS-E97,</w:t>
      </w:r>
      <w:r w:rsidR="00F81564">
        <w:rPr>
          <w:rFonts w:ascii="Times New Roman" w:hAnsi="Times New Roman" w:cs="Times New Roman"/>
          <w:color w:val="000000" w:themeColor="text1"/>
        </w:rPr>
        <w:t xml:space="preserve"> </w:t>
      </w:r>
      <w:r w:rsidRPr="00F81564">
        <w:rPr>
          <w:rFonts w:ascii="Times New Roman" w:hAnsi="Times New Roman" w:cs="Times New Roman"/>
          <w:color w:val="000000" w:themeColor="text1"/>
        </w:rPr>
        <w:t>Atlanta, GA 30345</w:t>
      </w:r>
    </w:p>
    <w:p w:rsidR="00321B51" w:rsidRPr="00F81564" w:rsidRDefault="00F81564" w:rsidP="000B0962">
      <w:pPr>
        <w:spacing w:after="0" w:line="240" w:lineRule="auto"/>
        <w:rPr>
          <w:rFonts w:ascii="Times New Roman" w:hAnsi="Times New Roman" w:cs="Times New Roman"/>
          <w:color w:val="000000" w:themeColor="text1"/>
        </w:rPr>
      </w:pPr>
      <w:r w:rsidRPr="00F81564">
        <w:rPr>
          <w:rFonts w:ascii="Times New Roman" w:hAnsi="Times New Roman" w:cs="Times New Roman"/>
          <w:color w:val="000000" w:themeColor="text1"/>
        </w:rPr>
        <w:t xml:space="preserve">Phone: </w:t>
      </w:r>
      <w:r w:rsidR="00795CE7" w:rsidRPr="00F81564">
        <w:rPr>
          <w:rFonts w:ascii="Times New Roman" w:hAnsi="Times New Roman" w:cs="Times New Roman"/>
          <w:color w:val="000000" w:themeColor="text1"/>
        </w:rPr>
        <w:t xml:space="preserve"> </w:t>
      </w:r>
      <w:r w:rsidR="00A56403" w:rsidRPr="00F81564">
        <w:rPr>
          <w:rFonts w:ascii="Times New Roman" w:hAnsi="Times New Roman" w:cs="Times New Roman"/>
          <w:color w:val="000000" w:themeColor="text1"/>
        </w:rPr>
        <w:t>404-498-0354</w:t>
      </w:r>
    </w:p>
    <w:p w:rsidR="00795CE7" w:rsidRPr="00F81564" w:rsidRDefault="00795CE7" w:rsidP="000B0962">
      <w:pPr>
        <w:spacing w:after="0" w:line="240" w:lineRule="auto"/>
        <w:rPr>
          <w:rFonts w:ascii="Times New Roman" w:hAnsi="Times New Roman" w:cs="Times New Roman"/>
          <w:color w:val="000000" w:themeColor="text1"/>
        </w:rPr>
      </w:pPr>
      <w:r w:rsidRPr="00F81564">
        <w:rPr>
          <w:rFonts w:ascii="Times New Roman" w:hAnsi="Times New Roman" w:cs="Times New Roman"/>
          <w:color w:val="000000" w:themeColor="text1"/>
        </w:rPr>
        <w:t>Fax</w:t>
      </w:r>
      <w:r w:rsidR="00F81564" w:rsidRPr="00F81564">
        <w:rPr>
          <w:rFonts w:ascii="Times New Roman" w:hAnsi="Times New Roman" w:cs="Times New Roman"/>
          <w:color w:val="000000" w:themeColor="text1"/>
        </w:rPr>
        <w:t>:</w:t>
      </w:r>
      <w:r w:rsidRPr="00F81564">
        <w:rPr>
          <w:rFonts w:ascii="Times New Roman" w:hAnsi="Times New Roman" w:cs="Times New Roman"/>
          <w:color w:val="000000" w:themeColor="text1"/>
        </w:rPr>
        <w:t xml:space="preserve"> 404-498-1177</w:t>
      </w:r>
    </w:p>
    <w:p w:rsidR="00321B51" w:rsidRPr="00F81564" w:rsidRDefault="00F81564" w:rsidP="000B0962">
      <w:pPr>
        <w:spacing w:after="0" w:line="240" w:lineRule="auto"/>
        <w:rPr>
          <w:rFonts w:ascii="Times New Roman" w:hAnsi="Times New Roman" w:cs="Times New Roman"/>
          <w:color w:val="000000" w:themeColor="text1"/>
        </w:rPr>
      </w:pPr>
      <w:r w:rsidRPr="00F81564">
        <w:rPr>
          <w:rFonts w:ascii="Times New Roman" w:hAnsi="Times New Roman" w:cs="Times New Roman"/>
          <w:color w:val="000000" w:themeColor="text1"/>
        </w:rPr>
        <w:t xml:space="preserve">Email: </w:t>
      </w:r>
      <w:hyperlink r:id="rId13" w:history="1">
        <w:r w:rsidR="00795CE7" w:rsidRPr="00F81564">
          <w:rPr>
            <w:rStyle w:val="Hyperlink"/>
            <w:rFonts w:ascii="Times New Roman" w:hAnsi="Times New Roman" w:cs="Times New Roman"/>
            <w:color w:val="0000FF"/>
          </w:rPr>
          <w:t>cgv7@cdc.gov</w:t>
        </w:r>
      </w:hyperlink>
      <w:r w:rsidR="00A56403" w:rsidRPr="00F81564">
        <w:rPr>
          <w:rFonts w:ascii="Times New Roman" w:hAnsi="Times New Roman" w:cs="Times New Roman"/>
          <w:color w:val="0000FF"/>
        </w:rPr>
        <w:t xml:space="preserve"> </w:t>
      </w:r>
    </w:p>
    <w:p w:rsidR="00B64B5D" w:rsidRDefault="00B64B5D">
      <w:pPr>
        <w:rPr>
          <w:rFonts w:asciiTheme="majorHAnsi" w:hAnsiTheme="majorHAnsi"/>
        </w:rPr>
      </w:pPr>
      <w:r>
        <w:rPr>
          <w:rFonts w:asciiTheme="majorHAnsi" w:hAnsiTheme="majorHAnsi"/>
        </w:rPr>
        <w:br w:type="page"/>
      </w:r>
    </w:p>
    <w:p w:rsidR="00CD1EA8" w:rsidRPr="00F52BCC" w:rsidRDefault="00CD1EA8" w:rsidP="00716F94">
      <w:pPr>
        <w:spacing w:after="0"/>
        <w:rPr>
          <w:rFonts w:asciiTheme="majorHAnsi" w:hAnsiTheme="majorHAnsi"/>
          <w:b/>
          <w:sz w:val="28"/>
        </w:rPr>
      </w:pPr>
      <w:r w:rsidRPr="00F52BCC">
        <w:rPr>
          <w:rFonts w:asciiTheme="majorHAnsi" w:hAnsiTheme="majorHAnsi"/>
          <w:b/>
          <w:sz w:val="28"/>
        </w:rPr>
        <w:lastRenderedPageBreak/>
        <w:t>Section A</w:t>
      </w:r>
      <w:r w:rsidR="00B12F51" w:rsidRPr="00F52BCC">
        <w:rPr>
          <w:rFonts w:asciiTheme="majorHAnsi" w:hAnsiTheme="majorHAnsi"/>
          <w:b/>
          <w:sz w:val="28"/>
        </w:rPr>
        <w:t xml:space="preserve"> – Justification</w:t>
      </w:r>
    </w:p>
    <w:p w:rsidR="00B12F51" w:rsidRDefault="00B12F51" w:rsidP="00716F94">
      <w:pPr>
        <w:spacing w:after="0"/>
        <w:rPr>
          <w:rFonts w:asciiTheme="majorHAnsi" w:hAnsiTheme="majorHAnsi"/>
          <w:b/>
        </w:rPr>
      </w:pPr>
    </w:p>
    <w:p w:rsidR="00CD1EA8" w:rsidRPr="007F0E13" w:rsidRDefault="00B12F51" w:rsidP="007F0E13">
      <w:pPr>
        <w:pStyle w:val="ListParagraph"/>
        <w:numPr>
          <w:ilvl w:val="0"/>
          <w:numId w:val="2"/>
        </w:numPr>
        <w:spacing w:after="0"/>
        <w:ind w:left="360"/>
        <w:rPr>
          <w:rFonts w:asciiTheme="majorHAnsi" w:hAnsiTheme="majorHAnsi"/>
          <w:b/>
          <w:sz w:val="24"/>
          <w:szCs w:val="24"/>
        </w:rPr>
      </w:pPr>
      <w:r w:rsidRPr="007F0E13">
        <w:rPr>
          <w:rFonts w:asciiTheme="majorHAnsi" w:hAnsiTheme="majorHAnsi"/>
          <w:b/>
          <w:sz w:val="24"/>
          <w:szCs w:val="24"/>
        </w:rPr>
        <w:t>Circumstances Making the Collection of Information Necessary</w:t>
      </w:r>
    </w:p>
    <w:p w:rsidR="00E33E1B" w:rsidRPr="007F0E13" w:rsidRDefault="00E33E1B" w:rsidP="007F0E13">
      <w:pPr>
        <w:spacing w:after="0"/>
        <w:ind w:left="270"/>
        <w:rPr>
          <w:rFonts w:asciiTheme="majorHAnsi" w:hAnsiTheme="majorHAnsi"/>
          <w:b/>
          <w:sz w:val="24"/>
          <w:szCs w:val="24"/>
        </w:rPr>
      </w:pPr>
    </w:p>
    <w:p w:rsidR="00E33E1B" w:rsidRPr="007F0E13" w:rsidRDefault="00E33E1B" w:rsidP="007F0E13">
      <w:pPr>
        <w:spacing w:after="0"/>
        <w:ind w:left="270"/>
        <w:rPr>
          <w:rFonts w:asciiTheme="majorHAnsi" w:hAnsiTheme="majorHAnsi"/>
          <w:b/>
          <w:sz w:val="24"/>
          <w:szCs w:val="24"/>
        </w:rPr>
      </w:pPr>
      <w:r w:rsidRPr="007F0E13">
        <w:rPr>
          <w:rFonts w:asciiTheme="majorHAnsi" w:hAnsiTheme="majorHAnsi"/>
          <w:b/>
          <w:sz w:val="24"/>
          <w:szCs w:val="24"/>
        </w:rPr>
        <w:t>Background</w:t>
      </w:r>
    </w:p>
    <w:p w:rsidR="009252DC" w:rsidRPr="007F0E13" w:rsidRDefault="004F67A8" w:rsidP="007F0E13">
      <w:pPr>
        <w:pStyle w:val="Header"/>
        <w:tabs>
          <w:tab w:val="clear" w:pos="4680"/>
        </w:tabs>
        <w:spacing w:line="276" w:lineRule="auto"/>
        <w:ind w:left="270"/>
        <w:rPr>
          <w:rFonts w:asciiTheme="majorHAnsi" w:hAnsiTheme="majorHAnsi"/>
          <w:sz w:val="24"/>
          <w:szCs w:val="24"/>
        </w:rPr>
      </w:pPr>
      <w:r w:rsidRPr="007F0E13">
        <w:rPr>
          <w:rFonts w:asciiTheme="majorHAnsi" w:hAnsiTheme="majorHAnsi"/>
          <w:sz w:val="24"/>
          <w:szCs w:val="24"/>
        </w:rPr>
        <w:t xml:space="preserve">This </w:t>
      </w:r>
      <w:r w:rsidR="009E442F" w:rsidRPr="007F0E13">
        <w:rPr>
          <w:rFonts w:asciiTheme="majorHAnsi" w:hAnsiTheme="majorHAnsi"/>
          <w:sz w:val="24"/>
          <w:szCs w:val="24"/>
        </w:rPr>
        <w:t xml:space="preserve">information collection is being conducted by the CDC’s Office for State, Tribal, Local and Territorial Support (OSTLTS) </w:t>
      </w:r>
      <w:r w:rsidR="009252DC" w:rsidRPr="007F0E13">
        <w:rPr>
          <w:rFonts w:asciiTheme="majorHAnsi" w:hAnsiTheme="majorHAnsi"/>
          <w:sz w:val="24"/>
          <w:szCs w:val="24"/>
        </w:rPr>
        <w:t>using</w:t>
      </w:r>
      <w:r w:rsidR="00484011" w:rsidRPr="007F0E13">
        <w:rPr>
          <w:rFonts w:asciiTheme="majorHAnsi" w:hAnsiTheme="majorHAnsi"/>
          <w:sz w:val="24"/>
          <w:szCs w:val="24"/>
        </w:rPr>
        <w:t xml:space="preserve"> the Generic Information Collection mechanism </w:t>
      </w:r>
      <w:r w:rsidR="009252DC" w:rsidRPr="007F0E13">
        <w:rPr>
          <w:rFonts w:asciiTheme="majorHAnsi" w:hAnsiTheme="majorHAnsi"/>
          <w:sz w:val="24"/>
          <w:szCs w:val="24"/>
        </w:rPr>
        <w:t xml:space="preserve">of the OSTLTS Survey Center (OSC) </w:t>
      </w:r>
      <w:r w:rsidR="00484011" w:rsidRPr="007F0E13">
        <w:rPr>
          <w:rFonts w:asciiTheme="majorHAnsi" w:hAnsiTheme="majorHAnsi"/>
          <w:sz w:val="24"/>
          <w:szCs w:val="24"/>
        </w:rPr>
        <w:t>– OMB No. 0920-0879</w:t>
      </w:r>
      <w:r w:rsidRPr="007F0E13">
        <w:rPr>
          <w:rFonts w:asciiTheme="majorHAnsi" w:hAnsiTheme="majorHAnsi"/>
          <w:sz w:val="24"/>
          <w:szCs w:val="24"/>
        </w:rPr>
        <w:t>.</w:t>
      </w:r>
      <w:r w:rsidR="009252DC" w:rsidRPr="007F0E13">
        <w:rPr>
          <w:rFonts w:asciiTheme="majorHAnsi" w:hAnsiTheme="majorHAnsi"/>
          <w:sz w:val="24"/>
          <w:szCs w:val="24"/>
        </w:rPr>
        <w:t xml:space="preserve"> The respondent universe for this data collection aligns with that of the OSC. Data will be collected from</w:t>
      </w:r>
      <w:r w:rsidR="001555BD" w:rsidRPr="007F0E13">
        <w:rPr>
          <w:rFonts w:asciiTheme="majorHAnsi" w:hAnsiTheme="majorHAnsi"/>
          <w:sz w:val="24"/>
          <w:szCs w:val="24"/>
        </w:rPr>
        <w:t xml:space="preserve"> </w:t>
      </w:r>
      <w:r w:rsidR="00BE397F" w:rsidRPr="007F0E13">
        <w:rPr>
          <w:rFonts w:asciiTheme="majorHAnsi" w:hAnsiTheme="majorHAnsi"/>
          <w:sz w:val="24"/>
          <w:szCs w:val="24"/>
        </w:rPr>
        <w:t xml:space="preserve">officials </w:t>
      </w:r>
      <w:r w:rsidR="001555BD" w:rsidRPr="007F0E13">
        <w:rPr>
          <w:rFonts w:asciiTheme="majorHAnsi" w:hAnsiTheme="majorHAnsi"/>
          <w:sz w:val="24"/>
          <w:szCs w:val="24"/>
        </w:rPr>
        <w:t xml:space="preserve">in state, tribal, local, and territorial (STLT) health </w:t>
      </w:r>
      <w:r w:rsidR="00F6679E" w:rsidRPr="007F0E13">
        <w:rPr>
          <w:rFonts w:asciiTheme="majorHAnsi" w:hAnsiTheme="majorHAnsi"/>
          <w:sz w:val="24"/>
          <w:szCs w:val="24"/>
        </w:rPr>
        <w:t xml:space="preserve">departments </w:t>
      </w:r>
      <w:r w:rsidR="009252DC" w:rsidRPr="007F0E13">
        <w:rPr>
          <w:rFonts w:asciiTheme="majorHAnsi" w:hAnsiTheme="majorHAnsi"/>
          <w:sz w:val="24"/>
          <w:szCs w:val="24"/>
        </w:rPr>
        <w:t>acting in their official capacities.</w:t>
      </w:r>
    </w:p>
    <w:p w:rsidR="00473470" w:rsidRPr="007F0E13" w:rsidRDefault="00473470" w:rsidP="007F0E13">
      <w:pPr>
        <w:pStyle w:val="Header"/>
        <w:tabs>
          <w:tab w:val="clear" w:pos="4680"/>
        </w:tabs>
        <w:spacing w:line="276" w:lineRule="auto"/>
        <w:ind w:left="270"/>
        <w:rPr>
          <w:rFonts w:asciiTheme="majorHAnsi" w:hAnsiTheme="majorHAnsi"/>
          <w:sz w:val="24"/>
          <w:szCs w:val="24"/>
        </w:rPr>
      </w:pPr>
    </w:p>
    <w:p w:rsidR="00F809C3" w:rsidRPr="007F0E13" w:rsidRDefault="00F809C3" w:rsidP="007F0E13">
      <w:pPr>
        <w:pStyle w:val="Header"/>
        <w:spacing w:line="276" w:lineRule="auto"/>
        <w:ind w:left="270"/>
        <w:rPr>
          <w:rFonts w:asciiTheme="majorHAnsi" w:hAnsiTheme="majorHAnsi"/>
          <w:sz w:val="24"/>
          <w:szCs w:val="24"/>
        </w:rPr>
      </w:pPr>
      <w:r w:rsidRPr="007F0E13">
        <w:rPr>
          <w:rFonts w:asciiTheme="majorHAnsi" w:hAnsiTheme="majorHAnsi"/>
          <w:sz w:val="24"/>
          <w:szCs w:val="24"/>
        </w:rPr>
        <w:t xml:space="preserve">Congress passed the Public Health Security and Bioterrorism Preparedness and Response Act of 2002, which requires specific information collection activities related to bioterrorism preparedness and response.  This congressional mandate outlines the need for protecting the overall public’s health through electronic surveillance.  The Department of Health and Human Services outlined strategies aimed at achieving this goal via the Public Health IT Initiative thereby creating the </w:t>
      </w:r>
      <w:proofErr w:type="spellStart"/>
      <w:r w:rsidRPr="007F0E13">
        <w:rPr>
          <w:rFonts w:asciiTheme="majorHAnsi" w:hAnsiTheme="majorHAnsi"/>
          <w:sz w:val="24"/>
          <w:szCs w:val="24"/>
        </w:rPr>
        <w:t>BioSense</w:t>
      </w:r>
      <w:proofErr w:type="spellEnd"/>
      <w:r w:rsidRPr="007F0E13">
        <w:rPr>
          <w:rFonts w:asciiTheme="majorHAnsi" w:hAnsiTheme="majorHAnsi"/>
          <w:sz w:val="24"/>
          <w:szCs w:val="24"/>
        </w:rPr>
        <w:t xml:space="preserve"> program.  The </w:t>
      </w:r>
      <w:r w:rsidR="004613D7" w:rsidRPr="007F0E13">
        <w:rPr>
          <w:rFonts w:asciiTheme="majorHAnsi" w:hAnsiTheme="majorHAnsi"/>
          <w:iCs/>
          <w:sz w:val="24"/>
          <w:szCs w:val="24"/>
        </w:rPr>
        <w:t>Public Health Security and Bioterrorism Preparedness Act of 2002</w:t>
      </w:r>
      <w:r w:rsidR="00016525" w:rsidRPr="007F0E13">
        <w:rPr>
          <w:rFonts w:asciiTheme="majorHAnsi" w:hAnsiTheme="majorHAnsi"/>
          <w:iCs/>
          <w:sz w:val="24"/>
          <w:szCs w:val="24"/>
        </w:rPr>
        <w:t xml:space="preserve"> </w:t>
      </w:r>
      <w:r w:rsidR="00016525" w:rsidRPr="007F0E13">
        <w:rPr>
          <w:rFonts w:asciiTheme="majorHAnsi" w:hAnsiTheme="majorHAnsi"/>
          <w:b/>
          <w:iCs/>
          <w:sz w:val="24"/>
          <w:szCs w:val="24"/>
        </w:rPr>
        <w:t xml:space="preserve">(Attachment </w:t>
      </w:r>
      <w:r w:rsidR="004B0886" w:rsidRPr="007F0E13">
        <w:rPr>
          <w:rFonts w:asciiTheme="majorHAnsi" w:hAnsiTheme="majorHAnsi"/>
          <w:b/>
          <w:iCs/>
          <w:sz w:val="24"/>
          <w:szCs w:val="24"/>
        </w:rPr>
        <w:t>A</w:t>
      </w:r>
      <w:r w:rsidR="00016525" w:rsidRPr="007F0E13">
        <w:rPr>
          <w:rFonts w:asciiTheme="majorHAnsi" w:hAnsiTheme="majorHAnsi"/>
          <w:b/>
          <w:iCs/>
          <w:sz w:val="24"/>
          <w:szCs w:val="24"/>
        </w:rPr>
        <w:t>)</w:t>
      </w:r>
      <w:r w:rsidR="004613D7" w:rsidRPr="007F0E13">
        <w:rPr>
          <w:rFonts w:asciiTheme="majorHAnsi" w:hAnsiTheme="majorHAnsi"/>
          <w:sz w:val="24"/>
          <w:szCs w:val="24"/>
        </w:rPr>
        <w:t xml:space="preserve">, </w:t>
      </w:r>
      <w:r w:rsidRPr="007F0E13">
        <w:rPr>
          <w:rFonts w:asciiTheme="majorHAnsi" w:hAnsiTheme="majorHAnsi"/>
          <w:sz w:val="24"/>
          <w:szCs w:val="24"/>
        </w:rPr>
        <w:t>Pandemic and All-Hazards Preparedness Act (PAHPA)</w:t>
      </w:r>
      <w:r w:rsidR="000A7D3B" w:rsidRPr="007F0E13">
        <w:rPr>
          <w:rFonts w:asciiTheme="majorHAnsi" w:hAnsiTheme="majorHAnsi"/>
          <w:sz w:val="24"/>
          <w:szCs w:val="24"/>
        </w:rPr>
        <w:t xml:space="preserve"> of 2006</w:t>
      </w:r>
      <w:r w:rsidRPr="007F0E13">
        <w:rPr>
          <w:rFonts w:asciiTheme="majorHAnsi" w:hAnsiTheme="majorHAnsi"/>
          <w:sz w:val="24"/>
          <w:szCs w:val="24"/>
        </w:rPr>
        <w:t>, Public Law No. 109-417</w:t>
      </w:r>
      <w:r w:rsidR="00016525" w:rsidRPr="007F0E13">
        <w:rPr>
          <w:rFonts w:asciiTheme="majorHAnsi" w:hAnsiTheme="majorHAnsi"/>
          <w:sz w:val="24"/>
          <w:szCs w:val="24"/>
        </w:rPr>
        <w:t xml:space="preserve"> </w:t>
      </w:r>
      <w:r w:rsidR="00016525" w:rsidRPr="007F0E13">
        <w:rPr>
          <w:rFonts w:asciiTheme="majorHAnsi" w:hAnsiTheme="majorHAnsi"/>
          <w:b/>
          <w:sz w:val="24"/>
          <w:szCs w:val="24"/>
        </w:rPr>
        <w:t xml:space="preserve">(Attachment </w:t>
      </w:r>
      <w:r w:rsidR="004B0886" w:rsidRPr="007F0E13">
        <w:rPr>
          <w:rFonts w:asciiTheme="majorHAnsi" w:hAnsiTheme="majorHAnsi"/>
          <w:b/>
          <w:sz w:val="24"/>
          <w:szCs w:val="24"/>
        </w:rPr>
        <w:t>B</w:t>
      </w:r>
      <w:r w:rsidR="00016525" w:rsidRPr="007F0E13">
        <w:rPr>
          <w:rFonts w:asciiTheme="majorHAnsi" w:hAnsiTheme="majorHAnsi"/>
          <w:b/>
          <w:sz w:val="24"/>
          <w:szCs w:val="24"/>
        </w:rPr>
        <w:t>)</w:t>
      </w:r>
      <w:r w:rsidR="004613D7" w:rsidRPr="007F0E13">
        <w:rPr>
          <w:rFonts w:asciiTheme="majorHAnsi" w:hAnsiTheme="majorHAnsi"/>
          <w:sz w:val="24"/>
          <w:szCs w:val="24"/>
        </w:rPr>
        <w:t xml:space="preserve">, and </w:t>
      </w:r>
      <w:r w:rsidR="004613D7" w:rsidRPr="007F0E13">
        <w:rPr>
          <w:rFonts w:asciiTheme="majorHAnsi" w:hAnsiTheme="majorHAnsi"/>
          <w:iCs/>
          <w:sz w:val="24"/>
          <w:szCs w:val="24"/>
        </w:rPr>
        <w:t>Pandemic and All Hazards Preparedness Reauthorization Act of 201</w:t>
      </w:r>
      <w:r w:rsidR="00FD65E5" w:rsidRPr="007F0E13">
        <w:rPr>
          <w:rFonts w:asciiTheme="majorHAnsi" w:hAnsiTheme="majorHAnsi"/>
          <w:iCs/>
          <w:sz w:val="24"/>
          <w:szCs w:val="24"/>
        </w:rPr>
        <w:t>3</w:t>
      </w:r>
      <w:r w:rsidR="00016525" w:rsidRPr="007F0E13">
        <w:rPr>
          <w:rFonts w:asciiTheme="majorHAnsi" w:hAnsiTheme="majorHAnsi"/>
          <w:iCs/>
          <w:sz w:val="24"/>
          <w:szCs w:val="24"/>
        </w:rPr>
        <w:t xml:space="preserve"> </w:t>
      </w:r>
      <w:r w:rsidR="00016525" w:rsidRPr="007F0E13">
        <w:rPr>
          <w:rFonts w:asciiTheme="majorHAnsi" w:hAnsiTheme="majorHAnsi"/>
          <w:b/>
          <w:iCs/>
          <w:sz w:val="24"/>
          <w:szCs w:val="24"/>
        </w:rPr>
        <w:t xml:space="preserve">(Attachment </w:t>
      </w:r>
      <w:r w:rsidR="004B0886" w:rsidRPr="007F0E13">
        <w:rPr>
          <w:rFonts w:asciiTheme="majorHAnsi" w:hAnsiTheme="majorHAnsi"/>
          <w:b/>
          <w:iCs/>
          <w:sz w:val="24"/>
          <w:szCs w:val="24"/>
        </w:rPr>
        <w:t>C</w:t>
      </w:r>
      <w:r w:rsidR="00016525" w:rsidRPr="007F0E13">
        <w:rPr>
          <w:rFonts w:asciiTheme="majorHAnsi" w:hAnsiTheme="majorHAnsi"/>
          <w:b/>
          <w:iCs/>
          <w:sz w:val="24"/>
          <w:szCs w:val="24"/>
        </w:rPr>
        <w:t>)</w:t>
      </w:r>
      <w:r w:rsidR="004613D7" w:rsidRPr="007F0E13">
        <w:rPr>
          <w:rFonts w:asciiTheme="majorHAnsi" w:hAnsiTheme="majorHAnsi"/>
          <w:iCs/>
          <w:sz w:val="24"/>
          <w:szCs w:val="24"/>
        </w:rPr>
        <w:t xml:space="preserve"> </w:t>
      </w:r>
      <w:r w:rsidRPr="007F0E13">
        <w:rPr>
          <w:rFonts w:asciiTheme="majorHAnsi" w:hAnsiTheme="majorHAnsi"/>
          <w:sz w:val="24"/>
          <w:szCs w:val="24"/>
        </w:rPr>
        <w:t xml:space="preserve">authorizing this activity are included </w:t>
      </w:r>
      <w:r w:rsidR="00016525" w:rsidRPr="007F0E13">
        <w:rPr>
          <w:rFonts w:asciiTheme="majorHAnsi" w:hAnsiTheme="majorHAnsi"/>
          <w:sz w:val="24"/>
          <w:szCs w:val="24"/>
        </w:rPr>
        <w:t>with this application.</w:t>
      </w:r>
    </w:p>
    <w:p w:rsidR="00D918BE" w:rsidRPr="007F0E13" w:rsidRDefault="00D918BE" w:rsidP="007F0E13">
      <w:pPr>
        <w:pStyle w:val="Header"/>
        <w:spacing w:line="276" w:lineRule="auto"/>
        <w:ind w:left="270"/>
        <w:rPr>
          <w:rFonts w:asciiTheme="majorHAnsi" w:hAnsiTheme="majorHAnsi"/>
          <w:sz w:val="24"/>
          <w:szCs w:val="24"/>
        </w:rPr>
      </w:pPr>
    </w:p>
    <w:p w:rsidR="007F5B9A" w:rsidRPr="007F0E13" w:rsidRDefault="00F809C3" w:rsidP="007F0E13">
      <w:pPr>
        <w:pStyle w:val="Header"/>
        <w:spacing w:line="276" w:lineRule="auto"/>
        <w:ind w:left="270"/>
        <w:rPr>
          <w:rFonts w:asciiTheme="majorHAnsi" w:hAnsiTheme="majorHAnsi"/>
          <w:sz w:val="24"/>
          <w:szCs w:val="24"/>
        </w:rPr>
      </w:pPr>
      <w:proofErr w:type="spellStart"/>
      <w:r w:rsidRPr="007F0E13">
        <w:rPr>
          <w:rFonts w:asciiTheme="majorHAnsi" w:hAnsiTheme="majorHAnsi"/>
          <w:sz w:val="24"/>
          <w:szCs w:val="24"/>
        </w:rPr>
        <w:t>BioSense</w:t>
      </w:r>
      <w:proofErr w:type="spellEnd"/>
      <w:r w:rsidR="001D3226" w:rsidRPr="007F0E13">
        <w:rPr>
          <w:rFonts w:asciiTheme="majorHAnsi" w:hAnsiTheme="majorHAnsi"/>
          <w:sz w:val="24"/>
          <w:szCs w:val="24"/>
        </w:rPr>
        <w:t xml:space="preserve"> </w:t>
      </w:r>
      <w:r w:rsidRPr="007F0E13">
        <w:rPr>
          <w:rFonts w:asciiTheme="majorHAnsi" w:hAnsiTheme="majorHAnsi"/>
          <w:sz w:val="24"/>
          <w:szCs w:val="24"/>
        </w:rPr>
        <w:t xml:space="preserve">is a national-level, electronic, human health surveillance system designed to improve the nation’s capabilities for disease detection, monitoring, and health situation awareness through timely access to existing healthcare encounter information </w:t>
      </w:r>
      <w:r w:rsidR="00320861" w:rsidRPr="007F0E13">
        <w:rPr>
          <w:rFonts w:asciiTheme="majorHAnsi" w:hAnsiTheme="majorHAnsi"/>
          <w:sz w:val="24"/>
          <w:szCs w:val="24"/>
        </w:rPr>
        <w:t xml:space="preserve">from emergency departments </w:t>
      </w:r>
      <w:r w:rsidRPr="007F0E13">
        <w:rPr>
          <w:rFonts w:asciiTheme="majorHAnsi" w:hAnsiTheme="majorHAnsi"/>
          <w:sz w:val="24"/>
          <w:szCs w:val="24"/>
        </w:rPr>
        <w:t xml:space="preserve">for just-in-time public health decision-making. </w:t>
      </w:r>
    </w:p>
    <w:p w:rsidR="007F5B9A" w:rsidRPr="007F0E13" w:rsidRDefault="007F5B9A" w:rsidP="007F0E13">
      <w:pPr>
        <w:pStyle w:val="Header"/>
        <w:spacing w:line="276" w:lineRule="auto"/>
        <w:ind w:left="270"/>
        <w:rPr>
          <w:rFonts w:asciiTheme="majorHAnsi" w:hAnsiTheme="majorHAnsi"/>
          <w:sz w:val="24"/>
          <w:szCs w:val="24"/>
        </w:rPr>
      </w:pPr>
    </w:p>
    <w:p w:rsidR="00016525" w:rsidRPr="00AA0181" w:rsidRDefault="00016525" w:rsidP="007F0E13">
      <w:pPr>
        <w:pStyle w:val="Header"/>
        <w:spacing w:line="276" w:lineRule="auto"/>
        <w:ind w:left="270"/>
        <w:rPr>
          <w:rFonts w:asciiTheme="majorHAnsi" w:hAnsiTheme="majorHAnsi"/>
          <w:color w:val="FF0000"/>
          <w:sz w:val="24"/>
          <w:szCs w:val="24"/>
        </w:rPr>
      </w:pPr>
      <w:r w:rsidRPr="007F0E13">
        <w:rPr>
          <w:rFonts w:asciiTheme="majorHAnsi" w:hAnsiTheme="majorHAnsi"/>
          <w:sz w:val="24"/>
          <w:szCs w:val="24"/>
        </w:rPr>
        <w:t xml:space="preserve">The </w:t>
      </w:r>
      <w:proofErr w:type="spellStart"/>
      <w:r w:rsidRPr="007F0E13">
        <w:rPr>
          <w:rFonts w:asciiTheme="majorHAnsi" w:hAnsiTheme="majorHAnsi"/>
          <w:sz w:val="24"/>
          <w:szCs w:val="24"/>
        </w:rPr>
        <w:t>BioSense</w:t>
      </w:r>
      <w:proofErr w:type="spellEnd"/>
      <w:r w:rsidRPr="007F0E13">
        <w:rPr>
          <w:rFonts w:asciiTheme="majorHAnsi" w:hAnsiTheme="majorHAnsi"/>
          <w:sz w:val="24"/>
          <w:szCs w:val="24"/>
        </w:rPr>
        <w:t xml:space="preserve"> program currently has an OMB-approved information collection (OMB Control Number 0920-0824), the purpose of which differs substantively from this request and is three-fold: 1) to gather information needed for recruiting STLT health departments for </w:t>
      </w:r>
      <w:proofErr w:type="spellStart"/>
      <w:r w:rsidRPr="007F0E13">
        <w:rPr>
          <w:rFonts w:asciiTheme="majorHAnsi" w:hAnsiTheme="majorHAnsi"/>
          <w:sz w:val="24"/>
          <w:szCs w:val="24"/>
        </w:rPr>
        <w:t>BioSense</w:t>
      </w:r>
      <w:proofErr w:type="spellEnd"/>
      <w:r w:rsidRPr="007F0E13">
        <w:rPr>
          <w:rFonts w:asciiTheme="majorHAnsi" w:hAnsiTheme="majorHAnsi"/>
          <w:sz w:val="24"/>
          <w:szCs w:val="24"/>
        </w:rPr>
        <w:t xml:space="preserve"> 2.0; 2) to gather information to allow access to appropriate users of the new system; and 3) to collect already existing healthcare encounter data. That OMB information collection did not authorize the collection of </w:t>
      </w:r>
      <w:proofErr w:type="spellStart"/>
      <w:r w:rsidRPr="007F0E13">
        <w:rPr>
          <w:rFonts w:asciiTheme="majorHAnsi" w:hAnsiTheme="majorHAnsi"/>
          <w:sz w:val="24"/>
          <w:szCs w:val="24"/>
        </w:rPr>
        <w:t>BioSense</w:t>
      </w:r>
      <w:proofErr w:type="spellEnd"/>
      <w:r w:rsidRPr="007F0E13">
        <w:rPr>
          <w:rFonts w:asciiTheme="majorHAnsi" w:hAnsiTheme="majorHAnsi"/>
          <w:sz w:val="24"/>
          <w:szCs w:val="24"/>
        </w:rPr>
        <w:t xml:space="preserve"> 2.0 assessment data. It only collected information on the utility of </w:t>
      </w:r>
      <w:proofErr w:type="spellStart"/>
      <w:r w:rsidRPr="007F0E13">
        <w:rPr>
          <w:rFonts w:asciiTheme="majorHAnsi" w:hAnsiTheme="majorHAnsi"/>
          <w:sz w:val="24"/>
          <w:szCs w:val="24"/>
        </w:rPr>
        <w:t>syndromic</w:t>
      </w:r>
      <w:proofErr w:type="spellEnd"/>
      <w:r w:rsidRPr="007F0E13">
        <w:rPr>
          <w:rFonts w:asciiTheme="majorHAnsi" w:hAnsiTheme="majorHAnsi"/>
          <w:sz w:val="24"/>
          <w:szCs w:val="24"/>
        </w:rPr>
        <w:t xml:space="preserve"> surveillance data within select health departments and for select diseases or conditions.</w:t>
      </w:r>
      <w:r w:rsidR="00AA0181">
        <w:rPr>
          <w:rFonts w:asciiTheme="majorHAnsi" w:hAnsiTheme="majorHAnsi"/>
          <w:sz w:val="24"/>
          <w:szCs w:val="24"/>
        </w:rPr>
        <w:t xml:space="preserve">  </w:t>
      </w:r>
      <w:r w:rsidR="007B4446" w:rsidRPr="007B4446">
        <w:rPr>
          <w:rFonts w:asciiTheme="majorHAnsi" w:hAnsiTheme="majorHAnsi"/>
          <w:sz w:val="24"/>
          <w:szCs w:val="24"/>
        </w:rPr>
        <w:t xml:space="preserve">This specific information collection’s purpose is to allow examination of the internal processes associated with data transmission into the </w:t>
      </w:r>
      <w:proofErr w:type="spellStart"/>
      <w:r w:rsidR="007B4446" w:rsidRPr="007B4446">
        <w:rPr>
          <w:rFonts w:asciiTheme="majorHAnsi" w:hAnsiTheme="majorHAnsi"/>
          <w:sz w:val="24"/>
          <w:szCs w:val="24"/>
        </w:rPr>
        <w:t>BioSense</w:t>
      </w:r>
      <w:proofErr w:type="spellEnd"/>
      <w:r w:rsidR="007B4446" w:rsidRPr="007B4446">
        <w:rPr>
          <w:rFonts w:asciiTheme="majorHAnsi" w:hAnsiTheme="majorHAnsi"/>
          <w:sz w:val="24"/>
          <w:szCs w:val="24"/>
        </w:rPr>
        <w:t xml:space="preserve"> 2.0 system.</w:t>
      </w:r>
    </w:p>
    <w:p w:rsidR="00016525" w:rsidRPr="007F0E13" w:rsidRDefault="00016525" w:rsidP="00E06978">
      <w:pPr>
        <w:pStyle w:val="Header"/>
        <w:spacing w:line="276" w:lineRule="auto"/>
        <w:ind w:left="720"/>
        <w:rPr>
          <w:rFonts w:asciiTheme="majorHAnsi" w:hAnsiTheme="majorHAnsi"/>
          <w:sz w:val="24"/>
          <w:szCs w:val="24"/>
        </w:rPr>
      </w:pPr>
    </w:p>
    <w:p w:rsidR="006F22B2" w:rsidRPr="007F0E13" w:rsidRDefault="006F22B2" w:rsidP="007F0E13">
      <w:pPr>
        <w:pStyle w:val="Header"/>
        <w:spacing w:line="276" w:lineRule="auto"/>
        <w:ind w:left="270"/>
        <w:rPr>
          <w:rFonts w:asciiTheme="majorHAnsi" w:hAnsiTheme="majorHAnsi"/>
          <w:sz w:val="24"/>
          <w:szCs w:val="24"/>
        </w:rPr>
      </w:pPr>
      <w:r w:rsidRPr="007F0E13">
        <w:rPr>
          <w:rFonts w:asciiTheme="majorHAnsi" w:hAnsiTheme="majorHAnsi"/>
          <w:sz w:val="24"/>
          <w:szCs w:val="24"/>
        </w:rPr>
        <w:lastRenderedPageBreak/>
        <w:t xml:space="preserve">The first version of </w:t>
      </w:r>
      <w:proofErr w:type="spellStart"/>
      <w:r w:rsidRPr="007F0E13">
        <w:rPr>
          <w:rFonts w:asciiTheme="majorHAnsi" w:hAnsiTheme="majorHAnsi"/>
          <w:sz w:val="24"/>
          <w:szCs w:val="24"/>
        </w:rPr>
        <w:t>BioSense</w:t>
      </w:r>
      <w:proofErr w:type="spellEnd"/>
      <w:r w:rsidRPr="007F0E13">
        <w:rPr>
          <w:rFonts w:asciiTheme="majorHAnsi" w:hAnsiTheme="majorHAnsi"/>
          <w:sz w:val="24"/>
          <w:szCs w:val="24"/>
        </w:rPr>
        <w:t xml:space="preserve"> envisioned a national picture of </w:t>
      </w:r>
      <w:proofErr w:type="spellStart"/>
      <w:r w:rsidRPr="007F0E13">
        <w:rPr>
          <w:rFonts w:asciiTheme="majorHAnsi" w:hAnsiTheme="majorHAnsi"/>
          <w:sz w:val="24"/>
          <w:szCs w:val="24"/>
        </w:rPr>
        <w:t>syndromic</w:t>
      </w:r>
      <w:proofErr w:type="spellEnd"/>
      <w:r w:rsidRPr="007F0E13">
        <w:rPr>
          <w:rFonts w:asciiTheme="majorHAnsi" w:hAnsiTheme="majorHAnsi"/>
          <w:sz w:val="24"/>
          <w:szCs w:val="24"/>
        </w:rPr>
        <w:t xml:space="preserve"> surveillance through the direct collection of h</w:t>
      </w:r>
      <w:r w:rsidR="007B3FF9">
        <w:rPr>
          <w:rFonts w:asciiTheme="majorHAnsi" w:hAnsiTheme="majorHAnsi"/>
          <w:sz w:val="24"/>
          <w:szCs w:val="24"/>
        </w:rPr>
        <w:t xml:space="preserve">ealthcare </w:t>
      </w:r>
      <w:r w:rsidR="002C3885" w:rsidRPr="007F0E13">
        <w:rPr>
          <w:rFonts w:asciiTheme="majorHAnsi" w:hAnsiTheme="majorHAnsi"/>
          <w:sz w:val="24"/>
          <w:szCs w:val="24"/>
        </w:rPr>
        <w:t xml:space="preserve"> data</w:t>
      </w:r>
      <w:r w:rsidR="00B82275" w:rsidRPr="007F0E13">
        <w:rPr>
          <w:rFonts w:asciiTheme="majorHAnsi" w:hAnsiTheme="majorHAnsi"/>
          <w:sz w:val="24"/>
          <w:szCs w:val="24"/>
        </w:rPr>
        <w:t>, transmitted from facilities to an internal CDC server database</w:t>
      </w:r>
      <w:r w:rsidRPr="007F0E13">
        <w:rPr>
          <w:rFonts w:asciiTheme="majorHAnsi" w:hAnsiTheme="majorHAnsi"/>
          <w:sz w:val="24"/>
          <w:szCs w:val="24"/>
        </w:rPr>
        <w:t xml:space="preserve">.  </w:t>
      </w:r>
      <w:r w:rsidR="004A4199" w:rsidRPr="007F0E13">
        <w:rPr>
          <w:rFonts w:asciiTheme="majorHAnsi" w:hAnsiTheme="majorHAnsi"/>
          <w:sz w:val="24"/>
          <w:szCs w:val="24"/>
        </w:rPr>
        <w:t>However, e</w:t>
      </w:r>
      <w:r w:rsidRPr="007F0E13">
        <w:rPr>
          <w:rFonts w:asciiTheme="majorHAnsi" w:hAnsiTheme="majorHAnsi"/>
          <w:sz w:val="24"/>
          <w:szCs w:val="24"/>
        </w:rPr>
        <w:t>ven with these feeds, the program was only ever able to achieve approximately 10% coverage of the United States’ population</w:t>
      </w:r>
      <w:r w:rsidR="00B7158D" w:rsidRPr="007F0E13">
        <w:rPr>
          <w:rFonts w:asciiTheme="majorHAnsi" w:hAnsiTheme="majorHAnsi"/>
          <w:sz w:val="24"/>
          <w:szCs w:val="24"/>
        </w:rPr>
        <w:t>, and state and local p</w:t>
      </w:r>
      <w:r w:rsidRPr="007F0E13">
        <w:rPr>
          <w:rFonts w:asciiTheme="majorHAnsi" w:hAnsiTheme="majorHAnsi"/>
          <w:sz w:val="24"/>
          <w:szCs w:val="24"/>
        </w:rPr>
        <w:t>ublic health departments were bypassed in this model</w:t>
      </w:r>
      <w:r w:rsidR="006F4A13" w:rsidRPr="007F0E13">
        <w:rPr>
          <w:rFonts w:asciiTheme="majorHAnsi" w:hAnsiTheme="majorHAnsi"/>
          <w:sz w:val="24"/>
          <w:szCs w:val="24"/>
        </w:rPr>
        <w:t xml:space="preserve">.  </w:t>
      </w:r>
    </w:p>
    <w:p w:rsidR="006F22B2" w:rsidRPr="007F0E13" w:rsidRDefault="006F22B2" w:rsidP="007F0E13">
      <w:pPr>
        <w:pStyle w:val="Header"/>
        <w:tabs>
          <w:tab w:val="clear" w:pos="4680"/>
        </w:tabs>
        <w:spacing w:line="276" w:lineRule="auto"/>
        <w:ind w:left="270"/>
        <w:rPr>
          <w:rFonts w:asciiTheme="majorHAnsi" w:hAnsiTheme="majorHAnsi"/>
          <w:sz w:val="24"/>
          <w:szCs w:val="24"/>
        </w:rPr>
      </w:pPr>
    </w:p>
    <w:p w:rsidR="00B82275" w:rsidRPr="007F0E13" w:rsidRDefault="00FD65E5" w:rsidP="007F0E13">
      <w:pPr>
        <w:pStyle w:val="Header"/>
        <w:tabs>
          <w:tab w:val="clear" w:pos="4680"/>
        </w:tabs>
        <w:spacing w:line="276" w:lineRule="auto"/>
        <w:ind w:left="270"/>
        <w:rPr>
          <w:rFonts w:asciiTheme="majorHAnsi" w:hAnsiTheme="majorHAnsi"/>
          <w:sz w:val="24"/>
          <w:szCs w:val="24"/>
        </w:rPr>
      </w:pPr>
      <w:r w:rsidRPr="007F0E13">
        <w:rPr>
          <w:rFonts w:asciiTheme="majorHAnsi" w:hAnsiTheme="majorHAnsi"/>
          <w:sz w:val="24"/>
          <w:szCs w:val="24"/>
        </w:rPr>
        <w:t xml:space="preserve">Over time, the </w:t>
      </w:r>
      <w:proofErr w:type="spellStart"/>
      <w:r w:rsidRPr="007F0E13">
        <w:rPr>
          <w:rFonts w:asciiTheme="majorHAnsi" w:hAnsiTheme="majorHAnsi"/>
          <w:sz w:val="24"/>
          <w:szCs w:val="24"/>
        </w:rPr>
        <w:t>BioSense</w:t>
      </w:r>
      <w:proofErr w:type="spellEnd"/>
      <w:r w:rsidRPr="007F0E13">
        <w:rPr>
          <w:rFonts w:asciiTheme="majorHAnsi" w:hAnsiTheme="majorHAnsi"/>
          <w:sz w:val="24"/>
          <w:szCs w:val="24"/>
        </w:rPr>
        <w:t xml:space="preserve"> 1.0 model proved unsustainable and unpopular with the STLT jurisdiction stakeholders, who had little insight into the CDC server database.   </w:t>
      </w:r>
      <w:r w:rsidR="00475965" w:rsidRPr="007F0E13">
        <w:rPr>
          <w:rFonts w:asciiTheme="majorHAnsi" w:hAnsiTheme="majorHAnsi"/>
          <w:sz w:val="24"/>
          <w:szCs w:val="24"/>
        </w:rPr>
        <w:t xml:space="preserve">In 2010, the </w:t>
      </w:r>
      <w:proofErr w:type="spellStart"/>
      <w:r w:rsidR="00475965" w:rsidRPr="007F0E13">
        <w:rPr>
          <w:rFonts w:asciiTheme="majorHAnsi" w:hAnsiTheme="majorHAnsi"/>
          <w:sz w:val="24"/>
          <w:szCs w:val="24"/>
        </w:rPr>
        <w:t>BioSense</w:t>
      </w:r>
      <w:proofErr w:type="spellEnd"/>
      <w:r w:rsidR="00475965" w:rsidRPr="007F0E13">
        <w:rPr>
          <w:rFonts w:asciiTheme="majorHAnsi" w:hAnsiTheme="majorHAnsi"/>
          <w:sz w:val="24"/>
          <w:szCs w:val="24"/>
        </w:rPr>
        <w:t xml:space="preserve"> Program began </w:t>
      </w:r>
      <w:r w:rsidR="00F809C3" w:rsidRPr="007F0E13">
        <w:rPr>
          <w:rFonts w:asciiTheme="majorHAnsi" w:hAnsiTheme="majorHAnsi"/>
          <w:sz w:val="24"/>
          <w:szCs w:val="24"/>
        </w:rPr>
        <w:t xml:space="preserve">transitioning from the original </w:t>
      </w:r>
      <w:proofErr w:type="spellStart"/>
      <w:r w:rsidR="00F809C3" w:rsidRPr="007F0E13">
        <w:rPr>
          <w:rFonts w:asciiTheme="majorHAnsi" w:hAnsiTheme="majorHAnsi"/>
          <w:sz w:val="24"/>
          <w:szCs w:val="24"/>
        </w:rPr>
        <w:t>BioSense</w:t>
      </w:r>
      <w:proofErr w:type="spellEnd"/>
      <w:r w:rsidR="00F809C3" w:rsidRPr="007F0E13">
        <w:rPr>
          <w:rFonts w:asciiTheme="majorHAnsi" w:hAnsiTheme="majorHAnsi"/>
          <w:sz w:val="24"/>
          <w:szCs w:val="24"/>
        </w:rPr>
        <w:t xml:space="preserve"> 1.0 to the new </w:t>
      </w:r>
      <w:proofErr w:type="spellStart"/>
      <w:r w:rsidR="00F809C3" w:rsidRPr="007F0E13">
        <w:rPr>
          <w:rFonts w:asciiTheme="majorHAnsi" w:hAnsiTheme="majorHAnsi"/>
          <w:sz w:val="24"/>
          <w:szCs w:val="24"/>
        </w:rPr>
        <w:t>BioSense</w:t>
      </w:r>
      <w:proofErr w:type="spellEnd"/>
      <w:r w:rsidR="00F809C3" w:rsidRPr="007F0E13">
        <w:rPr>
          <w:rFonts w:asciiTheme="majorHAnsi" w:hAnsiTheme="majorHAnsi"/>
          <w:sz w:val="24"/>
          <w:szCs w:val="24"/>
        </w:rPr>
        <w:t xml:space="preserve"> 2.0</w:t>
      </w:r>
      <w:r w:rsidR="00AB41B5" w:rsidRPr="007F0E13">
        <w:rPr>
          <w:rFonts w:asciiTheme="majorHAnsi" w:hAnsiTheme="majorHAnsi"/>
          <w:sz w:val="24"/>
          <w:szCs w:val="24"/>
        </w:rPr>
        <w:t>.  The system</w:t>
      </w:r>
      <w:r w:rsidR="00E0736F" w:rsidRPr="007F0E13">
        <w:rPr>
          <w:rFonts w:asciiTheme="majorHAnsi" w:hAnsiTheme="majorHAnsi"/>
          <w:sz w:val="24"/>
          <w:szCs w:val="24"/>
        </w:rPr>
        <w:t xml:space="preserve"> </w:t>
      </w:r>
      <w:r w:rsidR="00AB41B5" w:rsidRPr="007F0E13">
        <w:rPr>
          <w:rFonts w:asciiTheme="majorHAnsi" w:hAnsiTheme="majorHAnsi"/>
          <w:sz w:val="24"/>
          <w:szCs w:val="24"/>
        </w:rPr>
        <w:t xml:space="preserve">has been redesigned by CDC to meet </w:t>
      </w:r>
      <w:r w:rsidR="00C01257" w:rsidRPr="007F0E13">
        <w:rPr>
          <w:rFonts w:asciiTheme="majorHAnsi" w:hAnsiTheme="majorHAnsi"/>
          <w:sz w:val="24"/>
          <w:szCs w:val="24"/>
        </w:rPr>
        <w:t xml:space="preserve">the needs expressed by STLT health departments that </w:t>
      </w:r>
      <w:proofErr w:type="spellStart"/>
      <w:r w:rsidR="00C01257" w:rsidRPr="007F0E13">
        <w:rPr>
          <w:rFonts w:asciiTheme="majorHAnsi" w:hAnsiTheme="majorHAnsi"/>
          <w:sz w:val="24"/>
          <w:szCs w:val="24"/>
        </w:rPr>
        <w:t>BioSense</w:t>
      </w:r>
      <w:proofErr w:type="spellEnd"/>
      <w:r w:rsidR="00C01257" w:rsidRPr="007F0E13">
        <w:rPr>
          <w:rFonts w:asciiTheme="majorHAnsi" w:hAnsiTheme="majorHAnsi"/>
          <w:sz w:val="24"/>
          <w:szCs w:val="24"/>
        </w:rPr>
        <w:t xml:space="preserve"> 1.0 could not meet </w:t>
      </w:r>
      <w:r w:rsidR="00AB41B5" w:rsidRPr="007F0E13">
        <w:rPr>
          <w:rFonts w:asciiTheme="majorHAnsi" w:hAnsiTheme="majorHAnsi"/>
          <w:sz w:val="24"/>
          <w:szCs w:val="24"/>
        </w:rPr>
        <w:t xml:space="preserve"> and</w:t>
      </w:r>
      <w:r w:rsidR="00E0736F" w:rsidRPr="007F0E13">
        <w:rPr>
          <w:rFonts w:asciiTheme="majorHAnsi" w:hAnsiTheme="majorHAnsi"/>
          <w:sz w:val="24"/>
          <w:szCs w:val="24"/>
        </w:rPr>
        <w:t xml:space="preserve"> </w:t>
      </w:r>
      <w:r w:rsidR="001B7297" w:rsidRPr="007F0E13">
        <w:rPr>
          <w:rFonts w:asciiTheme="majorHAnsi" w:hAnsiTheme="majorHAnsi"/>
          <w:sz w:val="24"/>
          <w:szCs w:val="24"/>
        </w:rPr>
        <w:t>uses</w:t>
      </w:r>
      <w:r w:rsidR="00AB41B5" w:rsidRPr="007F0E13">
        <w:rPr>
          <w:rFonts w:asciiTheme="majorHAnsi" w:hAnsiTheme="majorHAnsi"/>
          <w:sz w:val="24"/>
          <w:szCs w:val="24"/>
        </w:rPr>
        <w:t xml:space="preserve"> cloud </w:t>
      </w:r>
      <w:r w:rsidR="0039329C" w:rsidRPr="007F0E13">
        <w:rPr>
          <w:rFonts w:asciiTheme="majorHAnsi" w:hAnsiTheme="majorHAnsi"/>
          <w:sz w:val="24"/>
          <w:szCs w:val="24"/>
        </w:rPr>
        <w:t xml:space="preserve">computing </w:t>
      </w:r>
      <w:r w:rsidR="00AB41B5" w:rsidRPr="007F0E13">
        <w:rPr>
          <w:rFonts w:asciiTheme="majorHAnsi" w:hAnsiTheme="majorHAnsi"/>
          <w:sz w:val="24"/>
          <w:szCs w:val="24"/>
        </w:rPr>
        <w:t>technology</w:t>
      </w:r>
      <w:r w:rsidRPr="007F0E13">
        <w:rPr>
          <w:rFonts w:asciiTheme="majorHAnsi" w:hAnsiTheme="majorHAnsi"/>
          <w:sz w:val="24"/>
          <w:szCs w:val="24"/>
        </w:rPr>
        <w:t xml:space="preserve"> in accordance with the White House </w:t>
      </w:r>
      <w:r w:rsidR="000663A0" w:rsidRPr="007F0E13">
        <w:rPr>
          <w:rFonts w:asciiTheme="majorHAnsi" w:hAnsiTheme="majorHAnsi"/>
          <w:sz w:val="24"/>
          <w:szCs w:val="24"/>
        </w:rPr>
        <w:t xml:space="preserve">Federal Cloud Computing Strategy </w:t>
      </w:r>
      <w:r w:rsidRPr="007F0E13">
        <w:rPr>
          <w:rFonts w:asciiTheme="majorHAnsi" w:hAnsiTheme="majorHAnsi"/>
          <w:b/>
          <w:sz w:val="24"/>
          <w:szCs w:val="24"/>
        </w:rPr>
        <w:t>(</w:t>
      </w:r>
      <w:r w:rsidR="000663A0" w:rsidRPr="007F0E13">
        <w:rPr>
          <w:rFonts w:asciiTheme="majorHAnsi" w:hAnsiTheme="majorHAnsi"/>
          <w:b/>
          <w:sz w:val="24"/>
          <w:szCs w:val="24"/>
        </w:rPr>
        <w:t xml:space="preserve">Attachment </w:t>
      </w:r>
      <w:r w:rsidR="004B0886" w:rsidRPr="007F0E13">
        <w:rPr>
          <w:rFonts w:asciiTheme="majorHAnsi" w:hAnsiTheme="majorHAnsi"/>
          <w:b/>
          <w:sz w:val="24"/>
          <w:szCs w:val="24"/>
        </w:rPr>
        <w:t>D</w:t>
      </w:r>
      <w:r w:rsidR="006674B0" w:rsidRPr="007F0E13">
        <w:rPr>
          <w:rFonts w:asciiTheme="majorHAnsi" w:hAnsiTheme="majorHAnsi"/>
          <w:b/>
          <w:sz w:val="24"/>
          <w:szCs w:val="24"/>
        </w:rPr>
        <w:t>)</w:t>
      </w:r>
      <w:r w:rsidR="00AB41B5" w:rsidRPr="007F0E13">
        <w:rPr>
          <w:rFonts w:asciiTheme="majorHAnsi" w:hAnsiTheme="majorHAnsi"/>
          <w:sz w:val="24"/>
          <w:szCs w:val="24"/>
        </w:rPr>
        <w:t>.</w:t>
      </w:r>
    </w:p>
    <w:p w:rsidR="00B82275" w:rsidRPr="007F0E13" w:rsidRDefault="00B82275" w:rsidP="007F0E13">
      <w:pPr>
        <w:pStyle w:val="Header"/>
        <w:tabs>
          <w:tab w:val="clear" w:pos="4680"/>
        </w:tabs>
        <w:spacing w:line="276" w:lineRule="auto"/>
        <w:ind w:left="270"/>
        <w:rPr>
          <w:rFonts w:asciiTheme="majorHAnsi" w:hAnsiTheme="majorHAnsi"/>
          <w:sz w:val="24"/>
          <w:szCs w:val="24"/>
        </w:rPr>
      </w:pPr>
    </w:p>
    <w:p w:rsidR="00F809C3" w:rsidRPr="007F0E13" w:rsidRDefault="00F809C3" w:rsidP="007F0E13">
      <w:pPr>
        <w:pStyle w:val="Header"/>
        <w:tabs>
          <w:tab w:val="clear" w:pos="4680"/>
        </w:tabs>
        <w:spacing w:line="276" w:lineRule="auto"/>
        <w:ind w:left="270"/>
        <w:rPr>
          <w:rFonts w:asciiTheme="majorHAnsi" w:hAnsiTheme="majorHAnsi"/>
          <w:sz w:val="24"/>
          <w:szCs w:val="24"/>
        </w:rPr>
      </w:pPr>
      <w:r w:rsidRPr="007F0E13">
        <w:rPr>
          <w:rFonts w:asciiTheme="majorHAnsi" w:hAnsiTheme="majorHAnsi"/>
          <w:sz w:val="24"/>
          <w:szCs w:val="24"/>
        </w:rPr>
        <w:t xml:space="preserve">Initially intended to serve as a tool for early detection and rapid assessment of potential bioterrorism-related illness, the </w:t>
      </w:r>
      <w:proofErr w:type="spellStart"/>
      <w:r w:rsidRPr="007F0E13">
        <w:rPr>
          <w:rFonts w:asciiTheme="majorHAnsi" w:hAnsiTheme="majorHAnsi"/>
          <w:sz w:val="24"/>
          <w:szCs w:val="24"/>
        </w:rPr>
        <w:t>BioSense</w:t>
      </w:r>
      <w:proofErr w:type="spellEnd"/>
      <w:r w:rsidRPr="007F0E13">
        <w:rPr>
          <w:rFonts w:asciiTheme="majorHAnsi" w:hAnsiTheme="majorHAnsi"/>
          <w:sz w:val="24"/>
          <w:szCs w:val="24"/>
        </w:rPr>
        <w:t xml:space="preserve"> Program has since expanded its role to detecting changes over time in predefined syndromes and sub-syndromes of public health importance (ex., injury, chronic disease, and influenza) and providing timely, all-hazard, national public health situational awareness throughout the course of public health emergencies (ex., 2009 H1N1).</w:t>
      </w:r>
    </w:p>
    <w:p w:rsidR="00BE5615" w:rsidRPr="007F0E13" w:rsidRDefault="00BE5615" w:rsidP="007F0E13">
      <w:pPr>
        <w:pStyle w:val="Header"/>
        <w:ind w:left="270"/>
        <w:rPr>
          <w:rFonts w:asciiTheme="majorHAnsi" w:hAnsiTheme="majorHAnsi"/>
          <w:sz w:val="24"/>
          <w:szCs w:val="24"/>
        </w:rPr>
      </w:pPr>
    </w:p>
    <w:p w:rsidR="006118E3" w:rsidRPr="007F0E13" w:rsidRDefault="00BE5615" w:rsidP="007F0E13">
      <w:pPr>
        <w:pStyle w:val="Header"/>
        <w:tabs>
          <w:tab w:val="clear" w:pos="4680"/>
        </w:tabs>
        <w:spacing w:line="276" w:lineRule="auto"/>
        <w:ind w:left="270"/>
        <w:rPr>
          <w:rFonts w:asciiTheme="majorHAnsi" w:hAnsiTheme="majorHAnsi"/>
          <w:sz w:val="24"/>
          <w:szCs w:val="24"/>
        </w:rPr>
      </w:pPr>
      <w:proofErr w:type="spellStart"/>
      <w:r w:rsidRPr="007F0E13">
        <w:rPr>
          <w:rFonts w:asciiTheme="majorHAnsi" w:hAnsiTheme="majorHAnsi"/>
          <w:sz w:val="24"/>
          <w:szCs w:val="24"/>
        </w:rPr>
        <w:t>BioSense</w:t>
      </w:r>
      <w:proofErr w:type="spellEnd"/>
      <w:r w:rsidRPr="007F0E13">
        <w:rPr>
          <w:rFonts w:asciiTheme="majorHAnsi" w:hAnsiTheme="majorHAnsi"/>
          <w:sz w:val="24"/>
          <w:szCs w:val="24"/>
        </w:rPr>
        <w:t xml:space="preserve"> 2.0 was launched in 2012</w:t>
      </w:r>
      <w:r w:rsidR="00B82275" w:rsidRPr="007F0E13">
        <w:rPr>
          <w:rFonts w:asciiTheme="majorHAnsi" w:hAnsiTheme="majorHAnsi"/>
          <w:sz w:val="24"/>
          <w:szCs w:val="24"/>
        </w:rPr>
        <w:t>,</w:t>
      </w:r>
      <w:r w:rsidR="00DD0CDB" w:rsidRPr="007F0E13">
        <w:rPr>
          <w:rFonts w:asciiTheme="majorHAnsi" w:hAnsiTheme="majorHAnsi"/>
          <w:sz w:val="24"/>
          <w:szCs w:val="24"/>
        </w:rPr>
        <w:t xml:space="preserve"> and subsequently, the program’s priority was to </w:t>
      </w:r>
      <w:r w:rsidRPr="007F0E13">
        <w:rPr>
          <w:rFonts w:asciiTheme="majorHAnsi" w:hAnsiTheme="majorHAnsi"/>
          <w:sz w:val="24"/>
          <w:szCs w:val="24"/>
        </w:rPr>
        <w:t>increas</w:t>
      </w:r>
      <w:r w:rsidR="00DD0CDB" w:rsidRPr="007F0E13">
        <w:rPr>
          <w:rFonts w:asciiTheme="majorHAnsi" w:hAnsiTheme="majorHAnsi"/>
          <w:sz w:val="24"/>
          <w:szCs w:val="24"/>
        </w:rPr>
        <w:t>e</w:t>
      </w:r>
      <w:r w:rsidRPr="007F0E13">
        <w:rPr>
          <w:rFonts w:asciiTheme="majorHAnsi" w:hAnsiTheme="majorHAnsi"/>
          <w:sz w:val="24"/>
          <w:szCs w:val="24"/>
        </w:rPr>
        <w:t xml:space="preserve"> </w:t>
      </w:r>
      <w:r w:rsidR="00BE397F" w:rsidRPr="007F0E13">
        <w:rPr>
          <w:rFonts w:asciiTheme="majorHAnsi" w:hAnsiTheme="majorHAnsi"/>
          <w:sz w:val="24"/>
          <w:szCs w:val="24"/>
        </w:rPr>
        <w:t>STLT health departments’</w:t>
      </w:r>
      <w:r w:rsidRPr="007F0E13">
        <w:rPr>
          <w:rFonts w:asciiTheme="majorHAnsi" w:hAnsiTheme="majorHAnsi"/>
          <w:sz w:val="24"/>
          <w:szCs w:val="24"/>
        </w:rPr>
        <w:t xml:space="preserve"> participation in the new system. </w:t>
      </w:r>
      <w:r w:rsidR="0074435B" w:rsidRPr="007F0E13">
        <w:rPr>
          <w:rFonts w:asciiTheme="majorHAnsi" w:hAnsiTheme="majorHAnsi"/>
          <w:sz w:val="24"/>
          <w:szCs w:val="24"/>
        </w:rPr>
        <w:t xml:space="preserve"> </w:t>
      </w:r>
      <w:r w:rsidR="000663A0" w:rsidRPr="007F0E13">
        <w:rPr>
          <w:rFonts w:asciiTheme="majorHAnsi" w:hAnsiTheme="majorHAnsi"/>
          <w:sz w:val="24"/>
          <w:szCs w:val="24"/>
        </w:rPr>
        <w:t>Use of the cloud allows emergency department data from participating health departments to be sent in varying formats, providing more flexibility in how the data is transmitted</w:t>
      </w:r>
      <w:r w:rsidR="0074435B" w:rsidRPr="007F0E13">
        <w:rPr>
          <w:rFonts w:asciiTheme="majorHAnsi" w:hAnsiTheme="majorHAnsi"/>
          <w:sz w:val="24"/>
          <w:szCs w:val="24"/>
        </w:rPr>
        <w:t xml:space="preserve">.  </w:t>
      </w:r>
      <w:r w:rsidRPr="007F0E13">
        <w:rPr>
          <w:rFonts w:asciiTheme="majorHAnsi" w:hAnsiTheme="majorHAnsi"/>
          <w:sz w:val="24"/>
          <w:szCs w:val="24"/>
        </w:rPr>
        <w:t xml:space="preserve">As recently as 2011, only eight jurisdictions had “joined” </w:t>
      </w:r>
      <w:proofErr w:type="spellStart"/>
      <w:r w:rsidRPr="007F0E13">
        <w:rPr>
          <w:rFonts w:asciiTheme="majorHAnsi" w:hAnsiTheme="majorHAnsi"/>
          <w:sz w:val="24"/>
          <w:szCs w:val="24"/>
        </w:rPr>
        <w:t>BioSense</w:t>
      </w:r>
      <w:proofErr w:type="spellEnd"/>
      <w:r w:rsidR="0039329C" w:rsidRPr="007F0E13">
        <w:rPr>
          <w:rFonts w:asciiTheme="majorHAnsi" w:hAnsiTheme="majorHAnsi"/>
          <w:sz w:val="24"/>
          <w:szCs w:val="24"/>
        </w:rPr>
        <w:t xml:space="preserve"> </w:t>
      </w:r>
      <w:r w:rsidR="001D3226" w:rsidRPr="007F0E13">
        <w:rPr>
          <w:rFonts w:asciiTheme="majorHAnsi" w:hAnsiTheme="majorHAnsi"/>
          <w:sz w:val="24"/>
          <w:szCs w:val="24"/>
        </w:rPr>
        <w:t xml:space="preserve">2.0 </w:t>
      </w:r>
      <w:r w:rsidR="0039329C" w:rsidRPr="007F0E13">
        <w:rPr>
          <w:rFonts w:asciiTheme="majorHAnsi" w:hAnsiTheme="majorHAnsi"/>
          <w:sz w:val="24"/>
          <w:szCs w:val="24"/>
        </w:rPr>
        <w:t>(</w:t>
      </w:r>
      <w:r w:rsidR="004B09FF" w:rsidRPr="007F0E13">
        <w:rPr>
          <w:rFonts w:asciiTheme="majorHAnsi" w:hAnsiTheme="majorHAnsi"/>
          <w:sz w:val="24"/>
          <w:szCs w:val="24"/>
        </w:rPr>
        <w:t>i.</w:t>
      </w:r>
      <w:r w:rsidR="0039329C" w:rsidRPr="007F0E13">
        <w:rPr>
          <w:rFonts w:asciiTheme="majorHAnsi" w:hAnsiTheme="majorHAnsi"/>
          <w:sz w:val="24"/>
          <w:szCs w:val="24"/>
        </w:rPr>
        <w:t xml:space="preserve">e., agreeing </w:t>
      </w:r>
      <w:r w:rsidRPr="007F0E13">
        <w:rPr>
          <w:rFonts w:asciiTheme="majorHAnsi" w:hAnsiTheme="majorHAnsi"/>
          <w:sz w:val="24"/>
          <w:szCs w:val="24"/>
        </w:rPr>
        <w:t xml:space="preserve">to provide </w:t>
      </w:r>
      <w:r w:rsidR="0061482C" w:rsidRPr="007F0E13">
        <w:rPr>
          <w:rFonts w:asciiTheme="majorHAnsi" w:hAnsiTheme="majorHAnsi"/>
          <w:sz w:val="24"/>
          <w:szCs w:val="24"/>
        </w:rPr>
        <w:t>their data feeds to the system</w:t>
      </w:r>
      <w:r w:rsidR="0039329C" w:rsidRPr="007F0E13">
        <w:rPr>
          <w:rFonts w:asciiTheme="majorHAnsi" w:hAnsiTheme="majorHAnsi"/>
          <w:sz w:val="24"/>
          <w:szCs w:val="24"/>
        </w:rPr>
        <w:t>)</w:t>
      </w:r>
      <w:r w:rsidR="0061482C" w:rsidRPr="007F0E13">
        <w:rPr>
          <w:rFonts w:asciiTheme="majorHAnsi" w:hAnsiTheme="majorHAnsi"/>
          <w:sz w:val="24"/>
          <w:szCs w:val="24"/>
        </w:rPr>
        <w:t>.</w:t>
      </w:r>
      <w:r w:rsidR="00E9625A" w:rsidRPr="007F0E13">
        <w:rPr>
          <w:rFonts w:asciiTheme="majorHAnsi" w:hAnsiTheme="majorHAnsi"/>
          <w:sz w:val="24"/>
          <w:szCs w:val="24"/>
        </w:rPr>
        <w:t xml:space="preserve">  As a result of the redesign</w:t>
      </w:r>
      <w:r w:rsidR="0061482C" w:rsidRPr="007F0E13">
        <w:rPr>
          <w:rFonts w:asciiTheme="majorHAnsi" w:hAnsiTheme="majorHAnsi"/>
          <w:sz w:val="24"/>
          <w:szCs w:val="24"/>
        </w:rPr>
        <w:t xml:space="preserve">, </w:t>
      </w:r>
      <w:r w:rsidRPr="007F0E13">
        <w:rPr>
          <w:rFonts w:asciiTheme="majorHAnsi" w:hAnsiTheme="majorHAnsi"/>
          <w:sz w:val="24"/>
          <w:szCs w:val="24"/>
        </w:rPr>
        <w:t>4</w:t>
      </w:r>
      <w:r w:rsidR="0061482C" w:rsidRPr="007F0E13">
        <w:rPr>
          <w:rFonts w:asciiTheme="majorHAnsi" w:hAnsiTheme="majorHAnsi"/>
          <w:sz w:val="24"/>
          <w:szCs w:val="24"/>
        </w:rPr>
        <w:t>9</w:t>
      </w:r>
      <w:r w:rsidRPr="007F0E13">
        <w:rPr>
          <w:rFonts w:asciiTheme="majorHAnsi" w:hAnsiTheme="majorHAnsi"/>
          <w:sz w:val="24"/>
          <w:szCs w:val="24"/>
        </w:rPr>
        <w:t xml:space="preserve"> </w:t>
      </w:r>
      <w:r w:rsidR="00BE397F" w:rsidRPr="007F0E13">
        <w:rPr>
          <w:rFonts w:asciiTheme="majorHAnsi" w:hAnsiTheme="majorHAnsi"/>
          <w:sz w:val="24"/>
          <w:szCs w:val="24"/>
        </w:rPr>
        <w:t>STLT health departments</w:t>
      </w:r>
      <w:r w:rsidR="00BE397F" w:rsidRPr="007F0E13" w:rsidDel="00BE397F">
        <w:rPr>
          <w:rFonts w:asciiTheme="majorHAnsi" w:hAnsiTheme="majorHAnsi"/>
          <w:sz w:val="24"/>
          <w:szCs w:val="24"/>
        </w:rPr>
        <w:t xml:space="preserve"> </w:t>
      </w:r>
      <w:r w:rsidRPr="007F0E13">
        <w:rPr>
          <w:rFonts w:asciiTheme="majorHAnsi" w:hAnsiTheme="majorHAnsi"/>
          <w:sz w:val="24"/>
          <w:szCs w:val="24"/>
        </w:rPr>
        <w:t>have signed a Data Use Agreement (DUA)</w:t>
      </w:r>
      <w:r w:rsidR="0061482C" w:rsidRPr="007F0E13">
        <w:rPr>
          <w:rFonts w:asciiTheme="majorHAnsi" w:hAnsiTheme="majorHAnsi"/>
          <w:sz w:val="24"/>
          <w:szCs w:val="24"/>
        </w:rPr>
        <w:t xml:space="preserve"> as of August 23, 2013</w:t>
      </w:r>
      <w:r w:rsidR="00CE727D" w:rsidRPr="007F0E13">
        <w:rPr>
          <w:rFonts w:asciiTheme="majorHAnsi" w:hAnsiTheme="majorHAnsi"/>
          <w:sz w:val="24"/>
          <w:szCs w:val="24"/>
        </w:rPr>
        <w:t xml:space="preserve"> </w:t>
      </w:r>
      <w:r w:rsidR="00CE727D" w:rsidRPr="007F0E13">
        <w:rPr>
          <w:rFonts w:asciiTheme="majorHAnsi" w:hAnsiTheme="majorHAnsi"/>
          <w:b/>
          <w:sz w:val="24"/>
          <w:szCs w:val="24"/>
        </w:rPr>
        <w:t>(</w:t>
      </w:r>
      <w:r w:rsidR="00BE397F" w:rsidRPr="007F0E13">
        <w:rPr>
          <w:rFonts w:asciiTheme="majorHAnsi" w:hAnsiTheme="majorHAnsi"/>
          <w:b/>
          <w:sz w:val="24"/>
          <w:szCs w:val="24"/>
        </w:rPr>
        <w:t>Attachment</w:t>
      </w:r>
      <w:r w:rsidR="00A86C0C" w:rsidRPr="007F0E13">
        <w:rPr>
          <w:rFonts w:asciiTheme="majorHAnsi" w:hAnsiTheme="majorHAnsi"/>
          <w:b/>
          <w:sz w:val="24"/>
          <w:szCs w:val="24"/>
        </w:rPr>
        <w:t>s</w:t>
      </w:r>
      <w:r w:rsidR="00BE397F" w:rsidRPr="007F0E13">
        <w:rPr>
          <w:rFonts w:asciiTheme="majorHAnsi" w:hAnsiTheme="majorHAnsi"/>
          <w:b/>
          <w:sz w:val="24"/>
          <w:szCs w:val="24"/>
        </w:rPr>
        <w:t xml:space="preserve"> </w:t>
      </w:r>
      <w:r w:rsidR="004613D7" w:rsidRPr="007F0E13">
        <w:rPr>
          <w:rFonts w:asciiTheme="majorHAnsi" w:hAnsiTheme="majorHAnsi"/>
          <w:b/>
          <w:sz w:val="24"/>
          <w:szCs w:val="24"/>
        </w:rPr>
        <w:t>E</w:t>
      </w:r>
      <w:r w:rsidR="00A86C0C" w:rsidRPr="007F0E13">
        <w:rPr>
          <w:rFonts w:asciiTheme="majorHAnsi" w:hAnsiTheme="majorHAnsi"/>
          <w:b/>
          <w:sz w:val="24"/>
          <w:szCs w:val="24"/>
        </w:rPr>
        <w:t xml:space="preserve"> and F</w:t>
      </w:r>
      <w:r w:rsidR="00CE727D" w:rsidRPr="007F0E13">
        <w:rPr>
          <w:rFonts w:asciiTheme="majorHAnsi" w:hAnsiTheme="majorHAnsi"/>
          <w:b/>
          <w:sz w:val="24"/>
          <w:szCs w:val="24"/>
        </w:rPr>
        <w:t>)</w:t>
      </w:r>
      <w:r w:rsidR="0061482C" w:rsidRPr="007F0E13">
        <w:rPr>
          <w:rFonts w:asciiTheme="majorHAnsi" w:hAnsiTheme="majorHAnsi"/>
          <w:sz w:val="24"/>
          <w:szCs w:val="24"/>
        </w:rPr>
        <w:t>.</w:t>
      </w:r>
      <w:r w:rsidR="004D3F00" w:rsidRPr="007F0E13">
        <w:rPr>
          <w:rFonts w:asciiTheme="majorHAnsi" w:hAnsiTheme="majorHAnsi"/>
          <w:sz w:val="24"/>
          <w:szCs w:val="24"/>
        </w:rPr>
        <w:t xml:space="preserve">  At present, the </w:t>
      </w:r>
      <w:proofErr w:type="spellStart"/>
      <w:r w:rsidR="004D3F00" w:rsidRPr="007F0E13">
        <w:rPr>
          <w:rFonts w:asciiTheme="majorHAnsi" w:hAnsiTheme="majorHAnsi"/>
          <w:sz w:val="24"/>
          <w:szCs w:val="24"/>
        </w:rPr>
        <w:t>BioSense</w:t>
      </w:r>
      <w:proofErr w:type="spellEnd"/>
      <w:r w:rsidR="004D3F00" w:rsidRPr="007F0E13">
        <w:rPr>
          <w:rFonts w:asciiTheme="majorHAnsi" w:hAnsiTheme="majorHAnsi"/>
          <w:sz w:val="24"/>
          <w:szCs w:val="24"/>
        </w:rPr>
        <w:t xml:space="preserve"> program’s primary focus is enabling </w:t>
      </w:r>
      <w:r w:rsidR="00937E7F" w:rsidRPr="007F0E13">
        <w:rPr>
          <w:rFonts w:asciiTheme="majorHAnsi" w:hAnsiTheme="majorHAnsi"/>
          <w:sz w:val="24"/>
          <w:szCs w:val="24"/>
        </w:rPr>
        <w:t xml:space="preserve">the </w:t>
      </w:r>
      <w:r w:rsidR="00DD1303" w:rsidRPr="007F0E13">
        <w:rPr>
          <w:rFonts w:asciiTheme="majorHAnsi" w:hAnsiTheme="majorHAnsi"/>
          <w:sz w:val="24"/>
          <w:szCs w:val="24"/>
        </w:rPr>
        <w:t>STLT</w:t>
      </w:r>
      <w:r w:rsidR="00E9625A" w:rsidRPr="007F0E13">
        <w:rPr>
          <w:rFonts w:asciiTheme="majorHAnsi" w:hAnsiTheme="majorHAnsi"/>
          <w:sz w:val="24"/>
          <w:szCs w:val="24"/>
        </w:rPr>
        <w:t xml:space="preserve"> health departments with a</w:t>
      </w:r>
      <w:r w:rsidR="006669CA" w:rsidRPr="007F0E13">
        <w:rPr>
          <w:rFonts w:asciiTheme="majorHAnsi" w:hAnsiTheme="majorHAnsi"/>
          <w:sz w:val="24"/>
          <w:szCs w:val="24"/>
        </w:rPr>
        <w:t xml:space="preserve"> </w:t>
      </w:r>
      <w:r w:rsidR="00E9625A" w:rsidRPr="007F0E13">
        <w:rPr>
          <w:rFonts w:asciiTheme="majorHAnsi" w:hAnsiTheme="majorHAnsi"/>
          <w:sz w:val="24"/>
          <w:szCs w:val="24"/>
        </w:rPr>
        <w:t xml:space="preserve"> </w:t>
      </w:r>
      <w:r w:rsidR="000B7A07" w:rsidRPr="007F0E13">
        <w:rPr>
          <w:rFonts w:asciiTheme="majorHAnsi" w:hAnsiTheme="majorHAnsi"/>
          <w:sz w:val="24"/>
          <w:szCs w:val="24"/>
        </w:rPr>
        <w:t>Data Use Agreement (</w:t>
      </w:r>
      <w:r w:rsidR="00E9625A" w:rsidRPr="007F0E13">
        <w:rPr>
          <w:rFonts w:asciiTheme="majorHAnsi" w:hAnsiTheme="majorHAnsi"/>
          <w:sz w:val="24"/>
          <w:szCs w:val="24"/>
        </w:rPr>
        <w:t>DUA</w:t>
      </w:r>
      <w:r w:rsidR="000B7A07" w:rsidRPr="007F0E13">
        <w:rPr>
          <w:rFonts w:asciiTheme="majorHAnsi" w:hAnsiTheme="majorHAnsi"/>
          <w:sz w:val="24"/>
          <w:szCs w:val="24"/>
        </w:rPr>
        <w:t>)</w:t>
      </w:r>
      <w:r w:rsidR="00E9625A" w:rsidRPr="007F0E13">
        <w:rPr>
          <w:rFonts w:asciiTheme="majorHAnsi" w:hAnsiTheme="majorHAnsi"/>
          <w:sz w:val="24"/>
          <w:szCs w:val="24"/>
        </w:rPr>
        <w:t xml:space="preserve"> </w:t>
      </w:r>
      <w:r w:rsidR="005C0868" w:rsidRPr="007F0E13">
        <w:rPr>
          <w:rFonts w:asciiTheme="majorHAnsi" w:hAnsiTheme="majorHAnsi"/>
          <w:sz w:val="24"/>
          <w:szCs w:val="24"/>
        </w:rPr>
        <w:t xml:space="preserve">to transmit their </w:t>
      </w:r>
      <w:r w:rsidR="00E9625A" w:rsidRPr="007F0E13">
        <w:rPr>
          <w:rFonts w:asciiTheme="majorHAnsi" w:hAnsiTheme="majorHAnsi"/>
          <w:sz w:val="24"/>
          <w:szCs w:val="24"/>
        </w:rPr>
        <w:t xml:space="preserve">emergency department </w:t>
      </w:r>
      <w:r w:rsidR="001B7297" w:rsidRPr="007F0E13">
        <w:rPr>
          <w:rFonts w:asciiTheme="majorHAnsi" w:hAnsiTheme="majorHAnsi"/>
          <w:sz w:val="24"/>
          <w:szCs w:val="24"/>
        </w:rPr>
        <w:t xml:space="preserve">data </w:t>
      </w:r>
      <w:r w:rsidR="00E9625A" w:rsidRPr="007F0E13">
        <w:rPr>
          <w:rFonts w:asciiTheme="majorHAnsi" w:hAnsiTheme="majorHAnsi"/>
          <w:sz w:val="24"/>
          <w:szCs w:val="24"/>
        </w:rPr>
        <w:t>in</w:t>
      </w:r>
      <w:r w:rsidR="001B7297" w:rsidRPr="007F0E13">
        <w:rPr>
          <w:rFonts w:asciiTheme="majorHAnsi" w:hAnsiTheme="majorHAnsi"/>
          <w:sz w:val="24"/>
          <w:szCs w:val="24"/>
        </w:rPr>
        <w:t>to the new system.</w:t>
      </w:r>
    </w:p>
    <w:p w:rsidR="0074435B" w:rsidRPr="007F0E13" w:rsidRDefault="0074435B" w:rsidP="007F0E13">
      <w:pPr>
        <w:pStyle w:val="Header"/>
        <w:tabs>
          <w:tab w:val="clear" w:pos="4680"/>
        </w:tabs>
        <w:spacing w:line="276" w:lineRule="auto"/>
        <w:ind w:left="270"/>
        <w:rPr>
          <w:rFonts w:asciiTheme="majorHAnsi" w:hAnsiTheme="majorHAnsi"/>
          <w:sz w:val="24"/>
          <w:szCs w:val="24"/>
        </w:rPr>
      </w:pPr>
    </w:p>
    <w:p w:rsidR="00A45E80" w:rsidRPr="007F0E13" w:rsidRDefault="00A45E80" w:rsidP="007F0E13">
      <w:pPr>
        <w:pStyle w:val="Header"/>
        <w:spacing w:line="276" w:lineRule="auto"/>
        <w:ind w:left="270"/>
        <w:rPr>
          <w:rFonts w:asciiTheme="majorHAnsi" w:hAnsiTheme="majorHAnsi"/>
          <w:sz w:val="24"/>
          <w:szCs w:val="24"/>
        </w:rPr>
      </w:pPr>
      <w:r w:rsidRPr="007F0E13">
        <w:rPr>
          <w:rFonts w:asciiTheme="majorHAnsi" w:hAnsiTheme="majorHAnsi"/>
          <w:sz w:val="24"/>
          <w:szCs w:val="24"/>
        </w:rPr>
        <w:t xml:space="preserve">This assessment aligns with recommendations from multiple Government Accountability Office (GAO) reports that specify that CDC ensure that the </w:t>
      </w:r>
      <w:proofErr w:type="spellStart"/>
      <w:r w:rsidRPr="007F0E13">
        <w:rPr>
          <w:rFonts w:asciiTheme="majorHAnsi" w:hAnsiTheme="majorHAnsi"/>
          <w:sz w:val="24"/>
          <w:szCs w:val="24"/>
        </w:rPr>
        <w:t>BioSense</w:t>
      </w:r>
      <w:proofErr w:type="spellEnd"/>
      <w:r w:rsidRPr="007F0E13">
        <w:rPr>
          <w:rFonts w:asciiTheme="majorHAnsi" w:hAnsiTheme="majorHAnsi"/>
          <w:sz w:val="24"/>
          <w:szCs w:val="24"/>
        </w:rPr>
        <w:t xml:space="preserve"> 2.0 meets the needs of STLT health agencies </w:t>
      </w:r>
      <w:r w:rsidRPr="007F0E13">
        <w:rPr>
          <w:rFonts w:asciiTheme="majorHAnsi" w:hAnsiTheme="majorHAnsi"/>
          <w:b/>
          <w:sz w:val="24"/>
          <w:szCs w:val="24"/>
        </w:rPr>
        <w:t>(Attachments G and H)</w:t>
      </w:r>
      <w:r w:rsidRPr="007F0E13">
        <w:rPr>
          <w:rFonts w:asciiTheme="majorHAnsi" w:hAnsiTheme="majorHAnsi"/>
          <w:sz w:val="24"/>
          <w:szCs w:val="24"/>
        </w:rPr>
        <w:t>. RTI International, a CDC contractor, will conduct the informatio</w:t>
      </w:r>
      <w:r w:rsidR="00AA0181">
        <w:rPr>
          <w:rFonts w:asciiTheme="majorHAnsi" w:hAnsiTheme="majorHAnsi"/>
          <w:sz w:val="24"/>
          <w:szCs w:val="24"/>
        </w:rPr>
        <w:t xml:space="preserve">n collection which encompasses </w:t>
      </w:r>
      <w:r w:rsidR="00C01257" w:rsidRPr="007F0E13">
        <w:rPr>
          <w:rFonts w:asciiTheme="majorHAnsi" w:hAnsiTheme="majorHAnsi"/>
          <w:sz w:val="24"/>
          <w:szCs w:val="24"/>
        </w:rPr>
        <w:t xml:space="preserve">focus groups </w:t>
      </w:r>
      <w:r w:rsidRPr="007F0E13">
        <w:rPr>
          <w:rFonts w:asciiTheme="majorHAnsi" w:hAnsiTheme="majorHAnsi"/>
          <w:sz w:val="24"/>
          <w:szCs w:val="24"/>
        </w:rPr>
        <w:t>with STLT health officials involved in the onboarding process, including epidemiologists and the information technology staff.</w:t>
      </w:r>
    </w:p>
    <w:p w:rsidR="00A45E80" w:rsidRPr="007F0E13" w:rsidRDefault="00A45E80" w:rsidP="007F0E13">
      <w:pPr>
        <w:pStyle w:val="Header"/>
        <w:tabs>
          <w:tab w:val="clear" w:pos="4680"/>
        </w:tabs>
        <w:spacing w:line="276" w:lineRule="auto"/>
        <w:ind w:left="270"/>
        <w:rPr>
          <w:rFonts w:asciiTheme="majorHAnsi" w:hAnsiTheme="majorHAnsi"/>
          <w:sz w:val="24"/>
          <w:szCs w:val="24"/>
        </w:rPr>
      </w:pPr>
    </w:p>
    <w:p w:rsidR="002D58B4" w:rsidRPr="007F0E13" w:rsidRDefault="002D58B4" w:rsidP="007F0E13">
      <w:pPr>
        <w:pStyle w:val="Header"/>
        <w:tabs>
          <w:tab w:val="clear" w:pos="4680"/>
        </w:tabs>
        <w:spacing w:line="276" w:lineRule="auto"/>
        <w:ind w:left="270"/>
        <w:rPr>
          <w:rFonts w:asciiTheme="majorHAnsi" w:hAnsiTheme="majorHAnsi"/>
          <w:sz w:val="24"/>
          <w:szCs w:val="24"/>
        </w:rPr>
      </w:pPr>
      <w:r w:rsidRPr="007F0E13">
        <w:rPr>
          <w:rFonts w:asciiTheme="majorHAnsi" w:hAnsiTheme="majorHAnsi"/>
          <w:sz w:val="24"/>
          <w:szCs w:val="24"/>
        </w:rPr>
        <w:lastRenderedPageBreak/>
        <w:t xml:space="preserve">The information collection will </w:t>
      </w:r>
      <w:r w:rsidR="002C570E" w:rsidRPr="007F0E13">
        <w:rPr>
          <w:rFonts w:asciiTheme="majorHAnsi" w:hAnsiTheme="majorHAnsi"/>
          <w:sz w:val="24"/>
          <w:szCs w:val="24"/>
        </w:rPr>
        <w:t>allow examination of the</w:t>
      </w:r>
      <w:r w:rsidRPr="007F0E13">
        <w:rPr>
          <w:rFonts w:asciiTheme="majorHAnsi" w:hAnsiTheme="majorHAnsi"/>
          <w:sz w:val="24"/>
          <w:szCs w:val="24"/>
        </w:rPr>
        <w:t xml:space="preserve"> </w:t>
      </w:r>
      <w:r w:rsidR="00A01992" w:rsidRPr="007F0E13">
        <w:rPr>
          <w:rFonts w:asciiTheme="majorHAnsi" w:hAnsiTheme="majorHAnsi"/>
          <w:sz w:val="24"/>
          <w:szCs w:val="24"/>
        </w:rPr>
        <w:t xml:space="preserve">“onboarding” </w:t>
      </w:r>
      <w:r w:rsidRPr="007F0E13">
        <w:rPr>
          <w:rFonts w:asciiTheme="majorHAnsi" w:hAnsiTheme="majorHAnsi"/>
          <w:sz w:val="24"/>
          <w:szCs w:val="24"/>
        </w:rPr>
        <w:t>process</w:t>
      </w:r>
      <w:r w:rsidR="00AA0181">
        <w:rPr>
          <w:rFonts w:asciiTheme="majorHAnsi" w:hAnsiTheme="majorHAnsi"/>
          <w:sz w:val="24"/>
          <w:szCs w:val="24"/>
        </w:rPr>
        <w:t xml:space="preserve">, </w:t>
      </w:r>
      <w:r w:rsidR="00C179EA" w:rsidRPr="007F0E13">
        <w:rPr>
          <w:rFonts w:asciiTheme="majorHAnsi" w:hAnsiTheme="majorHAnsi"/>
          <w:sz w:val="24"/>
          <w:szCs w:val="24"/>
        </w:rPr>
        <w:t>defined as</w:t>
      </w:r>
      <w:r w:rsidR="00A01992" w:rsidRPr="007F0E13">
        <w:rPr>
          <w:rFonts w:asciiTheme="majorHAnsi" w:hAnsiTheme="majorHAnsi"/>
          <w:sz w:val="24"/>
          <w:szCs w:val="24"/>
        </w:rPr>
        <w:t xml:space="preserve"> the technical process</w:t>
      </w:r>
      <w:r w:rsidRPr="007F0E13">
        <w:rPr>
          <w:rFonts w:asciiTheme="majorHAnsi" w:hAnsiTheme="majorHAnsi"/>
          <w:sz w:val="24"/>
          <w:szCs w:val="24"/>
        </w:rPr>
        <w:t xml:space="preserve"> </w:t>
      </w:r>
      <w:r w:rsidR="00A01992" w:rsidRPr="007F0E13">
        <w:rPr>
          <w:rFonts w:asciiTheme="majorHAnsi" w:hAnsiTheme="majorHAnsi"/>
          <w:sz w:val="24"/>
          <w:szCs w:val="24"/>
        </w:rPr>
        <w:t xml:space="preserve">that enables </w:t>
      </w:r>
      <w:r w:rsidR="004D3F00" w:rsidRPr="007F0E13">
        <w:rPr>
          <w:rFonts w:asciiTheme="majorHAnsi" w:hAnsiTheme="majorHAnsi"/>
          <w:sz w:val="24"/>
          <w:szCs w:val="24"/>
        </w:rPr>
        <w:t xml:space="preserve">data </w:t>
      </w:r>
      <w:r w:rsidR="00A01992" w:rsidRPr="007F0E13">
        <w:rPr>
          <w:rFonts w:asciiTheme="majorHAnsi" w:hAnsiTheme="majorHAnsi"/>
          <w:sz w:val="24"/>
          <w:szCs w:val="24"/>
        </w:rPr>
        <w:t xml:space="preserve">transmission </w:t>
      </w:r>
      <w:r w:rsidR="00033A1C" w:rsidRPr="007F0E13">
        <w:rPr>
          <w:rFonts w:asciiTheme="majorHAnsi" w:hAnsiTheme="majorHAnsi"/>
          <w:sz w:val="24"/>
          <w:szCs w:val="24"/>
        </w:rPr>
        <w:t>from a given</w:t>
      </w:r>
      <w:r w:rsidR="005C0685" w:rsidRPr="007F0E13">
        <w:rPr>
          <w:rFonts w:asciiTheme="majorHAnsi" w:hAnsiTheme="majorHAnsi"/>
          <w:sz w:val="24"/>
          <w:szCs w:val="24"/>
        </w:rPr>
        <w:t xml:space="preserve"> STLT</w:t>
      </w:r>
      <w:r w:rsidR="00033A1C" w:rsidRPr="007F0E13">
        <w:rPr>
          <w:rFonts w:asciiTheme="majorHAnsi" w:hAnsiTheme="majorHAnsi"/>
          <w:sz w:val="24"/>
          <w:szCs w:val="24"/>
        </w:rPr>
        <w:t xml:space="preserve"> jurisdiction into </w:t>
      </w:r>
      <w:proofErr w:type="spellStart"/>
      <w:r w:rsidR="00033A1C" w:rsidRPr="007F0E13">
        <w:rPr>
          <w:rFonts w:asciiTheme="majorHAnsi" w:hAnsiTheme="majorHAnsi"/>
          <w:sz w:val="24"/>
          <w:szCs w:val="24"/>
        </w:rPr>
        <w:t>BioSense</w:t>
      </w:r>
      <w:proofErr w:type="spellEnd"/>
      <w:r w:rsidR="00033A1C" w:rsidRPr="007F0E13">
        <w:rPr>
          <w:rFonts w:asciiTheme="majorHAnsi" w:hAnsiTheme="majorHAnsi"/>
          <w:sz w:val="24"/>
          <w:szCs w:val="24"/>
        </w:rPr>
        <w:t xml:space="preserve"> 2.0</w:t>
      </w:r>
      <w:r w:rsidR="00A01992" w:rsidRPr="007F0E13">
        <w:rPr>
          <w:rFonts w:asciiTheme="majorHAnsi" w:hAnsiTheme="majorHAnsi"/>
          <w:sz w:val="24"/>
          <w:szCs w:val="24"/>
        </w:rPr>
        <w:t>,</w:t>
      </w:r>
      <w:r w:rsidR="00033A1C" w:rsidRPr="007F0E13">
        <w:rPr>
          <w:rFonts w:asciiTheme="majorHAnsi" w:hAnsiTheme="majorHAnsi"/>
          <w:sz w:val="24"/>
          <w:szCs w:val="24"/>
        </w:rPr>
        <w:t xml:space="preserve"> </w:t>
      </w:r>
      <w:r w:rsidRPr="007F0E13">
        <w:rPr>
          <w:rFonts w:asciiTheme="majorHAnsi" w:hAnsiTheme="majorHAnsi"/>
          <w:sz w:val="24"/>
          <w:szCs w:val="24"/>
        </w:rPr>
        <w:t xml:space="preserve">and </w:t>
      </w:r>
      <w:r w:rsidR="004D3F00" w:rsidRPr="007F0E13">
        <w:rPr>
          <w:rFonts w:asciiTheme="majorHAnsi" w:hAnsiTheme="majorHAnsi"/>
          <w:sz w:val="24"/>
          <w:szCs w:val="24"/>
        </w:rPr>
        <w:t xml:space="preserve">the </w:t>
      </w:r>
      <w:r w:rsidRPr="007F0E13">
        <w:rPr>
          <w:rFonts w:asciiTheme="majorHAnsi" w:hAnsiTheme="majorHAnsi"/>
          <w:sz w:val="24"/>
          <w:szCs w:val="24"/>
        </w:rPr>
        <w:t>cost</w:t>
      </w:r>
      <w:r w:rsidR="00033A1C" w:rsidRPr="007F0E13">
        <w:rPr>
          <w:rFonts w:asciiTheme="majorHAnsi" w:hAnsiTheme="majorHAnsi"/>
          <w:sz w:val="24"/>
          <w:szCs w:val="24"/>
        </w:rPr>
        <w:t>s</w:t>
      </w:r>
      <w:r w:rsidR="00834912" w:rsidRPr="007F0E13">
        <w:rPr>
          <w:rFonts w:asciiTheme="majorHAnsi" w:hAnsiTheme="majorHAnsi"/>
          <w:sz w:val="24"/>
          <w:szCs w:val="24"/>
        </w:rPr>
        <w:t xml:space="preserve"> associated with this process</w:t>
      </w:r>
      <w:r w:rsidR="00033A1C" w:rsidRPr="007F0E13">
        <w:rPr>
          <w:rFonts w:asciiTheme="majorHAnsi" w:hAnsiTheme="majorHAnsi"/>
          <w:sz w:val="24"/>
          <w:szCs w:val="24"/>
        </w:rPr>
        <w:t xml:space="preserve">. </w:t>
      </w:r>
      <w:r w:rsidR="0074216C" w:rsidRPr="007F0E13">
        <w:rPr>
          <w:rFonts w:asciiTheme="majorHAnsi" w:hAnsiTheme="majorHAnsi"/>
          <w:sz w:val="24"/>
          <w:szCs w:val="24"/>
        </w:rPr>
        <w:t>In order to begin the onboarding process, STLT jurisdiction</w:t>
      </w:r>
      <w:r w:rsidR="003F6392" w:rsidRPr="007F0E13">
        <w:rPr>
          <w:rFonts w:asciiTheme="majorHAnsi" w:hAnsiTheme="majorHAnsi"/>
          <w:sz w:val="24"/>
          <w:szCs w:val="24"/>
        </w:rPr>
        <w:t xml:space="preserve">s must first sign a DUA to participate in </w:t>
      </w:r>
      <w:proofErr w:type="spellStart"/>
      <w:r w:rsidR="003F6392" w:rsidRPr="007F0E13">
        <w:rPr>
          <w:rFonts w:asciiTheme="majorHAnsi" w:hAnsiTheme="majorHAnsi"/>
          <w:sz w:val="24"/>
          <w:szCs w:val="24"/>
        </w:rPr>
        <w:t>BioSense</w:t>
      </w:r>
      <w:proofErr w:type="spellEnd"/>
      <w:r w:rsidR="003F6392" w:rsidRPr="007F0E13">
        <w:rPr>
          <w:rFonts w:asciiTheme="majorHAnsi" w:hAnsiTheme="majorHAnsi"/>
          <w:sz w:val="24"/>
          <w:szCs w:val="24"/>
        </w:rPr>
        <w:t xml:space="preserve"> 2.0 </w:t>
      </w:r>
      <w:r w:rsidR="003F6392" w:rsidRPr="007F0E13">
        <w:rPr>
          <w:rFonts w:asciiTheme="majorHAnsi" w:hAnsiTheme="majorHAnsi"/>
          <w:b/>
          <w:sz w:val="24"/>
          <w:szCs w:val="24"/>
        </w:rPr>
        <w:t xml:space="preserve">(Attachment </w:t>
      </w:r>
      <w:r w:rsidR="008E4857" w:rsidRPr="007F0E13">
        <w:rPr>
          <w:rFonts w:asciiTheme="majorHAnsi" w:hAnsiTheme="majorHAnsi"/>
          <w:b/>
          <w:sz w:val="24"/>
          <w:szCs w:val="24"/>
        </w:rPr>
        <w:t>F</w:t>
      </w:r>
      <w:r w:rsidR="003F6392" w:rsidRPr="007F0E13">
        <w:rPr>
          <w:rFonts w:asciiTheme="majorHAnsi" w:hAnsiTheme="majorHAnsi"/>
          <w:b/>
          <w:sz w:val="24"/>
          <w:szCs w:val="24"/>
        </w:rPr>
        <w:t>)</w:t>
      </w:r>
      <w:r w:rsidR="003F6392" w:rsidRPr="007F0E13">
        <w:rPr>
          <w:rFonts w:asciiTheme="majorHAnsi" w:hAnsiTheme="majorHAnsi"/>
          <w:sz w:val="24"/>
          <w:szCs w:val="24"/>
        </w:rPr>
        <w:t xml:space="preserve">.  After the DUA has been signed, a contractor working for CDC on </w:t>
      </w:r>
      <w:proofErr w:type="spellStart"/>
      <w:r w:rsidR="003F6392" w:rsidRPr="007F0E13">
        <w:rPr>
          <w:rFonts w:asciiTheme="majorHAnsi" w:hAnsiTheme="majorHAnsi"/>
          <w:sz w:val="24"/>
          <w:szCs w:val="24"/>
        </w:rPr>
        <w:t>BioSense</w:t>
      </w:r>
      <w:proofErr w:type="spellEnd"/>
      <w:r w:rsidR="003F6392" w:rsidRPr="007F0E13">
        <w:rPr>
          <w:rFonts w:asciiTheme="majorHAnsi" w:hAnsiTheme="majorHAnsi"/>
          <w:sz w:val="24"/>
          <w:szCs w:val="24"/>
        </w:rPr>
        <w:t xml:space="preserve"> 2.0 will contact the STLT jurisdiction point of contact designated in their DUA, and explain the variety of technical options available to them for data message type and transmission type.  Once those options are selected, the contractor will perform necessary steps to set up the chosen transmission type, run a test message, and then work out any bugs.  Once all issues are mitigated, the transmission will go into production, and onboarding has been “completed” for that feed.  STLT jurisdictions can have multiple feeds depending on the </w:t>
      </w:r>
      <w:r w:rsidR="00872FC1" w:rsidRPr="007F0E13">
        <w:rPr>
          <w:rFonts w:asciiTheme="majorHAnsi" w:hAnsiTheme="majorHAnsi"/>
          <w:sz w:val="24"/>
          <w:szCs w:val="24"/>
        </w:rPr>
        <w:t>existing technical and business process</w:t>
      </w:r>
      <w:r w:rsidR="003F6392" w:rsidRPr="007F0E13">
        <w:rPr>
          <w:rFonts w:asciiTheme="majorHAnsi" w:hAnsiTheme="majorHAnsi"/>
          <w:sz w:val="24"/>
          <w:szCs w:val="24"/>
        </w:rPr>
        <w:t xml:space="preserve"> infrastructure </w:t>
      </w:r>
      <w:r w:rsidR="00872FC1" w:rsidRPr="007F0E13">
        <w:rPr>
          <w:rFonts w:asciiTheme="majorHAnsi" w:hAnsiTheme="majorHAnsi"/>
          <w:sz w:val="24"/>
          <w:szCs w:val="24"/>
        </w:rPr>
        <w:t>of the health department</w:t>
      </w:r>
      <w:r w:rsidR="003F6392" w:rsidRPr="007F0E13">
        <w:rPr>
          <w:rFonts w:asciiTheme="majorHAnsi" w:hAnsiTheme="majorHAnsi"/>
          <w:sz w:val="24"/>
          <w:szCs w:val="24"/>
        </w:rPr>
        <w:t xml:space="preserve">.  </w:t>
      </w:r>
      <w:proofErr w:type="spellStart"/>
      <w:r w:rsidR="003F6392" w:rsidRPr="007F0E13">
        <w:rPr>
          <w:rFonts w:asciiTheme="majorHAnsi" w:hAnsiTheme="majorHAnsi"/>
          <w:sz w:val="24"/>
          <w:szCs w:val="24"/>
        </w:rPr>
        <w:t>BioSense</w:t>
      </w:r>
      <w:proofErr w:type="spellEnd"/>
      <w:r w:rsidR="003F6392" w:rsidRPr="007F0E13">
        <w:rPr>
          <w:rFonts w:asciiTheme="majorHAnsi" w:hAnsiTheme="majorHAnsi"/>
          <w:sz w:val="24"/>
          <w:szCs w:val="24"/>
        </w:rPr>
        <w:t xml:space="preserve"> 2.0 accepts </w:t>
      </w:r>
      <w:r w:rsidR="00872FC1" w:rsidRPr="007F0E13">
        <w:rPr>
          <w:rFonts w:asciiTheme="majorHAnsi" w:hAnsiTheme="majorHAnsi"/>
          <w:sz w:val="24"/>
          <w:szCs w:val="24"/>
        </w:rPr>
        <w:t>many different</w:t>
      </w:r>
      <w:r w:rsidR="003F6392" w:rsidRPr="007F0E13">
        <w:rPr>
          <w:rFonts w:asciiTheme="majorHAnsi" w:hAnsiTheme="majorHAnsi"/>
          <w:sz w:val="24"/>
          <w:szCs w:val="24"/>
        </w:rPr>
        <w:t xml:space="preserve"> types of infrastructure models, so the system flexes to work with the STLT jurisdiction. </w:t>
      </w:r>
      <w:r w:rsidR="00033A1C" w:rsidRPr="007F0E13">
        <w:rPr>
          <w:rFonts w:asciiTheme="majorHAnsi" w:hAnsiTheme="majorHAnsi"/>
          <w:sz w:val="24"/>
          <w:szCs w:val="24"/>
        </w:rPr>
        <w:t xml:space="preserve"> </w:t>
      </w:r>
      <w:r w:rsidR="0074435B" w:rsidRPr="007F0E13">
        <w:rPr>
          <w:rFonts w:asciiTheme="majorHAnsi" w:hAnsiTheme="majorHAnsi"/>
          <w:sz w:val="24"/>
          <w:szCs w:val="24"/>
        </w:rPr>
        <w:t xml:space="preserve">Diagrams of the </w:t>
      </w:r>
      <w:r w:rsidR="002555E2" w:rsidRPr="007F0E13">
        <w:rPr>
          <w:rFonts w:asciiTheme="majorHAnsi" w:hAnsiTheme="majorHAnsi"/>
          <w:sz w:val="24"/>
          <w:szCs w:val="24"/>
        </w:rPr>
        <w:t xml:space="preserve">data flow for </w:t>
      </w:r>
      <w:r w:rsidR="0074435B" w:rsidRPr="007F0E13">
        <w:rPr>
          <w:rFonts w:asciiTheme="majorHAnsi" w:hAnsiTheme="majorHAnsi"/>
          <w:sz w:val="24"/>
          <w:szCs w:val="24"/>
        </w:rPr>
        <w:t xml:space="preserve">both  versions </w:t>
      </w:r>
      <w:r w:rsidR="002555E2" w:rsidRPr="007F0E13">
        <w:rPr>
          <w:rFonts w:asciiTheme="majorHAnsi" w:hAnsiTheme="majorHAnsi"/>
          <w:sz w:val="24"/>
          <w:szCs w:val="24"/>
        </w:rPr>
        <w:t xml:space="preserve">of </w:t>
      </w:r>
      <w:proofErr w:type="spellStart"/>
      <w:r w:rsidR="002555E2" w:rsidRPr="007F0E13">
        <w:rPr>
          <w:rFonts w:asciiTheme="majorHAnsi" w:hAnsiTheme="majorHAnsi"/>
          <w:sz w:val="24"/>
          <w:szCs w:val="24"/>
        </w:rPr>
        <w:t>BioSense</w:t>
      </w:r>
      <w:proofErr w:type="spellEnd"/>
      <w:r w:rsidR="002555E2" w:rsidRPr="007F0E13">
        <w:rPr>
          <w:rFonts w:asciiTheme="majorHAnsi" w:hAnsiTheme="majorHAnsi"/>
          <w:sz w:val="24"/>
          <w:szCs w:val="24"/>
        </w:rPr>
        <w:t xml:space="preserve"> </w:t>
      </w:r>
      <w:r w:rsidR="0074435B" w:rsidRPr="007F0E13">
        <w:rPr>
          <w:rFonts w:asciiTheme="majorHAnsi" w:hAnsiTheme="majorHAnsi"/>
          <w:sz w:val="24"/>
          <w:szCs w:val="24"/>
        </w:rPr>
        <w:t xml:space="preserve">1.0 and 2.0 are included as </w:t>
      </w:r>
      <w:r w:rsidR="0074435B" w:rsidRPr="007F0E13">
        <w:rPr>
          <w:rFonts w:asciiTheme="majorHAnsi" w:hAnsiTheme="majorHAnsi"/>
          <w:b/>
          <w:sz w:val="24"/>
          <w:szCs w:val="24"/>
        </w:rPr>
        <w:t xml:space="preserve">Attachment </w:t>
      </w:r>
      <w:r w:rsidR="00C94CDC" w:rsidRPr="007F0E13">
        <w:rPr>
          <w:rFonts w:asciiTheme="majorHAnsi" w:hAnsiTheme="majorHAnsi"/>
          <w:b/>
          <w:sz w:val="24"/>
          <w:szCs w:val="24"/>
        </w:rPr>
        <w:t>I</w:t>
      </w:r>
      <w:r w:rsidR="0074435B" w:rsidRPr="007F0E13">
        <w:rPr>
          <w:rFonts w:asciiTheme="majorHAnsi" w:hAnsiTheme="majorHAnsi"/>
          <w:sz w:val="24"/>
          <w:szCs w:val="24"/>
        </w:rPr>
        <w:t xml:space="preserve">.  </w:t>
      </w:r>
      <w:r w:rsidR="00033A1C" w:rsidRPr="007F0E13">
        <w:rPr>
          <w:rFonts w:asciiTheme="majorHAnsi" w:hAnsiTheme="majorHAnsi"/>
          <w:sz w:val="24"/>
          <w:szCs w:val="24"/>
        </w:rPr>
        <w:t xml:space="preserve">The knowledge gained </w:t>
      </w:r>
      <w:r w:rsidR="0039329C" w:rsidRPr="007F0E13">
        <w:rPr>
          <w:rFonts w:asciiTheme="majorHAnsi" w:hAnsiTheme="majorHAnsi"/>
          <w:sz w:val="24"/>
          <w:szCs w:val="24"/>
        </w:rPr>
        <w:t>w</w:t>
      </w:r>
      <w:r w:rsidRPr="007F0E13">
        <w:rPr>
          <w:rFonts w:asciiTheme="majorHAnsi" w:hAnsiTheme="majorHAnsi"/>
          <w:sz w:val="24"/>
          <w:szCs w:val="24"/>
        </w:rPr>
        <w:t xml:space="preserve">ill be used to refine processes for </w:t>
      </w:r>
      <w:r w:rsidR="00A23257" w:rsidRPr="007F0E13">
        <w:rPr>
          <w:rFonts w:asciiTheme="majorHAnsi" w:hAnsiTheme="majorHAnsi"/>
          <w:sz w:val="24"/>
          <w:szCs w:val="24"/>
        </w:rPr>
        <w:t xml:space="preserve">those </w:t>
      </w:r>
      <w:r w:rsidR="00BE397F" w:rsidRPr="007F0E13">
        <w:rPr>
          <w:rFonts w:asciiTheme="majorHAnsi" w:hAnsiTheme="majorHAnsi"/>
          <w:sz w:val="24"/>
          <w:szCs w:val="24"/>
        </w:rPr>
        <w:t>STLT health departments</w:t>
      </w:r>
      <w:r w:rsidR="00BE397F" w:rsidRPr="007F0E13" w:rsidDel="00BE397F">
        <w:rPr>
          <w:rFonts w:asciiTheme="majorHAnsi" w:hAnsiTheme="majorHAnsi"/>
          <w:sz w:val="24"/>
          <w:szCs w:val="24"/>
        </w:rPr>
        <w:t xml:space="preserve"> </w:t>
      </w:r>
      <w:r w:rsidR="00A23257" w:rsidRPr="007F0E13">
        <w:rPr>
          <w:rFonts w:asciiTheme="majorHAnsi" w:hAnsiTheme="majorHAnsi"/>
          <w:sz w:val="24"/>
          <w:szCs w:val="24"/>
        </w:rPr>
        <w:t>that have yet to submit their emergency department data in</w:t>
      </w:r>
      <w:r w:rsidRPr="007F0E13">
        <w:rPr>
          <w:rFonts w:asciiTheme="majorHAnsi" w:hAnsiTheme="majorHAnsi"/>
          <w:sz w:val="24"/>
          <w:szCs w:val="24"/>
        </w:rPr>
        <w:t xml:space="preserve">to </w:t>
      </w:r>
      <w:proofErr w:type="spellStart"/>
      <w:r w:rsidRPr="007F0E13">
        <w:rPr>
          <w:rFonts w:asciiTheme="majorHAnsi" w:hAnsiTheme="majorHAnsi"/>
          <w:sz w:val="24"/>
          <w:szCs w:val="24"/>
        </w:rPr>
        <w:t>BioSense</w:t>
      </w:r>
      <w:proofErr w:type="spellEnd"/>
      <w:r w:rsidRPr="007F0E13">
        <w:rPr>
          <w:rFonts w:asciiTheme="majorHAnsi" w:hAnsiTheme="majorHAnsi"/>
          <w:sz w:val="24"/>
          <w:szCs w:val="24"/>
        </w:rPr>
        <w:t xml:space="preserve"> 2.0. </w:t>
      </w:r>
      <w:r w:rsidR="0046772D" w:rsidRPr="007F0E13">
        <w:rPr>
          <w:rFonts w:asciiTheme="majorHAnsi" w:hAnsiTheme="majorHAnsi"/>
          <w:sz w:val="24"/>
          <w:szCs w:val="24"/>
        </w:rPr>
        <w:t xml:space="preserve">In addition, this information collection will document the actual costs of onboarding and provide insight for where costs may be contained.  The report audience is </w:t>
      </w:r>
      <w:r w:rsidR="00DD1303" w:rsidRPr="007F0E13">
        <w:rPr>
          <w:rFonts w:asciiTheme="majorHAnsi" w:hAnsiTheme="majorHAnsi"/>
          <w:sz w:val="24"/>
          <w:szCs w:val="24"/>
        </w:rPr>
        <w:t>STLT</w:t>
      </w:r>
      <w:r w:rsidR="00975373" w:rsidRPr="007F0E13">
        <w:rPr>
          <w:rFonts w:asciiTheme="majorHAnsi" w:hAnsiTheme="majorHAnsi"/>
          <w:sz w:val="24"/>
          <w:szCs w:val="24"/>
        </w:rPr>
        <w:t xml:space="preserve"> health departments</w:t>
      </w:r>
      <w:r w:rsidR="0046772D" w:rsidRPr="007F0E13">
        <w:rPr>
          <w:rFonts w:asciiTheme="majorHAnsi" w:hAnsiTheme="majorHAnsi"/>
          <w:sz w:val="24"/>
          <w:szCs w:val="24"/>
        </w:rPr>
        <w:t xml:space="preserve">, CDC, the </w:t>
      </w:r>
      <w:proofErr w:type="spellStart"/>
      <w:r w:rsidR="0046772D" w:rsidRPr="007F0E13">
        <w:rPr>
          <w:rFonts w:asciiTheme="majorHAnsi" w:hAnsiTheme="majorHAnsi"/>
          <w:sz w:val="24"/>
          <w:szCs w:val="24"/>
        </w:rPr>
        <w:t>BioSense</w:t>
      </w:r>
      <w:proofErr w:type="spellEnd"/>
      <w:r w:rsidR="0046772D" w:rsidRPr="007F0E13">
        <w:rPr>
          <w:rFonts w:asciiTheme="majorHAnsi" w:hAnsiTheme="majorHAnsi"/>
          <w:sz w:val="24"/>
          <w:szCs w:val="24"/>
        </w:rPr>
        <w:t xml:space="preserve"> Governance Council</w:t>
      </w:r>
      <w:r w:rsidR="0046772D" w:rsidRPr="007F0E13">
        <w:rPr>
          <w:rStyle w:val="EndnoteReference"/>
          <w:rFonts w:asciiTheme="majorHAnsi" w:hAnsiTheme="majorHAnsi"/>
          <w:sz w:val="24"/>
          <w:szCs w:val="24"/>
        </w:rPr>
        <w:endnoteReference w:id="2"/>
      </w:r>
      <w:r w:rsidR="0046772D" w:rsidRPr="007F0E13">
        <w:rPr>
          <w:rFonts w:asciiTheme="majorHAnsi" w:hAnsiTheme="majorHAnsi"/>
          <w:sz w:val="24"/>
          <w:szCs w:val="24"/>
        </w:rPr>
        <w:t xml:space="preserve">, and other federal and regional stakeholders. </w:t>
      </w:r>
      <w:r w:rsidRPr="007F0E13">
        <w:rPr>
          <w:rFonts w:asciiTheme="majorHAnsi" w:hAnsiTheme="majorHAnsi"/>
          <w:sz w:val="24"/>
          <w:szCs w:val="24"/>
        </w:rPr>
        <w:t xml:space="preserve"> </w:t>
      </w:r>
    </w:p>
    <w:p w:rsidR="00D918BE" w:rsidRPr="007F0E13" w:rsidRDefault="00D918BE" w:rsidP="007F0E13">
      <w:pPr>
        <w:pStyle w:val="Header"/>
        <w:tabs>
          <w:tab w:val="clear" w:pos="4680"/>
        </w:tabs>
        <w:spacing w:line="276" w:lineRule="auto"/>
        <w:ind w:left="270"/>
        <w:rPr>
          <w:rFonts w:asciiTheme="majorHAnsi" w:hAnsiTheme="majorHAnsi"/>
          <w:sz w:val="24"/>
          <w:szCs w:val="24"/>
        </w:rPr>
      </w:pPr>
    </w:p>
    <w:p w:rsidR="00890D9D" w:rsidRPr="007F0E13" w:rsidRDefault="00F600BC" w:rsidP="007F0E13">
      <w:pPr>
        <w:pStyle w:val="Header"/>
        <w:tabs>
          <w:tab w:val="clear" w:pos="4680"/>
        </w:tabs>
        <w:spacing w:line="276" w:lineRule="auto"/>
        <w:ind w:left="270"/>
        <w:rPr>
          <w:rFonts w:asciiTheme="majorHAnsi" w:hAnsiTheme="majorHAnsi"/>
          <w:sz w:val="24"/>
          <w:szCs w:val="24"/>
        </w:rPr>
      </w:pPr>
      <w:r w:rsidRPr="007F0E13">
        <w:rPr>
          <w:rFonts w:asciiTheme="majorHAnsi" w:hAnsiTheme="majorHAnsi"/>
          <w:sz w:val="24"/>
          <w:szCs w:val="24"/>
        </w:rPr>
        <w:t>The</w:t>
      </w:r>
      <w:r w:rsidR="00646FCD" w:rsidRPr="007F0E13">
        <w:rPr>
          <w:rFonts w:asciiTheme="majorHAnsi" w:hAnsiTheme="majorHAnsi"/>
          <w:sz w:val="24"/>
          <w:szCs w:val="24"/>
        </w:rPr>
        <w:t xml:space="preserve"> data required for </w:t>
      </w:r>
      <w:r w:rsidRPr="007F0E13">
        <w:rPr>
          <w:rFonts w:asciiTheme="majorHAnsi" w:hAnsiTheme="majorHAnsi"/>
          <w:sz w:val="24"/>
          <w:szCs w:val="24"/>
        </w:rPr>
        <w:t>the</w:t>
      </w:r>
      <w:r w:rsidR="00646FCD" w:rsidRPr="007F0E13">
        <w:rPr>
          <w:rFonts w:asciiTheme="majorHAnsi" w:hAnsiTheme="majorHAnsi"/>
          <w:sz w:val="24"/>
          <w:szCs w:val="24"/>
        </w:rPr>
        <w:t xml:space="preserve"> </w:t>
      </w:r>
      <w:r w:rsidR="003C5BD2" w:rsidRPr="007F0E13">
        <w:rPr>
          <w:rFonts w:asciiTheme="majorHAnsi" w:hAnsiTheme="majorHAnsi"/>
          <w:sz w:val="24"/>
          <w:szCs w:val="24"/>
        </w:rPr>
        <w:t>assessment</w:t>
      </w:r>
      <w:r w:rsidR="00646FCD" w:rsidRPr="007F0E13">
        <w:rPr>
          <w:rFonts w:asciiTheme="majorHAnsi" w:hAnsiTheme="majorHAnsi"/>
          <w:sz w:val="24"/>
          <w:szCs w:val="24"/>
        </w:rPr>
        <w:t xml:space="preserve"> do not exist in any form that </w:t>
      </w:r>
      <w:r w:rsidR="00951CB3" w:rsidRPr="007F0E13">
        <w:rPr>
          <w:rFonts w:asciiTheme="majorHAnsi" w:hAnsiTheme="majorHAnsi"/>
          <w:sz w:val="24"/>
          <w:szCs w:val="24"/>
        </w:rPr>
        <w:t>w</w:t>
      </w:r>
      <w:r w:rsidR="00646FCD" w:rsidRPr="007F0E13">
        <w:rPr>
          <w:rFonts w:asciiTheme="majorHAnsi" w:hAnsiTheme="majorHAnsi"/>
          <w:sz w:val="24"/>
          <w:szCs w:val="24"/>
        </w:rPr>
        <w:t xml:space="preserve">ould make information collection unnecessary. </w:t>
      </w:r>
      <w:r w:rsidR="00890D9D" w:rsidRPr="007F0E13">
        <w:rPr>
          <w:rFonts w:asciiTheme="majorHAnsi" w:hAnsiTheme="majorHAnsi"/>
          <w:sz w:val="24"/>
          <w:szCs w:val="24"/>
        </w:rPr>
        <w:t xml:space="preserve">The redesign of </w:t>
      </w:r>
      <w:proofErr w:type="spellStart"/>
      <w:r w:rsidR="00890D9D" w:rsidRPr="007F0E13">
        <w:rPr>
          <w:rFonts w:asciiTheme="majorHAnsi" w:hAnsiTheme="majorHAnsi"/>
          <w:sz w:val="24"/>
          <w:szCs w:val="24"/>
        </w:rPr>
        <w:t>BioSense</w:t>
      </w:r>
      <w:proofErr w:type="spellEnd"/>
      <w:r w:rsidR="00890D9D" w:rsidRPr="007F0E13">
        <w:rPr>
          <w:rFonts w:asciiTheme="majorHAnsi" w:hAnsiTheme="majorHAnsi"/>
          <w:sz w:val="24"/>
          <w:szCs w:val="24"/>
        </w:rPr>
        <w:t xml:space="preserve"> is a first of its kind endeavor due to the technology involved</w:t>
      </w:r>
      <w:r w:rsidR="00F20EAC" w:rsidRPr="007F0E13">
        <w:rPr>
          <w:rFonts w:asciiTheme="majorHAnsi" w:hAnsiTheme="majorHAnsi"/>
          <w:sz w:val="24"/>
          <w:szCs w:val="24"/>
        </w:rPr>
        <w:t xml:space="preserve"> (i.e. cloud computing environment, electronic health record data submission, federal, state, and local shared utility, etc.)</w:t>
      </w:r>
      <w:r w:rsidR="00890D9D" w:rsidRPr="007F0E13">
        <w:rPr>
          <w:rFonts w:asciiTheme="majorHAnsi" w:hAnsiTheme="majorHAnsi"/>
          <w:sz w:val="24"/>
          <w:szCs w:val="24"/>
        </w:rPr>
        <w:t xml:space="preserve">, therefore there is no precedent for the collection of this type of information.  </w:t>
      </w:r>
      <w:r w:rsidR="00D918BE" w:rsidRPr="007F0E13">
        <w:rPr>
          <w:rFonts w:asciiTheme="majorHAnsi" w:hAnsiTheme="majorHAnsi"/>
          <w:sz w:val="24"/>
          <w:szCs w:val="24"/>
        </w:rPr>
        <w:t xml:space="preserve">Since prior onboarding in </w:t>
      </w:r>
      <w:proofErr w:type="spellStart"/>
      <w:r w:rsidR="00D918BE" w:rsidRPr="007F0E13">
        <w:rPr>
          <w:rFonts w:asciiTheme="majorHAnsi" w:hAnsiTheme="majorHAnsi"/>
          <w:sz w:val="24"/>
          <w:szCs w:val="24"/>
        </w:rPr>
        <w:t>BioSense</w:t>
      </w:r>
      <w:proofErr w:type="spellEnd"/>
      <w:r w:rsidR="00D918BE" w:rsidRPr="007F0E13">
        <w:rPr>
          <w:rFonts w:asciiTheme="majorHAnsi" w:hAnsiTheme="majorHAnsi"/>
          <w:sz w:val="24"/>
          <w:szCs w:val="24"/>
        </w:rPr>
        <w:t xml:space="preserve"> 1.0 only included </w:t>
      </w:r>
      <w:r w:rsidR="008159DA" w:rsidRPr="007F0E13">
        <w:rPr>
          <w:rFonts w:asciiTheme="majorHAnsi" w:hAnsiTheme="majorHAnsi"/>
          <w:sz w:val="24"/>
          <w:szCs w:val="24"/>
        </w:rPr>
        <w:t xml:space="preserve">emergency department </w:t>
      </w:r>
      <w:r w:rsidR="00D918BE" w:rsidRPr="007F0E13">
        <w:rPr>
          <w:rFonts w:asciiTheme="majorHAnsi" w:hAnsiTheme="majorHAnsi"/>
          <w:sz w:val="24"/>
          <w:szCs w:val="24"/>
        </w:rPr>
        <w:t xml:space="preserve">facilities and CDC, this assessment of </w:t>
      </w:r>
      <w:proofErr w:type="spellStart"/>
      <w:r w:rsidR="00D918BE" w:rsidRPr="007F0E13">
        <w:rPr>
          <w:rFonts w:asciiTheme="majorHAnsi" w:hAnsiTheme="majorHAnsi"/>
          <w:sz w:val="24"/>
          <w:szCs w:val="24"/>
        </w:rPr>
        <w:t>BioSense</w:t>
      </w:r>
      <w:proofErr w:type="spellEnd"/>
      <w:r w:rsidR="00D918BE" w:rsidRPr="007F0E13">
        <w:rPr>
          <w:rFonts w:asciiTheme="majorHAnsi" w:hAnsiTheme="majorHAnsi"/>
          <w:sz w:val="24"/>
          <w:szCs w:val="24"/>
        </w:rPr>
        <w:t xml:space="preserve"> 2.0 is addressing a completely different onboarding process and associated set of stakeholders. </w:t>
      </w:r>
      <w:r w:rsidR="00890D9D" w:rsidRPr="007F0E13">
        <w:rPr>
          <w:rFonts w:asciiTheme="majorHAnsi" w:hAnsiTheme="majorHAnsi"/>
          <w:sz w:val="24"/>
          <w:szCs w:val="24"/>
        </w:rPr>
        <w:t>E</w:t>
      </w:r>
      <w:r w:rsidR="00646FCD" w:rsidRPr="007F0E13">
        <w:rPr>
          <w:rFonts w:asciiTheme="majorHAnsi" w:hAnsiTheme="majorHAnsi"/>
          <w:sz w:val="24"/>
          <w:szCs w:val="24"/>
        </w:rPr>
        <w:t xml:space="preserve">xperience </w:t>
      </w:r>
      <w:r w:rsidR="00890D9D" w:rsidRPr="007F0E13">
        <w:rPr>
          <w:rFonts w:asciiTheme="majorHAnsi" w:hAnsiTheme="majorHAnsi"/>
          <w:sz w:val="24"/>
          <w:szCs w:val="24"/>
        </w:rPr>
        <w:t xml:space="preserve">with preparing for and the actual submission of emergency department data by a </w:t>
      </w:r>
      <w:r w:rsidR="00BE397F" w:rsidRPr="007F0E13">
        <w:rPr>
          <w:rFonts w:asciiTheme="majorHAnsi" w:hAnsiTheme="majorHAnsi"/>
          <w:sz w:val="24"/>
          <w:szCs w:val="24"/>
        </w:rPr>
        <w:t>STLT health department</w:t>
      </w:r>
      <w:r w:rsidR="00BE397F" w:rsidRPr="007F0E13" w:rsidDel="00BE397F">
        <w:rPr>
          <w:rFonts w:asciiTheme="majorHAnsi" w:hAnsiTheme="majorHAnsi"/>
          <w:sz w:val="24"/>
          <w:szCs w:val="24"/>
        </w:rPr>
        <w:t xml:space="preserve"> </w:t>
      </w:r>
      <w:r w:rsidR="00890D9D" w:rsidRPr="007F0E13">
        <w:rPr>
          <w:rFonts w:asciiTheme="majorHAnsi" w:hAnsiTheme="majorHAnsi"/>
          <w:sz w:val="24"/>
          <w:szCs w:val="24"/>
        </w:rPr>
        <w:t xml:space="preserve">into </w:t>
      </w:r>
      <w:proofErr w:type="spellStart"/>
      <w:r w:rsidR="00890D9D" w:rsidRPr="007F0E13">
        <w:rPr>
          <w:rFonts w:asciiTheme="majorHAnsi" w:hAnsiTheme="majorHAnsi"/>
          <w:sz w:val="24"/>
          <w:szCs w:val="24"/>
        </w:rPr>
        <w:t>BioSense</w:t>
      </w:r>
      <w:proofErr w:type="spellEnd"/>
      <w:r w:rsidR="00890D9D" w:rsidRPr="007F0E13">
        <w:rPr>
          <w:rFonts w:asciiTheme="majorHAnsi" w:hAnsiTheme="majorHAnsi"/>
          <w:sz w:val="24"/>
          <w:szCs w:val="24"/>
        </w:rPr>
        <w:t xml:space="preserve"> 2.0 </w:t>
      </w:r>
      <w:r w:rsidR="00646FCD" w:rsidRPr="007F0E13">
        <w:rPr>
          <w:rFonts w:asciiTheme="majorHAnsi" w:hAnsiTheme="majorHAnsi"/>
          <w:sz w:val="24"/>
          <w:szCs w:val="24"/>
        </w:rPr>
        <w:t>is required</w:t>
      </w:r>
      <w:r w:rsidR="00E0736F" w:rsidRPr="007F0E13">
        <w:rPr>
          <w:rFonts w:asciiTheme="majorHAnsi" w:hAnsiTheme="majorHAnsi"/>
          <w:sz w:val="24"/>
          <w:szCs w:val="24"/>
        </w:rPr>
        <w:t>. No</w:t>
      </w:r>
      <w:r w:rsidR="00646FCD" w:rsidRPr="007F0E13">
        <w:rPr>
          <w:rFonts w:asciiTheme="majorHAnsi" w:hAnsiTheme="majorHAnsi"/>
          <w:sz w:val="24"/>
          <w:szCs w:val="24"/>
        </w:rPr>
        <w:t xml:space="preserve"> surrogate data exist that </w:t>
      </w:r>
      <w:r w:rsidR="00951CB3" w:rsidRPr="007F0E13">
        <w:rPr>
          <w:rFonts w:asciiTheme="majorHAnsi" w:hAnsiTheme="majorHAnsi"/>
          <w:sz w:val="24"/>
          <w:szCs w:val="24"/>
        </w:rPr>
        <w:t>can</w:t>
      </w:r>
      <w:r w:rsidR="00646FCD" w:rsidRPr="007F0E13">
        <w:rPr>
          <w:rFonts w:asciiTheme="majorHAnsi" w:hAnsiTheme="majorHAnsi"/>
          <w:sz w:val="24"/>
          <w:szCs w:val="24"/>
        </w:rPr>
        <w:t xml:space="preserve"> approximate that experience. Only those questions minimally sufficient to complete the </w:t>
      </w:r>
      <w:r w:rsidR="003C5BD2" w:rsidRPr="007F0E13">
        <w:rPr>
          <w:rFonts w:asciiTheme="majorHAnsi" w:hAnsiTheme="majorHAnsi"/>
          <w:sz w:val="24"/>
          <w:szCs w:val="24"/>
        </w:rPr>
        <w:t>assessment</w:t>
      </w:r>
      <w:r w:rsidR="00646FCD" w:rsidRPr="007F0E13">
        <w:rPr>
          <w:rFonts w:asciiTheme="majorHAnsi" w:hAnsiTheme="majorHAnsi"/>
          <w:sz w:val="24"/>
          <w:szCs w:val="24"/>
        </w:rPr>
        <w:t xml:space="preserve"> will be included in the information collection</w:t>
      </w:r>
      <w:r w:rsidRPr="007F0E13">
        <w:rPr>
          <w:rFonts w:asciiTheme="majorHAnsi" w:hAnsiTheme="majorHAnsi"/>
          <w:sz w:val="24"/>
          <w:szCs w:val="24"/>
        </w:rPr>
        <w:t>.</w:t>
      </w:r>
      <w:r w:rsidR="00BD3144" w:rsidRPr="007F0E13">
        <w:rPr>
          <w:rFonts w:asciiTheme="majorHAnsi" w:hAnsiTheme="majorHAnsi"/>
          <w:sz w:val="24"/>
          <w:szCs w:val="24"/>
        </w:rPr>
        <w:t xml:space="preserve"> </w:t>
      </w:r>
      <w:r w:rsidR="00890D9D" w:rsidRPr="007F0E13">
        <w:rPr>
          <w:rFonts w:asciiTheme="majorHAnsi" w:hAnsiTheme="majorHAnsi"/>
          <w:sz w:val="24"/>
          <w:szCs w:val="24"/>
        </w:rPr>
        <w:t xml:space="preserve">Participation by </w:t>
      </w:r>
      <w:r w:rsidR="00DD1303" w:rsidRPr="007F0E13">
        <w:rPr>
          <w:rFonts w:asciiTheme="majorHAnsi" w:hAnsiTheme="majorHAnsi"/>
          <w:sz w:val="24"/>
          <w:szCs w:val="24"/>
        </w:rPr>
        <w:t>STLT</w:t>
      </w:r>
      <w:r w:rsidR="00834912" w:rsidRPr="007F0E13">
        <w:rPr>
          <w:rFonts w:asciiTheme="majorHAnsi" w:hAnsiTheme="majorHAnsi"/>
          <w:sz w:val="24"/>
          <w:szCs w:val="24"/>
        </w:rPr>
        <w:t xml:space="preserve"> health departments</w:t>
      </w:r>
      <w:r w:rsidR="00890D9D" w:rsidRPr="007F0E13">
        <w:rPr>
          <w:rFonts w:asciiTheme="majorHAnsi" w:hAnsiTheme="majorHAnsi"/>
          <w:sz w:val="24"/>
          <w:szCs w:val="24"/>
        </w:rPr>
        <w:t xml:space="preserve"> in this information collection request is voluntary.</w:t>
      </w:r>
    </w:p>
    <w:p w:rsidR="0039329C" w:rsidRPr="007F0E13" w:rsidRDefault="0039329C" w:rsidP="007F0E13">
      <w:pPr>
        <w:pStyle w:val="Header"/>
        <w:tabs>
          <w:tab w:val="clear" w:pos="4680"/>
        </w:tabs>
        <w:spacing w:line="276" w:lineRule="auto"/>
        <w:ind w:left="270"/>
        <w:rPr>
          <w:rFonts w:asciiTheme="majorHAnsi" w:hAnsiTheme="majorHAnsi"/>
          <w:sz w:val="24"/>
          <w:szCs w:val="24"/>
        </w:rPr>
      </w:pPr>
    </w:p>
    <w:p w:rsidR="00866615" w:rsidRPr="007F0E13" w:rsidRDefault="00866615" w:rsidP="007F0E13">
      <w:pPr>
        <w:pStyle w:val="Header"/>
        <w:tabs>
          <w:tab w:val="clear" w:pos="4680"/>
        </w:tabs>
        <w:spacing w:line="276" w:lineRule="auto"/>
        <w:ind w:left="270"/>
        <w:rPr>
          <w:rFonts w:asciiTheme="majorHAnsi" w:hAnsiTheme="majorHAnsi"/>
          <w:sz w:val="24"/>
          <w:szCs w:val="24"/>
        </w:rPr>
      </w:pPr>
      <w:r w:rsidRPr="007F0E13">
        <w:rPr>
          <w:rFonts w:asciiTheme="majorHAnsi" w:hAnsiTheme="majorHAnsi"/>
          <w:sz w:val="24"/>
          <w:szCs w:val="24"/>
        </w:rPr>
        <w:t>This data collection is authorized by Section 301 of the Public Health Service Act (42 U.S.C. 241).</w:t>
      </w:r>
    </w:p>
    <w:p w:rsidR="00866615" w:rsidRPr="007F0E13" w:rsidRDefault="00866615" w:rsidP="007F0E13">
      <w:pPr>
        <w:spacing w:after="0"/>
        <w:ind w:left="270"/>
        <w:rPr>
          <w:rFonts w:asciiTheme="majorHAnsi" w:hAnsiTheme="majorHAnsi"/>
          <w:sz w:val="24"/>
          <w:szCs w:val="24"/>
        </w:rPr>
      </w:pPr>
    </w:p>
    <w:p w:rsidR="007F0E13" w:rsidRDefault="007F0E13" w:rsidP="007F0E13">
      <w:pPr>
        <w:spacing w:after="0"/>
        <w:ind w:left="720"/>
        <w:rPr>
          <w:rFonts w:asciiTheme="majorHAnsi" w:hAnsiTheme="majorHAnsi"/>
          <w:b/>
          <w:sz w:val="24"/>
          <w:szCs w:val="24"/>
        </w:rPr>
      </w:pPr>
    </w:p>
    <w:p w:rsidR="002C597B" w:rsidRPr="007F0E13" w:rsidRDefault="007F0E13" w:rsidP="007F0E13">
      <w:pPr>
        <w:spacing w:after="0"/>
        <w:ind w:left="270"/>
        <w:rPr>
          <w:rFonts w:asciiTheme="majorHAnsi" w:hAnsiTheme="majorHAnsi"/>
          <w:b/>
          <w:sz w:val="24"/>
          <w:szCs w:val="24"/>
        </w:rPr>
      </w:pPr>
      <w:r w:rsidRPr="007F0E13">
        <w:rPr>
          <w:rFonts w:asciiTheme="majorHAnsi" w:hAnsiTheme="majorHAnsi"/>
          <w:b/>
          <w:sz w:val="24"/>
          <w:szCs w:val="24"/>
        </w:rPr>
        <w:lastRenderedPageBreak/>
        <w:t>Privacy Impact Assessment</w:t>
      </w:r>
    </w:p>
    <w:p w:rsidR="003859F5" w:rsidRPr="007F0E13" w:rsidRDefault="006102DA" w:rsidP="007F0E13">
      <w:pPr>
        <w:spacing w:after="0"/>
        <w:ind w:left="270"/>
        <w:rPr>
          <w:rFonts w:asciiTheme="majorHAnsi" w:hAnsiTheme="majorHAnsi"/>
          <w:sz w:val="24"/>
          <w:szCs w:val="24"/>
        </w:rPr>
      </w:pPr>
      <w:r w:rsidRPr="007F0E13">
        <w:rPr>
          <w:rFonts w:asciiTheme="majorHAnsi" w:hAnsiTheme="majorHAnsi"/>
          <w:sz w:val="24"/>
          <w:szCs w:val="24"/>
          <w:u w:val="single"/>
        </w:rPr>
        <w:t>Overview of the Data Collection System</w:t>
      </w:r>
    </w:p>
    <w:p w:rsidR="006C47F9" w:rsidRPr="007F0E13" w:rsidRDefault="00C41689" w:rsidP="007F0E13">
      <w:pPr>
        <w:spacing w:after="0"/>
        <w:ind w:left="270"/>
        <w:rPr>
          <w:rFonts w:asciiTheme="majorHAnsi" w:hAnsiTheme="majorHAnsi"/>
          <w:sz w:val="24"/>
          <w:szCs w:val="24"/>
        </w:rPr>
      </w:pPr>
      <w:r w:rsidRPr="007F0E13">
        <w:rPr>
          <w:rFonts w:asciiTheme="majorHAnsi" w:hAnsiTheme="majorHAnsi"/>
          <w:sz w:val="24"/>
          <w:szCs w:val="24"/>
        </w:rPr>
        <w:t xml:space="preserve">At this point in </w:t>
      </w:r>
      <w:proofErr w:type="spellStart"/>
      <w:r w:rsidRPr="007F0E13">
        <w:rPr>
          <w:rFonts w:asciiTheme="majorHAnsi" w:hAnsiTheme="majorHAnsi"/>
          <w:sz w:val="24"/>
          <w:szCs w:val="24"/>
        </w:rPr>
        <w:t>BioSense</w:t>
      </w:r>
      <w:proofErr w:type="spellEnd"/>
      <w:r w:rsidRPr="007F0E13">
        <w:rPr>
          <w:rFonts w:asciiTheme="majorHAnsi" w:hAnsiTheme="majorHAnsi"/>
          <w:sz w:val="24"/>
          <w:szCs w:val="24"/>
        </w:rPr>
        <w:t xml:space="preserve"> 2.0</w:t>
      </w:r>
      <w:r w:rsidR="0092043A" w:rsidRPr="007F0E13">
        <w:rPr>
          <w:rFonts w:asciiTheme="majorHAnsi" w:hAnsiTheme="majorHAnsi"/>
          <w:sz w:val="24"/>
          <w:szCs w:val="24"/>
        </w:rPr>
        <w:t xml:space="preserve"> system’s lifecycle, it is of utmost importance to </w:t>
      </w:r>
      <w:r w:rsidR="00785812" w:rsidRPr="007F0E13">
        <w:rPr>
          <w:rFonts w:asciiTheme="majorHAnsi" w:hAnsiTheme="majorHAnsi"/>
          <w:sz w:val="24"/>
          <w:szCs w:val="24"/>
        </w:rPr>
        <w:t xml:space="preserve">understand the </w:t>
      </w:r>
      <w:r w:rsidR="00DD1303" w:rsidRPr="007F0E13">
        <w:rPr>
          <w:rFonts w:asciiTheme="majorHAnsi" w:hAnsiTheme="majorHAnsi"/>
          <w:sz w:val="24"/>
          <w:szCs w:val="24"/>
        </w:rPr>
        <w:t>STLT</w:t>
      </w:r>
      <w:r w:rsidR="00975373" w:rsidRPr="007F0E13">
        <w:rPr>
          <w:rFonts w:asciiTheme="majorHAnsi" w:hAnsiTheme="majorHAnsi"/>
          <w:sz w:val="24"/>
          <w:szCs w:val="24"/>
        </w:rPr>
        <w:t xml:space="preserve"> health department</w:t>
      </w:r>
      <w:r w:rsidR="00785812" w:rsidRPr="007F0E13">
        <w:rPr>
          <w:rFonts w:asciiTheme="majorHAnsi" w:hAnsiTheme="majorHAnsi"/>
          <w:sz w:val="24"/>
          <w:szCs w:val="24"/>
        </w:rPr>
        <w:t xml:space="preserve">s’ experiences as they work </w:t>
      </w:r>
      <w:r w:rsidR="00766541">
        <w:rPr>
          <w:rFonts w:asciiTheme="majorHAnsi" w:hAnsiTheme="majorHAnsi"/>
          <w:sz w:val="24"/>
          <w:szCs w:val="24"/>
        </w:rPr>
        <w:t>with</w:t>
      </w:r>
      <w:r w:rsidR="002F5505">
        <w:rPr>
          <w:rFonts w:asciiTheme="majorHAnsi" w:hAnsiTheme="majorHAnsi"/>
          <w:sz w:val="24"/>
          <w:szCs w:val="24"/>
        </w:rPr>
        <w:t xml:space="preserve"> health information technology staff </w:t>
      </w:r>
      <w:r w:rsidR="00785812" w:rsidRPr="007F0E13">
        <w:rPr>
          <w:rFonts w:asciiTheme="majorHAnsi" w:hAnsiTheme="majorHAnsi"/>
          <w:sz w:val="24"/>
          <w:szCs w:val="24"/>
        </w:rPr>
        <w:t>to submit data feeds into the new system</w:t>
      </w:r>
      <w:r w:rsidR="006C47F9" w:rsidRPr="007F0E13">
        <w:rPr>
          <w:rFonts w:asciiTheme="majorHAnsi" w:hAnsiTheme="majorHAnsi"/>
          <w:sz w:val="24"/>
          <w:szCs w:val="24"/>
        </w:rPr>
        <w:t xml:space="preserve">, especially since the system </w:t>
      </w:r>
      <w:r w:rsidR="005800C7" w:rsidRPr="007F0E13">
        <w:rPr>
          <w:rFonts w:asciiTheme="majorHAnsi" w:hAnsiTheme="majorHAnsi"/>
          <w:sz w:val="24"/>
          <w:szCs w:val="24"/>
        </w:rPr>
        <w:t xml:space="preserve">is </w:t>
      </w:r>
      <w:r w:rsidR="00FF10D7" w:rsidRPr="007F0E13">
        <w:rPr>
          <w:rFonts w:asciiTheme="majorHAnsi" w:hAnsiTheme="majorHAnsi"/>
          <w:sz w:val="24"/>
          <w:szCs w:val="24"/>
        </w:rPr>
        <w:t>based on</w:t>
      </w:r>
      <w:r w:rsidR="005800C7" w:rsidRPr="007F0E13">
        <w:rPr>
          <w:rFonts w:asciiTheme="majorHAnsi" w:hAnsiTheme="majorHAnsi"/>
          <w:sz w:val="24"/>
          <w:szCs w:val="24"/>
        </w:rPr>
        <w:t xml:space="preserve"> cloud </w:t>
      </w:r>
      <w:r w:rsidR="00441BC5" w:rsidRPr="007F0E13">
        <w:rPr>
          <w:rFonts w:asciiTheme="majorHAnsi" w:hAnsiTheme="majorHAnsi"/>
          <w:sz w:val="24"/>
          <w:szCs w:val="24"/>
        </w:rPr>
        <w:t xml:space="preserve">computing </w:t>
      </w:r>
      <w:r w:rsidR="005800C7" w:rsidRPr="007F0E13">
        <w:rPr>
          <w:rFonts w:asciiTheme="majorHAnsi" w:hAnsiTheme="majorHAnsi"/>
          <w:sz w:val="24"/>
          <w:szCs w:val="24"/>
        </w:rPr>
        <w:t xml:space="preserve">technology which is new </w:t>
      </w:r>
      <w:r w:rsidR="00C54788" w:rsidRPr="007F0E13">
        <w:rPr>
          <w:rFonts w:asciiTheme="majorHAnsi" w:hAnsiTheme="majorHAnsi"/>
          <w:sz w:val="24"/>
          <w:szCs w:val="24"/>
        </w:rPr>
        <w:t>for</w:t>
      </w:r>
      <w:r w:rsidR="005800C7" w:rsidRPr="007F0E13">
        <w:rPr>
          <w:rFonts w:asciiTheme="majorHAnsi" w:hAnsiTheme="majorHAnsi"/>
          <w:sz w:val="24"/>
          <w:szCs w:val="24"/>
        </w:rPr>
        <w:t xml:space="preserve"> many</w:t>
      </w:r>
      <w:r w:rsidR="00C54788" w:rsidRPr="007F0E13">
        <w:rPr>
          <w:rFonts w:asciiTheme="majorHAnsi" w:hAnsiTheme="majorHAnsi"/>
          <w:sz w:val="24"/>
          <w:szCs w:val="24"/>
        </w:rPr>
        <w:t xml:space="preserve"> </w:t>
      </w:r>
      <w:r w:rsidR="00BE397F" w:rsidRPr="007F0E13">
        <w:rPr>
          <w:rFonts w:asciiTheme="majorHAnsi" w:hAnsiTheme="majorHAnsi"/>
          <w:sz w:val="24"/>
          <w:szCs w:val="24"/>
        </w:rPr>
        <w:t>STLT health departments</w:t>
      </w:r>
      <w:r w:rsidR="00785812" w:rsidRPr="007F0E13">
        <w:rPr>
          <w:rFonts w:asciiTheme="majorHAnsi" w:hAnsiTheme="majorHAnsi"/>
          <w:sz w:val="24"/>
          <w:szCs w:val="24"/>
        </w:rPr>
        <w:t xml:space="preserve">.  </w:t>
      </w:r>
      <w:r w:rsidR="009B319F" w:rsidRPr="007F0E13">
        <w:rPr>
          <w:rFonts w:asciiTheme="majorHAnsi" w:hAnsiTheme="majorHAnsi"/>
          <w:sz w:val="24"/>
          <w:szCs w:val="24"/>
        </w:rPr>
        <w:t xml:space="preserve">At this </w:t>
      </w:r>
      <w:r w:rsidR="008C49B3" w:rsidRPr="007F0E13">
        <w:rPr>
          <w:rFonts w:asciiTheme="majorHAnsi" w:hAnsiTheme="majorHAnsi"/>
          <w:sz w:val="24"/>
          <w:szCs w:val="24"/>
        </w:rPr>
        <w:t xml:space="preserve">stage of </w:t>
      </w:r>
      <w:r w:rsidR="009B319F" w:rsidRPr="007F0E13">
        <w:rPr>
          <w:rFonts w:asciiTheme="majorHAnsi" w:hAnsiTheme="majorHAnsi"/>
          <w:sz w:val="24"/>
          <w:szCs w:val="24"/>
        </w:rPr>
        <w:t xml:space="preserve">development of </w:t>
      </w:r>
      <w:proofErr w:type="spellStart"/>
      <w:r w:rsidR="008C49B3" w:rsidRPr="007F0E13">
        <w:rPr>
          <w:rFonts w:asciiTheme="majorHAnsi" w:hAnsiTheme="majorHAnsi"/>
          <w:sz w:val="24"/>
          <w:szCs w:val="24"/>
        </w:rPr>
        <w:t>BioSense</w:t>
      </w:r>
      <w:proofErr w:type="spellEnd"/>
      <w:r w:rsidR="008C49B3" w:rsidRPr="007F0E13">
        <w:rPr>
          <w:rFonts w:asciiTheme="majorHAnsi" w:hAnsiTheme="majorHAnsi"/>
          <w:sz w:val="24"/>
          <w:szCs w:val="24"/>
        </w:rPr>
        <w:t xml:space="preserve"> 2.0</w:t>
      </w:r>
      <w:r w:rsidR="009B319F" w:rsidRPr="007F0E13">
        <w:rPr>
          <w:rFonts w:asciiTheme="majorHAnsi" w:hAnsiTheme="majorHAnsi"/>
          <w:sz w:val="24"/>
          <w:szCs w:val="24"/>
        </w:rPr>
        <w:t>, we must rely on</w:t>
      </w:r>
      <w:r w:rsidR="00997617" w:rsidRPr="007F0E13">
        <w:rPr>
          <w:rFonts w:asciiTheme="majorHAnsi" w:hAnsiTheme="majorHAnsi"/>
          <w:sz w:val="24"/>
          <w:szCs w:val="24"/>
        </w:rPr>
        <w:t xml:space="preserve"> </w:t>
      </w:r>
      <w:r w:rsidR="009B319F" w:rsidRPr="007F0E13">
        <w:rPr>
          <w:rFonts w:asciiTheme="majorHAnsi" w:hAnsiTheme="majorHAnsi"/>
          <w:sz w:val="24"/>
          <w:szCs w:val="24"/>
        </w:rPr>
        <w:t xml:space="preserve"> currently participating jurisdictions to give us feedback on the experiences they have had</w:t>
      </w:r>
      <w:r w:rsidR="00997617" w:rsidRPr="007F0E13">
        <w:rPr>
          <w:rFonts w:asciiTheme="majorHAnsi" w:hAnsiTheme="majorHAnsi"/>
          <w:sz w:val="24"/>
          <w:szCs w:val="24"/>
        </w:rPr>
        <w:t xml:space="preserve"> on onboarding and the associated costs</w:t>
      </w:r>
      <w:r w:rsidR="00C853DF" w:rsidRPr="007F0E13">
        <w:rPr>
          <w:rFonts w:asciiTheme="majorHAnsi" w:hAnsiTheme="majorHAnsi"/>
          <w:sz w:val="24"/>
          <w:szCs w:val="24"/>
        </w:rPr>
        <w:t xml:space="preserve"> through focus groups</w:t>
      </w:r>
      <w:r w:rsidR="009B319F" w:rsidRPr="007F0E13">
        <w:rPr>
          <w:rFonts w:asciiTheme="majorHAnsi" w:hAnsiTheme="majorHAnsi"/>
          <w:sz w:val="24"/>
          <w:szCs w:val="24"/>
        </w:rPr>
        <w:t xml:space="preserve">.  </w:t>
      </w:r>
      <w:r w:rsidR="006C47F9" w:rsidRPr="007F0E13">
        <w:rPr>
          <w:rFonts w:asciiTheme="majorHAnsi" w:hAnsiTheme="majorHAnsi"/>
          <w:sz w:val="24"/>
          <w:szCs w:val="24"/>
        </w:rPr>
        <w:t xml:space="preserve">As such, two data collection instruments </w:t>
      </w:r>
      <w:r w:rsidR="00C54788" w:rsidRPr="007F0E13">
        <w:rPr>
          <w:rFonts w:asciiTheme="majorHAnsi" w:hAnsiTheme="majorHAnsi"/>
          <w:sz w:val="24"/>
          <w:szCs w:val="24"/>
        </w:rPr>
        <w:t xml:space="preserve">related to this </w:t>
      </w:r>
      <w:r w:rsidR="006C47F9" w:rsidRPr="007F0E13">
        <w:rPr>
          <w:rFonts w:asciiTheme="majorHAnsi" w:hAnsiTheme="majorHAnsi"/>
          <w:sz w:val="24"/>
          <w:szCs w:val="24"/>
        </w:rPr>
        <w:t>are proposed</w:t>
      </w:r>
      <w:r w:rsidR="004B00EF" w:rsidRPr="007F0E13">
        <w:rPr>
          <w:rFonts w:asciiTheme="majorHAnsi" w:hAnsiTheme="majorHAnsi"/>
          <w:sz w:val="24"/>
          <w:szCs w:val="24"/>
        </w:rPr>
        <w:t xml:space="preserve"> </w:t>
      </w:r>
      <w:r w:rsidR="004B00EF" w:rsidRPr="007F0E13">
        <w:rPr>
          <w:rFonts w:asciiTheme="majorHAnsi" w:hAnsiTheme="majorHAnsi"/>
          <w:b/>
          <w:sz w:val="24"/>
          <w:szCs w:val="24"/>
        </w:rPr>
        <w:t>(Attachment</w:t>
      </w:r>
      <w:r w:rsidR="0010004B" w:rsidRPr="007F0E13">
        <w:rPr>
          <w:rFonts w:asciiTheme="majorHAnsi" w:hAnsiTheme="majorHAnsi"/>
          <w:b/>
          <w:sz w:val="24"/>
          <w:szCs w:val="24"/>
        </w:rPr>
        <w:t>s</w:t>
      </w:r>
      <w:r w:rsidR="009B319F" w:rsidRPr="007F0E13">
        <w:rPr>
          <w:rFonts w:asciiTheme="majorHAnsi" w:hAnsiTheme="majorHAnsi"/>
          <w:b/>
          <w:sz w:val="24"/>
          <w:szCs w:val="24"/>
        </w:rPr>
        <w:t xml:space="preserve"> </w:t>
      </w:r>
      <w:r w:rsidR="002B5BCA" w:rsidRPr="007F0E13">
        <w:rPr>
          <w:rFonts w:asciiTheme="majorHAnsi" w:hAnsiTheme="majorHAnsi"/>
          <w:b/>
          <w:sz w:val="24"/>
          <w:szCs w:val="24"/>
        </w:rPr>
        <w:t>J</w:t>
      </w:r>
      <w:r w:rsidR="009B319F" w:rsidRPr="007F0E13">
        <w:rPr>
          <w:rFonts w:asciiTheme="majorHAnsi" w:hAnsiTheme="majorHAnsi"/>
          <w:b/>
          <w:sz w:val="24"/>
          <w:szCs w:val="24"/>
        </w:rPr>
        <w:t xml:space="preserve"> and </w:t>
      </w:r>
      <w:r w:rsidR="002B5BCA" w:rsidRPr="007F0E13">
        <w:rPr>
          <w:rFonts w:asciiTheme="majorHAnsi" w:hAnsiTheme="majorHAnsi"/>
          <w:b/>
          <w:sz w:val="24"/>
          <w:szCs w:val="24"/>
        </w:rPr>
        <w:t>K</w:t>
      </w:r>
      <w:r w:rsidR="0010004B" w:rsidRPr="007F0E13">
        <w:rPr>
          <w:rFonts w:asciiTheme="majorHAnsi" w:hAnsiTheme="majorHAnsi"/>
          <w:b/>
          <w:sz w:val="24"/>
          <w:szCs w:val="24"/>
        </w:rPr>
        <w:t>)</w:t>
      </w:r>
      <w:r w:rsidR="006C47F9" w:rsidRPr="007F0E13">
        <w:rPr>
          <w:rFonts w:asciiTheme="majorHAnsi" w:hAnsiTheme="majorHAnsi"/>
          <w:sz w:val="24"/>
          <w:szCs w:val="24"/>
        </w:rPr>
        <w:t>:</w:t>
      </w:r>
    </w:p>
    <w:p w:rsidR="00E0736F" w:rsidRPr="007F0E13" w:rsidRDefault="00E0736F" w:rsidP="007F0E13">
      <w:pPr>
        <w:spacing w:after="0"/>
        <w:ind w:left="270"/>
        <w:rPr>
          <w:rFonts w:asciiTheme="majorHAnsi" w:hAnsiTheme="majorHAnsi"/>
          <w:sz w:val="24"/>
          <w:szCs w:val="24"/>
        </w:rPr>
      </w:pPr>
    </w:p>
    <w:p w:rsidR="006955CC" w:rsidRPr="007F0E13" w:rsidRDefault="000B67BA" w:rsidP="007F0E13">
      <w:pPr>
        <w:pStyle w:val="ListParagraph"/>
        <w:numPr>
          <w:ilvl w:val="0"/>
          <w:numId w:val="47"/>
        </w:numPr>
        <w:spacing w:after="0"/>
        <w:ind w:left="630"/>
        <w:rPr>
          <w:rFonts w:asciiTheme="majorHAnsi" w:hAnsiTheme="majorHAnsi"/>
          <w:sz w:val="24"/>
          <w:szCs w:val="24"/>
        </w:rPr>
      </w:pPr>
      <w:r w:rsidRPr="007F0E13">
        <w:rPr>
          <w:rFonts w:asciiTheme="majorHAnsi" w:hAnsiTheme="majorHAnsi"/>
          <w:b/>
          <w:sz w:val="24"/>
          <w:szCs w:val="24"/>
        </w:rPr>
        <w:t>Onboarding</w:t>
      </w:r>
      <w:r w:rsidR="006C47F9" w:rsidRPr="007F0E13">
        <w:rPr>
          <w:rFonts w:asciiTheme="majorHAnsi" w:hAnsiTheme="majorHAnsi"/>
          <w:b/>
          <w:sz w:val="24"/>
          <w:szCs w:val="24"/>
        </w:rPr>
        <w:t xml:space="preserve"> </w:t>
      </w:r>
      <w:r w:rsidRPr="007F0E13">
        <w:rPr>
          <w:rFonts w:asciiTheme="majorHAnsi" w:hAnsiTheme="majorHAnsi"/>
          <w:b/>
          <w:sz w:val="24"/>
          <w:szCs w:val="24"/>
        </w:rPr>
        <w:t>P</w:t>
      </w:r>
      <w:r w:rsidR="006C47F9" w:rsidRPr="007F0E13">
        <w:rPr>
          <w:rFonts w:asciiTheme="majorHAnsi" w:hAnsiTheme="majorHAnsi"/>
          <w:b/>
          <w:sz w:val="24"/>
          <w:szCs w:val="24"/>
        </w:rPr>
        <w:t xml:space="preserve">rocess:  </w:t>
      </w:r>
      <w:r w:rsidR="00C41689" w:rsidRPr="007F0E13">
        <w:rPr>
          <w:rFonts w:asciiTheme="majorHAnsi" w:hAnsiTheme="majorHAnsi"/>
          <w:sz w:val="24"/>
          <w:szCs w:val="24"/>
        </w:rPr>
        <w:t>To identify the common and systematic barriers and challenges encountered during the</w:t>
      </w:r>
      <w:r w:rsidR="00834912" w:rsidRPr="007F0E13">
        <w:rPr>
          <w:rFonts w:asciiTheme="majorHAnsi" w:hAnsiTheme="majorHAnsi"/>
          <w:sz w:val="24"/>
          <w:szCs w:val="24"/>
        </w:rPr>
        <w:t xml:space="preserve"> onboarding</w:t>
      </w:r>
      <w:r w:rsidR="00C41689" w:rsidRPr="007F0E13">
        <w:rPr>
          <w:rFonts w:asciiTheme="majorHAnsi" w:hAnsiTheme="majorHAnsi"/>
          <w:sz w:val="24"/>
          <w:szCs w:val="24"/>
        </w:rPr>
        <w:t xml:space="preserve"> process and develop a set of solutions and best practices to address them through technical assistance activities and resources.</w:t>
      </w:r>
      <w:r w:rsidR="00FA003A" w:rsidRPr="007F0E13">
        <w:rPr>
          <w:rFonts w:asciiTheme="majorHAnsi" w:hAnsiTheme="majorHAnsi"/>
          <w:sz w:val="24"/>
          <w:szCs w:val="24"/>
        </w:rPr>
        <w:t xml:space="preserve"> This instrument will ex</w:t>
      </w:r>
      <w:r w:rsidR="006955CC" w:rsidRPr="007F0E13">
        <w:rPr>
          <w:rFonts w:asciiTheme="majorHAnsi" w:hAnsiTheme="majorHAnsi"/>
          <w:sz w:val="24"/>
          <w:szCs w:val="24"/>
        </w:rPr>
        <w:t>plore each phase of the process</w:t>
      </w:r>
      <w:r w:rsidR="00F74856" w:rsidRPr="007F0E13">
        <w:rPr>
          <w:rFonts w:asciiTheme="majorHAnsi" w:hAnsiTheme="majorHAnsi"/>
          <w:sz w:val="24"/>
          <w:szCs w:val="24"/>
        </w:rPr>
        <w:t xml:space="preserve"> (e.g., </w:t>
      </w:r>
      <w:r w:rsidR="006955CC" w:rsidRPr="007F0E13">
        <w:rPr>
          <w:rFonts w:asciiTheme="majorHAnsi" w:hAnsiTheme="majorHAnsi"/>
          <w:sz w:val="24"/>
          <w:szCs w:val="24"/>
        </w:rPr>
        <w:t>introduct</w:t>
      </w:r>
      <w:r w:rsidR="00867670" w:rsidRPr="007F0E13">
        <w:rPr>
          <w:rFonts w:asciiTheme="majorHAnsi" w:hAnsiTheme="majorHAnsi"/>
          <w:sz w:val="24"/>
          <w:szCs w:val="24"/>
        </w:rPr>
        <w:t>ion to the system and process in general</w:t>
      </w:r>
      <w:r w:rsidR="00F74856" w:rsidRPr="007F0E13">
        <w:rPr>
          <w:rFonts w:asciiTheme="majorHAnsi" w:hAnsiTheme="majorHAnsi"/>
          <w:sz w:val="24"/>
          <w:szCs w:val="24"/>
        </w:rPr>
        <w:t xml:space="preserve">, the </w:t>
      </w:r>
      <w:r w:rsidR="00867670" w:rsidRPr="007F0E13">
        <w:rPr>
          <w:rFonts w:asciiTheme="majorHAnsi" w:hAnsiTheme="majorHAnsi"/>
          <w:sz w:val="24"/>
          <w:szCs w:val="24"/>
        </w:rPr>
        <w:t>technical meeting to understand the jurisdiction</w:t>
      </w:r>
      <w:r w:rsidR="00F74856" w:rsidRPr="007F0E13">
        <w:rPr>
          <w:rFonts w:asciiTheme="majorHAnsi" w:hAnsiTheme="majorHAnsi"/>
          <w:sz w:val="24"/>
          <w:szCs w:val="24"/>
        </w:rPr>
        <w:t xml:space="preserve">’s requirements, </w:t>
      </w:r>
      <w:r w:rsidR="00867670" w:rsidRPr="007F0E13">
        <w:rPr>
          <w:rFonts w:asciiTheme="majorHAnsi" w:hAnsiTheme="majorHAnsi"/>
          <w:sz w:val="24"/>
          <w:szCs w:val="24"/>
        </w:rPr>
        <w:t>implementation</w:t>
      </w:r>
      <w:r w:rsidR="00F74856" w:rsidRPr="007F0E13">
        <w:rPr>
          <w:rFonts w:asciiTheme="majorHAnsi" w:hAnsiTheme="majorHAnsi"/>
          <w:sz w:val="24"/>
          <w:szCs w:val="24"/>
        </w:rPr>
        <w:t xml:space="preserve"> of the technology,</w:t>
      </w:r>
      <w:r w:rsidR="00867670" w:rsidRPr="007F0E13">
        <w:rPr>
          <w:rFonts w:asciiTheme="majorHAnsi" w:hAnsiTheme="majorHAnsi"/>
          <w:sz w:val="24"/>
          <w:szCs w:val="24"/>
        </w:rPr>
        <w:t xml:space="preserve"> maintenance of data feeds in the new system</w:t>
      </w:r>
      <w:r w:rsidR="00F74856" w:rsidRPr="007F0E13">
        <w:rPr>
          <w:rFonts w:asciiTheme="majorHAnsi" w:hAnsiTheme="majorHAnsi"/>
          <w:sz w:val="24"/>
          <w:szCs w:val="24"/>
        </w:rPr>
        <w:t>, etc.)</w:t>
      </w:r>
      <w:r w:rsidR="00867670" w:rsidRPr="007F0E13">
        <w:rPr>
          <w:rFonts w:asciiTheme="majorHAnsi" w:hAnsiTheme="majorHAnsi"/>
          <w:sz w:val="24"/>
          <w:szCs w:val="24"/>
        </w:rPr>
        <w:t>.</w:t>
      </w:r>
    </w:p>
    <w:p w:rsidR="000B67BA" w:rsidRPr="007F0E13" w:rsidRDefault="000B67BA" w:rsidP="007F0E13">
      <w:pPr>
        <w:pStyle w:val="ListParagraph"/>
        <w:spacing w:after="0"/>
        <w:ind w:left="1350"/>
        <w:rPr>
          <w:rFonts w:asciiTheme="majorHAnsi" w:hAnsiTheme="majorHAnsi"/>
          <w:sz w:val="24"/>
          <w:szCs w:val="24"/>
        </w:rPr>
      </w:pPr>
    </w:p>
    <w:p w:rsidR="000C7032" w:rsidRPr="00A9285D" w:rsidRDefault="006C47F9" w:rsidP="00A9285D">
      <w:pPr>
        <w:pStyle w:val="ListParagraph"/>
        <w:numPr>
          <w:ilvl w:val="0"/>
          <w:numId w:val="47"/>
        </w:numPr>
        <w:ind w:left="630"/>
        <w:rPr>
          <w:rFonts w:asciiTheme="majorHAnsi" w:hAnsiTheme="majorHAnsi"/>
          <w:sz w:val="24"/>
          <w:szCs w:val="24"/>
        </w:rPr>
      </w:pPr>
      <w:r w:rsidRPr="007F0E13">
        <w:rPr>
          <w:rFonts w:asciiTheme="majorHAnsi" w:hAnsiTheme="majorHAnsi"/>
          <w:b/>
          <w:sz w:val="24"/>
          <w:szCs w:val="24"/>
        </w:rPr>
        <w:t xml:space="preserve">Cost Analysis:  </w:t>
      </w:r>
      <w:r w:rsidRPr="007F0E13">
        <w:rPr>
          <w:rFonts w:asciiTheme="majorHAnsi" w:hAnsiTheme="majorHAnsi"/>
          <w:sz w:val="24"/>
          <w:szCs w:val="24"/>
        </w:rPr>
        <w:t xml:space="preserve">To develop </w:t>
      </w:r>
      <w:proofErr w:type="spellStart"/>
      <w:r w:rsidRPr="007F0E13">
        <w:rPr>
          <w:rFonts w:asciiTheme="majorHAnsi" w:hAnsiTheme="majorHAnsi"/>
          <w:sz w:val="24"/>
          <w:szCs w:val="24"/>
        </w:rPr>
        <w:t>BioSense</w:t>
      </w:r>
      <w:proofErr w:type="spellEnd"/>
      <w:r w:rsidRPr="007F0E13">
        <w:rPr>
          <w:rFonts w:asciiTheme="majorHAnsi" w:hAnsiTheme="majorHAnsi"/>
          <w:sz w:val="24"/>
          <w:szCs w:val="24"/>
        </w:rPr>
        <w:t xml:space="preserve"> 2.0 cost estimates, including identifying key factors affecting the costs</w:t>
      </w:r>
      <w:r w:rsidR="005800C7" w:rsidRPr="007F0E13">
        <w:rPr>
          <w:rFonts w:asciiTheme="majorHAnsi" w:hAnsiTheme="majorHAnsi"/>
          <w:sz w:val="24"/>
          <w:szCs w:val="24"/>
        </w:rPr>
        <w:t xml:space="preserve"> incurred during and after </w:t>
      </w:r>
      <w:r w:rsidR="00E11D95" w:rsidRPr="007F0E13">
        <w:rPr>
          <w:rFonts w:asciiTheme="majorHAnsi" w:hAnsiTheme="majorHAnsi"/>
          <w:sz w:val="24"/>
          <w:szCs w:val="24"/>
        </w:rPr>
        <w:t>the onboarding process</w:t>
      </w:r>
      <w:r w:rsidRPr="007F0E13">
        <w:rPr>
          <w:rFonts w:asciiTheme="majorHAnsi" w:hAnsiTheme="majorHAnsi"/>
          <w:sz w:val="24"/>
          <w:szCs w:val="24"/>
        </w:rPr>
        <w:t xml:space="preserve">, and to review the related benefits.  </w:t>
      </w:r>
      <w:r w:rsidR="00F74856" w:rsidRPr="007F0E13">
        <w:rPr>
          <w:rFonts w:asciiTheme="majorHAnsi" w:hAnsiTheme="majorHAnsi"/>
          <w:sz w:val="24"/>
          <w:szCs w:val="24"/>
        </w:rPr>
        <w:t xml:space="preserve">Emphasis will be placed on accurately estimating the costs of participation in the </w:t>
      </w:r>
      <w:proofErr w:type="spellStart"/>
      <w:r w:rsidR="00F74856" w:rsidRPr="007F0E13">
        <w:rPr>
          <w:rFonts w:asciiTheme="majorHAnsi" w:hAnsiTheme="majorHAnsi"/>
          <w:sz w:val="24"/>
          <w:szCs w:val="24"/>
        </w:rPr>
        <w:t>BioSense</w:t>
      </w:r>
      <w:proofErr w:type="spellEnd"/>
      <w:r w:rsidR="00F74856" w:rsidRPr="007F0E13">
        <w:rPr>
          <w:rFonts w:asciiTheme="majorHAnsi" w:hAnsiTheme="majorHAnsi"/>
          <w:sz w:val="24"/>
          <w:szCs w:val="24"/>
        </w:rPr>
        <w:t xml:space="preserve"> 2.0 community—labor, capital, and services spending—including adoption costs and ongoing costs  Although the focus will be on costs, benefits will also be studied such as estimating the difference in the costs to comply with Meaningful Use Stage 2 with and without </w:t>
      </w:r>
      <w:proofErr w:type="spellStart"/>
      <w:r w:rsidR="00F74856" w:rsidRPr="007F0E13">
        <w:rPr>
          <w:rFonts w:asciiTheme="majorHAnsi" w:hAnsiTheme="majorHAnsi"/>
          <w:sz w:val="24"/>
          <w:szCs w:val="24"/>
        </w:rPr>
        <w:t>BioSense</w:t>
      </w:r>
      <w:proofErr w:type="spellEnd"/>
      <w:r w:rsidR="00F74856" w:rsidRPr="007F0E13">
        <w:rPr>
          <w:rFonts w:asciiTheme="majorHAnsi" w:hAnsiTheme="majorHAnsi"/>
          <w:sz w:val="24"/>
          <w:szCs w:val="24"/>
        </w:rPr>
        <w:t xml:space="preserve"> 2.0.  Other perceived benefits of </w:t>
      </w:r>
      <w:proofErr w:type="spellStart"/>
      <w:r w:rsidR="00F74856" w:rsidRPr="007F0E13">
        <w:rPr>
          <w:rFonts w:asciiTheme="majorHAnsi" w:hAnsiTheme="majorHAnsi"/>
          <w:sz w:val="24"/>
          <w:szCs w:val="24"/>
        </w:rPr>
        <w:t>BioSense</w:t>
      </w:r>
      <w:proofErr w:type="spellEnd"/>
      <w:r w:rsidR="00F74856" w:rsidRPr="007F0E13">
        <w:rPr>
          <w:rFonts w:asciiTheme="majorHAnsi" w:hAnsiTheme="majorHAnsi"/>
          <w:sz w:val="24"/>
          <w:szCs w:val="24"/>
        </w:rPr>
        <w:t xml:space="preserve"> 2.0 will be assessed qualitatively. </w:t>
      </w:r>
    </w:p>
    <w:p w:rsidR="00EB3A3A" w:rsidRPr="00A9285D" w:rsidRDefault="006102DA" w:rsidP="00A9285D">
      <w:pPr>
        <w:spacing w:after="0"/>
        <w:ind w:left="270"/>
        <w:rPr>
          <w:rFonts w:asciiTheme="majorHAnsi" w:hAnsiTheme="majorHAnsi"/>
          <w:sz w:val="24"/>
          <w:szCs w:val="24"/>
          <w:u w:val="single"/>
        </w:rPr>
      </w:pPr>
      <w:r w:rsidRPr="007F0E13">
        <w:rPr>
          <w:rFonts w:asciiTheme="majorHAnsi" w:hAnsiTheme="majorHAnsi"/>
          <w:sz w:val="24"/>
          <w:szCs w:val="24"/>
          <w:u w:val="single"/>
        </w:rPr>
        <w:t>Items of Information to be Collected</w:t>
      </w:r>
    </w:p>
    <w:p w:rsidR="00DB7F78" w:rsidRPr="007F0E13" w:rsidRDefault="003D6ACE" w:rsidP="007F0E13">
      <w:pPr>
        <w:spacing w:after="0"/>
        <w:ind w:left="270"/>
        <w:rPr>
          <w:rFonts w:asciiTheme="majorHAnsi" w:hAnsiTheme="majorHAnsi"/>
          <w:sz w:val="24"/>
          <w:szCs w:val="24"/>
        </w:rPr>
      </w:pPr>
      <w:r w:rsidRPr="007F0E13">
        <w:rPr>
          <w:rFonts w:asciiTheme="majorHAnsi" w:hAnsiTheme="majorHAnsi"/>
          <w:sz w:val="24"/>
          <w:szCs w:val="24"/>
        </w:rPr>
        <w:t>Questions fall into the following</w:t>
      </w:r>
      <w:r w:rsidR="006252C3" w:rsidRPr="007F0E13">
        <w:rPr>
          <w:rFonts w:asciiTheme="majorHAnsi" w:hAnsiTheme="majorHAnsi"/>
          <w:sz w:val="24"/>
          <w:szCs w:val="24"/>
        </w:rPr>
        <w:t xml:space="preserve"> domains</w:t>
      </w:r>
      <w:r w:rsidRPr="007F0E13">
        <w:rPr>
          <w:rFonts w:asciiTheme="majorHAnsi" w:hAnsiTheme="majorHAnsi"/>
          <w:sz w:val="24"/>
          <w:szCs w:val="24"/>
        </w:rPr>
        <w:t>: o</w:t>
      </w:r>
      <w:r w:rsidR="00F2589D" w:rsidRPr="007F0E13">
        <w:rPr>
          <w:rFonts w:asciiTheme="majorHAnsi" w:hAnsiTheme="majorHAnsi"/>
          <w:sz w:val="24"/>
          <w:szCs w:val="24"/>
        </w:rPr>
        <w:t>nboarding, use and utility,</w:t>
      </w:r>
      <w:r w:rsidRPr="007F0E13">
        <w:rPr>
          <w:rFonts w:asciiTheme="majorHAnsi" w:hAnsiTheme="majorHAnsi"/>
          <w:sz w:val="24"/>
          <w:szCs w:val="24"/>
        </w:rPr>
        <w:t xml:space="preserve"> </w:t>
      </w:r>
      <w:r w:rsidR="00F2589D" w:rsidRPr="007F0E13">
        <w:rPr>
          <w:rFonts w:asciiTheme="majorHAnsi" w:hAnsiTheme="majorHAnsi"/>
          <w:sz w:val="24"/>
          <w:szCs w:val="24"/>
        </w:rPr>
        <w:t>technical implementation</w:t>
      </w:r>
      <w:r w:rsidRPr="007F0E13">
        <w:rPr>
          <w:rFonts w:asciiTheme="majorHAnsi" w:hAnsiTheme="majorHAnsi"/>
          <w:sz w:val="24"/>
          <w:szCs w:val="24"/>
        </w:rPr>
        <w:t xml:space="preserve">, </w:t>
      </w:r>
      <w:proofErr w:type="spellStart"/>
      <w:r w:rsidRPr="007F0E13">
        <w:rPr>
          <w:rFonts w:asciiTheme="majorHAnsi" w:hAnsiTheme="majorHAnsi"/>
          <w:sz w:val="24"/>
          <w:szCs w:val="24"/>
        </w:rPr>
        <w:t>syndromic</w:t>
      </w:r>
      <w:proofErr w:type="spellEnd"/>
      <w:r w:rsidRPr="007F0E13">
        <w:rPr>
          <w:rFonts w:asciiTheme="majorHAnsi" w:hAnsiTheme="majorHAnsi"/>
          <w:sz w:val="24"/>
          <w:szCs w:val="24"/>
        </w:rPr>
        <w:t xml:space="preserve"> surveillance</w:t>
      </w:r>
      <w:r w:rsidR="005B24D7" w:rsidRPr="007F0E13">
        <w:rPr>
          <w:rFonts w:asciiTheme="majorHAnsi" w:hAnsiTheme="majorHAnsi"/>
          <w:sz w:val="24"/>
          <w:szCs w:val="24"/>
        </w:rPr>
        <w:t>,</w:t>
      </w:r>
      <w:r w:rsidRPr="007F0E13">
        <w:rPr>
          <w:rFonts w:asciiTheme="majorHAnsi" w:hAnsiTheme="majorHAnsi"/>
          <w:sz w:val="24"/>
          <w:szCs w:val="24"/>
        </w:rPr>
        <w:t xml:space="preserve"> and resources.</w:t>
      </w:r>
      <w:r w:rsidR="00DB0287" w:rsidRPr="007F0E13">
        <w:rPr>
          <w:rFonts w:asciiTheme="majorHAnsi" w:hAnsiTheme="majorHAnsi"/>
          <w:sz w:val="24"/>
          <w:szCs w:val="24"/>
        </w:rPr>
        <w:t xml:space="preserve"> </w:t>
      </w:r>
      <w:r w:rsidR="009D0AB1" w:rsidRPr="007F0E13">
        <w:rPr>
          <w:rFonts w:asciiTheme="majorHAnsi" w:hAnsiTheme="majorHAnsi"/>
          <w:sz w:val="24"/>
          <w:szCs w:val="24"/>
        </w:rPr>
        <w:t xml:space="preserve"> </w:t>
      </w:r>
      <w:r w:rsidR="00DB0287" w:rsidRPr="007F0E13">
        <w:rPr>
          <w:rFonts w:asciiTheme="majorHAnsi" w:hAnsiTheme="majorHAnsi"/>
          <w:sz w:val="24"/>
          <w:szCs w:val="24"/>
        </w:rPr>
        <w:t xml:space="preserve">The interviewers will first describe the purpose of the </w:t>
      </w:r>
      <w:r w:rsidR="00C01257" w:rsidRPr="007F0E13">
        <w:rPr>
          <w:rFonts w:asciiTheme="majorHAnsi" w:hAnsiTheme="majorHAnsi"/>
          <w:sz w:val="24"/>
          <w:szCs w:val="24"/>
        </w:rPr>
        <w:t xml:space="preserve">focus groups </w:t>
      </w:r>
      <w:r w:rsidR="00DB0287" w:rsidRPr="007F0E13">
        <w:rPr>
          <w:rFonts w:asciiTheme="majorHAnsi" w:hAnsiTheme="majorHAnsi"/>
          <w:sz w:val="24"/>
          <w:szCs w:val="24"/>
        </w:rPr>
        <w:t xml:space="preserve">which is to achieve the following: 1) gain better understanding of the onboarding experience; 2) use the information to improve the onboarding experience; and 3) share what is learned with </w:t>
      </w:r>
      <w:r w:rsidR="0033778B" w:rsidRPr="007F0E13">
        <w:rPr>
          <w:rFonts w:asciiTheme="majorHAnsi" w:hAnsiTheme="majorHAnsi"/>
          <w:sz w:val="24"/>
          <w:szCs w:val="24"/>
        </w:rPr>
        <w:t xml:space="preserve">the </w:t>
      </w:r>
      <w:proofErr w:type="spellStart"/>
      <w:r w:rsidR="00DB0287" w:rsidRPr="007F0E13">
        <w:rPr>
          <w:rFonts w:asciiTheme="majorHAnsi" w:hAnsiTheme="majorHAnsi"/>
          <w:sz w:val="24"/>
          <w:szCs w:val="24"/>
        </w:rPr>
        <w:t>BioSense</w:t>
      </w:r>
      <w:proofErr w:type="spellEnd"/>
      <w:r w:rsidR="00DB0287" w:rsidRPr="007F0E13">
        <w:rPr>
          <w:rFonts w:asciiTheme="majorHAnsi" w:hAnsiTheme="majorHAnsi"/>
          <w:sz w:val="24"/>
          <w:szCs w:val="24"/>
        </w:rPr>
        <w:t xml:space="preserve"> community and CDC</w:t>
      </w:r>
      <w:r w:rsidR="0033778B" w:rsidRPr="007F0E13">
        <w:rPr>
          <w:rFonts w:asciiTheme="majorHAnsi" w:hAnsiTheme="majorHAnsi"/>
          <w:sz w:val="24"/>
          <w:szCs w:val="24"/>
        </w:rPr>
        <w:t>.</w:t>
      </w:r>
      <w:r w:rsidR="00DB0287" w:rsidRPr="007F0E13">
        <w:rPr>
          <w:rFonts w:asciiTheme="majorHAnsi" w:hAnsiTheme="majorHAnsi"/>
          <w:sz w:val="24"/>
          <w:szCs w:val="24"/>
        </w:rPr>
        <w:t xml:space="preserve">  The terms for the interview will be defined. </w:t>
      </w:r>
      <w:r w:rsidR="009579AD" w:rsidRPr="007F0E13">
        <w:rPr>
          <w:rFonts w:asciiTheme="majorHAnsi" w:hAnsiTheme="majorHAnsi"/>
          <w:sz w:val="24"/>
          <w:szCs w:val="24"/>
        </w:rPr>
        <w:t xml:space="preserve"> </w:t>
      </w:r>
      <w:r w:rsidR="00DB0287" w:rsidRPr="007F0E13">
        <w:rPr>
          <w:rFonts w:asciiTheme="majorHAnsi" w:hAnsiTheme="majorHAnsi"/>
          <w:sz w:val="24"/>
          <w:szCs w:val="24"/>
        </w:rPr>
        <w:t xml:space="preserve">Questions will be asked on experience with </w:t>
      </w:r>
      <w:proofErr w:type="spellStart"/>
      <w:r w:rsidR="00DB0287" w:rsidRPr="007F0E13">
        <w:rPr>
          <w:rFonts w:asciiTheme="majorHAnsi" w:hAnsiTheme="majorHAnsi"/>
          <w:sz w:val="24"/>
          <w:szCs w:val="24"/>
        </w:rPr>
        <w:t>syndromic</w:t>
      </w:r>
      <w:proofErr w:type="spellEnd"/>
      <w:r w:rsidR="00DB0287" w:rsidRPr="007F0E13">
        <w:rPr>
          <w:rFonts w:asciiTheme="majorHAnsi" w:hAnsiTheme="majorHAnsi"/>
          <w:sz w:val="24"/>
          <w:szCs w:val="24"/>
        </w:rPr>
        <w:t xml:space="preserve"> surveillance, experience with </w:t>
      </w:r>
      <w:proofErr w:type="spellStart"/>
      <w:r w:rsidR="00DB0287" w:rsidRPr="007F0E13">
        <w:rPr>
          <w:rFonts w:asciiTheme="majorHAnsi" w:hAnsiTheme="majorHAnsi"/>
          <w:sz w:val="24"/>
          <w:szCs w:val="24"/>
        </w:rPr>
        <w:t>BioSense</w:t>
      </w:r>
      <w:proofErr w:type="spellEnd"/>
      <w:r w:rsidR="00DB0287" w:rsidRPr="007F0E13">
        <w:rPr>
          <w:rFonts w:asciiTheme="majorHAnsi" w:hAnsiTheme="majorHAnsi"/>
          <w:sz w:val="24"/>
          <w:szCs w:val="24"/>
        </w:rPr>
        <w:t xml:space="preserve"> 2.0, adoption and ongoing costs of </w:t>
      </w:r>
      <w:proofErr w:type="spellStart"/>
      <w:r w:rsidR="00DB0287" w:rsidRPr="007F0E13">
        <w:rPr>
          <w:rFonts w:asciiTheme="majorHAnsi" w:hAnsiTheme="majorHAnsi"/>
          <w:sz w:val="24"/>
          <w:szCs w:val="24"/>
        </w:rPr>
        <w:t>syndromic</w:t>
      </w:r>
      <w:proofErr w:type="spellEnd"/>
      <w:r w:rsidR="00DB0287" w:rsidRPr="007F0E13">
        <w:rPr>
          <w:rFonts w:asciiTheme="majorHAnsi" w:hAnsiTheme="majorHAnsi"/>
          <w:sz w:val="24"/>
          <w:szCs w:val="24"/>
        </w:rPr>
        <w:t xml:space="preserve"> surveillance, and adoption and ongoing costs of </w:t>
      </w:r>
      <w:proofErr w:type="spellStart"/>
      <w:r w:rsidR="00DB0287" w:rsidRPr="007F0E13">
        <w:rPr>
          <w:rFonts w:asciiTheme="majorHAnsi" w:hAnsiTheme="majorHAnsi"/>
          <w:sz w:val="24"/>
          <w:szCs w:val="24"/>
        </w:rPr>
        <w:t>BioSense</w:t>
      </w:r>
      <w:proofErr w:type="spellEnd"/>
      <w:r w:rsidR="009579AD" w:rsidRPr="007F0E13">
        <w:rPr>
          <w:rFonts w:asciiTheme="majorHAnsi" w:hAnsiTheme="majorHAnsi"/>
          <w:sz w:val="24"/>
          <w:szCs w:val="24"/>
        </w:rPr>
        <w:t xml:space="preserve"> 2.0</w:t>
      </w:r>
      <w:r w:rsidR="00DB0287" w:rsidRPr="007F0E13">
        <w:rPr>
          <w:rFonts w:asciiTheme="majorHAnsi" w:hAnsiTheme="majorHAnsi"/>
          <w:sz w:val="24"/>
          <w:szCs w:val="24"/>
        </w:rPr>
        <w:t xml:space="preserve">.  Case study participants will be advised that </w:t>
      </w:r>
      <w:r w:rsidR="00B8260F" w:rsidRPr="007F0E13">
        <w:rPr>
          <w:rFonts w:asciiTheme="majorHAnsi" w:hAnsiTheme="majorHAnsi"/>
          <w:sz w:val="24"/>
          <w:szCs w:val="24"/>
        </w:rPr>
        <w:t>results will be aggregated for the final analysis</w:t>
      </w:r>
      <w:r w:rsidR="00DB0287" w:rsidRPr="007F0E13">
        <w:rPr>
          <w:rFonts w:asciiTheme="majorHAnsi" w:hAnsiTheme="majorHAnsi"/>
          <w:sz w:val="24"/>
          <w:szCs w:val="24"/>
        </w:rPr>
        <w:t>.</w:t>
      </w:r>
      <w:r w:rsidR="002C597B" w:rsidRPr="007F0E13" w:rsidDel="002C597B">
        <w:rPr>
          <w:rFonts w:asciiTheme="majorHAnsi" w:hAnsiTheme="majorHAnsi"/>
          <w:sz w:val="24"/>
          <w:szCs w:val="24"/>
        </w:rPr>
        <w:t xml:space="preserve"> </w:t>
      </w:r>
    </w:p>
    <w:p w:rsidR="00C848BC" w:rsidRPr="007F0E13" w:rsidRDefault="00C848BC" w:rsidP="003055BE">
      <w:pPr>
        <w:spacing w:after="0"/>
        <w:ind w:left="720"/>
        <w:rPr>
          <w:rFonts w:asciiTheme="majorHAnsi" w:hAnsiTheme="majorHAnsi"/>
          <w:b/>
          <w:sz w:val="24"/>
          <w:szCs w:val="24"/>
        </w:rPr>
      </w:pPr>
    </w:p>
    <w:p w:rsidR="00951CB3" w:rsidRPr="007F0E13" w:rsidRDefault="00C848BC" w:rsidP="00A9285D">
      <w:pPr>
        <w:pStyle w:val="Header"/>
        <w:spacing w:line="276" w:lineRule="auto"/>
        <w:ind w:left="270"/>
        <w:rPr>
          <w:rFonts w:asciiTheme="majorHAnsi" w:hAnsiTheme="majorHAnsi"/>
          <w:bCs/>
          <w:sz w:val="24"/>
          <w:szCs w:val="24"/>
        </w:rPr>
      </w:pPr>
      <w:r w:rsidRPr="007F0E13">
        <w:rPr>
          <w:rFonts w:asciiTheme="majorHAnsi" w:hAnsiTheme="majorHAnsi"/>
          <w:b/>
          <w:bCs/>
          <w:sz w:val="24"/>
          <w:szCs w:val="24"/>
        </w:rPr>
        <w:lastRenderedPageBreak/>
        <w:t>Part 1</w:t>
      </w:r>
      <w:r w:rsidR="009B319F" w:rsidRPr="007F0E13">
        <w:rPr>
          <w:rFonts w:asciiTheme="majorHAnsi" w:hAnsiTheme="majorHAnsi"/>
          <w:b/>
          <w:bCs/>
          <w:sz w:val="24"/>
          <w:szCs w:val="24"/>
        </w:rPr>
        <w:t xml:space="preserve"> </w:t>
      </w:r>
      <w:r w:rsidR="009B319F" w:rsidRPr="007F0E13">
        <w:rPr>
          <w:rFonts w:asciiTheme="majorHAnsi" w:hAnsiTheme="majorHAnsi"/>
          <w:bCs/>
          <w:sz w:val="24"/>
          <w:szCs w:val="24"/>
        </w:rPr>
        <w:t>(onboarding)</w:t>
      </w:r>
      <w:r w:rsidR="00A365CE" w:rsidRPr="007F0E13">
        <w:rPr>
          <w:rFonts w:asciiTheme="majorHAnsi" w:hAnsiTheme="majorHAnsi"/>
          <w:bCs/>
          <w:sz w:val="24"/>
          <w:szCs w:val="24"/>
        </w:rPr>
        <w:t xml:space="preserve"> </w:t>
      </w:r>
      <w:r w:rsidR="00C0782C" w:rsidRPr="007F0E13">
        <w:rPr>
          <w:rFonts w:asciiTheme="majorHAnsi" w:hAnsiTheme="majorHAnsi"/>
          <w:bCs/>
          <w:sz w:val="24"/>
          <w:szCs w:val="24"/>
        </w:rPr>
        <w:t>only</w:t>
      </w:r>
      <w:r w:rsidRPr="007F0E13">
        <w:rPr>
          <w:rFonts w:asciiTheme="majorHAnsi" w:hAnsiTheme="majorHAnsi"/>
          <w:bCs/>
          <w:sz w:val="24"/>
          <w:szCs w:val="24"/>
        </w:rPr>
        <w:t xml:space="preserve"> contains </w:t>
      </w:r>
      <w:r w:rsidR="007D4130" w:rsidRPr="007F0E13">
        <w:rPr>
          <w:rFonts w:asciiTheme="majorHAnsi" w:hAnsiTheme="majorHAnsi"/>
          <w:bCs/>
          <w:sz w:val="24"/>
          <w:szCs w:val="24"/>
        </w:rPr>
        <w:t xml:space="preserve">53 </w:t>
      </w:r>
      <w:r w:rsidR="003D6ACE" w:rsidRPr="007F0E13">
        <w:rPr>
          <w:rFonts w:asciiTheme="majorHAnsi" w:hAnsiTheme="majorHAnsi"/>
          <w:bCs/>
          <w:sz w:val="24"/>
          <w:szCs w:val="24"/>
        </w:rPr>
        <w:t xml:space="preserve">questions </w:t>
      </w:r>
      <w:r w:rsidR="006252C3" w:rsidRPr="007F0E13">
        <w:rPr>
          <w:rFonts w:asciiTheme="majorHAnsi" w:hAnsiTheme="majorHAnsi"/>
          <w:bCs/>
          <w:sz w:val="24"/>
          <w:szCs w:val="24"/>
        </w:rPr>
        <w:t xml:space="preserve">for </w:t>
      </w:r>
      <w:r w:rsidR="00A6463B" w:rsidRPr="007F0E13">
        <w:rPr>
          <w:rFonts w:asciiTheme="majorHAnsi" w:hAnsiTheme="majorHAnsi"/>
          <w:bCs/>
          <w:sz w:val="24"/>
          <w:szCs w:val="24"/>
        </w:rPr>
        <w:t>STLT health official</w:t>
      </w:r>
      <w:r w:rsidR="006252C3" w:rsidRPr="007F0E13">
        <w:rPr>
          <w:rFonts w:asciiTheme="majorHAnsi" w:hAnsiTheme="majorHAnsi"/>
          <w:bCs/>
          <w:sz w:val="24"/>
          <w:szCs w:val="24"/>
        </w:rPr>
        <w:t>s</w:t>
      </w:r>
      <w:r w:rsidR="00A6463B" w:rsidRPr="007F0E13">
        <w:rPr>
          <w:rFonts w:asciiTheme="majorHAnsi" w:hAnsiTheme="majorHAnsi"/>
          <w:bCs/>
          <w:sz w:val="24"/>
          <w:szCs w:val="24"/>
        </w:rPr>
        <w:t xml:space="preserve"> </w:t>
      </w:r>
      <w:r w:rsidR="00021FA6" w:rsidRPr="007F0E13">
        <w:rPr>
          <w:rFonts w:asciiTheme="majorHAnsi" w:hAnsiTheme="majorHAnsi"/>
          <w:bCs/>
          <w:sz w:val="24"/>
          <w:szCs w:val="24"/>
        </w:rPr>
        <w:t>to</w:t>
      </w:r>
      <w:r w:rsidR="00E5098A" w:rsidRPr="007F0E13">
        <w:rPr>
          <w:rFonts w:asciiTheme="majorHAnsi" w:hAnsiTheme="majorHAnsi"/>
          <w:bCs/>
          <w:sz w:val="24"/>
          <w:szCs w:val="24"/>
        </w:rPr>
        <w:t xml:space="preserve"> </w:t>
      </w:r>
      <w:r w:rsidR="003515BF" w:rsidRPr="007F0E13">
        <w:rPr>
          <w:rFonts w:asciiTheme="majorHAnsi" w:hAnsiTheme="majorHAnsi"/>
          <w:bCs/>
          <w:sz w:val="24"/>
          <w:szCs w:val="24"/>
        </w:rPr>
        <w:t>address</w:t>
      </w:r>
      <w:r w:rsidR="003D6ACE" w:rsidRPr="007F0E13">
        <w:rPr>
          <w:rFonts w:asciiTheme="majorHAnsi" w:hAnsiTheme="majorHAnsi"/>
          <w:bCs/>
          <w:sz w:val="24"/>
          <w:szCs w:val="24"/>
        </w:rPr>
        <w:t xml:space="preserve">. </w:t>
      </w:r>
      <w:r w:rsidR="00021FA6" w:rsidRPr="007F0E13">
        <w:rPr>
          <w:rFonts w:asciiTheme="majorHAnsi" w:hAnsiTheme="majorHAnsi"/>
          <w:bCs/>
          <w:sz w:val="24"/>
          <w:szCs w:val="24"/>
        </w:rPr>
        <w:t xml:space="preserve">Officials </w:t>
      </w:r>
      <w:r w:rsidR="00641E6F" w:rsidRPr="007F0E13">
        <w:rPr>
          <w:rFonts w:asciiTheme="majorHAnsi" w:hAnsiTheme="majorHAnsi"/>
          <w:bCs/>
          <w:sz w:val="24"/>
          <w:szCs w:val="24"/>
        </w:rPr>
        <w:t>are asked questions related to the following areas:  1)</w:t>
      </w:r>
      <w:r w:rsidR="00A365CE" w:rsidRPr="007F0E13">
        <w:rPr>
          <w:rFonts w:asciiTheme="majorHAnsi" w:hAnsiTheme="majorHAnsi"/>
          <w:bCs/>
          <w:sz w:val="24"/>
          <w:szCs w:val="24"/>
        </w:rPr>
        <w:t xml:space="preserve"> </w:t>
      </w:r>
      <w:r w:rsidR="00641E6F" w:rsidRPr="007F0E13">
        <w:rPr>
          <w:rFonts w:asciiTheme="majorHAnsi" w:hAnsiTheme="majorHAnsi"/>
          <w:bCs/>
          <w:sz w:val="24"/>
          <w:szCs w:val="24"/>
        </w:rPr>
        <w:t xml:space="preserve">the </w:t>
      </w:r>
      <w:r w:rsidR="006F2BB6" w:rsidRPr="007F0E13">
        <w:rPr>
          <w:rFonts w:asciiTheme="majorHAnsi" w:hAnsiTheme="majorHAnsi"/>
          <w:bCs/>
          <w:sz w:val="24"/>
          <w:szCs w:val="24"/>
        </w:rPr>
        <w:t>initial contact between the jurisdiction and the onboarding team</w:t>
      </w:r>
      <w:r w:rsidR="00641E6F" w:rsidRPr="007F0E13">
        <w:rPr>
          <w:rFonts w:asciiTheme="majorHAnsi" w:hAnsiTheme="majorHAnsi"/>
          <w:bCs/>
          <w:sz w:val="24"/>
          <w:szCs w:val="24"/>
        </w:rPr>
        <w:t xml:space="preserve">; 2) </w:t>
      </w:r>
      <w:r w:rsidR="006F2BB6" w:rsidRPr="007F0E13">
        <w:rPr>
          <w:rFonts w:asciiTheme="majorHAnsi" w:hAnsiTheme="majorHAnsi"/>
          <w:bCs/>
          <w:sz w:val="24"/>
          <w:szCs w:val="24"/>
        </w:rPr>
        <w:t xml:space="preserve">the overview call </w:t>
      </w:r>
      <w:r w:rsidR="00641E6F" w:rsidRPr="007F0E13">
        <w:rPr>
          <w:rFonts w:asciiTheme="majorHAnsi" w:hAnsiTheme="majorHAnsi"/>
          <w:bCs/>
          <w:sz w:val="24"/>
          <w:szCs w:val="24"/>
        </w:rPr>
        <w:t>with their onboarding coordinator; 3) technical meetings that followed the orientation call; 4</w:t>
      </w:r>
      <w:r w:rsidR="00E5098A" w:rsidRPr="007F0E13">
        <w:rPr>
          <w:rFonts w:asciiTheme="majorHAnsi" w:hAnsiTheme="majorHAnsi"/>
          <w:bCs/>
          <w:sz w:val="24"/>
          <w:szCs w:val="24"/>
        </w:rPr>
        <w:t>)</w:t>
      </w:r>
      <w:r w:rsidR="007C76FD" w:rsidRPr="007F0E13">
        <w:rPr>
          <w:rFonts w:asciiTheme="majorHAnsi" w:hAnsiTheme="majorHAnsi"/>
          <w:bCs/>
          <w:sz w:val="24"/>
          <w:szCs w:val="24"/>
        </w:rPr>
        <w:t xml:space="preserve"> </w:t>
      </w:r>
      <w:r w:rsidR="00641E6F" w:rsidRPr="007F0E13">
        <w:rPr>
          <w:rFonts w:asciiTheme="majorHAnsi" w:hAnsiTheme="majorHAnsi"/>
          <w:bCs/>
          <w:sz w:val="24"/>
          <w:szCs w:val="24"/>
        </w:rPr>
        <w:t>technical implementation activities; 5) testing phase of onboarding; and 6) maintenance.</w:t>
      </w:r>
      <w:r w:rsidR="00951CB3" w:rsidRPr="007F0E13">
        <w:rPr>
          <w:rFonts w:asciiTheme="majorHAnsi" w:hAnsiTheme="majorHAnsi"/>
          <w:bCs/>
          <w:sz w:val="24"/>
          <w:szCs w:val="24"/>
        </w:rPr>
        <w:t xml:space="preserve"> </w:t>
      </w:r>
      <w:r w:rsidR="00951CB3" w:rsidRPr="007F0E13">
        <w:rPr>
          <w:rFonts w:asciiTheme="majorHAnsi" w:hAnsiTheme="majorHAnsi"/>
          <w:sz w:val="24"/>
          <w:szCs w:val="24"/>
        </w:rPr>
        <w:t xml:space="preserve"> Information for the onboarding case study will be collected from </w:t>
      </w:r>
      <w:r w:rsidR="005F2BB6" w:rsidRPr="007F0E13">
        <w:rPr>
          <w:rFonts w:asciiTheme="majorHAnsi" w:hAnsiTheme="majorHAnsi"/>
          <w:sz w:val="24"/>
          <w:szCs w:val="24"/>
        </w:rPr>
        <w:t>a health department’s</w:t>
      </w:r>
      <w:r w:rsidR="00951CB3" w:rsidRPr="007F0E13">
        <w:rPr>
          <w:rFonts w:asciiTheme="majorHAnsi" w:hAnsiTheme="majorHAnsi"/>
          <w:sz w:val="24"/>
          <w:szCs w:val="24"/>
        </w:rPr>
        <w:t xml:space="preserve"> Chief Epidemiologists</w:t>
      </w:r>
      <w:r w:rsidR="00E5098A" w:rsidRPr="007F0E13">
        <w:rPr>
          <w:rFonts w:asciiTheme="majorHAnsi" w:hAnsiTheme="majorHAnsi"/>
          <w:sz w:val="24"/>
          <w:szCs w:val="24"/>
        </w:rPr>
        <w:t xml:space="preserve"> </w:t>
      </w:r>
      <w:r w:rsidR="00951CB3" w:rsidRPr="007F0E13">
        <w:rPr>
          <w:rFonts w:asciiTheme="majorHAnsi" w:hAnsiTheme="majorHAnsi"/>
          <w:sz w:val="24"/>
          <w:szCs w:val="24"/>
        </w:rPr>
        <w:t>and onboarding teams.</w:t>
      </w:r>
      <w:r w:rsidR="007B4446">
        <w:rPr>
          <w:rFonts w:asciiTheme="majorHAnsi" w:hAnsiTheme="majorHAnsi"/>
          <w:sz w:val="24"/>
          <w:szCs w:val="24"/>
        </w:rPr>
        <w:t xml:space="preserve"> </w:t>
      </w:r>
      <w:r w:rsidR="002F5505" w:rsidRPr="00B71DCE">
        <w:rPr>
          <w:rFonts w:asciiTheme="majorHAnsi" w:hAnsiTheme="majorHAnsi"/>
          <w:sz w:val="24"/>
          <w:szCs w:val="24"/>
        </w:rPr>
        <w:t>F</w:t>
      </w:r>
      <w:r w:rsidR="00DC3590" w:rsidRPr="00B71DCE">
        <w:rPr>
          <w:rFonts w:asciiTheme="majorHAnsi" w:hAnsiTheme="majorHAnsi"/>
          <w:sz w:val="24"/>
          <w:szCs w:val="24"/>
        </w:rPr>
        <w:t>ocus groups will include additional verified state</w:t>
      </w:r>
      <w:r w:rsidR="007B3FF9" w:rsidRPr="00B71DCE">
        <w:rPr>
          <w:rFonts w:asciiTheme="majorHAnsi" w:hAnsiTheme="majorHAnsi"/>
          <w:sz w:val="24"/>
          <w:szCs w:val="24"/>
        </w:rPr>
        <w:t xml:space="preserve"> health department</w:t>
      </w:r>
      <w:r w:rsidR="00DC3590" w:rsidRPr="00B71DCE">
        <w:rPr>
          <w:rFonts w:asciiTheme="majorHAnsi" w:hAnsiTheme="majorHAnsi"/>
          <w:sz w:val="24"/>
          <w:szCs w:val="24"/>
        </w:rPr>
        <w:t xml:space="preserve"> staff</w:t>
      </w:r>
      <w:r w:rsidR="004759F5" w:rsidRPr="00B71DCE">
        <w:rPr>
          <w:rFonts w:asciiTheme="majorHAnsi" w:hAnsiTheme="majorHAnsi"/>
          <w:sz w:val="24"/>
          <w:szCs w:val="24"/>
        </w:rPr>
        <w:t>.</w:t>
      </w:r>
      <w:r w:rsidR="004759F5" w:rsidRPr="002F5505">
        <w:rPr>
          <w:rFonts w:asciiTheme="majorHAnsi" w:hAnsiTheme="majorHAnsi"/>
          <w:sz w:val="24"/>
          <w:szCs w:val="24"/>
        </w:rPr>
        <w:t xml:space="preserve">  </w:t>
      </w:r>
      <w:r w:rsidR="00951CB3" w:rsidRPr="00B71DCE">
        <w:rPr>
          <w:rFonts w:asciiTheme="majorHAnsi" w:hAnsiTheme="majorHAnsi"/>
          <w:sz w:val="24"/>
          <w:szCs w:val="24"/>
        </w:rPr>
        <w:t>Emphasi</w:t>
      </w:r>
      <w:r w:rsidR="00951CB3" w:rsidRPr="007F0E13">
        <w:rPr>
          <w:rFonts w:asciiTheme="majorHAnsi" w:hAnsiTheme="majorHAnsi"/>
          <w:sz w:val="24"/>
          <w:szCs w:val="24"/>
        </w:rPr>
        <w:t xml:space="preserve">s will be placed on examining the technical, data sharing, data quality, and training issues that facilitate or impede onboarding efforts.  </w:t>
      </w:r>
      <w:r w:rsidRPr="007F0E13">
        <w:rPr>
          <w:rFonts w:asciiTheme="majorHAnsi" w:hAnsiTheme="majorHAnsi"/>
          <w:sz w:val="24"/>
          <w:szCs w:val="24"/>
        </w:rPr>
        <w:t>Information</w:t>
      </w:r>
      <w:r w:rsidR="00951CB3" w:rsidRPr="007F0E13">
        <w:rPr>
          <w:rFonts w:asciiTheme="majorHAnsi" w:hAnsiTheme="majorHAnsi"/>
          <w:sz w:val="24"/>
          <w:szCs w:val="24"/>
        </w:rPr>
        <w:t xml:space="preserve"> collection </w:t>
      </w:r>
      <w:r w:rsidRPr="007F0E13">
        <w:rPr>
          <w:rFonts w:asciiTheme="majorHAnsi" w:hAnsiTheme="majorHAnsi"/>
          <w:sz w:val="24"/>
          <w:szCs w:val="24"/>
        </w:rPr>
        <w:t xml:space="preserve">will occur </w:t>
      </w:r>
      <w:r w:rsidR="00951CB3" w:rsidRPr="007F0E13">
        <w:rPr>
          <w:rFonts w:asciiTheme="majorHAnsi" w:hAnsiTheme="majorHAnsi"/>
          <w:sz w:val="24"/>
          <w:szCs w:val="24"/>
        </w:rPr>
        <w:t xml:space="preserve">during a </w:t>
      </w:r>
      <w:r w:rsidR="00A6463B" w:rsidRPr="007F0E13">
        <w:rPr>
          <w:rFonts w:asciiTheme="majorHAnsi" w:hAnsiTheme="majorHAnsi"/>
          <w:sz w:val="24"/>
          <w:szCs w:val="24"/>
        </w:rPr>
        <w:t xml:space="preserve">half </w:t>
      </w:r>
      <w:r w:rsidR="00951CB3" w:rsidRPr="007F0E13">
        <w:rPr>
          <w:rFonts w:asciiTheme="majorHAnsi" w:hAnsiTheme="majorHAnsi"/>
          <w:sz w:val="24"/>
          <w:szCs w:val="24"/>
        </w:rPr>
        <w:t xml:space="preserve">day site visit to each </w:t>
      </w:r>
      <w:r w:rsidR="00A6463B" w:rsidRPr="007F0E13">
        <w:rPr>
          <w:rFonts w:asciiTheme="majorHAnsi" w:hAnsiTheme="majorHAnsi"/>
          <w:sz w:val="24"/>
          <w:szCs w:val="24"/>
        </w:rPr>
        <w:t>STLT health department</w:t>
      </w:r>
      <w:r w:rsidR="003515BF" w:rsidRPr="007F0E13">
        <w:rPr>
          <w:rFonts w:asciiTheme="majorHAnsi" w:hAnsiTheme="majorHAnsi"/>
          <w:sz w:val="24"/>
          <w:szCs w:val="24"/>
        </w:rPr>
        <w:t xml:space="preserve"> or during a telephone interview if a site visit cannot be arranged</w:t>
      </w:r>
      <w:r w:rsidR="00095998" w:rsidRPr="007F0E13">
        <w:rPr>
          <w:rFonts w:asciiTheme="majorHAnsi" w:hAnsiTheme="majorHAnsi"/>
          <w:sz w:val="24"/>
          <w:szCs w:val="24"/>
        </w:rPr>
        <w:t xml:space="preserve"> within the timeframe for the data collection</w:t>
      </w:r>
      <w:r w:rsidR="007C76FD" w:rsidRPr="007F0E13">
        <w:rPr>
          <w:rFonts w:asciiTheme="majorHAnsi" w:hAnsiTheme="majorHAnsi"/>
          <w:sz w:val="24"/>
          <w:szCs w:val="24"/>
        </w:rPr>
        <w:t>.</w:t>
      </w:r>
      <w:r w:rsidRPr="007F0E13">
        <w:rPr>
          <w:rFonts w:asciiTheme="majorHAnsi" w:hAnsiTheme="majorHAnsi"/>
          <w:sz w:val="24"/>
          <w:szCs w:val="24"/>
        </w:rPr>
        <w:t xml:space="preserve"> </w:t>
      </w:r>
    </w:p>
    <w:p w:rsidR="00951CB3" w:rsidRPr="007F0E13" w:rsidRDefault="00951CB3" w:rsidP="00A9285D">
      <w:pPr>
        <w:pStyle w:val="Header"/>
        <w:spacing w:line="276" w:lineRule="auto"/>
        <w:ind w:left="270"/>
        <w:rPr>
          <w:rFonts w:asciiTheme="majorHAnsi" w:hAnsiTheme="majorHAnsi"/>
          <w:bCs/>
          <w:sz w:val="24"/>
          <w:szCs w:val="24"/>
        </w:rPr>
      </w:pPr>
    </w:p>
    <w:p w:rsidR="00951CB3" w:rsidRPr="007F0E13" w:rsidRDefault="00C848BC" w:rsidP="00A9285D">
      <w:pPr>
        <w:spacing w:after="0"/>
        <w:ind w:left="270"/>
        <w:rPr>
          <w:rFonts w:asciiTheme="majorHAnsi" w:hAnsiTheme="majorHAnsi"/>
          <w:sz w:val="24"/>
          <w:szCs w:val="24"/>
        </w:rPr>
      </w:pPr>
      <w:r w:rsidRPr="007F0E13">
        <w:rPr>
          <w:rFonts w:asciiTheme="majorHAnsi" w:hAnsiTheme="majorHAnsi"/>
          <w:b/>
          <w:bCs/>
          <w:sz w:val="24"/>
          <w:szCs w:val="24"/>
        </w:rPr>
        <w:t>Part 2</w:t>
      </w:r>
      <w:r w:rsidR="009B319F" w:rsidRPr="007F0E13">
        <w:rPr>
          <w:rFonts w:asciiTheme="majorHAnsi" w:hAnsiTheme="majorHAnsi"/>
          <w:b/>
          <w:bCs/>
          <w:sz w:val="24"/>
          <w:szCs w:val="24"/>
        </w:rPr>
        <w:t xml:space="preserve"> </w:t>
      </w:r>
      <w:r w:rsidR="009B319F" w:rsidRPr="007F0E13">
        <w:rPr>
          <w:rFonts w:asciiTheme="majorHAnsi" w:hAnsiTheme="majorHAnsi"/>
          <w:bCs/>
          <w:sz w:val="24"/>
          <w:szCs w:val="24"/>
        </w:rPr>
        <w:t>(cost)</w:t>
      </w:r>
      <w:r w:rsidR="00C0782C" w:rsidRPr="007F0E13">
        <w:rPr>
          <w:rFonts w:asciiTheme="majorHAnsi" w:hAnsiTheme="majorHAnsi"/>
          <w:bCs/>
          <w:sz w:val="24"/>
          <w:szCs w:val="24"/>
        </w:rPr>
        <w:t xml:space="preserve"> only</w:t>
      </w:r>
      <w:r w:rsidR="00DB0287" w:rsidRPr="007F0E13">
        <w:rPr>
          <w:rFonts w:asciiTheme="majorHAnsi" w:hAnsiTheme="majorHAnsi"/>
          <w:bCs/>
          <w:sz w:val="24"/>
          <w:szCs w:val="24"/>
        </w:rPr>
        <w:t xml:space="preserve"> contains 26 questions</w:t>
      </w:r>
      <w:r w:rsidR="006252C3" w:rsidRPr="007F0E13">
        <w:rPr>
          <w:rFonts w:asciiTheme="majorHAnsi" w:hAnsiTheme="majorHAnsi"/>
          <w:bCs/>
          <w:sz w:val="24"/>
          <w:szCs w:val="24"/>
        </w:rPr>
        <w:t xml:space="preserve"> </w:t>
      </w:r>
      <w:r w:rsidR="00641E6F" w:rsidRPr="007F0E13">
        <w:rPr>
          <w:rFonts w:asciiTheme="majorHAnsi" w:hAnsiTheme="majorHAnsi"/>
          <w:bCs/>
          <w:sz w:val="24"/>
          <w:szCs w:val="24"/>
        </w:rPr>
        <w:t>related to following areas: 1)</w:t>
      </w:r>
      <w:r w:rsidRPr="007F0E13">
        <w:rPr>
          <w:rFonts w:asciiTheme="majorHAnsi" w:hAnsiTheme="majorHAnsi"/>
          <w:bCs/>
          <w:sz w:val="24"/>
          <w:szCs w:val="24"/>
        </w:rPr>
        <w:t xml:space="preserve"> </w:t>
      </w:r>
      <w:r w:rsidR="00641E6F" w:rsidRPr="007F0E13">
        <w:rPr>
          <w:rFonts w:asciiTheme="majorHAnsi" w:hAnsiTheme="majorHAnsi"/>
          <w:bCs/>
          <w:sz w:val="24"/>
          <w:szCs w:val="24"/>
        </w:rPr>
        <w:t xml:space="preserve">the jurisdiction’s experience with </w:t>
      </w:r>
      <w:proofErr w:type="spellStart"/>
      <w:r w:rsidR="00641E6F" w:rsidRPr="007F0E13">
        <w:rPr>
          <w:rFonts w:asciiTheme="majorHAnsi" w:hAnsiTheme="majorHAnsi"/>
          <w:bCs/>
          <w:sz w:val="24"/>
          <w:szCs w:val="24"/>
        </w:rPr>
        <w:t>syndromic</w:t>
      </w:r>
      <w:proofErr w:type="spellEnd"/>
      <w:r w:rsidR="00641E6F" w:rsidRPr="007F0E13">
        <w:rPr>
          <w:rFonts w:asciiTheme="majorHAnsi" w:hAnsiTheme="majorHAnsi"/>
          <w:bCs/>
          <w:sz w:val="24"/>
          <w:szCs w:val="24"/>
        </w:rPr>
        <w:t xml:space="preserve"> surveillance; 2)</w:t>
      </w:r>
      <w:r w:rsidRPr="007F0E13">
        <w:rPr>
          <w:rFonts w:asciiTheme="majorHAnsi" w:hAnsiTheme="majorHAnsi"/>
          <w:bCs/>
          <w:sz w:val="24"/>
          <w:szCs w:val="24"/>
        </w:rPr>
        <w:t xml:space="preserve"> </w:t>
      </w:r>
      <w:r w:rsidR="00641E6F" w:rsidRPr="007F0E13">
        <w:rPr>
          <w:rFonts w:asciiTheme="majorHAnsi" w:hAnsiTheme="majorHAnsi"/>
          <w:bCs/>
          <w:sz w:val="24"/>
          <w:szCs w:val="24"/>
        </w:rPr>
        <w:t xml:space="preserve">budget and resources for their </w:t>
      </w:r>
      <w:proofErr w:type="spellStart"/>
      <w:r w:rsidR="00641E6F" w:rsidRPr="007F0E13">
        <w:rPr>
          <w:rFonts w:asciiTheme="majorHAnsi" w:hAnsiTheme="majorHAnsi"/>
          <w:bCs/>
          <w:sz w:val="24"/>
          <w:szCs w:val="24"/>
        </w:rPr>
        <w:t>syndromic</w:t>
      </w:r>
      <w:proofErr w:type="spellEnd"/>
      <w:r w:rsidR="00641E6F" w:rsidRPr="007F0E13">
        <w:rPr>
          <w:rFonts w:asciiTheme="majorHAnsi" w:hAnsiTheme="majorHAnsi"/>
          <w:bCs/>
          <w:sz w:val="24"/>
          <w:szCs w:val="24"/>
        </w:rPr>
        <w:t xml:space="preserve"> surveillance efforts; 3) </w:t>
      </w:r>
      <w:proofErr w:type="spellStart"/>
      <w:r w:rsidR="00641E6F" w:rsidRPr="007F0E13">
        <w:rPr>
          <w:rFonts w:asciiTheme="majorHAnsi" w:hAnsiTheme="majorHAnsi"/>
          <w:bCs/>
          <w:sz w:val="24"/>
          <w:szCs w:val="24"/>
        </w:rPr>
        <w:t>BioSense</w:t>
      </w:r>
      <w:proofErr w:type="spellEnd"/>
      <w:r w:rsidR="00641E6F" w:rsidRPr="007F0E13">
        <w:rPr>
          <w:rFonts w:asciiTheme="majorHAnsi" w:hAnsiTheme="majorHAnsi"/>
          <w:bCs/>
          <w:sz w:val="24"/>
          <w:szCs w:val="24"/>
        </w:rPr>
        <w:t xml:space="preserve"> 2.0 specific labor and capital; and 4) their overall experience with </w:t>
      </w:r>
      <w:proofErr w:type="spellStart"/>
      <w:r w:rsidR="00641E6F" w:rsidRPr="007F0E13">
        <w:rPr>
          <w:rFonts w:asciiTheme="majorHAnsi" w:hAnsiTheme="majorHAnsi"/>
          <w:bCs/>
          <w:sz w:val="24"/>
          <w:szCs w:val="24"/>
        </w:rPr>
        <w:t>BioSense</w:t>
      </w:r>
      <w:proofErr w:type="spellEnd"/>
      <w:r w:rsidR="00641E6F" w:rsidRPr="007F0E13">
        <w:rPr>
          <w:rFonts w:asciiTheme="majorHAnsi" w:hAnsiTheme="majorHAnsi"/>
          <w:bCs/>
          <w:sz w:val="24"/>
          <w:szCs w:val="24"/>
        </w:rPr>
        <w:t xml:space="preserve"> 2.0.</w:t>
      </w:r>
      <w:r w:rsidR="00951CB3" w:rsidRPr="007F0E13">
        <w:rPr>
          <w:rFonts w:asciiTheme="majorHAnsi" w:hAnsiTheme="majorHAnsi"/>
          <w:bCs/>
          <w:sz w:val="24"/>
          <w:szCs w:val="24"/>
        </w:rPr>
        <w:t xml:space="preserve"> </w:t>
      </w:r>
      <w:r w:rsidR="00951CB3" w:rsidRPr="00B71DCE">
        <w:rPr>
          <w:rFonts w:asciiTheme="majorHAnsi" w:hAnsiTheme="majorHAnsi"/>
          <w:sz w:val="24"/>
          <w:szCs w:val="24"/>
        </w:rPr>
        <w:t>Information for the cost case study will be collected from STLT Chief Epidemiologists</w:t>
      </w:r>
      <w:r w:rsidR="003515BF" w:rsidRPr="00B71DCE">
        <w:rPr>
          <w:rFonts w:asciiTheme="majorHAnsi" w:hAnsiTheme="majorHAnsi"/>
          <w:sz w:val="24"/>
          <w:szCs w:val="24"/>
        </w:rPr>
        <w:t xml:space="preserve"> and onboarding team members</w:t>
      </w:r>
      <w:r w:rsidR="00E5098A" w:rsidRPr="00B71DCE">
        <w:rPr>
          <w:rFonts w:asciiTheme="majorHAnsi" w:hAnsiTheme="majorHAnsi"/>
          <w:sz w:val="24"/>
          <w:szCs w:val="24"/>
        </w:rPr>
        <w:t>.</w:t>
      </w:r>
      <w:r w:rsidR="00951CB3" w:rsidRPr="007F0E13">
        <w:rPr>
          <w:rFonts w:asciiTheme="majorHAnsi" w:hAnsiTheme="majorHAnsi"/>
          <w:sz w:val="24"/>
          <w:szCs w:val="24"/>
        </w:rPr>
        <w:t xml:space="preserve"> </w:t>
      </w:r>
      <w:r w:rsidR="003055BE" w:rsidRPr="007F0E13">
        <w:rPr>
          <w:rFonts w:asciiTheme="majorHAnsi" w:hAnsiTheme="majorHAnsi"/>
          <w:sz w:val="24"/>
          <w:szCs w:val="24"/>
        </w:rPr>
        <w:t xml:space="preserve"> </w:t>
      </w:r>
      <w:r w:rsidR="00951CB3" w:rsidRPr="007F0E13">
        <w:rPr>
          <w:rFonts w:asciiTheme="majorHAnsi" w:hAnsiTheme="majorHAnsi"/>
          <w:sz w:val="24"/>
          <w:szCs w:val="24"/>
        </w:rPr>
        <w:t xml:space="preserve">Emphasis will be placed on accurately estimating the costs of participation in the </w:t>
      </w:r>
      <w:proofErr w:type="spellStart"/>
      <w:r w:rsidR="00951CB3" w:rsidRPr="007F0E13">
        <w:rPr>
          <w:rFonts w:asciiTheme="majorHAnsi" w:hAnsiTheme="majorHAnsi"/>
          <w:sz w:val="24"/>
          <w:szCs w:val="24"/>
        </w:rPr>
        <w:t>BioSense</w:t>
      </w:r>
      <w:proofErr w:type="spellEnd"/>
      <w:r w:rsidR="00951CB3" w:rsidRPr="007F0E13">
        <w:rPr>
          <w:rFonts w:asciiTheme="majorHAnsi" w:hAnsiTheme="majorHAnsi"/>
          <w:sz w:val="24"/>
          <w:szCs w:val="24"/>
        </w:rPr>
        <w:t xml:space="preserve"> 2.0 community—labor, capital, and services spending—including adoption costs and ongoing costs</w:t>
      </w:r>
      <w:r w:rsidRPr="007F0E13">
        <w:rPr>
          <w:rFonts w:asciiTheme="majorHAnsi" w:hAnsiTheme="majorHAnsi"/>
          <w:sz w:val="24"/>
          <w:szCs w:val="24"/>
        </w:rPr>
        <w:t>.</w:t>
      </w:r>
      <w:r w:rsidR="00951CB3" w:rsidRPr="007F0E13">
        <w:rPr>
          <w:rFonts w:asciiTheme="majorHAnsi" w:hAnsiTheme="majorHAnsi"/>
          <w:sz w:val="24"/>
          <w:szCs w:val="24"/>
        </w:rPr>
        <w:t xml:space="preserve"> Data collection will include a </w:t>
      </w:r>
      <w:r w:rsidRPr="007F0E13">
        <w:rPr>
          <w:rFonts w:asciiTheme="majorHAnsi" w:hAnsiTheme="majorHAnsi"/>
          <w:sz w:val="24"/>
          <w:szCs w:val="24"/>
        </w:rPr>
        <w:t xml:space="preserve">short </w:t>
      </w:r>
      <w:r w:rsidR="007A43B7" w:rsidRPr="007F0E13">
        <w:rPr>
          <w:rFonts w:asciiTheme="majorHAnsi" w:hAnsiTheme="majorHAnsi"/>
          <w:sz w:val="24"/>
          <w:szCs w:val="24"/>
        </w:rPr>
        <w:t>Excel spreadsheet with information that the STLT health official will be asked to confirm</w:t>
      </w:r>
      <w:r w:rsidR="00951CB3" w:rsidRPr="007F0E13">
        <w:rPr>
          <w:rFonts w:asciiTheme="majorHAnsi" w:hAnsiTheme="majorHAnsi"/>
          <w:sz w:val="24"/>
          <w:szCs w:val="24"/>
        </w:rPr>
        <w:t xml:space="preserve"> </w:t>
      </w:r>
      <w:r w:rsidR="00C15BEE" w:rsidRPr="007F0E13">
        <w:rPr>
          <w:rFonts w:asciiTheme="majorHAnsi" w:hAnsiTheme="majorHAnsi"/>
          <w:sz w:val="24"/>
          <w:szCs w:val="24"/>
        </w:rPr>
        <w:t>as a part of the</w:t>
      </w:r>
      <w:r w:rsidR="00951CB3" w:rsidRPr="007F0E13">
        <w:rPr>
          <w:rFonts w:asciiTheme="majorHAnsi" w:hAnsiTheme="majorHAnsi"/>
          <w:sz w:val="24"/>
          <w:szCs w:val="24"/>
        </w:rPr>
        <w:t xml:space="preserve"> </w:t>
      </w:r>
      <w:r w:rsidR="00A6463B" w:rsidRPr="007F0E13">
        <w:rPr>
          <w:rFonts w:asciiTheme="majorHAnsi" w:hAnsiTheme="majorHAnsi"/>
          <w:sz w:val="24"/>
          <w:szCs w:val="24"/>
        </w:rPr>
        <w:t>half d</w:t>
      </w:r>
      <w:r w:rsidR="00951CB3" w:rsidRPr="007F0E13">
        <w:rPr>
          <w:rFonts w:asciiTheme="majorHAnsi" w:hAnsiTheme="majorHAnsi"/>
          <w:sz w:val="24"/>
          <w:szCs w:val="24"/>
        </w:rPr>
        <w:t xml:space="preserve">ay site visit to conduct </w:t>
      </w:r>
      <w:r w:rsidR="00C01257" w:rsidRPr="007F0E13">
        <w:rPr>
          <w:rFonts w:asciiTheme="majorHAnsi" w:hAnsiTheme="majorHAnsi"/>
          <w:sz w:val="24"/>
          <w:szCs w:val="24"/>
        </w:rPr>
        <w:t xml:space="preserve">focus groups </w:t>
      </w:r>
      <w:r w:rsidR="00951CB3" w:rsidRPr="007F0E13">
        <w:rPr>
          <w:rFonts w:asciiTheme="majorHAnsi" w:hAnsiTheme="majorHAnsi"/>
          <w:sz w:val="24"/>
          <w:szCs w:val="24"/>
        </w:rPr>
        <w:t xml:space="preserve"> with key informants.</w:t>
      </w:r>
    </w:p>
    <w:p w:rsidR="00C848BC" w:rsidRPr="007F0E13" w:rsidRDefault="00C848BC" w:rsidP="00A9285D">
      <w:pPr>
        <w:spacing w:after="0"/>
        <w:ind w:left="270"/>
        <w:rPr>
          <w:rFonts w:asciiTheme="majorHAnsi" w:hAnsiTheme="majorHAnsi"/>
          <w:sz w:val="24"/>
          <w:szCs w:val="24"/>
        </w:rPr>
      </w:pPr>
    </w:p>
    <w:p w:rsidR="00B8260F" w:rsidRPr="007F0E13" w:rsidRDefault="006102DA" w:rsidP="00A9285D">
      <w:pPr>
        <w:spacing w:after="0"/>
        <w:ind w:left="270"/>
        <w:rPr>
          <w:rFonts w:asciiTheme="majorHAnsi" w:hAnsiTheme="majorHAnsi"/>
          <w:sz w:val="24"/>
          <w:szCs w:val="24"/>
        </w:rPr>
      </w:pPr>
      <w:r w:rsidRPr="007F0E13">
        <w:rPr>
          <w:rFonts w:asciiTheme="majorHAnsi" w:hAnsiTheme="majorHAnsi"/>
          <w:sz w:val="24"/>
          <w:szCs w:val="24"/>
          <w:u w:val="single"/>
        </w:rPr>
        <w:t>Identification of Website(s) and Website Content Directed at Children Under 13 Years of Age</w:t>
      </w:r>
    </w:p>
    <w:p w:rsidR="006102DA" w:rsidRPr="007F0E13" w:rsidRDefault="005869D6" w:rsidP="00A9285D">
      <w:pPr>
        <w:spacing w:after="0"/>
        <w:ind w:left="270"/>
        <w:rPr>
          <w:rFonts w:asciiTheme="majorHAnsi" w:hAnsiTheme="majorHAnsi"/>
          <w:sz w:val="24"/>
          <w:szCs w:val="24"/>
        </w:rPr>
      </w:pPr>
      <w:r w:rsidRPr="007F0E13">
        <w:rPr>
          <w:rFonts w:asciiTheme="majorHAnsi" w:hAnsiTheme="majorHAnsi"/>
          <w:sz w:val="24"/>
          <w:szCs w:val="24"/>
        </w:rPr>
        <w:t xml:space="preserve">The data collection system </w:t>
      </w:r>
      <w:r w:rsidR="004C7B14" w:rsidRPr="007F0E13">
        <w:rPr>
          <w:rFonts w:asciiTheme="majorHAnsi" w:hAnsiTheme="majorHAnsi"/>
          <w:sz w:val="24"/>
          <w:szCs w:val="24"/>
        </w:rPr>
        <w:t>does not involve the use of a web-based survey.</w:t>
      </w:r>
    </w:p>
    <w:p w:rsidR="00F52BCC" w:rsidRPr="007F0E13" w:rsidRDefault="00F52BCC" w:rsidP="00A9285D">
      <w:pPr>
        <w:spacing w:after="0"/>
        <w:ind w:left="270"/>
        <w:rPr>
          <w:rFonts w:asciiTheme="majorHAnsi" w:hAnsiTheme="majorHAnsi"/>
          <w:sz w:val="24"/>
          <w:szCs w:val="24"/>
        </w:rPr>
      </w:pPr>
    </w:p>
    <w:p w:rsidR="00B12F51" w:rsidRPr="007F0E13" w:rsidRDefault="00B12F51" w:rsidP="00A9285D">
      <w:pPr>
        <w:pStyle w:val="ListParagraph"/>
        <w:numPr>
          <w:ilvl w:val="0"/>
          <w:numId w:val="2"/>
        </w:numPr>
        <w:spacing w:after="0"/>
        <w:ind w:left="360"/>
        <w:rPr>
          <w:rFonts w:asciiTheme="majorHAnsi" w:hAnsiTheme="majorHAnsi"/>
          <w:b/>
          <w:sz w:val="24"/>
          <w:szCs w:val="24"/>
        </w:rPr>
      </w:pPr>
      <w:r w:rsidRPr="007F0E13">
        <w:rPr>
          <w:rFonts w:asciiTheme="majorHAnsi" w:hAnsiTheme="majorHAnsi"/>
          <w:b/>
          <w:sz w:val="24"/>
          <w:szCs w:val="24"/>
        </w:rPr>
        <w:t>Purpose and Use of the Information Collection</w:t>
      </w:r>
    </w:p>
    <w:p w:rsidR="00C035F3" w:rsidRPr="007F0E13" w:rsidRDefault="00C035F3" w:rsidP="00A9285D">
      <w:pPr>
        <w:pStyle w:val="Header"/>
        <w:tabs>
          <w:tab w:val="clear" w:pos="4680"/>
        </w:tabs>
        <w:spacing w:line="276" w:lineRule="auto"/>
        <w:rPr>
          <w:rFonts w:asciiTheme="majorHAnsi" w:hAnsiTheme="majorHAnsi"/>
          <w:sz w:val="24"/>
          <w:szCs w:val="24"/>
        </w:rPr>
      </w:pPr>
    </w:p>
    <w:p w:rsidR="00A00A82" w:rsidRPr="007F0E13" w:rsidRDefault="00A00A82" w:rsidP="00A9285D">
      <w:pPr>
        <w:pStyle w:val="Header"/>
        <w:tabs>
          <w:tab w:val="clear" w:pos="4680"/>
        </w:tabs>
        <w:spacing w:line="276" w:lineRule="auto"/>
        <w:ind w:left="270"/>
        <w:rPr>
          <w:rFonts w:asciiTheme="majorHAnsi" w:hAnsiTheme="majorHAnsi"/>
          <w:sz w:val="24"/>
          <w:szCs w:val="24"/>
        </w:rPr>
      </w:pPr>
      <w:r w:rsidRPr="007F0E13">
        <w:rPr>
          <w:rFonts w:asciiTheme="majorHAnsi" w:hAnsiTheme="majorHAnsi"/>
          <w:sz w:val="24"/>
          <w:szCs w:val="24"/>
        </w:rPr>
        <w:t xml:space="preserve">The information collection will support a process and cost </w:t>
      </w:r>
      <w:r w:rsidR="00F94F43" w:rsidRPr="007F0E13">
        <w:rPr>
          <w:rFonts w:asciiTheme="majorHAnsi" w:hAnsiTheme="majorHAnsi"/>
          <w:sz w:val="24"/>
          <w:szCs w:val="24"/>
        </w:rPr>
        <w:t>assessment</w:t>
      </w:r>
      <w:r w:rsidRPr="007F0E13">
        <w:rPr>
          <w:rFonts w:asciiTheme="majorHAnsi" w:hAnsiTheme="majorHAnsi"/>
          <w:sz w:val="24"/>
          <w:szCs w:val="24"/>
        </w:rPr>
        <w:t xml:space="preserve"> that will be used to </w:t>
      </w:r>
      <w:r w:rsidR="00FD0BE3" w:rsidRPr="007F0E13">
        <w:rPr>
          <w:rFonts w:asciiTheme="majorHAnsi" w:hAnsiTheme="majorHAnsi"/>
          <w:sz w:val="24"/>
          <w:szCs w:val="24"/>
        </w:rPr>
        <w:t xml:space="preserve">assess </w:t>
      </w:r>
      <w:r w:rsidRPr="007F0E13">
        <w:rPr>
          <w:rFonts w:asciiTheme="majorHAnsi" w:hAnsiTheme="majorHAnsi"/>
          <w:sz w:val="24"/>
          <w:szCs w:val="24"/>
        </w:rPr>
        <w:t xml:space="preserve">progress towards and refine processes for on-boarding public health jurisdictions to </w:t>
      </w:r>
      <w:proofErr w:type="spellStart"/>
      <w:r w:rsidRPr="007F0E13">
        <w:rPr>
          <w:rFonts w:asciiTheme="majorHAnsi" w:hAnsiTheme="majorHAnsi"/>
          <w:sz w:val="24"/>
          <w:szCs w:val="24"/>
        </w:rPr>
        <w:t>BioSense</w:t>
      </w:r>
      <w:proofErr w:type="spellEnd"/>
      <w:r w:rsidRPr="007F0E13">
        <w:rPr>
          <w:rFonts w:asciiTheme="majorHAnsi" w:hAnsiTheme="majorHAnsi"/>
          <w:sz w:val="24"/>
          <w:szCs w:val="24"/>
        </w:rPr>
        <w:t xml:space="preserve"> 2.0</w:t>
      </w:r>
      <w:r w:rsidR="00C035F3" w:rsidRPr="007F0E13">
        <w:rPr>
          <w:rFonts w:asciiTheme="majorHAnsi" w:hAnsiTheme="majorHAnsi"/>
          <w:sz w:val="24"/>
          <w:szCs w:val="24"/>
        </w:rPr>
        <w:t xml:space="preserve">, and improve participation in </w:t>
      </w:r>
      <w:proofErr w:type="spellStart"/>
      <w:r w:rsidR="00C035F3" w:rsidRPr="007F0E13">
        <w:rPr>
          <w:rFonts w:asciiTheme="majorHAnsi" w:hAnsiTheme="majorHAnsi"/>
          <w:sz w:val="24"/>
          <w:szCs w:val="24"/>
        </w:rPr>
        <w:t>BioSense</w:t>
      </w:r>
      <w:proofErr w:type="spellEnd"/>
      <w:r w:rsidR="00C035F3" w:rsidRPr="007F0E13">
        <w:rPr>
          <w:rFonts w:asciiTheme="majorHAnsi" w:hAnsiTheme="majorHAnsi"/>
          <w:sz w:val="24"/>
          <w:szCs w:val="24"/>
        </w:rPr>
        <w:t xml:space="preserve"> overall</w:t>
      </w:r>
      <w:r w:rsidRPr="007F0E13">
        <w:rPr>
          <w:rFonts w:asciiTheme="majorHAnsi" w:hAnsiTheme="majorHAnsi"/>
          <w:sz w:val="24"/>
          <w:szCs w:val="24"/>
        </w:rPr>
        <w:t xml:space="preserve">. </w:t>
      </w:r>
      <w:proofErr w:type="spellStart"/>
      <w:r w:rsidRPr="007F0E13">
        <w:rPr>
          <w:rFonts w:asciiTheme="majorHAnsi" w:hAnsiTheme="majorHAnsi"/>
          <w:sz w:val="24"/>
          <w:szCs w:val="24"/>
        </w:rPr>
        <w:t>BioSense</w:t>
      </w:r>
      <w:proofErr w:type="spellEnd"/>
      <w:r w:rsidRPr="007F0E13">
        <w:rPr>
          <w:rFonts w:asciiTheme="majorHAnsi" w:hAnsiTheme="majorHAnsi"/>
          <w:sz w:val="24"/>
          <w:szCs w:val="24"/>
        </w:rPr>
        <w:t xml:space="preserve"> has been redesigned to meet needs expressed by </w:t>
      </w:r>
      <w:r w:rsidR="00DD1303" w:rsidRPr="007F0E13">
        <w:rPr>
          <w:rFonts w:asciiTheme="majorHAnsi" w:hAnsiTheme="majorHAnsi"/>
          <w:sz w:val="24"/>
          <w:szCs w:val="24"/>
        </w:rPr>
        <w:t>STLT</w:t>
      </w:r>
      <w:r w:rsidR="00DC2BDC" w:rsidRPr="007F0E13">
        <w:rPr>
          <w:rFonts w:asciiTheme="majorHAnsi" w:hAnsiTheme="majorHAnsi"/>
          <w:sz w:val="24"/>
          <w:szCs w:val="24"/>
        </w:rPr>
        <w:t xml:space="preserve"> health departments</w:t>
      </w:r>
      <w:r w:rsidRPr="007F0E13">
        <w:rPr>
          <w:rFonts w:asciiTheme="majorHAnsi" w:hAnsiTheme="majorHAnsi"/>
          <w:sz w:val="24"/>
          <w:szCs w:val="24"/>
        </w:rPr>
        <w:t xml:space="preserve">. The process and cost </w:t>
      </w:r>
      <w:r w:rsidR="00F94F43" w:rsidRPr="007F0E13">
        <w:rPr>
          <w:rFonts w:asciiTheme="majorHAnsi" w:hAnsiTheme="majorHAnsi"/>
          <w:sz w:val="24"/>
          <w:szCs w:val="24"/>
        </w:rPr>
        <w:t>assessment</w:t>
      </w:r>
      <w:r w:rsidRPr="007F0E13">
        <w:rPr>
          <w:rFonts w:asciiTheme="majorHAnsi" w:hAnsiTheme="majorHAnsi"/>
          <w:sz w:val="24"/>
          <w:szCs w:val="24"/>
        </w:rPr>
        <w:t xml:space="preserve"> aligns with recommendations from multiple </w:t>
      </w:r>
      <w:r w:rsidR="003A77EF" w:rsidRPr="007F0E13">
        <w:rPr>
          <w:rFonts w:asciiTheme="majorHAnsi" w:hAnsiTheme="majorHAnsi"/>
          <w:sz w:val="24"/>
          <w:szCs w:val="24"/>
        </w:rPr>
        <w:t>GAO</w:t>
      </w:r>
      <w:r w:rsidRPr="007F0E13">
        <w:rPr>
          <w:rFonts w:asciiTheme="majorHAnsi" w:hAnsiTheme="majorHAnsi"/>
          <w:sz w:val="24"/>
          <w:szCs w:val="24"/>
        </w:rPr>
        <w:t xml:space="preserve"> reports that specify that CDC ensure that the </w:t>
      </w:r>
      <w:proofErr w:type="spellStart"/>
      <w:r w:rsidRPr="007F0E13">
        <w:rPr>
          <w:rFonts w:asciiTheme="majorHAnsi" w:hAnsiTheme="majorHAnsi"/>
          <w:sz w:val="24"/>
          <w:szCs w:val="24"/>
        </w:rPr>
        <w:t>BioSense</w:t>
      </w:r>
      <w:proofErr w:type="spellEnd"/>
      <w:r w:rsidRPr="007F0E13">
        <w:rPr>
          <w:rFonts w:asciiTheme="majorHAnsi" w:hAnsiTheme="majorHAnsi"/>
          <w:sz w:val="24"/>
          <w:szCs w:val="24"/>
        </w:rPr>
        <w:t xml:space="preserve"> 2.0 meets the needs of </w:t>
      </w:r>
      <w:r w:rsidR="00DD1303" w:rsidRPr="007F0E13">
        <w:rPr>
          <w:rFonts w:asciiTheme="majorHAnsi" w:hAnsiTheme="majorHAnsi"/>
          <w:sz w:val="24"/>
          <w:szCs w:val="24"/>
        </w:rPr>
        <w:t>STLT</w:t>
      </w:r>
      <w:r w:rsidR="00DC2BDC" w:rsidRPr="007F0E13">
        <w:rPr>
          <w:rFonts w:asciiTheme="majorHAnsi" w:hAnsiTheme="majorHAnsi"/>
          <w:sz w:val="24"/>
          <w:szCs w:val="24"/>
        </w:rPr>
        <w:t xml:space="preserve"> health departments</w:t>
      </w:r>
      <w:r w:rsidR="00917033" w:rsidRPr="007F0E13">
        <w:rPr>
          <w:rFonts w:asciiTheme="majorHAnsi" w:hAnsiTheme="majorHAnsi"/>
          <w:sz w:val="24"/>
          <w:szCs w:val="24"/>
        </w:rPr>
        <w:t xml:space="preserve"> </w:t>
      </w:r>
      <w:r w:rsidR="00917033" w:rsidRPr="007F0E13">
        <w:rPr>
          <w:rFonts w:asciiTheme="majorHAnsi" w:hAnsiTheme="majorHAnsi"/>
          <w:b/>
          <w:sz w:val="24"/>
          <w:szCs w:val="24"/>
        </w:rPr>
        <w:t>(Attachments G and H)</w:t>
      </w:r>
      <w:r w:rsidRPr="007F0E13">
        <w:rPr>
          <w:rFonts w:asciiTheme="majorHAnsi" w:hAnsiTheme="majorHAnsi"/>
          <w:sz w:val="24"/>
          <w:szCs w:val="24"/>
        </w:rPr>
        <w:t xml:space="preserve">. </w:t>
      </w:r>
    </w:p>
    <w:p w:rsidR="0087185D" w:rsidRPr="007F0E13" w:rsidRDefault="0087185D" w:rsidP="00A9285D">
      <w:pPr>
        <w:pStyle w:val="Header"/>
        <w:spacing w:line="276" w:lineRule="auto"/>
        <w:rPr>
          <w:rFonts w:asciiTheme="majorHAnsi" w:hAnsiTheme="majorHAnsi"/>
          <w:sz w:val="24"/>
          <w:szCs w:val="24"/>
          <w:highlight w:val="yellow"/>
        </w:rPr>
      </w:pPr>
    </w:p>
    <w:p w:rsidR="0087185D" w:rsidRPr="007F0E13" w:rsidRDefault="0087185D" w:rsidP="00A9285D">
      <w:pPr>
        <w:pStyle w:val="Header"/>
        <w:spacing w:line="276" w:lineRule="auto"/>
        <w:ind w:left="270"/>
        <w:rPr>
          <w:rFonts w:asciiTheme="majorHAnsi" w:hAnsiTheme="majorHAnsi"/>
          <w:sz w:val="24"/>
          <w:szCs w:val="24"/>
        </w:rPr>
      </w:pPr>
      <w:r w:rsidRPr="007F0E13">
        <w:rPr>
          <w:rFonts w:asciiTheme="majorHAnsi" w:hAnsiTheme="majorHAnsi"/>
          <w:bCs/>
          <w:sz w:val="24"/>
          <w:szCs w:val="24"/>
        </w:rPr>
        <w:t xml:space="preserve">The purpose of Part 1 </w:t>
      </w:r>
      <w:r w:rsidR="002704FA" w:rsidRPr="007F0E13">
        <w:rPr>
          <w:rFonts w:asciiTheme="majorHAnsi" w:hAnsiTheme="majorHAnsi"/>
          <w:bCs/>
          <w:sz w:val="24"/>
          <w:szCs w:val="24"/>
        </w:rPr>
        <w:t>(</w:t>
      </w:r>
      <w:r w:rsidR="007C76FD" w:rsidRPr="007F0E13">
        <w:rPr>
          <w:rFonts w:asciiTheme="majorHAnsi" w:hAnsiTheme="majorHAnsi"/>
          <w:bCs/>
          <w:sz w:val="24"/>
          <w:szCs w:val="24"/>
        </w:rPr>
        <w:t>o</w:t>
      </w:r>
      <w:r w:rsidR="002704FA" w:rsidRPr="007F0E13">
        <w:rPr>
          <w:rFonts w:asciiTheme="majorHAnsi" w:hAnsiTheme="majorHAnsi"/>
          <w:bCs/>
          <w:sz w:val="24"/>
          <w:szCs w:val="24"/>
        </w:rPr>
        <w:t xml:space="preserve">nboarding) </w:t>
      </w:r>
      <w:r w:rsidRPr="007F0E13">
        <w:rPr>
          <w:rFonts w:asciiTheme="majorHAnsi" w:hAnsiTheme="majorHAnsi"/>
          <w:bCs/>
          <w:sz w:val="24"/>
          <w:szCs w:val="24"/>
        </w:rPr>
        <w:t>is to</w:t>
      </w:r>
      <w:r w:rsidRPr="007F0E13">
        <w:rPr>
          <w:rFonts w:asciiTheme="majorHAnsi" w:hAnsiTheme="majorHAnsi"/>
          <w:b/>
          <w:bCs/>
          <w:sz w:val="24"/>
          <w:szCs w:val="24"/>
        </w:rPr>
        <w:t xml:space="preserve"> </w:t>
      </w:r>
      <w:r w:rsidRPr="007F0E13">
        <w:rPr>
          <w:rFonts w:asciiTheme="majorHAnsi" w:hAnsiTheme="majorHAnsi"/>
          <w:sz w:val="24"/>
          <w:szCs w:val="24"/>
        </w:rPr>
        <w:t xml:space="preserve">identify the common and systematic barriers and challenges encountered during the </w:t>
      </w:r>
      <w:proofErr w:type="spellStart"/>
      <w:r w:rsidRPr="007F0E13">
        <w:rPr>
          <w:rFonts w:asciiTheme="majorHAnsi" w:hAnsiTheme="majorHAnsi"/>
          <w:sz w:val="24"/>
          <w:szCs w:val="24"/>
        </w:rPr>
        <w:t>BioSense</w:t>
      </w:r>
      <w:proofErr w:type="spellEnd"/>
      <w:r w:rsidRPr="007F0E13">
        <w:rPr>
          <w:rFonts w:asciiTheme="majorHAnsi" w:hAnsiTheme="majorHAnsi"/>
          <w:sz w:val="24"/>
          <w:szCs w:val="24"/>
        </w:rPr>
        <w:t xml:space="preserve"> 2.0 onboarding process and develop a </w:t>
      </w:r>
      <w:r w:rsidRPr="007F0E13">
        <w:rPr>
          <w:rFonts w:asciiTheme="majorHAnsi" w:hAnsiTheme="majorHAnsi"/>
          <w:sz w:val="24"/>
          <w:szCs w:val="24"/>
        </w:rPr>
        <w:lastRenderedPageBreak/>
        <w:t>set of solutions and best practices to address them through technical assistance activities and resources. The goals are to 1) provide input on the technical assistance nee</w:t>
      </w:r>
      <w:r w:rsidR="00C035F3" w:rsidRPr="007F0E13">
        <w:rPr>
          <w:rFonts w:asciiTheme="majorHAnsi" w:hAnsiTheme="majorHAnsi"/>
          <w:sz w:val="24"/>
          <w:szCs w:val="24"/>
        </w:rPr>
        <w:t>ds and areas for improvement; 2</w:t>
      </w:r>
      <w:r w:rsidRPr="007F0E13">
        <w:rPr>
          <w:rFonts w:asciiTheme="majorHAnsi" w:hAnsiTheme="majorHAnsi"/>
          <w:sz w:val="24"/>
          <w:szCs w:val="24"/>
        </w:rPr>
        <w:t>) provide input into technical assistance planning and material development;</w:t>
      </w:r>
      <w:r w:rsidR="00D5148A" w:rsidRPr="007F0E13">
        <w:rPr>
          <w:rFonts w:asciiTheme="majorHAnsi" w:hAnsiTheme="majorHAnsi"/>
          <w:sz w:val="24"/>
          <w:szCs w:val="24"/>
        </w:rPr>
        <w:t xml:space="preserve"> </w:t>
      </w:r>
      <w:r w:rsidR="00C035F3" w:rsidRPr="007F0E13">
        <w:rPr>
          <w:rFonts w:asciiTheme="majorHAnsi" w:hAnsiTheme="majorHAnsi"/>
          <w:sz w:val="24"/>
          <w:szCs w:val="24"/>
        </w:rPr>
        <w:t>3</w:t>
      </w:r>
      <w:r w:rsidRPr="007F0E13">
        <w:rPr>
          <w:rFonts w:asciiTheme="majorHAnsi" w:hAnsiTheme="majorHAnsi"/>
          <w:sz w:val="24"/>
          <w:szCs w:val="24"/>
        </w:rPr>
        <w:t>) develop best practices/ standard operating procedures for onboar</w:t>
      </w:r>
      <w:r w:rsidR="00C035F3" w:rsidRPr="007F0E13">
        <w:rPr>
          <w:rFonts w:asciiTheme="majorHAnsi" w:hAnsiTheme="majorHAnsi"/>
          <w:sz w:val="24"/>
          <w:szCs w:val="24"/>
        </w:rPr>
        <w:t>ding barriers/challenges; and 4</w:t>
      </w:r>
      <w:r w:rsidRPr="007F0E13">
        <w:rPr>
          <w:rFonts w:asciiTheme="majorHAnsi" w:hAnsiTheme="majorHAnsi"/>
          <w:sz w:val="24"/>
          <w:szCs w:val="24"/>
        </w:rPr>
        <w:t xml:space="preserve">) help other </w:t>
      </w:r>
      <w:r w:rsidR="00A6463B" w:rsidRPr="007F0E13">
        <w:rPr>
          <w:rFonts w:asciiTheme="majorHAnsi" w:hAnsiTheme="majorHAnsi"/>
          <w:sz w:val="24"/>
          <w:szCs w:val="24"/>
        </w:rPr>
        <w:t>STLT health departments</w:t>
      </w:r>
      <w:r w:rsidR="00A6463B" w:rsidRPr="007F0E13" w:rsidDel="00A6463B">
        <w:rPr>
          <w:rFonts w:asciiTheme="majorHAnsi" w:hAnsiTheme="majorHAnsi"/>
          <w:sz w:val="24"/>
          <w:szCs w:val="24"/>
        </w:rPr>
        <w:t xml:space="preserve"> </w:t>
      </w:r>
      <w:r w:rsidRPr="007F0E13">
        <w:rPr>
          <w:rFonts w:asciiTheme="majorHAnsi" w:hAnsiTheme="majorHAnsi"/>
          <w:sz w:val="24"/>
          <w:szCs w:val="24"/>
        </w:rPr>
        <w:t xml:space="preserve">prepare for </w:t>
      </w:r>
      <w:proofErr w:type="spellStart"/>
      <w:r w:rsidRPr="007F0E13">
        <w:rPr>
          <w:rFonts w:asciiTheme="majorHAnsi" w:hAnsiTheme="majorHAnsi"/>
          <w:sz w:val="24"/>
          <w:szCs w:val="24"/>
        </w:rPr>
        <w:t>BioSense</w:t>
      </w:r>
      <w:proofErr w:type="spellEnd"/>
      <w:r w:rsidR="001D3226" w:rsidRPr="007F0E13">
        <w:rPr>
          <w:rFonts w:asciiTheme="majorHAnsi" w:hAnsiTheme="majorHAnsi"/>
          <w:sz w:val="24"/>
          <w:szCs w:val="24"/>
        </w:rPr>
        <w:t xml:space="preserve"> 2.0</w:t>
      </w:r>
      <w:r w:rsidRPr="007F0E13">
        <w:rPr>
          <w:rFonts w:asciiTheme="majorHAnsi" w:hAnsiTheme="majorHAnsi"/>
          <w:sz w:val="24"/>
          <w:szCs w:val="24"/>
        </w:rPr>
        <w:t xml:space="preserve"> onboarding</w:t>
      </w:r>
      <w:r w:rsidR="003055BE" w:rsidRPr="007F0E13">
        <w:rPr>
          <w:rFonts w:asciiTheme="majorHAnsi" w:hAnsiTheme="majorHAnsi"/>
          <w:sz w:val="24"/>
          <w:szCs w:val="24"/>
        </w:rPr>
        <w:t xml:space="preserve">. </w:t>
      </w:r>
      <w:r w:rsidRPr="007F0E13">
        <w:rPr>
          <w:rFonts w:asciiTheme="majorHAnsi" w:hAnsiTheme="majorHAnsi"/>
          <w:sz w:val="24"/>
          <w:szCs w:val="24"/>
        </w:rPr>
        <w:t xml:space="preserve"> The results will present a set of specific recommendations from </w:t>
      </w:r>
      <w:r w:rsidR="00DD1303" w:rsidRPr="007F0E13">
        <w:rPr>
          <w:rFonts w:asciiTheme="majorHAnsi" w:hAnsiTheme="majorHAnsi"/>
          <w:sz w:val="24"/>
          <w:szCs w:val="24"/>
        </w:rPr>
        <w:t>STLT</w:t>
      </w:r>
      <w:r w:rsidR="003055BE" w:rsidRPr="007F0E13">
        <w:rPr>
          <w:rFonts w:asciiTheme="majorHAnsi" w:hAnsiTheme="majorHAnsi"/>
          <w:sz w:val="24"/>
          <w:szCs w:val="24"/>
        </w:rPr>
        <w:t xml:space="preserve"> health departments </w:t>
      </w:r>
      <w:r w:rsidRPr="007F0E13">
        <w:rPr>
          <w:rFonts w:asciiTheme="majorHAnsi" w:hAnsiTheme="majorHAnsi"/>
          <w:sz w:val="24"/>
          <w:szCs w:val="24"/>
        </w:rPr>
        <w:t xml:space="preserve">currently using </w:t>
      </w:r>
      <w:proofErr w:type="spellStart"/>
      <w:r w:rsidRPr="007F0E13">
        <w:rPr>
          <w:rFonts w:asciiTheme="majorHAnsi" w:hAnsiTheme="majorHAnsi"/>
          <w:sz w:val="24"/>
          <w:szCs w:val="24"/>
        </w:rPr>
        <w:t>BioSense</w:t>
      </w:r>
      <w:proofErr w:type="spellEnd"/>
      <w:r w:rsidRPr="007F0E13">
        <w:rPr>
          <w:rFonts w:asciiTheme="majorHAnsi" w:hAnsiTheme="majorHAnsi"/>
          <w:sz w:val="24"/>
          <w:szCs w:val="24"/>
        </w:rPr>
        <w:t xml:space="preserve"> 2.0 that CDC will act upon to enhance the onboarding experience for </w:t>
      </w:r>
      <w:r w:rsidR="00A6463B" w:rsidRPr="007F0E13">
        <w:rPr>
          <w:rFonts w:asciiTheme="majorHAnsi" w:hAnsiTheme="majorHAnsi"/>
          <w:sz w:val="24"/>
          <w:szCs w:val="24"/>
        </w:rPr>
        <w:t>STLT health departments</w:t>
      </w:r>
      <w:r w:rsidRPr="007F0E13">
        <w:rPr>
          <w:rFonts w:asciiTheme="majorHAnsi" w:hAnsiTheme="majorHAnsi"/>
          <w:sz w:val="24"/>
          <w:szCs w:val="24"/>
        </w:rPr>
        <w:t xml:space="preserve">. The </w:t>
      </w:r>
      <w:r w:rsidR="003A2BAB" w:rsidRPr="007F0E13">
        <w:rPr>
          <w:rFonts w:asciiTheme="majorHAnsi" w:hAnsiTheme="majorHAnsi"/>
          <w:sz w:val="24"/>
          <w:szCs w:val="24"/>
        </w:rPr>
        <w:t xml:space="preserve">assessment </w:t>
      </w:r>
      <w:r w:rsidRPr="007F0E13">
        <w:rPr>
          <w:rFonts w:asciiTheme="majorHAnsi" w:hAnsiTheme="majorHAnsi"/>
          <w:sz w:val="24"/>
          <w:szCs w:val="24"/>
        </w:rPr>
        <w:t>will document best practices and standard operating procedures to support technical assistance.  In addition, the findings of the onboarding case study will be used to develop technical assistance materials (e.g. tip sheets, webinars, readiness tools) and resources</w:t>
      </w:r>
      <w:r w:rsidR="00D16E89" w:rsidRPr="007F0E13">
        <w:rPr>
          <w:rFonts w:asciiTheme="majorHAnsi" w:hAnsiTheme="majorHAnsi"/>
          <w:sz w:val="24"/>
          <w:szCs w:val="24"/>
        </w:rPr>
        <w:t>.</w:t>
      </w:r>
    </w:p>
    <w:p w:rsidR="0087185D" w:rsidRPr="007F0E13" w:rsidRDefault="0087185D" w:rsidP="00A9285D">
      <w:pPr>
        <w:spacing w:after="0"/>
        <w:ind w:left="270"/>
        <w:rPr>
          <w:rFonts w:asciiTheme="majorHAnsi" w:hAnsiTheme="majorHAnsi"/>
          <w:bCs/>
          <w:sz w:val="24"/>
          <w:szCs w:val="24"/>
        </w:rPr>
      </w:pPr>
    </w:p>
    <w:p w:rsidR="0087185D" w:rsidRPr="007F0E13" w:rsidRDefault="0087185D" w:rsidP="00A9285D">
      <w:pPr>
        <w:spacing w:after="0"/>
        <w:ind w:left="270"/>
        <w:rPr>
          <w:rFonts w:asciiTheme="majorHAnsi" w:hAnsiTheme="majorHAnsi"/>
          <w:bCs/>
          <w:sz w:val="24"/>
          <w:szCs w:val="24"/>
        </w:rPr>
      </w:pPr>
      <w:r w:rsidRPr="007F0E13">
        <w:rPr>
          <w:rFonts w:asciiTheme="majorHAnsi" w:hAnsiTheme="majorHAnsi"/>
          <w:bCs/>
          <w:sz w:val="24"/>
          <w:szCs w:val="24"/>
        </w:rPr>
        <w:t xml:space="preserve">The purpose of Part 2 </w:t>
      </w:r>
      <w:r w:rsidR="002704FA" w:rsidRPr="007F0E13">
        <w:rPr>
          <w:rFonts w:asciiTheme="majorHAnsi" w:hAnsiTheme="majorHAnsi"/>
          <w:bCs/>
          <w:sz w:val="24"/>
          <w:szCs w:val="24"/>
        </w:rPr>
        <w:t>(</w:t>
      </w:r>
      <w:r w:rsidR="007C76FD" w:rsidRPr="007F0E13">
        <w:rPr>
          <w:rFonts w:asciiTheme="majorHAnsi" w:hAnsiTheme="majorHAnsi"/>
          <w:bCs/>
          <w:sz w:val="24"/>
          <w:szCs w:val="24"/>
        </w:rPr>
        <w:t>c</w:t>
      </w:r>
      <w:r w:rsidR="002704FA" w:rsidRPr="007F0E13">
        <w:rPr>
          <w:rFonts w:asciiTheme="majorHAnsi" w:hAnsiTheme="majorHAnsi"/>
          <w:bCs/>
          <w:sz w:val="24"/>
          <w:szCs w:val="24"/>
        </w:rPr>
        <w:t xml:space="preserve">ost) </w:t>
      </w:r>
      <w:r w:rsidRPr="007F0E13">
        <w:rPr>
          <w:rFonts w:asciiTheme="majorHAnsi" w:hAnsiTheme="majorHAnsi"/>
          <w:bCs/>
          <w:sz w:val="24"/>
          <w:szCs w:val="24"/>
        </w:rPr>
        <w:t xml:space="preserve">is to document the costs of onboarding for </w:t>
      </w:r>
      <w:r w:rsidR="00DD1303" w:rsidRPr="007F0E13">
        <w:rPr>
          <w:rFonts w:asciiTheme="majorHAnsi" w:hAnsiTheme="majorHAnsi"/>
          <w:sz w:val="24"/>
          <w:szCs w:val="24"/>
        </w:rPr>
        <w:t>STLT</w:t>
      </w:r>
      <w:r w:rsidR="003055BE" w:rsidRPr="007F0E13">
        <w:rPr>
          <w:rFonts w:asciiTheme="majorHAnsi" w:hAnsiTheme="majorHAnsi"/>
          <w:sz w:val="24"/>
          <w:szCs w:val="24"/>
        </w:rPr>
        <w:t xml:space="preserve"> health departments</w:t>
      </w:r>
      <w:r w:rsidRPr="007F0E13">
        <w:rPr>
          <w:rFonts w:asciiTheme="majorHAnsi" w:hAnsiTheme="majorHAnsi"/>
          <w:bCs/>
          <w:sz w:val="24"/>
          <w:szCs w:val="24"/>
        </w:rPr>
        <w:t>. The costs for jurisdictions</w:t>
      </w:r>
      <w:r w:rsidR="003040F5" w:rsidRPr="007F0E13">
        <w:rPr>
          <w:rFonts w:asciiTheme="majorHAnsi" w:hAnsiTheme="majorHAnsi"/>
          <w:bCs/>
          <w:sz w:val="24"/>
          <w:szCs w:val="24"/>
        </w:rPr>
        <w:t xml:space="preserve"> will be analyzed</w:t>
      </w:r>
      <w:r w:rsidRPr="007F0E13">
        <w:rPr>
          <w:rFonts w:asciiTheme="majorHAnsi" w:hAnsiTheme="majorHAnsi"/>
          <w:bCs/>
          <w:sz w:val="24"/>
          <w:szCs w:val="24"/>
        </w:rPr>
        <w:t xml:space="preserve">, including identifying key factors affecting the costs incurred during and after onboarding.  The key goals of this cost case study are to:  1.) develop costs estimates which will be used to ensure that </w:t>
      </w:r>
      <w:proofErr w:type="spellStart"/>
      <w:r w:rsidRPr="007F0E13">
        <w:rPr>
          <w:rFonts w:asciiTheme="majorHAnsi" w:hAnsiTheme="majorHAnsi"/>
          <w:bCs/>
          <w:sz w:val="24"/>
          <w:szCs w:val="24"/>
        </w:rPr>
        <w:t>BioSense</w:t>
      </w:r>
      <w:proofErr w:type="spellEnd"/>
      <w:r w:rsidRPr="007F0E13">
        <w:rPr>
          <w:rFonts w:asciiTheme="majorHAnsi" w:hAnsiTheme="majorHAnsi"/>
          <w:bCs/>
          <w:sz w:val="24"/>
          <w:szCs w:val="24"/>
        </w:rPr>
        <w:t xml:space="preserve"> 2.0 is meeting the cost utility goals set for the system by </w:t>
      </w:r>
      <w:r w:rsidR="00DD1303" w:rsidRPr="007F0E13">
        <w:rPr>
          <w:rFonts w:asciiTheme="majorHAnsi" w:hAnsiTheme="majorHAnsi"/>
          <w:sz w:val="24"/>
          <w:szCs w:val="24"/>
        </w:rPr>
        <w:t>STLT</w:t>
      </w:r>
      <w:r w:rsidR="003055BE" w:rsidRPr="007F0E13">
        <w:rPr>
          <w:rFonts w:asciiTheme="majorHAnsi" w:hAnsiTheme="majorHAnsi"/>
          <w:sz w:val="24"/>
          <w:szCs w:val="24"/>
        </w:rPr>
        <w:t xml:space="preserve"> health departments</w:t>
      </w:r>
      <w:r w:rsidRPr="007F0E13">
        <w:rPr>
          <w:rFonts w:asciiTheme="majorHAnsi" w:hAnsiTheme="majorHAnsi"/>
          <w:bCs/>
          <w:sz w:val="24"/>
          <w:szCs w:val="24"/>
        </w:rPr>
        <w:t>; 2.)  facilitate jurisdictions</w:t>
      </w:r>
      <w:r w:rsidR="00917033" w:rsidRPr="007F0E13">
        <w:rPr>
          <w:rFonts w:asciiTheme="majorHAnsi" w:hAnsiTheme="majorHAnsi"/>
          <w:bCs/>
          <w:sz w:val="24"/>
          <w:szCs w:val="24"/>
        </w:rPr>
        <w:t>’</w:t>
      </w:r>
      <w:r w:rsidRPr="007F0E13">
        <w:rPr>
          <w:rFonts w:asciiTheme="majorHAnsi" w:hAnsiTheme="majorHAnsi"/>
          <w:bCs/>
          <w:sz w:val="24"/>
          <w:szCs w:val="24"/>
        </w:rPr>
        <w:t xml:space="preserve"> </w:t>
      </w:r>
      <w:proofErr w:type="spellStart"/>
      <w:r w:rsidRPr="007F0E13">
        <w:rPr>
          <w:rFonts w:asciiTheme="majorHAnsi" w:hAnsiTheme="majorHAnsi"/>
          <w:bCs/>
          <w:sz w:val="24"/>
          <w:szCs w:val="24"/>
        </w:rPr>
        <w:t>BioSense</w:t>
      </w:r>
      <w:proofErr w:type="spellEnd"/>
      <w:r w:rsidRPr="007F0E13">
        <w:rPr>
          <w:rFonts w:asciiTheme="majorHAnsi" w:hAnsiTheme="majorHAnsi"/>
          <w:bCs/>
          <w:sz w:val="24"/>
          <w:szCs w:val="24"/>
        </w:rPr>
        <w:t xml:space="preserve"> </w:t>
      </w:r>
      <w:r w:rsidR="003040F5" w:rsidRPr="007F0E13">
        <w:rPr>
          <w:rFonts w:asciiTheme="majorHAnsi" w:hAnsiTheme="majorHAnsi"/>
          <w:bCs/>
          <w:sz w:val="24"/>
          <w:szCs w:val="24"/>
        </w:rPr>
        <w:t>2.0 adoption planning; and 3.) a</w:t>
      </w:r>
      <w:r w:rsidRPr="007F0E13">
        <w:rPr>
          <w:rFonts w:asciiTheme="majorHAnsi" w:hAnsiTheme="majorHAnsi"/>
          <w:bCs/>
          <w:sz w:val="24"/>
          <w:szCs w:val="24"/>
        </w:rPr>
        <w:t xml:space="preserve">ssess the feasibility of systematically collecting cost data from jurisdictions in the future. The </w:t>
      </w:r>
      <w:r w:rsidR="003A2BAB" w:rsidRPr="007F0E13">
        <w:rPr>
          <w:rFonts w:asciiTheme="majorHAnsi" w:hAnsiTheme="majorHAnsi"/>
          <w:sz w:val="24"/>
          <w:szCs w:val="24"/>
        </w:rPr>
        <w:t xml:space="preserve">assessment </w:t>
      </w:r>
      <w:r w:rsidRPr="007F0E13">
        <w:rPr>
          <w:rFonts w:asciiTheme="majorHAnsi" w:hAnsiTheme="majorHAnsi"/>
          <w:bCs/>
          <w:sz w:val="24"/>
          <w:szCs w:val="24"/>
        </w:rPr>
        <w:t xml:space="preserve">will present quantitative estimates of the adoption costs and ongoing costs and qualitative assessments of the perceived benefits for each jurisdiction.  It will also provide a recommendation of whether data on the costs of participation in </w:t>
      </w:r>
      <w:proofErr w:type="spellStart"/>
      <w:r w:rsidRPr="007F0E13">
        <w:rPr>
          <w:rFonts w:asciiTheme="majorHAnsi" w:hAnsiTheme="majorHAnsi"/>
          <w:bCs/>
          <w:sz w:val="24"/>
          <w:szCs w:val="24"/>
        </w:rPr>
        <w:t>BioSense</w:t>
      </w:r>
      <w:proofErr w:type="spellEnd"/>
      <w:r w:rsidRPr="007F0E13">
        <w:rPr>
          <w:rFonts w:asciiTheme="majorHAnsi" w:hAnsiTheme="majorHAnsi"/>
          <w:bCs/>
          <w:sz w:val="24"/>
          <w:szCs w:val="24"/>
        </w:rPr>
        <w:t xml:space="preserve"> 2.0 should and can be collected, calculated, and reported moving forward.</w:t>
      </w:r>
    </w:p>
    <w:p w:rsidR="00FD0BE3" w:rsidRPr="007F0E13" w:rsidRDefault="00FD0BE3" w:rsidP="00A9285D">
      <w:pPr>
        <w:spacing w:after="0"/>
        <w:ind w:left="270"/>
        <w:rPr>
          <w:rFonts w:asciiTheme="majorHAnsi" w:hAnsiTheme="majorHAnsi"/>
          <w:bCs/>
          <w:sz w:val="24"/>
          <w:szCs w:val="24"/>
        </w:rPr>
      </w:pPr>
    </w:p>
    <w:p w:rsidR="00FD0BE3" w:rsidRPr="007F0E13" w:rsidRDefault="00FD0BE3" w:rsidP="00A9285D">
      <w:pPr>
        <w:spacing w:after="0"/>
        <w:ind w:left="270"/>
        <w:rPr>
          <w:rFonts w:asciiTheme="majorHAnsi" w:hAnsiTheme="majorHAnsi"/>
          <w:bCs/>
          <w:sz w:val="24"/>
          <w:szCs w:val="24"/>
        </w:rPr>
      </w:pPr>
      <w:r w:rsidRPr="007F0E13">
        <w:rPr>
          <w:rFonts w:asciiTheme="majorHAnsi" w:hAnsiTheme="majorHAnsi"/>
          <w:bCs/>
          <w:sz w:val="24"/>
          <w:szCs w:val="24"/>
        </w:rPr>
        <w:t xml:space="preserve">The assessment will be used to refine the participation and onboarding processes for future STLT health departments, document the actual costs of onboarding, and provide insight for where costs may be contained for future onboarding efforts.  The report audience is STLT health departments, CDC, the </w:t>
      </w:r>
      <w:proofErr w:type="spellStart"/>
      <w:r w:rsidRPr="007F0E13">
        <w:rPr>
          <w:rFonts w:asciiTheme="majorHAnsi" w:hAnsiTheme="majorHAnsi"/>
          <w:bCs/>
          <w:sz w:val="24"/>
          <w:szCs w:val="24"/>
        </w:rPr>
        <w:t>BioSense</w:t>
      </w:r>
      <w:proofErr w:type="spellEnd"/>
      <w:r w:rsidRPr="007F0E13">
        <w:rPr>
          <w:rFonts w:asciiTheme="majorHAnsi" w:hAnsiTheme="majorHAnsi"/>
          <w:bCs/>
          <w:sz w:val="24"/>
          <w:szCs w:val="24"/>
        </w:rPr>
        <w:t xml:space="preserve"> Governance Council, and federal and regional stakeholders.</w:t>
      </w:r>
    </w:p>
    <w:p w:rsidR="0087185D" w:rsidRPr="007F0E13" w:rsidRDefault="0087185D" w:rsidP="00A9285D">
      <w:pPr>
        <w:spacing w:after="0"/>
        <w:rPr>
          <w:rFonts w:asciiTheme="majorHAnsi" w:hAnsiTheme="majorHAnsi"/>
          <w:sz w:val="24"/>
          <w:szCs w:val="24"/>
        </w:rPr>
      </w:pPr>
    </w:p>
    <w:p w:rsidR="00AD7D26" w:rsidRPr="00A9285D" w:rsidRDefault="006102DA" w:rsidP="00A9285D">
      <w:pPr>
        <w:spacing w:after="0"/>
        <w:ind w:left="270"/>
        <w:rPr>
          <w:rFonts w:asciiTheme="majorHAnsi" w:hAnsiTheme="majorHAnsi"/>
          <w:sz w:val="24"/>
          <w:szCs w:val="24"/>
        </w:rPr>
      </w:pPr>
      <w:r w:rsidRPr="007F0E13">
        <w:rPr>
          <w:rFonts w:asciiTheme="majorHAnsi" w:hAnsiTheme="majorHAnsi"/>
          <w:sz w:val="24"/>
          <w:szCs w:val="24"/>
          <w:u w:val="single"/>
        </w:rPr>
        <w:t>Privacy Impact Assessment</w:t>
      </w:r>
      <w:r w:rsidR="00DB7F78" w:rsidRPr="007F0E13">
        <w:rPr>
          <w:rFonts w:asciiTheme="majorHAnsi" w:hAnsiTheme="majorHAnsi"/>
          <w:sz w:val="24"/>
          <w:szCs w:val="24"/>
          <w:u w:val="single"/>
        </w:rPr>
        <w:t xml:space="preserve"> </w:t>
      </w:r>
    </w:p>
    <w:p w:rsidR="00AD7D26" w:rsidRPr="007F0E13" w:rsidRDefault="00AD7D26" w:rsidP="00A9285D">
      <w:pPr>
        <w:pStyle w:val="ListParagraph"/>
        <w:spacing w:after="0"/>
        <w:ind w:left="270"/>
        <w:rPr>
          <w:rFonts w:asciiTheme="majorHAnsi" w:hAnsiTheme="majorHAnsi"/>
          <w:sz w:val="24"/>
          <w:szCs w:val="24"/>
        </w:rPr>
      </w:pPr>
      <w:r w:rsidRPr="007F0E13">
        <w:rPr>
          <w:rFonts w:asciiTheme="majorHAnsi" w:hAnsiTheme="majorHAnsi"/>
          <w:sz w:val="24"/>
          <w:szCs w:val="24"/>
        </w:rPr>
        <w:t xml:space="preserve">During the scheduling of the data collection visits, RTI international will potentially have information about the names of the individuals participating at the STLT health department in order to facilitate the visit agenda.  These emails and agendas </w:t>
      </w:r>
      <w:r w:rsidR="003040F5" w:rsidRPr="007F0E13">
        <w:rPr>
          <w:rFonts w:asciiTheme="majorHAnsi" w:hAnsiTheme="majorHAnsi"/>
          <w:sz w:val="24"/>
          <w:szCs w:val="24"/>
        </w:rPr>
        <w:t xml:space="preserve">associated with the logistics of the data collection will be stored on a </w:t>
      </w:r>
      <w:r w:rsidR="003040F5" w:rsidRPr="007F0E13">
        <w:rPr>
          <w:rFonts w:asciiTheme="majorHAnsi" w:hAnsiTheme="majorHAnsi"/>
          <w:iCs/>
          <w:sz w:val="24"/>
          <w:szCs w:val="24"/>
        </w:rPr>
        <w:t xml:space="preserve">secure, password protected shared drive accessible only to </w:t>
      </w:r>
      <w:r w:rsidR="003040F5" w:rsidRPr="007F0E13">
        <w:rPr>
          <w:rFonts w:asciiTheme="majorHAnsi" w:hAnsiTheme="majorHAnsi"/>
          <w:sz w:val="24"/>
          <w:szCs w:val="24"/>
        </w:rPr>
        <w:t xml:space="preserve">RTI International </w:t>
      </w:r>
      <w:r w:rsidR="003040F5" w:rsidRPr="007F0E13">
        <w:rPr>
          <w:rFonts w:asciiTheme="majorHAnsi" w:hAnsiTheme="majorHAnsi"/>
          <w:iCs/>
          <w:sz w:val="24"/>
          <w:szCs w:val="24"/>
        </w:rPr>
        <w:t>project staff</w:t>
      </w:r>
      <w:r w:rsidRPr="007F0E13">
        <w:rPr>
          <w:rFonts w:asciiTheme="majorHAnsi" w:hAnsiTheme="majorHAnsi"/>
          <w:sz w:val="24"/>
          <w:szCs w:val="24"/>
        </w:rPr>
        <w:t>.</w:t>
      </w:r>
    </w:p>
    <w:p w:rsidR="00AD7D26" w:rsidRPr="007F0E13" w:rsidRDefault="00AD7D26" w:rsidP="00A9285D">
      <w:pPr>
        <w:pStyle w:val="ListParagraph"/>
        <w:spacing w:after="0"/>
        <w:ind w:left="270"/>
        <w:rPr>
          <w:rFonts w:asciiTheme="majorHAnsi" w:hAnsiTheme="majorHAnsi"/>
          <w:sz w:val="24"/>
          <w:szCs w:val="24"/>
        </w:rPr>
      </w:pPr>
    </w:p>
    <w:p w:rsidR="00951CB3" w:rsidRPr="007F0E13" w:rsidRDefault="006D0B06" w:rsidP="00A9285D">
      <w:pPr>
        <w:pStyle w:val="ListParagraph"/>
        <w:spacing w:after="0"/>
        <w:ind w:left="270"/>
        <w:rPr>
          <w:rFonts w:asciiTheme="majorHAnsi" w:hAnsiTheme="majorHAnsi"/>
          <w:sz w:val="24"/>
          <w:szCs w:val="24"/>
        </w:rPr>
      </w:pPr>
      <w:r w:rsidRPr="007F0E13">
        <w:rPr>
          <w:rFonts w:asciiTheme="majorHAnsi" w:hAnsiTheme="majorHAnsi"/>
          <w:sz w:val="24"/>
          <w:szCs w:val="24"/>
        </w:rPr>
        <w:t xml:space="preserve">For purposes of gathering and organizing the interview responses, participants will be referenced by a number, e.g. “participant 1, 2, and 3, etc.” during the </w:t>
      </w:r>
      <w:r w:rsidR="00C01257" w:rsidRPr="007F0E13">
        <w:rPr>
          <w:rFonts w:asciiTheme="majorHAnsi" w:hAnsiTheme="majorHAnsi"/>
          <w:sz w:val="24"/>
          <w:szCs w:val="24"/>
        </w:rPr>
        <w:t xml:space="preserve">focus groups </w:t>
      </w:r>
      <w:r w:rsidRPr="007F0E13">
        <w:rPr>
          <w:rFonts w:asciiTheme="majorHAnsi" w:hAnsiTheme="majorHAnsi"/>
          <w:sz w:val="24"/>
          <w:szCs w:val="24"/>
        </w:rPr>
        <w:t>.</w:t>
      </w:r>
      <w:r w:rsidR="00A00A82" w:rsidRPr="007F0E13">
        <w:rPr>
          <w:rFonts w:asciiTheme="majorHAnsi" w:hAnsiTheme="majorHAnsi"/>
          <w:sz w:val="24"/>
          <w:szCs w:val="24"/>
        </w:rPr>
        <w:t xml:space="preserve"> </w:t>
      </w:r>
      <w:r w:rsidR="0087185D" w:rsidRPr="007F0E13">
        <w:rPr>
          <w:rFonts w:asciiTheme="majorHAnsi" w:hAnsiTheme="majorHAnsi"/>
          <w:sz w:val="24"/>
          <w:szCs w:val="24"/>
        </w:rPr>
        <w:t xml:space="preserve">There will be no personally identifiable information collected.  </w:t>
      </w:r>
    </w:p>
    <w:p w:rsidR="00951CB3" w:rsidRPr="007F0E13" w:rsidRDefault="00951CB3" w:rsidP="00A9285D">
      <w:pPr>
        <w:pStyle w:val="ListParagraph"/>
        <w:spacing w:after="0"/>
        <w:ind w:left="270"/>
        <w:rPr>
          <w:rFonts w:asciiTheme="majorHAnsi" w:hAnsiTheme="majorHAnsi"/>
          <w:sz w:val="24"/>
          <w:szCs w:val="24"/>
        </w:rPr>
      </w:pPr>
    </w:p>
    <w:p w:rsidR="006D0B06" w:rsidRPr="007F0E13" w:rsidRDefault="006D0B06" w:rsidP="00A9285D">
      <w:pPr>
        <w:pStyle w:val="ListParagraph"/>
        <w:ind w:left="270"/>
        <w:rPr>
          <w:rFonts w:asciiTheme="majorHAnsi" w:hAnsiTheme="majorHAnsi"/>
          <w:sz w:val="24"/>
          <w:szCs w:val="24"/>
        </w:rPr>
      </w:pPr>
      <w:r w:rsidRPr="007F0E13">
        <w:rPr>
          <w:rFonts w:asciiTheme="majorHAnsi" w:hAnsiTheme="majorHAnsi"/>
          <w:sz w:val="24"/>
          <w:szCs w:val="24"/>
        </w:rPr>
        <w:t xml:space="preserve">The </w:t>
      </w:r>
      <w:r w:rsidR="00C01257" w:rsidRPr="007F0E13">
        <w:rPr>
          <w:rFonts w:asciiTheme="majorHAnsi" w:hAnsiTheme="majorHAnsi"/>
          <w:sz w:val="24"/>
          <w:szCs w:val="24"/>
        </w:rPr>
        <w:t xml:space="preserve">focus groups </w:t>
      </w:r>
      <w:r w:rsidRPr="007F0E13">
        <w:rPr>
          <w:rFonts w:asciiTheme="majorHAnsi" w:hAnsiTheme="majorHAnsi"/>
          <w:sz w:val="24"/>
          <w:szCs w:val="24"/>
        </w:rPr>
        <w:t>will be recorded</w:t>
      </w:r>
      <w:r w:rsidR="003055BE" w:rsidRPr="007F0E13">
        <w:rPr>
          <w:rFonts w:asciiTheme="majorHAnsi" w:hAnsiTheme="majorHAnsi"/>
          <w:sz w:val="24"/>
          <w:szCs w:val="24"/>
        </w:rPr>
        <w:t>. R</w:t>
      </w:r>
      <w:r w:rsidRPr="007F0E13">
        <w:rPr>
          <w:rFonts w:asciiTheme="majorHAnsi" w:hAnsiTheme="majorHAnsi"/>
          <w:sz w:val="24"/>
          <w:szCs w:val="24"/>
        </w:rPr>
        <w:t>ecordings will be destroyed after qualitative analysis of information contained therein</w:t>
      </w:r>
      <w:r w:rsidR="004337C8" w:rsidRPr="007F0E13">
        <w:rPr>
          <w:rFonts w:asciiTheme="majorHAnsi" w:hAnsiTheme="majorHAnsi"/>
          <w:sz w:val="24"/>
          <w:szCs w:val="24"/>
        </w:rPr>
        <w:t xml:space="preserve"> and the final report has been completed</w:t>
      </w:r>
      <w:r w:rsidRPr="007F0E13">
        <w:rPr>
          <w:rFonts w:asciiTheme="majorHAnsi" w:hAnsiTheme="majorHAnsi"/>
          <w:sz w:val="24"/>
          <w:szCs w:val="24"/>
        </w:rPr>
        <w:t xml:space="preserve">.  A consent form will be used which indicates </w:t>
      </w:r>
      <w:r w:rsidR="0087185D" w:rsidRPr="007F0E13">
        <w:rPr>
          <w:rFonts w:asciiTheme="majorHAnsi" w:hAnsiTheme="majorHAnsi"/>
          <w:sz w:val="24"/>
          <w:szCs w:val="24"/>
        </w:rPr>
        <w:t xml:space="preserve">the STLT </w:t>
      </w:r>
      <w:r w:rsidR="00917033" w:rsidRPr="007F0E13">
        <w:rPr>
          <w:rFonts w:asciiTheme="majorHAnsi" w:hAnsiTheme="majorHAnsi"/>
          <w:sz w:val="24"/>
          <w:szCs w:val="24"/>
        </w:rPr>
        <w:t xml:space="preserve">health department’s </w:t>
      </w:r>
      <w:r w:rsidR="0087185D" w:rsidRPr="007F0E13">
        <w:rPr>
          <w:rFonts w:asciiTheme="majorHAnsi" w:hAnsiTheme="majorHAnsi"/>
          <w:sz w:val="24"/>
          <w:szCs w:val="24"/>
        </w:rPr>
        <w:t xml:space="preserve">agreement to participate in the </w:t>
      </w:r>
      <w:r w:rsidR="00917033" w:rsidRPr="007F0E13">
        <w:rPr>
          <w:rFonts w:asciiTheme="majorHAnsi" w:hAnsiTheme="majorHAnsi"/>
          <w:sz w:val="24"/>
          <w:szCs w:val="24"/>
        </w:rPr>
        <w:t xml:space="preserve">information </w:t>
      </w:r>
      <w:proofErr w:type="spellStart"/>
      <w:r w:rsidR="00917033" w:rsidRPr="007F0E13">
        <w:rPr>
          <w:rFonts w:asciiTheme="majorHAnsi" w:hAnsiTheme="majorHAnsi"/>
          <w:sz w:val="24"/>
          <w:szCs w:val="24"/>
        </w:rPr>
        <w:t>collection</w:t>
      </w:r>
      <w:r w:rsidR="00052F64" w:rsidRPr="007F0E13">
        <w:rPr>
          <w:rFonts w:asciiTheme="majorHAnsi" w:hAnsiTheme="majorHAnsi"/>
          <w:sz w:val="24"/>
          <w:szCs w:val="24"/>
        </w:rPr>
        <w:t>.I</w:t>
      </w:r>
      <w:r w:rsidRPr="007F0E13">
        <w:rPr>
          <w:rFonts w:asciiTheme="majorHAnsi" w:hAnsiTheme="majorHAnsi"/>
          <w:sz w:val="24"/>
          <w:szCs w:val="24"/>
        </w:rPr>
        <w:t>nformation</w:t>
      </w:r>
      <w:proofErr w:type="spellEnd"/>
      <w:r w:rsidRPr="007F0E13">
        <w:rPr>
          <w:rFonts w:asciiTheme="majorHAnsi" w:hAnsiTheme="majorHAnsi"/>
          <w:sz w:val="24"/>
          <w:szCs w:val="24"/>
        </w:rPr>
        <w:t xml:space="preserve"> will be presented in the aggregate, although direct quotes may be used to emphasize specific points.  </w:t>
      </w:r>
    </w:p>
    <w:p w:rsidR="006D0B06" w:rsidRPr="007F0E13" w:rsidRDefault="006D0B06" w:rsidP="00A9285D">
      <w:pPr>
        <w:pStyle w:val="ListParagraph"/>
        <w:ind w:left="270"/>
        <w:rPr>
          <w:rFonts w:asciiTheme="majorHAnsi" w:hAnsiTheme="majorHAnsi"/>
          <w:sz w:val="24"/>
          <w:szCs w:val="24"/>
        </w:rPr>
      </w:pPr>
    </w:p>
    <w:p w:rsidR="006361D1" w:rsidRPr="007F0E13" w:rsidRDefault="00A6730B" w:rsidP="00A9285D">
      <w:pPr>
        <w:pStyle w:val="ListParagraph"/>
        <w:ind w:left="270"/>
        <w:rPr>
          <w:rFonts w:asciiTheme="majorHAnsi" w:hAnsiTheme="majorHAnsi"/>
          <w:sz w:val="24"/>
          <w:szCs w:val="24"/>
        </w:rPr>
      </w:pPr>
      <w:r w:rsidRPr="007F0E13">
        <w:rPr>
          <w:rFonts w:asciiTheme="majorHAnsi" w:hAnsiTheme="majorHAnsi"/>
          <w:iCs/>
          <w:sz w:val="24"/>
          <w:szCs w:val="24"/>
        </w:rPr>
        <w:t>RTI</w:t>
      </w:r>
      <w:r w:rsidR="006D0B06" w:rsidRPr="007F0E13">
        <w:rPr>
          <w:rFonts w:asciiTheme="majorHAnsi" w:hAnsiTheme="majorHAnsi"/>
          <w:iCs/>
          <w:sz w:val="24"/>
          <w:szCs w:val="24"/>
        </w:rPr>
        <w:t xml:space="preserve"> </w:t>
      </w:r>
      <w:r w:rsidR="00F714B1" w:rsidRPr="007F0E13">
        <w:rPr>
          <w:rFonts w:asciiTheme="majorHAnsi" w:hAnsiTheme="majorHAnsi"/>
          <w:iCs/>
          <w:sz w:val="24"/>
          <w:szCs w:val="24"/>
        </w:rPr>
        <w:t xml:space="preserve">International </w:t>
      </w:r>
      <w:r w:rsidR="006D0B06" w:rsidRPr="007F0E13">
        <w:rPr>
          <w:rFonts w:asciiTheme="majorHAnsi" w:hAnsiTheme="majorHAnsi"/>
          <w:iCs/>
          <w:sz w:val="24"/>
          <w:szCs w:val="24"/>
        </w:rPr>
        <w:t xml:space="preserve">will maintain electronic </w:t>
      </w:r>
      <w:r w:rsidR="00917033" w:rsidRPr="007F0E13">
        <w:rPr>
          <w:rFonts w:asciiTheme="majorHAnsi" w:hAnsiTheme="majorHAnsi"/>
          <w:iCs/>
          <w:sz w:val="24"/>
          <w:szCs w:val="24"/>
        </w:rPr>
        <w:t xml:space="preserve">documents </w:t>
      </w:r>
      <w:r w:rsidR="006D0B06" w:rsidRPr="007F0E13">
        <w:rPr>
          <w:rFonts w:asciiTheme="majorHAnsi" w:hAnsiTheme="majorHAnsi"/>
          <w:iCs/>
          <w:sz w:val="24"/>
          <w:szCs w:val="24"/>
        </w:rPr>
        <w:t xml:space="preserve">on a secure, password protected </w:t>
      </w:r>
      <w:r w:rsidR="00D16E89" w:rsidRPr="007F0E13">
        <w:rPr>
          <w:rFonts w:asciiTheme="majorHAnsi" w:hAnsiTheme="majorHAnsi"/>
          <w:iCs/>
          <w:sz w:val="24"/>
          <w:szCs w:val="24"/>
        </w:rPr>
        <w:t>s</w:t>
      </w:r>
      <w:r w:rsidR="006D0B06" w:rsidRPr="007F0E13">
        <w:rPr>
          <w:rFonts w:asciiTheme="majorHAnsi" w:hAnsiTheme="majorHAnsi"/>
          <w:iCs/>
          <w:sz w:val="24"/>
          <w:szCs w:val="24"/>
        </w:rPr>
        <w:t>hare</w:t>
      </w:r>
      <w:r w:rsidR="00D16E89" w:rsidRPr="007F0E13">
        <w:rPr>
          <w:rFonts w:asciiTheme="majorHAnsi" w:hAnsiTheme="majorHAnsi"/>
          <w:iCs/>
          <w:sz w:val="24"/>
          <w:szCs w:val="24"/>
        </w:rPr>
        <w:t>d</w:t>
      </w:r>
      <w:r w:rsidR="006D0B06" w:rsidRPr="007F0E13">
        <w:rPr>
          <w:rFonts w:asciiTheme="majorHAnsi" w:hAnsiTheme="majorHAnsi"/>
          <w:iCs/>
          <w:sz w:val="24"/>
          <w:szCs w:val="24"/>
        </w:rPr>
        <w:t xml:space="preserve"> drive accessible only to project staff. </w:t>
      </w:r>
      <w:r w:rsidR="0087185D" w:rsidRPr="007F0E13">
        <w:rPr>
          <w:rFonts w:asciiTheme="majorHAnsi" w:hAnsiTheme="majorHAnsi"/>
          <w:iCs/>
          <w:sz w:val="24"/>
          <w:szCs w:val="24"/>
        </w:rPr>
        <w:t xml:space="preserve">Collected information will not be shared with any parties outside of the </w:t>
      </w:r>
      <w:r w:rsidR="003A2BAB" w:rsidRPr="007F0E13">
        <w:rPr>
          <w:rFonts w:asciiTheme="majorHAnsi" w:hAnsiTheme="majorHAnsi"/>
          <w:sz w:val="24"/>
          <w:szCs w:val="24"/>
        </w:rPr>
        <w:t xml:space="preserve">assessment </w:t>
      </w:r>
      <w:r w:rsidR="0087185D" w:rsidRPr="007F0E13">
        <w:rPr>
          <w:rFonts w:asciiTheme="majorHAnsi" w:hAnsiTheme="majorHAnsi"/>
          <w:iCs/>
          <w:sz w:val="24"/>
          <w:szCs w:val="24"/>
        </w:rPr>
        <w:t>team, including with CDC.</w:t>
      </w:r>
    </w:p>
    <w:p w:rsidR="00F52BCC" w:rsidRPr="007F0E13" w:rsidRDefault="00F52BCC" w:rsidP="00A9285D">
      <w:pPr>
        <w:pStyle w:val="ListParagraph"/>
        <w:spacing w:after="0"/>
        <w:ind w:left="270"/>
        <w:rPr>
          <w:rFonts w:asciiTheme="majorHAnsi" w:hAnsiTheme="majorHAnsi"/>
          <w:sz w:val="24"/>
          <w:szCs w:val="24"/>
        </w:rPr>
      </w:pPr>
    </w:p>
    <w:p w:rsidR="00AD7D26" w:rsidRPr="00A9285D" w:rsidRDefault="00B47055" w:rsidP="00A9285D">
      <w:pPr>
        <w:pStyle w:val="ListParagraph"/>
        <w:numPr>
          <w:ilvl w:val="0"/>
          <w:numId w:val="2"/>
        </w:numPr>
        <w:spacing w:after="0"/>
        <w:ind w:left="360"/>
        <w:rPr>
          <w:rFonts w:asciiTheme="majorHAnsi" w:hAnsiTheme="majorHAnsi"/>
          <w:b/>
          <w:sz w:val="24"/>
          <w:szCs w:val="24"/>
        </w:rPr>
      </w:pPr>
      <w:r w:rsidRPr="007F0E13">
        <w:rPr>
          <w:rFonts w:asciiTheme="majorHAnsi" w:hAnsiTheme="majorHAnsi"/>
          <w:b/>
          <w:bCs/>
          <w:sz w:val="24"/>
          <w:szCs w:val="24"/>
        </w:rPr>
        <w:t>Use of Improved Information Technology and Burden Reduction</w:t>
      </w:r>
    </w:p>
    <w:p w:rsidR="00A00A82" w:rsidRPr="007F0E13" w:rsidRDefault="0087185D" w:rsidP="00A9285D">
      <w:pPr>
        <w:pStyle w:val="ListParagraph"/>
        <w:spacing w:after="0"/>
        <w:ind w:left="270"/>
        <w:rPr>
          <w:rFonts w:asciiTheme="majorHAnsi" w:hAnsiTheme="majorHAnsi"/>
          <w:sz w:val="24"/>
          <w:szCs w:val="24"/>
        </w:rPr>
      </w:pPr>
      <w:r w:rsidRPr="007F0E13">
        <w:rPr>
          <w:rFonts w:asciiTheme="majorHAnsi" w:hAnsiTheme="majorHAnsi"/>
          <w:sz w:val="24"/>
          <w:szCs w:val="24"/>
        </w:rPr>
        <w:t xml:space="preserve">All information will be shared with respondents in advance.  </w:t>
      </w:r>
      <w:r w:rsidR="004B49C6" w:rsidRPr="007F0E13">
        <w:rPr>
          <w:rFonts w:asciiTheme="majorHAnsi" w:hAnsiTheme="majorHAnsi"/>
          <w:sz w:val="24"/>
          <w:szCs w:val="24"/>
        </w:rPr>
        <w:t xml:space="preserve">Due to the number and nature of questions in the data collection tool, it will reduce the time needed if completed </w:t>
      </w:r>
      <w:r w:rsidR="0080213C" w:rsidRPr="007F0E13">
        <w:rPr>
          <w:rFonts w:asciiTheme="majorHAnsi" w:hAnsiTheme="majorHAnsi"/>
          <w:sz w:val="24"/>
          <w:szCs w:val="24"/>
        </w:rPr>
        <w:t xml:space="preserve">via </w:t>
      </w:r>
      <w:r w:rsidR="004B49C6" w:rsidRPr="007F0E13">
        <w:rPr>
          <w:rFonts w:asciiTheme="majorHAnsi" w:hAnsiTheme="majorHAnsi"/>
          <w:sz w:val="24"/>
          <w:szCs w:val="24"/>
        </w:rPr>
        <w:t xml:space="preserve">a 90 minute key informant </w:t>
      </w:r>
      <w:r w:rsidR="00C01257" w:rsidRPr="007F0E13">
        <w:rPr>
          <w:rFonts w:asciiTheme="majorHAnsi" w:hAnsiTheme="majorHAnsi"/>
          <w:sz w:val="24"/>
          <w:szCs w:val="24"/>
        </w:rPr>
        <w:t>focus group</w:t>
      </w:r>
      <w:r w:rsidR="004B49C6" w:rsidRPr="007F0E13">
        <w:rPr>
          <w:rFonts w:asciiTheme="majorHAnsi" w:hAnsiTheme="majorHAnsi"/>
          <w:sz w:val="24"/>
          <w:szCs w:val="24"/>
        </w:rPr>
        <w:t xml:space="preserve">. </w:t>
      </w:r>
      <w:r w:rsidR="00C15BEE" w:rsidRPr="007F0E13">
        <w:rPr>
          <w:rFonts w:asciiTheme="majorHAnsi" w:hAnsiTheme="majorHAnsi"/>
          <w:sz w:val="24"/>
          <w:szCs w:val="24"/>
        </w:rPr>
        <w:t xml:space="preserve">This method was chosen to reduce the overall burden on respondents. </w:t>
      </w:r>
      <w:r w:rsidR="00DC79CC" w:rsidRPr="007F0E13">
        <w:rPr>
          <w:rFonts w:asciiTheme="majorHAnsi" w:hAnsiTheme="majorHAnsi"/>
          <w:sz w:val="24"/>
          <w:szCs w:val="24"/>
        </w:rPr>
        <w:t xml:space="preserve">The </w:t>
      </w:r>
      <w:r w:rsidR="00841841" w:rsidRPr="007F0E13">
        <w:rPr>
          <w:rFonts w:asciiTheme="majorHAnsi" w:hAnsiTheme="majorHAnsi"/>
          <w:sz w:val="24"/>
          <w:szCs w:val="24"/>
        </w:rPr>
        <w:t>data collection tool</w:t>
      </w:r>
      <w:r w:rsidR="00EB3A3A" w:rsidRPr="007F0E13">
        <w:rPr>
          <w:rFonts w:asciiTheme="majorHAnsi" w:hAnsiTheme="majorHAnsi"/>
          <w:sz w:val="24"/>
          <w:szCs w:val="24"/>
        </w:rPr>
        <w:t xml:space="preserve"> </w:t>
      </w:r>
      <w:r w:rsidR="00DC79CC" w:rsidRPr="007F0E13">
        <w:rPr>
          <w:rFonts w:asciiTheme="majorHAnsi" w:hAnsiTheme="majorHAnsi"/>
          <w:sz w:val="24"/>
          <w:szCs w:val="24"/>
        </w:rPr>
        <w:t xml:space="preserve">was designed to collect the minimum information necessary for the purposes of this project (i.e., limited to </w:t>
      </w:r>
      <w:r w:rsidR="00AD7D26" w:rsidRPr="007F0E13">
        <w:rPr>
          <w:rFonts w:asciiTheme="majorHAnsi" w:hAnsiTheme="majorHAnsi"/>
          <w:sz w:val="24"/>
          <w:szCs w:val="24"/>
        </w:rPr>
        <w:t>26</w:t>
      </w:r>
      <w:r w:rsidR="00FF2568" w:rsidRPr="007F0E13">
        <w:rPr>
          <w:rFonts w:asciiTheme="majorHAnsi" w:hAnsiTheme="majorHAnsi"/>
          <w:sz w:val="24"/>
          <w:szCs w:val="24"/>
        </w:rPr>
        <w:t xml:space="preserve"> to 39 </w:t>
      </w:r>
      <w:r w:rsidR="00DC79CC" w:rsidRPr="007F0E13">
        <w:rPr>
          <w:rFonts w:asciiTheme="majorHAnsi" w:hAnsiTheme="majorHAnsi"/>
          <w:sz w:val="24"/>
          <w:szCs w:val="24"/>
        </w:rPr>
        <w:t xml:space="preserve">survey </w:t>
      </w:r>
      <w:r w:rsidR="008414AD" w:rsidRPr="007F0E13">
        <w:rPr>
          <w:rFonts w:asciiTheme="majorHAnsi" w:hAnsiTheme="majorHAnsi"/>
          <w:sz w:val="24"/>
          <w:szCs w:val="24"/>
        </w:rPr>
        <w:t>questions</w:t>
      </w:r>
      <w:r w:rsidR="007542CB" w:rsidRPr="007F0E13">
        <w:rPr>
          <w:rFonts w:asciiTheme="majorHAnsi" w:hAnsiTheme="majorHAnsi"/>
          <w:sz w:val="24"/>
          <w:szCs w:val="24"/>
        </w:rPr>
        <w:t xml:space="preserve"> per</w:t>
      </w:r>
      <w:r w:rsidR="004C7B14" w:rsidRPr="007F0E13">
        <w:rPr>
          <w:rFonts w:asciiTheme="majorHAnsi" w:hAnsiTheme="majorHAnsi"/>
          <w:sz w:val="24"/>
          <w:szCs w:val="24"/>
        </w:rPr>
        <w:t xml:space="preserve"> individual</w:t>
      </w:r>
      <w:r w:rsidR="007542CB" w:rsidRPr="007F0E13">
        <w:rPr>
          <w:rFonts w:asciiTheme="majorHAnsi" w:hAnsiTheme="majorHAnsi"/>
          <w:sz w:val="24"/>
          <w:szCs w:val="24"/>
        </w:rPr>
        <w:t xml:space="preserve"> STLT health official</w:t>
      </w:r>
      <w:r w:rsidR="00FF2568" w:rsidRPr="007F0E13">
        <w:rPr>
          <w:rFonts w:asciiTheme="majorHAnsi" w:hAnsiTheme="majorHAnsi"/>
          <w:sz w:val="24"/>
          <w:szCs w:val="24"/>
        </w:rPr>
        <w:t>.</w:t>
      </w:r>
      <w:r w:rsidR="007B0444" w:rsidRPr="007F0E13">
        <w:rPr>
          <w:rFonts w:asciiTheme="majorHAnsi" w:hAnsiTheme="majorHAnsi"/>
          <w:sz w:val="24"/>
          <w:szCs w:val="24"/>
        </w:rPr>
        <w:t xml:space="preserve"> Conducting a web-based survey is not an option because a pre-identified set of responses</w:t>
      </w:r>
      <w:r w:rsidR="00D90D75" w:rsidRPr="007F0E13">
        <w:rPr>
          <w:rFonts w:asciiTheme="majorHAnsi" w:hAnsiTheme="majorHAnsi"/>
          <w:sz w:val="24"/>
          <w:szCs w:val="24"/>
        </w:rPr>
        <w:t xml:space="preserve"> for this area</w:t>
      </w:r>
      <w:r w:rsidR="007B0444" w:rsidRPr="007F0E13">
        <w:rPr>
          <w:rFonts w:asciiTheme="majorHAnsi" w:hAnsiTheme="majorHAnsi"/>
          <w:sz w:val="24"/>
          <w:szCs w:val="24"/>
        </w:rPr>
        <w:t xml:space="preserve"> is not available.  </w:t>
      </w:r>
      <w:r w:rsidR="00F021DC" w:rsidRPr="007F0E13">
        <w:rPr>
          <w:rFonts w:asciiTheme="majorHAnsi" w:hAnsiTheme="majorHAnsi"/>
          <w:sz w:val="24"/>
          <w:szCs w:val="24"/>
        </w:rPr>
        <w:t>The</w:t>
      </w:r>
      <w:r w:rsidR="00D90D75" w:rsidRPr="007F0E13">
        <w:rPr>
          <w:rFonts w:asciiTheme="majorHAnsi" w:hAnsiTheme="majorHAnsi"/>
          <w:sz w:val="24"/>
          <w:szCs w:val="24"/>
        </w:rPr>
        <w:t>se</w:t>
      </w:r>
      <w:r w:rsidR="00F021DC" w:rsidRPr="007F0E13">
        <w:rPr>
          <w:rFonts w:asciiTheme="majorHAnsi" w:hAnsiTheme="majorHAnsi"/>
          <w:sz w:val="24"/>
          <w:szCs w:val="24"/>
        </w:rPr>
        <w:t xml:space="preserve"> focus groups will be </w:t>
      </w:r>
      <w:r w:rsidR="00D90D75" w:rsidRPr="007F0E13">
        <w:rPr>
          <w:rFonts w:asciiTheme="majorHAnsi" w:hAnsiTheme="majorHAnsi"/>
          <w:sz w:val="24"/>
          <w:szCs w:val="24"/>
        </w:rPr>
        <w:t>a</w:t>
      </w:r>
      <w:r w:rsidR="00F021DC" w:rsidRPr="007F0E13">
        <w:rPr>
          <w:rFonts w:asciiTheme="majorHAnsi" w:hAnsiTheme="majorHAnsi"/>
          <w:sz w:val="24"/>
          <w:szCs w:val="24"/>
        </w:rPr>
        <w:t xml:space="preserve"> mechanism to arrive at such a set if future data collections are conducted.  Additionally, r</w:t>
      </w:r>
      <w:r w:rsidR="007B0444" w:rsidRPr="007F0E13">
        <w:rPr>
          <w:rFonts w:asciiTheme="majorHAnsi" w:hAnsiTheme="majorHAnsi"/>
          <w:sz w:val="24"/>
          <w:szCs w:val="24"/>
        </w:rPr>
        <w:t xml:space="preserve">esponses will be context-specific for each jurisdiction, therefore a comprehensive set of responses is not feasible. </w:t>
      </w:r>
      <w:r w:rsidR="00095998" w:rsidRPr="007F0E13">
        <w:rPr>
          <w:rFonts w:asciiTheme="majorHAnsi" w:hAnsiTheme="majorHAnsi"/>
          <w:sz w:val="24"/>
          <w:szCs w:val="24"/>
        </w:rPr>
        <w:t xml:space="preserve"> </w:t>
      </w:r>
    </w:p>
    <w:p w:rsidR="000C7032" w:rsidRPr="007F0E13" w:rsidRDefault="000C7032" w:rsidP="00A9285D">
      <w:pPr>
        <w:pStyle w:val="ListParagraph"/>
        <w:spacing w:after="0"/>
        <w:ind w:left="270"/>
        <w:rPr>
          <w:rFonts w:asciiTheme="majorHAnsi" w:hAnsiTheme="majorHAnsi"/>
          <w:sz w:val="24"/>
          <w:szCs w:val="24"/>
        </w:rPr>
      </w:pPr>
    </w:p>
    <w:p w:rsidR="000C7032" w:rsidRPr="002B796C" w:rsidRDefault="00B47055" w:rsidP="002B796C">
      <w:pPr>
        <w:pStyle w:val="ListParagraph"/>
        <w:numPr>
          <w:ilvl w:val="0"/>
          <w:numId w:val="2"/>
        </w:numPr>
        <w:spacing w:after="0"/>
        <w:ind w:left="360"/>
        <w:rPr>
          <w:rFonts w:asciiTheme="majorHAnsi" w:hAnsiTheme="majorHAnsi"/>
          <w:b/>
          <w:sz w:val="24"/>
          <w:szCs w:val="24"/>
        </w:rPr>
      </w:pPr>
      <w:r w:rsidRPr="007F0E13">
        <w:rPr>
          <w:rFonts w:asciiTheme="majorHAnsi" w:hAnsiTheme="majorHAnsi"/>
          <w:b/>
          <w:bCs/>
          <w:sz w:val="24"/>
          <w:szCs w:val="24"/>
        </w:rPr>
        <w:t>Efforts to Identify Duplication and Use of Similar Information</w:t>
      </w:r>
    </w:p>
    <w:p w:rsidR="000A1A03" w:rsidRPr="007F0E13" w:rsidRDefault="000A1A03" w:rsidP="00A9285D">
      <w:pPr>
        <w:pStyle w:val="Header"/>
        <w:tabs>
          <w:tab w:val="clear" w:pos="4680"/>
        </w:tabs>
        <w:spacing w:line="276" w:lineRule="auto"/>
        <w:ind w:left="270"/>
        <w:rPr>
          <w:rFonts w:asciiTheme="majorHAnsi" w:hAnsiTheme="majorHAnsi"/>
          <w:sz w:val="24"/>
          <w:szCs w:val="24"/>
        </w:rPr>
      </w:pPr>
      <w:r w:rsidRPr="007F0E13">
        <w:rPr>
          <w:rFonts w:asciiTheme="majorHAnsi" w:hAnsiTheme="majorHAnsi"/>
          <w:sz w:val="24"/>
          <w:szCs w:val="24"/>
        </w:rPr>
        <w:t xml:space="preserve">The </w:t>
      </w:r>
      <w:proofErr w:type="spellStart"/>
      <w:r w:rsidRPr="007F0E13">
        <w:rPr>
          <w:rFonts w:asciiTheme="majorHAnsi" w:hAnsiTheme="majorHAnsi"/>
          <w:sz w:val="24"/>
          <w:szCs w:val="24"/>
        </w:rPr>
        <w:t>BioSense</w:t>
      </w:r>
      <w:proofErr w:type="spellEnd"/>
      <w:r w:rsidRPr="007F0E13">
        <w:rPr>
          <w:rFonts w:asciiTheme="majorHAnsi" w:hAnsiTheme="majorHAnsi"/>
          <w:sz w:val="24"/>
          <w:szCs w:val="24"/>
        </w:rPr>
        <w:t xml:space="preserve"> redesign is </w:t>
      </w:r>
      <w:r w:rsidR="007C76FD" w:rsidRPr="007F0E13">
        <w:rPr>
          <w:rFonts w:asciiTheme="majorHAnsi" w:hAnsiTheme="majorHAnsi"/>
          <w:sz w:val="24"/>
          <w:szCs w:val="24"/>
        </w:rPr>
        <w:t>the</w:t>
      </w:r>
      <w:r w:rsidRPr="007F0E13">
        <w:rPr>
          <w:rFonts w:asciiTheme="majorHAnsi" w:hAnsiTheme="majorHAnsi"/>
          <w:sz w:val="24"/>
          <w:szCs w:val="24"/>
        </w:rPr>
        <w:t xml:space="preserve"> first of its kind endeavor due to the technology involved, therefore there is no precedent for the collection of this type of information.  The data required for this assessment do not exist in any form that could make information collection unnecessary. </w:t>
      </w:r>
      <w:r w:rsidR="004B49C6" w:rsidRPr="007F0E13">
        <w:rPr>
          <w:rFonts w:asciiTheme="majorHAnsi" w:hAnsiTheme="majorHAnsi"/>
          <w:sz w:val="24"/>
          <w:szCs w:val="24"/>
        </w:rPr>
        <w:t xml:space="preserve">Due to the differences between onboarding and participation process in </w:t>
      </w:r>
      <w:proofErr w:type="spellStart"/>
      <w:r w:rsidR="004B49C6" w:rsidRPr="007F0E13">
        <w:rPr>
          <w:rFonts w:asciiTheme="majorHAnsi" w:hAnsiTheme="majorHAnsi"/>
          <w:sz w:val="24"/>
          <w:szCs w:val="24"/>
        </w:rPr>
        <w:t>BioSense</w:t>
      </w:r>
      <w:proofErr w:type="spellEnd"/>
      <w:r w:rsidR="004B49C6" w:rsidRPr="007F0E13">
        <w:rPr>
          <w:rFonts w:asciiTheme="majorHAnsi" w:hAnsiTheme="majorHAnsi"/>
          <w:sz w:val="24"/>
          <w:szCs w:val="24"/>
        </w:rPr>
        <w:t xml:space="preserve"> 1.0 and 2.0, there has never been an assessment of this process with this set of stakeholders. </w:t>
      </w:r>
      <w:r w:rsidRPr="007F0E13">
        <w:rPr>
          <w:rFonts w:asciiTheme="majorHAnsi" w:hAnsiTheme="majorHAnsi"/>
          <w:sz w:val="24"/>
          <w:szCs w:val="24"/>
        </w:rPr>
        <w:t xml:space="preserve"> </w:t>
      </w:r>
      <w:proofErr w:type="spellStart"/>
      <w:r w:rsidRPr="007F0E13">
        <w:rPr>
          <w:rFonts w:asciiTheme="majorHAnsi" w:hAnsiTheme="majorHAnsi"/>
          <w:sz w:val="24"/>
          <w:szCs w:val="24"/>
        </w:rPr>
        <w:t>BioSense</w:t>
      </w:r>
      <w:proofErr w:type="spellEnd"/>
      <w:r w:rsidRPr="007F0E13">
        <w:rPr>
          <w:rFonts w:asciiTheme="majorHAnsi" w:hAnsiTheme="majorHAnsi"/>
          <w:sz w:val="24"/>
          <w:szCs w:val="24"/>
        </w:rPr>
        <w:t xml:space="preserve"> 2.0 onboarding experience is required and no surrogate data exist that could approximate that experience. Only those questions minimally sufficient to complete the assessment will be included in the information collection. </w:t>
      </w:r>
    </w:p>
    <w:p w:rsidR="00E33E1B" w:rsidRDefault="00E33E1B" w:rsidP="00A9285D">
      <w:pPr>
        <w:spacing w:after="0"/>
        <w:rPr>
          <w:rFonts w:asciiTheme="majorHAnsi" w:hAnsiTheme="majorHAnsi"/>
          <w:sz w:val="24"/>
          <w:szCs w:val="24"/>
        </w:rPr>
      </w:pPr>
    </w:p>
    <w:p w:rsidR="002B796C" w:rsidRDefault="002B796C" w:rsidP="00A9285D">
      <w:pPr>
        <w:spacing w:after="0"/>
        <w:rPr>
          <w:rFonts w:asciiTheme="majorHAnsi" w:hAnsiTheme="majorHAnsi"/>
          <w:sz w:val="24"/>
          <w:szCs w:val="24"/>
        </w:rPr>
      </w:pPr>
    </w:p>
    <w:p w:rsidR="002B796C" w:rsidRDefault="002B796C" w:rsidP="00A9285D">
      <w:pPr>
        <w:spacing w:after="0"/>
        <w:rPr>
          <w:rFonts w:asciiTheme="majorHAnsi" w:hAnsiTheme="majorHAnsi"/>
          <w:sz w:val="24"/>
          <w:szCs w:val="24"/>
        </w:rPr>
      </w:pPr>
    </w:p>
    <w:p w:rsidR="002B796C" w:rsidRPr="007F0E13" w:rsidRDefault="002B796C" w:rsidP="00A9285D">
      <w:pPr>
        <w:spacing w:after="0"/>
        <w:rPr>
          <w:rFonts w:asciiTheme="majorHAnsi" w:hAnsiTheme="majorHAnsi"/>
          <w:sz w:val="24"/>
          <w:szCs w:val="24"/>
        </w:rPr>
      </w:pPr>
    </w:p>
    <w:p w:rsidR="00B12F51" w:rsidRPr="007F0E13" w:rsidRDefault="00B47055" w:rsidP="002B796C">
      <w:pPr>
        <w:pStyle w:val="ListParagraph"/>
        <w:numPr>
          <w:ilvl w:val="0"/>
          <w:numId w:val="2"/>
        </w:numPr>
        <w:spacing w:after="0"/>
        <w:ind w:left="360"/>
        <w:rPr>
          <w:rFonts w:asciiTheme="majorHAnsi" w:hAnsiTheme="majorHAnsi"/>
          <w:b/>
          <w:sz w:val="24"/>
          <w:szCs w:val="24"/>
        </w:rPr>
      </w:pPr>
      <w:r w:rsidRPr="007F0E13">
        <w:rPr>
          <w:rFonts w:asciiTheme="majorHAnsi" w:hAnsiTheme="majorHAnsi"/>
          <w:b/>
          <w:bCs/>
          <w:sz w:val="24"/>
          <w:szCs w:val="24"/>
        </w:rPr>
        <w:t>Impact on Small Businesses or Other Small Entities</w:t>
      </w:r>
    </w:p>
    <w:p w:rsidR="0053557D" w:rsidRPr="007F0E13" w:rsidRDefault="00005AD0" w:rsidP="002B796C">
      <w:pPr>
        <w:pStyle w:val="ListParagraph"/>
        <w:spacing w:after="0"/>
        <w:ind w:left="270"/>
        <w:rPr>
          <w:sz w:val="24"/>
          <w:szCs w:val="24"/>
        </w:rPr>
      </w:pPr>
      <w:r w:rsidRPr="007F0E13">
        <w:rPr>
          <w:rFonts w:asciiTheme="majorHAnsi" w:hAnsiTheme="majorHAnsi"/>
          <w:sz w:val="24"/>
          <w:szCs w:val="24"/>
        </w:rPr>
        <w:t xml:space="preserve"> </w:t>
      </w:r>
      <w:r w:rsidR="00D26A64" w:rsidRPr="007F0E13">
        <w:rPr>
          <w:rFonts w:asciiTheme="majorHAnsi" w:hAnsiTheme="majorHAnsi"/>
          <w:sz w:val="24"/>
          <w:szCs w:val="24"/>
        </w:rPr>
        <w:t>N</w:t>
      </w:r>
      <w:r w:rsidR="00AF2252" w:rsidRPr="007F0E13">
        <w:rPr>
          <w:rFonts w:asciiTheme="majorHAnsi" w:hAnsiTheme="majorHAnsi"/>
          <w:sz w:val="24"/>
          <w:szCs w:val="24"/>
        </w:rPr>
        <w:t>o small businesses will be involved in this data collection</w:t>
      </w:r>
      <w:r w:rsidR="00D26A64" w:rsidRPr="007F0E13">
        <w:rPr>
          <w:rFonts w:asciiTheme="majorHAnsi" w:hAnsiTheme="majorHAnsi"/>
          <w:sz w:val="24"/>
          <w:szCs w:val="24"/>
        </w:rPr>
        <w:t>.</w:t>
      </w:r>
    </w:p>
    <w:p w:rsidR="00615E1F" w:rsidRPr="007F0E13" w:rsidRDefault="00615E1F" w:rsidP="002B796C">
      <w:pPr>
        <w:pStyle w:val="ListParagraph"/>
        <w:spacing w:after="0"/>
        <w:ind w:left="270"/>
        <w:rPr>
          <w:sz w:val="24"/>
          <w:szCs w:val="24"/>
        </w:rPr>
      </w:pPr>
    </w:p>
    <w:p w:rsidR="00B12F51" w:rsidRPr="007F0E13" w:rsidRDefault="00B47055" w:rsidP="002B796C">
      <w:pPr>
        <w:pStyle w:val="ListParagraph"/>
        <w:numPr>
          <w:ilvl w:val="0"/>
          <w:numId w:val="2"/>
        </w:numPr>
        <w:spacing w:after="0"/>
        <w:ind w:left="360"/>
        <w:rPr>
          <w:rFonts w:asciiTheme="majorHAnsi" w:hAnsiTheme="majorHAnsi"/>
          <w:b/>
          <w:sz w:val="24"/>
          <w:szCs w:val="24"/>
        </w:rPr>
      </w:pPr>
      <w:r w:rsidRPr="007F0E13">
        <w:rPr>
          <w:rFonts w:asciiTheme="majorHAnsi" w:hAnsiTheme="majorHAnsi"/>
          <w:b/>
          <w:bCs/>
          <w:sz w:val="24"/>
          <w:szCs w:val="24"/>
        </w:rPr>
        <w:lastRenderedPageBreak/>
        <w:t>Consequences of Collecting the Information Less Frequently</w:t>
      </w:r>
      <w:r w:rsidRPr="007F0E13">
        <w:rPr>
          <w:rFonts w:asciiTheme="majorHAnsi" w:hAnsiTheme="majorHAnsi"/>
          <w:b/>
          <w:sz w:val="24"/>
          <w:szCs w:val="24"/>
        </w:rPr>
        <w:t xml:space="preserve"> </w:t>
      </w:r>
      <w:r w:rsidR="00D95FBF" w:rsidRPr="007F0E13">
        <w:rPr>
          <w:rFonts w:asciiTheme="majorHAnsi" w:hAnsiTheme="majorHAnsi"/>
          <w:b/>
          <w:sz w:val="24"/>
          <w:szCs w:val="24"/>
        </w:rPr>
        <w:t xml:space="preserve">   </w:t>
      </w:r>
    </w:p>
    <w:p w:rsidR="0037766A" w:rsidRPr="007F0E13" w:rsidRDefault="00CB05D3" w:rsidP="002B796C">
      <w:pPr>
        <w:pStyle w:val="ListParagraph"/>
        <w:numPr>
          <w:ilvl w:val="0"/>
          <w:numId w:val="36"/>
        </w:numPr>
        <w:spacing w:after="0"/>
        <w:ind w:left="990"/>
        <w:rPr>
          <w:rFonts w:asciiTheme="majorHAnsi" w:hAnsiTheme="majorHAnsi"/>
          <w:sz w:val="24"/>
          <w:szCs w:val="24"/>
        </w:rPr>
      </w:pPr>
      <w:r w:rsidRPr="007F0E13">
        <w:rPr>
          <w:rFonts w:asciiTheme="majorHAnsi" w:hAnsiTheme="majorHAnsi"/>
          <w:sz w:val="24"/>
          <w:szCs w:val="24"/>
        </w:rPr>
        <w:t xml:space="preserve">If these </w:t>
      </w:r>
      <w:r w:rsidR="00AD7D26" w:rsidRPr="007F0E13">
        <w:rPr>
          <w:rFonts w:asciiTheme="majorHAnsi" w:hAnsiTheme="majorHAnsi"/>
          <w:sz w:val="24"/>
          <w:szCs w:val="24"/>
        </w:rPr>
        <w:t>assessments</w:t>
      </w:r>
      <w:r w:rsidRPr="007F0E13">
        <w:rPr>
          <w:rFonts w:asciiTheme="majorHAnsi" w:hAnsiTheme="majorHAnsi"/>
          <w:sz w:val="24"/>
          <w:szCs w:val="24"/>
        </w:rPr>
        <w:t xml:space="preserve"> are not </w:t>
      </w:r>
      <w:r w:rsidR="00AD7D26" w:rsidRPr="007F0E13">
        <w:rPr>
          <w:rFonts w:asciiTheme="majorHAnsi" w:hAnsiTheme="majorHAnsi"/>
          <w:sz w:val="24"/>
          <w:szCs w:val="24"/>
        </w:rPr>
        <w:t>completed</w:t>
      </w:r>
      <w:r w:rsidR="00396979" w:rsidRPr="007F0E13">
        <w:rPr>
          <w:rFonts w:asciiTheme="majorHAnsi" w:hAnsiTheme="majorHAnsi"/>
          <w:sz w:val="24"/>
          <w:szCs w:val="24"/>
        </w:rPr>
        <w:t xml:space="preserve"> then </w:t>
      </w:r>
      <w:r w:rsidRPr="007F0E13">
        <w:rPr>
          <w:rFonts w:asciiTheme="majorHAnsi" w:hAnsiTheme="majorHAnsi"/>
          <w:sz w:val="24"/>
          <w:szCs w:val="24"/>
        </w:rPr>
        <w:t xml:space="preserve">CDC will be unable to identify possible common and systematic barriers and challenges encountered during the </w:t>
      </w:r>
      <w:proofErr w:type="spellStart"/>
      <w:r w:rsidRPr="007F0E13">
        <w:rPr>
          <w:rFonts w:asciiTheme="majorHAnsi" w:hAnsiTheme="majorHAnsi"/>
          <w:sz w:val="24"/>
          <w:szCs w:val="24"/>
        </w:rPr>
        <w:t>BioSense</w:t>
      </w:r>
      <w:proofErr w:type="spellEnd"/>
      <w:r w:rsidRPr="007F0E13">
        <w:rPr>
          <w:rFonts w:asciiTheme="majorHAnsi" w:hAnsiTheme="majorHAnsi"/>
          <w:sz w:val="24"/>
          <w:szCs w:val="24"/>
        </w:rPr>
        <w:t xml:space="preserve"> 2.0 onboarding process</w:t>
      </w:r>
      <w:r w:rsidR="00005AD0" w:rsidRPr="007F0E13">
        <w:rPr>
          <w:rFonts w:asciiTheme="majorHAnsi" w:hAnsiTheme="majorHAnsi"/>
          <w:sz w:val="24"/>
          <w:szCs w:val="24"/>
        </w:rPr>
        <w:t>, and to participation in the new system in general</w:t>
      </w:r>
      <w:r w:rsidR="00396979" w:rsidRPr="007F0E13">
        <w:rPr>
          <w:rFonts w:asciiTheme="majorHAnsi" w:hAnsiTheme="majorHAnsi"/>
          <w:sz w:val="24"/>
          <w:szCs w:val="24"/>
        </w:rPr>
        <w:t xml:space="preserve">. </w:t>
      </w:r>
    </w:p>
    <w:p w:rsidR="00396979" w:rsidRPr="007F0E13" w:rsidRDefault="00393B82" w:rsidP="002B796C">
      <w:pPr>
        <w:pStyle w:val="ListParagraph"/>
        <w:numPr>
          <w:ilvl w:val="0"/>
          <w:numId w:val="36"/>
        </w:numPr>
        <w:spacing w:after="0"/>
        <w:ind w:left="990"/>
        <w:rPr>
          <w:rFonts w:asciiTheme="majorHAnsi" w:hAnsiTheme="majorHAnsi"/>
          <w:sz w:val="24"/>
          <w:szCs w:val="24"/>
        </w:rPr>
      </w:pPr>
      <w:r w:rsidRPr="007F0E13">
        <w:rPr>
          <w:rFonts w:asciiTheme="majorHAnsi" w:hAnsiTheme="majorHAnsi"/>
          <w:sz w:val="24"/>
          <w:szCs w:val="24"/>
        </w:rPr>
        <w:t>The inability to identify possible common and systematic barriers and challenges would impede</w:t>
      </w:r>
      <w:r w:rsidRPr="007F0E13" w:rsidDel="00393B82">
        <w:rPr>
          <w:rFonts w:asciiTheme="majorHAnsi" w:hAnsiTheme="majorHAnsi"/>
          <w:sz w:val="24"/>
          <w:szCs w:val="24"/>
        </w:rPr>
        <w:t xml:space="preserve"> </w:t>
      </w:r>
      <w:r w:rsidR="00396979" w:rsidRPr="007F0E13">
        <w:rPr>
          <w:rFonts w:asciiTheme="majorHAnsi" w:hAnsiTheme="majorHAnsi"/>
          <w:sz w:val="24"/>
          <w:szCs w:val="24"/>
        </w:rPr>
        <w:t xml:space="preserve">the </w:t>
      </w:r>
      <w:r w:rsidR="00CB05D3" w:rsidRPr="007F0E13">
        <w:rPr>
          <w:rFonts w:asciiTheme="majorHAnsi" w:hAnsiTheme="majorHAnsi"/>
          <w:sz w:val="24"/>
          <w:szCs w:val="24"/>
        </w:rPr>
        <w:t>develop</w:t>
      </w:r>
      <w:r w:rsidR="00396979" w:rsidRPr="007F0E13">
        <w:rPr>
          <w:rFonts w:asciiTheme="majorHAnsi" w:hAnsiTheme="majorHAnsi"/>
          <w:sz w:val="24"/>
          <w:szCs w:val="24"/>
        </w:rPr>
        <w:t xml:space="preserve">ment of </w:t>
      </w:r>
      <w:r w:rsidR="00CB05D3" w:rsidRPr="007F0E13">
        <w:rPr>
          <w:rFonts w:asciiTheme="majorHAnsi" w:hAnsiTheme="majorHAnsi"/>
          <w:sz w:val="24"/>
          <w:szCs w:val="24"/>
        </w:rPr>
        <w:t xml:space="preserve">a set of solutions and best practices to address them through technical assistance activities and resources.  </w:t>
      </w:r>
    </w:p>
    <w:p w:rsidR="00396979" w:rsidRPr="007F0E13" w:rsidRDefault="001B7C7C" w:rsidP="002B796C">
      <w:pPr>
        <w:pStyle w:val="ListParagraph"/>
        <w:numPr>
          <w:ilvl w:val="0"/>
          <w:numId w:val="35"/>
        </w:numPr>
        <w:spacing w:after="0"/>
        <w:ind w:left="990"/>
        <w:rPr>
          <w:rFonts w:asciiTheme="majorHAnsi" w:hAnsiTheme="majorHAnsi"/>
          <w:sz w:val="24"/>
          <w:szCs w:val="24"/>
        </w:rPr>
      </w:pPr>
      <w:r w:rsidRPr="007F0E13">
        <w:rPr>
          <w:rFonts w:asciiTheme="majorHAnsi" w:hAnsiTheme="majorHAnsi"/>
          <w:sz w:val="24"/>
          <w:szCs w:val="24"/>
        </w:rPr>
        <w:t xml:space="preserve">Inability to collect this information will limit CDC’s ability </w:t>
      </w:r>
      <w:r w:rsidR="00CB05D3" w:rsidRPr="007F0E13">
        <w:rPr>
          <w:rFonts w:asciiTheme="majorHAnsi" w:hAnsiTheme="majorHAnsi"/>
          <w:sz w:val="24"/>
          <w:szCs w:val="24"/>
        </w:rPr>
        <w:t xml:space="preserve">to optimize the efficiency and quality of the onboarding process, </w:t>
      </w:r>
      <w:r w:rsidRPr="007F0E13">
        <w:rPr>
          <w:rFonts w:asciiTheme="majorHAnsi" w:hAnsiTheme="majorHAnsi"/>
          <w:sz w:val="24"/>
          <w:szCs w:val="24"/>
        </w:rPr>
        <w:t xml:space="preserve">and </w:t>
      </w:r>
      <w:r w:rsidR="00917033" w:rsidRPr="007F0E13">
        <w:rPr>
          <w:rFonts w:asciiTheme="majorHAnsi" w:hAnsiTheme="majorHAnsi"/>
          <w:sz w:val="24"/>
          <w:szCs w:val="24"/>
        </w:rPr>
        <w:t xml:space="preserve">to </w:t>
      </w:r>
      <w:r w:rsidRPr="007F0E13">
        <w:rPr>
          <w:rFonts w:asciiTheme="majorHAnsi" w:hAnsiTheme="majorHAnsi"/>
          <w:sz w:val="24"/>
          <w:szCs w:val="24"/>
        </w:rPr>
        <w:t xml:space="preserve">identify </w:t>
      </w:r>
      <w:r w:rsidR="00CB05D3" w:rsidRPr="007F0E13">
        <w:rPr>
          <w:rFonts w:asciiTheme="majorHAnsi" w:hAnsiTheme="majorHAnsi"/>
          <w:sz w:val="24"/>
          <w:szCs w:val="24"/>
        </w:rPr>
        <w:t xml:space="preserve">where costs may be contained for future onboarding efforts.  </w:t>
      </w:r>
    </w:p>
    <w:p w:rsidR="00BF11A1" w:rsidRPr="007F0E13" w:rsidRDefault="00BF11A1" w:rsidP="002B796C">
      <w:pPr>
        <w:spacing w:after="0"/>
        <w:rPr>
          <w:rFonts w:asciiTheme="majorHAnsi" w:hAnsiTheme="majorHAnsi"/>
          <w:sz w:val="24"/>
          <w:szCs w:val="24"/>
        </w:rPr>
      </w:pPr>
    </w:p>
    <w:p w:rsidR="00B12F51" w:rsidRPr="007F0E13" w:rsidRDefault="00B47055" w:rsidP="002B796C">
      <w:pPr>
        <w:pStyle w:val="ListParagraph"/>
        <w:numPr>
          <w:ilvl w:val="0"/>
          <w:numId w:val="2"/>
        </w:numPr>
        <w:spacing w:after="0"/>
        <w:ind w:left="360"/>
        <w:rPr>
          <w:rFonts w:asciiTheme="majorHAnsi" w:hAnsiTheme="majorHAnsi"/>
          <w:b/>
          <w:sz w:val="24"/>
          <w:szCs w:val="24"/>
        </w:rPr>
      </w:pPr>
      <w:r w:rsidRPr="007F0E13">
        <w:rPr>
          <w:rFonts w:asciiTheme="majorHAnsi" w:hAnsiTheme="majorHAnsi"/>
          <w:b/>
          <w:bCs/>
          <w:sz w:val="24"/>
          <w:szCs w:val="24"/>
        </w:rPr>
        <w:t>Special Circumstances Relating to the Guidelines of 5 CFR 1320.5</w:t>
      </w:r>
    </w:p>
    <w:p w:rsidR="00077DA7" w:rsidRDefault="00005AD0" w:rsidP="00077DA7">
      <w:pPr>
        <w:pStyle w:val="ListParagraph"/>
        <w:spacing w:after="0"/>
        <w:ind w:left="270"/>
        <w:rPr>
          <w:rFonts w:asciiTheme="majorHAnsi" w:hAnsiTheme="majorHAnsi"/>
          <w:sz w:val="24"/>
          <w:szCs w:val="24"/>
        </w:rPr>
      </w:pPr>
      <w:r w:rsidRPr="007F0E13">
        <w:rPr>
          <w:rFonts w:asciiTheme="majorHAnsi" w:hAnsiTheme="majorHAnsi"/>
          <w:sz w:val="24"/>
          <w:szCs w:val="24"/>
        </w:rPr>
        <w:t xml:space="preserve"> </w:t>
      </w:r>
      <w:r w:rsidR="00A809AA" w:rsidRPr="007F0E13">
        <w:rPr>
          <w:rFonts w:asciiTheme="majorHAnsi" w:hAnsiTheme="majorHAnsi"/>
          <w:sz w:val="24"/>
          <w:szCs w:val="24"/>
        </w:rPr>
        <w:t xml:space="preserve">There are no special circumstances with this information collection package. </w:t>
      </w:r>
      <w:r w:rsidR="00835CA7" w:rsidRPr="007F0E13">
        <w:rPr>
          <w:rFonts w:asciiTheme="majorHAnsi" w:hAnsiTheme="majorHAnsi"/>
          <w:sz w:val="24"/>
          <w:szCs w:val="24"/>
        </w:rPr>
        <w:t xml:space="preserve">This </w:t>
      </w:r>
      <w:r w:rsidR="00077DA7">
        <w:rPr>
          <w:rFonts w:asciiTheme="majorHAnsi" w:hAnsiTheme="majorHAnsi"/>
          <w:sz w:val="24"/>
          <w:szCs w:val="24"/>
        </w:rPr>
        <w:t xml:space="preserve">  </w:t>
      </w:r>
    </w:p>
    <w:p w:rsidR="00F52BCC" w:rsidRPr="00077DA7" w:rsidRDefault="00077DA7" w:rsidP="00077DA7">
      <w:pPr>
        <w:pStyle w:val="ListParagraph"/>
        <w:spacing w:after="0"/>
        <w:ind w:left="270"/>
        <w:rPr>
          <w:rFonts w:asciiTheme="majorHAnsi" w:hAnsiTheme="majorHAnsi"/>
          <w:sz w:val="24"/>
          <w:szCs w:val="24"/>
        </w:rPr>
      </w:pPr>
      <w:r>
        <w:rPr>
          <w:rFonts w:asciiTheme="majorHAnsi" w:hAnsiTheme="majorHAnsi"/>
          <w:sz w:val="24"/>
          <w:szCs w:val="24"/>
        </w:rPr>
        <w:t xml:space="preserve"> </w:t>
      </w:r>
      <w:r w:rsidR="00835CA7" w:rsidRPr="007F0E13">
        <w:rPr>
          <w:rFonts w:asciiTheme="majorHAnsi" w:hAnsiTheme="majorHAnsi"/>
          <w:sz w:val="24"/>
          <w:szCs w:val="24"/>
        </w:rPr>
        <w:t xml:space="preserve">request </w:t>
      </w:r>
      <w:r w:rsidR="00835CA7" w:rsidRPr="00077DA7">
        <w:rPr>
          <w:rFonts w:asciiTheme="majorHAnsi" w:hAnsiTheme="majorHAnsi"/>
          <w:sz w:val="24"/>
          <w:szCs w:val="24"/>
        </w:rPr>
        <w:t>fully complies with the regulation 5 CFR 1320.5</w:t>
      </w:r>
      <w:r w:rsidR="00D95FBF" w:rsidRPr="00077DA7">
        <w:rPr>
          <w:rFonts w:asciiTheme="majorHAnsi" w:hAnsiTheme="majorHAnsi"/>
          <w:sz w:val="24"/>
          <w:szCs w:val="24"/>
        </w:rPr>
        <w:t xml:space="preserve"> and will be voluntary</w:t>
      </w:r>
      <w:r w:rsidR="00835CA7" w:rsidRPr="00077DA7">
        <w:rPr>
          <w:rFonts w:asciiTheme="majorHAnsi" w:hAnsiTheme="majorHAnsi"/>
          <w:sz w:val="24"/>
          <w:szCs w:val="24"/>
        </w:rPr>
        <w:t>.</w:t>
      </w:r>
    </w:p>
    <w:p w:rsidR="00F52BCC" w:rsidRPr="007F0E13" w:rsidRDefault="00F52BCC" w:rsidP="002B796C">
      <w:pPr>
        <w:pStyle w:val="ListParagraph"/>
        <w:spacing w:after="0"/>
        <w:ind w:left="270"/>
        <w:rPr>
          <w:rFonts w:asciiTheme="majorHAnsi" w:hAnsiTheme="majorHAnsi"/>
          <w:sz w:val="24"/>
          <w:szCs w:val="24"/>
        </w:rPr>
      </w:pPr>
    </w:p>
    <w:p w:rsidR="00B12F51" w:rsidRPr="007F0E13" w:rsidRDefault="0088467A" w:rsidP="002B796C">
      <w:pPr>
        <w:pStyle w:val="ListParagraph"/>
        <w:numPr>
          <w:ilvl w:val="0"/>
          <w:numId w:val="2"/>
        </w:numPr>
        <w:spacing w:after="0"/>
        <w:ind w:left="360"/>
        <w:rPr>
          <w:rFonts w:asciiTheme="majorHAnsi" w:hAnsiTheme="majorHAnsi"/>
          <w:b/>
          <w:bCs/>
          <w:sz w:val="24"/>
          <w:szCs w:val="24"/>
        </w:rPr>
      </w:pPr>
      <w:r w:rsidRPr="007F0E13">
        <w:rPr>
          <w:rFonts w:asciiTheme="majorHAnsi" w:hAnsiTheme="majorHAnsi"/>
          <w:b/>
          <w:bCs/>
          <w:sz w:val="24"/>
          <w:szCs w:val="24"/>
        </w:rPr>
        <w:t>Comments in Response to the Federal Register Notice and Efforts to Consult Outside the Agency</w:t>
      </w:r>
    </w:p>
    <w:p w:rsidR="00A809AA" w:rsidRPr="007F0E13" w:rsidRDefault="00C768E5" w:rsidP="002B796C">
      <w:pPr>
        <w:pStyle w:val="ListParagraph"/>
        <w:autoSpaceDE w:val="0"/>
        <w:autoSpaceDN w:val="0"/>
        <w:adjustRightInd w:val="0"/>
        <w:ind w:left="270" w:right="720"/>
        <w:rPr>
          <w:rFonts w:asciiTheme="majorHAnsi" w:hAnsiTheme="majorHAnsi"/>
          <w:sz w:val="24"/>
          <w:szCs w:val="24"/>
        </w:rPr>
      </w:pPr>
      <w:r w:rsidRPr="007F0E13">
        <w:rPr>
          <w:rFonts w:asciiTheme="majorHAnsi" w:hAnsiTheme="majorHAnsi"/>
          <w:sz w:val="24"/>
          <w:szCs w:val="24"/>
        </w:rPr>
        <w:t xml:space="preserve">This data collection is being conducted using the Generic Information Collection mechanism of the OSTLTS Survey Center (OSC) – OMB No. 0920-0879. </w:t>
      </w:r>
      <w:r w:rsidR="00005AD0" w:rsidRPr="007F0E13">
        <w:rPr>
          <w:rFonts w:asciiTheme="majorHAnsi" w:hAnsiTheme="majorHAnsi"/>
          <w:sz w:val="24"/>
          <w:szCs w:val="24"/>
        </w:rPr>
        <w:t xml:space="preserve"> </w:t>
      </w:r>
      <w:r w:rsidR="00A809AA" w:rsidRPr="007F0E13">
        <w:rPr>
          <w:rFonts w:asciiTheme="majorHAnsi" w:hAnsiTheme="majorHAnsi"/>
          <w:sz w:val="24"/>
          <w:szCs w:val="24"/>
        </w:rPr>
        <w:t xml:space="preserve">A 60-day Federal Register Notice was published in the Federal Register on October 22, 2010, Vol. 75, No. </w:t>
      </w:r>
      <w:r w:rsidR="00D861ED" w:rsidRPr="007F0E13">
        <w:rPr>
          <w:rFonts w:asciiTheme="majorHAnsi" w:hAnsiTheme="majorHAnsi"/>
          <w:sz w:val="24"/>
          <w:szCs w:val="24"/>
        </w:rPr>
        <w:t>204;</w:t>
      </w:r>
      <w:r w:rsidR="00A809AA" w:rsidRPr="007F0E13">
        <w:rPr>
          <w:rFonts w:asciiTheme="majorHAnsi" w:hAnsiTheme="majorHAnsi"/>
          <w:sz w:val="24"/>
          <w:szCs w:val="24"/>
        </w:rPr>
        <w:t xml:space="preserve"> pp. 65353-54.  Two comments were received from the Association of State and Territorial Health Officials (ASTHO)</w:t>
      </w:r>
      <w:r w:rsidR="00667C89" w:rsidRPr="007F0E13">
        <w:rPr>
          <w:rFonts w:asciiTheme="majorHAnsi" w:hAnsiTheme="majorHAnsi"/>
          <w:sz w:val="24"/>
          <w:szCs w:val="24"/>
        </w:rPr>
        <w:t>, and the</w:t>
      </w:r>
      <w:r w:rsidR="00A809AA" w:rsidRPr="007F0E13">
        <w:rPr>
          <w:rFonts w:asciiTheme="majorHAnsi" w:hAnsiTheme="majorHAnsi"/>
          <w:sz w:val="24"/>
          <w:szCs w:val="24"/>
        </w:rPr>
        <w:t xml:space="preserve"> National Association of County and City Health Officials (NACCHO)</w:t>
      </w:r>
      <w:r w:rsidR="00783C75" w:rsidRPr="007F0E13">
        <w:rPr>
          <w:rFonts w:asciiTheme="majorHAnsi" w:hAnsiTheme="majorHAnsi"/>
          <w:sz w:val="24"/>
          <w:szCs w:val="24"/>
        </w:rPr>
        <w:t>.</w:t>
      </w:r>
    </w:p>
    <w:p w:rsidR="00A809AA" w:rsidRPr="007F0E13" w:rsidRDefault="00A809AA" w:rsidP="002B796C">
      <w:pPr>
        <w:pStyle w:val="ListParagraph"/>
        <w:autoSpaceDE w:val="0"/>
        <w:autoSpaceDN w:val="0"/>
        <w:adjustRightInd w:val="0"/>
        <w:ind w:left="270" w:right="720"/>
        <w:rPr>
          <w:rFonts w:asciiTheme="majorHAnsi" w:hAnsiTheme="majorHAnsi"/>
          <w:sz w:val="24"/>
          <w:szCs w:val="24"/>
        </w:rPr>
      </w:pPr>
    </w:p>
    <w:p w:rsidR="00A809AA" w:rsidRPr="007F0E13" w:rsidRDefault="00A809AA" w:rsidP="002B796C">
      <w:pPr>
        <w:pStyle w:val="ListParagraph"/>
        <w:autoSpaceDE w:val="0"/>
        <w:autoSpaceDN w:val="0"/>
        <w:adjustRightInd w:val="0"/>
        <w:ind w:left="270" w:right="720"/>
        <w:rPr>
          <w:rFonts w:asciiTheme="majorHAnsi" w:hAnsiTheme="majorHAnsi"/>
          <w:sz w:val="24"/>
          <w:szCs w:val="24"/>
        </w:rPr>
      </w:pPr>
      <w:r w:rsidRPr="007F0E13">
        <w:rPr>
          <w:rFonts w:asciiTheme="majorHAnsi" w:hAnsiTheme="majorHAnsi"/>
          <w:sz w:val="24"/>
          <w:szCs w:val="24"/>
        </w:rPr>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00F52BCC" w:rsidRPr="007F0E13" w:rsidRDefault="00F52BCC" w:rsidP="002B796C">
      <w:pPr>
        <w:pStyle w:val="ListParagraph"/>
        <w:spacing w:after="0"/>
        <w:ind w:left="540"/>
        <w:rPr>
          <w:rFonts w:asciiTheme="majorHAnsi" w:hAnsiTheme="majorHAnsi"/>
          <w:sz w:val="24"/>
          <w:szCs w:val="24"/>
        </w:rPr>
      </w:pPr>
    </w:p>
    <w:p w:rsidR="00B12F51" w:rsidRPr="007F0E13" w:rsidRDefault="0088467A" w:rsidP="002B796C">
      <w:pPr>
        <w:pStyle w:val="ListParagraph"/>
        <w:numPr>
          <w:ilvl w:val="0"/>
          <w:numId w:val="2"/>
        </w:numPr>
        <w:spacing w:after="0"/>
        <w:ind w:left="360"/>
        <w:rPr>
          <w:rFonts w:asciiTheme="majorHAnsi" w:hAnsiTheme="majorHAnsi"/>
          <w:b/>
          <w:sz w:val="24"/>
          <w:szCs w:val="24"/>
        </w:rPr>
      </w:pPr>
      <w:r w:rsidRPr="007F0E13">
        <w:rPr>
          <w:rFonts w:asciiTheme="majorHAnsi" w:hAnsiTheme="majorHAnsi"/>
          <w:b/>
          <w:bCs/>
          <w:sz w:val="24"/>
          <w:szCs w:val="24"/>
        </w:rPr>
        <w:t>Explanation of Any Payment or Gift to Respondents</w:t>
      </w:r>
    </w:p>
    <w:p w:rsidR="00F52BCC" w:rsidRDefault="00A809AA" w:rsidP="002B796C">
      <w:pPr>
        <w:pStyle w:val="ListParagraph"/>
        <w:spacing w:after="0"/>
        <w:ind w:left="270"/>
        <w:rPr>
          <w:rFonts w:asciiTheme="majorHAnsi" w:hAnsiTheme="majorHAnsi"/>
          <w:sz w:val="24"/>
          <w:szCs w:val="24"/>
        </w:rPr>
      </w:pPr>
      <w:r w:rsidRPr="007F0E13">
        <w:rPr>
          <w:rFonts w:asciiTheme="majorHAnsi" w:hAnsiTheme="majorHAnsi"/>
          <w:sz w:val="24"/>
          <w:szCs w:val="24"/>
        </w:rPr>
        <w:t>CDC will not provide p</w:t>
      </w:r>
      <w:r w:rsidR="00D26A64" w:rsidRPr="007F0E13">
        <w:rPr>
          <w:rFonts w:asciiTheme="majorHAnsi" w:hAnsiTheme="majorHAnsi"/>
          <w:sz w:val="24"/>
          <w:szCs w:val="24"/>
        </w:rPr>
        <w:t>ayments or gifts to respondents.</w:t>
      </w:r>
    </w:p>
    <w:p w:rsidR="002B796C" w:rsidRPr="007F0E13" w:rsidRDefault="002B796C" w:rsidP="002B796C">
      <w:pPr>
        <w:pStyle w:val="ListParagraph"/>
        <w:spacing w:after="0"/>
        <w:ind w:left="270"/>
        <w:rPr>
          <w:rFonts w:asciiTheme="majorHAnsi" w:hAnsiTheme="majorHAnsi"/>
          <w:sz w:val="24"/>
          <w:szCs w:val="24"/>
        </w:rPr>
      </w:pPr>
    </w:p>
    <w:p w:rsidR="00F52BCC" w:rsidRPr="007F0E13" w:rsidRDefault="00F52BCC" w:rsidP="002B796C">
      <w:pPr>
        <w:pStyle w:val="ListParagraph"/>
        <w:spacing w:after="0"/>
        <w:ind w:left="540"/>
        <w:rPr>
          <w:rFonts w:asciiTheme="majorHAnsi" w:hAnsiTheme="majorHAnsi"/>
          <w:sz w:val="24"/>
          <w:szCs w:val="24"/>
        </w:rPr>
      </w:pPr>
    </w:p>
    <w:p w:rsidR="00B12F51" w:rsidRPr="007F0E13" w:rsidRDefault="0088467A" w:rsidP="002B796C">
      <w:pPr>
        <w:pStyle w:val="ListParagraph"/>
        <w:numPr>
          <w:ilvl w:val="0"/>
          <w:numId w:val="2"/>
        </w:numPr>
        <w:spacing w:after="0"/>
        <w:ind w:left="360"/>
        <w:rPr>
          <w:rFonts w:asciiTheme="majorHAnsi" w:hAnsiTheme="majorHAnsi"/>
          <w:b/>
          <w:sz w:val="24"/>
          <w:szCs w:val="24"/>
        </w:rPr>
      </w:pPr>
      <w:r w:rsidRPr="007F0E13">
        <w:rPr>
          <w:rFonts w:asciiTheme="majorHAnsi" w:hAnsiTheme="majorHAnsi"/>
          <w:b/>
          <w:sz w:val="24"/>
          <w:szCs w:val="24"/>
        </w:rPr>
        <w:t xml:space="preserve"> </w:t>
      </w:r>
      <w:r w:rsidRPr="007F0E13">
        <w:rPr>
          <w:rFonts w:asciiTheme="majorHAnsi" w:hAnsiTheme="majorHAnsi"/>
          <w:b/>
          <w:bCs/>
          <w:sz w:val="24"/>
          <w:szCs w:val="24"/>
        </w:rPr>
        <w:t>Assurance of Confidentiality Provided to Respondents</w:t>
      </w:r>
    </w:p>
    <w:p w:rsidR="003C31C9" w:rsidRPr="002B796C" w:rsidRDefault="003C31C9" w:rsidP="002B796C">
      <w:pPr>
        <w:pStyle w:val="ListParagraph"/>
        <w:autoSpaceDE w:val="0"/>
        <w:autoSpaceDN w:val="0"/>
        <w:adjustRightInd w:val="0"/>
        <w:ind w:left="270" w:right="720"/>
        <w:rPr>
          <w:rFonts w:asciiTheme="majorHAnsi" w:hAnsiTheme="majorHAnsi"/>
          <w:sz w:val="24"/>
          <w:szCs w:val="24"/>
        </w:rPr>
      </w:pPr>
      <w:r w:rsidRPr="007F0E13">
        <w:rPr>
          <w:rFonts w:asciiTheme="majorHAnsi" w:hAnsiTheme="majorHAnsi"/>
          <w:sz w:val="24"/>
          <w:szCs w:val="24"/>
        </w:rPr>
        <w:t xml:space="preserve">The Privacy Act does not apply to this data collection.  Employees of </w:t>
      </w:r>
      <w:r w:rsidR="00A6463B" w:rsidRPr="007F0E13">
        <w:rPr>
          <w:rFonts w:asciiTheme="majorHAnsi" w:hAnsiTheme="majorHAnsi"/>
          <w:sz w:val="24"/>
          <w:szCs w:val="24"/>
        </w:rPr>
        <w:t>STLT health departments</w:t>
      </w:r>
      <w:r w:rsidR="00A6463B" w:rsidRPr="007F0E13" w:rsidDel="00A6463B">
        <w:rPr>
          <w:rFonts w:asciiTheme="majorHAnsi" w:hAnsiTheme="majorHAnsi"/>
          <w:sz w:val="24"/>
          <w:szCs w:val="24"/>
        </w:rPr>
        <w:t xml:space="preserve"> </w:t>
      </w:r>
      <w:r w:rsidRPr="007F0E13">
        <w:rPr>
          <w:rFonts w:asciiTheme="majorHAnsi" w:hAnsiTheme="majorHAnsi"/>
          <w:sz w:val="24"/>
          <w:szCs w:val="24"/>
        </w:rPr>
        <w:t xml:space="preserve">will be speaking from their official roles and will not be asked, nor </w:t>
      </w:r>
      <w:r w:rsidRPr="007F0E13">
        <w:rPr>
          <w:rFonts w:asciiTheme="majorHAnsi" w:hAnsiTheme="majorHAnsi"/>
          <w:sz w:val="24"/>
          <w:szCs w:val="24"/>
        </w:rPr>
        <w:lastRenderedPageBreak/>
        <w:t>will they provide</w:t>
      </w:r>
      <w:r w:rsidR="0087185D" w:rsidRPr="007F0E13">
        <w:rPr>
          <w:rFonts w:asciiTheme="majorHAnsi" w:hAnsiTheme="majorHAnsi"/>
          <w:sz w:val="24"/>
          <w:szCs w:val="24"/>
        </w:rPr>
        <w:t>,</w:t>
      </w:r>
      <w:r w:rsidRPr="007F0E13">
        <w:rPr>
          <w:rFonts w:asciiTheme="majorHAnsi" w:hAnsiTheme="majorHAnsi"/>
          <w:sz w:val="24"/>
          <w:szCs w:val="24"/>
        </w:rPr>
        <w:t xml:space="preserve"> </w:t>
      </w:r>
      <w:r w:rsidR="0087185D" w:rsidRPr="007F0E13">
        <w:rPr>
          <w:rFonts w:asciiTheme="majorHAnsi" w:hAnsiTheme="majorHAnsi"/>
          <w:sz w:val="24"/>
          <w:szCs w:val="24"/>
        </w:rPr>
        <w:t>personally</w:t>
      </w:r>
      <w:r w:rsidR="002B796C">
        <w:rPr>
          <w:rFonts w:asciiTheme="majorHAnsi" w:hAnsiTheme="majorHAnsi"/>
          <w:sz w:val="24"/>
          <w:szCs w:val="24"/>
        </w:rPr>
        <w:t xml:space="preserve"> identifiable information.  </w:t>
      </w:r>
      <w:r w:rsidRPr="002B796C">
        <w:rPr>
          <w:rFonts w:asciiTheme="majorHAnsi" w:hAnsiTheme="majorHAnsi"/>
          <w:sz w:val="24"/>
          <w:szCs w:val="24"/>
        </w:rPr>
        <w:t>This data collection is not research involving human subjects.</w:t>
      </w:r>
    </w:p>
    <w:p w:rsidR="00F52BCC" w:rsidRPr="007F0E13" w:rsidRDefault="00F52BCC" w:rsidP="002B796C">
      <w:pPr>
        <w:pStyle w:val="ListParagraph"/>
        <w:spacing w:after="0"/>
        <w:ind w:left="270"/>
        <w:rPr>
          <w:rFonts w:asciiTheme="majorHAnsi" w:hAnsiTheme="majorHAnsi"/>
          <w:sz w:val="24"/>
          <w:szCs w:val="24"/>
        </w:rPr>
      </w:pPr>
    </w:p>
    <w:p w:rsidR="00B12F51" w:rsidRPr="007F0E13" w:rsidRDefault="0088467A" w:rsidP="002B796C">
      <w:pPr>
        <w:pStyle w:val="ListParagraph"/>
        <w:numPr>
          <w:ilvl w:val="0"/>
          <w:numId w:val="2"/>
        </w:numPr>
        <w:spacing w:after="0"/>
        <w:ind w:left="360"/>
        <w:rPr>
          <w:rFonts w:asciiTheme="majorHAnsi" w:hAnsiTheme="majorHAnsi"/>
          <w:b/>
          <w:sz w:val="24"/>
          <w:szCs w:val="24"/>
        </w:rPr>
      </w:pPr>
      <w:r w:rsidRPr="007F0E13">
        <w:rPr>
          <w:rFonts w:asciiTheme="majorHAnsi" w:hAnsiTheme="majorHAnsi"/>
          <w:b/>
          <w:bCs/>
          <w:sz w:val="24"/>
          <w:szCs w:val="24"/>
        </w:rPr>
        <w:t>Justification for Sensitive Questions</w:t>
      </w:r>
    </w:p>
    <w:p w:rsidR="00F52BCC" w:rsidRPr="007F0E13" w:rsidRDefault="003C31C9" w:rsidP="002B796C">
      <w:pPr>
        <w:pStyle w:val="ListParagraph"/>
        <w:spacing w:after="0"/>
        <w:ind w:left="270"/>
        <w:rPr>
          <w:rFonts w:asciiTheme="majorHAnsi" w:hAnsiTheme="majorHAnsi"/>
          <w:sz w:val="24"/>
          <w:szCs w:val="24"/>
        </w:rPr>
      </w:pPr>
      <w:r w:rsidRPr="007F0E13">
        <w:rPr>
          <w:rFonts w:asciiTheme="majorHAnsi" w:hAnsiTheme="majorHAnsi"/>
          <w:sz w:val="24"/>
          <w:szCs w:val="24"/>
        </w:rPr>
        <w:t>No information will be collected</w:t>
      </w:r>
      <w:r w:rsidR="00616090" w:rsidRPr="007F0E13">
        <w:rPr>
          <w:rFonts w:asciiTheme="majorHAnsi" w:hAnsiTheme="majorHAnsi"/>
          <w:sz w:val="24"/>
          <w:szCs w:val="24"/>
        </w:rPr>
        <w:t xml:space="preserve"> that are of personal or sensitive nature</w:t>
      </w:r>
      <w:r w:rsidR="00D26A64" w:rsidRPr="007F0E13">
        <w:rPr>
          <w:rFonts w:asciiTheme="majorHAnsi" w:hAnsiTheme="majorHAnsi"/>
          <w:sz w:val="24"/>
          <w:szCs w:val="24"/>
        </w:rPr>
        <w:t>.</w:t>
      </w:r>
    </w:p>
    <w:p w:rsidR="00616090" w:rsidRPr="007F0E13" w:rsidRDefault="00616090" w:rsidP="002B796C">
      <w:pPr>
        <w:spacing w:after="0"/>
        <w:rPr>
          <w:rFonts w:asciiTheme="majorHAnsi" w:hAnsiTheme="majorHAnsi"/>
          <w:sz w:val="24"/>
          <w:szCs w:val="24"/>
        </w:rPr>
      </w:pPr>
    </w:p>
    <w:p w:rsidR="00137C62" w:rsidRPr="002B796C" w:rsidRDefault="0088467A" w:rsidP="002B796C">
      <w:pPr>
        <w:pStyle w:val="ListParagraph"/>
        <w:numPr>
          <w:ilvl w:val="0"/>
          <w:numId w:val="2"/>
        </w:numPr>
        <w:spacing w:after="0"/>
        <w:ind w:left="360"/>
        <w:rPr>
          <w:rFonts w:asciiTheme="majorHAnsi" w:hAnsiTheme="majorHAnsi"/>
          <w:b/>
          <w:sz w:val="24"/>
          <w:szCs w:val="24"/>
        </w:rPr>
      </w:pPr>
      <w:r w:rsidRPr="007F0E13">
        <w:rPr>
          <w:rFonts w:asciiTheme="majorHAnsi" w:hAnsiTheme="majorHAnsi"/>
          <w:b/>
          <w:bCs/>
          <w:sz w:val="24"/>
          <w:szCs w:val="24"/>
        </w:rPr>
        <w:t>Estimates of Annualized Burden Hours and Costs</w:t>
      </w:r>
    </w:p>
    <w:p w:rsidR="000926A1" w:rsidRPr="007F0E13" w:rsidRDefault="00B64BFA" w:rsidP="002B796C">
      <w:pPr>
        <w:pStyle w:val="ListParagraph"/>
        <w:autoSpaceDE w:val="0"/>
        <w:autoSpaceDN w:val="0"/>
        <w:adjustRightInd w:val="0"/>
        <w:ind w:left="270"/>
        <w:rPr>
          <w:rFonts w:asciiTheme="majorHAnsi" w:hAnsiTheme="majorHAnsi"/>
          <w:sz w:val="24"/>
          <w:szCs w:val="24"/>
        </w:rPr>
      </w:pPr>
      <w:r w:rsidRPr="007F0E13">
        <w:rPr>
          <w:rFonts w:asciiTheme="majorHAnsi" w:hAnsiTheme="majorHAnsi"/>
          <w:color w:val="000000"/>
          <w:sz w:val="24"/>
          <w:szCs w:val="24"/>
        </w:rPr>
        <w:t xml:space="preserve">The estimate for burden hours is based on </w:t>
      </w:r>
      <w:r w:rsidR="004C7B14" w:rsidRPr="007F0E13">
        <w:rPr>
          <w:rFonts w:asciiTheme="majorHAnsi" w:hAnsiTheme="majorHAnsi"/>
          <w:color w:val="000000"/>
          <w:sz w:val="24"/>
          <w:szCs w:val="24"/>
        </w:rPr>
        <w:t xml:space="preserve">the </w:t>
      </w:r>
      <w:r w:rsidRPr="007F0E13">
        <w:rPr>
          <w:rFonts w:asciiTheme="majorHAnsi" w:hAnsiTheme="majorHAnsi"/>
          <w:color w:val="000000"/>
          <w:sz w:val="24"/>
          <w:szCs w:val="24"/>
        </w:rPr>
        <w:t xml:space="preserve">pilot test of the </w:t>
      </w:r>
      <w:r w:rsidR="0021471C" w:rsidRPr="007F0E13">
        <w:rPr>
          <w:rFonts w:asciiTheme="majorHAnsi" w:hAnsiTheme="majorHAnsi"/>
          <w:color w:val="000000"/>
          <w:sz w:val="24"/>
          <w:szCs w:val="24"/>
        </w:rPr>
        <w:t xml:space="preserve">data collection </w:t>
      </w:r>
      <w:r w:rsidRPr="007F0E13">
        <w:rPr>
          <w:rFonts w:asciiTheme="majorHAnsi" w:hAnsiTheme="majorHAnsi"/>
          <w:color w:val="000000"/>
          <w:sz w:val="24"/>
          <w:szCs w:val="24"/>
        </w:rPr>
        <w:t xml:space="preserve">instrument by </w:t>
      </w:r>
      <w:r w:rsidR="00A365CE" w:rsidRPr="007F0E13">
        <w:rPr>
          <w:rFonts w:asciiTheme="majorHAnsi" w:hAnsiTheme="majorHAnsi"/>
          <w:color w:val="000000"/>
          <w:sz w:val="24"/>
          <w:szCs w:val="24"/>
        </w:rPr>
        <w:t>eight</w:t>
      </w:r>
      <w:r w:rsidR="00D5148A" w:rsidRPr="007F0E13">
        <w:rPr>
          <w:rFonts w:asciiTheme="majorHAnsi" w:hAnsiTheme="majorHAnsi"/>
          <w:color w:val="000000"/>
          <w:sz w:val="24"/>
          <w:szCs w:val="24"/>
        </w:rPr>
        <w:t xml:space="preserve"> </w:t>
      </w:r>
      <w:r w:rsidR="00A6463B" w:rsidRPr="007F0E13">
        <w:rPr>
          <w:rFonts w:asciiTheme="majorHAnsi" w:hAnsiTheme="majorHAnsi"/>
          <w:color w:val="000000"/>
          <w:sz w:val="24"/>
          <w:szCs w:val="24"/>
        </w:rPr>
        <w:t xml:space="preserve">STLT </w:t>
      </w:r>
      <w:r w:rsidR="000926A1" w:rsidRPr="007F0E13">
        <w:rPr>
          <w:rFonts w:asciiTheme="majorHAnsi" w:hAnsiTheme="majorHAnsi"/>
          <w:sz w:val="24"/>
          <w:szCs w:val="24"/>
        </w:rPr>
        <w:t>health officials</w:t>
      </w:r>
      <w:r w:rsidR="004C7B14" w:rsidRPr="007F0E13">
        <w:rPr>
          <w:rFonts w:asciiTheme="majorHAnsi" w:hAnsiTheme="majorHAnsi"/>
          <w:sz w:val="24"/>
          <w:szCs w:val="24"/>
        </w:rPr>
        <w:t xml:space="preserve"> at the Kansas Department of Health and Environment</w:t>
      </w:r>
      <w:r w:rsidR="00917033" w:rsidRPr="007F0E13">
        <w:rPr>
          <w:rFonts w:asciiTheme="majorHAnsi" w:hAnsiTheme="majorHAnsi"/>
          <w:sz w:val="24"/>
          <w:szCs w:val="24"/>
        </w:rPr>
        <w:t xml:space="preserve"> (KDHE)</w:t>
      </w:r>
      <w:r w:rsidRPr="007F0E13">
        <w:rPr>
          <w:rFonts w:asciiTheme="majorHAnsi" w:hAnsiTheme="majorHAnsi"/>
          <w:sz w:val="24"/>
          <w:szCs w:val="24"/>
        </w:rPr>
        <w:t xml:space="preserve">. </w:t>
      </w:r>
      <w:r w:rsidR="000926A1" w:rsidRPr="007F0E13">
        <w:rPr>
          <w:rFonts w:asciiTheme="majorHAnsi" w:hAnsiTheme="majorHAnsi"/>
          <w:sz w:val="24"/>
          <w:szCs w:val="24"/>
        </w:rPr>
        <w:t>During pretesting</w:t>
      </w:r>
      <w:r w:rsidRPr="007F0E13">
        <w:rPr>
          <w:rFonts w:asciiTheme="majorHAnsi" w:hAnsiTheme="majorHAnsi"/>
          <w:sz w:val="24"/>
          <w:szCs w:val="24"/>
        </w:rPr>
        <w:t xml:space="preserve">, the average time to complete the survey including time for reviewing instructions, gathering needed information and completing the survey, was approximately </w:t>
      </w:r>
      <w:r w:rsidR="00164A07" w:rsidRPr="007F0E13">
        <w:rPr>
          <w:rFonts w:asciiTheme="majorHAnsi" w:hAnsiTheme="majorHAnsi"/>
          <w:sz w:val="24"/>
          <w:szCs w:val="24"/>
        </w:rPr>
        <w:t xml:space="preserve">90 </w:t>
      </w:r>
      <w:r w:rsidRPr="007F0E13">
        <w:rPr>
          <w:rFonts w:asciiTheme="majorHAnsi" w:hAnsiTheme="majorHAnsi"/>
          <w:sz w:val="24"/>
          <w:szCs w:val="24"/>
        </w:rPr>
        <w:t xml:space="preserve">minutes. </w:t>
      </w:r>
    </w:p>
    <w:p w:rsidR="00420E8B" w:rsidRPr="007F0E13" w:rsidRDefault="00420E8B" w:rsidP="002B796C">
      <w:pPr>
        <w:pStyle w:val="ListParagraph"/>
        <w:autoSpaceDE w:val="0"/>
        <w:autoSpaceDN w:val="0"/>
        <w:adjustRightInd w:val="0"/>
        <w:ind w:left="270"/>
        <w:rPr>
          <w:rFonts w:asciiTheme="majorHAnsi" w:hAnsiTheme="majorHAnsi"/>
          <w:sz w:val="24"/>
          <w:szCs w:val="24"/>
        </w:rPr>
      </w:pPr>
    </w:p>
    <w:p w:rsidR="000926A1" w:rsidRPr="002B796C" w:rsidRDefault="000926A1" w:rsidP="002B796C">
      <w:pPr>
        <w:pStyle w:val="ListParagraph"/>
        <w:autoSpaceDE w:val="0"/>
        <w:autoSpaceDN w:val="0"/>
        <w:adjustRightInd w:val="0"/>
        <w:ind w:left="270"/>
        <w:rPr>
          <w:rFonts w:asciiTheme="majorHAnsi" w:hAnsiTheme="majorHAnsi"/>
          <w:sz w:val="24"/>
          <w:szCs w:val="24"/>
        </w:rPr>
      </w:pPr>
      <w:r w:rsidRPr="007F0E13">
        <w:rPr>
          <w:rFonts w:asciiTheme="majorHAnsi" w:hAnsiTheme="majorHAnsi"/>
          <w:sz w:val="24"/>
          <w:szCs w:val="24"/>
        </w:rPr>
        <w:t xml:space="preserve">Seven </w:t>
      </w:r>
      <w:proofErr w:type="spellStart"/>
      <w:r w:rsidR="00137C62" w:rsidRPr="007F0E13">
        <w:rPr>
          <w:rFonts w:asciiTheme="majorHAnsi" w:hAnsiTheme="majorHAnsi"/>
          <w:sz w:val="24"/>
          <w:szCs w:val="24"/>
        </w:rPr>
        <w:t>BioSense</w:t>
      </w:r>
      <w:proofErr w:type="spellEnd"/>
      <w:r w:rsidR="00137C62" w:rsidRPr="007F0E13">
        <w:rPr>
          <w:rFonts w:asciiTheme="majorHAnsi" w:hAnsiTheme="majorHAnsi"/>
          <w:sz w:val="24"/>
          <w:szCs w:val="24"/>
        </w:rPr>
        <w:t xml:space="preserve"> participant </w:t>
      </w:r>
      <w:r w:rsidR="00A6463B" w:rsidRPr="007F0E13">
        <w:rPr>
          <w:rFonts w:asciiTheme="majorHAnsi" w:hAnsiTheme="majorHAnsi"/>
          <w:sz w:val="24"/>
          <w:szCs w:val="24"/>
        </w:rPr>
        <w:t>STLT health departments</w:t>
      </w:r>
      <w:r w:rsidR="00A6463B" w:rsidRPr="007F0E13" w:rsidDel="00A6463B">
        <w:rPr>
          <w:rFonts w:asciiTheme="majorHAnsi" w:hAnsiTheme="majorHAnsi"/>
          <w:sz w:val="24"/>
          <w:szCs w:val="24"/>
        </w:rPr>
        <w:t xml:space="preserve"> </w:t>
      </w:r>
      <w:r w:rsidR="008B70B1" w:rsidRPr="007F0E13">
        <w:rPr>
          <w:rFonts w:asciiTheme="majorHAnsi" w:hAnsiTheme="majorHAnsi"/>
          <w:sz w:val="24"/>
          <w:szCs w:val="24"/>
        </w:rPr>
        <w:t>are anticipated</w:t>
      </w:r>
      <w:r w:rsidRPr="007F0E13">
        <w:rPr>
          <w:rFonts w:asciiTheme="majorHAnsi" w:hAnsiTheme="majorHAnsi"/>
          <w:sz w:val="24"/>
          <w:szCs w:val="24"/>
        </w:rPr>
        <w:t xml:space="preserve"> to participate, with </w:t>
      </w:r>
      <w:r w:rsidR="00164A07" w:rsidRPr="007F0E13">
        <w:rPr>
          <w:rFonts w:asciiTheme="majorHAnsi" w:hAnsiTheme="majorHAnsi"/>
          <w:sz w:val="24"/>
          <w:szCs w:val="24"/>
        </w:rPr>
        <w:t xml:space="preserve">no more than </w:t>
      </w:r>
      <w:r w:rsidR="00A365CE" w:rsidRPr="007F0E13">
        <w:rPr>
          <w:rFonts w:asciiTheme="majorHAnsi" w:hAnsiTheme="majorHAnsi"/>
          <w:sz w:val="24"/>
          <w:szCs w:val="24"/>
        </w:rPr>
        <w:t>eight</w:t>
      </w:r>
      <w:r w:rsidR="00164A07" w:rsidRPr="007F0E13">
        <w:rPr>
          <w:rFonts w:asciiTheme="majorHAnsi" w:hAnsiTheme="majorHAnsi"/>
          <w:sz w:val="24"/>
          <w:szCs w:val="24"/>
        </w:rPr>
        <w:t xml:space="preserve"> </w:t>
      </w:r>
      <w:r w:rsidR="00137C62" w:rsidRPr="007F0E13">
        <w:rPr>
          <w:rFonts w:asciiTheme="majorHAnsi" w:hAnsiTheme="majorHAnsi"/>
          <w:sz w:val="24"/>
          <w:szCs w:val="24"/>
        </w:rPr>
        <w:t xml:space="preserve">individual </w:t>
      </w:r>
      <w:r w:rsidRPr="007F0E13">
        <w:rPr>
          <w:rFonts w:asciiTheme="majorHAnsi" w:hAnsiTheme="majorHAnsi"/>
          <w:sz w:val="24"/>
          <w:szCs w:val="24"/>
        </w:rPr>
        <w:t xml:space="preserve">health </w:t>
      </w:r>
      <w:r w:rsidR="00164A07" w:rsidRPr="007F0E13">
        <w:rPr>
          <w:rFonts w:asciiTheme="majorHAnsi" w:hAnsiTheme="majorHAnsi"/>
          <w:sz w:val="24"/>
          <w:szCs w:val="24"/>
        </w:rPr>
        <w:t xml:space="preserve">officials </w:t>
      </w:r>
      <w:r w:rsidRPr="007F0E13">
        <w:rPr>
          <w:rFonts w:asciiTheme="majorHAnsi" w:hAnsiTheme="majorHAnsi"/>
          <w:sz w:val="24"/>
          <w:szCs w:val="24"/>
        </w:rPr>
        <w:t xml:space="preserve">from each </w:t>
      </w:r>
      <w:r w:rsidR="00A6463B" w:rsidRPr="007F0E13">
        <w:rPr>
          <w:rFonts w:asciiTheme="majorHAnsi" w:hAnsiTheme="majorHAnsi"/>
          <w:sz w:val="24"/>
          <w:szCs w:val="24"/>
        </w:rPr>
        <w:t xml:space="preserve">STLT health department </w:t>
      </w:r>
      <w:r w:rsidRPr="007F0E13">
        <w:rPr>
          <w:rFonts w:asciiTheme="majorHAnsi" w:hAnsiTheme="majorHAnsi"/>
          <w:sz w:val="24"/>
          <w:szCs w:val="24"/>
        </w:rPr>
        <w:t>representing the Chief Epidemiologist</w:t>
      </w:r>
      <w:r w:rsidR="00077DA7">
        <w:rPr>
          <w:rFonts w:asciiTheme="majorHAnsi" w:hAnsiTheme="majorHAnsi"/>
          <w:sz w:val="24"/>
          <w:szCs w:val="24"/>
        </w:rPr>
        <w:t xml:space="preserve"> and </w:t>
      </w:r>
      <w:r w:rsidR="00A713E0" w:rsidRPr="007F0E13">
        <w:rPr>
          <w:rFonts w:asciiTheme="majorHAnsi" w:hAnsiTheme="majorHAnsi"/>
          <w:sz w:val="24"/>
          <w:szCs w:val="24"/>
        </w:rPr>
        <w:t>the department’s</w:t>
      </w:r>
      <w:r w:rsidRPr="007F0E13">
        <w:rPr>
          <w:rFonts w:asciiTheme="majorHAnsi" w:hAnsiTheme="majorHAnsi"/>
          <w:sz w:val="24"/>
          <w:szCs w:val="24"/>
        </w:rPr>
        <w:t xml:space="preserve"> IT Onboarding</w:t>
      </w:r>
      <w:r w:rsidR="00A6463B" w:rsidRPr="007F0E13">
        <w:rPr>
          <w:rFonts w:asciiTheme="majorHAnsi" w:hAnsiTheme="majorHAnsi"/>
          <w:sz w:val="24"/>
          <w:szCs w:val="24"/>
        </w:rPr>
        <w:t xml:space="preserve"> </w:t>
      </w:r>
      <w:r w:rsidRPr="007F0E13">
        <w:rPr>
          <w:rFonts w:asciiTheme="majorHAnsi" w:hAnsiTheme="majorHAnsi"/>
          <w:sz w:val="24"/>
          <w:szCs w:val="24"/>
        </w:rPr>
        <w:t>team</w:t>
      </w:r>
      <w:r w:rsidR="00E5098A" w:rsidRPr="007F0E13">
        <w:rPr>
          <w:rFonts w:asciiTheme="majorHAnsi" w:hAnsiTheme="majorHAnsi"/>
          <w:sz w:val="24"/>
          <w:szCs w:val="24"/>
        </w:rPr>
        <w:t xml:space="preserve"> </w:t>
      </w:r>
      <w:r w:rsidR="00077DA7">
        <w:rPr>
          <w:rFonts w:asciiTheme="majorHAnsi" w:hAnsiTheme="majorHAnsi"/>
          <w:sz w:val="24"/>
          <w:szCs w:val="24"/>
        </w:rPr>
        <w:t>perspectives.  Comprehensive</w:t>
      </w:r>
      <w:r w:rsidR="00137C62" w:rsidRPr="002B796C">
        <w:rPr>
          <w:rFonts w:asciiTheme="majorHAnsi" w:hAnsiTheme="majorHAnsi"/>
          <w:sz w:val="24"/>
          <w:szCs w:val="24"/>
        </w:rPr>
        <w:t>ly,</w:t>
      </w:r>
      <w:r w:rsidRPr="002B796C">
        <w:rPr>
          <w:rFonts w:asciiTheme="majorHAnsi" w:hAnsiTheme="majorHAnsi"/>
          <w:sz w:val="24"/>
          <w:szCs w:val="24"/>
        </w:rPr>
        <w:t xml:space="preserve"> </w:t>
      </w:r>
      <w:r w:rsidR="00164A07" w:rsidRPr="002B796C">
        <w:rPr>
          <w:rFonts w:asciiTheme="majorHAnsi" w:hAnsiTheme="majorHAnsi"/>
          <w:sz w:val="24"/>
          <w:szCs w:val="24"/>
        </w:rPr>
        <w:t xml:space="preserve">a maximum of </w:t>
      </w:r>
      <w:r w:rsidR="00420E8B" w:rsidRPr="002B796C">
        <w:rPr>
          <w:rFonts w:asciiTheme="majorHAnsi" w:hAnsiTheme="majorHAnsi"/>
          <w:sz w:val="24"/>
          <w:szCs w:val="24"/>
        </w:rPr>
        <w:t>5</w:t>
      </w:r>
      <w:r w:rsidR="00726908" w:rsidRPr="002B796C">
        <w:rPr>
          <w:rFonts w:asciiTheme="majorHAnsi" w:hAnsiTheme="majorHAnsi"/>
          <w:sz w:val="24"/>
          <w:szCs w:val="24"/>
        </w:rPr>
        <w:t>6</w:t>
      </w:r>
      <w:r w:rsidR="00420E8B" w:rsidRPr="002B796C">
        <w:rPr>
          <w:rFonts w:asciiTheme="majorHAnsi" w:hAnsiTheme="majorHAnsi"/>
          <w:sz w:val="24"/>
          <w:szCs w:val="24"/>
        </w:rPr>
        <w:t xml:space="preserve"> </w:t>
      </w:r>
      <w:r w:rsidRPr="002B796C">
        <w:rPr>
          <w:rFonts w:asciiTheme="majorHAnsi" w:hAnsiTheme="majorHAnsi"/>
          <w:sz w:val="24"/>
          <w:szCs w:val="24"/>
        </w:rPr>
        <w:t xml:space="preserve">STLT health officials are expected to participate. </w:t>
      </w:r>
    </w:p>
    <w:p w:rsidR="000926A1" w:rsidRPr="007F0E13" w:rsidRDefault="000926A1" w:rsidP="002B796C">
      <w:pPr>
        <w:pStyle w:val="ListParagraph"/>
        <w:autoSpaceDE w:val="0"/>
        <w:autoSpaceDN w:val="0"/>
        <w:adjustRightInd w:val="0"/>
        <w:ind w:left="270"/>
        <w:rPr>
          <w:rFonts w:asciiTheme="majorHAnsi" w:hAnsiTheme="majorHAnsi"/>
          <w:sz w:val="24"/>
          <w:szCs w:val="24"/>
        </w:rPr>
      </w:pPr>
    </w:p>
    <w:p w:rsidR="00164A07" w:rsidRPr="007F0E13" w:rsidRDefault="00B64BFA" w:rsidP="002B796C">
      <w:pPr>
        <w:pStyle w:val="ListParagraph"/>
        <w:autoSpaceDE w:val="0"/>
        <w:autoSpaceDN w:val="0"/>
        <w:adjustRightInd w:val="0"/>
        <w:ind w:left="270"/>
        <w:rPr>
          <w:rFonts w:asciiTheme="majorHAnsi" w:hAnsiTheme="majorHAnsi"/>
          <w:color w:val="000000"/>
          <w:sz w:val="24"/>
          <w:szCs w:val="24"/>
        </w:rPr>
      </w:pPr>
      <w:r w:rsidRPr="007F0E13">
        <w:rPr>
          <w:rFonts w:asciiTheme="majorHAnsi" w:hAnsiTheme="majorHAnsi"/>
          <w:sz w:val="24"/>
          <w:szCs w:val="24"/>
        </w:rPr>
        <w:t xml:space="preserve">Based on these results, the estimated time for </w:t>
      </w:r>
      <w:r w:rsidR="00420E8B" w:rsidRPr="007F0E13">
        <w:rPr>
          <w:rFonts w:asciiTheme="majorHAnsi" w:hAnsiTheme="majorHAnsi"/>
          <w:sz w:val="24"/>
          <w:szCs w:val="24"/>
        </w:rPr>
        <w:t xml:space="preserve">all </w:t>
      </w:r>
      <w:r w:rsidRPr="007F0E13">
        <w:rPr>
          <w:rFonts w:asciiTheme="majorHAnsi" w:hAnsiTheme="majorHAnsi"/>
          <w:sz w:val="24"/>
          <w:szCs w:val="24"/>
        </w:rPr>
        <w:t xml:space="preserve">respondents to complete the survey is </w:t>
      </w:r>
      <w:r w:rsidR="00077DA7">
        <w:rPr>
          <w:rFonts w:asciiTheme="majorHAnsi" w:hAnsiTheme="majorHAnsi"/>
          <w:sz w:val="24"/>
          <w:szCs w:val="24"/>
        </w:rPr>
        <w:t>85 h</w:t>
      </w:r>
      <w:r w:rsidR="00420E8B" w:rsidRPr="007F0E13">
        <w:rPr>
          <w:rFonts w:asciiTheme="majorHAnsi" w:hAnsiTheme="majorHAnsi"/>
          <w:sz w:val="24"/>
          <w:szCs w:val="24"/>
        </w:rPr>
        <w:t>ours</w:t>
      </w:r>
      <w:r w:rsidRPr="007F0E13">
        <w:rPr>
          <w:rFonts w:asciiTheme="majorHAnsi" w:hAnsiTheme="majorHAnsi"/>
          <w:sz w:val="24"/>
          <w:szCs w:val="24"/>
        </w:rPr>
        <w:t xml:space="preserve">. </w:t>
      </w:r>
      <w:r w:rsidRPr="007F0E13">
        <w:rPr>
          <w:rFonts w:asciiTheme="majorHAnsi" w:hAnsiTheme="majorHAnsi"/>
          <w:color w:val="000000"/>
          <w:sz w:val="24"/>
          <w:szCs w:val="24"/>
        </w:rPr>
        <w:t>Estimates for the average hourly wage for respondents are based on the Department of Labor (DOL) National Compensation Survey estimate for management occupations – medical and health services managers in state government</w:t>
      </w:r>
      <w:r w:rsidR="00164A07" w:rsidRPr="007F0E13">
        <w:rPr>
          <w:rFonts w:asciiTheme="majorHAnsi" w:hAnsiTheme="majorHAnsi"/>
          <w:color w:val="000000"/>
          <w:sz w:val="24"/>
          <w:szCs w:val="24"/>
        </w:rPr>
        <w:t xml:space="preserve"> for the Chief Epidemiologist Team</w:t>
      </w:r>
      <w:r w:rsidRPr="007F0E13">
        <w:rPr>
          <w:rFonts w:asciiTheme="majorHAnsi" w:hAnsiTheme="majorHAnsi"/>
          <w:color w:val="000000"/>
          <w:sz w:val="24"/>
          <w:szCs w:val="24"/>
        </w:rPr>
        <w:t xml:space="preserve"> (</w:t>
      </w:r>
      <w:hyperlink r:id="rId14" w:history="1">
        <w:r w:rsidRPr="007F0E13">
          <w:rPr>
            <w:rStyle w:val="Hyperlink"/>
            <w:rFonts w:asciiTheme="majorHAnsi" w:hAnsiTheme="majorHAnsi"/>
            <w:sz w:val="24"/>
            <w:szCs w:val="24"/>
          </w:rPr>
          <w:t>http://www.bls.gov/ncs/ocs/sp/nctb1349.pdf</w:t>
        </w:r>
      </w:hyperlink>
      <w:r w:rsidRPr="007F0E13">
        <w:rPr>
          <w:rFonts w:asciiTheme="majorHAnsi" w:hAnsiTheme="majorHAnsi"/>
          <w:color w:val="000000"/>
          <w:sz w:val="24"/>
          <w:szCs w:val="24"/>
        </w:rPr>
        <w:t xml:space="preserve">). </w:t>
      </w:r>
      <w:r w:rsidR="00164A07" w:rsidRPr="007F0E13">
        <w:rPr>
          <w:rFonts w:asciiTheme="majorHAnsi" w:hAnsiTheme="majorHAnsi"/>
          <w:color w:val="000000"/>
          <w:sz w:val="24"/>
          <w:szCs w:val="24"/>
        </w:rPr>
        <w:t xml:space="preserve">The wage rates for the Onboarding Team </w:t>
      </w:r>
      <w:r w:rsidR="00936C1C" w:rsidRPr="007F0E13">
        <w:rPr>
          <w:rFonts w:asciiTheme="majorHAnsi" w:hAnsiTheme="majorHAnsi"/>
          <w:color w:val="000000"/>
          <w:sz w:val="24"/>
          <w:szCs w:val="24"/>
        </w:rPr>
        <w:t xml:space="preserve"> </w:t>
      </w:r>
      <w:r w:rsidR="00164A07" w:rsidRPr="007F0E13">
        <w:rPr>
          <w:rFonts w:asciiTheme="majorHAnsi" w:hAnsiTheme="majorHAnsi"/>
          <w:color w:val="000000"/>
          <w:sz w:val="24"/>
          <w:szCs w:val="24"/>
        </w:rPr>
        <w:t>are from the computer and information system management position.</w:t>
      </w:r>
    </w:p>
    <w:p w:rsidR="00164A07" w:rsidRPr="007F0E13" w:rsidRDefault="00164A07" w:rsidP="002B796C">
      <w:pPr>
        <w:pStyle w:val="ListParagraph"/>
        <w:autoSpaceDE w:val="0"/>
        <w:autoSpaceDN w:val="0"/>
        <w:adjustRightInd w:val="0"/>
        <w:ind w:left="270"/>
        <w:rPr>
          <w:rFonts w:asciiTheme="majorHAnsi" w:hAnsiTheme="majorHAnsi"/>
          <w:color w:val="000000"/>
          <w:sz w:val="24"/>
          <w:szCs w:val="24"/>
        </w:rPr>
      </w:pPr>
    </w:p>
    <w:p w:rsidR="005A59E5" w:rsidRPr="007F0E13" w:rsidRDefault="005A59E5" w:rsidP="002B796C">
      <w:pPr>
        <w:pStyle w:val="ListParagraph"/>
        <w:autoSpaceDE w:val="0"/>
        <w:autoSpaceDN w:val="0"/>
        <w:adjustRightInd w:val="0"/>
        <w:ind w:left="0" w:right="720"/>
        <w:rPr>
          <w:rFonts w:asciiTheme="majorHAnsi" w:hAnsiTheme="majorHAnsi"/>
          <w:sz w:val="24"/>
          <w:szCs w:val="24"/>
        </w:rPr>
      </w:pPr>
      <w:r w:rsidRPr="007F0E13">
        <w:rPr>
          <w:rFonts w:asciiTheme="majorHAnsi" w:hAnsiTheme="majorHAnsi"/>
          <w:b/>
          <w:sz w:val="24"/>
          <w:szCs w:val="24"/>
          <w:u w:val="single"/>
        </w:rPr>
        <w:t>Table A-12</w:t>
      </w:r>
      <w:r w:rsidRPr="007F0E13">
        <w:rPr>
          <w:rFonts w:asciiTheme="majorHAnsi" w:hAnsiTheme="majorHAnsi"/>
          <w:b/>
          <w:sz w:val="24"/>
          <w:szCs w:val="24"/>
        </w:rPr>
        <w:t>:</w:t>
      </w:r>
      <w:r w:rsidRPr="007F0E13">
        <w:rPr>
          <w:rFonts w:asciiTheme="majorHAnsi" w:hAnsiTheme="majorHAnsi"/>
          <w:sz w:val="24"/>
          <w:szCs w:val="24"/>
        </w:rPr>
        <w:t xml:space="preserve"> Estimated Annualized Burden Hours and Costs to Respondents </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1530"/>
        <w:gridCol w:w="1620"/>
        <w:gridCol w:w="1350"/>
        <w:gridCol w:w="990"/>
        <w:gridCol w:w="990"/>
        <w:gridCol w:w="1350"/>
      </w:tblGrid>
      <w:tr w:rsidR="00670C4E" w:rsidRPr="007F0E13" w:rsidTr="00E5035B">
        <w:trPr>
          <w:trHeight w:val="1493"/>
        </w:trPr>
        <w:tc>
          <w:tcPr>
            <w:tcW w:w="1800" w:type="dxa"/>
            <w:tcBorders>
              <w:bottom w:val="single" w:sz="12" w:space="0" w:color="000000"/>
            </w:tcBorders>
            <w:shd w:val="clear" w:color="auto" w:fill="D9D9D9" w:themeFill="background1" w:themeFillShade="D9"/>
            <w:vAlign w:val="center"/>
          </w:tcPr>
          <w:p w:rsidR="00DE36E6" w:rsidRPr="00E5035B" w:rsidRDefault="00DE36E6" w:rsidP="00393F37">
            <w:pPr>
              <w:spacing w:after="0" w:line="240" w:lineRule="auto"/>
              <w:jc w:val="center"/>
              <w:rPr>
                <w:rFonts w:asciiTheme="majorHAnsi" w:hAnsiTheme="majorHAnsi"/>
                <w:b/>
                <w:sz w:val="20"/>
                <w:szCs w:val="20"/>
              </w:rPr>
            </w:pPr>
            <w:r w:rsidRPr="00E5035B">
              <w:rPr>
                <w:rFonts w:asciiTheme="majorHAnsi" w:hAnsiTheme="majorHAnsi"/>
                <w:b/>
                <w:sz w:val="20"/>
                <w:szCs w:val="20"/>
              </w:rPr>
              <w:t>Type of Respondent</w:t>
            </w:r>
          </w:p>
        </w:tc>
        <w:tc>
          <w:tcPr>
            <w:tcW w:w="1530" w:type="dxa"/>
            <w:tcBorders>
              <w:bottom w:val="single" w:sz="12" w:space="0" w:color="000000"/>
            </w:tcBorders>
            <w:shd w:val="clear" w:color="auto" w:fill="D9D9D9" w:themeFill="background1" w:themeFillShade="D9"/>
            <w:vAlign w:val="center"/>
          </w:tcPr>
          <w:p w:rsidR="00DE36E6" w:rsidRPr="00E5035B" w:rsidRDefault="00DE36E6" w:rsidP="00393F37">
            <w:pPr>
              <w:spacing w:after="0" w:line="240" w:lineRule="auto"/>
              <w:jc w:val="center"/>
              <w:rPr>
                <w:rFonts w:asciiTheme="majorHAnsi" w:hAnsiTheme="majorHAnsi"/>
                <w:b/>
                <w:sz w:val="20"/>
                <w:szCs w:val="20"/>
              </w:rPr>
            </w:pPr>
            <w:r w:rsidRPr="00E5035B">
              <w:rPr>
                <w:rFonts w:asciiTheme="majorHAnsi" w:hAnsiTheme="majorHAnsi"/>
                <w:b/>
                <w:sz w:val="20"/>
                <w:szCs w:val="20"/>
              </w:rPr>
              <w:t>No. of Respondents</w:t>
            </w:r>
          </w:p>
        </w:tc>
        <w:tc>
          <w:tcPr>
            <w:tcW w:w="1620" w:type="dxa"/>
            <w:tcBorders>
              <w:bottom w:val="single" w:sz="12" w:space="0" w:color="000000"/>
            </w:tcBorders>
            <w:shd w:val="clear" w:color="auto" w:fill="D9D9D9" w:themeFill="background1" w:themeFillShade="D9"/>
            <w:vAlign w:val="center"/>
          </w:tcPr>
          <w:p w:rsidR="00DE36E6" w:rsidRPr="00E5035B" w:rsidRDefault="00DE36E6" w:rsidP="00393F37">
            <w:pPr>
              <w:spacing w:after="0" w:line="240" w:lineRule="auto"/>
              <w:jc w:val="center"/>
              <w:rPr>
                <w:rFonts w:asciiTheme="majorHAnsi" w:hAnsiTheme="majorHAnsi"/>
                <w:b/>
                <w:sz w:val="20"/>
                <w:szCs w:val="20"/>
              </w:rPr>
            </w:pPr>
            <w:r w:rsidRPr="00E5035B">
              <w:rPr>
                <w:rFonts w:asciiTheme="majorHAnsi" w:hAnsiTheme="majorHAnsi"/>
                <w:b/>
                <w:sz w:val="20"/>
                <w:szCs w:val="20"/>
              </w:rPr>
              <w:t>No. of Responses per Respondent</w:t>
            </w:r>
          </w:p>
        </w:tc>
        <w:tc>
          <w:tcPr>
            <w:tcW w:w="1350" w:type="dxa"/>
            <w:tcBorders>
              <w:bottom w:val="single" w:sz="12" w:space="0" w:color="000000"/>
            </w:tcBorders>
            <w:shd w:val="clear" w:color="auto" w:fill="D9D9D9" w:themeFill="background1" w:themeFillShade="D9"/>
            <w:vAlign w:val="center"/>
          </w:tcPr>
          <w:p w:rsidR="00DE36E6" w:rsidRPr="00E5035B" w:rsidRDefault="00DE36E6" w:rsidP="00393F37">
            <w:pPr>
              <w:spacing w:after="0" w:line="240" w:lineRule="auto"/>
              <w:jc w:val="center"/>
              <w:rPr>
                <w:rFonts w:asciiTheme="majorHAnsi" w:hAnsiTheme="majorHAnsi"/>
                <w:b/>
                <w:sz w:val="20"/>
                <w:szCs w:val="20"/>
              </w:rPr>
            </w:pPr>
            <w:r w:rsidRPr="00E5035B">
              <w:rPr>
                <w:rFonts w:asciiTheme="majorHAnsi" w:hAnsiTheme="majorHAnsi"/>
                <w:b/>
                <w:sz w:val="20"/>
                <w:szCs w:val="20"/>
              </w:rPr>
              <w:t>Average Burden per Response (in hours)</w:t>
            </w:r>
          </w:p>
        </w:tc>
        <w:tc>
          <w:tcPr>
            <w:tcW w:w="990" w:type="dxa"/>
            <w:tcBorders>
              <w:bottom w:val="single" w:sz="12" w:space="0" w:color="000000"/>
            </w:tcBorders>
            <w:shd w:val="clear" w:color="auto" w:fill="D9D9D9" w:themeFill="background1" w:themeFillShade="D9"/>
            <w:vAlign w:val="center"/>
          </w:tcPr>
          <w:p w:rsidR="00DE36E6" w:rsidRPr="00E5035B" w:rsidRDefault="00DE36E6" w:rsidP="00393F37">
            <w:pPr>
              <w:spacing w:after="0" w:line="240" w:lineRule="auto"/>
              <w:jc w:val="center"/>
              <w:rPr>
                <w:rFonts w:asciiTheme="majorHAnsi" w:hAnsiTheme="majorHAnsi"/>
                <w:b/>
                <w:sz w:val="20"/>
                <w:szCs w:val="20"/>
              </w:rPr>
            </w:pPr>
            <w:r w:rsidRPr="00E5035B">
              <w:rPr>
                <w:rFonts w:asciiTheme="majorHAnsi" w:hAnsiTheme="majorHAnsi"/>
                <w:b/>
                <w:sz w:val="20"/>
                <w:szCs w:val="20"/>
              </w:rPr>
              <w:t>Total Burden Hours</w:t>
            </w:r>
          </w:p>
        </w:tc>
        <w:tc>
          <w:tcPr>
            <w:tcW w:w="990" w:type="dxa"/>
            <w:tcBorders>
              <w:bottom w:val="single" w:sz="12" w:space="0" w:color="000000"/>
            </w:tcBorders>
            <w:shd w:val="clear" w:color="auto" w:fill="D9D9D9" w:themeFill="background1" w:themeFillShade="D9"/>
            <w:vAlign w:val="center"/>
          </w:tcPr>
          <w:p w:rsidR="00DE36E6" w:rsidRPr="00E5035B" w:rsidRDefault="00DE36E6" w:rsidP="00393F37">
            <w:pPr>
              <w:spacing w:after="0" w:line="240" w:lineRule="auto"/>
              <w:jc w:val="center"/>
              <w:rPr>
                <w:rFonts w:asciiTheme="majorHAnsi" w:hAnsiTheme="majorHAnsi"/>
                <w:b/>
                <w:sz w:val="20"/>
                <w:szCs w:val="20"/>
              </w:rPr>
            </w:pPr>
            <w:r w:rsidRPr="00E5035B">
              <w:rPr>
                <w:rFonts w:asciiTheme="majorHAnsi" w:hAnsiTheme="majorHAnsi"/>
                <w:b/>
                <w:sz w:val="20"/>
                <w:szCs w:val="20"/>
              </w:rPr>
              <w:t>Hourly Wage Rate</w:t>
            </w:r>
          </w:p>
        </w:tc>
        <w:tc>
          <w:tcPr>
            <w:tcW w:w="1350" w:type="dxa"/>
            <w:tcBorders>
              <w:bottom w:val="single" w:sz="12" w:space="0" w:color="000000"/>
            </w:tcBorders>
            <w:shd w:val="clear" w:color="auto" w:fill="D9D9D9" w:themeFill="background1" w:themeFillShade="D9"/>
            <w:vAlign w:val="center"/>
          </w:tcPr>
          <w:p w:rsidR="00DE36E6" w:rsidRPr="00E5035B" w:rsidRDefault="00DE36E6" w:rsidP="00393F37">
            <w:pPr>
              <w:spacing w:after="0" w:line="240" w:lineRule="auto"/>
              <w:jc w:val="center"/>
              <w:rPr>
                <w:rFonts w:asciiTheme="majorHAnsi" w:hAnsiTheme="majorHAnsi"/>
                <w:b/>
                <w:sz w:val="20"/>
                <w:szCs w:val="20"/>
              </w:rPr>
            </w:pPr>
            <w:r w:rsidRPr="00E5035B">
              <w:rPr>
                <w:rFonts w:asciiTheme="majorHAnsi" w:hAnsiTheme="majorHAnsi"/>
                <w:b/>
                <w:sz w:val="20"/>
                <w:szCs w:val="20"/>
              </w:rPr>
              <w:t>Total Respondent Costs</w:t>
            </w:r>
          </w:p>
        </w:tc>
      </w:tr>
      <w:tr w:rsidR="00670C4E" w:rsidRPr="007F0E13" w:rsidTr="00E5035B">
        <w:tc>
          <w:tcPr>
            <w:tcW w:w="1800" w:type="dxa"/>
            <w:tcBorders>
              <w:top w:val="single" w:sz="12" w:space="0" w:color="000000"/>
            </w:tcBorders>
            <w:vAlign w:val="center"/>
          </w:tcPr>
          <w:p w:rsidR="00670C4E" w:rsidRPr="007F0E13" w:rsidRDefault="00DE36E6" w:rsidP="00393F37">
            <w:pPr>
              <w:spacing w:after="0" w:line="240" w:lineRule="auto"/>
              <w:rPr>
                <w:rFonts w:asciiTheme="majorHAnsi" w:hAnsiTheme="majorHAnsi"/>
                <w:sz w:val="24"/>
                <w:szCs w:val="24"/>
              </w:rPr>
            </w:pPr>
            <w:r w:rsidRPr="007F0E13">
              <w:rPr>
                <w:rFonts w:asciiTheme="majorHAnsi" w:hAnsiTheme="majorHAnsi"/>
                <w:sz w:val="24"/>
                <w:szCs w:val="24"/>
              </w:rPr>
              <w:t>STLT Epidemiologist</w:t>
            </w:r>
          </w:p>
          <w:p w:rsidR="00DE36E6" w:rsidRPr="007F0E13" w:rsidRDefault="00DE36E6" w:rsidP="0045585D">
            <w:pPr>
              <w:spacing w:after="0" w:line="240" w:lineRule="auto"/>
              <w:rPr>
                <w:rFonts w:asciiTheme="majorHAnsi" w:hAnsiTheme="majorHAnsi"/>
                <w:sz w:val="24"/>
                <w:szCs w:val="24"/>
              </w:rPr>
            </w:pPr>
          </w:p>
        </w:tc>
        <w:tc>
          <w:tcPr>
            <w:tcW w:w="1530" w:type="dxa"/>
            <w:tcBorders>
              <w:top w:val="single" w:sz="12" w:space="0" w:color="000000"/>
            </w:tcBorders>
            <w:vAlign w:val="center"/>
          </w:tcPr>
          <w:p w:rsidR="00DE36E6" w:rsidRPr="007F0E13" w:rsidRDefault="00DE36E6" w:rsidP="00393F37">
            <w:pPr>
              <w:spacing w:after="0" w:line="240" w:lineRule="auto"/>
              <w:jc w:val="center"/>
              <w:rPr>
                <w:rFonts w:asciiTheme="majorHAnsi" w:hAnsiTheme="majorHAnsi"/>
                <w:sz w:val="24"/>
                <w:szCs w:val="24"/>
              </w:rPr>
            </w:pPr>
            <w:r w:rsidRPr="007F0E13">
              <w:rPr>
                <w:rFonts w:asciiTheme="majorHAnsi" w:hAnsiTheme="majorHAnsi"/>
                <w:sz w:val="24"/>
                <w:szCs w:val="24"/>
              </w:rPr>
              <w:t xml:space="preserve"> 7</w:t>
            </w:r>
          </w:p>
        </w:tc>
        <w:tc>
          <w:tcPr>
            <w:tcW w:w="1620" w:type="dxa"/>
            <w:tcBorders>
              <w:top w:val="single" w:sz="12" w:space="0" w:color="000000"/>
            </w:tcBorders>
            <w:vAlign w:val="center"/>
          </w:tcPr>
          <w:p w:rsidR="00DE36E6" w:rsidRPr="007F0E13" w:rsidRDefault="00DE36E6" w:rsidP="00393F37">
            <w:pPr>
              <w:spacing w:after="0" w:line="240" w:lineRule="auto"/>
              <w:jc w:val="center"/>
              <w:rPr>
                <w:rFonts w:asciiTheme="majorHAnsi" w:hAnsiTheme="majorHAnsi"/>
                <w:sz w:val="24"/>
                <w:szCs w:val="24"/>
              </w:rPr>
            </w:pPr>
            <w:r w:rsidRPr="007F0E13">
              <w:rPr>
                <w:rFonts w:asciiTheme="majorHAnsi" w:hAnsiTheme="majorHAnsi"/>
                <w:sz w:val="24"/>
                <w:szCs w:val="24"/>
              </w:rPr>
              <w:t xml:space="preserve">1 </w:t>
            </w:r>
          </w:p>
        </w:tc>
        <w:tc>
          <w:tcPr>
            <w:tcW w:w="1350" w:type="dxa"/>
            <w:tcBorders>
              <w:top w:val="single" w:sz="12" w:space="0" w:color="000000"/>
            </w:tcBorders>
            <w:vAlign w:val="center"/>
          </w:tcPr>
          <w:p w:rsidR="00DE36E6" w:rsidRPr="007F0E13" w:rsidRDefault="00DE36E6" w:rsidP="00393F37">
            <w:pPr>
              <w:spacing w:after="0" w:line="240" w:lineRule="auto"/>
              <w:jc w:val="center"/>
              <w:rPr>
                <w:rFonts w:asciiTheme="majorHAnsi" w:hAnsiTheme="majorHAnsi"/>
                <w:sz w:val="24"/>
                <w:szCs w:val="24"/>
              </w:rPr>
            </w:pPr>
            <w:r w:rsidRPr="007F0E13">
              <w:rPr>
                <w:rFonts w:asciiTheme="majorHAnsi" w:hAnsiTheme="majorHAnsi"/>
                <w:sz w:val="24"/>
                <w:szCs w:val="24"/>
              </w:rPr>
              <w:t>1.5</w:t>
            </w:r>
          </w:p>
        </w:tc>
        <w:tc>
          <w:tcPr>
            <w:tcW w:w="990" w:type="dxa"/>
            <w:tcBorders>
              <w:top w:val="single" w:sz="12" w:space="0" w:color="000000"/>
            </w:tcBorders>
            <w:vAlign w:val="center"/>
          </w:tcPr>
          <w:p w:rsidR="00DE36E6" w:rsidRPr="007F0E13" w:rsidRDefault="00075B30" w:rsidP="00393F37">
            <w:pPr>
              <w:spacing w:after="0" w:line="240" w:lineRule="auto"/>
              <w:jc w:val="center"/>
              <w:rPr>
                <w:rFonts w:asciiTheme="majorHAnsi" w:hAnsiTheme="majorHAnsi"/>
                <w:sz w:val="24"/>
                <w:szCs w:val="24"/>
              </w:rPr>
            </w:pPr>
            <w:r w:rsidRPr="007F0E13">
              <w:rPr>
                <w:rFonts w:asciiTheme="majorHAnsi" w:hAnsiTheme="majorHAnsi"/>
                <w:sz w:val="24"/>
                <w:szCs w:val="24"/>
              </w:rPr>
              <w:t>11</w:t>
            </w:r>
          </w:p>
        </w:tc>
        <w:tc>
          <w:tcPr>
            <w:tcW w:w="990" w:type="dxa"/>
            <w:tcBorders>
              <w:top w:val="single" w:sz="12" w:space="0" w:color="000000"/>
            </w:tcBorders>
            <w:vAlign w:val="center"/>
          </w:tcPr>
          <w:p w:rsidR="00DE36E6" w:rsidRPr="007F0E13" w:rsidRDefault="00DE36E6" w:rsidP="00393F37">
            <w:pPr>
              <w:spacing w:after="0" w:line="240" w:lineRule="auto"/>
              <w:jc w:val="center"/>
              <w:rPr>
                <w:rFonts w:asciiTheme="majorHAnsi" w:hAnsiTheme="majorHAnsi"/>
                <w:sz w:val="24"/>
                <w:szCs w:val="24"/>
              </w:rPr>
            </w:pPr>
            <w:r w:rsidRPr="007F0E13">
              <w:rPr>
                <w:rFonts w:asciiTheme="majorHAnsi" w:hAnsiTheme="majorHAnsi"/>
                <w:sz w:val="24"/>
                <w:szCs w:val="24"/>
              </w:rPr>
              <w:t xml:space="preserve"> $57.11</w:t>
            </w:r>
          </w:p>
        </w:tc>
        <w:tc>
          <w:tcPr>
            <w:tcW w:w="1350" w:type="dxa"/>
            <w:tcBorders>
              <w:top w:val="single" w:sz="12" w:space="0" w:color="000000"/>
            </w:tcBorders>
            <w:vAlign w:val="center"/>
          </w:tcPr>
          <w:p w:rsidR="00DE36E6" w:rsidRPr="007F0E13" w:rsidRDefault="00DE36E6" w:rsidP="00393F37">
            <w:pPr>
              <w:spacing w:after="0" w:line="240" w:lineRule="auto"/>
              <w:jc w:val="right"/>
              <w:rPr>
                <w:rFonts w:asciiTheme="majorHAnsi" w:hAnsiTheme="majorHAnsi"/>
                <w:sz w:val="24"/>
                <w:szCs w:val="24"/>
              </w:rPr>
            </w:pPr>
            <w:r w:rsidRPr="007F0E13">
              <w:rPr>
                <w:rFonts w:asciiTheme="majorHAnsi" w:hAnsiTheme="majorHAnsi"/>
                <w:color w:val="000000"/>
                <w:sz w:val="24"/>
                <w:szCs w:val="24"/>
              </w:rPr>
              <w:t xml:space="preserve">   </w:t>
            </w:r>
            <w:r w:rsidR="00476B39" w:rsidRPr="007F0E13">
              <w:rPr>
                <w:rFonts w:asciiTheme="majorHAnsi" w:hAnsiTheme="majorHAnsi"/>
                <w:color w:val="000000"/>
                <w:sz w:val="24"/>
                <w:szCs w:val="24"/>
              </w:rPr>
              <w:t>$628.21</w:t>
            </w:r>
            <w:r w:rsidRPr="007F0E13">
              <w:rPr>
                <w:rFonts w:asciiTheme="majorHAnsi" w:hAnsiTheme="majorHAnsi"/>
                <w:color w:val="000000"/>
                <w:sz w:val="24"/>
                <w:szCs w:val="24"/>
              </w:rPr>
              <w:t xml:space="preserve"> </w:t>
            </w:r>
          </w:p>
        </w:tc>
      </w:tr>
      <w:tr w:rsidR="00670C4E" w:rsidRPr="007F0E13" w:rsidTr="00E5035B">
        <w:tc>
          <w:tcPr>
            <w:tcW w:w="1800" w:type="dxa"/>
            <w:tcBorders>
              <w:top w:val="single" w:sz="12" w:space="0" w:color="000000"/>
            </w:tcBorders>
            <w:vAlign w:val="center"/>
          </w:tcPr>
          <w:p w:rsidR="00DE36E6" w:rsidRPr="007F0E13" w:rsidRDefault="00DE36E6" w:rsidP="00393F37">
            <w:pPr>
              <w:spacing w:after="0" w:line="240" w:lineRule="auto"/>
              <w:rPr>
                <w:rFonts w:asciiTheme="majorHAnsi" w:hAnsiTheme="majorHAnsi"/>
                <w:sz w:val="24"/>
                <w:szCs w:val="24"/>
              </w:rPr>
            </w:pPr>
            <w:r w:rsidRPr="007F0E13">
              <w:rPr>
                <w:rFonts w:asciiTheme="majorHAnsi" w:hAnsiTheme="majorHAnsi"/>
                <w:sz w:val="24"/>
                <w:szCs w:val="24"/>
              </w:rPr>
              <w:t xml:space="preserve">STLT </w:t>
            </w:r>
            <w:proofErr w:type="spellStart"/>
            <w:r w:rsidRPr="007F0E13">
              <w:rPr>
                <w:rFonts w:asciiTheme="majorHAnsi" w:hAnsiTheme="majorHAnsi"/>
                <w:sz w:val="24"/>
                <w:szCs w:val="24"/>
              </w:rPr>
              <w:t>BioSense</w:t>
            </w:r>
            <w:proofErr w:type="spellEnd"/>
            <w:r w:rsidRPr="007F0E13">
              <w:rPr>
                <w:rFonts w:asciiTheme="majorHAnsi" w:hAnsiTheme="majorHAnsi"/>
                <w:sz w:val="24"/>
                <w:szCs w:val="24"/>
              </w:rPr>
              <w:t xml:space="preserve"> </w:t>
            </w:r>
            <w:r w:rsidR="007B3FF9">
              <w:rPr>
                <w:rFonts w:asciiTheme="majorHAnsi" w:hAnsiTheme="majorHAnsi"/>
                <w:sz w:val="24"/>
                <w:szCs w:val="24"/>
              </w:rPr>
              <w:t>Information Technology</w:t>
            </w:r>
            <w:r w:rsidR="00B71DCE">
              <w:rPr>
                <w:rFonts w:asciiTheme="majorHAnsi" w:hAnsiTheme="majorHAnsi"/>
                <w:sz w:val="24"/>
                <w:szCs w:val="24"/>
              </w:rPr>
              <w:t xml:space="preserve"> </w:t>
            </w:r>
            <w:r w:rsidRPr="007F0E13">
              <w:rPr>
                <w:rFonts w:asciiTheme="majorHAnsi" w:hAnsiTheme="majorHAnsi"/>
                <w:sz w:val="24"/>
                <w:szCs w:val="24"/>
              </w:rPr>
              <w:t>Staff</w:t>
            </w:r>
          </w:p>
          <w:p w:rsidR="00DE36E6" w:rsidRPr="007F0E13" w:rsidRDefault="00DE36E6" w:rsidP="00476B39">
            <w:pPr>
              <w:spacing w:after="0" w:line="240" w:lineRule="auto"/>
              <w:rPr>
                <w:rFonts w:asciiTheme="majorHAnsi" w:hAnsiTheme="majorHAnsi"/>
                <w:sz w:val="24"/>
                <w:szCs w:val="24"/>
              </w:rPr>
            </w:pPr>
          </w:p>
        </w:tc>
        <w:tc>
          <w:tcPr>
            <w:tcW w:w="1530" w:type="dxa"/>
            <w:tcBorders>
              <w:top w:val="single" w:sz="12" w:space="0" w:color="000000"/>
            </w:tcBorders>
            <w:vAlign w:val="center"/>
          </w:tcPr>
          <w:p w:rsidR="00DE36E6" w:rsidRPr="007F0E13" w:rsidRDefault="00DE36E6" w:rsidP="00393F37">
            <w:pPr>
              <w:spacing w:after="0" w:line="240" w:lineRule="auto"/>
              <w:jc w:val="center"/>
              <w:rPr>
                <w:rFonts w:asciiTheme="majorHAnsi" w:hAnsiTheme="majorHAnsi"/>
                <w:sz w:val="24"/>
                <w:szCs w:val="24"/>
              </w:rPr>
            </w:pPr>
            <w:r w:rsidRPr="007F0E13">
              <w:rPr>
                <w:rFonts w:asciiTheme="majorHAnsi" w:hAnsiTheme="majorHAnsi"/>
                <w:sz w:val="24"/>
                <w:szCs w:val="24"/>
              </w:rPr>
              <w:lastRenderedPageBreak/>
              <w:t>49</w:t>
            </w:r>
          </w:p>
        </w:tc>
        <w:tc>
          <w:tcPr>
            <w:tcW w:w="1620" w:type="dxa"/>
            <w:tcBorders>
              <w:top w:val="single" w:sz="12" w:space="0" w:color="000000"/>
            </w:tcBorders>
            <w:vAlign w:val="center"/>
          </w:tcPr>
          <w:p w:rsidR="00DE36E6" w:rsidRPr="007F0E13" w:rsidRDefault="00DE36E6" w:rsidP="00393F37">
            <w:pPr>
              <w:spacing w:after="0" w:line="240" w:lineRule="auto"/>
              <w:jc w:val="center"/>
              <w:rPr>
                <w:rFonts w:asciiTheme="majorHAnsi" w:hAnsiTheme="majorHAnsi"/>
                <w:sz w:val="24"/>
                <w:szCs w:val="24"/>
              </w:rPr>
            </w:pPr>
            <w:r w:rsidRPr="007F0E13">
              <w:rPr>
                <w:rFonts w:asciiTheme="majorHAnsi" w:hAnsiTheme="majorHAnsi"/>
                <w:sz w:val="24"/>
                <w:szCs w:val="24"/>
              </w:rPr>
              <w:t>1</w:t>
            </w:r>
          </w:p>
        </w:tc>
        <w:tc>
          <w:tcPr>
            <w:tcW w:w="1350" w:type="dxa"/>
            <w:tcBorders>
              <w:top w:val="single" w:sz="12" w:space="0" w:color="000000"/>
            </w:tcBorders>
            <w:vAlign w:val="center"/>
          </w:tcPr>
          <w:p w:rsidR="00DE36E6" w:rsidRPr="007F0E13" w:rsidDel="00BC2C54" w:rsidRDefault="00DE36E6" w:rsidP="00393F37">
            <w:pPr>
              <w:spacing w:after="0" w:line="240" w:lineRule="auto"/>
              <w:jc w:val="center"/>
              <w:rPr>
                <w:rFonts w:asciiTheme="majorHAnsi" w:hAnsiTheme="majorHAnsi"/>
                <w:sz w:val="24"/>
                <w:szCs w:val="24"/>
              </w:rPr>
            </w:pPr>
            <w:r w:rsidRPr="007F0E13">
              <w:rPr>
                <w:rFonts w:asciiTheme="majorHAnsi" w:hAnsiTheme="majorHAnsi"/>
                <w:sz w:val="24"/>
                <w:szCs w:val="24"/>
              </w:rPr>
              <w:t>1.5</w:t>
            </w:r>
          </w:p>
        </w:tc>
        <w:tc>
          <w:tcPr>
            <w:tcW w:w="990" w:type="dxa"/>
            <w:tcBorders>
              <w:top w:val="single" w:sz="12" w:space="0" w:color="000000"/>
            </w:tcBorders>
            <w:vAlign w:val="center"/>
          </w:tcPr>
          <w:p w:rsidR="00DE36E6" w:rsidRPr="007F0E13" w:rsidRDefault="00075B30" w:rsidP="00393F37">
            <w:pPr>
              <w:spacing w:after="0" w:line="240" w:lineRule="auto"/>
              <w:jc w:val="center"/>
              <w:rPr>
                <w:rFonts w:asciiTheme="majorHAnsi" w:hAnsiTheme="majorHAnsi"/>
                <w:sz w:val="24"/>
                <w:szCs w:val="24"/>
              </w:rPr>
            </w:pPr>
            <w:r w:rsidRPr="007F0E13">
              <w:rPr>
                <w:rFonts w:asciiTheme="majorHAnsi" w:hAnsiTheme="majorHAnsi"/>
                <w:sz w:val="24"/>
                <w:szCs w:val="24"/>
              </w:rPr>
              <w:t>74</w:t>
            </w:r>
          </w:p>
        </w:tc>
        <w:tc>
          <w:tcPr>
            <w:tcW w:w="990" w:type="dxa"/>
            <w:tcBorders>
              <w:top w:val="single" w:sz="12" w:space="0" w:color="000000"/>
            </w:tcBorders>
            <w:vAlign w:val="center"/>
          </w:tcPr>
          <w:p w:rsidR="00DE36E6" w:rsidRPr="007F0E13" w:rsidRDefault="00DE36E6" w:rsidP="00393F37">
            <w:pPr>
              <w:spacing w:after="0" w:line="240" w:lineRule="auto"/>
              <w:jc w:val="center"/>
              <w:rPr>
                <w:rFonts w:asciiTheme="majorHAnsi" w:hAnsiTheme="majorHAnsi"/>
                <w:sz w:val="24"/>
                <w:szCs w:val="24"/>
              </w:rPr>
            </w:pPr>
            <w:r w:rsidRPr="007F0E13">
              <w:rPr>
                <w:rFonts w:asciiTheme="majorHAnsi" w:hAnsiTheme="majorHAnsi"/>
                <w:sz w:val="24"/>
                <w:szCs w:val="24"/>
              </w:rPr>
              <w:t>$40.38</w:t>
            </w:r>
          </w:p>
        </w:tc>
        <w:tc>
          <w:tcPr>
            <w:tcW w:w="1350" w:type="dxa"/>
            <w:tcBorders>
              <w:top w:val="single" w:sz="12" w:space="0" w:color="000000"/>
            </w:tcBorders>
            <w:vAlign w:val="center"/>
          </w:tcPr>
          <w:p w:rsidR="00DE36E6" w:rsidRPr="007F0E13" w:rsidRDefault="00DE36E6" w:rsidP="00393F37">
            <w:pPr>
              <w:spacing w:after="0" w:line="240" w:lineRule="auto"/>
              <w:jc w:val="right"/>
              <w:rPr>
                <w:rFonts w:asciiTheme="majorHAnsi" w:hAnsiTheme="majorHAnsi"/>
                <w:sz w:val="24"/>
                <w:szCs w:val="24"/>
              </w:rPr>
            </w:pPr>
            <w:r w:rsidRPr="007F0E13">
              <w:rPr>
                <w:rFonts w:asciiTheme="majorHAnsi" w:hAnsiTheme="majorHAnsi"/>
                <w:color w:val="000000"/>
                <w:sz w:val="24"/>
                <w:szCs w:val="24"/>
              </w:rPr>
              <w:t xml:space="preserve">   $2,</w:t>
            </w:r>
            <w:r w:rsidR="00476B39" w:rsidRPr="007F0E13">
              <w:rPr>
                <w:rFonts w:asciiTheme="majorHAnsi" w:hAnsiTheme="majorHAnsi"/>
                <w:color w:val="000000"/>
                <w:sz w:val="24"/>
                <w:szCs w:val="24"/>
              </w:rPr>
              <w:t>988.12</w:t>
            </w:r>
            <w:r w:rsidRPr="007F0E13">
              <w:rPr>
                <w:rFonts w:asciiTheme="majorHAnsi" w:hAnsiTheme="majorHAnsi"/>
                <w:color w:val="000000"/>
                <w:sz w:val="24"/>
                <w:szCs w:val="24"/>
              </w:rPr>
              <w:t xml:space="preserve"> </w:t>
            </w:r>
          </w:p>
        </w:tc>
      </w:tr>
      <w:tr w:rsidR="00670C4E" w:rsidRPr="007F0E13" w:rsidTr="00E5035B">
        <w:trPr>
          <w:trHeight w:hRule="exact" w:val="604"/>
        </w:trPr>
        <w:tc>
          <w:tcPr>
            <w:tcW w:w="1800" w:type="dxa"/>
            <w:vAlign w:val="center"/>
          </w:tcPr>
          <w:p w:rsidR="00DE36E6" w:rsidRPr="007F0E13" w:rsidRDefault="00DE36E6" w:rsidP="00393F37">
            <w:pPr>
              <w:spacing w:after="0" w:line="240" w:lineRule="auto"/>
              <w:jc w:val="right"/>
              <w:rPr>
                <w:rFonts w:asciiTheme="majorHAnsi" w:hAnsiTheme="majorHAnsi"/>
                <w:b/>
                <w:sz w:val="24"/>
                <w:szCs w:val="24"/>
              </w:rPr>
            </w:pPr>
            <w:r w:rsidRPr="007F0E13">
              <w:rPr>
                <w:rFonts w:asciiTheme="majorHAnsi" w:hAnsiTheme="majorHAnsi"/>
                <w:b/>
                <w:sz w:val="24"/>
                <w:szCs w:val="24"/>
              </w:rPr>
              <w:lastRenderedPageBreak/>
              <w:t>TOTALS</w:t>
            </w:r>
          </w:p>
        </w:tc>
        <w:tc>
          <w:tcPr>
            <w:tcW w:w="1530" w:type="dxa"/>
            <w:vAlign w:val="center"/>
          </w:tcPr>
          <w:p w:rsidR="00DE36E6" w:rsidRPr="007F0E13" w:rsidRDefault="00726908" w:rsidP="00393F37">
            <w:pPr>
              <w:spacing w:after="0" w:line="240" w:lineRule="auto"/>
              <w:jc w:val="center"/>
              <w:rPr>
                <w:rFonts w:asciiTheme="majorHAnsi" w:hAnsiTheme="majorHAnsi"/>
                <w:b/>
                <w:sz w:val="24"/>
                <w:szCs w:val="24"/>
              </w:rPr>
            </w:pPr>
            <w:r w:rsidRPr="007F0E13">
              <w:rPr>
                <w:rFonts w:asciiTheme="majorHAnsi" w:hAnsiTheme="majorHAnsi"/>
                <w:b/>
                <w:sz w:val="24"/>
                <w:szCs w:val="24"/>
              </w:rPr>
              <w:t>56</w:t>
            </w:r>
          </w:p>
        </w:tc>
        <w:tc>
          <w:tcPr>
            <w:tcW w:w="1620" w:type="dxa"/>
            <w:shd w:val="clear" w:color="auto" w:fill="auto"/>
            <w:vAlign w:val="center"/>
          </w:tcPr>
          <w:p w:rsidR="00DE36E6" w:rsidRPr="007F0E13" w:rsidRDefault="00DE36E6" w:rsidP="00393F37">
            <w:pPr>
              <w:spacing w:after="0" w:line="240" w:lineRule="auto"/>
              <w:jc w:val="center"/>
              <w:rPr>
                <w:rFonts w:asciiTheme="majorHAnsi" w:hAnsiTheme="majorHAnsi"/>
                <w:b/>
                <w:sz w:val="24"/>
                <w:szCs w:val="24"/>
              </w:rPr>
            </w:pPr>
            <w:r w:rsidRPr="007F0E13">
              <w:rPr>
                <w:rFonts w:asciiTheme="majorHAnsi" w:hAnsiTheme="majorHAnsi"/>
                <w:b/>
                <w:sz w:val="24"/>
                <w:szCs w:val="24"/>
              </w:rPr>
              <w:t>1</w:t>
            </w:r>
          </w:p>
        </w:tc>
        <w:tc>
          <w:tcPr>
            <w:tcW w:w="1350" w:type="dxa"/>
            <w:shd w:val="clear" w:color="auto" w:fill="D9D9D9" w:themeFill="background1" w:themeFillShade="D9"/>
            <w:vAlign w:val="center"/>
          </w:tcPr>
          <w:p w:rsidR="00DE36E6" w:rsidRPr="007F0E13" w:rsidRDefault="00DE36E6" w:rsidP="00393F37">
            <w:pPr>
              <w:spacing w:after="0" w:line="240" w:lineRule="auto"/>
              <w:jc w:val="center"/>
              <w:rPr>
                <w:rFonts w:asciiTheme="majorHAnsi" w:hAnsiTheme="majorHAnsi"/>
                <w:b/>
                <w:sz w:val="24"/>
                <w:szCs w:val="24"/>
              </w:rPr>
            </w:pPr>
          </w:p>
        </w:tc>
        <w:tc>
          <w:tcPr>
            <w:tcW w:w="990" w:type="dxa"/>
            <w:vAlign w:val="center"/>
          </w:tcPr>
          <w:p w:rsidR="00DE36E6" w:rsidRPr="007F0E13" w:rsidRDefault="00DE36E6" w:rsidP="00393F37">
            <w:pPr>
              <w:spacing w:after="0" w:line="240" w:lineRule="auto"/>
              <w:jc w:val="center"/>
              <w:rPr>
                <w:rFonts w:asciiTheme="majorHAnsi" w:hAnsiTheme="majorHAnsi"/>
                <w:b/>
                <w:sz w:val="24"/>
                <w:szCs w:val="24"/>
              </w:rPr>
            </w:pPr>
            <w:r w:rsidRPr="007F0E13">
              <w:rPr>
                <w:rFonts w:asciiTheme="majorHAnsi" w:hAnsiTheme="majorHAnsi"/>
                <w:b/>
                <w:sz w:val="24"/>
                <w:szCs w:val="24"/>
              </w:rPr>
              <w:t xml:space="preserve"> </w:t>
            </w:r>
            <w:r w:rsidR="00726908" w:rsidRPr="007F0E13">
              <w:rPr>
                <w:rFonts w:asciiTheme="majorHAnsi" w:hAnsiTheme="majorHAnsi"/>
                <w:b/>
                <w:sz w:val="24"/>
                <w:szCs w:val="24"/>
              </w:rPr>
              <w:t>85</w:t>
            </w:r>
          </w:p>
        </w:tc>
        <w:tc>
          <w:tcPr>
            <w:tcW w:w="990" w:type="dxa"/>
            <w:shd w:val="clear" w:color="auto" w:fill="D9D9D9" w:themeFill="background1" w:themeFillShade="D9"/>
            <w:vAlign w:val="center"/>
          </w:tcPr>
          <w:p w:rsidR="00DE36E6" w:rsidRPr="007F0E13" w:rsidRDefault="00DE36E6" w:rsidP="00393F37">
            <w:pPr>
              <w:spacing w:after="0" w:line="240" w:lineRule="auto"/>
              <w:jc w:val="center"/>
              <w:rPr>
                <w:rFonts w:asciiTheme="majorHAnsi" w:hAnsiTheme="majorHAnsi"/>
                <w:b/>
                <w:sz w:val="24"/>
                <w:szCs w:val="24"/>
              </w:rPr>
            </w:pPr>
          </w:p>
        </w:tc>
        <w:tc>
          <w:tcPr>
            <w:tcW w:w="1350" w:type="dxa"/>
            <w:vAlign w:val="center"/>
          </w:tcPr>
          <w:p w:rsidR="00DE36E6" w:rsidRPr="007F0E13" w:rsidRDefault="00DE36E6" w:rsidP="00393F37">
            <w:pPr>
              <w:spacing w:after="0" w:line="240" w:lineRule="auto"/>
              <w:jc w:val="right"/>
              <w:rPr>
                <w:rFonts w:asciiTheme="majorHAnsi" w:hAnsiTheme="majorHAnsi"/>
                <w:b/>
                <w:sz w:val="24"/>
                <w:szCs w:val="24"/>
              </w:rPr>
            </w:pPr>
            <w:r w:rsidRPr="007F0E13">
              <w:rPr>
                <w:rFonts w:asciiTheme="majorHAnsi" w:hAnsiTheme="majorHAnsi"/>
                <w:color w:val="000000"/>
                <w:sz w:val="24"/>
                <w:szCs w:val="24"/>
              </w:rPr>
              <w:t xml:space="preserve">   </w:t>
            </w:r>
            <w:r w:rsidR="00476B39" w:rsidRPr="007F0E13">
              <w:rPr>
                <w:rFonts w:asciiTheme="majorHAnsi" w:hAnsiTheme="majorHAnsi"/>
                <w:color w:val="000000"/>
                <w:sz w:val="24"/>
                <w:szCs w:val="24"/>
              </w:rPr>
              <w:t>$3,616.33</w:t>
            </w:r>
            <w:r w:rsidRPr="007F0E13">
              <w:rPr>
                <w:rFonts w:asciiTheme="majorHAnsi" w:hAnsiTheme="majorHAnsi"/>
                <w:color w:val="000000"/>
                <w:sz w:val="24"/>
                <w:szCs w:val="24"/>
              </w:rPr>
              <w:t xml:space="preserve"> </w:t>
            </w:r>
          </w:p>
        </w:tc>
      </w:tr>
    </w:tbl>
    <w:p w:rsidR="003C31C9" w:rsidRPr="007F0E13" w:rsidRDefault="003C31C9" w:rsidP="002B796C">
      <w:pPr>
        <w:pStyle w:val="Default"/>
        <w:ind w:left="540"/>
        <w:rPr>
          <w:rFonts w:asciiTheme="majorHAnsi" w:hAnsiTheme="majorHAnsi" w:cs="Times New Roman"/>
        </w:rPr>
      </w:pPr>
    </w:p>
    <w:p w:rsidR="00B12F51" w:rsidRPr="007F0E13" w:rsidRDefault="0088467A" w:rsidP="002B796C">
      <w:pPr>
        <w:pStyle w:val="ListParagraph"/>
        <w:numPr>
          <w:ilvl w:val="0"/>
          <w:numId w:val="2"/>
        </w:numPr>
        <w:spacing w:after="0"/>
        <w:ind w:left="360"/>
        <w:rPr>
          <w:rFonts w:asciiTheme="majorHAnsi" w:hAnsiTheme="majorHAnsi"/>
          <w:b/>
          <w:bCs/>
          <w:sz w:val="24"/>
          <w:szCs w:val="24"/>
        </w:rPr>
      </w:pPr>
      <w:r w:rsidRPr="007F0E13">
        <w:rPr>
          <w:rFonts w:asciiTheme="majorHAnsi" w:hAnsiTheme="majorHAnsi"/>
          <w:b/>
          <w:bCs/>
          <w:sz w:val="24"/>
          <w:szCs w:val="24"/>
        </w:rPr>
        <w:t>Estimates of Other Total Annual Cost Burden to Respondents or Record Keepers</w:t>
      </w:r>
    </w:p>
    <w:p w:rsidR="003C31C9" w:rsidRPr="007F0E13" w:rsidRDefault="003C31C9" w:rsidP="002B796C">
      <w:pPr>
        <w:pStyle w:val="CM89"/>
        <w:spacing w:line="228" w:lineRule="atLeast"/>
        <w:ind w:left="270"/>
        <w:rPr>
          <w:rFonts w:asciiTheme="majorHAnsi" w:hAnsiTheme="majorHAnsi" w:cs="Times New Roman"/>
          <w:color w:val="000000"/>
        </w:rPr>
      </w:pPr>
      <w:r w:rsidRPr="007F0E13">
        <w:rPr>
          <w:rFonts w:asciiTheme="majorHAnsi" w:hAnsiTheme="majorHAnsi" w:cs="Times New Roman"/>
          <w:color w:val="000000"/>
        </w:rPr>
        <w:t>There will be no direct costs to the respondents other than their time to participate in each survey.</w:t>
      </w:r>
    </w:p>
    <w:p w:rsidR="00911486" w:rsidRPr="007F0E13" w:rsidRDefault="00911486" w:rsidP="002B796C">
      <w:pPr>
        <w:pStyle w:val="Default"/>
        <w:ind w:left="270"/>
      </w:pPr>
    </w:p>
    <w:p w:rsidR="00B12F51" w:rsidRPr="007F0E13" w:rsidRDefault="0088467A" w:rsidP="002B796C">
      <w:pPr>
        <w:pStyle w:val="ListParagraph"/>
        <w:numPr>
          <w:ilvl w:val="0"/>
          <w:numId w:val="2"/>
        </w:numPr>
        <w:spacing w:after="0"/>
        <w:ind w:left="360"/>
        <w:rPr>
          <w:rFonts w:asciiTheme="majorHAnsi" w:hAnsiTheme="majorHAnsi"/>
          <w:b/>
          <w:sz w:val="24"/>
          <w:szCs w:val="24"/>
        </w:rPr>
      </w:pPr>
      <w:r w:rsidRPr="007F0E13">
        <w:rPr>
          <w:rFonts w:asciiTheme="majorHAnsi" w:hAnsiTheme="majorHAnsi"/>
          <w:b/>
          <w:bCs/>
          <w:sz w:val="24"/>
          <w:szCs w:val="24"/>
        </w:rPr>
        <w:t>Annualized Cost to the Government</w:t>
      </w:r>
      <w:r w:rsidR="00D75750" w:rsidRPr="007F0E13">
        <w:rPr>
          <w:rFonts w:asciiTheme="majorHAnsi" w:hAnsiTheme="majorHAnsi"/>
          <w:b/>
          <w:bCs/>
          <w:sz w:val="24"/>
          <w:szCs w:val="24"/>
        </w:rPr>
        <w:t xml:space="preserve"> </w:t>
      </w:r>
    </w:p>
    <w:p w:rsidR="00A6463B" w:rsidRPr="007F0E13" w:rsidRDefault="004C7B14" w:rsidP="002B796C">
      <w:pPr>
        <w:autoSpaceDE w:val="0"/>
        <w:autoSpaceDN w:val="0"/>
        <w:spacing w:after="0"/>
        <w:ind w:left="270" w:right="720"/>
        <w:rPr>
          <w:rFonts w:ascii="Cambria" w:hAnsi="Cambria"/>
          <w:sz w:val="24"/>
          <w:szCs w:val="24"/>
        </w:rPr>
      </w:pPr>
      <w:r w:rsidRPr="007F0E13">
        <w:rPr>
          <w:rFonts w:ascii="Cambria" w:hAnsi="Cambria"/>
          <w:sz w:val="24"/>
          <w:szCs w:val="24"/>
        </w:rPr>
        <w:t xml:space="preserve">There are no equipment or overhead costs.  RTI </w:t>
      </w:r>
      <w:r w:rsidR="00F714B1" w:rsidRPr="007F0E13">
        <w:rPr>
          <w:rFonts w:ascii="Cambria" w:hAnsi="Cambria"/>
          <w:sz w:val="24"/>
          <w:szCs w:val="24"/>
        </w:rPr>
        <w:t xml:space="preserve">International </w:t>
      </w:r>
      <w:r w:rsidRPr="007F0E13">
        <w:rPr>
          <w:rFonts w:ascii="Cambria" w:hAnsi="Cambria"/>
          <w:sz w:val="24"/>
          <w:szCs w:val="24"/>
        </w:rPr>
        <w:t>will support this data collection as part of their regular duties. The only cost to the federal government would be the salary of CDC staff and internal contractor monitoring and supporting the</w:t>
      </w:r>
      <w:r w:rsidR="003055BE" w:rsidRPr="007F0E13">
        <w:rPr>
          <w:rFonts w:ascii="Cambria" w:hAnsi="Cambria"/>
          <w:sz w:val="24"/>
          <w:szCs w:val="24"/>
        </w:rPr>
        <w:t xml:space="preserve"> </w:t>
      </w:r>
      <w:r w:rsidR="00A9693D" w:rsidRPr="007F0E13">
        <w:rPr>
          <w:rFonts w:ascii="Cambria" w:hAnsi="Cambria"/>
          <w:sz w:val="24"/>
          <w:szCs w:val="24"/>
        </w:rPr>
        <w:t xml:space="preserve">data collection activities. </w:t>
      </w:r>
      <w:r w:rsidRPr="007F0E13">
        <w:rPr>
          <w:rFonts w:ascii="Cambria" w:hAnsi="Cambria"/>
          <w:sz w:val="24"/>
          <w:szCs w:val="24"/>
        </w:rPr>
        <w:t xml:space="preserve"> </w:t>
      </w:r>
    </w:p>
    <w:p w:rsidR="00A6463B" w:rsidRPr="007F0E13" w:rsidRDefault="00A6463B" w:rsidP="002B796C">
      <w:pPr>
        <w:autoSpaceDE w:val="0"/>
        <w:autoSpaceDN w:val="0"/>
        <w:spacing w:after="0"/>
        <w:ind w:left="270" w:right="720"/>
        <w:rPr>
          <w:rFonts w:ascii="Cambria" w:hAnsi="Cambria"/>
          <w:sz w:val="24"/>
          <w:szCs w:val="24"/>
        </w:rPr>
      </w:pPr>
    </w:p>
    <w:p w:rsidR="00A9693D" w:rsidRPr="002B796C" w:rsidRDefault="00A9693D" w:rsidP="002B796C">
      <w:pPr>
        <w:pStyle w:val="ListParagraph"/>
        <w:autoSpaceDE w:val="0"/>
        <w:autoSpaceDN w:val="0"/>
        <w:adjustRightInd w:val="0"/>
        <w:spacing w:after="0"/>
        <w:ind w:left="270" w:right="720"/>
        <w:rPr>
          <w:rFonts w:asciiTheme="majorHAnsi" w:hAnsiTheme="majorHAnsi"/>
          <w:color w:val="000000"/>
          <w:sz w:val="24"/>
          <w:szCs w:val="24"/>
        </w:rPr>
      </w:pPr>
      <w:r w:rsidRPr="007F0E13">
        <w:rPr>
          <w:rFonts w:asciiTheme="majorHAnsi" w:hAnsiTheme="majorHAnsi"/>
          <w:color w:val="000000"/>
          <w:sz w:val="24"/>
          <w:szCs w:val="24"/>
        </w:rPr>
        <w:t xml:space="preserve">The data collection tool will be prepared by CDC staff (FTE) and contractors. An FTE manager will review the data collection tool. A senior level FTE will review and approve the activities. </w:t>
      </w:r>
      <w:r w:rsidR="002B796C">
        <w:rPr>
          <w:rFonts w:asciiTheme="majorHAnsi" w:hAnsiTheme="majorHAnsi"/>
          <w:color w:val="000000"/>
          <w:sz w:val="24"/>
          <w:szCs w:val="24"/>
        </w:rPr>
        <w:t xml:space="preserve"> </w:t>
      </w:r>
      <w:r w:rsidRPr="002B796C">
        <w:rPr>
          <w:rFonts w:asciiTheme="majorHAnsi" w:hAnsiTheme="majorHAnsi"/>
          <w:color w:val="000000"/>
          <w:sz w:val="24"/>
          <w:szCs w:val="24"/>
        </w:rPr>
        <w:t xml:space="preserve">The estimated cost to the federal government for the entire data collection period is </w:t>
      </w:r>
      <w:r w:rsidR="001D7D68" w:rsidRPr="001D7D68">
        <w:rPr>
          <w:rFonts w:asciiTheme="majorHAnsi" w:hAnsiTheme="majorHAnsi"/>
          <w:color w:val="000000"/>
          <w:sz w:val="24"/>
          <w:szCs w:val="24"/>
        </w:rPr>
        <w:t>$70,342.56</w:t>
      </w:r>
      <w:r w:rsidRPr="002B796C">
        <w:rPr>
          <w:rFonts w:asciiTheme="majorHAnsi" w:hAnsiTheme="majorHAnsi"/>
          <w:color w:val="000000"/>
          <w:sz w:val="24"/>
          <w:szCs w:val="24"/>
        </w:rPr>
        <w:t>. Table A-14 describes how this cost estimate was calculated.</w:t>
      </w:r>
    </w:p>
    <w:p w:rsidR="000926A1" w:rsidRDefault="000926A1" w:rsidP="002B796C">
      <w:pPr>
        <w:pStyle w:val="ListParagraph"/>
        <w:autoSpaceDE w:val="0"/>
        <w:autoSpaceDN w:val="0"/>
        <w:adjustRightInd w:val="0"/>
        <w:ind w:left="270" w:right="720"/>
        <w:rPr>
          <w:rFonts w:asciiTheme="majorHAnsi" w:hAnsiTheme="majorHAnsi"/>
          <w:sz w:val="24"/>
          <w:szCs w:val="24"/>
        </w:rPr>
      </w:pPr>
    </w:p>
    <w:p w:rsidR="003C31C9" w:rsidRPr="007F0E13" w:rsidRDefault="00321B51" w:rsidP="002B796C">
      <w:pPr>
        <w:pStyle w:val="ListParagraph"/>
        <w:autoSpaceDE w:val="0"/>
        <w:autoSpaceDN w:val="0"/>
        <w:adjustRightInd w:val="0"/>
        <w:ind w:left="270" w:right="720"/>
        <w:rPr>
          <w:rFonts w:asciiTheme="majorHAnsi" w:hAnsiTheme="majorHAnsi"/>
          <w:sz w:val="24"/>
          <w:szCs w:val="24"/>
        </w:rPr>
      </w:pPr>
      <w:r w:rsidRPr="007F0E13">
        <w:rPr>
          <w:rFonts w:asciiTheme="majorHAnsi" w:hAnsiTheme="majorHAnsi"/>
          <w:color w:val="000000"/>
          <w:sz w:val="24"/>
          <w:szCs w:val="24"/>
        </w:rPr>
        <w:t xml:space="preserve"> </w:t>
      </w:r>
      <w:r w:rsidR="008E0683" w:rsidRPr="007F0E13">
        <w:rPr>
          <w:rFonts w:asciiTheme="majorHAnsi" w:hAnsiTheme="majorHAnsi"/>
          <w:b/>
          <w:sz w:val="24"/>
          <w:szCs w:val="24"/>
          <w:u w:val="single"/>
        </w:rPr>
        <w:t>Table A-14</w:t>
      </w:r>
      <w:r w:rsidR="008E0683" w:rsidRPr="007F0E13">
        <w:rPr>
          <w:rFonts w:asciiTheme="majorHAnsi" w:hAnsiTheme="majorHAnsi"/>
          <w:b/>
          <w:sz w:val="24"/>
          <w:szCs w:val="24"/>
        </w:rPr>
        <w:t>:</w:t>
      </w:r>
      <w:r w:rsidR="008E0683" w:rsidRPr="007F0E13">
        <w:rPr>
          <w:rFonts w:asciiTheme="majorHAnsi" w:hAnsiTheme="majorHAnsi"/>
          <w:sz w:val="24"/>
          <w:szCs w:val="24"/>
        </w:rPr>
        <w:t xml:space="preserve"> Estimated Annualized Cost to the Federal Government</w:t>
      </w:r>
    </w:p>
    <w:tbl>
      <w:tblPr>
        <w:tblStyle w:val="TableGrid"/>
        <w:tblW w:w="0" w:type="auto"/>
        <w:tblInd w:w="648" w:type="dxa"/>
        <w:tblLook w:val="04A0" w:firstRow="1" w:lastRow="0" w:firstColumn="1" w:lastColumn="0" w:noHBand="0" w:noVBand="1"/>
      </w:tblPr>
      <w:tblGrid>
        <w:gridCol w:w="3690"/>
        <w:gridCol w:w="1980"/>
        <w:gridCol w:w="1620"/>
        <w:gridCol w:w="1458"/>
      </w:tblGrid>
      <w:tr w:rsidR="004841F1" w:rsidRPr="007F0E13" w:rsidTr="002B796C">
        <w:trPr>
          <w:trHeight w:val="593"/>
        </w:trPr>
        <w:tc>
          <w:tcPr>
            <w:tcW w:w="3690" w:type="dxa"/>
            <w:tcBorders>
              <w:bottom w:val="single" w:sz="12" w:space="0" w:color="auto"/>
            </w:tcBorders>
            <w:shd w:val="clear" w:color="auto" w:fill="D9D9D9" w:themeFill="background1" w:themeFillShade="D9"/>
            <w:vAlign w:val="center"/>
          </w:tcPr>
          <w:p w:rsidR="004841F1" w:rsidRPr="007F0E13" w:rsidRDefault="004841F1" w:rsidP="004824FA">
            <w:pPr>
              <w:jc w:val="center"/>
              <w:rPr>
                <w:rFonts w:asciiTheme="majorHAnsi" w:hAnsiTheme="majorHAnsi"/>
                <w:b/>
                <w:sz w:val="24"/>
                <w:szCs w:val="24"/>
              </w:rPr>
            </w:pPr>
            <w:r w:rsidRPr="007F0E13">
              <w:rPr>
                <w:rFonts w:asciiTheme="majorHAnsi" w:hAnsiTheme="majorHAnsi"/>
                <w:b/>
                <w:sz w:val="24"/>
                <w:szCs w:val="24"/>
              </w:rPr>
              <w:t>Staff (FTE)</w:t>
            </w:r>
            <w:r w:rsidR="007A0D73" w:rsidRPr="007F0E13">
              <w:rPr>
                <w:rFonts w:asciiTheme="majorHAnsi" w:hAnsiTheme="majorHAnsi"/>
                <w:b/>
                <w:sz w:val="24"/>
                <w:szCs w:val="24"/>
              </w:rPr>
              <w:t xml:space="preserve"> </w:t>
            </w:r>
          </w:p>
        </w:tc>
        <w:tc>
          <w:tcPr>
            <w:tcW w:w="1980" w:type="dxa"/>
            <w:tcBorders>
              <w:bottom w:val="single" w:sz="12" w:space="0" w:color="auto"/>
            </w:tcBorders>
            <w:shd w:val="clear" w:color="auto" w:fill="D9D9D9" w:themeFill="background1" w:themeFillShade="D9"/>
            <w:vAlign w:val="center"/>
          </w:tcPr>
          <w:p w:rsidR="004841F1" w:rsidRPr="007F0E13" w:rsidRDefault="004841F1" w:rsidP="004824FA">
            <w:pPr>
              <w:jc w:val="center"/>
              <w:rPr>
                <w:rFonts w:asciiTheme="majorHAnsi" w:hAnsiTheme="majorHAnsi"/>
                <w:b/>
                <w:sz w:val="24"/>
                <w:szCs w:val="24"/>
              </w:rPr>
            </w:pPr>
            <w:r w:rsidRPr="007F0E13">
              <w:rPr>
                <w:rFonts w:asciiTheme="majorHAnsi" w:hAnsiTheme="majorHAnsi"/>
                <w:b/>
                <w:sz w:val="24"/>
                <w:szCs w:val="24"/>
              </w:rPr>
              <w:t>Average Hours per Collection</w:t>
            </w:r>
          </w:p>
        </w:tc>
        <w:tc>
          <w:tcPr>
            <w:tcW w:w="1620" w:type="dxa"/>
            <w:tcBorders>
              <w:bottom w:val="single" w:sz="12" w:space="0" w:color="auto"/>
            </w:tcBorders>
            <w:shd w:val="clear" w:color="auto" w:fill="D9D9D9" w:themeFill="background1" w:themeFillShade="D9"/>
            <w:vAlign w:val="center"/>
          </w:tcPr>
          <w:p w:rsidR="004841F1" w:rsidRPr="007F0E13" w:rsidRDefault="004841F1" w:rsidP="004824FA">
            <w:pPr>
              <w:jc w:val="center"/>
              <w:rPr>
                <w:rFonts w:asciiTheme="majorHAnsi" w:hAnsiTheme="majorHAnsi"/>
                <w:b/>
                <w:sz w:val="24"/>
                <w:szCs w:val="24"/>
              </w:rPr>
            </w:pPr>
            <w:r w:rsidRPr="007F0E13">
              <w:rPr>
                <w:rFonts w:asciiTheme="majorHAnsi" w:hAnsiTheme="majorHAnsi"/>
                <w:b/>
                <w:sz w:val="24"/>
                <w:szCs w:val="24"/>
              </w:rPr>
              <w:t>Average Hourly Rate</w:t>
            </w:r>
          </w:p>
        </w:tc>
        <w:tc>
          <w:tcPr>
            <w:tcW w:w="1458" w:type="dxa"/>
            <w:tcBorders>
              <w:bottom w:val="single" w:sz="12" w:space="0" w:color="auto"/>
            </w:tcBorders>
            <w:shd w:val="clear" w:color="auto" w:fill="D9D9D9" w:themeFill="background1" w:themeFillShade="D9"/>
            <w:vAlign w:val="center"/>
          </w:tcPr>
          <w:p w:rsidR="004841F1" w:rsidRPr="007F0E13" w:rsidRDefault="004841F1" w:rsidP="004824FA">
            <w:pPr>
              <w:jc w:val="center"/>
              <w:rPr>
                <w:rFonts w:asciiTheme="majorHAnsi" w:hAnsiTheme="majorHAnsi"/>
                <w:b/>
                <w:sz w:val="24"/>
                <w:szCs w:val="24"/>
              </w:rPr>
            </w:pPr>
            <w:r w:rsidRPr="007F0E13">
              <w:rPr>
                <w:rFonts w:asciiTheme="majorHAnsi" w:hAnsiTheme="majorHAnsi"/>
                <w:b/>
                <w:sz w:val="24"/>
                <w:szCs w:val="24"/>
              </w:rPr>
              <w:t>Average Cost</w:t>
            </w:r>
          </w:p>
        </w:tc>
      </w:tr>
      <w:tr w:rsidR="004841F1" w:rsidRPr="007F0E13" w:rsidTr="002B796C">
        <w:tc>
          <w:tcPr>
            <w:tcW w:w="3690" w:type="dxa"/>
            <w:tcBorders>
              <w:top w:val="single" w:sz="12" w:space="0" w:color="auto"/>
            </w:tcBorders>
          </w:tcPr>
          <w:p w:rsidR="004841F1" w:rsidRPr="007F0E13" w:rsidRDefault="00321B51" w:rsidP="00241B17">
            <w:pPr>
              <w:rPr>
                <w:rFonts w:asciiTheme="majorHAnsi" w:hAnsiTheme="majorHAnsi"/>
                <w:b/>
                <w:sz w:val="24"/>
                <w:szCs w:val="24"/>
              </w:rPr>
            </w:pPr>
            <w:r w:rsidRPr="007F0E13">
              <w:rPr>
                <w:rFonts w:asciiTheme="majorHAnsi" w:hAnsiTheme="majorHAnsi"/>
                <w:sz w:val="24"/>
                <w:szCs w:val="24"/>
              </w:rPr>
              <w:t xml:space="preserve"> </w:t>
            </w:r>
            <w:r w:rsidR="00B400EB" w:rsidRPr="007F0E13">
              <w:rPr>
                <w:rFonts w:asciiTheme="majorHAnsi" w:hAnsiTheme="majorHAnsi"/>
                <w:b/>
                <w:sz w:val="24"/>
                <w:szCs w:val="24"/>
              </w:rPr>
              <w:t>Public Health Analyst</w:t>
            </w:r>
            <w:r w:rsidR="00A9693D" w:rsidRPr="007F0E13">
              <w:rPr>
                <w:rFonts w:asciiTheme="majorHAnsi" w:hAnsiTheme="majorHAnsi"/>
                <w:b/>
                <w:sz w:val="24"/>
                <w:szCs w:val="24"/>
              </w:rPr>
              <w:t xml:space="preserve"> </w:t>
            </w:r>
            <w:r w:rsidR="00A9693D" w:rsidRPr="007F0E13">
              <w:rPr>
                <w:rFonts w:asciiTheme="majorHAnsi" w:hAnsiTheme="majorHAnsi"/>
                <w:b/>
                <w:sz w:val="24"/>
                <w:szCs w:val="24"/>
                <w:u w:val="single"/>
              </w:rPr>
              <w:t>(GS-</w:t>
            </w:r>
            <w:r w:rsidR="00A9693D" w:rsidRPr="007F0E13">
              <w:rPr>
                <w:rFonts w:asciiTheme="majorHAnsi" w:hAnsiTheme="majorHAnsi"/>
                <w:b/>
                <w:sz w:val="24"/>
                <w:szCs w:val="24"/>
              </w:rPr>
              <w:t>14)</w:t>
            </w:r>
          </w:p>
          <w:p w:rsidR="00A9693D" w:rsidRPr="007F0E13" w:rsidRDefault="00A9693D" w:rsidP="00A9693D">
            <w:pPr>
              <w:rPr>
                <w:rFonts w:asciiTheme="majorHAnsi" w:hAnsiTheme="majorHAnsi"/>
                <w:sz w:val="24"/>
                <w:szCs w:val="24"/>
              </w:rPr>
            </w:pPr>
            <w:r w:rsidRPr="007F0E13">
              <w:rPr>
                <w:rFonts w:asciiTheme="majorHAnsi" w:hAnsiTheme="majorHAnsi"/>
                <w:sz w:val="24"/>
                <w:szCs w:val="24"/>
              </w:rPr>
              <w:t>Lead on review and development of OMB package preparation, data collection, quality control, data analysis, report preparation</w:t>
            </w:r>
          </w:p>
        </w:tc>
        <w:tc>
          <w:tcPr>
            <w:tcW w:w="1980" w:type="dxa"/>
            <w:tcBorders>
              <w:top w:val="single" w:sz="12" w:space="0" w:color="auto"/>
            </w:tcBorders>
          </w:tcPr>
          <w:p w:rsidR="004841F1" w:rsidRPr="007F0E13" w:rsidRDefault="00B400EB" w:rsidP="004824FA">
            <w:pPr>
              <w:jc w:val="center"/>
              <w:rPr>
                <w:rFonts w:asciiTheme="majorHAnsi" w:hAnsiTheme="majorHAnsi"/>
                <w:sz w:val="24"/>
                <w:szCs w:val="24"/>
              </w:rPr>
            </w:pPr>
            <w:r w:rsidRPr="007F0E13">
              <w:rPr>
                <w:rFonts w:asciiTheme="majorHAnsi" w:hAnsiTheme="majorHAnsi"/>
                <w:sz w:val="24"/>
                <w:szCs w:val="24"/>
              </w:rPr>
              <w:t>6</w:t>
            </w:r>
            <w:r w:rsidR="00960CD2" w:rsidRPr="007F0E13">
              <w:rPr>
                <w:rFonts w:asciiTheme="majorHAnsi" w:hAnsiTheme="majorHAnsi"/>
                <w:sz w:val="24"/>
                <w:szCs w:val="24"/>
              </w:rPr>
              <w:t>/month, May – January (9 mo</w:t>
            </w:r>
            <w:r w:rsidR="00C15E68" w:rsidRPr="007F0E13">
              <w:rPr>
                <w:rFonts w:asciiTheme="majorHAnsi" w:hAnsiTheme="majorHAnsi"/>
                <w:sz w:val="24"/>
                <w:szCs w:val="24"/>
              </w:rPr>
              <w:t>nth</w:t>
            </w:r>
            <w:r w:rsidR="00960CD2" w:rsidRPr="007F0E13">
              <w:rPr>
                <w:rFonts w:asciiTheme="majorHAnsi" w:hAnsiTheme="majorHAnsi"/>
                <w:sz w:val="24"/>
                <w:szCs w:val="24"/>
              </w:rPr>
              <w:t>s) = 54 h</w:t>
            </w:r>
            <w:r w:rsidR="00C15E68" w:rsidRPr="007F0E13">
              <w:rPr>
                <w:rFonts w:asciiTheme="majorHAnsi" w:hAnsiTheme="majorHAnsi"/>
                <w:sz w:val="24"/>
                <w:szCs w:val="24"/>
              </w:rPr>
              <w:t>ou</w:t>
            </w:r>
            <w:r w:rsidR="00960CD2" w:rsidRPr="007F0E13">
              <w:rPr>
                <w:rFonts w:asciiTheme="majorHAnsi" w:hAnsiTheme="majorHAnsi"/>
                <w:sz w:val="24"/>
                <w:szCs w:val="24"/>
              </w:rPr>
              <w:t>rs</w:t>
            </w:r>
          </w:p>
        </w:tc>
        <w:tc>
          <w:tcPr>
            <w:tcW w:w="1620" w:type="dxa"/>
            <w:tcBorders>
              <w:top w:val="single" w:sz="12" w:space="0" w:color="auto"/>
            </w:tcBorders>
          </w:tcPr>
          <w:p w:rsidR="004841F1" w:rsidRPr="007F0E13" w:rsidRDefault="003925DE" w:rsidP="00AF006A">
            <w:pPr>
              <w:jc w:val="center"/>
              <w:rPr>
                <w:rFonts w:asciiTheme="majorHAnsi" w:hAnsiTheme="majorHAnsi"/>
                <w:sz w:val="24"/>
                <w:szCs w:val="24"/>
              </w:rPr>
            </w:pPr>
            <w:r w:rsidRPr="007F0E13">
              <w:rPr>
                <w:rFonts w:asciiTheme="majorHAnsi" w:hAnsiTheme="majorHAnsi"/>
                <w:sz w:val="24"/>
                <w:szCs w:val="24"/>
              </w:rPr>
              <w:t>$</w:t>
            </w:r>
            <w:r w:rsidR="00AF006A" w:rsidRPr="007F0E13">
              <w:rPr>
                <w:rFonts w:asciiTheme="majorHAnsi" w:hAnsiTheme="majorHAnsi"/>
                <w:sz w:val="24"/>
                <w:szCs w:val="24"/>
              </w:rPr>
              <w:t>53.25</w:t>
            </w:r>
          </w:p>
        </w:tc>
        <w:tc>
          <w:tcPr>
            <w:tcW w:w="1458" w:type="dxa"/>
            <w:tcBorders>
              <w:top w:val="single" w:sz="12" w:space="0" w:color="auto"/>
            </w:tcBorders>
          </w:tcPr>
          <w:p w:rsidR="004841F1" w:rsidRPr="007F0E13" w:rsidRDefault="003925DE" w:rsidP="00960CD2">
            <w:pPr>
              <w:jc w:val="center"/>
              <w:rPr>
                <w:rFonts w:asciiTheme="majorHAnsi" w:hAnsiTheme="majorHAnsi"/>
                <w:sz w:val="24"/>
                <w:szCs w:val="24"/>
              </w:rPr>
            </w:pPr>
            <w:r w:rsidRPr="007F0E13">
              <w:rPr>
                <w:rFonts w:asciiTheme="majorHAnsi" w:hAnsiTheme="majorHAnsi"/>
                <w:sz w:val="24"/>
                <w:szCs w:val="24"/>
              </w:rPr>
              <w:t>$</w:t>
            </w:r>
            <w:r w:rsidR="00960CD2" w:rsidRPr="007F0E13">
              <w:rPr>
                <w:rFonts w:asciiTheme="majorHAnsi" w:hAnsiTheme="majorHAnsi"/>
                <w:sz w:val="24"/>
                <w:szCs w:val="24"/>
              </w:rPr>
              <w:t>2,875</w:t>
            </w:r>
            <w:r w:rsidR="00D5148A" w:rsidRPr="007F0E13">
              <w:rPr>
                <w:rFonts w:asciiTheme="majorHAnsi" w:hAnsiTheme="majorHAnsi"/>
                <w:sz w:val="24"/>
                <w:szCs w:val="24"/>
              </w:rPr>
              <w:t>.50</w:t>
            </w:r>
            <w:r w:rsidR="00321B51" w:rsidRPr="007F0E13">
              <w:rPr>
                <w:rFonts w:asciiTheme="majorHAnsi" w:hAnsiTheme="majorHAnsi"/>
                <w:sz w:val="24"/>
                <w:szCs w:val="24"/>
              </w:rPr>
              <w:t xml:space="preserve"> </w:t>
            </w:r>
          </w:p>
        </w:tc>
      </w:tr>
      <w:tr w:rsidR="004841F1" w:rsidRPr="007F0E13" w:rsidTr="002B796C">
        <w:tc>
          <w:tcPr>
            <w:tcW w:w="3690" w:type="dxa"/>
          </w:tcPr>
          <w:p w:rsidR="004824FA" w:rsidRPr="007F0E13" w:rsidRDefault="00321B51" w:rsidP="00241B17">
            <w:pPr>
              <w:spacing w:after="200" w:line="276" w:lineRule="auto"/>
              <w:rPr>
                <w:rFonts w:asciiTheme="majorHAnsi" w:hAnsiTheme="majorHAnsi"/>
                <w:b/>
                <w:sz w:val="24"/>
                <w:szCs w:val="24"/>
              </w:rPr>
            </w:pPr>
            <w:r w:rsidRPr="007F0E13">
              <w:rPr>
                <w:rFonts w:asciiTheme="majorHAnsi" w:hAnsiTheme="majorHAnsi"/>
                <w:sz w:val="24"/>
                <w:szCs w:val="24"/>
              </w:rPr>
              <w:t xml:space="preserve"> </w:t>
            </w:r>
            <w:r w:rsidR="003E3970" w:rsidRPr="007F0E13">
              <w:rPr>
                <w:rFonts w:asciiTheme="majorHAnsi" w:hAnsiTheme="majorHAnsi"/>
                <w:b/>
                <w:sz w:val="24"/>
                <w:szCs w:val="24"/>
              </w:rPr>
              <w:t xml:space="preserve">RTI </w:t>
            </w:r>
            <w:r w:rsidR="00F714B1" w:rsidRPr="007F0E13">
              <w:rPr>
                <w:rFonts w:asciiTheme="majorHAnsi" w:hAnsiTheme="majorHAnsi"/>
                <w:b/>
                <w:sz w:val="24"/>
                <w:szCs w:val="24"/>
              </w:rPr>
              <w:t xml:space="preserve">International </w:t>
            </w:r>
            <w:r w:rsidR="003E3970" w:rsidRPr="007F0E13">
              <w:rPr>
                <w:rFonts w:asciiTheme="majorHAnsi" w:hAnsiTheme="majorHAnsi"/>
                <w:b/>
                <w:sz w:val="24"/>
                <w:szCs w:val="24"/>
              </w:rPr>
              <w:t>Contractor</w:t>
            </w:r>
          </w:p>
          <w:p w:rsidR="00A9693D" w:rsidRPr="007F0E13" w:rsidRDefault="00A9693D" w:rsidP="00241B17">
            <w:pPr>
              <w:rPr>
                <w:rFonts w:asciiTheme="majorHAnsi" w:hAnsiTheme="majorHAnsi"/>
                <w:sz w:val="24"/>
                <w:szCs w:val="24"/>
              </w:rPr>
            </w:pPr>
            <w:r w:rsidRPr="007F0E13">
              <w:rPr>
                <w:rFonts w:asciiTheme="majorHAnsi" w:hAnsiTheme="majorHAnsi"/>
                <w:sz w:val="24"/>
                <w:szCs w:val="24"/>
              </w:rPr>
              <w:t>OMB package preparation, data collection, data coding and entry, quality control, data analysis, report preparation</w:t>
            </w:r>
          </w:p>
        </w:tc>
        <w:tc>
          <w:tcPr>
            <w:tcW w:w="1980" w:type="dxa"/>
          </w:tcPr>
          <w:p w:rsidR="004841F1" w:rsidRPr="007F0E13" w:rsidRDefault="00321B51" w:rsidP="004824FA">
            <w:pPr>
              <w:jc w:val="center"/>
              <w:rPr>
                <w:rFonts w:asciiTheme="majorHAnsi" w:hAnsiTheme="majorHAnsi"/>
                <w:sz w:val="24"/>
                <w:szCs w:val="24"/>
              </w:rPr>
            </w:pPr>
            <w:r w:rsidRPr="007F0E13">
              <w:rPr>
                <w:rFonts w:asciiTheme="majorHAnsi" w:hAnsiTheme="majorHAnsi"/>
                <w:sz w:val="24"/>
                <w:szCs w:val="24"/>
              </w:rPr>
              <w:t xml:space="preserve"> </w:t>
            </w:r>
            <w:r w:rsidR="00C833CA" w:rsidRPr="007F0E13">
              <w:rPr>
                <w:rFonts w:asciiTheme="majorHAnsi" w:hAnsiTheme="majorHAnsi"/>
                <w:sz w:val="24"/>
                <w:szCs w:val="24"/>
              </w:rPr>
              <w:t>40/month, May-January (9 months) = 540 hours</w:t>
            </w:r>
          </w:p>
        </w:tc>
        <w:tc>
          <w:tcPr>
            <w:tcW w:w="1620" w:type="dxa"/>
          </w:tcPr>
          <w:p w:rsidR="004841F1" w:rsidRPr="007F0E13" w:rsidRDefault="00C833CA" w:rsidP="003A3CF6">
            <w:pPr>
              <w:jc w:val="center"/>
              <w:rPr>
                <w:rFonts w:asciiTheme="majorHAnsi" w:hAnsiTheme="majorHAnsi"/>
                <w:sz w:val="24"/>
                <w:szCs w:val="24"/>
              </w:rPr>
            </w:pPr>
            <w:r w:rsidRPr="007F0E13">
              <w:rPr>
                <w:rFonts w:asciiTheme="majorHAnsi" w:hAnsiTheme="majorHAnsi"/>
                <w:sz w:val="24"/>
                <w:szCs w:val="24"/>
              </w:rPr>
              <w:t>$1</w:t>
            </w:r>
            <w:r w:rsidR="003A3CF6" w:rsidRPr="007F0E13">
              <w:rPr>
                <w:rFonts w:asciiTheme="majorHAnsi" w:hAnsiTheme="majorHAnsi"/>
                <w:sz w:val="24"/>
                <w:szCs w:val="24"/>
              </w:rPr>
              <w:t>20</w:t>
            </w:r>
            <w:r w:rsidR="00321B51" w:rsidRPr="007F0E13">
              <w:rPr>
                <w:rFonts w:asciiTheme="majorHAnsi" w:hAnsiTheme="majorHAnsi"/>
                <w:sz w:val="24"/>
                <w:szCs w:val="24"/>
              </w:rPr>
              <w:t xml:space="preserve"> </w:t>
            </w:r>
          </w:p>
        </w:tc>
        <w:tc>
          <w:tcPr>
            <w:tcW w:w="1458" w:type="dxa"/>
          </w:tcPr>
          <w:p w:rsidR="004841F1" w:rsidRPr="007F0E13" w:rsidRDefault="00C833CA" w:rsidP="003A3CF6">
            <w:pPr>
              <w:jc w:val="center"/>
              <w:rPr>
                <w:rFonts w:asciiTheme="majorHAnsi" w:hAnsiTheme="majorHAnsi"/>
                <w:sz w:val="24"/>
                <w:szCs w:val="24"/>
              </w:rPr>
            </w:pPr>
            <w:r w:rsidRPr="007F0E13">
              <w:rPr>
                <w:rFonts w:asciiTheme="majorHAnsi" w:hAnsiTheme="majorHAnsi"/>
                <w:sz w:val="24"/>
                <w:szCs w:val="24"/>
              </w:rPr>
              <w:t>$</w:t>
            </w:r>
            <w:r w:rsidR="003A3CF6" w:rsidRPr="007F0E13">
              <w:rPr>
                <w:rFonts w:asciiTheme="majorHAnsi" w:hAnsiTheme="majorHAnsi"/>
                <w:sz w:val="24"/>
                <w:szCs w:val="24"/>
              </w:rPr>
              <w:t>64,800</w:t>
            </w:r>
            <w:r w:rsidR="003433F1" w:rsidRPr="007F0E13">
              <w:rPr>
                <w:rFonts w:asciiTheme="majorHAnsi" w:hAnsiTheme="majorHAnsi"/>
                <w:sz w:val="24"/>
                <w:szCs w:val="24"/>
              </w:rPr>
              <w:t>.00</w:t>
            </w:r>
            <w:r w:rsidR="00321B51" w:rsidRPr="007F0E13">
              <w:rPr>
                <w:rFonts w:asciiTheme="majorHAnsi" w:hAnsiTheme="majorHAnsi"/>
                <w:sz w:val="24"/>
                <w:szCs w:val="24"/>
              </w:rPr>
              <w:t xml:space="preserve"> </w:t>
            </w:r>
          </w:p>
        </w:tc>
      </w:tr>
      <w:tr w:rsidR="001D7D68" w:rsidRPr="007F0E13" w:rsidTr="002B796C">
        <w:tc>
          <w:tcPr>
            <w:tcW w:w="3690" w:type="dxa"/>
          </w:tcPr>
          <w:p w:rsidR="001D7D68" w:rsidRPr="007F0E13" w:rsidRDefault="001D7D68" w:rsidP="006C4DA7">
            <w:pPr>
              <w:rPr>
                <w:rFonts w:asciiTheme="majorHAnsi" w:hAnsiTheme="majorHAnsi"/>
                <w:sz w:val="24"/>
                <w:szCs w:val="24"/>
              </w:rPr>
            </w:pPr>
            <w:r w:rsidRPr="007F0E13">
              <w:rPr>
                <w:rFonts w:asciiTheme="majorHAnsi" w:hAnsiTheme="majorHAnsi"/>
                <w:sz w:val="24"/>
                <w:szCs w:val="24"/>
              </w:rPr>
              <w:t xml:space="preserve"> </w:t>
            </w:r>
            <w:proofErr w:type="spellStart"/>
            <w:r w:rsidRPr="007F0E13">
              <w:rPr>
                <w:rFonts w:asciiTheme="majorHAnsi" w:hAnsiTheme="majorHAnsi"/>
                <w:b/>
                <w:sz w:val="24"/>
                <w:szCs w:val="24"/>
              </w:rPr>
              <w:t>McKing</w:t>
            </w:r>
            <w:proofErr w:type="spellEnd"/>
            <w:r w:rsidRPr="007F0E13">
              <w:rPr>
                <w:rFonts w:asciiTheme="majorHAnsi" w:hAnsiTheme="majorHAnsi"/>
                <w:b/>
                <w:sz w:val="24"/>
                <w:szCs w:val="24"/>
              </w:rPr>
              <w:t xml:space="preserve"> Consulting - Policy Analyst</w:t>
            </w:r>
          </w:p>
          <w:p w:rsidR="001D7D68" w:rsidRPr="007F0E13" w:rsidRDefault="001D7D68" w:rsidP="006C4DA7">
            <w:pPr>
              <w:rPr>
                <w:rFonts w:asciiTheme="majorHAnsi" w:hAnsiTheme="majorHAnsi"/>
                <w:sz w:val="24"/>
                <w:szCs w:val="24"/>
              </w:rPr>
            </w:pPr>
            <w:r w:rsidRPr="007F0E13">
              <w:rPr>
                <w:rFonts w:asciiTheme="majorHAnsi" w:hAnsiTheme="majorHAnsi"/>
                <w:sz w:val="24"/>
                <w:szCs w:val="24"/>
              </w:rPr>
              <w:t>Support for OMB package preparation, data collection, data coding and entry, quality control, data analysis, report preparation</w:t>
            </w:r>
          </w:p>
        </w:tc>
        <w:tc>
          <w:tcPr>
            <w:tcW w:w="1980" w:type="dxa"/>
          </w:tcPr>
          <w:p w:rsidR="001D7D68" w:rsidRPr="007F0E13" w:rsidRDefault="001D7D68" w:rsidP="004824FA">
            <w:pPr>
              <w:jc w:val="center"/>
              <w:rPr>
                <w:rFonts w:asciiTheme="majorHAnsi" w:hAnsiTheme="majorHAnsi"/>
                <w:sz w:val="24"/>
                <w:szCs w:val="24"/>
              </w:rPr>
            </w:pPr>
            <w:r w:rsidRPr="007F0E13">
              <w:rPr>
                <w:rFonts w:asciiTheme="majorHAnsi" w:hAnsiTheme="majorHAnsi"/>
                <w:sz w:val="24"/>
                <w:szCs w:val="24"/>
              </w:rPr>
              <w:t xml:space="preserve"> 6/month, May – January (9 months) = 54 hours</w:t>
            </w:r>
          </w:p>
        </w:tc>
        <w:tc>
          <w:tcPr>
            <w:tcW w:w="1620" w:type="dxa"/>
          </w:tcPr>
          <w:p w:rsidR="001D7D68" w:rsidRPr="007F0E13" w:rsidRDefault="001D7D68" w:rsidP="00FD0BE3">
            <w:pPr>
              <w:jc w:val="center"/>
              <w:rPr>
                <w:rFonts w:asciiTheme="majorHAnsi" w:hAnsiTheme="majorHAnsi"/>
                <w:sz w:val="24"/>
                <w:szCs w:val="24"/>
              </w:rPr>
            </w:pPr>
            <w:r w:rsidRPr="007F0E13">
              <w:rPr>
                <w:rFonts w:asciiTheme="majorHAnsi" w:hAnsiTheme="majorHAnsi"/>
                <w:sz w:val="24"/>
                <w:szCs w:val="24"/>
              </w:rPr>
              <w:t>$49.39</w:t>
            </w:r>
          </w:p>
        </w:tc>
        <w:tc>
          <w:tcPr>
            <w:tcW w:w="1458" w:type="dxa"/>
          </w:tcPr>
          <w:p w:rsidR="001D7D68" w:rsidRPr="007F0E13" w:rsidRDefault="001D7D68" w:rsidP="00FD0BE3">
            <w:pPr>
              <w:jc w:val="center"/>
              <w:rPr>
                <w:rFonts w:asciiTheme="majorHAnsi" w:hAnsiTheme="majorHAnsi"/>
                <w:sz w:val="24"/>
                <w:szCs w:val="24"/>
              </w:rPr>
            </w:pPr>
            <w:r w:rsidRPr="007F0E13">
              <w:rPr>
                <w:rFonts w:asciiTheme="majorHAnsi" w:hAnsiTheme="majorHAnsi"/>
                <w:sz w:val="24"/>
                <w:szCs w:val="24"/>
              </w:rPr>
              <w:t>$2,667.06</w:t>
            </w:r>
          </w:p>
        </w:tc>
      </w:tr>
      <w:tr w:rsidR="004824FA" w:rsidRPr="007F0E13" w:rsidTr="002B796C">
        <w:trPr>
          <w:trHeight w:val="332"/>
        </w:trPr>
        <w:tc>
          <w:tcPr>
            <w:tcW w:w="7290" w:type="dxa"/>
            <w:gridSpan w:val="3"/>
            <w:vAlign w:val="center"/>
          </w:tcPr>
          <w:p w:rsidR="004824FA" w:rsidRPr="007F0E13" w:rsidRDefault="004824FA" w:rsidP="006B4DDC">
            <w:pPr>
              <w:jc w:val="right"/>
              <w:rPr>
                <w:rFonts w:asciiTheme="majorHAnsi" w:hAnsiTheme="majorHAnsi"/>
                <w:b/>
                <w:sz w:val="24"/>
                <w:szCs w:val="24"/>
              </w:rPr>
            </w:pPr>
            <w:r w:rsidRPr="007F0E13">
              <w:rPr>
                <w:rFonts w:asciiTheme="majorHAnsi" w:hAnsiTheme="majorHAnsi"/>
                <w:b/>
                <w:sz w:val="24"/>
                <w:szCs w:val="24"/>
              </w:rPr>
              <w:t xml:space="preserve">Estimated Total Cost of </w:t>
            </w:r>
            <w:r w:rsidR="006B4DDC" w:rsidRPr="007F0E13">
              <w:rPr>
                <w:rFonts w:asciiTheme="majorHAnsi" w:hAnsiTheme="majorHAnsi"/>
                <w:b/>
                <w:sz w:val="24"/>
                <w:szCs w:val="24"/>
              </w:rPr>
              <w:t>Information</w:t>
            </w:r>
            <w:r w:rsidRPr="007F0E13">
              <w:rPr>
                <w:rFonts w:asciiTheme="majorHAnsi" w:hAnsiTheme="majorHAnsi"/>
                <w:b/>
                <w:sz w:val="24"/>
                <w:szCs w:val="24"/>
              </w:rPr>
              <w:t xml:space="preserve"> Collection</w:t>
            </w:r>
          </w:p>
        </w:tc>
        <w:tc>
          <w:tcPr>
            <w:tcW w:w="1458" w:type="dxa"/>
            <w:vAlign w:val="center"/>
          </w:tcPr>
          <w:p w:rsidR="004824FA" w:rsidRPr="007F0E13" w:rsidRDefault="001D7D68" w:rsidP="00426149">
            <w:pPr>
              <w:jc w:val="center"/>
              <w:rPr>
                <w:rFonts w:asciiTheme="majorHAnsi" w:hAnsiTheme="majorHAnsi"/>
                <w:b/>
                <w:sz w:val="24"/>
                <w:szCs w:val="24"/>
              </w:rPr>
            </w:pPr>
            <w:r w:rsidRPr="007F0E13">
              <w:rPr>
                <w:rFonts w:asciiTheme="majorHAnsi" w:hAnsiTheme="majorHAnsi"/>
                <w:b/>
                <w:sz w:val="24"/>
                <w:szCs w:val="24"/>
              </w:rPr>
              <w:t>$70,342.56</w:t>
            </w:r>
          </w:p>
        </w:tc>
      </w:tr>
    </w:tbl>
    <w:p w:rsidR="004841F1" w:rsidRPr="007F0E13" w:rsidRDefault="004841F1" w:rsidP="002B796C">
      <w:pPr>
        <w:spacing w:after="0"/>
        <w:rPr>
          <w:rFonts w:asciiTheme="majorHAnsi" w:hAnsiTheme="majorHAnsi"/>
          <w:sz w:val="24"/>
          <w:szCs w:val="24"/>
        </w:rPr>
      </w:pPr>
    </w:p>
    <w:p w:rsidR="00B12F51" w:rsidRPr="007F0E13" w:rsidRDefault="00D75750" w:rsidP="00BF5698">
      <w:pPr>
        <w:pStyle w:val="ListParagraph"/>
        <w:numPr>
          <w:ilvl w:val="0"/>
          <w:numId w:val="2"/>
        </w:numPr>
        <w:spacing w:after="0"/>
        <w:ind w:left="360"/>
        <w:rPr>
          <w:rFonts w:asciiTheme="majorHAnsi" w:hAnsiTheme="majorHAnsi"/>
          <w:b/>
          <w:sz w:val="24"/>
          <w:szCs w:val="24"/>
        </w:rPr>
      </w:pPr>
      <w:r w:rsidRPr="007F0E13">
        <w:rPr>
          <w:rFonts w:asciiTheme="majorHAnsi" w:hAnsiTheme="majorHAnsi"/>
          <w:b/>
          <w:bCs/>
          <w:sz w:val="24"/>
          <w:szCs w:val="24"/>
        </w:rPr>
        <w:lastRenderedPageBreak/>
        <w:t>Explanation for Program Changes or Adjustments</w:t>
      </w:r>
    </w:p>
    <w:p w:rsidR="00F52BCC" w:rsidRPr="007F0E13" w:rsidRDefault="003C7C5D" w:rsidP="00BF5698">
      <w:pPr>
        <w:pStyle w:val="ListParagraph"/>
        <w:spacing w:after="0"/>
        <w:ind w:left="270"/>
        <w:rPr>
          <w:rFonts w:asciiTheme="majorHAnsi" w:hAnsiTheme="majorHAnsi"/>
          <w:sz w:val="24"/>
          <w:szCs w:val="24"/>
        </w:rPr>
      </w:pPr>
      <w:r w:rsidRPr="007F0E13">
        <w:rPr>
          <w:rFonts w:asciiTheme="majorHAnsi" w:hAnsiTheme="majorHAnsi"/>
          <w:sz w:val="24"/>
          <w:szCs w:val="24"/>
        </w:rPr>
        <w:t>This is a new data collection.</w:t>
      </w:r>
    </w:p>
    <w:p w:rsidR="00F52BCC" w:rsidRPr="007F0E13" w:rsidRDefault="00F52BCC" w:rsidP="00BF5698">
      <w:pPr>
        <w:pStyle w:val="ListParagraph"/>
        <w:spacing w:after="0"/>
        <w:ind w:left="270"/>
        <w:rPr>
          <w:rFonts w:asciiTheme="majorHAnsi" w:hAnsiTheme="majorHAnsi"/>
          <w:sz w:val="24"/>
          <w:szCs w:val="24"/>
        </w:rPr>
      </w:pPr>
    </w:p>
    <w:p w:rsidR="00B12F51" w:rsidRPr="007F0E13" w:rsidRDefault="00616090" w:rsidP="00BF5698">
      <w:pPr>
        <w:pStyle w:val="ListParagraph"/>
        <w:numPr>
          <w:ilvl w:val="0"/>
          <w:numId w:val="2"/>
        </w:numPr>
        <w:spacing w:after="0"/>
        <w:ind w:left="360"/>
        <w:rPr>
          <w:rFonts w:asciiTheme="majorHAnsi" w:hAnsiTheme="majorHAnsi"/>
          <w:b/>
          <w:sz w:val="24"/>
          <w:szCs w:val="24"/>
        </w:rPr>
      </w:pPr>
      <w:r w:rsidRPr="007F0E13">
        <w:rPr>
          <w:rFonts w:asciiTheme="majorHAnsi" w:hAnsiTheme="majorHAnsi"/>
          <w:b/>
          <w:sz w:val="24"/>
          <w:szCs w:val="24"/>
        </w:rPr>
        <w:t>Plan</w:t>
      </w:r>
      <w:r w:rsidR="00D75750" w:rsidRPr="007F0E13">
        <w:rPr>
          <w:rFonts w:asciiTheme="majorHAnsi" w:hAnsiTheme="majorHAnsi"/>
          <w:b/>
          <w:sz w:val="24"/>
          <w:szCs w:val="24"/>
        </w:rPr>
        <w:t>s</w:t>
      </w:r>
      <w:r w:rsidR="00D75750" w:rsidRPr="007F0E13">
        <w:rPr>
          <w:rFonts w:asciiTheme="majorHAnsi" w:hAnsiTheme="majorHAnsi"/>
          <w:b/>
          <w:bCs/>
          <w:sz w:val="24"/>
          <w:szCs w:val="24"/>
        </w:rPr>
        <w:t xml:space="preserve"> for Tabulation and Publication and Project Time Schedule</w:t>
      </w:r>
    </w:p>
    <w:p w:rsidR="002F1502" w:rsidRPr="007F0E13" w:rsidRDefault="00066442" w:rsidP="00BF5698">
      <w:pPr>
        <w:pStyle w:val="ListParagraph"/>
        <w:spacing w:after="0"/>
        <w:ind w:left="270"/>
        <w:rPr>
          <w:rFonts w:asciiTheme="majorHAnsi" w:hAnsiTheme="majorHAnsi"/>
          <w:sz w:val="24"/>
          <w:szCs w:val="24"/>
        </w:rPr>
      </w:pPr>
      <w:r w:rsidRPr="007F0E13">
        <w:rPr>
          <w:rFonts w:asciiTheme="majorHAnsi" w:hAnsiTheme="majorHAnsi"/>
          <w:sz w:val="24"/>
          <w:szCs w:val="24"/>
        </w:rPr>
        <w:t xml:space="preserve">The results of the data collection are 1) 2–4-page </w:t>
      </w:r>
      <w:r w:rsidR="00A713E0" w:rsidRPr="007F0E13">
        <w:rPr>
          <w:rFonts w:asciiTheme="majorHAnsi" w:hAnsiTheme="majorHAnsi"/>
          <w:sz w:val="24"/>
          <w:szCs w:val="24"/>
        </w:rPr>
        <w:t xml:space="preserve">Onboarding </w:t>
      </w:r>
      <w:r w:rsidR="003C5BD2" w:rsidRPr="007F0E13">
        <w:rPr>
          <w:rFonts w:asciiTheme="majorHAnsi" w:hAnsiTheme="majorHAnsi"/>
          <w:sz w:val="24"/>
          <w:szCs w:val="24"/>
        </w:rPr>
        <w:t>Assessment Briefs</w:t>
      </w:r>
      <w:r w:rsidRPr="007F0E13">
        <w:rPr>
          <w:rFonts w:asciiTheme="majorHAnsi" w:hAnsiTheme="majorHAnsi"/>
          <w:sz w:val="24"/>
          <w:szCs w:val="24"/>
        </w:rPr>
        <w:t xml:space="preserve">, 3) </w:t>
      </w:r>
      <w:r w:rsidR="00066261" w:rsidRPr="007F0E13">
        <w:rPr>
          <w:rFonts w:asciiTheme="majorHAnsi" w:hAnsiTheme="majorHAnsi"/>
          <w:sz w:val="24"/>
          <w:szCs w:val="24"/>
        </w:rPr>
        <w:t>4</w:t>
      </w:r>
      <w:r w:rsidRPr="007F0E13">
        <w:rPr>
          <w:rFonts w:asciiTheme="majorHAnsi" w:hAnsiTheme="majorHAnsi"/>
          <w:sz w:val="24"/>
          <w:szCs w:val="24"/>
        </w:rPr>
        <w:t xml:space="preserve">–6-page </w:t>
      </w:r>
      <w:r w:rsidR="00A713E0" w:rsidRPr="007F0E13">
        <w:rPr>
          <w:rFonts w:asciiTheme="majorHAnsi" w:hAnsiTheme="majorHAnsi"/>
          <w:sz w:val="24"/>
          <w:szCs w:val="24"/>
        </w:rPr>
        <w:t xml:space="preserve">Cost </w:t>
      </w:r>
      <w:r w:rsidR="003C5BD2" w:rsidRPr="007F0E13">
        <w:rPr>
          <w:rFonts w:asciiTheme="majorHAnsi" w:hAnsiTheme="majorHAnsi"/>
          <w:sz w:val="24"/>
          <w:szCs w:val="24"/>
        </w:rPr>
        <w:t>Assessment</w:t>
      </w:r>
      <w:r w:rsidRPr="007F0E13">
        <w:rPr>
          <w:rFonts w:asciiTheme="majorHAnsi" w:hAnsiTheme="majorHAnsi"/>
          <w:sz w:val="24"/>
          <w:szCs w:val="24"/>
        </w:rPr>
        <w:t xml:space="preserve"> Brief and 4) A 15–20-page Onboarding</w:t>
      </w:r>
      <w:r w:rsidR="00A713E0" w:rsidRPr="007F0E13">
        <w:rPr>
          <w:rFonts w:asciiTheme="majorHAnsi" w:hAnsiTheme="majorHAnsi"/>
          <w:sz w:val="24"/>
          <w:szCs w:val="24"/>
        </w:rPr>
        <w:t xml:space="preserve"> and</w:t>
      </w:r>
      <w:r w:rsidRPr="007F0E13">
        <w:rPr>
          <w:rFonts w:asciiTheme="majorHAnsi" w:hAnsiTheme="majorHAnsi"/>
          <w:sz w:val="24"/>
          <w:szCs w:val="24"/>
        </w:rPr>
        <w:t xml:space="preserve"> Cost Case Study Report. </w:t>
      </w:r>
    </w:p>
    <w:p w:rsidR="00066442" w:rsidRPr="007F0E13" w:rsidRDefault="00066442" w:rsidP="002B796C">
      <w:pPr>
        <w:pStyle w:val="ListParagraph"/>
        <w:spacing w:after="0"/>
        <w:ind w:left="540"/>
        <w:rPr>
          <w:rFonts w:asciiTheme="majorHAnsi" w:hAnsiTheme="majorHAnsi"/>
          <w:sz w:val="24"/>
          <w:szCs w:val="24"/>
        </w:rPr>
      </w:pPr>
    </w:p>
    <w:p w:rsidR="000A71DF" w:rsidRPr="007F0E13" w:rsidRDefault="000A71DF" w:rsidP="002B796C">
      <w:pPr>
        <w:spacing w:after="0"/>
        <w:ind w:firstLine="720"/>
        <w:rPr>
          <w:rFonts w:asciiTheme="majorHAnsi" w:hAnsiTheme="majorHAnsi"/>
          <w:sz w:val="24"/>
          <w:szCs w:val="24"/>
          <w:u w:val="single"/>
        </w:rPr>
      </w:pPr>
      <w:r w:rsidRPr="007F0E13">
        <w:rPr>
          <w:rFonts w:asciiTheme="majorHAnsi" w:hAnsiTheme="majorHAnsi"/>
          <w:sz w:val="24"/>
          <w:szCs w:val="24"/>
          <w:u w:val="single"/>
        </w:rPr>
        <w:t>Project Time Schedule</w:t>
      </w:r>
    </w:p>
    <w:tbl>
      <w:tblPr>
        <w:tblW w:w="0" w:type="auto"/>
        <w:jc w:val="center"/>
        <w:tblInd w:w="-180" w:type="dxa"/>
        <w:tblBorders>
          <w:top w:val="nil"/>
          <w:left w:val="nil"/>
          <w:bottom w:val="nil"/>
          <w:right w:val="nil"/>
        </w:tblBorders>
        <w:tblLayout w:type="fixed"/>
        <w:tblLook w:val="0000" w:firstRow="0" w:lastRow="0" w:firstColumn="0" w:lastColumn="0" w:noHBand="0" w:noVBand="0"/>
      </w:tblPr>
      <w:tblGrid>
        <w:gridCol w:w="4092"/>
        <w:gridCol w:w="4092"/>
      </w:tblGrid>
      <w:tr w:rsidR="00066442" w:rsidRPr="007F0E13" w:rsidTr="002B796C">
        <w:trPr>
          <w:trHeight w:val="87"/>
          <w:jc w:val="center"/>
        </w:trPr>
        <w:tc>
          <w:tcPr>
            <w:tcW w:w="4092" w:type="dxa"/>
          </w:tcPr>
          <w:p w:rsidR="00066442" w:rsidRPr="007F0E13" w:rsidRDefault="00066442" w:rsidP="00066442">
            <w:pPr>
              <w:spacing w:after="0"/>
              <w:ind w:firstLine="720"/>
              <w:rPr>
                <w:rFonts w:asciiTheme="majorHAnsi" w:hAnsiTheme="majorHAnsi"/>
                <w:sz w:val="24"/>
                <w:szCs w:val="24"/>
              </w:rPr>
            </w:pPr>
            <w:r w:rsidRPr="007F0E13">
              <w:rPr>
                <w:rFonts w:asciiTheme="majorHAnsi" w:hAnsiTheme="majorHAnsi"/>
                <w:b/>
                <w:bCs/>
                <w:sz w:val="24"/>
                <w:szCs w:val="24"/>
              </w:rPr>
              <w:t xml:space="preserve">Description </w:t>
            </w:r>
          </w:p>
        </w:tc>
        <w:tc>
          <w:tcPr>
            <w:tcW w:w="4092" w:type="dxa"/>
          </w:tcPr>
          <w:p w:rsidR="00066442" w:rsidRPr="007F0E13" w:rsidRDefault="00066442" w:rsidP="00600144">
            <w:pPr>
              <w:spacing w:after="0"/>
              <w:rPr>
                <w:rFonts w:asciiTheme="majorHAnsi" w:hAnsiTheme="majorHAnsi"/>
                <w:sz w:val="24"/>
                <w:szCs w:val="24"/>
              </w:rPr>
            </w:pPr>
            <w:r w:rsidRPr="007F0E13">
              <w:rPr>
                <w:rFonts w:asciiTheme="majorHAnsi" w:hAnsiTheme="majorHAnsi"/>
                <w:b/>
                <w:bCs/>
                <w:sz w:val="24"/>
                <w:szCs w:val="24"/>
              </w:rPr>
              <w:t xml:space="preserve">Due Date </w:t>
            </w:r>
          </w:p>
        </w:tc>
      </w:tr>
      <w:tr w:rsidR="004C7B14" w:rsidRPr="007F0E13" w:rsidTr="002B796C">
        <w:trPr>
          <w:trHeight w:val="87"/>
          <w:jc w:val="center"/>
        </w:trPr>
        <w:tc>
          <w:tcPr>
            <w:tcW w:w="4092" w:type="dxa"/>
          </w:tcPr>
          <w:p w:rsidR="004C7B14" w:rsidRPr="007F0E13" w:rsidRDefault="004C7B14" w:rsidP="00C01257">
            <w:pPr>
              <w:spacing w:after="0"/>
              <w:ind w:firstLine="720"/>
              <w:rPr>
                <w:rFonts w:asciiTheme="majorHAnsi" w:hAnsiTheme="majorHAnsi"/>
                <w:sz w:val="24"/>
                <w:szCs w:val="24"/>
              </w:rPr>
            </w:pPr>
            <w:r w:rsidRPr="007F0E13">
              <w:rPr>
                <w:rFonts w:asciiTheme="majorHAnsi" w:hAnsiTheme="majorHAnsi"/>
                <w:sz w:val="24"/>
                <w:szCs w:val="24"/>
              </w:rPr>
              <w:t xml:space="preserve">Pilot Site </w:t>
            </w:r>
            <w:r w:rsidR="00C01257" w:rsidRPr="007F0E13">
              <w:rPr>
                <w:rFonts w:asciiTheme="majorHAnsi" w:hAnsiTheme="majorHAnsi"/>
                <w:sz w:val="24"/>
                <w:szCs w:val="24"/>
              </w:rPr>
              <w:t xml:space="preserve">Focus </w:t>
            </w:r>
            <w:r w:rsidR="007B0444" w:rsidRPr="007F0E13">
              <w:rPr>
                <w:rFonts w:asciiTheme="majorHAnsi" w:hAnsiTheme="majorHAnsi"/>
                <w:sz w:val="24"/>
                <w:szCs w:val="24"/>
              </w:rPr>
              <w:t>g</w:t>
            </w:r>
            <w:r w:rsidR="00C01257" w:rsidRPr="007F0E13">
              <w:rPr>
                <w:rFonts w:asciiTheme="majorHAnsi" w:hAnsiTheme="majorHAnsi"/>
                <w:sz w:val="24"/>
                <w:szCs w:val="24"/>
              </w:rPr>
              <w:t>roups</w:t>
            </w:r>
          </w:p>
        </w:tc>
        <w:tc>
          <w:tcPr>
            <w:tcW w:w="4092" w:type="dxa"/>
          </w:tcPr>
          <w:p w:rsidR="004C7B14" w:rsidRPr="007F0E13" w:rsidRDefault="004C7B14" w:rsidP="00960CD2">
            <w:pPr>
              <w:spacing w:after="0"/>
              <w:rPr>
                <w:rFonts w:asciiTheme="majorHAnsi" w:hAnsiTheme="majorHAnsi"/>
                <w:sz w:val="24"/>
                <w:szCs w:val="24"/>
              </w:rPr>
            </w:pPr>
            <w:r w:rsidRPr="007F0E13">
              <w:rPr>
                <w:rFonts w:asciiTheme="majorHAnsi" w:hAnsiTheme="majorHAnsi"/>
                <w:sz w:val="24"/>
                <w:szCs w:val="24"/>
              </w:rPr>
              <w:t xml:space="preserve">July </w:t>
            </w:r>
            <w:r w:rsidR="00960CD2" w:rsidRPr="007F0E13">
              <w:rPr>
                <w:rFonts w:asciiTheme="majorHAnsi" w:hAnsiTheme="majorHAnsi"/>
                <w:sz w:val="24"/>
                <w:szCs w:val="24"/>
              </w:rPr>
              <w:t xml:space="preserve">2013 </w:t>
            </w:r>
          </w:p>
        </w:tc>
      </w:tr>
      <w:tr w:rsidR="004C7B14" w:rsidRPr="007F0E13" w:rsidTr="002B796C">
        <w:trPr>
          <w:trHeight w:val="87"/>
          <w:jc w:val="center"/>
        </w:trPr>
        <w:tc>
          <w:tcPr>
            <w:tcW w:w="4092" w:type="dxa"/>
          </w:tcPr>
          <w:p w:rsidR="004C7B14" w:rsidRPr="007F0E13" w:rsidRDefault="007B0444" w:rsidP="007B0444">
            <w:pPr>
              <w:spacing w:after="0"/>
              <w:ind w:firstLine="720"/>
              <w:rPr>
                <w:rFonts w:asciiTheme="majorHAnsi" w:hAnsiTheme="majorHAnsi"/>
                <w:sz w:val="24"/>
                <w:szCs w:val="24"/>
              </w:rPr>
            </w:pPr>
            <w:r w:rsidRPr="007F0E13">
              <w:rPr>
                <w:rFonts w:asciiTheme="majorHAnsi" w:hAnsiTheme="majorHAnsi"/>
                <w:sz w:val="24"/>
                <w:szCs w:val="24"/>
              </w:rPr>
              <w:t xml:space="preserve">Focus group </w:t>
            </w:r>
            <w:r w:rsidR="004C7B14" w:rsidRPr="007F0E13">
              <w:rPr>
                <w:rFonts w:asciiTheme="majorHAnsi" w:hAnsiTheme="majorHAnsi"/>
                <w:sz w:val="24"/>
                <w:szCs w:val="24"/>
              </w:rPr>
              <w:t>Site Selection</w:t>
            </w:r>
          </w:p>
        </w:tc>
        <w:tc>
          <w:tcPr>
            <w:tcW w:w="4092" w:type="dxa"/>
          </w:tcPr>
          <w:p w:rsidR="004C7B14" w:rsidRPr="007F0E13" w:rsidRDefault="004C7B14" w:rsidP="00075B30">
            <w:pPr>
              <w:spacing w:after="0"/>
              <w:rPr>
                <w:rFonts w:asciiTheme="majorHAnsi" w:hAnsiTheme="majorHAnsi"/>
                <w:sz w:val="24"/>
                <w:szCs w:val="24"/>
              </w:rPr>
            </w:pPr>
            <w:r w:rsidRPr="007F0E13">
              <w:rPr>
                <w:rFonts w:asciiTheme="majorHAnsi" w:hAnsiTheme="majorHAnsi"/>
                <w:sz w:val="24"/>
                <w:szCs w:val="24"/>
              </w:rPr>
              <w:t xml:space="preserve">+2 weeks post </w:t>
            </w:r>
            <w:proofErr w:type="spellStart"/>
            <w:r w:rsidR="00075B30" w:rsidRPr="007F0E13">
              <w:rPr>
                <w:rFonts w:asciiTheme="majorHAnsi" w:hAnsiTheme="majorHAnsi"/>
                <w:sz w:val="24"/>
                <w:szCs w:val="24"/>
              </w:rPr>
              <w:t>GenIC</w:t>
            </w:r>
            <w:proofErr w:type="spellEnd"/>
            <w:r w:rsidRPr="007F0E13">
              <w:rPr>
                <w:rFonts w:asciiTheme="majorHAnsi" w:hAnsiTheme="majorHAnsi"/>
                <w:sz w:val="24"/>
                <w:szCs w:val="24"/>
              </w:rPr>
              <w:t xml:space="preserve"> approval</w:t>
            </w:r>
          </w:p>
        </w:tc>
      </w:tr>
      <w:tr w:rsidR="004C7B14" w:rsidRPr="007F0E13" w:rsidTr="002B796C">
        <w:trPr>
          <w:trHeight w:val="87"/>
          <w:jc w:val="center"/>
        </w:trPr>
        <w:tc>
          <w:tcPr>
            <w:tcW w:w="4092" w:type="dxa"/>
          </w:tcPr>
          <w:p w:rsidR="004C7B14" w:rsidRPr="007F0E13" w:rsidRDefault="007B0444" w:rsidP="007B0444">
            <w:pPr>
              <w:spacing w:after="0"/>
              <w:ind w:firstLine="720"/>
              <w:rPr>
                <w:rFonts w:asciiTheme="majorHAnsi" w:hAnsiTheme="majorHAnsi"/>
                <w:sz w:val="24"/>
                <w:szCs w:val="24"/>
              </w:rPr>
            </w:pPr>
            <w:r w:rsidRPr="007F0E13">
              <w:rPr>
                <w:rFonts w:asciiTheme="majorHAnsi" w:hAnsiTheme="majorHAnsi"/>
                <w:sz w:val="24"/>
                <w:szCs w:val="24"/>
              </w:rPr>
              <w:t xml:space="preserve">Focus group </w:t>
            </w:r>
            <w:r w:rsidR="004C7B14" w:rsidRPr="007F0E13">
              <w:rPr>
                <w:rFonts w:asciiTheme="majorHAnsi" w:hAnsiTheme="majorHAnsi"/>
                <w:sz w:val="24"/>
                <w:szCs w:val="24"/>
              </w:rPr>
              <w:t>Visits</w:t>
            </w:r>
          </w:p>
        </w:tc>
        <w:tc>
          <w:tcPr>
            <w:tcW w:w="4092" w:type="dxa"/>
          </w:tcPr>
          <w:p w:rsidR="004C7B14" w:rsidRPr="007F0E13" w:rsidRDefault="004C7B14" w:rsidP="00600144">
            <w:pPr>
              <w:spacing w:after="0"/>
              <w:rPr>
                <w:rFonts w:asciiTheme="majorHAnsi" w:hAnsiTheme="majorHAnsi"/>
                <w:sz w:val="24"/>
                <w:szCs w:val="24"/>
              </w:rPr>
            </w:pPr>
            <w:r w:rsidRPr="007F0E13">
              <w:rPr>
                <w:rFonts w:asciiTheme="majorHAnsi" w:hAnsiTheme="majorHAnsi"/>
                <w:sz w:val="24"/>
                <w:szCs w:val="24"/>
              </w:rPr>
              <w:t xml:space="preserve">+1 to +2 months post </w:t>
            </w:r>
            <w:proofErr w:type="spellStart"/>
            <w:r w:rsidR="00075B30" w:rsidRPr="007F0E13">
              <w:rPr>
                <w:rFonts w:asciiTheme="majorHAnsi" w:hAnsiTheme="majorHAnsi"/>
                <w:sz w:val="24"/>
                <w:szCs w:val="24"/>
              </w:rPr>
              <w:t>GenIC</w:t>
            </w:r>
            <w:proofErr w:type="spellEnd"/>
            <w:r w:rsidRPr="007F0E13">
              <w:rPr>
                <w:rFonts w:asciiTheme="majorHAnsi" w:hAnsiTheme="majorHAnsi"/>
                <w:sz w:val="24"/>
                <w:szCs w:val="24"/>
              </w:rPr>
              <w:t xml:space="preserve"> approval </w:t>
            </w:r>
          </w:p>
        </w:tc>
      </w:tr>
      <w:tr w:rsidR="004C7B14" w:rsidRPr="007F0E13" w:rsidTr="002B796C">
        <w:trPr>
          <w:trHeight w:val="87"/>
          <w:jc w:val="center"/>
        </w:trPr>
        <w:tc>
          <w:tcPr>
            <w:tcW w:w="4092" w:type="dxa"/>
          </w:tcPr>
          <w:p w:rsidR="004C7B14" w:rsidRPr="007F0E13" w:rsidRDefault="004C7B14" w:rsidP="007B0444">
            <w:pPr>
              <w:spacing w:after="0"/>
              <w:ind w:firstLine="720"/>
              <w:rPr>
                <w:rFonts w:asciiTheme="majorHAnsi" w:hAnsiTheme="majorHAnsi"/>
                <w:sz w:val="24"/>
                <w:szCs w:val="24"/>
              </w:rPr>
            </w:pPr>
            <w:r w:rsidRPr="007F0E13">
              <w:rPr>
                <w:rFonts w:asciiTheme="majorHAnsi" w:hAnsiTheme="majorHAnsi"/>
                <w:sz w:val="24"/>
                <w:szCs w:val="24"/>
              </w:rPr>
              <w:t xml:space="preserve">Draft </w:t>
            </w:r>
            <w:r w:rsidR="007B0444" w:rsidRPr="007F0E13">
              <w:rPr>
                <w:rFonts w:asciiTheme="majorHAnsi" w:hAnsiTheme="majorHAnsi"/>
                <w:sz w:val="24"/>
                <w:szCs w:val="24"/>
              </w:rPr>
              <w:t>Focus group</w:t>
            </w:r>
            <w:r w:rsidRPr="007F0E13">
              <w:rPr>
                <w:rFonts w:asciiTheme="majorHAnsi" w:hAnsiTheme="majorHAnsi"/>
                <w:sz w:val="24"/>
                <w:szCs w:val="24"/>
              </w:rPr>
              <w:t xml:space="preserve"> Briefs</w:t>
            </w:r>
          </w:p>
        </w:tc>
        <w:tc>
          <w:tcPr>
            <w:tcW w:w="4092" w:type="dxa"/>
          </w:tcPr>
          <w:p w:rsidR="004C7B14" w:rsidRPr="007F0E13" w:rsidRDefault="00476B39" w:rsidP="00600144">
            <w:pPr>
              <w:spacing w:after="0"/>
              <w:rPr>
                <w:rFonts w:asciiTheme="majorHAnsi" w:hAnsiTheme="majorHAnsi"/>
                <w:sz w:val="24"/>
                <w:szCs w:val="24"/>
              </w:rPr>
            </w:pPr>
            <w:r w:rsidRPr="007F0E13">
              <w:rPr>
                <w:rFonts w:asciiTheme="majorHAnsi" w:hAnsiTheme="majorHAnsi"/>
                <w:sz w:val="24"/>
                <w:szCs w:val="24"/>
              </w:rPr>
              <w:t xml:space="preserve">+3 to +4 months post </w:t>
            </w:r>
            <w:proofErr w:type="spellStart"/>
            <w:r w:rsidRPr="007F0E13">
              <w:rPr>
                <w:rFonts w:asciiTheme="majorHAnsi" w:hAnsiTheme="majorHAnsi"/>
                <w:sz w:val="24"/>
                <w:szCs w:val="24"/>
              </w:rPr>
              <w:t>GenIC</w:t>
            </w:r>
            <w:proofErr w:type="spellEnd"/>
            <w:r w:rsidR="004C7B14" w:rsidRPr="007F0E13">
              <w:rPr>
                <w:rFonts w:asciiTheme="majorHAnsi" w:hAnsiTheme="majorHAnsi"/>
                <w:sz w:val="24"/>
                <w:szCs w:val="24"/>
              </w:rPr>
              <w:t xml:space="preserve"> approval</w:t>
            </w:r>
          </w:p>
        </w:tc>
      </w:tr>
      <w:tr w:rsidR="004C7B14" w:rsidRPr="007F0E13" w:rsidTr="002B796C">
        <w:trPr>
          <w:trHeight w:val="87"/>
          <w:jc w:val="center"/>
        </w:trPr>
        <w:tc>
          <w:tcPr>
            <w:tcW w:w="4092" w:type="dxa"/>
          </w:tcPr>
          <w:p w:rsidR="004C7B14" w:rsidRPr="007F0E13" w:rsidRDefault="004C7B14" w:rsidP="007B0444">
            <w:pPr>
              <w:spacing w:after="0"/>
              <w:ind w:firstLine="720"/>
              <w:rPr>
                <w:rFonts w:asciiTheme="majorHAnsi" w:hAnsiTheme="majorHAnsi"/>
                <w:sz w:val="24"/>
                <w:szCs w:val="24"/>
              </w:rPr>
            </w:pPr>
            <w:r w:rsidRPr="007F0E13">
              <w:rPr>
                <w:rFonts w:asciiTheme="majorHAnsi" w:hAnsiTheme="majorHAnsi"/>
                <w:sz w:val="24"/>
                <w:szCs w:val="24"/>
              </w:rPr>
              <w:t xml:space="preserve">Final </w:t>
            </w:r>
            <w:r w:rsidR="007B0444" w:rsidRPr="007F0E13">
              <w:rPr>
                <w:rFonts w:asciiTheme="majorHAnsi" w:hAnsiTheme="majorHAnsi"/>
                <w:sz w:val="24"/>
                <w:szCs w:val="24"/>
              </w:rPr>
              <w:t>Focus group</w:t>
            </w:r>
            <w:r w:rsidRPr="007F0E13">
              <w:rPr>
                <w:rFonts w:asciiTheme="majorHAnsi" w:hAnsiTheme="majorHAnsi"/>
                <w:sz w:val="24"/>
                <w:szCs w:val="24"/>
              </w:rPr>
              <w:t xml:space="preserve"> Briefs</w:t>
            </w:r>
          </w:p>
        </w:tc>
        <w:tc>
          <w:tcPr>
            <w:tcW w:w="4092" w:type="dxa"/>
          </w:tcPr>
          <w:p w:rsidR="004C7B14" w:rsidRPr="007F0E13" w:rsidRDefault="00476B39" w:rsidP="00600144">
            <w:pPr>
              <w:spacing w:after="0"/>
              <w:rPr>
                <w:rFonts w:asciiTheme="majorHAnsi" w:hAnsiTheme="majorHAnsi"/>
                <w:sz w:val="24"/>
                <w:szCs w:val="24"/>
              </w:rPr>
            </w:pPr>
            <w:r w:rsidRPr="007F0E13">
              <w:rPr>
                <w:rFonts w:asciiTheme="majorHAnsi" w:hAnsiTheme="majorHAnsi"/>
                <w:sz w:val="24"/>
                <w:szCs w:val="24"/>
              </w:rPr>
              <w:t xml:space="preserve">+5 months post </w:t>
            </w:r>
            <w:proofErr w:type="spellStart"/>
            <w:r w:rsidRPr="007F0E13">
              <w:rPr>
                <w:rFonts w:asciiTheme="majorHAnsi" w:hAnsiTheme="majorHAnsi"/>
                <w:sz w:val="24"/>
                <w:szCs w:val="24"/>
              </w:rPr>
              <w:t>GenIC</w:t>
            </w:r>
            <w:proofErr w:type="spellEnd"/>
            <w:r w:rsidR="004C7B14" w:rsidRPr="007F0E13">
              <w:rPr>
                <w:rFonts w:asciiTheme="majorHAnsi" w:hAnsiTheme="majorHAnsi"/>
                <w:sz w:val="24"/>
                <w:szCs w:val="24"/>
              </w:rPr>
              <w:t xml:space="preserve"> approval </w:t>
            </w:r>
          </w:p>
        </w:tc>
      </w:tr>
      <w:tr w:rsidR="004C7B14" w:rsidRPr="007F0E13" w:rsidTr="002B796C">
        <w:trPr>
          <w:trHeight w:val="87"/>
          <w:jc w:val="center"/>
        </w:trPr>
        <w:tc>
          <w:tcPr>
            <w:tcW w:w="4092" w:type="dxa"/>
          </w:tcPr>
          <w:p w:rsidR="004C7B14" w:rsidRPr="007F0E13" w:rsidRDefault="004C7B14" w:rsidP="004C7B14">
            <w:pPr>
              <w:spacing w:after="0"/>
              <w:ind w:firstLine="720"/>
              <w:rPr>
                <w:rFonts w:asciiTheme="majorHAnsi" w:hAnsiTheme="majorHAnsi"/>
                <w:sz w:val="24"/>
                <w:szCs w:val="24"/>
              </w:rPr>
            </w:pPr>
            <w:r w:rsidRPr="007F0E13">
              <w:rPr>
                <w:rFonts w:asciiTheme="majorHAnsi" w:hAnsiTheme="majorHAnsi"/>
                <w:sz w:val="24"/>
                <w:szCs w:val="24"/>
              </w:rPr>
              <w:t>Draft Comprehensive Report</w:t>
            </w:r>
          </w:p>
        </w:tc>
        <w:tc>
          <w:tcPr>
            <w:tcW w:w="4092" w:type="dxa"/>
          </w:tcPr>
          <w:p w:rsidR="004C7B14" w:rsidRPr="007F0E13" w:rsidRDefault="004C7B14" w:rsidP="00600144">
            <w:pPr>
              <w:spacing w:after="0"/>
              <w:rPr>
                <w:rFonts w:asciiTheme="majorHAnsi" w:hAnsiTheme="majorHAnsi"/>
                <w:sz w:val="24"/>
                <w:szCs w:val="24"/>
              </w:rPr>
            </w:pPr>
            <w:r w:rsidRPr="007F0E13">
              <w:rPr>
                <w:rFonts w:asciiTheme="majorHAnsi" w:hAnsiTheme="majorHAnsi"/>
                <w:sz w:val="24"/>
                <w:szCs w:val="24"/>
              </w:rPr>
              <w:t xml:space="preserve">+3 months  </w:t>
            </w:r>
            <w:r w:rsidR="00476B39" w:rsidRPr="007F0E13">
              <w:rPr>
                <w:rFonts w:asciiTheme="majorHAnsi" w:hAnsiTheme="majorHAnsi"/>
                <w:sz w:val="24"/>
                <w:szCs w:val="24"/>
              </w:rPr>
              <w:t xml:space="preserve">post </w:t>
            </w:r>
            <w:proofErr w:type="spellStart"/>
            <w:r w:rsidR="00476B39" w:rsidRPr="007F0E13">
              <w:rPr>
                <w:rFonts w:asciiTheme="majorHAnsi" w:hAnsiTheme="majorHAnsi"/>
                <w:sz w:val="24"/>
                <w:szCs w:val="24"/>
              </w:rPr>
              <w:t>GenIC</w:t>
            </w:r>
            <w:proofErr w:type="spellEnd"/>
            <w:r w:rsidRPr="007F0E13">
              <w:rPr>
                <w:rFonts w:asciiTheme="majorHAnsi" w:hAnsiTheme="majorHAnsi"/>
                <w:sz w:val="24"/>
                <w:szCs w:val="24"/>
              </w:rPr>
              <w:t xml:space="preserve"> approval</w:t>
            </w:r>
          </w:p>
        </w:tc>
      </w:tr>
      <w:tr w:rsidR="004C7B14" w:rsidRPr="007F0E13" w:rsidTr="002B796C">
        <w:trPr>
          <w:trHeight w:val="87"/>
          <w:jc w:val="center"/>
        </w:trPr>
        <w:tc>
          <w:tcPr>
            <w:tcW w:w="4092" w:type="dxa"/>
          </w:tcPr>
          <w:p w:rsidR="004C7B14" w:rsidRPr="007F0E13" w:rsidRDefault="004C7B14" w:rsidP="004C7B14">
            <w:pPr>
              <w:spacing w:after="0"/>
              <w:ind w:firstLine="720"/>
              <w:rPr>
                <w:rFonts w:asciiTheme="majorHAnsi" w:hAnsiTheme="majorHAnsi"/>
                <w:sz w:val="24"/>
                <w:szCs w:val="24"/>
              </w:rPr>
            </w:pPr>
            <w:r w:rsidRPr="007F0E13">
              <w:rPr>
                <w:rFonts w:asciiTheme="majorHAnsi" w:hAnsiTheme="majorHAnsi"/>
                <w:sz w:val="24"/>
                <w:szCs w:val="24"/>
              </w:rPr>
              <w:t>Final Comprehensive Report</w:t>
            </w:r>
          </w:p>
        </w:tc>
        <w:tc>
          <w:tcPr>
            <w:tcW w:w="4092" w:type="dxa"/>
          </w:tcPr>
          <w:p w:rsidR="004C7B14" w:rsidRPr="007F0E13" w:rsidRDefault="00476B39" w:rsidP="00600144">
            <w:pPr>
              <w:spacing w:after="0"/>
              <w:rPr>
                <w:rFonts w:asciiTheme="majorHAnsi" w:hAnsiTheme="majorHAnsi"/>
                <w:sz w:val="24"/>
                <w:szCs w:val="24"/>
              </w:rPr>
            </w:pPr>
            <w:r w:rsidRPr="007F0E13">
              <w:rPr>
                <w:rFonts w:asciiTheme="majorHAnsi" w:hAnsiTheme="majorHAnsi"/>
                <w:sz w:val="24"/>
                <w:szCs w:val="24"/>
              </w:rPr>
              <w:t xml:space="preserve">+4 months post </w:t>
            </w:r>
            <w:proofErr w:type="spellStart"/>
            <w:r w:rsidRPr="007F0E13">
              <w:rPr>
                <w:rFonts w:asciiTheme="majorHAnsi" w:hAnsiTheme="majorHAnsi"/>
                <w:sz w:val="24"/>
                <w:szCs w:val="24"/>
              </w:rPr>
              <w:t>GenIC</w:t>
            </w:r>
            <w:proofErr w:type="spellEnd"/>
            <w:r w:rsidR="004C7B14" w:rsidRPr="007F0E13">
              <w:rPr>
                <w:rFonts w:asciiTheme="majorHAnsi" w:hAnsiTheme="majorHAnsi"/>
                <w:sz w:val="24"/>
                <w:szCs w:val="24"/>
              </w:rPr>
              <w:t xml:space="preserve"> approval </w:t>
            </w:r>
          </w:p>
        </w:tc>
      </w:tr>
    </w:tbl>
    <w:p w:rsidR="000A71DF" w:rsidRDefault="000A71DF" w:rsidP="002B796C">
      <w:pPr>
        <w:pStyle w:val="ListParagraph"/>
        <w:tabs>
          <w:tab w:val="right" w:leader="dot" w:pos="9360"/>
        </w:tabs>
        <w:spacing w:after="0"/>
        <w:ind w:left="1260"/>
        <w:rPr>
          <w:rFonts w:asciiTheme="majorHAnsi" w:hAnsiTheme="majorHAnsi"/>
          <w:sz w:val="24"/>
          <w:szCs w:val="24"/>
        </w:rPr>
      </w:pPr>
    </w:p>
    <w:p w:rsidR="00BF5698" w:rsidRPr="007F0E13" w:rsidRDefault="00BF5698" w:rsidP="002B796C">
      <w:pPr>
        <w:pStyle w:val="ListParagraph"/>
        <w:tabs>
          <w:tab w:val="right" w:leader="dot" w:pos="9360"/>
        </w:tabs>
        <w:spacing w:after="0"/>
        <w:ind w:left="1260"/>
        <w:rPr>
          <w:rFonts w:asciiTheme="majorHAnsi" w:hAnsiTheme="majorHAnsi"/>
          <w:sz w:val="24"/>
          <w:szCs w:val="24"/>
        </w:rPr>
      </w:pPr>
    </w:p>
    <w:p w:rsidR="00B12F51" w:rsidRPr="007F0E13" w:rsidRDefault="00D75750" w:rsidP="002B796C">
      <w:pPr>
        <w:pStyle w:val="ListParagraph"/>
        <w:numPr>
          <w:ilvl w:val="0"/>
          <w:numId w:val="2"/>
        </w:numPr>
        <w:spacing w:after="0"/>
        <w:ind w:left="630"/>
        <w:rPr>
          <w:rFonts w:asciiTheme="majorHAnsi" w:hAnsiTheme="majorHAnsi"/>
          <w:b/>
          <w:sz w:val="24"/>
          <w:szCs w:val="24"/>
        </w:rPr>
      </w:pPr>
      <w:r w:rsidRPr="007F0E13">
        <w:rPr>
          <w:rFonts w:asciiTheme="majorHAnsi" w:hAnsiTheme="majorHAnsi"/>
          <w:b/>
          <w:bCs/>
          <w:sz w:val="24"/>
          <w:szCs w:val="24"/>
        </w:rPr>
        <w:t xml:space="preserve">Reason(s) Display of OMB Expiration </w:t>
      </w:r>
      <w:r w:rsidRPr="007F0E13">
        <w:rPr>
          <w:rFonts w:asciiTheme="majorHAnsi" w:hAnsiTheme="majorHAnsi"/>
          <w:b/>
          <w:sz w:val="24"/>
          <w:szCs w:val="24"/>
        </w:rPr>
        <w:t xml:space="preserve">Date </w:t>
      </w:r>
      <w:r w:rsidRPr="007F0E13">
        <w:rPr>
          <w:rFonts w:asciiTheme="majorHAnsi" w:hAnsiTheme="majorHAnsi"/>
          <w:b/>
          <w:bCs/>
          <w:sz w:val="24"/>
          <w:szCs w:val="24"/>
        </w:rPr>
        <w:t>is Inappropriate</w:t>
      </w:r>
    </w:p>
    <w:p w:rsidR="00F52BCC" w:rsidRPr="007F0E13" w:rsidRDefault="00180D45" w:rsidP="002B796C">
      <w:pPr>
        <w:pStyle w:val="ListParagraph"/>
        <w:spacing w:after="0"/>
        <w:ind w:left="540"/>
        <w:rPr>
          <w:rFonts w:asciiTheme="majorHAnsi" w:hAnsiTheme="majorHAnsi"/>
          <w:sz w:val="24"/>
          <w:szCs w:val="24"/>
        </w:rPr>
      </w:pPr>
      <w:r w:rsidRPr="007F0E13">
        <w:rPr>
          <w:rFonts w:asciiTheme="majorHAnsi" w:hAnsiTheme="majorHAnsi"/>
          <w:sz w:val="24"/>
          <w:szCs w:val="24"/>
        </w:rPr>
        <w:t>We are requesting no exemption.</w:t>
      </w:r>
    </w:p>
    <w:p w:rsidR="00F52BCC" w:rsidRPr="007F0E13" w:rsidRDefault="00F52BCC" w:rsidP="002B796C">
      <w:pPr>
        <w:pStyle w:val="ListParagraph"/>
        <w:spacing w:after="0"/>
        <w:ind w:left="540"/>
        <w:rPr>
          <w:rFonts w:asciiTheme="majorHAnsi" w:hAnsiTheme="majorHAnsi"/>
          <w:sz w:val="24"/>
          <w:szCs w:val="24"/>
        </w:rPr>
      </w:pPr>
    </w:p>
    <w:p w:rsidR="00B12F51" w:rsidRPr="007F0E13" w:rsidRDefault="00B12F51" w:rsidP="002B796C">
      <w:pPr>
        <w:pStyle w:val="ListParagraph"/>
        <w:numPr>
          <w:ilvl w:val="0"/>
          <w:numId w:val="2"/>
        </w:numPr>
        <w:spacing w:after="0"/>
        <w:ind w:left="630"/>
        <w:rPr>
          <w:rFonts w:asciiTheme="majorHAnsi" w:hAnsiTheme="majorHAnsi"/>
          <w:b/>
          <w:sz w:val="24"/>
          <w:szCs w:val="24"/>
        </w:rPr>
      </w:pPr>
      <w:r w:rsidRPr="007F0E13">
        <w:rPr>
          <w:rFonts w:asciiTheme="majorHAnsi" w:hAnsiTheme="majorHAnsi"/>
          <w:b/>
          <w:sz w:val="24"/>
          <w:szCs w:val="24"/>
        </w:rPr>
        <w:t>Exceptions to Certification for Paperwork Reduction Act Submissions</w:t>
      </w:r>
    </w:p>
    <w:p w:rsidR="00F52BCC" w:rsidRPr="007F0E13" w:rsidRDefault="0031279F" w:rsidP="002B796C">
      <w:pPr>
        <w:pStyle w:val="ListParagraph"/>
        <w:spacing w:after="0"/>
        <w:ind w:left="540"/>
        <w:rPr>
          <w:rFonts w:asciiTheme="majorHAnsi" w:hAnsiTheme="majorHAnsi"/>
          <w:sz w:val="24"/>
          <w:szCs w:val="24"/>
        </w:rPr>
      </w:pPr>
      <w:r w:rsidRPr="007F0E13">
        <w:rPr>
          <w:rFonts w:asciiTheme="majorHAnsi" w:hAnsiTheme="majorHAnsi"/>
          <w:sz w:val="24"/>
          <w:szCs w:val="24"/>
        </w:rPr>
        <w:t>There are no exceptions to the certification.</w:t>
      </w:r>
      <w:r w:rsidR="00180D45" w:rsidRPr="007F0E13">
        <w:rPr>
          <w:rFonts w:asciiTheme="majorHAnsi" w:hAnsiTheme="majorHAnsi"/>
          <w:sz w:val="24"/>
          <w:szCs w:val="24"/>
        </w:rPr>
        <w:t xml:space="preserve">  These activities comply with the requirements in 5 CFR 1320.9.</w:t>
      </w:r>
    </w:p>
    <w:p w:rsidR="00F90D5A" w:rsidRPr="007F0E13" w:rsidRDefault="00F90D5A" w:rsidP="002B796C">
      <w:pPr>
        <w:rPr>
          <w:rFonts w:asciiTheme="majorHAnsi" w:hAnsiTheme="majorHAnsi"/>
          <w:sz w:val="24"/>
          <w:szCs w:val="24"/>
        </w:rPr>
      </w:pPr>
      <w:r w:rsidRPr="007F0E13">
        <w:rPr>
          <w:rFonts w:asciiTheme="majorHAnsi" w:hAnsiTheme="majorHAnsi"/>
          <w:sz w:val="24"/>
          <w:szCs w:val="24"/>
        </w:rPr>
        <w:br w:type="page"/>
      </w:r>
    </w:p>
    <w:p w:rsidR="00A36419" w:rsidRPr="007F0E13" w:rsidRDefault="00A36419" w:rsidP="002B796C">
      <w:pPr>
        <w:spacing w:after="0" w:line="240" w:lineRule="auto"/>
        <w:rPr>
          <w:rFonts w:asciiTheme="majorHAnsi" w:hAnsiTheme="majorHAnsi"/>
          <w:b/>
          <w:sz w:val="24"/>
          <w:szCs w:val="24"/>
        </w:rPr>
      </w:pPr>
      <w:r w:rsidRPr="007F0E13">
        <w:rPr>
          <w:rFonts w:asciiTheme="majorHAnsi" w:hAnsiTheme="majorHAnsi"/>
          <w:b/>
          <w:sz w:val="24"/>
          <w:szCs w:val="24"/>
        </w:rPr>
        <w:lastRenderedPageBreak/>
        <w:t>LIST OF ATTACHMENTS</w:t>
      </w:r>
      <w:r w:rsidR="00A33E90" w:rsidRPr="007F0E13">
        <w:rPr>
          <w:rFonts w:asciiTheme="majorHAnsi" w:hAnsiTheme="majorHAnsi"/>
          <w:b/>
          <w:sz w:val="24"/>
          <w:szCs w:val="24"/>
        </w:rPr>
        <w:t xml:space="preserve"> – Section A</w:t>
      </w:r>
    </w:p>
    <w:p w:rsidR="006B5E55" w:rsidRPr="007F0E13" w:rsidRDefault="006B5E55" w:rsidP="002B796C">
      <w:pPr>
        <w:spacing w:after="0" w:line="240" w:lineRule="auto"/>
        <w:rPr>
          <w:rFonts w:asciiTheme="majorHAnsi" w:hAnsiTheme="majorHAnsi"/>
          <w:sz w:val="24"/>
          <w:szCs w:val="24"/>
        </w:rPr>
      </w:pPr>
      <w:r w:rsidRPr="007F0E13">
        <w:rPr>
          <w:rFonts w:asciiTheme="majorHAnsi" w:hAnsiTheme="majorHAnsi"/>
          <w:sz w:val="24"/>
          <w:szCs w:val="24"/>
        </w:rPr>
        <w:t>Note: Attachments are included as separate files as instructed.</w:t>
      </w:r>
    </w:p>
    <w:p w:rsidR="00080380" w:rsidRPr="007F0E13" w:rsidRDefault="00080380" w:rsidP="002B796C">
      <w:pPr>
        <w:spacing w:after="0" w:line="240" w:lineRule="auto"/>
        <w:rPr>
          <w:rFonts w:asciiTheme="majorHAnsi" w:hAnsiTheme="majorHAnsi"/>
          <w:sz w:val="24"/>
          <w:szCs w:val="24"/>
        </w:rPr>
      </w:pPr>
    </w:p>
    <w:p w:rsidR="00A36419" w:rsidRPr="007F0E13" w:rsidRDefault="00A36419" w:rsidP="002B796C">
      <w:pPr>
        <w:spacing w:after="0" w:line="240" w:lineRule="auto"/>
        <w:rPr>
          <w:rFonts w:asciiTheme="majorHAnsi" w:hAnsiTheme="majorHAnsi"/>
          <w:b/>
          <w:sz w:val="24"/>
          <w:szCs w:val="24"/>
        </w:rPr>
      </w:pPr>
    </w:p>
    <w:p w:rsidR="00562E64" w:rsidRPr="007F0E13" w:rsidRDefault="00562E64" w:rsidP="002B796C">
      <w:pPr>
        <w:spacing w:after="0" w:line="240" w:lineRule="auto"/>
        <w:rPr>
          <w:rFonts w:asciiTheme="majorHAnsi" w:hAnsiTheme="majorHAnsi"/>
          <w:b/>
          <w:sz w:val="24"/>
          <w:szCs w:val="24"/>
        </w:rPr>
      </w:pPr>
      <w:r w:rsidRPr="007F0E13">
        <w:rPr>
          <w:rFonts w:asciiTheme="majorHAnsi" w:hAnsiTheme="majorHAnsi"/>
          <w:b/>
          <w:sz w:val="24"/>
          <w:szCs w:val="24"/>
        </w:rPr>
        <w:t xml:space="preserve">Attachment A:  </w:t>
      </w:r>
      <w:r w:rsidRPr="007F0E13">
        <w:rPr>
          <w:rFonts w:asciiTheme="majorHAnsi" w:hAnsiTheme="majorHAnsi"/>
          <w:sz w:val="24"/>
          <w:szCs w:val="24"/>
        </w:rPr>
        <w:t>Public Health Security and Bioterrorism Preparedness Act of 2002</w:t>
      </w:r>
    </w:p>
    <w:p w:rsidR="00562E64" w:rsidRPr="007F0E13" w:rsidRDefault="00562E64" w:rsidP="002B796C">
      <w:pPr>
        <w:spacing w:after="0" w:line="240" w:lineRule="auto"/>
        <w:rPr>
          <w:rFonts w:asciiTheme="majorHAnsi" w:hAnsiTheme="majorHAnsi"/>
          <w:b/>
          <w:sz w:val="24"/>
          <w:szCs w:val="24"/>
        </w:rPr>
      </w:pPr>
    </w:p>
    <w:p w:rsidR="00562E64" w:rsidRPr="007F0E13" w:rsidRDefault="00562E64" w:rsidP="002B796C">
      <w:pPr>
        <w:spacing w:after="0" w:line="240" w:lineRule="auto"/>
        <w:rPr>
          <w:rFonts w:asciiTheme="majorHAnsi" w:hAnsiTheme="majorHAnsi"/>
          <w:sz w:val="24"/>
          <w:szCs w:val="24"/>
        </w:rPr>
      </w:pPr>
      <w:r w:rsidRPr="007F0E13">
        <w:rPr>
          <w:rFonts w:asciiTheme="majorHAnsi" w:hAnsiTheme="majorHAnsi"/>
          <w:b/>
          <w:sz w:val="24"/>
          <w:szCs w:val="24"/>
        </w:rPr>
        <w:t xml:space="preserve">Attachment B:  </w:t>
      </w:r>
      <w:r w:rsidRPr="007F0E13">
        <w:rPr>
          <w:rFonts w:asciiTheme="majorHAnsi" w:hAnsiTheme="majorHAnsi"/>
          <w:sz w:val="24"/>
          <w:szCs w:val="24"/>
        </w:rPr>
        <w:t>Pandemic and All-Hazards Preparedness Act of 2006</w:t>
      </w:r>
    </w:p>
    <w:p w:rsidR="00562E64" w:rsidRPr="007F0E13" w:rsidRDefault="00562E64" w:rsidP="002B796C">
      <w:pPr>
        <w:spacing w:after="0" w:line="240" w:lineRule="auto"/>
        <w:rPr>
          <w:rFonts w:asciiTheme="majorHAnsi" w:hAnsiTheme="majorHAnsi"/>
          <w:b/>
          <w:sz w:val="24"/>
          <w:szCs w:val="24"/>
        </w:rPr>
      </w:pPr>
    </w:p>
    <w:p w:rsidR="00562E64" w:rsidRPr="007F0E13" w:rsidRDefault="00562E64" w:rsidP="002B796C">
      <w:pPr>
        <w:spacing w:after="0" w:line="240" w:lineRule="auto"/>
        <w:rPr>
          <w:rFonts w:asciiTheme="majorHAnsi" w:hAnsiTheme="majorHAnsi"/>
          <w:sz w:val="24"/>
          <w:szCs w:val="24"/>
        </w:rPr>
      </w:pPr>
      <w:r w:rsidRPr="007F0E13">
        <w:rPr>
          <w:rFonts w:asciiTheme="majorHAnsi" w:hAnsiTheme="majorHAnsi"/>
          <w:b/>
          <w:sz w:val="24"/>
          <w:szCs w:val="24"/>
        </w:rPr>
        <w:t xml:space="preserve">Attachment C:  </w:t>
      </w:r>
      <w:r w:rsidRPr="007F0E13">
        <w:rPr>
          <w:rFonts w:asciiTheme="majorHAnsi" w:hAnsiTheme="majorHAnsi"/>
          <w:sz w:val="24"/>
          <w:szCs w:val="24"/>
        </w:rPr>
        <w:t>Pandemic and All-Hazards Preparedness Reauthorization Act of 2013</w:t>
      </w:r>
    </w:p>
    <w:p w:rsidR="00562E64" w:rsidRPr="007F0E13" w:rsidRDefault="00562E64" w:rsidP="002B796C">
      <w:pPr>
        <w:spacing w:after="0" w:line="240" w:lineRule="auto"/>
        <w:rPr>
          <w:rFonts w:asciiTheme="majorHAnsi" w:hAnsiTheme="majorHAnsi"/>
          <w:sz w:val="24"/>
          <w:szCs w:val="24"/>
        </w:rPr>
      </w:pPr>
    </w:p>
    <w:p w:rsidR="00562E64" w:rsidRPr="007F0E13" w:rsidRDefault="00562E64" w:rsidP="002B796C">
      <w:pPr>
        <w:spacing w:after="0" w:line="240" w:lineRule="auto"/>
        <w:rPr>
          <w:rFonts w:asciiTheme="majorHAnsi" w:hAnsiTheme="majorHAnsi"/>
          <w:sz w:val="24"/>
          <w:szCs w:val="24"/>
        </w:rPr>
      </w:pPr>
      <w:r w:rsidRPr="007F0E13">
        <w:rPr>
          <w:rFonts w:asciiTheme="majorHAnsi" w:hAnsiTheme="majorHAnsi"/>
          <w:b/>
          <w:sz w:val="24"/>
          <w:szCs w:val="24"/>
        </w:rPr>
        <w:t xml:space="preserve">Attachment D:  </w:t>
      </w:r>
      <w:r w:rsidRPr="007F0E13">
        <w:rPr>
          <w:rFonts w:asciiTheme="majorHAnsi" w:hAnsiTheme="majorHAnsi"/>
          <w:sz w:val="24"/>
          <w:szCs w:val="24"/>
        </w:rPr>
        <w:t>White House Federal Cloud Computing Strategy</w:t>
      </w:r>
    </w:p>
    <w:p w:rsidR="00562E64" w:rsidRPr="007F0E13" w:rsidRDefault="00562E64" w:rsidP="002B796C">
      <w:pPr>
        <w:spacing w:after="0" w:line="240" w:lineRule="auto"/>
        <w:rPr>
          <w:rFonts w:asciiTheme="majorHAnsi" w:hAnsiTheme="majorHAnsi"/>
          <w:b/>
          <w:sz w:val="24"/>
          <w:szCs w:val="24"/>
        </w:rPr>
      </w:pPr>
    </w:p>
    <w:p w:rsidR="00562E64" w:rsidRPr="007F0E13" w:rsidRDefault="00562E64" w:rsidP="002B796C">
      <w:pPr>
        <w:spacing w:after="0" w:line="240" w:lineRule="auto"/>
        <w:rPr>
          <w:rFonts w:asciiTheme="majorHAnsi" w:hAnsiTheme="majorHAnsi"/>
          <w:sz w:val="24"/>
          <w:szCs w:val="24"/>
        </w:rPr>
      </w:pPr>
      <w:r w:rsidRPr="007F0E13">
        <w:rPr>
          <w:rFonts w:asciiTheme="majorHAnsi" w:hAnsiTheme="majorHAnsi"/>
          <w:b/>
          <w:sz w:val="24"/>
          <w:szCs w:val="24"/>
        </w:rPr>
        <w:t xml:space="preserve">Attachment E:  </w:t>
      </w:r>
      <w:r w:rsidRPr="007F0E13">
        <w:rPr>
          <w:rFonts w:asciiTheme="majorHAnsi" w:hAnsiTheme="majorHAnsi"/>
          <w:sz w:val="24"/>
          <w:szCs w:val="24"/>
        </w:rPr>
        <w:t>Data Use Agreement Participation Map</w:t>
      </w:r>
    </w:p>
    <w:p w:rsidR="00562E64" w:rsidRPr="007F0E13" w:rsidRDefault="00562E64" w:rsidP="002B796C">
      <w:pPr>
        <w:spacing w:after="0" w:line="240" w:lineRule="auto"/>
        <w:rPr>
          <w:rFonts w:asciiTheme="majorHAnsi" w:hAnsiTheme="majorHAnsi"/>
          <w:sz w:val="24"/>
          <w:szCs w:val="24"/>
        </w:rPr>
      </w:pPr>
    </w:p>
    <w:p w:rsidR="00562E64" w:rsidRPr="007F0E13" w:rsidRDefault="00562E64" w:rsidP="002B796C">
      <w:pPr>
        <w:autoSpaceDE w:val="0"/>
        <w:autoSpaceDN w:val="0"/>
        <w:adjustRightInd w:val="0"/>
        <w:spacing w:after="0" w:line="240" w:lineRule="auto"/>
        <w:rPr>
          <w:rFonts w:asciiTheme="majorHAnsi" w:hAnsiTheme="majorHAnsi"/>
          <w:b/>
          <w:sz w:val="24"/>
          <w:szCs w:val="24"/>
        </w:rPr>
      </w:pPr>
      <w:r w:rsidRPr="007F0E13">
        <w:rPr>
          <w:rFonts w:asciiTheme="majorHAnsi" w:hAnsiTheme="majorHAnsi"/>
          <w:b/>
          <w:sz w:val="24"/>
          <w:szCs w:val="24"/>
        </w:rPr>
        <w:t xml:space="preserve">Attachment F:  </w:t>
      </w:r>
      <w:r w:rsidRPr="007F0E13">
        <w:rPr>
          <w:rFonts w:asciiTheme="majorHAnsi" w:hAnsiTheme="majorHAnsi"/>
          <w:sz w:val="24"/>
          <w:szCs w:val="24"/>
        </w:rPr>
        <w:t xml:space="preserve">Template </w:t>
      </w:r>
      <w:proofErr w:type="spellStart"/>
      <w:r w:rsidR="002B5BCA" w:rsidRPr="007F0E13">
        <w:rPr>
          <w:rFonts w:asciiTheme="majorHAnsi" w:hAnsiTheme="majorHAnsi"/>
          <w:sz w:val="24"/>
          <w:szCs w:val="24"/>
        </w:rPr>
        <w:t>BioSense</w:t>
      </w:r>
      <w:proofErr w:type="spellEnd"/>
      <w:r w:rsidR="002B5BCA" w:rsidRPr="007F0E13">
        <w:rPr>
          <w:rFonts w:asciiTheme="majorHAnsi" w:hAnsiTheme="majorHAnsi"/>
          <w:sz w:val="24"/>
          <w:szCs w:val="24"/>
        </w:rPr>
        <w:t xml:space="preserve"> </w:t>
      </w:r>
      <w:r w:rsidRPr="007F0E13">
        <w:rPr>
          <w:rFonts w:asciiTheme="majorHAnsi" w:hAnsiTheme="majorHAnsi"/>
          <w:sz w:val="24"/>
          <w:szCs w:val="24"/>
        </w:rPr>
        <w:t>Data Use Agreement</w:t>
      </w:r>
    </w:p>
    <w:p w:rsidR="00562E64" w:rsidRPr="007F0E13" w:rsidRDefault="00562E64" w:rsidP="002B796C">
      <w:pPr>
        <w:pStyle w:val="ListParagraph"/>
        <w:autoSpaceDE w:val="0"/>
        <w:autoSpaceDN w:val="0"/>
        <w:adjustRightInd w:val="0"/>
        <w:spacing w:after="0" w:line="240" w:lineRule="auto"/>
        <w:ind w:left="540"/>
        <w:rPr>
          <w:rFonts w:asciiTheme="majorHAnsi" w:hAnsiTheme="majorHAnsi"/>
          <w:b/>
          <w:sz w:val="24"/>
          <w:szCs w:val="24"/>
        </w:rPr>
      </w:pPr>
    </w:p>
    <w:p w:rsidR="00562E64" w:rsidRPr="007F0E13" w:rsidRDefault="00562E64" w:rsidP="002B796C">
      <w:pPr>
        <w:autoSpaceDE w:val="0"/>
        <w:autoSpaceDN w:val="0"/>
        <w:adjustRightInd w:val="0"/>
        <w:spacing w:after="0" w:line="240" w:lineRule="auto"/>
        <w:rPr>
          <w:rFonts w:asciiTheme="majorHAnsi" w:hAnsiTheme="majorHAnsi"/>
          <w:sz w:val="24"/>
          <w:szCs w:val="24"/>
        </w:rPr>
      </w:pPr>
      <w:r w:rsidRPr="007F0E13">
        <w:rPr>
          <w:rFonts w:asciiTheme="majorHAnsi" w:hAnsiTheme="majorHAnsi"/>
          <w:b/>
          <w:sz w:val="24"/>
          <w:szCs w:val="24"/>
        </w:rPr>
        <w:t xml:space="preserve">Attachment G:  </w:t>
      </w:r>
      <w:r w:rsidRPr="007F0E13">
        <w:rPr>
          <w:rFonts w:asciiTheme="majorHAnsi" w:hAnsiTheme="majorHAnsi"/>
          <w:sz w:val="24"/>
          <w:szCs w:val="24"/>
        </w:rPr>
        <w:t>(GAO-05-308) Federal Agencies Face Challenges in Implementing Initiatives to Improve Public Health Infrastructure</w:t>
      </w:r>
    </w:p>
    <w:p w:rsidR="00562E64" w:rsidRPr="007F0E13" w:rsidRDefault="00562E64" w:rsidP="002B796C">
      <w:pPr>
        <w:spacing w:after="0" w:line="240" w:lineRule="auto"/>
        <w:rPr>
          <w:rFonts w:asciiTheme="majorHAnsi" w:hAnsiTheme="majorHAnsi"/>
          <w:b/>
          <w:sz w:val="24"/>
          <w:szCs w:val="24"/>
        </w:rPr>
      </w:pPr>
    </w:p>
    <w:p w:rsidR="00562E64" w:rsidRPr="007F0E13" w:rsidRDefault="00562E64" w:rsidP="002B796C">
      <w:pPr>
        <w:pStyle w:val="Default"/>
        <w:rPr>
          <w:rFonts w:asciiTheme="majorHAnsi" w:hAnsiTheme="majorHAnsi" w:cs="GBGKH M+ Century"/>
        </w:rPr>
      </w:pPr>
      <w:r w:rsidRPr="007F0E13">
        <w:rPr>
          <w:rFonts w:asciiTheme="majorHAnsi" w:hAnsiTheme="majorHAnsi"/>
          <w:b/>
        </w:rPr>
        <w:t xml:space="preserve">Attachment H:  </w:t>
      </w:r>
      <w:r w:rsidRPr="007F0E13">
        <w:rPr>
          <w:rFonts w:asciiTheme="majorHAnsi" w:hAnsiTheme="majorHAnsi"/>
        </w:rPr>
        <w:t>(</w:t>
      </w:r>
      <w:r w:rsidRPr="007F0E13">
        <w:rPr>
          <w:rFonts w:asciiTheme="majorHAnsi" w:eastAsiaTheme="minorEastAsia" w:hAnsiTheme="majorHAnsi" w:cstheme="minorBidi"/>
          <w:color w:val="auto"/>
        </w:rPr>
        <w:t xml:space="preserve">GAO-09-100) More Detailed Plans Needed for the Centers for Disease Control and Prevention’s Redesigned </w:t>
      </w:r>
      <w:proofErr w:type="spellStart"/>
      <w:r w:rsidRPr="007F0E13">
        <w:rPr>
          <w:rFonts w:asciiTheme="majorHAnsi" w:eastAsiaTheme="minorEastAsia" w:hAnsiTheme="majorHAnsi" w:cstheme="minorBidi"/>
          <w:color w:val="auto"/>
        </w:rPr>
        <w:t>BioSense</w:t>
      </w:r>
      <w:proofErr w:type="spellEnd"/>
      <w:r w:rsidRPr="007F0E13">
        <w:rPr>
          <w:rFonts w:asciiTheme="majorHAnsi" w:eastAsiaTheme="minorEastAsia" w:hAnsiTheme="majorHAnsi" w:cstheme="minorBidi"/>
          <w:color w:val="auto"/>
        </w:rPr>
        <w:t xml:space="preserve"> Program</w:t>
      </w:r>
    </w:p>
    <w:p w:rsidR="00562E64" w:rsidRPr="007F0E13" w:rsidRDefault="00562E64" w:rsidP="002B796C">
      <w:pPr>
        <w:pStyle w:val="Default"/>
        <w:rPr>
          <w:rFonts w:asciiTheme="majorHAnsi" w:hAnsiTheme="majorHAnsi"/>
          <w:b/>
        </w:rPr>
      </w:pPr>
    </w:p>
    <w:p w:rsidR="00562E64" w:rsidRPr="007F0E13" w:rsidRDefault="00562E64" w:rsidP="002B796C">
      <w:pPr>
        <w:spacing w:after="0" w:line="240" w:lineRule="auto"/>
        <w:rPr>
          <w:rFonts w:asciiTheme="majorHAnsi" w:hAnsiTheme="majorHAnsi"/>
          <w:sz w:val="24"/>
          <w:szCs w:val="24"/>
        </w:rPr>
      </w:pPr>
      <w:r w:rsidRPr="007F0E13">
        <w:rPr>
          <w:rFonts w:asciiTheme="majorHAnsi" w:hAnsiTheme="majorHAnsi"/>
          <w:b/>
          <w:sz w:val="24"/>
          <w:szCs w:val="24"/>
        </w:rPr>
        <w:t xml:space="preserve">Attachment I:  </w:t>
      </w:r>
      <w:r w:rsidRPr="007F0E13">
        <w:rPr>
          <w:rFonts w:asciiTheme="majorHAnsi" w:hAnsiTheme="majorHAnsi"/>
          <w:sz w:val="24"/>
          <w:szCs w:val="24"/>
        </w:rPr>
        <w:t xml:space="preserve">Data Flow Diagram for </w:t>
      </w:r>
      <w:proofErr w:type="spellStart"/>
      <w:r w:rsidRPr="007F0E13">
        <w:rPr>
          <w:rFonts w:asciiTheme="majorHAnsi" w:hAnsiTheme="majorHAnsi"/>
          <w:sz w:val="24"/>
          <w:szCs w:val="24"/>
        </w:rPr>
        <w:t>BioSense</w:t>
      </w:r>
      <w:proofErr w:type="spellEnd"/>
      <w:r w:rsidRPr="007F0E13">
        <w:rPr>
          <w:rFonts w:asciiTheme="majorHAnsi" w:hAnsiTheme="majorHAnsi"/>
          <w:sz w:val="24"/>
          <w:szCs w:val="24"/>
        </w:rPr>
        <w:t xml:space="preserve"> 1.0</w:t>
      </w:r>
      <w:r w:rsidR="002B5BCA" w:rsidRPr="007F0E13">
        <w:rPr>
          <w:rFonts w:asciiTheme="majorHAnsi" w:hAnsiTheme="majorHAnsi"/>
          <w:sz w:val="24"/>
          <w:szCs w:val="24"/>
        </w:rPr>
        <w:t xml:space="preserve"> and </w:t>
      </w:r>
      <w:proofErr w:type="spellStart"/>
      <w:r w:rsidR="002B5BCA" w:rsidRPr="007F0E13">
        <w:rPr>
          <w:rFonts w:asciiTheme="majorHAnsi" w:hAnsiTheme="majorHAnsi"/>
          <w:sz w:val="24"/>
          <w:szCs w:val="24"/>
        </w:rPr>
        <w:t>BioSense</w:t>
      </w:r>
      <w:proofErr w:type="spellEnd"/>
      <w:r w:rsidR="002B5BCA" w:rsidRPr="007F0E13">
        <w:rPr>
          <w:rFonts w:asciiTheme="majorHAnsi" w:hAnsiTheme="majorHAnsi"/>
          <w:sz w:val="24"/>
          <w:szCs w:val="24"/>
        </w:rPr>
        <w:t xml:space="preserve"> 2.0</w:t>
      </w:r>
    </w:p>
    <w:p w:rsidR="00562E64" w:rsidRPr="007F0E13" w:rsidRDefault="00562E64" w:rsidP="002B796C">
      <w:pPr>
        <w:spacing w:after="0" w:line="240" w:lineRule="auto"/>
        <w:rPr>
          <w:rFonts w:asciiTheme="majorHAnsi" w:hAnsiTheme="majorHAnsi"/>
          <w:b/>
          <w:sz w:val="24"/>
          <w:szCs w:val="24"/>
        </w:rPr>
      </w:pPr>
    </w:p>
    <w:p w:rsidR="00562E64" w:rsidRPr="007F0E13" w:rsidRDefault="00562E64" w:rsidP="002B796C">
      <w:pPr>
        <w:spacing w:after="0" w:line="240" w:lineRule="auto"/>
        <w:rPr>
          <w:rFonts w:asciiTheme="majorHAnsi" w:hAnsiTheme="majorHAnsi"/>
          <w:sz w:val="24"/>
          <w:szCs w:val="24"/>
        </w:rPr>
      </w:pPr>
      <w:r w:rsidRPr="007F0E13">
        <w:rPr>
          <w:rFonts w:asciiTheme="majorHAnsi" w:hAnsiTheme="majorHAnsi"/>
          <w:b/>
          <w:sz w:val="24"/>
          <w:szCs w:val="24"/>
        </w:rPr>
        <w:t xml:space="preserve">Attachment J: </w:t>
      </w:r>
      <w:r w:rsidR="002B5BCA" w:rsidRPr="007F0E13">
        <w:rPr>
          <w:rFonts w:asciiTheme="majorHAnsi" w:hAnsiTheme="majorHAnsi"/>
          <w:sz w:val="24"/>
          <w:szCs w:val="24"/>
        </w:rPr>
        <w:t xml:space="preserve"> Information collection instrument for Part 1</w:t>
      </w:r>
    </w:p>
    <w:p w:rsidR="00562E64" w:rsidRPr="007F0E13" w:rsidRDefault="00562E64" w:rsidP="002B796C">
      <w:pPr>
        <w:spacing w:after="0" w:line="240" w:lineRule="auto"/>
        <w:rPr>
          <w:rFonts w:asciiTheme="majorHAnsi" w:hAnsiTheme="majorHAnsi"/>
          <w:sz w:val="24"/>
          <w:szCs w:val="24"/>
          <w:highlight w:val="yellow"/>
        </w:rPr>
      </w:pPr>
    </w:p>
    <w:p w:rsidR="00562E64" w:rsidRPr="007F0E13" w:rsidRDefault="00562E64" w:rsidP="002B796C">
      <w:pPr>
        <w:spacing w:after="0" w:line="240" w:lineRule="auto"/>
        <w:rPr>
          <w:rFonts w:asciiTheme="majorHAnsi" w:hAnsiTheme="majorHAnsi"/>
          <w:sz w:val="24"/>
          <w:szCs w:val="24"/>
        </w:rPr>
      </w:pPr>
      <w:r w:rsidRPr="007F0E13">
        <w:rPr>
          <w:rFonts w:asciiTheme="majorHAnsi" w:hAnsiTheme="majorHAnsi"/>
          <w:b/>
          <w:sz w:val="24"/>
          <w:szCs w:val="24"/>
        </w:rPr>
        <w:t xml:space="preserve">Attachment K: </w:t>
      </w:r>
      <w:r w:rsidRPr="007F0E13">
        <w:rPr>
          <w:rFonts w:asciiTheme="majorHAnsi" w:hAnsiTheme="majorHAnsi"/>
          <w:sz w:val="24"/>
          <w:szCs w:val="24"/>
        </w:rPr>
        <w:t xml:space="preserve"> </w:t>
      </w:r>
      <w:r w:rsidR="002B5BCA" w:rsidRPr="007F0E13">
        <w:rPr>
          <w:rFonts w:asciiTheme="majorHAnsi" w:hAnsiTheme="majorHAnsi"/>
          <w:sz w:val="24"/>
          <w:szCs w:val="24"/>
        </w:rPr>
        <w:t>Information collection instrument for Part 2</w:t>
      </w:r>
    </w:p>
    <w:p w:rsidR="00562E64" w:rsidRPr="007F0E13" w:rsidRDefault="00562E64" w:rsidP="00562E64">
      <w:pPr>
        <w:spacing w:after="0" w:line="240" w:lineRule="auto"/>
        <w:rPr>
          <w:rFonts w:asciiTheme="majorHAnsi" w:hAnsiTheme="majorHAnsi"/>
          <w:sz w:val="24"/>
          <w:szCs w:val="24"/>
        </w:rPr>
      </w:pPr>
    </w:p>
    <w:p w:rsidR="00562E64" w:rsidRPr="007F0E13" w:rsidRDefault="00562E64" w:rsidP="00562E64">
      <w:pPr>
        <w:spacing w:after="0" w:line="240" w:lineRule="auto"/>
        <w:rPr>
          <w:rFonts w:asciiTheme="majorHAnsi" w:hAnsiTheme="majorHAnsi"/>
          <w:color w:val="000000" w:themeColor="text1"/>
          <w:sz w:val="24"/>
          <w:szCs w:val="24"/>
        </w:rPr>
      </w:pPr>
    </w:p>
    <w:p w:rsidR="00F21A5E" w:rsidRPr="007F0E13" w:rsidRDefault="00F21A5E" w:rsidP="00F21A5E">
      <w:pPr>
        <w:spacing w:after="0" w:line="240" w:lineRule="auto"/>
        <w:rPr>
          <w:rFonts w:asciiTheme="majorHAnsi" w:hAnsiTheme="majorHAnsi"/>
          <w:sz w:val="24"/>
          <w:szCs w:val="24"/>
        </w:rPr>
      </w:pPr>
    </w:p>
    <w:p w:rsidR="00F21A5E" w:rsidRPr="007F0E13" w:rsidRDefault="00F21A5E" w:rsidP="00F21A5E">
      <w:pPr>
        <w:spacing w:after="0" w:line="240" w:lineRule="auto"/>
        <w:rPr>
          <w:rFonts w:asciiTheme="majorHAnsi" w:hAnsiTheme="majorHAnsi"/>
          <w:sz w:val="24"/>
          <w:szCs w:val="24"/>
        </w:rPr>
      </w:pPr>
    </w:p>
    <w:p w:rsidR="00F21A5E" w:rsidRPr="007F0E13" w:rsidRDefault="00F21A5E" w:rsidP="00F21A5E">
      <w:pPr>
        <w:spacing w:after="0" w:line="240" w:lineRule="auto"/>
        <w:rPr>
          <w:rFonts w:asciiTheme="majorHAnsi" w:hAnsiTheme="majorHAnsi"/>
          <w:sz w:val="24"/>
          <w:szCs w:val="24"/>
        </w:rPr>
      </w:pPr>
    </w:p>
    <w:p w:rsidR="00A031AE" w:rsidRPr="007F0E13" w:rsidRDefault="00A031AE" w:rsidP="000273E0">
      <w:pPr>
        <w:pStyle w:val="ListParagraph"/>
        <w:spacing w:after="0" w:line="240" w:lineRule="auto"/>
        <w:ind w:left="0"/>
        <w:rPr>
          <w:rFonts w:asciiTheme="majorHAnsi" w:hAnsiTheme="majorHAnsi"/>
          <w:sz w:val="24"/>
          <w:szCs w:val="24"/>
        </w:rPr>
      </w:pPr>
    </w:p>
    <w:sectPr w:rsidR="00A031AE" w:rsidRPr="007F0E13" w:rsidSect="00385BB5">
      <w:headerReference w:type="default" r:id="rId15"/>
      <w:footerReference w:type="defaul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E99" w:rsidRDefault="008D0E99" w:rsidP="00716F94">
      <w:pPr>
        <w:spacing w:after="0" w:line="240" w:lineRule="auto"/>
      </w:pPr>
      <w:r>
        <w:separator/>
      </w:r>
    </w:p>
  </w:endnote>
  <w:endnote w:type="continuationSeparator" w:id="0">
    <w:p w:rsidR="008D0E99" w:rsidRDefault="008D0E99" w:rsidP="00716F94">
      <w:pPr>
        <w:spacing w:after="0" w:line="240" w:lineRule="auto"/>
      </w:pPr>
      <w:r>
        <w:continuationSeparator/>
      </w:r>
    </w:p>
  </w:endnote>
  <w:endnote w:type="continuationNotice" w:id="1">
    <w:p w:rsidR="008D0E99" w:rsidRDefault="008D0E99">
      <w:pPr>
        <w:spacing w:after="0" w:line="240" w:lineRule="auto"/>
      </w:pPr>
    </w:p>
  </w:endnote>
  <w:endnote w:id="2">
    <w:p w:rsidR="002B796C" w:rsidRPr="000273E0" w:rsidRDefault="002B796C" w:rsidP="0046772D">
      <w:pPr>
        <w:pStyle w:val="EndnoteText"/>
        <w:rPr>
          <w:i/>
          <w:sz w:val="18"/>
          <w:szCs w:val="18"/>
        </w:rPr>
      </w:pPr>
      <w:r w:rsidRPr="000273E0">
        <w:rPr>
          <w:rFonts w:asciiTheme="majorHAnsi" w:hAnsiTheme="majorHAnsi"/>
          <w:i/>
          <w:sz w:val="18"/>
          <w:szCs w:val="18"/>
          <w:vertAlign w:val="superscript"/>
        </w:rPr>
        <w:endnoteRef/>
      </w:r>
      <w:r w:rsidRPr="000273E0">
        <w:rPr>
          <w:rFonts w:asciiTheme="majorHAnsi" w:hAnsiTheme="majorHAnsi"/>
          <w:i/>
          <w:sz w:val="18"/>
          <w:szCs w:val="18"/>
          <w:vertAlign w:val="superscript"/>
        </w:rPr>
        <w:t xml:space="preserve"> </w:t>
      </w:r>
      <w:r w:rsidRPr="000273E0">
        <w:rPr>
          <w:rFonts w:asciiTheme="majorHAnsi" w:hAnsiTheme="majorHAnsi"/>
          <w:i/>
          <w:sz w:val="18"/>
          <w:szCs w:val="18"/>
        </w:rPr>
        <w:t xml:space="preserve">The </w:t>
      </w:r>
      <w:proofErr w:type="spellStart"/>
      <w:r w:rsidRPr="000273E0">
        <w:rPr>
          <w:rFonts w:asciiTheme="majorHAnsi" w:hAnsiTheme="majorHAnsi"/>
          <w:i/>
          <w:sz w:val="18"/>
          <w:szCs w:val="18"/>
        </w:rPr>
        <w:t>BioSense</w:t>
      </w:r>
      <w:proofErr w:type="spellEnd"/>
      <w:r w:rsidRPr="000273E0">
        <w:rPr>
          <w:rFonts w:asciiTheme="majorHAnsi" w:hAnsiTheme="majorHAnsi"/>
          <w:i/>
          <w:sz w:val="18"/>
          <w:szCs w:val="18"/>
        </w:rPr>
        <w:t xml:space="preserve"> Governance Council is made up of participant elected state and local health jurisdiction representatives and representatives from involved organizations: CDC, Department of Defense, Department of Veterans Affairs, Association of State and Territorial Health Officials, Council of State and Territorial Epidemiologists, National Association of City and County Health Officials, and the International Society of Disease Surveillance.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GBGKH M+ Century">
    <w:altName w:val="Century"/>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682867"/>
      <w:docPartObj>
        <w:docPartGallery w:val="Page Numbers (Bottom of Page)"/>
        <w:docPartUnique/>
      </w:docPartObj>
    </w:sdtPr>
    <w:sdtEndPr>
      <w:rPr>
        <w:noProof/>
      </w:rPr>
    </w:sdtEndPr>
    <w:sdtContent>
      <w:p w:rsidR="002B796C" w:rsidRDefault="002B796C">
        <w:pPr>
          <w:pStyle w:val="Footer"/>
          <w:jc w:val="right"/>
        </w:pPr>
        <w:r>
          <w:fldChar w:fldCharType="begin"/>
        </w:r>
        <w:r>
          <w:instrText xml:space="preserve"> PAGE   \* MERGEFORMAT </w:instrText>
        </w:r>
        <w:r>
          <w:fldChar w:fldCharType="separate"/>
        </w:r>
        <w:r w:rsidR="00B71DCE">
          <w:rPr>
            <w:noProof/>
          </w:rPr>
          <w:t>2</w:t>
        </w:r>
        <w:r>
          <w:rPr>
            <w:noProof/>
          </w:rPr>
          <w:fldChar w:fldCharType="end"/>
        </w:r>
      </w:p>
    </w:sdtContent>
  </w:sdt>
  <w:p w:rsidR="002B796C" w:rsidRDefault="002B79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E99" w:rsidRDefault="008D0E99" w:rsidP="00716F94">
      <w:pPr>
        <w:spacing w:after="0" w:line="240" w:lineRule="auto"/>
      </w:pPr>
      <w:r>
        <w:separator/>
      </w:r>
    </w:p>
  </w:footnote>
  <w:footnote w:type="continuationSeparator" w:id="0">
    <w:p w:rsidR="008D0E99" w:rsidRDefault="008D0E99" w:rsidP="00716F94">
      <w:pPr>
        <w:spacing w:after="0" w:line="240" w:lineRule="auto"/>
      </w:pPr>
      <w:r>
        <w:continuationSeparator/>
      </w:r>
    </w:p>
  </w:footnote>
  <w:footnote w:type="continuationNotice" w:id="1">
    <w:p w:rsidR="008D0E99" w:rsidRDefault="008D0E9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96C" w:rsidRPr="00716F94" w:rsidRDefault="002B796C"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403508"/>
    <w:multiLevelType w:val="hybridMultilevel"/>
    <w:tmpl w:val="9E56D8F0"/>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215DE4"/>
    <w:multiLevelType w:val="hybridMultilevel"/>
    <w:tmpl w:val="9E56D8F0"/>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E17B59"/>
    <w:multiLevelType w:val="hybridMultilevel"/>
    <w:tmpl w:val="9B70A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3C623CD"/>
    <w:multiLevelType w:val="hybridMultilevel"/>
    <w:tmpl w:val="39C82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5D06502"/>
    <w:multiLevelType w:val="hybridMultilevel"/>
    <w:tmpl w:val="A08ED35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5DB0EF2"/>
    <w:multiLevelType w:val="hybridMultilevel"/>
    <w:tmpl w:val="FCA84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4F094B"/>
    <w:multiLevelType w:val="hybridMultilevel"/>
    <w:tmpl w:val="39DC0C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30F0FA1"/>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A361F6"/>
    <w:multiLevelType w:val="hybridMultilevel"/>
    <w:tmpl w:val="DA2A38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725AB1"/>
    <w:multiLevelType w:val="hybridMultilevel"/>
    <w:tmpl w:val="E9BC6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BF15A28"/>
    <w:multiLevelType w:val="hybridMultilevel"/>
    <w:tmpl w:val="CDFE2C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0C202AB"/>
    <w:multiLevelType w:val="hybridMultilevel"/>
    <w:tmpl w:val="1EA863E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4151AC3"/>
    <w:multiLevelType w:val="hybridMultilevel"/>
    <w:tmpl w:val="DD549F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97E2AF5"/>
    <w:multiLevelType w:val="hybridMultilevel"/>
    <w:tmpl w:val="7A56D7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2D24F0"/>
    <w:multiLevelType w:val="hybridMultilevel"/>
    <w:tmpl w:val="66C27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28326D"/>
    <w:multiLevelType w:val="hybridMultilevel"/>
    <w:tmpl w:val="0CFC88AC"/>
    <w:lvl w:ilvl="0" w:tplc="CDF8484C">
      <w:numFmt w:val="bullet"/>
      <w:lvlText w:val="•"/>
      <w:lvlJc w:val="left"/>
      <w:pPr>
        <w:ind w:left="1440" w:hanging="72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06D194E"/>
    <w:multiLevelType w:val="hybridMultilevel"/>
    <w:tmpl w:val="F112FF40"/>
    <w:lvl w:ilvl="0" w:tplc="CDF8484C">
      <w:numFmt w:val="bullet"/>
      <w:lvlText w:val="•"/>
      <w:lvlJc w:val="left"/>
      <w:pPr>
        <w:ind w:left="2160" w:hanging="720"/>
      </w:pPr>
      <w:rPr>
        <w:rFonts w:ascii="Cambria" w:eastAsiaTheme="minorEastAsia" w:hAnsi="Cambr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9">
    <w:nsid w:val="53580F57"/>
    <w:multiLevelType w:val="hybridMultilevel"/>
    <w:tmpl w:val="677A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815469"/>
    <w:multiLevelType w:val="hybridMultilevel"/>
    <w:tmpl w:val="272C17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97C3B1C"/>
    <w:multiLevelType w:val="hybridMultilevel"/>
    <w:tmpl w:val="9C6E9E96"/>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F231BA9"/>
    <w:multiLevelType w:val="hybridMultilevel"/>
    <w:tmpl w:val="CC4645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D13CF2"/>
    <w:multiLevelType w:val="hybridMultilevel"/>
    <w:tmpl w:val="83108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B5177B"/>
    <w:multiLevelType w:val="hybridMultilevel"/>
    <w:tmpl w:val="DA9AFA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F1569E"/>
    <w:multiLevelType w:val="hybridMultilevel"/>
    <w:tmpl w:val="45A8AF6E"/>
    <w:lvl w:ilvl="0" w:tplc="22244A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74721779"/>
    <w:multiLevelType w:val="hybridMultilevel"/>
    <w:tmpl w:val="42D09C3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45"/>
  </w:num>
  <w:num w:numId="4">
    <w:abstractNumId w:val="15"/>
  </w:num>
  <w:num w:numId="5">
    <w:abstractNumId w:val="28"/>
  </w:num>
  <w:num w:numId="6">
    <w:abstractNumId w:val="10"/>
  </w:num>
  <w:num w:numId="7">
    <w:abstractNumId w:val="0"/>
  </w:num>
  <w:num w:numId="8">
    <w:abstractNumId w:val="6"/>
  </w:num>
  <w:num w:numId="9">
    <w:abstractNumId w:val="11"/>
  </w:num>
  <w:num w:numId="10">
    <w:abstractNumId w:val="34"/>
  </w:num>
  <w:num w:numId="11">
    <w:abstractNumId w:val="3"/>
  </w:num>
  <w:num w:numId="12">
    <w:abstractNumId w:val="44"/>
  </w:num>
  <w:num w:numId="13">
    <w:abstractNumId w:val="8"/>
  </w:num>
  <w:num w:numId="14">
    <w:abstractNumId w:val="4"/>
  </w:num>
  <w:num w:numId="15">
    <w:abstractNumId w:val="37"/>
  </w:num>
  <w:num w:numId="16">
    <w:abstractNumId w:val="39"/>
  </w:num>
  <w:num w:numId="17">
    <w:abstractNumId w:val="41"/>
  </w:num>
  <w:num w:numId="18">
    <w:abstractNumId w:val="16"/>
  </w:num>
  <w:num w:numId="19">
    <w:abstractNumId w:val="46"/>
  </w:num>
  <w:num w:numId="20">
    <w:abstractNumId w:val="31"/>
  </w:num>
  <w:num w:numId="21">
    <w:abstractNumId w:val="36"/>
  </w:num>
  <w:num w:numId="22">
    <w:abstractNumId w:val="30"/>
  </w:num>
  <w:num w:numId="23">
    <w:abstractNumId w:val="7"/>
  </w:num>
  <w:num w:numId="24">
    <w:abstractNumId w:val="17"/>
  </w:num>
  <w:num w:numId="25">
    <w:abstractNumId w:val="32"/>
  </w:num>
  <w:num w:numId="26">
    <w:abstractNumId w:val="42"/>
  </w:num>
  <w:num w:numId="27">
    <w:abstractNumId w:val="20"/>
  </w:num>
  <w:num w:numId="28">
    <w:abstractNumId w:val="21"/>
  </w:num>
  <w:num w:numId="29">
    <w:abstractNumId w:val="22"/>
  </w:num>
  <w:num w:numId="30">
    <w:abstractNumId w:val="24"/>
  </w:num>
  <w:num w:numId="31">
    <w:abstractNumId w:val="19"/>
  </w:num>
  <w:num w:numId="32">
    <w:abstractNumId w:val="13"/>
  </w:num>
  <w:num w:numId="33">
    <w:abstractNumId w:val="33"/>
  </w:num>
  <w:num w:numId="34">
    <w:abstractNumId w:val="29"/>
  </w:num>
  <w:num w:numId="35">
    <w:abstractNumId w:val="12"/>
  </w:num>
  <w:num w:numId="36">
    <w:abstractNumId w:val="40"/>
  </w:num>
  <w:num w:numId="37">
    <w:abstractNumId w:val="5"/>
  </w:num>
  <w:num w:numId="38">
    <w:abstractNumId w:val="43"/>
  </w:num>
  <w:num w:numId="39">
    <w:abstractNumId w:val="14"/>
  </w:num>
  <w:num w:numId="40">
    <w:abstractNumId w:val="1"/>
  </w:num>
  <w:num w:numId="41">
    <w:abstractNumId w:val="38"/>
  </w:num>
  <w:num w:numId="42">
    <w:abstractNumId w:val="26"/>
  </w:num>
  <w:num w:numId="43">
    <w:abstractNumId w:val="27"/>
  </w:num>
  <w:num w:numId="44">
    <w:abstractNumId w:val="23"/>
  </w:num>
  <w:num w:numId="45">
    <w:abstractNumId w:val="35"/>
  </w:num>
  <w:num w:numId="46">
    <w:abstractNumId w:val="9"/>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hideGrammaticalErrors/>
  <w:proofState w:spelling="clean"/>
  <w:trackRevision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15C7"/>
    <w:rsid w:val="00005AD0"/>
    <w:rsid w:val="00011A98"/>
    <w:rsid w:val="00011F8D"/>
    <w:rsid w:val="000130B4"/>
    <w:rsid w:val="00014361"/>
    <w:rsid w:val="00016525"/>
    <w:rsid w:val="00021FA6"/>
    <w:rsid w:val="000244DF"/>
    <w:rsid w:val="000273E0"/>
    <w:rsid w:val="00033A1C"/>
    <w:rsid w:val="00040583"/>
    <w:rsid w:val="000474FB"/>
    <w:rsid w:val="00052F64"/>
    <w:rsid w:val="00053A92"/>
    <w:rsid w:val="00054839"/>
    <w:rsid w:val="00057F36"/>
    <w:rsid w:val="00060F6F"/>
    <w:rsid w:val="000653F9"/>
    <w:rsid w:val="00065D9B"/>
    <w:rsid w:val="00066261"/>
    <w:rsid w:val="000663A0"/>
    <w:rsid w:val="00066442"/>
    <w:rsid w:val="00075B30"/>
    <w:rsid w:val="00077DA7"/>
    <w:rsid w:val="00080380"/>
    <w:rsid w:val="00085098"/>
    <w:rsid w:val="00086374"/>
    <w:rsid w:val="00086E83"/>
    <w:rsid w:val="000926A1"/>
    <w:rsid w:val="00095998"/>
    <w:rsid w:val="000A1A03"/>
    <w:rsid w:val="000A1F30"/>
    <w:rsid w:val="000A4A35"/>
    <w:rsid w:val="000A71DF"/>
    <w:rsid w:val="000A7D3B"/>
    <w:rsid w:val="000B0962"/>
    <w:rsid w:val="000B2CBC"/>
    <w:rsid w:val="000B66BC"/>
    <w:rsid w:val="000B67BA"/>
    <w:rsid w:val="000B7A07"/>
    <w:rsid w:val="000C7032"/>
    <w:rsid w:val="000D41E3"/>
    <w:rsid w:val="000D7B3D"/>
    <w:rsid w:val="000D7B7F"/>
    <w:rsid w:val="000E6577"/>
    <w:rsid w:val="000E7A19"/>
    <w:rsid w:val="000F1B52"/>
    <w:rsid w:val="000F1D1C"/>
    <w:rsid w:val="0010004B"/>
    <w:rsid w:val="00100FF3"/>
    <w:rsid w:val="00104A1B"/>
    <w:rsid w:val="001177DD"/>
    <w:rsid w:val="00117E7C"/>
    <w:rsid w:val="001210F5"/>
    <w:rsid w:val="001331CB"/>
    <w:rsid w:val="00133275"/>
    <w:rsid w:val="0013366A"/>
    <w:rsid w:val="00135334"/>
    <w:rsid w:val="00136717"/>
    <w:rsid w:val="00137C62"/>
    <w:rsid w:val="001412D4"/>
    <w:rsid w:val="0014497E"/>
    <w:rsid w:val="00144F64"/>
    <w:rsid w:val="00145D62"/>
    <w:rsid w:val="0015097D"/>
    <w:rsid w:val="00151567"/>
    <w:rsid w:val="001555BD"/>
    <w:rsid w:val="00163E17"/>
    <w:rsid w:val="00164A07"/>
    <w:rsid w:val="001664B3"/>
    <w:rsid w:val="00166F9E"/>
    <w:rsid w:val="00167880"/>
    <w:rsid w:val="00167C94"/>
    <w:rsid w:val="001753D6"/>
    <w:rsid w:val="00180D45"/>
    <w:rsid w:val="00181604"/>
    <w:rsid w:val="00184309"/>
    <w:rsid w:val="00187870"/>
    <w:rsid w:val="00187D5A"/>
    <w:rsid w:val="001972D7"/>
    <w:rsid w:val="001A28F6"/>
    <w:rsid w:val="001A5B64"/>
    <w:rsid w:val="001B14B4"/>
    <w:rsid w:val="001B1DCE"/>
    <w:rsid w:val="001B2831"/>
    <w:rsid w:val="001B405A"/>
    <w:rsid w:val="001B4065"/>
    <w:rsid w:val="001B4972"/>
    <w:rsid w:val="001B7297"/>
    <w:rsid w:val="001B7C7C"/>
    <w:rsid w:val="001C0493"/>
    <w:rsid w:val="001C28AD"/>
    <w:rsid w:val="001C61C0"/>
    <w:rsid w:val="001C764D"/>
    <w:rsid w:val="001D3226"/>
    <w:rsid w:val="001D7D68"/>
    <w:rsid w:val="001D7FCB"/>
    <w:rsid w:val="001E2B99"/>
    <w:rsid w:val="001E6813"/>
    <w:rsid w:val="001E69B6"/>
    <w:rsid w:val="001F4D7F"/>
    <w:rsid w:val="001F4DBB"/>
    <w:rsid w:val="001F4FBD"/>
    <w:rsid w:val="00202D07"/>
    <w:rsid w:val="0020312D"/>
    <w:rsid w:val="002033FE"/>
    <w:rsid w:val="00206E33"/>
    <w:rsid w:val="00210519"/>
    <w:rsid w:val="00212DAA"/>
    <w:rsid w:val="0021471C"/>
    <w:rsid w:val="00220E70"/>
    <w:rsid w:val="0022630C"/>
    <w:rsid w:val="00227259"/>
    <w:rsid w:val="00236327"/>
    <w:rsid w:val="00241A32"/>
    <w:rsid w:val="00241B17"/>
    <w:rsid w:val="00241C81"/>
    <w:rsid w:val="00252E55"/>
    <w:rsid w:val="0025319C"/>
    <w:rsid w:val="002555E2"/>
    <w:rsid w:val="00255ACB"/>
    <w:rsid w:val="00256A2D"/>
    <w:rsid w:val="00257A1C"/>
    <w:rsid w:val="00260A5C"/>
    <w:rsid w:val="0026233D"/>
    <w:rsid w:val="0026589F"/>
    <w:rsid w:val="002660D1"/>
    <w:rsid w:val="002704FA"/>
    <w:rsid w:val="0027234C"/>
    <w:rsid w:val="00276FDF"/>
    <w:rsid w:val="00281795"/>
    <w:rsid w:val="002850E3"/>
    <w:rsid w:val="00287665"/>
    <w:rsid w:val="00287E2F"/>
    <w:rsid w:val="00290E4B"/>
    <w:rsid w:val="002A095B"/>
    <w:rsid w:val="002A0CF3"/>
    <w:rsid w:val="002A1948"/>
    <w:rsid w:val="002A50C5"/>
    <w:rsid w:val="002A56F5"/>
    <w:rsid w:val="002A700F"/>
    <w:rsid w:val="002A7A38"/>
    <w:rsid w:val="002B5BCA"/>
    <w:rsid w:val="002B796C"/>
    <w:rsid w:val="002C072A"/>
    <w:rsid w:val="002C0877"/>
    <w:rsid w:val="002C2AE2"/>
    <w:rsid w:val="002C3885"/>
    <w:rsid w:val="002C570E"/>
    <w:rsid w:val="002C597B"/>
    <w:rsid w:val="002D0DCE"/>
    <w:rsid w:val="002D58B4"/>
    <w:rsid w:val="002D7C9D"/>
    <w:rsid w:val="002E2B10"/>
    <w:rsid w:val="002E73B0"/>
    <w:rsid w:val="002F1502"/>
    <w:rsid w:val="002F2069"/>
    <w:rsid w:val="002F5505"/>
    <w:rsid w:val="002F71A2"/>
    <w:rsid w:val="003040F5"/>
    <w:rsid w:val="003041AD"/>
    <w:rsid w:val="003055BE"/>
    <w:rsid w:val="00311A9A"/>
    <w:rsid w:val="0031279F"/>
    <w:rsid w:val="00314F86"/>
    <w:rsid w:val="00316F00"/>
    <w:rsid w:val="00320861"/>
    <w:rsid w:val="00321B51"/>
    <w:rsid w:val="00322B9C"/>
    <w:rsid w:val="00323B0F"/>
    <w:rsid w:val="00336D96"/>
    <w:rsid w:val="0033778B"/>
    <w:rsid w:val="003433F1"/>
    <w:rsid w:val="00344F07"/>
    <w:rsid w:val="003469C8"/>
    <w:rsid w:val="00350C8C"/>
    <w:rsid w:val="003515BF"/>
    <w:rsid w:val="003548F5"/>
    <w:rsid w:val="00355EA4"/>
    <w:rsid w:val="003563BB"/>
    <w:rsid w:val="003635BE"/>
    <w:rsid w:val="0036519B"/>
    <w:rsid w:val="00366B5E"/>
    <w:rsid w:val="00372528"/>
    <w:rsid w:val="00372757"/>
    <w:rsid w:val="0037766A"/>
    <w:rsid w:val="00381692"/>
    <w:rsid w:val="003820DC"/>
    <w:rsid w:val="0038315F"/>
    <w:rsid w:val="003859F5"/>
    <w:rsid w:val="00385BB5"/>
    <w:rsid w:val="00386BC2"/>
    <w:rsid w:val="00390A77"/>
    <w:rsid w:val="003925DE"/>
    <w:rsid w:val="0039329C"/>
    <w:rsid w:val="00393B82"/>
    <w:rsid w:val="00393F37"/>
    <w:rsid w:val="00396979"/>
    <w:rsid w:val="003A2BAB"/>
    <w:rsid w:val="003A3CF6"/>
    <w:rsid w:val="003A75A0"/>
    <w:rsid w:val="003A77EF"/>
    <w:rsid w:val="003B05F5"/>
    <w:rsid w:val="003B125E"/>
    <w:rsid w:val="003C05CB"/>
    <w:rsid w:val="003C31C9"/>
    <w:rsid w:val="003C4961"/>
    <w:rsid w:val="003C5BD2"/>
    <w:rsid w:val="003C6708"/>
    <w:rsid w:val="003C6952"/>
    <w:rsid w:val="003C7C5D"/>
    <w:rsid w:val="003D0AD2"/>
    <w:rsid w:val="003D6ACE"/>
    <w:rsid w:val="003E0E3A"/>
    <w:rsid w:val="003E28C8"/>
    <w:rsid w:val="003E3970"/>
    <w:rsid w:val="003E5F9B"/>
    <w:rsid w:val="003F0B70"/>
    <w:rsid w:val="003F3240"/>
    <w:rsid w:val="003F3D20"/>
    <w:rsid w:val="003F5913"/>
    <w:rsid w:val="003F6392"/>
    <w:rsid w:val="004024F8"/>
    <w:rsid w:val="00405696"/>
    <w:rsid w:val="00407738"/>
    <w:rsid w:val="00410323"/>
    <w:rsid w:val="0041159A"/>
    <w:rsid w:val="004204C8"/>
    <w:rsid w:val="00420E8B"/>
    <w:rsid w:val="00426149"/>
    <w:rsid w:val="004305A8"/>
    <w:rsid w:val="004328AC"/>
    <w:rsid w:val="004337C8"/>
    <w:rsid w:val="004353D5"/>
    <w:rsid w:val="00441BC5"/>
    <w:rsid w:val="00443CA0"/>
    <w:rsid w:val="00450E14"/>
    <w:rsid w:val="0045585D"/>
    <w:rsid w:val="00456212"/>
    <w:rsid w:val="004613D7"/>
    <w:rsid w:val="00462C65"/>
    <w:rsid w:val="00464A32"/>
    <w:rsid w:val="004674E7"/>
    <w:rsid w:val="0046772D"/>
    <w:rsid w:val="00467B14"/>
    <w:rsid w:val="00471721"/>
    <w:rsid w:val="00471D58"/>
    <w:rsid w:val="00473470"/>
    <w:rsid w:val="00473D64"/>
    <w:rsid w:val="00474EDA"/>
    <w:rsid w:val="00475537"/>
    <w:rsid w:val="00475965"/>
    <w:rsid w:val="004759F5"/>
    <w:rsid w:val="004767D5"/>
    <w:rsid w:val="00476B39"/>
    <w:rsid w:val="004824FA"/>
    <w:rsid w:val="00483A2F"/>
    <w:rsid w:val="00484011"/>
    <w:rsid w:val="004841F1"/>
    <w:rsid w:val="00487912"/>
    <w:rsid w:val="004A1E3A"/>
    <w:rsid w:val="004A4199"/>
    <w:rsid w:val="004A46CF"/>
    <w:rsid w:val="004A5246"/>
    <w:rsid w:val="004A6D89"/>
    <w:rsid w:val="004B00EF"/>
    <w:rsid w:val="004B0886"/>
    <w:rsid w:val="004B09FF"/>
    <w:rsid w:val="004B46D6"/>
    <w:rsid w:val="004B49C6"/>
    <w:rsid w:val="004B5330"/>
    <w:rsid w:val="004C0BF6"/>
    <w:rsid w:val="004C4464"/>
    <w:rsid w:val="004C46BD"/>
    <w:rsid w:val="004C4AEA"/>
    <w:rsid w:val="004C7B14"/>
    <w:rsid w:val="004D0430"/>
    <w:rsid w:val="004D1DAA"/>
    <w:rsid w:val="004D24E0"/>
    <w:rsid w:val="004D3F00"/>
    <w:rsid w:val="004D4EB1"/>
    <w:rsid w:val="004D73E5"/>
    <w:rsid w:val="004E003C"/>
    <w:rsid w:val="004E0D64"/>
    <w:rsid w:val="004E16EB"/>
    <w:rsid w:val="004E1C2D"/>
    <w:rsid w:val="004E2101"/>
    <w:rsid w:val="004E6665"/>
    <w:rsid w:val="004F2993"/>
    <w:rsid w:val="004F634E"/>
    <w:rsid w:val="004F67A8"/>
    <w:rsid w:val="004F7BFB"/>
    <w:rsid w:val="00503790"/>
    <w:rsid w:val="0051582C"/>
    <w:rsid w:val="00522A50"/>
    <w:rsid w:val="00525279"/>
    <w:rsid w:val="00527225"/>
    <w:rsid w:val="00535294"/>
    <w:rsid w:val="0053557D"/>
    <w:rsid w:val="0053683F"/>
    <w:rsid w:val="005410E3"/>
    <w:rsid w:val="00544333"/>
    <w:rsid w:val="005463DE"/>
    <w:rsid w:val="00546DC2"/>
    <w:rsid w:val="00547539"/>
    <w:rsid w:val="005542E8"/>
    <w:rsid w:val="005544B9"/>
    <w:rsid w:val="00556630"/>
    <w:rsid w:val="0055686D"/>
    <w:rsid w:val="00562751"/>
    <w:rsid w:val="00562E64"/>
    <w:rsid w:val="00565857"/>
    <w:rsid w:val="00566A0B"/>
    <w:rsid w:val="00570800"/>
    <w:rsid w:val="005728A3"/>
    <w:rsid w:val="005800C7"/>
    <w:rsid w:val="005800EE"/>
    <w:rsid w:val="005869D6"/>
    <w:rsid w:val="0059331E"/>
    <w:rsid w:val="005A33F6"/>
    <w:rsid w:val="005A59E5"/>
    <w:rsid w:val="005B24D7"/>
    <w:rsid w:val="005B6E1B"/>
    <w:rsid w:val="005B7440"/>
    <w:rsid w:val="005C0685"/>
    <w:rsid w:val="005C0868"/>
    <w:rsid w:val="005C1E66"/>
    <w:rsid w:val="005D0111"/>
    <w:rsid w:val="005D13CB"/>
    <w:rsid w:val="005D21AE"/>
    <w:rsid w:val="005E2150"/>
    <w:rsid w:val="005E2995"/>
    <w:rsid w:val="005E7338"/>
    <w:rsid w:val="005F2BB6"/>
    <w:rsid w:val="005F3FEF"/>
    <w:rsid w:val="005F4DF8"/>
    <w:rsid w:val="005F7D3B"/>
    <w:rsid w:val="00600144"/>
    <w:rsid w:val="00600C4F"/>
    <w:rsid w:val="0060383B"/>
    <w:rsid w:val="00603AD1"/>
    <w:rsid w:val="00604B8D"/>
    <w:rsid w:val="006052E0"/>
    <w:rsid w:val="00607F7C"/>
    <w:rsid w:val="00607FA9"/>
    <w:rsid w:val="006102DA"/>
    <w:rsid w:val="006118E3"/>
    <w:rsid w:val="0061482C"/>
    <w:rsid w:val="00615E1F"/>
    <w:rsid w:val="00616090"/>
    <w:rsid w:val="006252C3"/>
    <w:rsid w:val="00626262"/>
    <w:rsid w:val="006315A3"/>
    <w:rsid w:val="006361D1"/>
    <w:rsid w:val="00641E6F"/>
    <w:rsid w:val="00644837"/>
    <w:rsid w:val="00646FCD"/>
    <w:rsid w:val="00647DCC"/>
    <w:rsid w:val="00654482"/>
    <w:rsid w:val="006579A2"/>
    <w:rsid w:val="00663A40"/>
    <w:rsid w:val="0066525E"/>
    <w:rsid w:val="006669CA"/>
    <w:rsid w:val="006674B0"/>
    <w:rsid w:val="00667C89"/>
    <w:rsid w:val="00670C4E"/>
    <w:rsid w:val="006711EE"/>
    <w:rsid w:val="006809BB"/>
    <w:rsid w:val="006809FD"/>
    <w:rsid w:val="00684DEB"/>
    <w:rsid w:val="00691D1F"/>
    <w:rsid w:val="006955CC"/>
    <w:rsid w:val="00697BAE"/>
    <w:rsid w:val="006A33AB"/>
    <w:rsid w:val="006A6944"/>
    <w:rsid w:val="006B2117"/>
    <w:rsid w:val="006B4DDC"/>
    <w:rsid w:val="006B5E55"/>
    <w:rsid w:val="006C47F9"/>
    <w:rsid w:val="006C4DA7"/>
    <w:rsid w:val="006D0B06"/>
    <w:rsid w:val="006D25A1"/>
    <w:rsid w:val="006E14E9"/>
    <w:rsid w:val="006F09A2"/>
    <w:rsid w:val="006F22B2"/>
    <w:rsid w:val="006F2BB6"/>
    <w:rsid w:val="006F42C3"/>
    <w:rsid w:val="006F4A13"/>
    <w:rsid w:val="006F6856"/>
    <w:rsid w:val="00702DFA"/>
    <w:rsid w:val="00707DF0"/>
    <w:rsid w:val="007145D0"/>
    <w:rsid w:val="00716F94"/>
    <w:rsid w:val="00717661"/>
    <w:rsid w:val="00717EC9"/>
    <w:rsid w:val="007256FF"/>
    <w:rsid w:val="00726908"/>
    <w:rsid w:val="00727089"/>
    <w:rsid w:val="00740DE0"/>
    <w:rsid w:val="0074216C"/>
    <w:rsid w:val="0074435B"/>
    <w:rsid w:val="007542CB"/>
    <w:rsid w:val="00760E12"/>
    <w:rsid w:val="00763CF3"/>
    <w:rsid w:val="00766541"/>
    <w:rsid w:val="0077076F"/>
    <w:rsid w:val="00772293"/>
    <w:rsid w:val="00776981"/>
    <w:rsid w:val="00777FF5"/>
    <w:rsid w:val="00781AE3"/>
    <w:rsid w:val="00782364"/>
    <w:rsid w:val="00783C75"/>
    <w:rsid w:val="00784619"/>
    <w:rsid w:val="00785812"/>
    <w:rsid w:val="0078627B"/>
    <w:rsid w:val="0078765B"/>
    <w:rsid w:val="00792726"/>
    <w:rsid w:val="007936D6"/>
    <w:rsid w:val="00794E32"/>
    <w:rsid w:val="00795CE7"/>
    <w:rsid w:val="007A0D73"/>
    <w:rsid w:val="007A43B7"/>
    <w:rsid w:val="007A5222"/>
    <w:rsid w:val="007A7C54"/>
    <w:rsid w:val="007B0444"/>
    <w:rsid w:val="007B305A"/>
    <w:rsid w:val="007B3FF9"/>
    <w:rsid w:val="007B4446"/>
    <w:rsid w:val="007C76FD"/>
    <w:rsid w:val="007D27FD"/>
    <w:rsid w:val="007D4130"/>
    <w:rsid w:val="007D66C4"/>
    <w:rsid w:val="007E19E8"/>
    <w:rsid w:val="007E5198"/>
    <w:rsid w:val="007E575D"/>
    <w:rsid w:val="007E6AEF"/>
    <w:rsid w:val="007E7946"/>
    <w:rsid w:val="007F0E13"/>
    <w:rsid w:val="007F0EF2"/>
    <w:rsid w:val="007F5B9A"/>
    <w:rsid w:val="008002CC"/>
    <w:rsid w:val="0080213C"/>
    <w:rsid w:val="00807322"/>
    <w:rsid w:val="0081046C"/>
    <w:rsid w:val="00814B86"/>
    <w:rsid w:val="008159DA"/>
    <w:rsid w:val="00815C7D"/>
    <w:rsid w:val="00817941"/>
    <w:rsid w:val="0082030D"/>
    <w:rsid w:val="00820766"/>
    <w:rsid w:val="008229E4"/>
    <w:rsid w:val="00823547"/>
    <w:rsid w:val="00825321"/>
    <w:rsid w:val="008261AB"/>
    <w:rsid w:val="008269AB"/>
    <w:rsid w:val="00827E09"/>
    <w:rsid w:val="00834912"/>
    <w:rsid w:val="00834C91"/>
    <w:rsid w:val="00835CA7"/>
    <w:rsid w:val="008370D4"/>
    <w:rsid w:val="00841288"/>
    <w:rsid w:val="008414AD"/>
    <w:rsid w:val="00841841"/>
    <w:rsid w:val="008428D9"/>
    <w:rsid w:val="00866615"/>
    <w:rsid w:val="00867670"/>
    <w:rsid w:val="0087156A"/>
    <w:rsid w:val="0087185D"/>
    <w:rsid w:val="00872FC1"/>
    <w:rsid w:val="00877462"/>
    <w:rsid w:val="00881590"/>
    <w:rsid w:val="0088467A"/>
    <w:rsid w:val="00884DB9"/>
    <w:rsid w:val="0088623C"/>
    <w:rsid w:val="00890D9D"/>
    <w:rsid w:val="008B70B1"/>
    <w:rsid w:val="008C27DC"/>
    <w:rsid w:val="008C49B3"/>
    <w:rsid w:val="008C5701"/>
    <w:rsid w:val="008C67D2"/>
    <w:rsid w:val="008D0E99"/>
    <w:rsid w:val="008D2F93"/>
    <w:rsid w:val="008D60DE"/>
    <w:rsid w:val="008E0683"/>
    <w:rsid w:val="008E4857"/>
    <w:rsid w:val="008F0946"/>
    <w:rsid w:val="008F5573"/>
    <w:rsid w:val="00900AD7"/>
    <w:rsid w:val="009017AD"/>
    <w:rsid w:val="00902DD9"/>
    <w:rsid w:val="00911486"/>
    <w:rsid w:val="009129CA"/>
    <w:rsid w:val="009130CD"/>
    <w:rsid w:val="00917033"/>
    <w:rsid w:val="0092043A"/>
    <w:rsid w:val="009206B6"/>
    <w:rsid w:val="009219BB"/>
    <w:rsid w:val="009252DC"/>
    <w:rsid w:val="009263C1"/>
    <w:rsid w:val="00936C1C"/>
    <w:rsid w:val="0093782A"/>
    <w:rsid w:val="00937E7F"/>
    <w:rsid w:val="00941B4F"/>
    <w:rsid w:val="00944738"/>
    <w:rsid w:val="00946C4D"/>
    <w:rsid w:val="009518C0"/>
    <w:rsid w:val="00951CB3"/>
    <w:rsid w:val="00952A2F"/>
    <w:rsid w:val="00953747"/>
    <w:rsid w:val="00956F54"/>
    <w:rsid w:val="009579AD"/>
    <w:rsid w:val="00960CD2"/>
    <w:rsid w:val="00963CE3"/>
    <w:rsid w:val="00964F18"/>
    <w:rsid w:val="009673AB"/>
    <w:rsid w:val="00967D39"/>
    <w:rsid w:val="00974424"/>
    <w:rsid w:val="00975373"/>
    <w:rsid w:val="0097575A"/>
    <w:rsid w:val="00977254"/>
    <w:rsid w:val="00977E5C"/>
    <w:rsid w:val="00983B3C"/>
    <w:rsid w:val="00987F76"/>
    <w:rsid w:val="00993088"/>
    <w:rsid w:val="0099664F"/>
    <w:rsid w:val="00997617"/>
    <w:rsid w:val="00997C85"/>
    <w:rsid w:val="00997D5D"/>
    <w:rsid w:val="009A0447"/>
    <w:rsid w:val="009A2CE5"/>
    <w:rsid w:val="009A7CFF"/>
    <w:rsid w:val="009B0722"/>
    <w:rsid w:val="009B319F"/>
    <w:rsid w:val="009B4A51"/>
    <w:rsid w:val="009B5332"/>
    <w:rsid w:val="009B6CB8"/>
    <w:rsid w:val="009C09C2"/>
    <w:rsid w:val="009C28B1"/>
    <w:rsid w:val="009C3224"/>
    <w:rsid w:val="009C61AD"/>
    <w:rsid w:val="009D0AB1"/>
    <w:rsid w:val="009D2DB5"/>
    <w:rsid w:val="009D373D"/>
    <w:rsid w:val="009D4F8B"/>
    <w:rsid w:val="009D7B2C"/>
    <w:rsid w:val="009E0801"/>
    <w:rsid w:val="009E1D05"/>
    <w:rsid w:val="009E442F"/>
    <w:rsid w:val="009F7DE0"/>
    <w:rsid w:val="00A00A82"/>
    <w:rsid w:val="00A01992"/>
    <w:rsid w:val="00A02143"/>
    <w:rsid w:val="00A031AE"/>
    <w:rsid w:val="00A038AE"/>
    <w:rsid w:val="00A11B0C"/>
    <w:rsid w:val="00A2128E"/>
    <w:rsid w:val="00A22191"/>
    <w:rsid w:val="00A23257"/>
    <w:rsid w:val="00A33B35"/>
    <w:rsid w:val="00A33E90"/>
    <w:rsid w:val="00A36419"/>
    <w:rsid w:val="00A365CE"/>
    <w:rsid w:val="00A43934"/>
    <w:rsid w:val="00A44921"/>
    <w:rsid w:val="00A45E80"/>
    <w:rsid w:val="00A56403"/>
    <w:rsid w:val="00A578C2"/>
    <w:rsid w:val="00A60D99"/>
    <w:rsid w:val="00A6463B"/>
    <w:rsid w:val="00A66EA2"/>
    <w:rsid w:val="00A6730B"/>
    <w:rsid w:val="00A7073D"/>
    <w:rsid w:val="00A713E0"/>
    <w:rsid w:val="00A72652"/>
    <w:rsid w:val="00A75D1C"/>
    <w:rsid w:val="00A76C00"/>
    <w:rsid w:val="00A809AA"/>
    <w:rsid w:val="00A84335"/>
    <w:rsid w:val="00A849B3"/>
    <w:rsid w:val="00A8510D"/>
    <w:rsid w:val="00A86AF3"/>
    <w:rsid w:val="00A86C0C"/>
    <w:rsid w:val="00A90AFF"/>
    <w:rsid w:val="00A90BDC"/>
    <w:rsid w:val="00A9285D"/>
    <w:rsid w:val="00A93AD2"/>
    <w:rsid w:val="00A94DCE"/>
    <w:rsid w:val="00A95477"/>
    <w:rsid w:val="00A9693D"/>
    <w:rsid w:val="00A975A9"/>
    <w:rsid w:val="00AA0181"/>
    <w:rsid w:val="00AA3192"/>
    <w:rsid w:val="00AB0486"/>
    <w:rsid w:val="00AB251E"/>
    <w:rsid w:val="00AB3608"/>
    <w:rsid w:val="00AB41B5"/>
    <w:rsid w:val="00AB428C"/>
    <w:rsid w:val="00AC1A33"/>
    <w:rsid w:val="00AC56C3"/>
    <w:rsid w:val="00AC5C48"/>
    <w:rsid w:val="00AC63E3"/>
    <w:rsid w:val="00AD4CDF"/>
    <w:rsid w:val="00AD7D26"/>
    <w:rsid w:val="00AF006A"/>
    <w:rsid w:val="00AF0CF4"/>
    <w:rsid w:val="00AF2252"/>
    <w:rsid w:val="00B00A60"/>
    <w:rsid w:val="00B00B12"/>
    <w:rsid w:val="00B0565F"/>
    <w:rsid w:val="00B07C29"/>
    <w:rsid w:val="00B1129F"/>
    <w:rsid w:val="00B11D61"/>
    <w:rsid w:val="00B12F51"/>
    <w:rsid w:val="00B233F2"/>
    <w:rsid w:val="00B2612B"/>
    <w:rsid w:val="00B2751E"/>
    <w:rsid w:val="00B3650C"/>
    <w:rsid w:val="00B365F5"/>
    <w:rsid w:val="00B400EB"/>
    <w:rsid w:val="00B47055"/>
    <w:rsid w:val="00B64B5D"/>
    <w:rsid w:val="00B64BFA"/>
    <w:rsid w:val="00B7158D"/>
    <w:rsid w:val="00B71DCE"/>
    <w:rsid w:val="00B71E63"/>
    <w:rsid w:val="00B74DDF"/>
    <w:rsid w:val="00B82275"/>
    <w:rsid w:val="00B8260F"/>
    <w:rsid w:val="00B85DE4"/>
    <w:rsid w:val="00B876DF"/>
    <w:rsid w:val="00B87AAD"/>
    <w:rsid w:val="00B91A31"/>
    <w:rsid w:val="00B96D00"/>
    <w:rsid w:val="00BA198F"/>
    <w:rsid w:val="00BA6C28"/>
    <w:rsid w:val="00BA6DB4"/>
    <w:rsid w:val="00BB482C"/>
    <w:rsid w:val="00BB4BE2"/>
    <w:rsid w:val="00BC25EA"/>
    <w:rsid w:val="00BC2C54"/>
    <w:rsid w:val="00BC3F3C"/>
    <w:rsid w:val="00BC5BB2"/>
    <w:rsid w:val="00BD3144"/>
    <w:rsid w:val="00BE1A6E"/>
    <w:rsid w:val="00BE397F"/>
    <w:rsid w:val="00BE5615"/>
    <w:rsid w:val="00BE738E"/>
    <w:rsid w:val="00BF0683"/>
    <w:rsid w:val="00BF11A1"/>
    <w:rsid w:val="00BF3F54"/>
    <w:rsid w:val="00BF5698"/>
    <w:rsid w:val="00C00697"/>
    <w:rsid w:val="00C01257"/>
    <w:rsid w:val="00C035F3"/>
    <w:rsid w:val="00C0376C"/>
    <w:rsid w:val="00C06D77"/>
    <w:rsid w:val="00C0782C"/>
    <w:rsid w:val="00C131DC"/>
    <w:rsid w:val="00C14BA6"/>
    <w:rsid w:val="00C15BEE"/>
    <w:rsid w:val="00C15E68"/>
    <w:rsid w:val="00C179EA"/>
    <w:rsid w:val="00C23C4E"/>
    <w:rsid w:val="00C26E89"/>
    <w:rsid w:val="00C31ACB"/>
    <w:rsid w:val="00C3485C"/>
    <w:rsid w:val="00C36D1A"/>
    <w:rsid w:val="00C41689"/>
    <w:rsid w:val="00C455BE"/>
    <w:rsid w:val="00C46C97"/>
    <w:rsid w:val="00C544A4"/>
    <w:rsid w:val="00C54788"/>
    <w:rsid w:val="00C718D6"/>
    <w:rsid w:val="00C74138"/>
    <w:rsid w:val="00C746D3"/>
    <w:rsid w:val="00C766D4"/>
    <w:rsid w:val="00C768E5"/>
    <w:rsid w:val="00C8170A"/>
    <w:rsid w:val="00C833CA"/>
    <w:rsid w:val="00C848BC"/>
    <w:rsid w:val="00C853DF"/>
    <w:rsid w:val="00C94CDC"/>
    <w:rsid w:val="00CA0699"/>
    <w:rsid w:val="00CA17CF"/>
    <w:rsid w:val="00CA2004"/>
    <w:rsid w:val="00CA5B99"/>
    <w:rsid w:val="00CB05D3"/>
    <w:rsid w:val="00CB334D"/>
    <w:rsid w:val="00CB56D5"/>
    <w:rsid w:val="00CD09C7"/>
    <w:rsid w:val="00CD1EA8"/>
    <w:rsid w:val="00CE727D"/>
    <w:rsid w:val="00CF5ABD"/>
    <w:rsid w:val="00CF63CE"/>
    <w:rsid w:val="00D016EE"/>
    <w:rsid w:val="00D067C1"/>
    <w:rsid w:val="00D13B13"/>
    <w:rsid w:val="00D16E78"/>
    <w:rsid w:val="00D16E89"/>
    <w:rsid w:val="00D201D3"/>
    <w:rsid w:val="00D203CA"/>
    <w:rsid w:val="00D262B9"/>
    <w:rsid w:val="00D26A64"/>
    <w:rsid w:val="00D27D20"/>
    <w:rsid w:val="00D313FF"/>
    <w:rsid w:val="00D347E3"/>
    <w:rsid w:val="00D37DB0"/>
    <w:rsid w:val="00D43F58"/>
    <w:rsid w:val="00D50129"/>
    <w:rsid w:val="00D5148A"/>
    <w:rsid w:val="00D51803"/>
    <w:rsid w:val="00D52B9A"/>
    <w:rsid w:val="00D5367E"/>
    <w:rsid w:val="00D53B1E"/>
    <w:rsid w:val="00D579E9"/>
    <w:rsid w:val="00D631D5"/>
    <w:rsid w:val="00D67C15"/>
    <w:rsid w:val="00D75750"/>
    <w:rsid w:val="00D76F5B"/>
    <w:rsid w:val="00D84AFD"/>
    <w:rsid w:val="00D84EF0"/>
    <w:rsid w:val="00D861ED"/>
    <w:rsid w:val="00D873E0"/>
    <w:rsid w:val="00D90D75"/>
    <w:rsid w:val="00D918BE"/>
    <w:rsid w:val="00D94F8B"/>
    <w:rsid w:val="00D95FBF"/>
    <w:rsid w:val="00DA2B4B"/>
    <w:rsid w:val="00DA5988"/>
    <w:rsid w:val="00DA7FA9"/>
    <w:rsid w:val="00DB0287"/>
    <w:rsid w:val="00DB16B0"/>
    <w:rsid w:val="00DB4933"/>
    <w:rsid w:val="00DB7F78"/>
    <w:rsid w:val="00DC21CF"/>
    <w:rsid w:val="00DC2BDC"/>
    <w:rsid w:val="00DC317C"/>
    <w:rsid w:val="00DC3590"/>
    <w:rsid w:val="00DC4FF2"/>
    <w:rsid w:val="00DC6884"/>
    <w:rsid w:val="00DC79CC"/>
    <w:rsid w:val="00DD039D"/>
    <w:rsid w:val="00DD0CDB"/>
    <w:rsid w:val="00DD1303"/>
    <w:rsid w:val="00DD3343"/>
    <w:rsid w:val="00DD5A02"/>
    <w:rsid w:val="00DE1550"/>
    <w:rsid w:val="00DE36E6"/>
    <w:rsid w:val="00DF479A"/>
    <w:rsid w:val="00DF4B04"/>
    <w:rsid w:val="00DF7A7D"/>
    <w:rsid w:val="00E01D5F"/>
    <w:rsid w:val="00E029C0"/>
    <w:rsid w:val="00E06978"/>
    <w:rsid w:val="00E0736F"/>
    <w:rsid w:val="00E10D39"/>
    <w:rsid w:val="00E11D95"/>
    <w:rsid w:val="00E134F4"/>
    <w:rsid w:val="00E159B0"/>
    <w:rsid w:val="00E162E0"/>
    <w:rsid w:val="00E20AAC"/>
    <w:rsid w:val="00E23568"/>
    <w:rsid w:val="00E245B5"/>
    <w:rsid w:val="00E33E1B"/>
    <w:rsid w:val="00E34D3E"/>
    <w:rsid w:val="00E40849"/>
    <w:rsid w:val="00E40DEE"/>
    <w:rsid w:val="00E46BCB"/>
    <w:rsid w:val="00E5035B"/>
    <w:rsid w:val="00E5098A"/>
    <w:rsid w:val="00E554D7"/>
    <w:rsid w:val="00E601CC"/>
    <w:rsid w:val="00E720E9"/>
    <w:rsid w:val="00E72376"/>
    <w:rsid w:val="00E810D0"/>
    <w:rsid w:val="00E81C5E"/>
    <w:rsid w:val="00E83B3C"/>
    <w:rsid w:val="00E8495F"/>
    <w:rsid w:val="00E8736B"/>
    <w:rsid w:val="00E90275"/>
    <w:rsid w:val="00E925D4"/>
    <w:rsid w:val="00E949F1"/>
    <w:rsid w:val="00E9625A"/>
    <w:rsid w:val="00E971AA"/>
    <w:rsid w:val="00E97226"/>
    <w:rsid w:val="00EA2B44"/>
    <w:rsid w:val="00EA33EF"/>
    <w:rsid w:val="00EB17F7"/>
    <w:rsid w:val="00EB2A3C"/>
    <w:rsid w:val="00EB3A3A"/>
    <w:rsid w:val="00EC31D3"/>
    <w:rsid w:val="00EC4FFD"/>
    <w:rsid w:val="00EC5EFC"/>
    <w:rsid w:val="00EC6645"/>
    <w:rsid w:val="00ED172D"/>
    <w:rsid w:val="00EE5750"/>
    <w:rsid w:val="00EF2A6F"/>
    <w:rsid w:val="00EF33CD"/>
    <w:rsid w:val="00F0166E"/>
    <w:rsid w:val="00F021DC"/>
    <w:rsid w:val="00F12924"/>
    <w:rsid w:val="00F12BB4"/>
    <w:rsid w:val="00F2088A"/>
    <w:rsid w:val="00F20C9B"/>
    <w:rsid w:val="00F20EAC"/>
    <w:rsid w:val="00F21A5E"/>
    <w:rsid w:val="00F2589D"/>
    <w:rsid w:val="00F300CB"/>
    <w:rsid w:val="00F42C3A"/>
    <w:rsid w:val="00F42EB4"/>
    <w:rsid w:val="00F47221"/>
    <w:rsid w:val="00F52BCC"/>
    <w:rsid w:val="00F52F89"/>
    <w:rsid w:val="00F5313F"/>
    <w:rsid w:val="00F54313"/>
    <w:rsid w:val="00F56F28"/>
    <w:rsid w:val="00F600BC"/>
    <w:rsid w:val="00F64FB9"/>
    <w:rsid w:val="00F65E0C"/>
    <w:rsid w:val="00F6679E"/>
    <w:rsid w:val="00F714B1"/>
    <w:rsid w:val="00F74856"/>
    <w:rsid w:val="00F8096E"/>
    <w:rsid w:val="00F809C3"/>
    <w:rsid w:val="00F81564"/>
    <w:rsid w:val="00F81A48"/>
    <w:rsid w:val="00F838A5"/>
    <w:rsid w:val="00F87644"/>
    <w:rsid w:val="00F90D5A"/>
    <w:rsid w:val="00F94F43"/>
    <w:rsid w:val="00F9671B"/>
    <w:rsid w:val="00F97659"/>
    <w:rsid w:val="00FA003A"/>
    <w:rsid w:val="00FA13D5"/>
    <w:rsid w:val="00FB62BC"/>
    <w:rsid w:val="00FC1985"/>
    <w:rsid w:val="00FD0BE3"/>
    <w:rsid w:val="00FD17C9"/>
    <w:rsid w:val="00FD2A5B"/>
    <w:rsid w:val="00FD3389"/>
    <w:rsid w:val="00FD50E1"/>
    <w:rsid w:val="00FD57B4"/>
    <w:rsid w:val="00FD65E5"/>
    <w:rsid w:val="00FE032E"/>
    <w:rsid w:val="00FE6A5C"/>
    <w:rsid w:val="00FE79A4"/>
    <w:rsid w:val="00FF10D7"/>
    <w:rsid w:val="00FF23D4"/>
    <w:rsid w:val="00FF2568"/>
    <w:rsid w:val="00FF4F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48A"/>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DB4933"/>
    <w:rPr>
      <w:color w:val="800080" w:themeColor="followedHyperlink"/>
      <w:u w:val="single"/>
    </w:rPr>
  </w:style>
  <w:style w:type="paragraph" w:styleId="Revision">
    <w:name w:val="Revision"/>
    <w:hidden/>
    <w:uiPriority w:val="99"/>
    <w:semiHidden/>
    <w:rsid w:val="00066442"/>
    <w:pPr>
      <w:spacing w:after="0" w:line="240" w:lineRule="auto"/>
    </w:pPr>
  </w:style>
  <w:style w:type="paragraph" w:styleId="NoSpacing">
    <w:name w:val="No Spacing"/>
    <w:uiPriority w:val="1"/>
    <w:qFormat/>
    <w:rsid w:val="0087185D"/>
    <w:pPr>
      <w:spacing w:after="0" w:line="240" w:lineRule="auto"/>
    </w:pPr>
  </w:style>
  <w:style w:type="paragraph" w:styleId="EndnoteText">
    <w:name w:val="endnote text"/>
    <w:basedOn w:val="Normal"/>
    <w:link w:val="EndnoteTextChar"/>
    <w:uiPriority w:val="99"/>
    <w:semiHidden/>
    <w:unhideWhenUsed/>
    <w:rsid w:val="004C7B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C7B14"/>
    <w:rPr>
      <w:sz w:val="20"/>
      <w:szCs w:val="20"/>
    </w:rPr>
  </w:style>
  <w:style w:type="character" w:styleId="EndnoteReference">
    <w:name w:val="endnote reference"/>
    <w:basedOn w:val="DefaultParagraphFont"/>
    <w:uiPriority w:val="99"/>
    <w:semiHidden/>
    <w:unhideWhenUsed/>
    <w:rsid w:val="004C7B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48A"/>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DB4933"/>
    <w:rPr>
      <w:color w:val="800080" w:themeColor="followedHyperlink"/>
      <w:u w:val="single"/>
    </w:rPr>
  </w:style>
  <w:style w:type="paragraph" w:styleId="Revision">
    <w:name w:val="Revision"/>
    <w:hidden/>
    <w:uiPriority w:val="99"/>
    <w:semiHidden/>
    <w:rsid w:val="00066442"/>
    <w:pPr>
      <w:spacing w:after="0" w:line="240" w:lineRule="auto"/>
    </w:pPr>
  </w:style>
  <w:style w:type="paragraph" w:styleId="NoSpacing">
    <w:name w:val="No Spacing"/>
    <w:uiPriority w:val="1"/>
    <w:qFormat/>
    <w:rsid w:val="0087185D"/>
    <w:pPr>
      <w:spacing w:after="0" w:line="240" w:lineRule="auto"/>
    </w:pPr>
  </w:style>
  <w:style w:type="paragraph" w:styleId="EndnoteText">
    <w:name w:val="endnote text"/>
    <w:basedOn w:val="Normal"/>
    <w:link w:val="EndnoteTextChar"/>
    <w:uiPriority w:val="99"/>
    <w:semiHidden/>
    <w:unhideWhenUsed/>
    <w:rsid w:val="004C7B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C7B14"/>
    <w:rPr>
      <w:sz w:val="20"/>
      <w:szCs w:val="20"/>
    </w:rPr>
  </w:style>
  <w:style w:type="character" w:styleId="EndnoteReference">
    <w:name w:val="endnote reference"/>
    <w:basedOn w:val="DefaultParagraphFont"/>
    <w:uiPriority w:val="99"/>
    <w:semiHidden/>
    <w:unhideWhenUsed/>
    <w:rsid w:val="004C7B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458704">
      <w:bodyDiv w:val="1"/>
      <w:marLeft w:val="0"/>
      <w:marRight w:val="0"/>
      <w:marTop w:val="0"/>
      <w:marBottom w:val="0"/>
      <w:divBdr>
        <w:top w:val="none" w:sz="0" w:space="0" w:color="auto"/>
        <w:left w:val="none" w:sz="0" w:space="0" w:color="auto"/>
        <w:bottom w:val="none" w:sz="0" w:space="0" w:color="auto"/>
        <w:right w:val="none" w:sz="0" w:space="0" w:color="auto"/>
      </w:divBdr>
    </w:div>
    <w:div w:id="1411271932">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2531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cgv7@cd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ncs/ocs/sp/nctb134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16020A9217BDD4E9204EC36317BFE71" ma:contentTypeVersion="11" ma:contentTypeDescription="Create a new document." ma:contentTypeScope="" ma:versionID="651c87e59ba3a4e7bd11bbfb2c4ed6d9">
  <xsd:schema xmlns:xsd="http://www.w3.org/2001/XMLSchema" xmlns:xs="http://www.w3.org/2001/XMLSchema" xmlns:p="http://schemas.microsoft.com/office/2006/metadata/properties" xmlns:ns2="5355036f-8ed4-4ec2-949d-7294eef79177" xmlns:ns4="61e0aa89-821a-4b43-b623-2509ea82b111" targetNamespace="http://schemas.microsoft.com/office/2006/metadata/properties" ma:root="true" ma:fieldsID="ca3c19a8cc8e4c8a83588cf2c3732a40" ns2:_="" ns4:_="">
    <xsd:import namespace="5355036f-8ed4-4ec2-949d-7294eef79177"/>
    <xsd:import namespace="61e0aa89-821a-4b43-b623-2509ea82b111"/>
    <xsd:element name="properties">
      <xsd:complexType>
        <xsd:sequence>
          <xsd:element name="documentManagement">
            <xsd:complexType>
              <xsd:all>
                <xsd:element ref="ns2:Requesting_x0020_Office" minOccurs="0"/>
                <xsd:element ref="ns2:Request_x0020_Title" minOccurs="0"/>
                <xsd:element ref="ns2:Due_x0020_Date" minOccurs="0"/>
                <xsd:element ref="ns2:Date_x0020_Received" minOccurs="0"/>
                <xsd:element ref="ns2:Document_x0020_Type"/>
                <xsd:element ref="ns4:_dlc_DocId" minOccurs="0"/>
                <xsd:element ref="ns4:_dlc_DocIdUrl" minOccurs="0"/>
                <xsd:element ref="ns4:_dlc_DocIdPersistId" minOccurs="0"/>
                <xsd:element ref="ns2:For_x0020_Budget_x0020_Formulation_x003a__x0020_Fiscal_x0020_Years" minOccurs="0"/>
                <xsd:element ref="ns2:For_x0020_Budget_x0020_Formulation_x003a__x0020_Submission" minOccurs="0"/>
                <xsd:element ref="ns2:Division_x002f_Off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5036f-8ed4-4ec2-949d-7294eef79177" elementFormDefault="qualified">
    <xsd:import namespace="http://schemas.microsoft.com/office/2006/documentManagement/types"/>
    <xsd:import namespace="http://schemas.microsoft.com/office/infopath/2007/PartnerControls"/>
    <xsd:element name="Requesting_x0020_Office" ma:index="8" nillable="true" ma:displayName="Requesting Office" ma:internalName="Requesting_x0020_Office">
      <xsd:simpleType>
        <xsd:restriction base="dms:Text">
          <xsd:maxLength value="255"/>
        </xsd:restriction>
      </xsd:simpleType>
    </xsd:element>
    <xsd:element name="Request_x0020_Title" ma:index="9" nillable="true" ma:displayName="Request Title" ma:internalName="Request_x0020_Title">
      <xsd:simpleType>
        <xsd:restriction base="dms:Text">
          <xsd:maxLength value="255"/>
        </xsd:restriction>
      </xsd:simpleType>
    </xsd:element>
    <xsd:element name="Due_x0020_Date" ma:index="10" nillable="true" ma:displayName="Due Date" ma:format="DateTime" ma:internalName="Due_x0020_Date">
      <xsd:simpleType>
        <xsd:restriction base="dms:DateTime"/>
      </xsd:simpleType>
    </xsd:element>
    <xsd:element name="Date_x0020_Received" ma:index="11" nillable="true" ma:displayName="Date Received" ma:format="DateOnly" ma:internalName="Date_x0020_Received">
      <xsd:simpleType>
        <xsd:restriction base="dms:DateTime"/>
      </xsd:simpleType>
    </xsd:element>
    <xsd:element name="Document_x0020_Type" ma:index="13" ma:displayName="Document Type" ma:format="Dropdown" ma:internalName="Document_x0020_Type">
      <xsd:simpleType>
        <xsd:restriction base="dms:Choice">
          <xsd:enumeration value="Data Requests"/>
          <xsd:enumeration value="Budget Formulation"/>
          <xsd:enumeration value="Impact Statements"/>
          <xsd:enumeration value="Fact Sheets"/>
          <xsd:enumeration value="OMB/PRA"/>
        </xsd:restriction>
      </xsd:simpleType>
    </xsd:element>
    <xsd:element name="For_x0020_Budget_x0020_Formulation_x003a__x0020_Fiscal_x0020_Years" ma:index="17" nillable="true" ma:displayName="Fiscal Year" ma:format="Dropdown" ma:internalName="For_x0020_Budget_x0020_Formulation_x003a__x0020_Fiscal_x0020_Years">
      <xsd:simpleType>
        <xsd:restriction base="dms:Choice">
          <xsd:enumeration value="FY 2011"/>
          <xsd:enumeration value="FY 2012"/>
          <xsd:enumeration value="FY 2013"/>
          <xsd:enumeration value="FY 2014"/>
          <xsd:enumeration value="FY 2015"/>
        </xsd:restriction>
      </xsd:simpleType>
    </xsd:element>
    <xsd:element name="For_x0020_Budget_x0020_Formulation_x003a__x0020_Submission" ma:index="18" nillable="true" ma:displayName="For Budget Formulation: Submission" ma:format="Dropdown" ma:internalName="For_x0020_Budget_x0020_Formulation_x003a__x0020_Submission">
      <xsd:simpleType>
        <xsd:restriction base="dms:Choice">
          <xsd:enumeration value="HHS"/>
          <xsd:enumeration value="OMBJ"/>
          <xsd:enumeration value="CJ"/>
          <xsd:enumeration value="House Mark"/>
          <xsd:enumeration value="Senate Mark"/>
          <xsd:enumeration value="Ceiling Allocations"/>
        </xsd:restriction>
      </xsd:simpleType>
    </xsd:element>
    <xsd:element name="Division_x002f_Office" ma:index="19" nillable="true" ma:displayName="Division/Office" ma:format="Dropdown" ma:internalName="Division_x002f_Office">
      <xsd:simpleType>
        <xsd:restriction base="dms:Choice">
          <xsd:enumeration value="BCA"/>
          <xsd:enumeration value="DBS"/>
          <xsd:enumeration value="DIPPC"/>
          <xsd:enumeration value="DISO"/>
          <xsd:enumeration value="DNDHI"/>
          <xsd:enumeration value="IRDA"/>
        </xsd:restriction>
      </xsd:simpleType>
    </xsd:element>
  </xsd:schema>
  <xsd:schema xmlns:xsd="http://www.w3.org/2001/XMLSchema" xmlns:xs="http://www.w3.org/2001/XMLSchema" xmlns:dms="http://schemas.microsoft.com/office/2006/documentManagement/types" xmlns:pc="http://schemas.microsoft.com/office/infopath/2007/PartnerControls" targetNamespace="61e0aa89-821a-4b43-b623-2509ea82b111"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Type xmlns="5355036f-8ed4-4ec2-949d-7294eef79177">OMB/PRA</Document_x0020_Type>
    <Date_x0020_Received xmlns="5355036f-8ed4-4ec2-949d-7294eef79177" xsi:nil="true"/>
    <For_x0020_Budget_x0020_Formulation_x003a__x0020_Fiscal_x0020_Years xmlns="5355036f-8ed4-4ec2-949d-7294eef79177" xsi:nil="true"/>
    <Requesting_x0020_Office xmlns="5355036f-8ed4-4ec2-949d-7294eef79177" xsi:nil="true"/>
    <For_x0020_Budget_x0020_Formulation_x003a__x0020_Submission xmlns="5355036f-8ed4-4ec2-949d-7294eef79177" xsi:nil="true"/>
    <Request_x0020_Title xmlns="5355036f-8ed4-4ec2-949d-7294eef79177">2013 BioSense Case Studies</Request_x0020_Title>
    <Due_x0020_Date xmlns="5355036f-8ed4-4ec2-949d-7294eef79177" xsi:nil="true"/>
    <Division_x002f_Office xmlns="5355036f-8ed4-4ec2-949d-7294eef79177" xsi:nil="true"/>
    <_dlc_DocId xmlns="61e0aa89-821a-4b43-b623-2509ea82b111">7DAU5SSH7P55-581-326</_dlc_DocId>
    <_dlc_DocIdUrl xmlns="61e0aa89-821a-4b43-b623-2509ea82b111">
      <Url>http://esp.cdc.gov/sites/osels/PHSIPO/PO/_layouts/DocIdRedir.aspx?ID=7DAU5SSH7P55-581-326</Url>
      <Description>7DAU5SSH7P55-581-326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913FB-6D3C-4F21-A866-B0935BFDC554}">
  <ds:schemaRefs>
    <ds:schemaRef ds:uri="http://schemas.microsoft.com/sharepoint/v3/contenttype/forms"/>
  </ds:schemaRefs>
</ds:datastoreItem>
</file>

<file path=customXml/itemProps2.xml><?xml version="1.0" encoding="utf-8"?>
<ds:datastoreItem xmlns:ds="http://schemas.openxmlformats.org/officeDocument/2006/customXml" ds:itemID="{66992380-D993-476C-AECE-3C88C0B37F85}">
  <ds:schemaRefs>
    <ds:schemaRef ds:uri="http://schemas.microsoft.com/sharepoint/events"/>
  </ds:schemaRefs>
</ds:datastoreItem>
</file>

<file path=customXml/itemProps3.xml><?xml version="1.0" encoding="utf-8"?>
<ds:datastoreItem xmlns:ds="http://schemas.openxmlformats.org/officeDocument/2006/customXml" ds:itemID="{01A3792F-366B-4EC0-A2A6-267118D49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5036f-8ed4-4ec2-949d-7294eef79177"/>
    <ds:schemaRef ds:uri="61e0aa89-821a-4b43-b623-2509ea82b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7054E3-BB47-46EB-8A5B-7C7469268042}">
  <ds:schemaRefs>
    <ds:schemaRef ds:uri="http://schemas.microsoft.com/office/2006/documentManagement/types"/>
    <ds:schemaRef ds:uri="61e0aa89-821a-4b43-b623-2509ea82b111"/>
    <ds:schemaRef ds:uri="http://www.w3.org/XML/1998/namespace"/>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5355036f-8ed4-4ec2-949d-7294eef79177"/>
    <ds:schemaRef ds:uri="http://schemas.microsoft.com/office/2006/metadata/properties"/>
  </ds:schemaRefs>
</ds:datastoreItem>
</file>

<file path=customXml/itemProps5.xml><?xml version="1.0" encoding="utf-8"?>
<ds:datastoreItem xmlns:ds="http://schemas.openxmlformats.org/officeDocument/2006/customXml" ds:itemID="{628F8A49-3712-45C5-A66A-5E7CF0AA1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4108</Words>
  <Characters>23420</Characters>
  <Application>Microsoft Office Word</Application>
  <DocSecurity>4</DocSecurity>
  <Lines>195</Lines>
  <Paragraphs>54</Paragraphs>
  <ScaleCrop>false</ScaleCrop>
  <HeadingPairs>
    <vt:vector size="2" baseType="variant">
      <vt:variant>
        <vt:lpstr>Title</vt:lpstr>
      </vt:variant>
      <vt:variant>
        <vt:i4>1</vt:i4>
      </vt:variant>
    </vt:vector>
  </HeadingPairs>
  <TitlesOfParts>
    <vt:vector size="1" baseType="lpstr">
      <vt:lpstr>Supporting_Statement_A_2013-09-05</vt:lpstr>
    </vt:vector>
  </TitlesOfParts>
  <Company>CDC</Company>
  <LinksUpToDate>false</LinksUpToDate>
  <CharactersWithSpaces>27474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Supporting_Statement_A_2013-09-05</dc:title>
  <dc:creator>gel2</dc:creator>
  <cp:lastModifiedBy>Abdullah, Adzua H. (CDC/OSTLTS/DPHPI) (CTR)</cp:lastModifiedBy>
  <cp:revision>2</cp:revision>
  <cp:lastPrinted>2013-09-09T13:50:00Z</cp:lastPrinted>
  <dcterms:created xsi:type="dcterms:W3CDTF">2013-11-06T19:19:00Z</dcterms:created>
  <dcterms:modified xsi:type="dcterms:W3CDTF">2013-11-06T19:19:00Z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0x010100316020A9217BDD4E9204EC36317BFE71</vt:lpwstr>
  </property>
  <property fmtid="{D5CDD505-2E9C-101B-9397-08002B2CF9AE}" pid="3" name="_dlc_DocIdItemGuid">
    <vt:lpwstr>ab10b678-bded-4d6d-826d-ff9b335d86b1</vt:lpwstr>
  </property>
  <property fmtid="{D5CDD505-2E9C-101B-9397-08002B2CF9AE}" pid="4" name="Order">
    <vt:r8>28400</vt:r8>
  </property>
  <property fmtid="{D5CDD505-2E9C-101B-9397-08002B2CF9AE}" pid="5" name="xd_ProgID">
    <vt:lpwstr/>
  </property>
  <property fmtid="{D5CDD505-2E9C-101B-9397-08002B2CF9AE}" pid="6" name="_CopySource">
    <vt:lpwstr>http://esp.cdc.gov/sites/osels/PHSIPO/PO/Data Request Documents/GenIC_BioSense/Supporting_Statement_A_08.16.2013.docx</vt:lpwstr>
  </property>
  <property fmtid="{D5CDD505-2E9C-101B-9397-08002B2CF9AE}" pid="7" name="TemplateUrl">
    <vt:lpwstr/>
  </property>
</Properties>
</file>