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A3192" w:rsidRDefault="00BC59B7" w:rsidP="00484011">
      <w:pPr>
        <w:spacing w:after="0"/>
        <w:jc w:val="center"/>
        <w:rPr>
          <w:rFonts w:asciiTheme="majorHAnsi" w:hAnsiTheme="majorHAnsi"/>
          <w:b/>
          <w:sz w:val="40"/>
        </w:rPr>
      </w:pPr>
      <w:r>
        <w:rPr>
          <w:rFonts w:asciiTheme="majorHAnsi" w:hAnsiTheme="majorHAnsi"/>
          <w:b/>
          <w:sz w:val="40"/>
        </w:rPr>
        <w:t>Utility and Value</w:t>
      </w:r>
      <w:r w:rsidRPr="00BC59B7">
        <w:rPr>
          <w:rFonts w:asciiTheme="majorHAnsi" w:hAnsiTheme="majorHAnsi"/>
          <w:b/>
          <w:sz w:val="40"/>
        </w:rPr>
        <w:t xml:space="preserve"> </w:t>
      </w:r>
      <w:r>
        <w:rPr>
          <w:rFonts w:asciiTheme="majorHAnsi" w:hAnsiTheme="majorHAnsi"/>
          <w:b/>
          <w:sz w:val="40"/>
        </w:rPr>
        <w:t xml:space="preserve">of Flexible </w:t>
      </w:r>
      <w:r w:rsidRPr="00BC59B7">
        <w:rPr>
          <w:rFonts w:asciiTheme="majorHAnsi" w:hAnsiTheme="majorHAnsi"/>
          <w:b/>
          <w:sz w:val="40"/>
        </w:rPr>
        <w:t>E</w:t>
      </w:r>
      <w:r>
        <w:rPr>
          <w:rFonts w:asciiTheme="majorHAnsi" w:hAnsiTheme="majorHAnsi"/>
          <w:b/>
          <w:sz w:val="40"/>
        </w:rPr>
        <w:t>pidemiolog</w:t>
      </w:r>
      <w:r w:rsidR="00273C91">
        <w:rPr>
          <w:rFonts w:asciiTheme="majorHAnsi" w:hAnsiTheme="majorHAnsi"/>
          <w:b/>
          <w:sz w:val="40"/>
        </w:rPr>
        <w:t>ist</w:t>
      </w:r>
      <w:r w:rsidR="002401D3">
        <w:rPr>
          <w:rFonts w:asciiTheme="majorHAnsi" w:hAnsiTheme="majorHAnsi"/>
          <w:b/>
          <w:sz w:val="40"/>
        </w:rPr>
        <w:t>s</w:t>
      </w:r>
      <w:r w:rsidR="00273C91">
        <w:rPr>
          <w:rFonts w:asciiTheme="majorHAnsi" w:hAnsiTheme="majorHAnsi"/>
          <w:b/>
          <w:sz w:val="40"/>
        </w:rPr>
        <w:t xml:space="preserve"> </w:t>
      </w:r>
      <w:r>
        <w:rPr>
          <w:rFonts w:asciiTheme="majorHAnsi" w:hAnsiTheme="majorHAnsi"/>
          <w:b/>
          <w:sz w:val="40"/>
        </w:rPr>
        <w:t xml:space="preserve">for </w:t>
      </w:r>
      <w:r w:rsidR="00273C91">
        <w:rPr>
          <w:rFonts w:asciiTheme="majorHAnsi" w:hAnsiTheme="majorHAnsi"/>
          <w:b/>
          <w:sz w:val="40"/>
        </w:rPr>
        <w:t>Enhancing</w:t>
      </w:r>
      <w:r>
        <w:rPr>
          <w:rFonts w:asciiTheme="majorHAnsi" w:hAnsiTheme="majorHAnsi"/>
          <w:b/>
          <w:sz w:val="40"/>
        </w:rPr>
        <w:t xml:space="preserve"> </w:t>
      </w:r>
      <w:r w:rsidR="00A800E8">
        <w:rPr>
          <w:rFonts w:asciiTheme="majorHAnsi" w:hAnsiTheme="majorHAnsi"/>
          <w:b/>
          <w:sz w:val="40"/>
        </w:rPr>
        <w:t>Health Department</w:t>
      </w:r>
      <w:r w:rsidR="0086716F">
        <w:rPr>
          <w:rFonts w:asciiTheme="majorHAnsi" w:hAnsiTheme="majorHAnsi"/>
          <w:b/>
          <w:sz w:val="40"/>
        </w:rPr>
        <w:t xml:space="preserve"> </w:t>
      </w:r>
      <w:r w:rsidR="002401D3">
        <w:rPr>
          <w:rFonts w:asciiTheme="majorHAnsi" w:hAnsiTheme="majorHAnsi"/>
          <w:b/>
          <w:sz w:val="40"/>
        </w:rPr>
        <w:t xml:space="preserve">Infectious Disease </w:t>
      </w:r>
      <w:r w:rsidRPr="00BC59B7">
        <w:rPr>
          <w:rFonts w:asciiTheme="majorHAnsi" w:hAnsiTheme="majorHAnsi"/>
          <w:b/>
          <w:sz w:val="40"/>
        </w:rPr>
        <w:t>E</w:t>
      </w:r>
      <w:r>
        <w:rPr>
          <w:rFonts w:asciiTheme="majorHAnsi" w:hAnsiTheme="majorHAnsi"/>
          <w:b/>
          <w:sz w:val="40"/>
        </w:rPr>
        <w:t>pidemiology</w:t>
      </w:r>
      <w:r w:rsidRPr="00BC59B7">
        <w:rPr>
          <w:rFonts w:asciiTheme="majorHAnsi" w:hAnsiTheme="majorHAnsi"/>
          <w:b/>
          <w:sz w:val="40"/>
        </w:rPr>
        <w:t xml:space="preserve"> </w:t>
      </w:r>
      <w:r>
        <w:rPr>
          <w:rFonts w:asciiTheme="majorHAnsi" w:hAnsiTheme="majorHAnsi"/>
          <w:b/>
          <w:sz w:val="40"/>
        </w:rPr>
        <w:t>and</w:t>
      </w:r>
      <w:r w:rsidRPr="00BC59B7">
        <w:rPr>
          <w:rFonts w:asciiTheme="majorHAnsi" w:hAnsiTheme="majorHAnsi"/>
          <w:b/>
          <w:sz w:val="40"/>
        </w:rPr>
        <w:t xml:space="preserve"> L</w:t>
      </w:r>
      <w:r>
        <w:rPr>
          <w:rFonts w:asciiTheme="majorHAnsi" w:hAnsiTheme="majorHAnsi"/>
          <w:b/>
          <w:sz w:val="40"/>
        </w:rPr>
        <w:t xml:space="preserve">aboratory </w:t>
      </w:r>
      <w:r w:rsidRPr="00BC59B7">
        <w:rPr>
          <w:rFonts w:asciiTheme="majorHAnsi" w:hAnsiTheme="majorHAnsi"/>
          <w:b/>
          <w:sz w:val="40"/>
        </w:rPr>
        <w:t>C</w:t>
      </w:r>
      <w:r>
        <w:rPr>
          <w:rFonts w:asciiTheme="majorHAnsi" w:hAnsiTheme="majorHAnsi"/>
          <w:b/>
          <w:sz w:val="40"/>
        </w:rPr>
        <w:t>apacity</w:t>
      </w:r>
      <w:r w:rsidRPr="00BC59B7">
        <w:rPr>
          <w:rFonts w:asciiTheme="majorHAnsi" w:hAnsiTheme="majorHAnsi"/>
          <w:b/>
          <w:sz w:val="40"/>
        </w:rPr>
        <w:t xml:space="preserve"> </w:t>
      </w:r>
    </w:p>
    <w:p w:rsidR="00BC59B7" w:rsidRDefault="00BC59B7"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AF05B5">
        <w:rPr>
          <w:rFonts w:asciiTheme="majorHAnsi" w:hAnsiTheme="majorHAnsi"/>
        </w:rPr>
        <w:t>December 2</w:t>
      </w:r>
      <w:r w:rsidR="00A132F1">
        <w:rPr>
          <w:rFonts w:asciiTheme="majorHAnsi" w:hAnsiTheme="majorHAnsi"/>
        </w:rPr>
        <w:t>, 2013</w:t>
      </w: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273C91" w:rsidRDefault="00273C91" w:rsidP="000B0962">
      <w:pPr>
        <w:spacing w:after="0" w:line="240" w:lineRule="auto"/>
        <w:rPr>
          <w:rFonts w:ascii="Times New Roman" w:hAnsi="Times New Roman" w:cs="Times New Roman"/>
          <w:bCs/>
        </w:rPr>
      </w:pPr>
      <w:r w:rsidRPr="00273C91">
        <w:rPr>
          <w:rFonts w:ascii="Times New Roman" w:hAnsi="Times New Roman" w:cs="Times New Roman"/>
          <w:bCs/>
        </w:rPr>
        <w:t>Christina Chung</w:t>
      </w:r>
      <w:r>
        <w:rPr>
          <w:rFonts w:ascii="Times New Roman" w:hAnsi="Times New Roman" w:cs="Times New Roman"/>
          <w:bCs/>
        </w:rPr>
        <w:t xml:space="preserve">, </w:t>
      </w:r>
      <w:r w:rsidR="00DA077E">
        <w:rPr>
          <w:rFonts w:ascii="Times New Roman" w:hAnsi="Times New Roman" w:cs="Times New Roman"/>
          <w:bCs/>
        </w:rPr>
        <w:t>Associate Service Fellow</w:t>
      </w:r>
    </w:p>
    <w:p w:rsidR="00273C91" w:rsidRPr="00273C91" w:rsidRDefault="00273C91" w:rsidP="000B0962">
      <w:pPr>
        <w:spacing w:after="0" w:line="240" w:lineRule="auto"/>
        <w:rPr>
          <w:rFonts w:ascii="Times New Roman" w:hAnsi="Times New Roman" w:cs="Times New Roman"/>
        </w:rPr>
      </w:pPr>
      <w:r w:rsidRPr="00273C91">
        <w:rPr>
          <w:rFonts w:ascii="Times New Roman" w:hAnsi="Times New Roman" w:cs="Times New Roman"/>
        </w:rPr>
        <w:t xml:space="preserve">Scientific and Program Services Branch </w:t>
      </w:r>
    </w:p>
    <w:p w:rsidR="00273C91" w:rsidRPr="00273C91" w:rsidRDefault="00273C91" w:rsidP="000B0962">
      <w:pPr>
        <w:spacing w:after="0" w:line="240" w:lineRule="auto"/>
        <w:rPr>
          <w:rFonts w:ascii="Times New Roman" w:hAnsi="Times New Roman" w:cs="Times New Roman"/>
        </w:rPr>
      </w:pPr>
      <w:r w:rsidRPr="00273C91">
        <w:rPr>
          <w:rFonts w:ascii="Times New Roman" w:hAnsi="Times New Roman" w:cs="Times New Roman"/>
        </w:rPr>
        <w:t>Division of Preparedness and Emerging Infections</w:t>
      </w:r>
    </w:p>
    <w:p w:rsidR="00273C91" w:rsidRPr="00273C91" w:rsidRDefault="00CD6823" w:rsidP="000B0962">
      <w:pPr>
        <w:spacing w:after="0" w:line="240" w:lineRule="auto"/>
        <w:rPr>
          <w:rFonts w:ascii="Times New Roman" w:hAnsi="Times New Roman" w:cs="Times New Roman"/>
        </w:rPr>
      </w:pPr>
      <w:r>
        <w:rPr>
          <w:rFonts w:ascii="Times New Roman" w:hAnsi="Times New Roman" w:cs="Times New Roman"/>
        </w:rPr>
        <w:t>National Center</w:t>
      </w:r>
      <w:r w:rsidR="00273C91" w:rsidRPr="00273C91">
        <w:rPr>
          <w:rFonts w:ascii="Times New Roman" w:hAnsi="Times New Roman" w:cs="Times New Roman"/>
        </w:rPr>
        <w:t xml:space="preserve"> for Emerging &amp; Zoonotic Infectious Disease</w:t>
      </w:r>
      <w:r>
        <w:rPr>
          <w:rFonts w:ascii="Times New Roman" w:hAnsi="Times New Roman" w:cs="Times New Roman"/>
        </w:rPr>
        <w:t>s</w:t>
      </w:r>
    </w:p>
    <w:p w:rsidR="00273C91" w:rsidRDefault="00273C91" w:rsidP="000B0962">
      <w:pPr>
        <w:spacing w:after="0" w:line="240" w:lineRule="auto"/>
        <w:rPr>
          <w:rFonts w:ascii="Times New Roman" w:hAnsi="Times New Roman" w:cs="Times New Roman"/>
        </w:rPr>
      </w:pPr>
      <w:r w:rsidRPr="00273C91">
        <w:rPr>
          <w:rFonts w:ascii="Times New Roman" w:hAnsi="Times New Roman" w:cs="Times New Roman"/>
        </w:rPr>
        <w:t xml:space="preserve">Centers for </w:t>
      </w:r>
      <w:r>
        <w:rPr>
          <w:rFonts w:ascii="Times New Roman" w:hAnsi="Times New Roman" w:cs="Times New Roman"/>
        </w:rPr>
        <w:t>Disease Control and Prevention</w:t>
      </w:r>
    </w:p>
    <w:p w:rsidR="00273C91" w:rsidRDefault="00273C91" w:rsidP="000B0962">
      <w:pPr>
        <w:spacing w:after="0" w:line="240" w:lineRule="auto"/>
        <w:rPr>
          <w:rFonts w:ascii="Times New Roman" w:hAnsi="Times New Roman" w:cs="Times New Roman"/>
        </w:rPr>
      </w:pPr>
      <w:r>
        <w:rPr>
          <w:rFonts w:ascii="Times New Roman" w:hAnsi="Times New Roman" w:cs="Times New Roman"/>
        </w:rPr>
        <w:t>1600 Clifton Rd., Atlanta, GA 30333</w:t>
      </w:r>
    </w:p>
    <w:p w:rsidR="00273C91" w:rsidRDefault="00273C91" w:rsidP="000B0962">
      <w:pPr>
        <w:spacing w:after="0" w:line="240" w:lineRule="auto"/>
        <w:rPr>
          <w:rFonts w:ascii="Times New Roman" w:hAnsi="Times New Roman" w:cs="Times New Roman"/>
        </w:rPr>
      </w:pPr>
      <w:r>
        <w:rPr>
          <w:rFonts w:ascii="Times New Roman" w:hAnsi="Times New Roman" w:cs="Times New Roman"/>
        </w:rPr>
        <w:t xml:space="preserve">Phone: </w:t>
      </w:r>
      <w:r w:rsidRPr="00273C91">
        <w:rPr>
          <w:rFonts w:ascii="Times New Roman" w:hAnsi="Times New Roman" w:cs="Times New Roman"/>
        </w:rPr>
        <w:t>404-639-3988</w:t>
      </w:r>
    </w:p>
    <w:p w:rsidR="00273C91" w:rsidRDefault="00273C91" w:rsidP="000B0962">
      <w:pPr>
        <w:spacing w:after="0" w:line="240" w:lineRule="auto"/>
        <w:rPr>
          <w:rFonts w:ascii="Times New Roman" w:hAnsi="Times New Roman" w:cs="Times New Roman"/>
        </w:rPr>
      </w:pPr>
      <w:r>
        <w:rPr>
          <w:rFonts w:ascii="Times New Roman" w:hAnsi="Times New Roman" w:cs="Times New Roman"/>
        </w:rPr>
        <w:t xml:space="preserve">Fax: </w:t>
      </w:r>
      <w:r w:rsidRPr="00273C91">
        <w:rPr>
          <w:rFonts w:ascii="Times New Roman" w:hAnsi="Times New Roman" w:cs="Times New Roman"/>
        </w:rPr>
        <w:t>404-639-3106</w:t>
      </w:r>
    </w:p>
    <w:p w:rsidR="000B0962" w:rsidRPr="00273C91" w:rsidRDefault="00273C91" w:rsidP="00273C91">
      <w:pPr>
        <w:spacing w:after="0" w:line="240" w:lineRule="auto"/>
        <w:rPr>
          <w:rFonts w:ascii="Times New Roman" w:hAnsi="Times New Roman" w:cs="Times New Roman"/>
        </w:rPr>
      </w:pPr>
      <w:r>
        <w:rPr>
          <w:rFonts w:ascii="Times New Roman" w:hAnsi="Times New Roman" w:cs="Times New Roman"/>
        </w:rPr>
        <w:t xml:space="preserve">Email: </w:t>
      </w:r>
      <w:hyperlink r:id="rId9" w:history="1">
        <w:r w:rsidRPr="003C64E0">
          <w:rPr>
            <w:rStyle w:val="Hyperlink"/>
            <w:rFonts w:ascii="Times New Roman" w:hAnsi="Times New Roman" w:cs="Times New Roman"/>
          </w:rPr>
          <w:t>cchung@cdc.gov</w:t>
        </w:r>
      </w:hyperlink>
      <w:r>
        <w:rPr>
          <w:rFonts w:ascii="Times New Roman" w:hAnsi="Times New Roman" w:cs="Times New Roman"/>
        </w:rPr>
        <w:t xml:space="preserve"> </w:t>
      </w:r>
    </w:p>
    <w:p w:rsidR="000B0962" w:rsidRDefault="000B0962" w:rsidP="00716F94">
      <w:pPr>
        <w:spacing w:after="0"/>
        <w:rPr>
          <w:rFonts w:asciiTheme="majorHAnsi" w:hAnsiTheme="majorHAnsi"/>
        </w:rPr>
      </w:pPr>
    </w:p>
    <w:p w:rsidR="006979C8" w:rsidRDefault="006979C8" w:rsidP="00716F94">
      <w:pPr>
        <w:spacing w:after="0"/>
        <w:rPr>
          <w:rFonts w:asciiTheme="majorHAnsi" w:hAnsiTheme="majorHAnsi"/>
          <w:b/>
          <w:sz w:val="28"/>
        </w:rPr>
      </w:pPr>
    </w:p>
    <w:p w:rsidR="00B12F51" w:rsidRPr="00A800E8"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CD1EA8" w:rsidRPr="00D13B13" w:rsidRDefault="00B12F51" w:rsidP="00A800E8">
      <w:pPr>
        <w:pStyle w:val="ListParagraph"/>
        <w:numPr>
          <w:ilvl w:val="0"/>
          <w:numId w:val="2"/>
        </w:numPr>
        <w:spacing w:after="0"/>
        <w:ind w:left="360"/>
        <w:rPr>
          <w:rFonts w:asciiTheme="majorHAnsi" w:hAnsiTheme="majorHAnsi"/>
          <w:b/>
        </w:rPr>
      </w:pPr>
      <w:r w:rsidRPr="00D13B13">
        <w:rPr>
          <w:rFonts w:asciiTheme="majorHAnsi" w:hAnsiTheme="majorHAnsi"/>
          <w:b/>
        </w:rPr>
        <w:t>Circumstances Making the Collection of Information Necessary</w:t>
      </w:r>
    </w:p>
    <w:p w:rsidR="00E33E1B" w:rsidRDefault="00E33E1B" w:rsidP="00A800E8">
      <w:pPr>
        <w:spacing w:after="0"/>
        <w:ind w:left="270"/>
        <w:rPr>
          <w:rFonts w:asciiTheme="majorHAnsi" w:hAnsiTheme="majorHAnsi"/>
          <w:b/>
        </w:rPr>
      </w:pPr>
    </w:p>
    <w:p w:rsidR="00E33E1B" w:rsidRDefault="00E33E1B" w:rsidP="00A800E8">
      <w:pPr>
        <w:spacing w:after="0"/>
        <w:rPr>
          <w:rFonts w:asciiTheme="majorHAnsi" w:hAnsiTheme="majorHAnsi"/>
          <w:b/>
        </w:rPr>
      </w:pPr>
      <w:r>
        <w:rPr>
          <w:rFonts w:asciiTheme="majorHAnsi" w:hAnsiTheme="majorHAnsi"/>
          <w:b/>
        </w:rPr>
        <w:t>Background</w:t>
      </w:r>
    </w:p>
    <w:p w:rsidR="00350C8C" w:rsidRDefault="004F67A8" w:rsidP="00A800E8">
      <w:pPr>
        <w:pStyle w:val="Header"/>
        <w:tabs>
          <w:tab w:val="clear" w:pos="4680"/>
        </w:tabs>
        <w:spacing w:line="276" w:lineRule="auto"/>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4702D2">
        <w:rPr>
          <w:rFonts w:asciiTheme="majorHAnsi" w:hAnsiTheme="majorHAnsi"/>
        </w:rPr>
        <w:t xml:space="preserve"> Epidemiologists and Principal Investigators</w:t>
      </w:r>
      <w:r w:rsidR="009252DC">
        <w:rPr>
          <w:rFonts w:asciiTheme="majorHAnsi" w:hAnsiTheme="majorHAnsi"/>
        </w:rPr>
        <w:t xml:space="preserve"> acting in their official capacities</w:t>
      </w:r>
      <w:r w:rsidR="004702D2">
        <w:rPr>
          <w:rFonts w:asciiTheme="majorHAnsi" w:hAnsiTheme="majorHAnsi"/>
        </w:rPr>
        <w:t xml:space="preserve"> at </w:t>
      </w:r>
      <w:r w:rsidR="00757CA3">
        <w:rPr>
          <w:rFonts w:asciiTheme="majorHAnsi" w:hAnsiTheme="majorHAnsi"/>
        </w:rPr>
        <w:t>s</w:t>
      </w:r>
      <w:r w:rsidR="004702D2" w:rsidRPr="004702D2">
        <w:rPr>
          <w:rFonts w:asciiTheme="majorHAnsi" w:hAnsiTheme="majorHAnsi"/>
        </w:rPr>
        <w:t xml:space="preserve">tate, </w:t>
      </w:r>
      <w:r w:rsidR="00757CA3">
        <w:rPr>
          <w:rFonts w:asciiTheme="majorHAnsi" w:hAnsiTheme="majorHAnsi"/>
        </w:rPr>
        <w:t>l</w:t>
      </w:r>
      <w:r w:rsidR="004702D2">
        <w:rPr>
          <w:rFonts w:asciiTheme="majorHAnsi" w:hAnsiTheme="majorHAnsi"/>
        </w:rPr>
        <w:t xml:space="preserve">ocal, </w:t>
      </w:r>
      <w:r w:rsidR="00757CA3">
        <w:rPr>
          <w:rFonts w:asciiTheme="majorHAnsi" w:hAnsiTheme="majorHAnsi"/>
        </w:rPr>
        <w:t>and</w:t>
      </w:r>
      <w:r w:rsidR="004702D2">
        <w:rPr>
          <w:rFonts w:asciiTheme="majorHAnsi" w:hAnsiTheme="majorHAnsi"/>
        </w:rPr>
        <w:t xml:space="preserve"> </w:t>
      </w:r>
      <w:r w:rsidR="00757CA3">
        <w:rPr>
          <w:rFonts w:asciiTheme="majorHAnsi" w:hAnsiTheme="majorHAnsi"/>
        </w:rPr>
        <w:t>t</w:t>
      </w:r>
      <w:r w:rsidR="004702D2">
        <w:rPr>
          <w:rFonts w:asciiTheme="majorHAnsi" w:hAnsiTheme="majorHAnsi"/>
        </w:rPr>
        <w:t xml:space="preserve">erritorial </w:t>
      </w:r>
      <w:r w:rsidR="004702D2" w:rsidRPr="004702D2">
        <w:rPr>
          <w:rFonts w:asciiTheme="majorHAnsi" w:hAnsiTheme="majorHAnsi"/>
        </w:rPr>
        <w:t>health</w:t>
      </w:r>
      <w:r w:rsidR="004702D2">
        <w:rPr>
          <w:rFonts w:asciiTheme="majorHAnsi" w:hAnsiTheme="majorHAnsi"/>
        </w:rPr>
        <w:t xml:space="preserve"> departments</w:t>
      </w:r>
      <w:r w:rsidR="009252DC">
        <w:rPr>
          <w:rFonts w:asciiTheme="majorHAnsi" w:hAnsiTheme="majorHAnsi"/>
        </w:rPr>
        <w:t>.</w:t>
      </w:r>
      <w:r w:rsidR="004702D2">
        <w:rPr>
          <w:rFonts w:asciiTheme="majorHAnsi" w:hAnsiTheme="majorHAnsi"/>
        </w:rPr>
        <w:t xml:space="preserve"> </w:t>
      </w:r>
      <w:r w:rsidR="00350C8C">
        <w:rPr>
          <w:rFonts w:asciiTheme="majorHAnsi" w:hAnsiTheme="majorHAnsi"/>
        </w:rPr>
        <w:t xml:space="preserve">This data collection is authorized by Section 301 of the Public Health Service Act (42 U.S.C. </w:t>
      </w:r>
      <w:r w:rsidR="00350C8C" w:rsidRPr="001A28F6">
        <w:rPr>
          <w:rFonts w:asciiTheme="majorHAnsi" w:hAnsiTheme="majorHAnsi"/>
        </w:rPr>
        <w:t>241).</w:t>
      </w:r>
    </w:p>
    <w:p w:rsidR="00595D41" w:rsidRDefault="00595D41" w:rsidP="00A800E8">
      <w:pPr>
        <w:pStyle w:val="Header"/>
        <w:tabs>
          <w:tab w:val="clear" w:pos="4680"/>
        </w:tabs>
        <w:spacing w:line="276" w:lineRule="auto"/>
        <w:rPr>
          <w:rFonts w:asciiTheme="majorHAnsi" w:hAnsiTheme="majorHAnsi"/>
        </w:rPr>
      </w:pPr>
    </w:p>
    <w:p w:rsidR="0035340D" w:rsidRDefault="00595D41" w:rsidP="00A800E8">
      <w:pPr>
        <w:pStyle w:val="Header"/>
        <w:spacing w:line="276" w:lineRule="auto"/>
        <w:contextualSpacing/>
        <w:rPr>
          <w:rFonts w:asciiTheme="majorHAnsi" w:hAnsiTheme="majorHAnsi"/>
        </w:rPr>
      </w:pPr>
      <w:r>
        <w:rPr>
          <w:rFonts w:asciiTheme="majorHAnsi" w:hAnsiTheme="majorHAnsi"/>
        </w:rPr>
        <w:t>Since 2010, th</w:t>
      </w:r>
      <w:r w:rsidRPr="00595D41">
        <w:rPr>
          <w:rFonts w:asciiTheme="majorHAnsi" w:hAnsiTheme="majorHAnsi"/>
        </w:rPr>
        <w:t>e</w:t>
      </w:r>
      <w:r>
        <w:rPr>
          <w:rFonts w:asciiTheme="majorHAnsi" w:hAnsiTheme="majorHAnsi"/>
        </w:rPr>
        <w:t xml:space="preserve"> Centers for Disease Control and Prevention (CDC)’s</w:t>
      </w:r>
      <w:r w:rsidRPr="00595D41">
        <w:rPr>
          <w:rFonts w:asciiTheme="majorHAnsi" w:hAnsiTheme="majorHAnsi"/>
        </w:rPr>
        <w:t xml:space="preserve"> Epidemiology and Laboratory Capacity for Infectious Diseases Cooperative Agreement (ELC)</w:t>
      </w:r>
      <w:r>
        <w:rPr>
          <w:rFonts w:asciiTheme="majorHAnsi" w:hAnsiTheme="majorHAnsi"/>
        </w:rPr>
        <w:t xml:space="preserve"> has helped</w:t>
      </w:r>
      <w:r w:rsidR="002A4222">
        <w:rPr>
          <w:rFonts w:asciiTheme="majorHAnsi" w:hAnsiTheme="majorHAnsi"/>
        </w:rPr>
        <w:t xml:space="preserve"> states </w:t>
      </w:r>
      <w:r w:rsidRPr="00595D41">
        <w:rPr>
          <w:rFonts w:asciiTheme="majorHAnsi" w:hAnsiTheme="majorHAnsi"/>
        </w:rPr>
        <w:t>strengthen core epidemiology and laboratory capacity needed to track and respond quickly to a variety of infectious disease</w:t>
      </w:r>
      <w:r w:rsidR="00034970">
        <w:rPr>
          <w:rFonts w:asciiTheme="majorHAnsi" w:hAnsiTheme="majorHAnsi"/>
        </w:rPr>
        <w:t>s</w:t>
      </w:r>
      <w:bookmarkStart w:id="0" w:name="_GoBack"/>
      <w:bookmarkEnd w:id="0"/>
      <w:r w:rsidRPr="00595D41">
        <w:rPr>
          <w:rFonts w:asciiTheme="majorHAnsi" w:hAnsiTheme="majorHAnsi"/>
        </w:rPr>
        <w:t>.</w:t>
      </w:r>
      <w:r w:rsidR="004D0AD6">
        <w:rPr>
          <w:rFonts w:asciiTheme="majorHAnsi" w:hAnsiTheme="majorHAnsi"/>
        </w:rPr>
        <w:t xml:space="preserve"> </w:t>
      </w:r>
      <w:r w:rsidR="001F3F1D">
        <w:rPr>
          <w:rFonts w:asciiTheme="majorHAnsi" w:hAnsiTheme="majorHAnsi"/>
        </w:rPr>
        <w:t xml:space="preserve">This cooperative agreement currently </w:t>
      </w:r>
      <w:r w:rsidR="001F3F1D" w:rsidRPr="001F3F1D">
        <w:rPr>
          <w:rFonts w:asciiTheme="majorHAnsi" w:hAnsiTheme="majorHAnsi"/>
        </w:rPr>
        <w:t>provides funding to all 50 state health departments, six local health departments (Los Angeles County, Philadelphia, New York City, Chicago, Houston and the District of Columbia), and eight territories or U.S. affiliates</w:t>
      </w:r>
      <w:r w:rsidR="00720FCF">
        <w:rPr>
          <w:rFonts w:asciiTheme="majorHAnsi" w:hAnsiTheme="majorHAnsi"/>
        </w:rPr>
        <w:t xml:space="preserve">. </w:t>
      </w:r>
    </w:p>
    <w:p w:rsidR="00034970" w:rsidRDefault="00034970" w:rsidP="00A800E8">
      <w:pPr>
        <w:pStyle w:val="Header"/>
        <w:spacing w:line="276" w:lineRule="auto"/>
        <w:contextualSpacing/>
        <w:rPr>
          <w:rFonts w:asciiTheme="majorHAnsi" w:hAnsiTheme="majorHAnsi"/>
        </w:rPr>
      </w:pPr>
    </w:p>
    <w:p w:rsidR="004D0AD6" w:rsidRDefault="00720FCF" w:rsidP="00A800E8">
      <w:pPr>
        <w:pStyle w:val="Header"/>
        <w:spacing w:line="276" w:lineRule="auto"/>
        <w:contextualSpacing/>
        <w:rPr>
          <w:rFonts w:asciiTheme="majorHAnsi" w:hAnsiTheme="majorHAnsi"/>
        </w:rPr>
      </w:pPr>
      <w:r>
        <w:rPr>
          <w:rFonts w:asciiTheme="majorHAnsi" w:hAnsiTheme="majorHAnsi"/>
        </w:rPr>
        <w:t xml:space="preserve">ELC aims to </w:t>
      </w:r>
      <w:r w:rsidR="001F3F1D" w:rsidRPr="001F3F1D">
        <w:rPr>
          <w:rFonts w:asciiTheme="majorHAnsi" w:hAnsiTheme="majorHAnsi"/>
        </w:rPr>
        <w:t>protect</w:t>
      </w:r>
      <w:r w:rsidR="0035340D">
        <w:rPr>
          <w:rFonts w:asciiTheme="majorHAnsi" w:hAnsiTheme="majorHAnsi"/>
        </w:rPr>
        <w:t xml:space="preserve"> </w:t>
      </w:r>
      <w:r w:rsidR="001F3F1D" w:rsidRPr="001F3F1D">
        <w:rPr>
          <w:rFonts w:asciiTheme="majorHAnsi" w:hAnsiTheme="majorHAnsi"/>
        </w:rPr>
        <w:t>the public health and safety of the American people by enhancing the capacity of health departments to effectively detect, respond, prevent and control known and emerging (or re-emerging) infectious diseases</w:t>
      </w:r>
      <w:r w:rsidR="00C90C53">
        <w:rPr>
          <w:rFonts w:asciiTheme="majorHAnsi" w:hAnsiTheme="majorHAnsi"/>
        </w:rPr>
        <w:t xml:space="preserve"> (</w:t>
      </w:r>
      <w:r w:rsidR="00C90C53">
        <w:rPr>
          <w:rFonts w:asciiTheme="majorHAnsi" w:hAnsiTheme="majorHAnsi"/>
          <w:b/>
        </w:rPr>
        <w:t xml:space="preserve">see Attachment </w:t>
      </w:r>
      <w:r w:rsidR="00527C28">
        <w:rPr>
          <w:rFonts w:asciiTheme="majorHAnsi" w:hAnsiTheme="majorHAnsi"/>
          <w:b/>
        </w:rPr>
        <w:t>A</w:t>
      </w:r>
      <w:r w:rsidR="00C90C53">
        <w:rPr>
          <w:rFonts w:asciiTheme="majorHAnsi" w:hAnsiTheme="majorHAnsi"/>
          <w:b/>
        </w:rPr>
        <w:t xml:space="preserve"> – ELC Logic Model</w:t>
      </w:r>
      <w:r w:rsidR="00C90C53">
        <w:rPr>
          <w:rFonts w:asciiTheme="majorHAnsi" w:hAnsiTheme="majorHAnsi"/>
        </w:rPr>
        <w:t>)</w:t>
      </w:r>
      <w:r w:rsidR="001F3F1D" w:rsidRPr="001F3F1D">
        <w:rPr>
          <w:rFonts w:asciiTheme="majorHAnsi" w:hAnsiTheme="majorHAnsi"/>
        </w:rPr>
        <w:t xml:space="preserve">. </w:t>
      </w:r>
      <w:r w:rsidR="004D0AD6" w:rsidRPr="004D0AD6">
        <w:rPr>
          <w:rFonts w:asciiTheme="majorHAnsi" w:hAnsiTheme="majorHAnsi"/>
        </w:rPr>
        <w:t xml:space="preserve">This goal is accomplished by providing targeted resources and support so </w:t>
      </w:r>
      <w:r w:rsidR="001F3F1D">
        <w:rPr>
          <w:rFonts w:asciiTheme="majorHAnsi" w:hAnsiTheme="majorHAnsi"/>
        </w:rPr>
        <w:t>health departments</w:t>
      </w:r>
      <w:r w:rsidR="004D0AD6" w:rsidRPr="004D0AD6">
        <w:rPr>
          <w:rFonts w:asciiTheme="majorHAnsi" w:hAnsiTheme="majorHAnsi"/>
        </w:rPr>
        <w:t xml:space="preserve"> can:</w:t>
      </w:r>
    </w:p>
    <w:p w:rsidR="004D0AD6" w:rsidRPr="004D0AD6" w:rsidRDefault="004D0AD6" w:rsidP="00A800E8">
      <w:pPr>
        <w:pStyle w:val="Header"/>
        <w:spacing w:line="276" w:lineRule="auto"/>
        <w:contextualSpacing/>
        <w:rPr>
          <w:rFonts w:asciiTheme="majorHAnsi" w:hAnsiTheme="majorHAnsi"/>
        </w:rPr>
      </w:pPr>
    </w:p>
    <w:p w:rsidR="004D0AD6" w:rsidRPr="004D0AD6" w:rsidRDefault="004D0AD6" w:rsidP="00A800E8">
      <w:pPr>
        <w:pStyle w:val="Header"/>
        <w:numPr>
          <w:ilvl w:val="0"/>
          <w:numId w:val="27"/>
        </w:numPr>
        <w:spacing w:line="276" w:lineRule="auto"/>
        <w:ind w:left="720"/>
        <w:contextualSpacing/>
        <w:rPr>
          <w:rFonts w:asciiTheme="majorHAnsi" w:hAnsiTheme="majorHAnsi"/>
        </w:rPr>
      </w:pPr>
      <w:r w:rsidRPr="004D0AD6">
        <w:rPr>
          <w:rFonts w:asciiTheme="majorHAnsi" w:hAnsiTheme="majorHAnsi"/>
        </w:rPr>
        <w:t>Strengthen epidemiological capacity;</w:t>
      </w:r>
    </w:p>
    <w:p w:rsidR="004D0AD6" w:rsidRPr="004D0AD6" w:rsidRDefault="004D0AD6" w:rsidP="00A800E8">
      <w:pPr>
        <w:pStyle w:val="Header"/>
        <w:numPr>
          <w:ilvl w:val="0"/>
          <w:numId w:val="27"/>
        </w:numPr>
        <w:spacing w:line="276" w:lineRule="auto"/>
        <w:ind w:left="720"/>
        <w:contextualSpacing/>
        <w:rPr>
          <w:rFonts w:asciiTheme="majorHAnsi" w:hAnsiTheme="majorHAnsi"/>
        </w:rPr>
      </w:pPr>
      <w:r w:rsidRPr="004D0AD6">
        <w:rPr>
          <w:rFonts w:asciiTheme="majorHAnsi" w:hAnsiTheme="majorHAnsi"/>
        </w:rPr>
        <w:t>Enhance laboratory capacity;</w:t>
      </w:r>
    </w:p>
    <w:p w:rsidR="004D0AD6" w:rsidRPr="004D0AD6" w:rsidRDefault="004D0AD6" w:rsidP="00A800E8">
      <w:pPr>
        <w:pStyle w:val="Header"/>
        <w:numPr>
          <w:ilvl w:val="0"/>
          <w:numId w:val="27"/>
        </w:numPr>
        <w:spacing w:line="276" w:lineRule="auto"/>
        <w:ind w:left="720"/>
        <w:contextualSpacing/>
        <w:rPr>
          <w:rFonts w:asciiTheme="majorHAnsi" w:hAnsiTheme="majorHAnsi"/>
        </w:rPr>
      </w:pPr>
      <w:r w:rsidRPr="004D0AD6">
        <w:rPr>
          <w:rFonts w:asciiTheme="majorHAnsi" w:hAnsiTheme="majorHAnsi"/>
        </w:rPr>
        <w:t>Improve health i</w:t>
      </w:r>
      <w:r w:rsidR="0035340D">
        <w:rPr>
          <w:rFonts w:asciiTheme="majorHAnsi" w:hAnsiTheme="majorHAnsi"/>
        </w:rPr>
        <w:t>nformation systems;</w:t>
      </w:r>
    </w:p>
    <w:p w:rsidR="00595D41" w:rsidRDefault="0035340D" w:rsidP="00A800E8">
      <w:pPr>
        <w:pStyle w:val="Header"/>
        <w:numPr>
          <w:ilvl w:val="0"/>
          <w:numId w:val="27"/>
        </w:numPr>
        <w:tabs>
          <w:tab w:val="clear" w:pos="4680"/>
        </w:tabs>
        <w:spacing w:line="276" w:lineRule="auto"/>
        <w:ind w:left="720"/>
        <w:contextualSpacing/>
        <w:rPr>
          <w:rFonts w:asciiTheme="majorHAnsi" w:hAnsiTheme="majorHAnsi"/>
        </w:rPr>
      </w:pPr>
      <w:r>
        <w:rPr>
          <w:rFonts w:asciiTheme="majorHAnsi" w:hAnsiTheme="majorHAnsi"/>
        </w:rPr>
        <w:t>And e</w:t>
      </w:r>
      <w:r w:rsidR="004D0AD6" w:rsidRPr="004D0AD6">
        <w:rPr>
          <w:rFonts w:asciiTheme="majorHAnsi" w:hAnsiTheme="majorHAnsi"/>
        </w:rPr>
        <w:t>nhance collaboration among epidemiology, laboratory, and health information systems components of public health departments and their partners (e.g., commercial labs, hospitals) within and across public health jurisdictions.</w:t>
      </w:r>
    </w:p>
    <w:p w:rsidR="00575484" w:rsidRPr="001A28F6" w:rsidRDefault="00575484" w:rsidP="00A800E8">
      <w:pPr>
        <w:pStyle w:val="Header"/>
        <w:tabs>
          <w:tab w:val="clear" w:pos="4680"/>
        </w:tabs>
        <w:spacing w:line="276" w:lineRule="auto"/>
        <w:ind w:left="720"/>
        <w:contextualSpacing/>
        <w:rPr>
          <w:rFonts w:asciiTheme="majorHAnsi" w:hAnsiTheme="majorHAnsi"/>
        </w:rPr>
      </w:pPr>
    </w:p>
    <w:p w:rsidR="004F67A8" w:rsidRDefault="00575484" w:rsidP="00A800E8">
      <w:pPr>
        <w:spacing w:after="0"/>
        <w:rPr>
          <w:rFonts w:asciiTheme="majorHAnsi" w:hAnsiTheme="majorHAnsi"/>
        </w:rPr>
      </w:pPr>
      <w:r w:rsidRPr="00575484">
        <w:rPr>
          <w:rFonts w:asciiTheme="majorHAnsi" w:hAnsiTheme="majorHAnsi"/>
        </w:rPr>
        <w:t xml:space="preserve">The focus of </w:t>
      </w:r>
      <w:r>
        <w:rPr>
          <w:rFonts w:asciiTheme="majorHAnsi" w:hAnsiTheme="majorHAnsi"/>
        </w:rPr>
        <w:t>ELC</w:t>
      </w:r>
      <w:r w:rsidRPr="00575484">
        <w:rPr>
          <w:rFonts w:asciiTheme="majorHAnsi" w:hAnsiTheme="majorHAnsi"/>
        </w:rPr>
        <w:t xml:space="preserve"> activities is primarily on naturally occurring infectious diseases, drug-resistant infections, and health information systems capacity. There are two primary classes of ELC activities: (1) categorical (disease-specific) activities where various CDC programs provide funding and technical resources for specific activities; and (2) flexible activities where grantees use funds to address remaining high-priority needs and respond to unexpected infectious disease issues.</w:t>
      </w:r>
    </w:p>
    <w:p w:rsidR="00575484" w:rsidRDefault="00575484" w:rsidP="00F52BCC">
      <w:pPr>
        <w:spacing w:after="0"/>
        <w:ind w:left="720"/>
        <w:rPr>
          <w:rFonts w:asciiTheme="majorHAnsi" w:hAnsiTheme="majorHAnsi"/>
        </w:rPr>
      </w:pPr>
    </w:p>
    <w:p w:rsidR="00E77488" w:rsidRDefault="00E77488" w:rsidP="00A800E8">
      <w:pPr>
        <w:spacing w:after="0"/>
        <w:rPr>
          <w:rFonts w:asciiTheme="majorHAnsi" w:hAnsiTheme="majorHAnsi"/>
        </w:rPr>
      </w:pPr>
      <w:r>
        <w:rPr>
          <w:rFonts w:asciiTheme="majorHAnsi" w:hAnsiTheme="majorHAnsi"/>
        </w:rPr>
        <w:t>Funding for flexible activities</w:t>
      </w:r>
      <w:r w:rsidR="00DA34EB">
        <w:rPr>
          <w:rFonts w:asciiTheme="majorHAnsi" w:hAnsiTheme="majorHAnsi"/>
        </w:rPr>
        <w:t xml:space="preserve"> has been critical in addressing high-priority areas </w:t>
      </w:r>
      <w:r w:rsidR="0086716F">
        <w:rPr>
          <w:rFonts w:asciiTheme="majorHAnsi" w:hAnsiTheme="majorHAnsi"/>
        </w:rPr>
        <w:t xml:space="preserve">and </w:t>
      </w:r>
      <w:r w:rsidR="00DA34EB">
        <w:rPr>
          <w:rFonts w:asciiTheme="majorHAnsi" w:hAnsiTheme="majorHAnsi"/>
        </w:rPr>
        <w:t xml:space="preserve">unexpected infectious disease issues. </w:t>
      </w:r>
      <w:r w:rsidR="003B13E9">
        <w:rPr>
          <w:rFonts w:asciiTheme="majorHAnsi" w:hAnsiTheme="majorHAnsi"/>
        </w:rPr>
        <w:t xml:space="preserve">In the past few years, </w:t>
      </w:r>
      <w:r w:rsidR="003B13E9" w:rsidRPr="00720FCF">
        <w:rPr>
          <w:rFonts w:asciiTheme="majorHAnsi" w:hAnsiTheme="majorHAnsi"/>
        </w:rPr>
        <w:t>health departments have faced a number of organizational and fiscal challenges around hiring and maintaining personnel. New standards have been developed to improve aspects of public health which require more resources to implement. Yet, according to 2009 findings from a National Assessment of Epidemiology Capacity conducted by the Council of State and Territorial Epidemiologists, the overall ability to address the Essential Services of Public Health has dec</w:t>
      </w:r>
      <w:r w:rsidR="003B13E9">
        <w:rPr>
          <w:rFonts w:asciiTheme="majorHAnsi" w:hAnsiTheme="majorHAnsi"/>
        </w:rPr>
        <w:t>lined; from 2006 to 2009, t</w:t>
      </w:r>
      <w:r w:rsidR="003B13E9" w:rsidRPr="00720FCF">
        <w:rPr>
          <w:rFonts w:asciiTheme="majorHAnsi" w:hAnsiTheme="majorHAnsi"/>
        </w:rPr>
        <w:t xml:space="preserve">he total number of epidemiologists per 100,000 population has </w:t>
      </w:r>
      <w:r w:rsidR="003B13E9">
        <w:rPr>
          <w:rFonts w:asciiTheme="majorHAnsi" w:hAnsiTheme="majorHAnsi"/>
        </w:rPr>
        <w:t>decreased 12 percent (from 0.82 to 0.70 per 100,000).</w:t>
      </w:r>
      <w:r w:rsidR="00DC15F8">
        <w:rPr>
          <w:rFonts w:asciiTheme="majorHAnsi" w:hAnsiTheme="majorHAnsi"/>
        </w:rPr>
        <w:t xml:space="preserve">  </w:t>
      </w:r>
      <w:r w:rsidR="003B13E9">
        <w:rPr>
          <w:rFonts w:asciiTheme="majorHAnsi" w:hAnsiTheme="majorHAnsi"/>
        </w:rPr>
        <w:t xml:space="preserve">Thus, of particular </w:t>
      </w:r>
      <w:r w:rsidR="003B13E9">
        <w:rPr>
          <w:rFonts w:asciiTheme="majorHAnsi" w:hAnsiTheme="majorHAnsi"/>
        </w:rPr>
        <w:lastRenderedPageBreak/>
        <w:t>importance here are ELC’s  Fl</w:t>
      </w:r>
      <w:r w:rsidR="003B13E9" w:rsidRPr="00575484">
        <w:rPr>
          <w:rFonts w:asciiTheme="majorHAnsi" w:hAnsiTheme="majorHAnsi"/>
        </w:rPr>
        <w:t xml:space="preserve">exible </w:t>
      </w:r>
      <w:r w:rsidR="003B13E9">
        <w:rPr>
          <w:rFonts w:asciiTheme="majorHAnsi" w:hAnsiTheme="majorHAnsi"/>
        </w:rPr>
        <w:t>E</w:t>
      </w:r>
      <w:r w:rsidR="003B13E9" w:rsidRPr="00575484">
        <w:rPr>
          <w:rFonts w:asciiTheme="majorHAnsi" w:hAnsiTheme="majorHAnsi"/>
        </w:rPr>
        <w:t>pidemiologist</w:t>
      </w:r>
      <w:r w:rsidR="003B13E9">
        <w:rPr>
          <w:rFonts w:asciiTheme="majorHAnsi" w:hAnsiTheme="majorHAnsi"/>
        </w:rPr>
        <w:t xml:space="preserve"> positions</w:t>
      </w:r>
      <w:r w:rsidR="003B13E9" w:rsidRPr="00575484">
        <w:rPr>
          <w:rFonts w:asciiTheme="majorHAnsi" w:hAnsiTheme="majorHAnsi"/>
        </w:rPr>
        <w:t xml:space="preserve"> </w:t>
      </w:r>
      <w:r w:rsidR="003B13E9">
        <w:rPr>
          <w:rFonts w:asciiTheme="majorHAnsi" w:hAnsiTheme="majorHAnsi"/>
        </w:rPr>
        <w:t>that s</w:t>
      </w:r>
      <w:r w:rsidR="003B13E9" w:rsidRPr="00575484">
        <w:rPr>
          <w:rFonts w:asciiTheme="majorHAnsi" w:hAnsiTheme="majorHAnsi"/>
        </w:rPr>
        <w:t xml:space="preserve">tate, local and territorial health departments </w:t>
      </w:r>
      <w:r w:rsidR="003B13E9">
        <w:rPr>
          <w:rFonts w:asciiTheme="majorHAnsi" w:hAnsiTheme="majorHAnsi"/>
        </w:rPr>
        <w:t xml:space="preserve">utilize for </w:t>
      </w:r>
      <w:r w:rsidR="003B13E9" w:rsidRPr="00575484">
        <w:rPr>
          <w:rFonts w:asciiTheme="majorHAnsi" w:hAnsiTheme="majorHAnsi"/>
        </w:rPr>
        <w:t xml:space="preserve"> infectious disease projects or emergencies that are not strictly tied to a disease-specific funding stream. </w:t>
      </w:r>
      <w:r w:rsidR="0086716F">
        <w:rPr>
          <w:rFonts w:asciiTheme="majorHAnsi" w:hAnsiTheme="majorHAnsi"/>
        </w:rPr>
        <w:t xml:space="preserve">For example, during the Multistate Fungal Meningitis Outbreak Investigation in 2012, ELC resources supported a Flexible Epidemiologist who was utilized for Kentucky’s outbreak response.  </w:t>
      </w:r>
      <w:r w:rsidR="003B13E9" w:rsidRPr="00575484">
        <w:rPr>
          <w:rFonts w:asciiTheme="majorHAnsi" w:hAnsiTheme="majorHAnsi"/>
        </w:rPr>
        <w:t xml:space="preserve">Rhode Island </w:t>
      </w:r>
      <w:r w:rsidR="003B13E9">
        <w:rPr>
          <w:rFonts w:asciiTheme="majorHAnsi" w:hAnsiTheme="majorHAnsi"/>
        </w:rPr>
        <w:t>also stated:</w:t>
      </w:r>
      <w:r w:rsidR="003B13E9" w:rsidRPr="00575484">
        <w:rPr>
          <w:rFonts w:asciiTheme="majorHAnsi" w:hAnsiTheme="majorHAnsi"/>
        </w:rPr>
        <w:t xml:space="preserve"> “Fungal meningitis [was] not a core assignment for any of our epidemiologists so having flexible deployable epidemiologists as funded by </w:t>
      </w:r>
      <w:r w:rsidR="003B13E9">
        <w:rPr>
          <w:rFonts w:asciiTheme="majorHAnsi" w:hAnsiTheme="majorHAnsi"/>
        </w:rPr>
        <w:t>[the Affordable Care Act]</w:t>
      </w:r>
      <w:r w:rsidR="003B13E9" w:rsidRPr="00575484">
        <w:rPr>
          <w:rFonts w:asciiTheme="majorHAnsi" w:hAnsiTheme="majorHAnsi"/>
        </w:rPr>
        <w:t xml:space="preserve"> was v</w:t>
      </w:r>
      <w:r w:rsidR="003B13E9">
        <w:rPr>
          <w:rFonts w:asciiTheme="majorHAnsi" w:hAnsiTheme="majorHAnsi"/>
        </w:rPr>
        <w:t>ery useful in our small office.” When North Dakota lost funding for a Foodborne Epidemiologist, the ELC Flexible Epidemiologist absorbed some of the responsibilities of that role</w:t>
      </w:r>
      <w:r w:rsidR="00B24E02">
        <w:rPr>
          <w:rFonts w:asciiTheme="majorHAnsi" w:hAnsiTheme="majorHAnsi"/>
        </w:rPr>
        <w:t xml:space="preserve"> so that Foodborne Disease Outbreak surveillance could continue</w:t>
      </w:r>
      <w:r w:rsidR="003B13E9">
        <w:rPr>
          <w:rFonts w:asciiTheme="majorHAnsi" w:hAnsiTheme="majorHAnsi"/>
        </w:rPr>
        <w:t xml:space="preserve">. This strategy supports </w:t>
      </w:r>
      <w:r w:rsidR="003B13E9" w:rsidRPr="00720FCF">
        <w:rPr>
          <w:rFonts w:asciiTheme="majorHAnsi" w:hAnsiTheme="majorHAnsi"/>
        </w:rPr>
        <w:t>the overall goal of ELC</w:t>
      </w:r>
      <w:r w:rsidR="003B13E9">
        <w:rPr>
          <w:rFonts w:asciiTheme="majorHAnsi" w:hAnsiTheme="majorHAnsi"/>
        </w:rPr>
        <w:t xml:space="preserve"> by enhancing</w:t>
      </w:r>
      <w:r w:rsidR="003B13E9" w:rsidRPr="00720FCF">
        <w:rPr>
          <w:rFonts w:asciiTheme="majorHAnsi" w:hAnsiTheme="majorHAnsi"/>
        </w:rPr>
        <w:t xml:space="preserve"> the capacity of state and local health departments to effectively prevent and control known and emerging (or re-emerging infectious dis</w:t>
      </w:r>
      <w:r w:rsidR="003B13E9">
        <w:rPr>
          <w:rFonts w:asciiTheme="majorHAnsi" w:hAnsiTheme="majorHAnsi"/>
        </w:rPr>
        <w:t xml:space="preserve">eases). </w:t>
      </w:r>
    </w:p>
    <w:p w:rsidR="00896DA9" w:rsidRDefault="00896DA9" w:rsidP="00E77488">
      <w:pPr>
        <w:spacing w:after="0"/>
        <w:ind w:left="720"/>
        <w:rPr>
          <w:rFonts w:asciiTheme="majorHAnsi" w:hAnsiTheme="majorHAnsi"/>
        </w:rPr>
      </w:pPr>
    </w:p>
    <w:p w:rsidR="00446E7A" w:rsidRDefault="00E77488" w:rsidP="00DC15F8">
      <w:pPr>
        <w:spacing w:after="0"/>
        <w:rPr>
          <w:rFonts w:asciiTheme="majorHAnsi" w:hAnsiTheme="majorHAnsi"/>
        </w:rPr>
      </w:pPr>
      <w:r>
        <w:rPr>
          <w:rFonts w:asciiTheme="majorHAnsi" w:hAnsiTheme="majorHAnsi"/>
        </w:rPr>
        <w:t>Epidemiologist positions</w:t>
      </w:r>
      <w:r w:rsidR="00DA34EB" w:rsidRPr="00575484">
        <w:rPr>
          <w:rFonts w:asciiTheme="majorHAnsi" w:hAnsiTheme="majorHAnsi"/>
        </w:rPr>
        <w:t xml:space="preserve"> </w:t>
      </w:r>
      <w:r w:rsidR="00B8713C">
        <w:rPr>
          <w:rFonts w:asciiTheme="majorHAnsi" w:hAnsiTheme="majorHAnsi"/>
        </w:rPr>
        <w:t xml:space="preserve">that are not limited to working </w:t>
      </w:r>
      <w:r w:rsidR="00CA27A5">
        <w:rPr>
          <w:rFonts w:asciiTheme="majorHAnsi" w:hAnsiTheme="majorHAnsi"/>
        </w:rPr>
        <w:t xml:space="preserve">on </w:t>
      </w:r>
      <w:r w:rsidR="00B8713C">
        <w:rPr>
          <w:rFonts w:asciiTheme="majorHAnsi" w:hAnsiTheme="majorHAnsi"/>
        </w:rPr>
        <w:t>on</w:t>
      </w:r>
      <w:r w:rsidR="00877D04">
        <w:rPr>
          <w:rFonts w:asciiTheme="majorHAnsi" w:hAnsiTheme="majorHAnsi"/>
        </w:rPr>
        <w:t>e</w:t>
      </w:r>
      <w:r w:rsidR="00B8713C">
        <w:rPr>
          <w:rFonts w:asciiTheme="majorHAnsi" w:hAnsiTheme="majorHAnsi"/>
        </w:rPr>
        <w:t xml:space="preserve"> </w:t>
      </w:r>
      <w:r w:rsidR="00877D04">
        <w:rPr>
          <w:rFonts w:asciiTheme="majorHAnsi" w:hAnsiTheme="majorHAnsi"/>
        </w:rPr>
        <w:t xml:space="preserve">specific disease </w:t>
      </w:r>
      <w:r w:rsidR="00DA34EB" w:rsidRPr="00575484">
        <w:rPr>
          <w:rFonts w:asciiTheme="majorHAnsi" w:hAnsiTheme="majorHAnsi"/>
        </w:rPr>
        <w:t xml:space="preserve">highlight ELC’s </w:t>
      </w:r>
      <w:r w:rsidR="008621E5">
        <w:rPr>
          <w:rFonts w:asciiTheme="majorHAnsi" w:hAnsiTheme="majorHAnsi"/>
        </w:rPr>
        <w:t>commitment to</w:t>
      </w:r>
      <w:r w:rsidR="002C35F3">
        <w:rPr>
          <w:rFonts w:asciiTheme="majorHAnsi" w:hAnsiTheme="majorHAnsi"/>
        </w:rPr>
        <w:t xml:space="preserve"> </w:t>
      </w:r>
      <w:r w:rsidR="00DA34EB" w:rsidRPr="00575484">
        <w:rPr>
          <w:rFonts w:asciiTheme="majorHAnsi" w:hAnsiTheme="majorHAnsi"/>
        </w:rPr>
        <w:t>provid</w:t>
      </w:r>
      <w:r w:rsidR="002C35F3">
        <w:rPr>
          <w:rFonts w:asciiTheme="majorHAnsi" w:hAnsiTheme="majorHAnsi"/>
        </w:rPr>
        <w:t>ing</w:t>
      </w:r>
      <w:r w:rsidR="00C90168">
        <w:rPr>
          <w:rFonts w:asciiTheme="majorHAnsi" w:hAnsiTheme="majorHAnsi"/>
        </w:rPr>
        <w:t xml:space="preserve"> flexible</w:t>
      </w:r>
      <w:r w:rsidR="00DA34EB" w:rsidRPr="00575484">
        <w:rPr>
          <w:rFonts w:asciiTheme="majorHAnsi" w:hAnsiTheme="majorHAnsi"/>
        </w:rPr>
        <w:t xml:space="preserve"> </w:t>
      </w:r>
      <w:r w:rsidR="002C35F3">
        <w:rPr>
          <w:rFonts w:asciiTheme="majorHAnsi" w:hAnsiTheme="majorHAnsi"/>
        </w:rPr>
        <w:t>support for</w:t>
      </w:r>
      <w:r w:rsidR="00DA34EB" w:rsidRPr="00575484">
        <w:rPr>
          <w:rFonts w:asciiTheme="majorHAnsi" w:hAnsiTheme="majorHAnsi"/>
        </w:rPr>
        <w:t xml:space="preserve"> infectious disease activities </w:t>
      </w:r>
      <w:r w:rsidR="002C35F3">
        <w:rPr>
          <w:rFonts w:asciiTheme="majorHAnsi" w:hAnsiTheme="majorHAnsi"/>
        </w:rPr>
        <w:t>awardees</w:t>
      </w:r>
      <w:r w:rsidR="00DA34EB" w:rsidRPr="00575484">
        <w:rPr>
          <w:rFonts w:asciiTheme="majorHAnsi" w:hAnsiTheme="majorHAnsi"/>
        </w:rPr>
        <w:t xml:space="preserve"> deem highest priorities. </w:t>
      </w:r>
      <w:r w:rsidR="00DA34EB">
        <w:rPr>
          <w:rFonts w:asciiTheme="majorHAnsi" w:hAnsiTheme="majorHAnsi"/>
        </w:rPr>
        <w:t>Since 2010</w:t>
      </w:r>
      <w:r w:rsidR="00575484" w:rsidRPr="00575484">
        <w:rPr>
          <w:rFonts w:asciiTheme="majorHAnsi" w:hAnsiTheme="majorHAnsi"/>
        </w:rPr>
        <w:t>, ELC</w:t>
      </w:r>
      <w:r w:rsidR="00DA34EB">
        <w:rPr>
          <w:rFonts w:asciiTheme="majorHAnsi" w:hAnsiTheme="majorHAnsi"/>
        </w:rPr>
        <w:t xml:space="preserve"> has provided funding for </w:t>
      </w:r>
      <w:r w:rsidR="002C35F3">
        <w:rPr>
          <w:rFonts w:asciiTheme="majorHAnsi" w:hAnsiTheme="majorHAnsi"/>
        </w:rPr>
        <w:t>approximately 50 part- and full-time Flexible Epidemiologists</w:t>
      </w:r>
      <w:r w:rsidR="00575484" w:rsidRPr="00575484">
        <w:rPr>
          <w:rFonts w:asciiTheme="majorHAnsi" w:hAnsiTheme="majorHAnsi"/>
        </w:rPr>
        <w:t xml:space="preserve"> (also known as “non-categorical” and “multi-disease epidemiologists”) in </w:t>
      </w:r>
      <w:r w:rsidR="002C35F3">
        <w:rPr>
          <w:rFonts w:asciiTheme="majorHAnsi" w:hAnsiTheme="majorHAnsi"/>
        </w:rPr>
        <w:t>40</w:t>
      </w:r>
      <w:r w:rsidR="00575484" w:rsidRPr="00575484">
        <w:rPr>
          <w:rFonts w:asciiTheme="majorHAnsi" w:hAnsiTheme="majorHAnsi"/>
        </w:rPr>
        <w:t xml:space="preserve"> state and local health departments. These positions have been critical in sustaining the epidemiology capacity of health departments. </w:t>
      </w:r>
    </w:p>
    <w:p w:rsidR="00446E7A" w:rsidRDefault="00446E7A" w:rsidP="00DC15F8">
      <w:pPr>
        <w:spacing w:after="0"/>
        <w:rPr>
          <w:rFonts w:asciiTheme="majorHAnsi" w:hAnsiTheme="majorHAnsi"/>
        </w:rPr>
      </w:pPr>
    </w:p>
    <w:p w:rsidR="00446E7A" w:rsidRDefault="00446E7A" w:rsidP="00DC15F8">
      <w:pPr>
        <w:spacing w:after="0"/>
        <w:rPr>
          <w:rFonts w:asciiTheme="majorHAnsi" w:hAnsiTheme="majorHAnsi"/>
        </w:rPr>
      </w:pPr>
      <w:r>
        <w:rPr>
          <w:rFonts w:asciiTheme="majorHAnsi" w:hAnsiTheme="majorHAnsi"/>
        </w:rPr>
        <w:t xml:space="preserve">To this end, this </w:t>
      </w:r>
      <w:r w:rsidR="00DA077E">
        <w:rPr>
          <w:rFonts w:asciiTheme="majorHAnsi" w:hAnsiTheme="majorHAnsi"/>
        </w:rPr>
        <w:t>assessment</w:t>
      </w:r>
      <w:r w:rsidR="00DA077E" w:rsidRPr="00446E7A">
        <w:rPr>
          <w:rFonts w:asciiTheme="majorHAnsi" w:hAnsiTheme="majorHAnsi"/>
        </w:rPr>
        <w:t xml:space="preserve"> </w:t>
      </w:r>
      <w:r w:rsidRPr="00446E7A">
        <w:rPr>
          <w:rFonts w:asciiTheme="majorHAnsi" w:hAnsiTheme="majorHAnsi"/>
        </w:rPr>
        <w:t xml:space="preserve">will collect </w:t>
      </w:r>
      <w:r>
        <w:rPr>
          <w:rFonts w:asciiTheme="majorHAnsi" w:hAnsiTheme="majorHAnsi"/>
        </w:rPr>
        <w:t xml:space="preserve">in-depth, qualitative </w:t>
      </w:r>
      <w:r w:rsidRPr="00446E7A">
        <w:rPr>
          <w:rFonts w:asciiTheme="majorHAnsi" w:hAnsiTheme="majorHAnsi"/>
        </w:rPr>
        <w:t xml:space="preserve">data to determine the overall value of these positions to health departments and identify </w:t>
      </w:r>
      <w:r>
        <w:rPr>
          <w:rFonts w:asciiTheme="majorHAnsi" w:hAnsiTheme="majorHAnsi"/>
        </w:rPr>
        <w:t>areas for improvement.</w:t>
      </w:r>
      <w:r w:rsidRPr="00446E7A">
        <w:rPr>
          <w:rFonts w:asciiTheme="majorHAnsi" w:hAnsiTheme="majorHAnsi"/>
        </w:rPr>
        <w:t xml:space="preserve"> </w:t>
      </w:r>
      <w:r w:rsidR="00102F5A">
        <w:rPr>
          <w:rFonts w:asciiTheme="majorHAnsi" w:hAnsiTheme="majorHAnsi"/>
        </w:rPr>
        <w:t xml:space="preserve"> </w:t>
      </w:r>
      <w:r w:rsidRPr="00446E7A">
        <w:rPr>
          <w:rFonts w:asciiTheme="majorHAnsi" w:hAnsiTheme="majorHAnsi"/>
        </w:rPr>
        <w:t>This will be accomplished by:</w:t>
      </w:r>
    </w:p>
    <w:p w:rsidR="00446E7A" w:rsidRPr="00446E7A" w:rsidRDefault="00446E7A" w:rsidP="00DC15F8">
      <w:pPr>
        <w:spacing w:after="0"/>
        <w:rPr>
          <w:rFonts w:asciiTheme="majorHAnsi" w:hAnsiTheme="majorHAnsi"/>
        </w:rPr>
      </w:pPr>
    </w:p>
    <w:p w:rsidR="00446E7A" w:rsidRPr="00446E7A" w:rsidRDefault="00446E7A" w:rsidP="00DC15F8">
      <w:pPr>
        <w:pStyle w:val="ListParagraph"/>
        <w:numPr>
          <w:ilvl w:val="0"/>
          <w:numId w:val="26"/>
        </w:numPr>
        <w:spacing w:after="0"/>
        <w:ind w:left="720"/>
        <w:rPr>
          <w:rFonts w:asciiTheme="majorHAnsi" w:hAnsiTheme="majorHAnsi"/>
        </w:rPr>
      </w:pPr>
      <w:r w:rsidRPr="00446E7A">
        <w:rPr>
          <w:rFonts w:asciiTheme="majorHAnsi" w:hAnsiTheme="majorHAnsi"/>
        </w:rPr>
        <w:t xml:space="preserve">Assessing the utilization of these positions to better understand what ELC flexible epidemiologists are doing – What </w:t>
      </w:r>
      <w:r>
        <w:rPr>
          <w:rFonts w:asciiTheme="majorHAnsi" w:hAnsiTheme="majorHAnsi"/>
        </w:rPr>
        <w:t>defines a</w:t>
      </w:r>
      <w:r w:rsidRPr="00446E7A">
        <w:rPr>
          <w:rFonts w:asciiTheme="majorHAnsi" w:hAnsiTheme="majorHAnsi"/>
        </w:rPr>
        <w:t xml:space="preserve"> flexible epidemiologist?</w:t>
      </w:r>
    </w:p>
    <w:p w:rsidR="00446E7A" w:rsidRPr="00446E7A" w:rsidRDefault="00446E7A" w:rsidP="00DC15F8">
      <w:pPr>
        <w:pStyle w:val="ListParagraph"/>
        <w:numPr>
          <w:ilvl w:val="0"/>
          <w:numId w:val="26"/>
        </w:numPr>
        <w:spacing w:after="0"/>
        <w:ind w:left="720"/>
        <w:rPr>
          <w:rFonts w:asciiTheme="majorHAnsi" w:hAnsiTheme="majorHAnsi"/>
        </w:rPr>
      </w:pPr>
      <w:r w:rsidRPr="00446E7A">
        <w:rPr>
          <w:rFonts w:asciiTheme="majorHAnsi" w:hAnsiTheme="majorHAnsi"/>
        </w:rPr>
        <w:t>Assessing the perceived value and need of these positions to describe how they contribute to strengthening epidemiology capacity – How do flexible epidemiologists enhance epidemiology capacity so that health departments can effectively detect, respond, prevent and control infectious diseases?</w:t>
      </w:r>
    </w:p>
    <w:p w:rsidR="00BB55A6" w:rsidRPr="00BB55A6" w:rsidRDefault="00446E7A" w:rsidP="00DC15F8">
      <w:pPr>
        <w:pStyle w:val="ListParagraph"/>
        <w:numPr>
          <w:ilvl w:val="0"/>
          <w:numId w:val="26"/>
        </w:numPr>
        <w:spacing w:after="0"/>
        <w:ind w:left="720"/>
      </w:pPr>
      <w:r w:rsidRPr="00446E7A">
        <w:rPr>
          <w:rFonts w:asciiTheme="majorHAnsi" w:hAnsiTheme="majorHAnsi"/>
        </w:rPr>
        <w:t xml:space="preserve">Capturing recommendations on how this program can be improved to better meet the needs of its participants and stakeholders – What changes should be made to </w:t>
      </w:r>
      <w:r>
        <w:rPr>
          <w:rFonts w:asciiTheme="majorHAnsi" w:hAnsiTheme="majorHAnsi"/>
        </w:rPr>
        <w:t>help facilitate or optimize the ability of flexible epidemiologists to serve stat</w:t>
      </w:r>
      <w:r w:rsidR="00BB55A6">
        <w:rPr>
          <w:rFonts w:asciiTheme="majorHAnsi" w:hAnsiTheme="majorHAnsi"/>
        </w:rPr>
        <w:t>e and local health departments?</w:t>
      </w:r>
    </w:p>
    <w:p w:rsidR="00BB55A6" w:rsidRPr="00BB55A6" w:rsidRDefault="00BB55A6" w:rsidP="00DC15F8">
      <w:pPr>
        <w:pStyle w:val="ListParagraph"/>
        <w:spacing w:after="0"/>
      </w:pPr>
    </w:p>
    <w:p w:rsidR="00BB55A6" w:rsidRDefault="00BB55A6" w:rsidP="00DC15F8">
      <w:pPr>
        <w:spacing w:after="0"/>
      </w:pPr>
      <w:r>
        <w:rPr>
          <w:rFonts w:asciiTheme="majorHAnsi" w:hAnsiTheme="majorHAnsi"/>
        </w:rPr>
        <w:t xml:space="preserve">These </w:t>
      </w:r>
      <w:r w:rsidR="00F473F7">
        <w:rPr>
          <w:rFonts w:asciiTheme="majorHAnsi" w:hAnsiTheme="majorHAnsi"/>
        </w:rPr>
        <w:t>types</w:t>
      </w:r>
      <w:r>
        <w:rPr>
          <w:rFonts w:asciiTheme="majorHAnsi" w:hAnsiTheme="majorHAnsi"/>
        </w:rPr>
        <w:t xml:space="preserve"> of questions, which include inquiries </w:t>
      </w:r>
      <w:r w:rsidR="00F473F7">
        <w:rPr>
          <w:rFonts w:asciiTheme="majorHAnsi" w:hAnsiTheme="majorHAnsi"/>
        </w:rPr>
        <w:t xml:space="preserve">for rich and detailed information, warrant a need for qualitative data.  It will allow ELC to yield richer and insightful data about how these positions have contributed to enhanced epidemiology capacity in state and local health departments, </w:t>
      </w:r>
      <w:r w:rsidR="00470378">
        <w:rPr>
          <w:rFonts w:asciiTheme="majorHAnsi" w:hAnsiTheme="majorHAnsi"/>
        </w:rPr>
        <w:t>and allow</w:t>
      </w:r>
      <w:r w:rsidR="00F473F7">
        <w:rPr>
          <w:rFonts w:asciiTheme="majorHAnsi" w:hAnsiTheme="majorHAnsi"/>
        </w:rPr>
        <w:t xml:space="preserve"> the interviewer the opportunity to clarify questions and explore specific topics of interest in-depth.</w:t>
      </w:r>
    </w:p>
    <w:p w:rsidR="002C35F3" w:rsidRPr="001A28F6" w:rsidRDefault="002C35F3" w:rsidP="00575484">
      <w:pPr>
        <w:spacing w:after="0"/>
        <w:ind w:left="720"/>
        <w:rPr>
          <w:rFonts w:asciiTheme="majorHAnsi" w:hAnsiTheme="majorHAnsi"/>
        </w:rPr>
      </w:pPr>
    </w:p>
    <w:p w:rsidR="000C02D5" w:rsidRPr="001A28F6" w:rsidRDefault="006102DA" w:rsidP="00FD7FF4">
      <w:pPr>
        <w:spacing w:after="0"/>
        <w:rPr>
          <w:rFonts w:asciiTheme="majorHAnsi" w:hAnsiTheme="majorHAnsi"/>
          <w:b/>
        </w:rPr>
      </w:pPr>
      <w:r w:rsidRPr="001A28F6">
        <w:rPr>
          <w:rFonts w:asciiTheme="majorHAnsi" w:hAnsiTheme="majorHAnsi"/>
          <w:b/>
        </w:rPr>
        <w:t>Privacy Impact Assessment</w:t>
      </w:r>
    </w:p>
    <w:p w:rsidR="0085762A" w:rsidRDefault="006102DA" w:rsidP="00FD7FF4">
      <w:pPr>
        <w:spacing w:after="0"/>
        <w:rPr>
          <w:rFonts w:asciiTheme="majorHAnsi" w:hAnsiTheme="majorHAnsi"/>
        </w:rPr>
      </w:pPr>
      <w:r w:rsidRPr="001A28F6">
        <w:rPr>
          <w:rFonts w:asciiTheme="majorHAnsi" w:hAnsiTheme="majorHAnsi"/>
          <w:u w:val="single"/>
        </w:rPr>
        <w:lastRenderedPageBreak/>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CF5F33">
        <w:rPr>
          <w:rFonts w:asciiTheme="majorHAnsi" w:hAnsiTheme="majorHAnsi"/>
        </w:rPr>
        <w:t xml:space="preserve">an in-depth interview guide </w:t>
      </w:r>
      <w:r w:rsidR="00E23568" w:rsidRPr="001A28F6">
        <w:rPr>
          <w:rFonts w:asciiTheme="majorHAnsi" w:hAnsiTheme="majorHAnsi"/>
        </w:rPr>
        <w:t>(</w:t>
      </w:r>
      <w:r w:rsidR="00E23568" w:rsidRPr="008229E4">
        <w:rPr>
          <w:rFonts w:asciiTheme="majorHAnsi" w:hAnsiTheme="majorHAnsi"/>
          <w:b/>
        </w:rPr>
        <w:t xml:space="preserve">see Attachment </w:t>
      </w:r>
      <w:r w:rsidR="00527C28">
        <w:rPr>
          <w:rFonts w:asciiTheme="majorHAnsi" w:hAnsiTheme="majorHAnsi"/>
          <w:b/>
        </w:rPr>
        <w:t>B</w:t>
      </w:r>
      <w:r w:rsidR="008229E4" w:rsidRPr="008229E4">
        <w:rPr>
          <w:rFonts w:asciiTheme="majorHAnsi" w:hAnsiTheme="majorHAnsi"/>
          <w:b/>
        </w:rPr>
        <w:t xml:space="preserve"> – </w:t>
      </w:r>
      <w:r w:rsidR="004A59C1" w:rsidRPr="004A59C1">
        <w:rPr>
          <w:rFonts w:asciiTheme="majorHAnsi" w:hAnsiTheme="majorHAnsi"/>
          <w:b/>
        </w:rPr>
        <w:t>Interview Guide Version for Principal Investigators</w:t>
      </w:r>
      <w:r w:rsidR="004A59C1">
        <w:rPr>
          <w:rFonts w:asciiTheme="majorHAnsi" w:hAnsiTheme="majorHAnsi"/>
          <w:b/>
        </w:rPr>
        <w:t xml:space="preserve"> </w:t>
      </w:r>
      <w:r w:rsidR="004674E7" w:rsidRPr="008229E4">
        <w:rPr>
          <w:rFonts w:asciiTheme="majorHAnsi" w:hAnsiTheme="majorHAnsi"/>
          <w:b/>
        </w:rPr>
        <w:t xml:space="preserve">and </w:t>
      </w:r>
      <w:r w:rsidR="008229E4" w:rsidRPr="008229E4">
        <w:rPr>
          <w:rFonts w:asciiTheme="majorHAnsi" w:hAnsiTheme="majorHAnsi"/>
          <w:b/>
        </w:rPr>
        <w:t xml:space="preserve">Attachment </w:t>
      </w:r>
      <w:r w:rsidR="00527C28">
        <w:rPr>
          <w:rFonts w:asciiTheme="majorHAnsi" w:hAnsiTheme="majorHAnsi"/>
          <w:b/>
        </w:rPr>
        <w:t>C</w:t>
      </w:r>
      <w:r w:rsidR="008229E4" w:rsidRPr="008229E4">
        <w:rPr>
          <w:rFonts w:asciiTheme="majorHAnsi" w:hAnsiTheme="majorHAnsi"/>
          <w:b/>
        </w:rPr>
        <w:t xml:space="preserve">– </w:t>
      </w:r>
      <w:r w:rsidR="004D5468">
        <w:rPr>
          <w:rFonts w:asciiTheme="majorHAnsi" w:hAnsiTheme="majorHAnsi"/>
          <w:b/>
        </w:rPr>
        <w:t xml:space="preserve">Interview Guide Version for </w:t>
      </w:r>
      <w:r w:rsidR="004A59C1">
        <w:rPr>
          <w:rFonts w:asciiTheme="majorHAnsi" w:hAnsiTheme="majorHAnsi"/>
          <w:b/>
        </w:rPr>
        <w:t>Epidemiologist</w:t>
      </w:r>
      <w:r w:rsidR="00E23568" w:rsidRPr="001A28F6">
        <w:rPr>
          <w:rFonts w:asciiTheme="majorHAnsi" w:hAnsiTheme="majorHAnsi"/>
        </w:rPr>
        <w:t>)</w:t>
      </w:r>
      <w:r w:rsidR="00D5367E" w:rsidRPr="001A28F6">
        <w:rPr>
          <w:rFonts w:asciiTheme="majorHAnsi" w:hAnsiTheme="majorHAnsi"/>
        </w:rPr>
        <w:t xml:space="preserve"> designed to </w:t>
      </w:r>
      <w:r w:rsidR="0022765A">
        <w:rPr>
          <w:rFonts w:asciiTheme="majorHAnsi" w:hAnsiTheme="majorHAnsi"/>
        </w:rPr>
        <w:t>assess</w:t>
      </w:r>
      <w:r w:rsidR="004D5468">
        <w:rPr>
          <w:rFonts w:asciiTheme="majorHAnsi" w:hAnsiTheme="majorHAnsi"/>
        </w:rPr>
        <w:t xml:space="preserve"> </w:t>
      </w:r>
      <w:r w:rsidR="00FF245F">
        <w:rPr>
          <w:rFonts w:asciiTheme="majorHAnsi" w:hAnsiTheme="majorHAnsi"/>
        </w:rPr>
        <w:t xml:space="preserve">20 </w:t>
      </w:r>
      <w:r w:rsidR="004D5468">
        <w:rPr>
          <w:rFonts w:asciiTheme="majorHAnsi" w:hAnsiTheme="majorHAnsi"/>
        </w:rPr>
        <w:t>Flexible Epidemiologists and Principal Investigators</w:t>
      </w:r>
      <w:r w:rsidR="00D5367E" w:rsidRPr="001A28F6">
        <w:rPr>
          <w:rFonts w:asciiTheme="majorHAnsi" w:hAnsiTheme="majorHAnsi"/>
        </w:rPr>
        <w:t xml:space="preserve"> regarding </w:t>
      </w:r>
      <w:r w:rsidR="004D5468" w:rsidRPr="004D5468">
        <w:rPr>
          <w:rFonts w:asciiTheme="majorHAnsi" w:hAnsiTheme="majorHAnsi"/>
        </w:rPr>
        <w:t>the overall value of these positions to health departments</w:t>
      </w:r>
      <w:r w:rsidR="00E8096C">
        <w:rPr>
          <w:rFonts w:asciiTheme="majorHAnsi" w:hAnsiTheme="majorHAnsi"/>
        </w:rPr>
        <w:t>, how they are utilized to enhance epidemiology capacity,</w:t>
      </w:r>
      <w:r w:rsidR="004D5468" w:rsidRPr="004D5468">
        <w:rPr>
          <w:rFonts w:asciiTheme="majorHAnsi" w:hAnsiTheme="majorHAnsi"/>
        </w:rPr>
        <w:t xml:space="preserve"> and </w:t>
      </w:r>
      <w:r w:rsidR="004D5468">
        <w:rPr>
          <w:rFonts w:asciiTheme="majorHAnsi" w:hAnsiTheme="majorHAnsi"/>
        </w:rPr>
        <w:t>identify areas for improvement.</w:t>
      </w:r>
      <w:r w:rsidR="000B0962">
        <w:rPr>
          <w:rFonts w:asciiTheme="majorHAnsi" w:hAnsiTheme="majorHAnsi"/>
        </w:rPr>
        <w:t xml:space="preserve"> </w:t>
      </w:r>
      <w:r w:rsidR="004D5468">
        <w:rPr>
          <w:rFonts w:asciiTheme="majorHAnsi" w:hAnsiTheme="majorHAnsi"/>
        </w:rPr>
        <w:t xml:space="preserve"> </w:t>
      </w:r>
    </w:p>
    <w:p w:rsidR="0085762A" w:rsidRDefault="0085762A" w:rsidP="00FD7FF4">
      <w:pPr>
        <w:spacing w:after="0"/>
        <w:rPr>
          <w:rFonts w:asciiTheme="majorHAnsi" w:hAnsiTheme="majorHAnsi"/>
        </w:rPr>
      </w:pPr>
    </w:p>
    <w:p w:rsidR="000C02D5" w:rsidRPr="00DB39A3" w:rsidRDefault="00AB3608" w:rsidP="00FD7FF4">
      <w:r>
        <w:rPr>
          <w:rFonts w:asciiTheme="majorHAnsi" w:hAnsiTheme="majorHAnsi"/>
        </w:rPr>
        <w:t>T</w:t>
      </w:r>
      <w:r w:rsidR="004024F8">
        <w:rPr>
          <w:rFonts w:asciiTheme="majorHAnsi" w:hAnsiTheme="majorHAnsi"/>
        </w:rPr>
        <w:t xml:space="preserve">he </w:t>
      </w:r>
      <w:r>
        <w:rPr>
          <w:rFonts w:asciiTheme="majorHAnsi" w:hAnsiTheme="majorHAnsi"/>
        </w:rPr>
        <w:t>data collection</w:t>
      </w:r>
      <w:r w:rsidR="004024F8">
        <w:rPr>
          <w:rFonts w:asciiTheme="majorHAnsi" w:hAnsiTheme="majorHAnsi"/>
        </w:rPr>
        <w:t xml:space="preserve"> instrument </w:t>
      </w:r>
      <w:r>
        <w:rPr>
          <w:rFonts w:asciiTheme="majorHAnsi" w:hAnsiTheme="majorHAnsi"/>
        </w:rPr>
        <w:t xml:space="preserve">will be administered as a </w:t>
      </w:r>
      <w:r w:rsidR="004D5468">
        <w:rPr>
          <w:rFonts w:asciiTheme="majorHAnsi" w:hAnsiTheme="majorHAnsi"/>
        </w:rPr>
        <w:t>telephone interview</w:t>
      </w:r>
      <w:r>
        <w:rPr>
          <w:rFonts w:asciiTheme="majorHAnsi" w:hAnsiTheme="majorHAnsi"/>
        </w:rPr>
        <w:t>.</w:t>
      </w:r>
      <w:r w:rsidR="004024F8">
        <w:rPr>
          <w:rFonts w:asciiTheme="majorHAnsi" w:hAnsiTheme="majorHAnsi"/>
        </w:rPr>
        <w:t xml:space="preserve"> </w:t>
      </w:r>
      <w:r w:rsidR="00E8736B">
        <w:rPr>
          <w:rFonts w:asciiTheme="majorHAnsi" w:hAnsiTheme="majorHAnsi"/>
        </w:rPr>
        <w:t xml:space="preserve">The </w:t>
      </w:r>
      <w:r w:rsidR="004D5468">
        <w:rPr>
          <w:rFonts w:asciiTheme="majorHAnsi" w:hAnsiTheme="majorHAnsi"/>
        </w:rPr>
        <w:t xml:space="preserve">interview </w:t>
      </w:r>
      <w:r w:rsidR="00E8096C">
        <w:rPr>
          <w:rFonts w:asciiTheme="majorHAnsi" w:hAnsiTheme="majorHAnsi"/>
        </w:rPr>
        <w:t xml:space="preserve">protocol and interview </w:t>
      </w:r>
      <w:r w:rsidR="004D5468">
        <w:rPr>
          <w:rFonts w:asciiTheme="majorHAnsi" w:hAnsiTheme="majorHAnsi"/>
        </w:rPr>
        <w:t>guide</w:t>
      </w:r>
      <w:r w:rsidR="0044198B">
        <w:rPr>
          <w:rFonts w:asciiTheme="majorHAnsi" w:hAnsiTheme="majorHAnsi"/>
        </w:rPr>
        <w:t>(s) were</w:t>
      </w:r>
      <w:r w:rsidR="00E8736B">
        <w:rPr>
          <w:rFonts w:asciiTheme="majorHAnsi" w:hAnsiTheme="majorHAnsi"/>
        </w:rPr>
        <w:t xml:space="preserve">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w:t>
      </w:r>
      <w:r w:rsidR="00E8096C">
        <w:rPr>
          <w:rFonts w:asciiTheme="majorHAnsi" w:hAnsiTheme="majorHAnsi"/>
        </w:rPr>
        <w:t>two</w:t>
      </w:r>
      <w:r w:rsidR="004024F8" w:rsidRPr="00FE6A5C">
        <w:rPr>
          <w:rFonts w:asciiTheme="majorHAnsi" w:hAnsiTheme="majorHAnsi"/>
        </w:rPr>
        <w:t xml:space="preserve"> public health pr</w:t>
      </w:r>
      <w:r w:rsidR="002C0877" w:rsidRPr="00FE6A5C">
        <w:rPr>
          <w:rFonts w:asciiTheme="majorHAnsi" w:hAnsiTheme="majorHAnsi"/>
        </w:rPr>
        <w:t xml:space="preserve">ofessionals. </w:t>
      </w:r>
      <w:r w:rsidR="00FC6975">
        <w:rPr>
          <w:rFonts w:asciiTheme="majorHAnsi" w:hAnsiTheme="majorHAnsi"/>
        </w:rPr>
        <w:t>They were</w:t>
      </w:r>
      <w:r w:rsidR="00E8096C" w:rsidRPr="00E8096C">
        <w:rPr>
          <w:rFonts w:asciiTheme="majorHAnsi" w:hAnsiTheme="majorHAnsi"/>
        </w:rPr>
        <w:t xml:space="preserve"> piloted at two sites </w:t>
      </w:r>
      <w:r w:rsidR="005B1592">
        <w:rPr>
          <w:rFonts w:asciiTheme="majorHAnsi" w:hAnsiTheme="majorHAnsi"/>
        </w:rPr>
        <w:t xml:space="preserve">(i.e., four individuals) </w:t>
      </w:r>
      <w:r w:rsidR="00E8096C" w:rsidRPr="00E8096C">
        <w:rPr>
          <w:rFonts w:asciiTheme="majorHAnsi" w:hAnsiTheme="majorHAnsi"/>
        </w:rPr>
        <w:t>for construct validity to ensure that the line of inquiry is consisten</w:t>
      </w:r>
      <w:r w:rsidR="00E8096C">
        <w:rPr>
          <w:rFonts w:asciiTheme="majorHAnsi" w:hAnsiTheme="majorHAnsi"/>
        </w:rPr>
        <w:t>t with the</w:t>
      </w:r>
      <w:r w:rsidR="00DA077E">
        <w:rPr>
          <w:rFonts w:asciiTheme="majorHAnsi" w:hAnsiTheme="majorHAnsi"/>
        </w:rPr>
        <w:t xml:space="preserve"> assessment</w:t>
      </w:r>
      <w:r w:rsidR="00E8096C">
        <w:rPr>
          <w:rFonts w:asciiTheme="majorHAnsi" w:hAnsiTheme="majorHAnsi"/>
        </w:rPr>
        <w:t xml:space="preserve"> questions, </w:t>
      </w:r>
      <w:r w:rsidR="004024F8">
        <w:rPr>
          <w:rFonts w:asciiTheme="majorHAnsi" w:hAnsiTheme="majorHAnsi"/>
        </w:rPr>
        <w:t xml:space="preserve">and establish the estimated time required to complete the </w:t>
      </w:r>
      <w:r w:rsidR="00E8096C">
        <w:rPr>
          <w:rFonts w:asciiTheme="majorHAnsi" w:hAnsiTheme="majorHAnsi"/>
        </w:rPr>
        <w:t>interview</w:t>
      </w:r>
      <w:r w:rsidR="00FD7FF4">
        <w:rPr>
          <w:rFonts w:asciiTheme="majorHAnsi" w:hAnsiTheme="majorHAnsi"/>
        </w:rPr>
        <w:t xml:space="preserve"> (39 minutes)</w:t>
      </w:r>
      <w:r w:rsidR="004024F8">
        <w:rPr>
          <w:rFonts w:asciiTheme="majorHAnsi" w:hAnsiTheme="majorHAnsi"/>
        </w:rPr>
        <w:t>.</w:t>
      </w:r>
    </w:p>
    <w:p w:rsidR="00DB7F78" w:rsidRDefault="006102DA" w:rsidP="00FD7FF4">
      <w:pPr>
        <w:spacing w:after="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0B0962">
        <w:rPr>
          <w:rFonts w:asciiTheme="majorHAnsi" w:hAnsiTheme="majorHAnsi"/>
        </w:rPr>
        <w:t xml:space="preserve"> </w:t>
      </w:r>
      <w:r w:rsidR="0044198B">
        <w:rPr>
          <w:rFonts w:asciiTheme="majorHAnsi" w:hAnsiTheme="majorHAnsi"/>
        </w:rPr>
        <w:t>There are two versions of the data collection tool. The interview guide for Flexible Epidemiologists consists of 1</w:t>
      </w:r>
      <w:r w:rsidR="00B51B57">
        <w:rPr>
          <w:rFonts w:asciiTheme="majorHAnsi" w:hAnsiTheme="majorHAnsi"/>
        </w:rPr>
        <w:t>1</w:t>
      </w:r>
      <w:r w:rsidR="0044198B">
        <w:rPr>
          <w:rFonts w:asciiTheme="majorHAnsi" w:hAnsiTheme="majorHAnsi"/>
        </w:rPr>
        <w:t xml:space="preserve"> </w:t>
      </w:r>
      <w:r w:rsidR="00DA3E4A">
        <w:rPr>
          <w:rFonts w:asciiTheme="majorHAnsi" w:hAnsiTheme="majorHAnsi"/>
        </w:rPr>
        <w:t xml:space="preserve">open-ended </w:t>
      </w:r>
      <w:r w:rsidR="0044198B">
        <w:rPr>
          <w:rFonts w:asciiTheme="majorHAnsi" w:hAnsiTheme="majorHAnsi"/>
        </w:rPr>
        <w:t>questions, plus probes and follow-up questions. The interview guide for Principal Investigators consists of 1</w:t>
      </w:r>
      <w:r w:rsidR="00B51B57">
        <w:rPr>
          <w:rFonts w:asciiTheme="majorHAnsi" w:hAnsiTheme="majorHAnsi"/>
        </w:rPr>
        <w:t>4</w:t>
      </w:r>
      <w:r w:rsidR="00DA3E4A">
        <w:rPr>
          <w:rFonts w:asciiTheme="majorHAnsi" w:hAnsiTheme="majorHAnsi"/>
        </w:rPr>
        <w:t xml:space="preserve"> open-ended</w:t>
      </w:r>
      <w:r w:rsidR="0044198B">
        <w:rPr>
          <w:rFonts w:asciiTheme="majorHAnsi" w:hAnsiTheme="majorHAnsi"/>
        </w:rPr>
        <w:t xml:space="preserve"> questions, plus probes and follow-up questions. </w:t>
      </w:r>
      <w:r w:rsidR="00DA3E4A">
        <w:rPr>
          <w:rFonts w:asciiTheme="majorHAnsi" w:hAnsiTheme="majorHAnsi"/>
        </w:rPr>
        <w:t>These questions are divided into four major sections:</w:t>
      </w:r>
    </w:p>
    <w:p w:rsidR="00DA3E4A" w:rsidRDefault="00DA3E4A" w:rsidP="00FD7FF4">
      <w:pPr>
        <w:spacing w:after="0"/>
        <w:rPr>
          <w:rFonts w:asciiTheme="majorHAnsi" w:hAnsiTheme="majorHAnsi"/>
        </w:rPr>
      </w:pPr>
    </w:p>
    <w:p w:rsidR="00DA3E4A" w:rsidRDefault="00DA3E4A" w:rsidP="00FD7FF4">
      <w:pPr>
        <w:pStyle w:val="ListParagraph"/>
        <w:numPr>
          <w:ilvl w:val="0"/>
          <w:numId w:val="28"/>
        </w:numPr>
        <w:spacing w:after="0"/>
        <w:ind w:left="720"/>
        <w:rPr>
          <w:rFonts w:asciiTheme="majorHAnsi" w:hAnsiTheme="majorHAnsi"/>
        </w:rPr>
      </w:pPr>
      <w:r>
        <w:rPr>
          <w:rFonts w:asciiTheme="majorHAnsi" w:hAnsiTheme="majorHAnsi"/>
        </w:rPr>
        <w:t>Role of the Flexible Epidemiologist – respondents are asked about how they define the role of a flexible epidemiologist, and how they are utilized in their agency.</w:t>
      </w:r>
    </w:p>
    <w:p w:rsidR="00DA3E4A" w:rsidRDefault="00DA3E4A" w:rsidP="00FD7FF4">
      <w:pPr>
        <w:pStyle w:val="ListParagraph"/>
        <w:numPr>
          <w:ilvl w:val="0"/>
          <w:numId w:val="28"/>
        </w:numPr>
        <w:spacing w:after="0"/>
        <w:ind w:left="720"/>
        <w:rPr>
          <w:rFonts w:asciiTheme="majorHAnsi" w:hAnsiTheme="majorHAnsi"/>
        </w:rPr>
      </w:pPr>
      <w:r>
        <w:rPr>
          <w:rFonts w:asciiTheme="majorHAnsi" w:hAnsiTheme="majorHAnsi"/>
        </w:rPr>
        <w:t xml:space="preserve">Activities of the Flexible Epidemiologist – respondents are asked to describe the activities and projects flexible epidemiologists work, and to describe their involvement in collaborations and outbreak investigations. </w:t>
      </w:r>
    </w:p>
    <w:p w:rsidR="00DA3E4A" w:rsidRDefault="00DA3E4A" w:rsidP="00FD7FF4">
      <w:pPr>
        <w:pStyle w:val="ListParagraph"/>
        <w:numPr>
          <w:ilvl w:val="0"/>
          <w:numId w:val="28"/>
        </w:numPr>
        <w:spacing w:after="0"/>
        <w:ind w:left="720"/>
        <w:rPr>
          <w:rFonts w:asciiTheme="majorHAnsi" w:hAnsiTheme="majorHAnsi"/>
        </w:rPr>
      </w:pPr>
      <w:r>
        <w:rPr>
          <w:rFonts w:asciiTheme="majorHAnsi" w:hAnsiTheme="majorHAnsi"/>
        </w:rPr>
        <w:t>Impact of Flexible Epidemiology Activities</w:t>
      </w:r>
      <w:r w:rsidR="00D368BD">
        <w:rPr>
          <w:rFonts w:asciiTheme="majorHAnsi" w:hAnsiTheme="majorHAnsi"/>
        </w:rPr>
        <w:t xml:space="preserve"> – respondents are asked to describe the impact of having a flexible epidemiologist on their team, and to specify how they’ve been able to achieve specific ELC outcomes through their support. </w:t>
      </w:r>
    </w:p>
    <w:p w:rsidR="00DA3E4A" w:rsidRPr="00DA3E4A" w:rsidRDefault="00DA3E4A" w:rsidP="00FD7FF4">
      <w:pPr>
        <w:pStyle w:val="ListParagraph"/>
        <w:numPr>
          <w:ilvl w:val="0"/>
          <w:numId w:val="28"/>
        </w:numPr>
        <w:spacing w:after="0"/>
        <w:ind w:left="720"/>
        <w:rPr>
          <w:rFonts w:asciiTheme="majorHAnsi" w:hAnsiTheme="majorHAnsi"/>
        </w:rPr>
      </w:pPr>
      <w:r>
        <w:rPr>
          <w:rFonts w:asciiTheme="majorHAnsi" w:hAnsiTheme="majorHAnsi"/>
        </w:rPr>
        <w:t>Opportunities for Improvement</w:t>
      </w:r>
      <w:r w:rsidR="00D368BD">
        <w:rPr>
          <w:rFonts w:asciiTheme="majorHAnsi" w:hAnsiTheme="majorHAnsi"/>
        </w:rPr>
        <w:t xml:space="preserve"> – respondents </w:t>
      </w:r>
      <w:r w:rsidR="00937471">
        <w:rPr>
          <w:rFonts w:asciiTheme="majorHAnsi" w:hAnsiTheme="majorHAnsi"/>
        </w:rPr>
        <w:t>are asked to discuss how ELC could help optimize and facilitate the ability of flexible epidemiologists to b</w:t>
      </w:r>
      <w:r w:rsidR="0052531E">
        <w:rPr>
          <w:rFonts w:asciiTheme="majorHAnsi" w:hAnsiTheme="majorHAnsi"/>
        </w:rPr>
        <w:t xml:space="preserve">etter serve health departments, and other strategies ELC could do to further support epidemiology capacity for infectious diseases at the state and local level. </w:t>
      </w:r>
    </w:p>
    <w:p w:rsidR="00DB7F78" w:rsidRDefault="00DB7F78" w:rsidP="00FD7FF4">
      <w:pPr>
        <w:spacing w:after="0"/>
        <w:rPr>
          <w:rFonts w:asciiTheme="majorHAnsi" w:hAnsiTheme="majorHAnsi"/>
        </w:rPr>
      </w:pPr>
    </w:p>
    <w:p w:rsidR="006102DA" w:rsidRPr="005869D6" w:rsidRDefault="006102DA" w:rsidP="00FD7FF4">
      <w:pPr>
        <w:spacing w:after="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w:t>
      </w:r>
      <w:r w:rsidR="005869D6">
        <w:rPr>
          <w:rFonts w:asciiTheme="majorHAnsi" w:hAnsiTheme="majorHAnsi"/>
        </w:rPr>
        <w:t>No website content will be directed at children.</w:t>
      </w:r>
    </w:p>
    <w:p w:rsidR="00F52BCC" w:rsidRDefault="00F52BCC" w:rsidP="00F52BCC">
      <w:pPr>
        <w:spacing w:after="0"/>
        <w:ind w:left="720"/>
        <w:rPr>
          <w:rFonts w:asciiTheme="majorHAnsi" w:hAnsiTheme="majorHAnsi"/>
        </w:rPr>
      </w:pPr>
    </w:p>
    <w:p w:rsidR="00470378" w:rsidRDefault="00B12F51" w:rsidP="00901AE4">
      <w:pPr>
        <w:pStyle w:val="ListParagraph"/>
        <w:numPr>
          <w:ilvl w:val="0"/>
          <w:numId w:val="2"/>
        </w:numPr>
        <w:spacing w:after="0"/>
        <w:ind w:left="360"/>
        <w:rPr>
          <w:rFonts w:asciiTheme="majorHAnsi" w:hAnsiTheme="majorHAnsi"/>
          <w:b/>
        </w:rPr>
      </w:pPr>
      <w:r w:rsidRPr="00014361">
        <w:rPr>
          <w:rFonts w:asciiTheme="majorHAnsi" w:hAnsiTheme="majorHAnsi"/>
          <w:b/>
        </w:rPr>
        <w:t>Purpose and Use of the Information Collection</w:t>
      </w:r>
    </w:p>
    <w:p w:rsidR="00470378" w:rsidRDefault="00470378" w:rsidP="00901AE4">
      <w:pPr>
        <w:spacing w:after="0"/>
        <w:rPr>
          <w:rFonts w:asciiTheme="majorHAnsi" w:hAnsiTheme="majorHAnsi"/>
          <w:b/>
        </w:rPr>
      </w:pPr>
    </w:p>
    <w:p w:rsidR="00353C2D" w:rsidRDefault="00102F5A" w:rsidP="006979C8">
      <w:pPr>
        <w:spacing w:after="0"/>
        <w:rPr>
          <w:rFonts w:asciiTheme="majorHAnsi" w:hAnsiTheme="majorHAnsi"/>
        </w:rPr>
      </w:pPr>
      <w:r w:rsidRPr="00470378">
        <w:rPr>
          <w:rFonts w:asciiTheme="majorHAnsi" w:hAnsiTheme="majorHAnsi"/>
        </w:rPr>
        <w:t xml:space="preserve">This </w:t>
      </w:r>
      <w:r w:rsidR="00DA077E">
        <w:rPr>
          <w:rFonts w:asciiTheme="majorHAnsi" w:hAnsiTheme="majorHAnsi"/>
        </w:rPr>
        <w:t>assessment</w:t>
      </w:r>
      <w:r w:rsidR="00DA077E" w:rsidRPr="00470378">
        <w:rPr>
          <w:rFonts w:asciiTheme="majorHAnsi" w:hAnsiTheme="majorHAnsi"/>
        </w:rPr>
        <w:t xml:space="preserve"> </w:t>
      </w:r>
      <w:r w:rsidRPr="00470378">
        <w:rPr>
          <w:rFonts w:asciiTheme="majorHAnsi" w:hAnsiTheme="majorHAnsi"/>
        </w:rPr>
        <w:t>will show w</w:t>
      </w:r>
      <w:r w:rsidR="007C6FD4" w:rsidRPr="00470378">
        <w:rPr>
          <w:rFonts w:asciiTheme="majorHAnsi" w:hAnsiTheme="majorHAnsi"/>
        </w:rPr>
        <w:t>hether the Flexible Epidemiologist positions</w:t>
      </w:r>
      <w:r w:rsidRPr="00470378">
        <w:rPr>
          <w:rFonts w:asciiTheme="majorHAnsi" w:hAnsiTheme="majorHAnsi"/>
        </w:rPr>
        <w:t xml:space="preserve"> </w:t>
      </w:r>
      <w:r w:rsidR="007C6FD4" w:rsidRPr="00470378">
        <w:rPr>
          <w:rFonts w:asciiTheme="majorHAnsi" w:hAnsiTheme="majorHAnsi"/>
        </w:rPr>
        <w:t>are</w:t>
      </w:r>
      <w:r w:rsidRPr="00470378">
        <w:rPr>
          <w:rFonts w:asciiTheme="majorHAnsi" w:hAnsiTheme="majorHAnsi"/>
        </w:rPr>
        <w:t xml:space="preserve"> being implemented as planned, provide feedback about the program, and allow program planners to determine whether </w:t>
      </w:r>
      <w:r w:rsidR="00470378">
        <w:rPr>
          <w:rFonts w:asciiTheme="majorHAnsi" w:hAnsiTheme="majorHAnsi"/>
        </w:rPr>
        <w:t>investments made toward flexible activities and personnel</w:t>
      </w:r>
      <w:r w:rsidRPr="00470378">
        <w:rPr>
          <w:rFonts w:asciiTheme="majorHAnsi" w:hAnsiTheme="majorHAnsi"/>
        </w:rPr>
        <w:t xml:space="preserve"> is producing its desired outputs and outcomes that contribute to strengthen</w:t>
      </w:r>
      <w:r w:rsidR="00470378">
        <w:rPr>
          <w:rFonts w:asciiTheme="majorHAnsi" w:hAnsiTheme="majorHAnsi"/>
        </w:rPr>
        <w:t>ed</w:t>
      </w:r>
      <w:r w:rsidRPr="00470378">
        <w:rPr>
          <w:rFonts w:asciiTheme="majorHAnsi" w:hAnsiTheme="majorHAnsi"/>
        </w:rPr>
        <w:t xml:space="preserve"> epidemiology capacity.</w:t>
      </w:r>
      <w:r w:rsidR="007C6FD4" w:rsidRPr="00470378">
        <w:rPr>
          <w:rFonts w:asciiTheme="majorHAnsi" w:hAnsiTheme="majorHAnsi"/>
        </w:rPr>
        <w:t xml:space="preserve"> </w:t>
      </w:r>
      <w:r w:rsidR="00470378">
        <w:rPr>
          <w:rFonts w:asciiTheme="majorHAnsi" w:hAnsiTheme="majorHAnsi"/>
        </w:rPr>
        <w:t xml:space="preserve">In-depth interviews will </w:t>
      </w:r>
      <w:r w:rsidR="00470378" w:rsidRPr="00470378">
        <w:rPr>
          <w:rFonts w:asciiTheme="majorHAnsi" w:hAnsiTheme="majorHAnsi"/>
        </w:rPr>
        <w:t>allow ELC to yield richer and insightful data about how these positions have contributed to enhanced epidemiology capacity in state and local health departments, and allow the interviewer the opportunity to clarify questions and explore specific topics of interest in-depth.</w:t>
      </w:r>
      <w:r w:rsidR="00470378">
        <w:rPr>
          <w:rFonts w:asciiTheme="majorHAnsi" w:hAnsiTheme="majorHAnsi"/>
        </w:rPr>
        <w:t xml:space="preserve"> </w:t>
      </w:r>
    </w:p>
    <w:p w:rsidR="00353C2D" w:rsidRDefault="00353C2D" w:rsidP="00901AE4">
      <w:pPr>
        <w:spacing w:after="0"/>
        <w:ind w:left="270"/>
        <w:rPr>
          <w:rFonts w:asciiTheme="majorHAnsi" w:hAnsiTheme="majorHAnsi"/>
        </w:rPr>
      </w:pPr>
    </w:p>
    <w:p w:rsidR="00BE738E" w:rsidRPr="00470378" w:rsidRDefault="007C6FD4" w:rsidP="006979C8">
      <w:pPr>
        <w:spacing w:after="0"/>
        <w:rPr>
          <w:rFonts w:asciiTheme="majorHAnsi" w:hAnsiTheme="majorHAnsi"/>
          <w:b/>
        </w:rPr>
      </w:pPr>
      <w:r w:rsidRPr="00470378">
        <w:rPr>
          <w:rFonts w:asciiTheme="majorHAnsi" w:hAnsiTheme="majorHAnsi"/>
        </w:rPr>
        <w:t xml:space="preserve">Conclusions drawn from this </w:t>
      </w:r>
      <w:r w:rsidR="00DA077E">
        <w:rPr>
          <w:rFonts w:asciiTheme="majorHAnsi" w:hAnsiTheme="majorHAnsi"/>
        </w:rPr>
        <w:t>assessment</w:t>
      </w:r>
      <w:r w:rsidR="00DA077E" w:rsidRPr="00470378">
        <w:rPr>
          <w:rFonts w:asciiTheme="majorHAnsi" w:hAnsiTheme="majorHAnsi"/>
        </w:rPr>
        <w:t xml:space="preserve"> </w:t>
      </w:r>
      <w:r w:rsidRPr="00470378">
        <w:rPr>
          <w:rFonts w:asciiTheme="majorHAnsi" w:hAnsiTheme="majorHAnsi"/>
        </w:rPr>
        <w:t>will be used: 1) to modify the theoretical framework (i.e.,  ELC logic model), 2) to assess the degree to which funding for flexible epidemiology program enhances epidemiology capacity in health departments, and 3) make recommendations for shaping this program and other future program strategies. Results will be shared with internal and external stakeholders to demonstrate the value of the flexible epidemiology program and identify opportunities to strengthen the program.</w:t>
      </w:r>
      <w:r w:rsidR="00470378">
        <w:rPr>
          <w:rFonts w:asciiTheme="majorHAnsi" w:hAnsiTheme="majorHAnsi"/>
        </w:rPr>
        <w:t xml:space="preserve"> Without the opportunity to collect information about this </w:t>
      </w:r>
      <w:r w:rsidR="00A8062C">
        <w:rPr>
          <w:rFonts w:asciiTheme="majorHAnsi" w:hAnsiTheme="majorHAnsi"/>
        </w:rPr>
        <w:t>program strategy</w:t>
      </w:r>
      <w:r w:rsidR="00470378">
        <w:rPr>
          <w:rFonts w:asciiTheme="majorHAnsi" w:hAnsiTheme="majorHAnsi"/>
        </w:rPr>
        <w:t xml:space="preserve">, it would be difficult to judge the value of these positions to state and local health departments, and make future decisions about whether or not this strategy enables ELC to make progress toward its intended outcomes and impact. </w:t>
      </w:r>
    </w:p>
    <w:p w:rsidR="00102F5A" w:rsidRDefault="00102F5A" w:rsidP="006979C8">
      <w:pPr>
        <w:pStyle w:val="ListParagraph"/>
        <w:spacing w:after="0"/>
        <w:ind w:left="0"/>
        <w:rPr>
          <w:rFonts w:asciiTheme="majorHAnsi" w:hAnsiTheme="majorHAnsi"/>
        </w:rPr>
      </w:pPr>
    </w:p>
    <w:p w:rsidR="006102DA" w:rsidRDefault="006102DA" w:rsidP="006979C8">
      <w:pPr>
        <w:spacing w:after="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6102DA" w:rsidRDefault="004121E3" w:rsidP="006979C8">
      <w:pPr>
        <w:pStyle w:val="ListParagraph"/>
        <w:spacing w:after="0"/>
        <w:ind w:left="0"/>
        <w:rPr>
          <w:rFonts w:asciiTheme="majorHAnsi" w:hAnsiTheme="majorHAnsi"/>
        </w:rPr>
      </w:pPr>
      <w:r>
        <w:rPr>
          <w:rFonts w:asciiTheme="majorHAnsi" w:hAnsiTheme="majorHAnsi"/>
        </w:rPr>
        <w:t xml:space="preserve">To protect the privacy of respondents, </w:t>
      </w:r>
      <w:r w:rsidR="00667342">
        <w:rPr>
          <w:rFonts w:asciiTheme="majorHAnsi" w:hAnsiTheme="majorHAnsi"/>
        </w:rPr>
        <w:t>n</w:t>
      </w:r>
      <w:r w:rsidR="00667342" w:rsidRPr="007B305A">
        <w:rPr>
          <w:rFonts w:asciiTheme="majorHAnsi" w:hAnsiTheme="majorHAnsi"/>
        </w:rPr>
        <w:t>o individually identifiable information is being collected.</w:t>
      </w:r>
      <w:r>
        <w:rPr>
          <w:rFonts w:asciiTheme="majorHAnsi" w:hAnsiTheme="majorHAnsi"/>
        </w:rPr>
        <w:t xml:space="preserve"> </w:t>
      </w:r>
      <w:r w:rsidR="00667342">
        <w:rPr>
          <w:rFonts w:asciiTheme="majorHAnsi" w:hAnsiTheme="majorHAnsi"/>
        </w:rPr>
        <w:t xml:space="preserve">Interviews will be recorded so that responses are accurately captured for transcription. </w:t>
      </w:r>
      <w:r>
        <w:rPr>
          <w:rFonts w:asciiTheme="majorHAnsi" w:hAnsiTheme="majorHAnsi"/>
        </w:rPr>
        <w:t xml:space="preserve">Once the audio recording has been transcribed, the audio recording will be erased. The written transcript of the audio recording will not include any individual, agency, or jurisdiction identifiers.  </w:t>
      </w:r>
      <w:r w:rsidR="00470378" w:rsidRPr="00470378">
        <w:rPr>
          <w:rFonts w:asciiTheme="majorHAnsi" w:hAnsiTheme="majorHAnsi"/>
        </w:rPr>
        <w:t>A summary report of the findings will be prepa</w:t>
      </w:r>
      <w:r w:rsidR="00B66FFA">
        <w:rPr>
          <w:rFonts w:asciiTheme="majorHAnsi" w:hAnsiTheme="majorHAnsi"/>
        </w:rPr>
        <w:t xml:space="preserve">red and data will be aggregated so there are no individual level identifiers. </w:t>
      </w:r>
    </w:p>
    <w:p w:rsidR="00F52BCC" w:rsidRDefault="00F52BCC" w:rsidP="006979C8">
      <w:pPr>
        <w:pStyle w:val="ListParagraph"/>
        <w:spacing w:after="0"/>
        <w:ind w:left="0"/>
        <w:rPr>
          <w:rFonts w:asciiTheme="majorHAnsi" w:hAnsiTheme="majorHAnsi"/>
        </w:rPr>
      </w:pPr>
    </w:p>
    <w:p w:rsidR="00B12F51" w:rsidRPr="000C02D5" w:rsidRDefault="00B47055" w:rsidP="006979C8">
      <w:pPr>
        <w:pStyle w:val="ListParagraph"/>
        <w:numPr>
          <w:ilvl w:val="0"/>
          <w:numId w:val="2"/>
        </w:numPr>
        <w:spacing w:after="0"/>
        <w:ind w:left="90"/>
        <w:rPr>
          <w:rFonts w:asciiTheme="majorHAnsi" w:hAnsiTheme="majorHAnsi"/>
          <w:b/>
        </w:rPr>
      </w:pPr>
      <w:r w:rsidRPr="00B47055">
        <w:rPr>
          <w:rFonts w:asciiTheme="majorHAnsi" w:hAnsiTheme="majorHAnsi"/>
          <w:b/>
          <w:bCs/>
        </w:rPr>
        <w:t>Use of Improved Information Technology and Burden Reduction</w:t>
      </w:r>
    </w:p>
    <w:p w:rsidR="00F52BCC" w:rsidRDefault="00B66FFA" w:rsidP="006979C8">
      <w:pPr>
        <w:pStyle w:val="ListParagraph"/>
        <w:spacing w:after="0"/>
        <w:ind w:left="0"/>
        <w:rPr>
          <w:rFonts w:asciiTheme="majorHAnsi" w:hAnsiTheme="majorHAnsi"/>
        </w:rPr>
      </w:pPr>
      <w:r>
        <w:rPr>
          <w:rFonts w:asciiTheme="majorHAnsi" w:hAnsiTheme="majorHAnsi"/>
        </w:rPr>
        <w:t xml:space="preserve">In-depth interviews will </w:t>
      </w:r>
      <w:r w:rsidRPr="00470378">
        <w:rPr>
          <w:rFonts w:asciiTheme="majorHAnsi" w:hAnsiTheme="majorHAnsi"/>
        </w:rPr>
        <w:t xml:space="preserve">allow ELC to yield richer and </w:t>
      </w:r>
      <w:r w:rsidR="00FC6975">
        <w:rPr>
          <w:rFonts w:asciiTheme="majorHAnsi" w:hAnsiTheme="majorHAnsi"/>
        </w:rPr>
        <w:t xml:space="preserve">more </w:t>
      </w:r>
      <w:r w:rsidRPr="00470378">
        <w:rPr>
          <w:rFonts w:asciiTheme="majorHAnsi" w:hAnsiTheme="majorHAnsi"/>
        </w:rPr>
        <w:t>insightful data about how these positions have contributed to enhanced epidemiology capacity in state and local health departments, and allow the interviewer the opportunity to clarify questions and explore specific topics of interest in-depth.</w:t>
      </w:r>
      <w:r>
        <w:rPr>
          <w:rFonts w:asciiTheme="majorHAnsi" w:hAnsiTheme="majorHAnsi"/>
        </w:rPr>
        <w:t xml:space="preserve"> These interviews will last </w:t>
      </w:r>
      <w:r w:rsidR="00EC390A">
        <w:rPr>
          <w:rFonts w:asciiTheme="majorHAnsi" w:hAnsiTheme="majorHAnsi"/>
        </w:rPr>
        <w:t>an average of 39 minutes per</w:t>
      </w:r>
      <w:r>
        <w:rPr>
          <w:rFonts w:asciiTheme="majorHAnsi" w:hAnsiTheme="majorHAnsi"/>
        </w:rPr>
        <w:t xml:space="preserve"> telephone interview. This eliminates the travel burden for both the interviewer and respondent. </w:t>
      </w:r>
      <w:r w:rsidR="00E56A34">
        <w:rPr>
          <w:rFonts w:asciiTheme="majorHAnsi" w:hAnsiTheme="majorHAnsi"/>
        </w:rPr>
        <w:t>The in-depth interviews</w:t>
      </w:r>
      <w:r w:rsidR="00DC79CC">
        <w:rPr>
          <w:rFonts w:asciiTheme="majorHAnsi" w:hAnsiTheme="majorHAnsi"/>
        </w:rPr>
        <w:t xml:space="preserve"> w</w:t>
      </w:r>
      <w:r w:rsidR="00E56A34">
        <w:rPr>
          <w:rFonts w:asciiTheme="majorHAnsi" w:hAnsiTheme="majorHAnsi"/>
        </w:rPr>
        <w:t xml:space="preserve">ere </w:t>
      </w:r>
      <w:r w:rsidR="00DC79CC">
        <w:rPr>
          <w:rFonts w:asciiTheme="majorHAnsi" w:hAnsiTheme="majorHAnsi"/>
        </w:rPr>
        <w:t xml:space="preserve">designed to collect the minimum information necessary for the purposes of this project (i.e., limited to </w:t>
      </w:r>
      <w:r w:rsidR="00E56A34">
        <w:rPr>
          <w:rFonts w:asciiTheme="majorHAnsi" w:hAnsiTheme="majorHAnsi"/>
        </w:rPr>
        <w:t xml:space="preserve">15 </w:t>
      </w:r>
      <w:r w:rsidR="008414AD">
        <w:rPr>
          <w:rFonts w:asciiTheme="majorHAnsi" w:hAnsiTheme="majorHAnsi"/>
        </w:rPr>
        <w:t>questions</w:t>
      </w:r>
      <w:r w:rsidR="00DC79CC">
        <w:rPr>
          <w:rFonts w:asciiTheme="majorHAnsi" w:hAnsiTheme="majorHAnsi"/>
        </w:rPr>
        <w:t>).</w:t>
      </w:r>
      <w:r w:rsidR="00AB251E">
        <w:rPr>
          <w:rFonts w:asciiTheme="majorHAnsi" w:hAnsiTheme="majorHAnsi"/>
        </w:rPr>
        <w:t xml:space="preserve"> </w:t>
      </w:r>
    </w:p>
    <w:p w:rsidR="00E8736B" w:rsidRDefault="00E8736B" w:rsidP="006979C8">
      <w:pPr>
        <w:pStyle w:val="ListParagraph"/>
        <w:spacing w:after="0"/>
        <w:ind w:left="0"/>
        <w:rPr>
          <w:rFonts w:asciiTheme="majorHAnsi" w:hAnsiTheme="majorHAnsi"/>
        </w:rPr>
      </w:pPr>
    </w:p>
    <w:p w:rsidR="00B47055" w:rsidRPr="00E56A34" w:rsidRDefault="00B47055" w:rsidP="006979C8">
      <w:pPr>
        <w:spacing w:after="0"/>
        <w:rPr>
          <w:rFonts w:asciiTheme="majorHAnsi" w:hAnsiTheme="majorHAnsi"/>
        </w:rPr>
      </w:pPr>
    </w:p>
    <w:p w:rsidR="00B47055" w:rsidRPr="00B47055" w:rsidRDefault="00B47055" w:rsidP="006979C8">
      <w:pPr>
        <w:pStyle w:val="ListParagraph"/>
        <w:numPr>
          <w:ilvl w:val="0"/>
          <w:numId w:val="2"/>
        </w:numPr>
        <w:spacing w:after="0"/>
        <w:ind w:left="90"/>
        <w:rPr>
          <w:rFonts w:asciiTheme="majorHAnsi" w:hAnsiTheme="majorHAnsi"/>
          <w:b/>
        </w:rPr>
      </w:pPr>
      <w:r w:rsidRPr="00B47055">
        <w:rPr>
          <w:rFonts w:asciiTheme="majorHAnsi" w:hAnsiTheme="majorHAnsi"/>
          <w:b/>
          <w:bCs/>
        </w:rPr>
        <w:t>Efforts to Identify Duplication and Use of Similar Information</w:t>
      </w:r>
    </w:p>
    <w:p w:rsidR="00B12F51" w:rsidRPr="000C02D5" w:rsidRDefault="00FE3BAC" w:rsidP="006979C8">
      <w:pPr>
        <w:pStyle w:val="ListParagraph"/>
        <w:spacing w:after="0"/>
        <w:ind w:left="90"/>
        <w:rPr>
          <w:rFonts w:asciiTheme="majorHAnsi" w:hAnsiTheme="majorHAnsi"/>
        </w:rPr>
      </w:pPr>
      <w:r>
        <w:rPr>
          <w:rFonts w:asciiTheme="majorHAnsi" w:hAnsiTheme="majorHAnsi"/>
        </w:rPr>
        <w:t>ELC is the only program that provides funding for Flexible Epidemiologist positions.</w:t>
      </w:r>
      <w:r w:rsidR="0043750F">
        <w:rPr>
          <w:rFonts w:asciiTheme="majorHAnsi" w:hAnsiTheme="majorHAnsi"/>
        </w:rPr>
        <w:t xml:space="preserve"> No systematic data collection in the past </w:t>
      </w:r>
      <w:r>
        <w:rPr>
          <w:rFonts w:asciiTheme="majorHAnsi" w:hAnsiTheme="majorHAnsi"/>
        </w:rPr>
        <w:t xml:space="preserve">has been implemented </w:t>
      </w:r>
      <w:r w:rsidRPr="00BF64EC">
        <w:rPr>
          <w:rFonts w:asciiTheme="majorHAnsi" w:hAnsiTheme="majorHAnsi"/>
        </w:rPr>
        <w:t xml:space="preserve">to </w:t>
      </w:r>
      <w:r w:rsidR="0043750F">
        <w:rPr>
          <w:rFonts w:asciiTheme="majorHAnsi" w:hAnsiTheme="majorHAnsi"/>
        </w:rPr>
        <w:t xml:space="preserve">collect information about </w:t>
      </w:r>
      <w:r>
        <w:rPr>
          <w:rFonts w:asciiTheme="majorHAnsi" w:hAnsiTheme="majorHAnsi"/>
        </w:rPr>
        <w:t>ELC Flexible Epidemiologists</w:t>
      </w:r>
      <w:r w:rsidR="0043750F">
        <w:rPr>
          <w:rFonts w:asciiTheme="majorHAnsi" w:hAnsiTheme="majorHAnsi"/>
        </w:rPr>
        <w:t xml:space="preserve">. Information obtained will be used in multiple ways to help ELC better </w:t>
      </w:r>
      <w:r w:rsidRPr="00BF64EC">
        <w:rPr>
          <w:rFonts w:asciiTheme="majorHAnsi" w:hAnsiTheme="majorHAnsi"/>
        </w:rPr>
        <w:t>support and sustain infectious disease capacity at the state and local level.</w:t>
      </w:r>
      <w:r>
        <w:rPr>
          <w:rFonts w:asciiTheme="majorHAnsi" w:hAnsiTheme="majorHAnsi"/>
        </w:rPr>
        <w:t xml:space="preserve"> </w:t>
      </w:r>
      <w:r w:rsidR="0043750F">
        <w:rPr>
          <w:rFonts w:asciiTheme="majorHAnsi" w:hAnsiTheme="majorHAnsi"/>
        </w:rPr>
        <w:t xml:space="preserve">This includes the ability to collect more standardized information in the future through performance measures and progress reports. </w:t>
      </w:r>
      <w:r w:rsidR="000C02D5">
        <w:rPr>
          <w:rFonts w:asciiTheme="majorHAnsi" w:hAnsiTheme="majorHAnsi"/>
        </w:rPr>
        <w:t>Th</w:t>
      </w:r>
      <w:r>
        <w:rPr>
          <w:rFonts w:asciiTheme="majorHAnsi" w:hAnsiTheme="majorHAnsi"/>
        </w:rPr>
        <w:t>is information is</w:t>
      </w:r>
      <w:r w:rsidR="000C02D5">
        <w:rPr>
          <w:rFonts w:asciiTheme="majorHAnsi" w:hAnsiTheme="majorHAnsi"/>
        </w:rPr>
        <w:t xml:space="preserve"> specific to the ELC Coopera</w:t>
      </w:r>
      <w:r w:rsidR="004C5F41">
        <w:rPr>
          <w:rFonts w:asciiTheme="majorHAnsi" w:hAnsiTheme="majorHAnsi"/>
        </w:rPr>
        <w:t xml:space="preserve">tive Agreement and there is no information available that can substitute for this data collection through other mechanisms. </w:t>
      </w:r>
    </w:p>
    <w:p w:rsidR="00E33E1B" w:rsidRDefault="00E33E1B" w:rsidP="006979C8">
      <w:pPr>
        <w:pStyle w:val="ListParagraph"/>
        <w:spacing w:after="0"/>
        <w:ind w:left="450"/>
        <w:rPr>
          <w:rFonts w:asciiTheme="majorHAnsi" w:hAnsiTheme="majorHAnsi"/>
        </w:rPr>
      </w:pPr>
    </w:p>
    <w:p w:rsidR="00B12F51" w:rsidRPr="00B47055" w:rsidRDefault="00B47055" w:rsidP="006979C8">
      <w:pPr>
        <w:pStyle w:val="ListParagraph"/>
        <w:numPr>
          <w:ilvl w:val="0"/>
          <w:numId w:val="2"/>
        </w:numPr>
        <w:spacing w:after="0"/>
        <w:ind w:left="90"/>
        <w:rPr>
          <w:rFonts w:asciiTheme="majorHAnsi" w:hAnsiTheme="majorHAnsi"/>
          <w:b/>
        </w:rPr>
      </w:pPr>
      <w:r w:rsidRPr="00B47055">
        <w:rPr>
          <w:rFonts w:asciiTheme="majorHAnsi" w:hAnsiTheme="majorHAnsi"/>
          <w:b/>
          <w:bCs/>
        </w:rPr>
        <w:t>Impact on Small Businesses or Other Small Entities</w:t>
      </w:r>
    </w:p>
    <w:p w:rsidR="0053557D" w:rsidRDefault="00D26A64" w:rsidP="006979C8">
      <w:pPr>
        <w:pStyle w:val="ListParagraph"/>
        <w:spacing w:after="0"/>
        <w:ind w:left="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901AE4" w:rsidRPr="00D95FBF" w:rsidRDefault="00901AE4" w:rsidP="006979C8">
      <w:pPr>
        <w:pStyle w:val="ListParagraph"/>
        <w:spacing w:after="0"/>
        <w:ind w:left="0"/>
      </w:pPr>
    </w:p>
    <w:p w:rsidR="00B12F51" w:rsidRPr="00B47055" w:rsidRDefault="00B47055" w:rsidP="006979C8">
      <w:pPr>
        <w:pStyle w:val="ListParagraph"/>
        <w:numPr>
          <w:ilvl w:val="0"/>
          <w:numId w:val="2"/>
        </w:numPr>
        <w:spacing w:after="0"/>
        <w:ind w:left="9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EE55ED" w:rsidRDefault="006979C8" w:rsidP="006979C8">
      <w:pPr>
        <w:spacing w:after="0"/>
        <w:rPr>
          <w:rFonts w:asciiTheme="majorHAnsi" w:hAnsiTheme="majorHAnsi"/>
        </w:rPr>
      </w:pPr>
      <w:r>
        <w:rPr>
          <w:rFonts w:asciiTheme="majorHAnsi" w:hAnsiTheme="majorHAnsi"/>
        </w:rPr>
        <w:lastRenderedPageBreak/>
        <w:t xml:space="preserve">This request is for a one time data collection.  </w:t>
      </w:r>
      <w:r w:rsidRPr="0053557D">
        <w:rPr>
          <w:rFonts w:asciiTheme="majorHAnsi" w:hAnsiTheme="majorHAnsi"/>
        </w:rPr>
        <w:t>There are no legal obstacles to reduce the burden</w:t>
      </w:r>
      <w:r>
        <w:rPr>
          <w:rFonts w:asciiTheme="majorHAnsi" w:hAnsiTheme="majorHAnsi"/>
        </w:rPr>
        <w:t>.</w:t>
      </w:r>
      <w:r w:rsidRPr="00010E67">
        <w:rPr>
          <w:rFonts w:asciiTheme="majorHAnsi" w:hAnsiTheme="majorHAnsi"/>
        </w:rPr>
        <w:t xml:space="preserve"> </w:t>
      </w:r>
      <w:r w:rsidR="00010E67" w:rsidRPr="00010E67">
        <w:rPr>
          <w:rFonts w:asciiTheme="majorHAnsi" w:hAnsiTheme="majorHAnsi"/>
        </w:rPr>
        <w:t>The purpose of this request is to ensure collection of data that is not otherwise available in current, time sensitive or relevant formats to specific or emergent priorities of HHS and CDC.  Specifically, without this data there would be:</w:t>
      </w:r>
    </w:p>
    <w:p w:rsidR="00795092" w:rsidRDefault="00F1459F" w:rsidP="006979C8">
      <w:pPr>
        <w:pStyle w:val="ListParagraph"/>
        <w:numPr>
          <w:ilvl w:val="0"/>
          <w:numId w:val="29"/>
        </w:numPr>
        <w:spacing w:after="0"/>
        <w:ind w:left="720"/>
        <w:rPr>
          <w:rFonts w:asciiTheme="majorHAnsi" w:hAnsiTheme="majorHAnsi"/>
        </w:rPr>
      </w:pPr>
      <w:r>
        <w:rPr>
          <w:rFonts w:asciiTheme="majorHAnsi" w:hAnsiTheme="majorHAnsi"/>
        </w:rPr>
        <w:t xml:space="preserve">Less effective and less informed decision making driving </w:t>
      </w:r>
      <w:r w:rsidR="008A11CE">
        <w:rPr>
          <w:rFonts w:asciiTheme="majorHAnsi" w:hAnsiTheme="majorHAnsi"/>
        </w:rPr>
        <w:t xml:space="preserve">ELC </w:t>
      </w:r>
      <w:r>
        <w:rPr>
          <w:rFonts w:asciiTheme="majorHAnsi" w:hAnsiTheme="majorHAnsi"/>
        </w:rPr>
        <w:t>programmatic strategies and funding decisions;</w:t>
      </w:r>
    </w:p>
    <w:p w:rsidR="00F1459F" w:rsidRDefault="008A11CE" w:rsidP="006979C8">
      <w:pPr>
        <w:pStyle w:val="ListParagraph"/>
        <w:numPr>
          <w:ilvl w:val="0"/>
          <w:numId w:val="29"/>
        </w:numPr>
        <w:spacing w:after="0"/>
        <w:ind w:left="720"/>
        <w:rPr>
          <w:rFonts w:asciiTheme="majorHAnsi" w:hAnsiTheme="majorHAnsi"/>
        </w:rPr>
      </w:pPr>
      <w:r>
        <w:rPr>
          <w:rFonts w:asciiTheme="majorHAnsi" w:hAnsiTheme="majorHAnsi"/>
        </w:rPr>
        <w:t>Inability to assess the usefulness of a critical ELC program strategy and its impact on key program outcomes;</w:t>
      </w:r>
    </w:p>
    <w:p w:rsidR="008A11CE" w:rsidRPr="00795092" w:rsidRDefault="008A11CE" w:rsidP="006979C8">
      <w:pPr>
        <w:pStyle w:val="ListParagraph"/>
        <w:numPr>
          <w:ilvl w:val="0"/>
          <w:numId w:val="29"/>
        </w:numPr>
        <w:spacing w:after="0"/>
        <w:ind w:left="720"/>
        <w:rPr>
          <w:rFonts w:asciiTheme="majorHAnsi" w:hAnsiTheme="majorHAnsi"/>
        </w:rPr>
      </w:pPr>
      <w:r>
        <w:rPr>
          <w:rFonts w:asciiTheme="majorHAnsi" w:hAnsiTheme="majorHAnsi"/>
        </w:rPr>
        <w:t xml:space="preserve">No timely feedback regarding information used </w:t>
      </w:r>
      <w:r w:rsidR="00EE55ED">
        <w:rPr>
          <w:rFonts w:asciiTheme="majorHAnsi" w:hAnsiTheme="majorHAnsi"/>
        </w:rPr>
        <w:t>that can be used to</w:t>
      </w:r>
      <w:r>
        <w:rPr>
          <w:rFonts w:asciiTheme="majorHAnsi" w:hAnsiTheme="majorHAnsi"/>
        </w:rPr>
        <w:t xml:space="preserve"> make program improvements </w:t>
      </w:r>
      <w:r w:rsidR="00EE55ED">
        <w:rPr>
          <w:rFonts w:asciiTheme="majorHAnsi" w:hAnsiTheme="majorHAnsi"/>
        </w:rPr>
        <w:t>to better serve state and local health departments.</w:t>
      </w:r>
    </w:p>
    <w:p w:rsidR="00BF11A1" w:rsidRPr="00C768E5" w:rsidRDefault="00BF11A1" w:rsidP="006979C8">
      <w:pPr>
        <w:pStyle w:val="ListParagraph"/>
        <w:spacing w:after="0"/>
        <w:ind w:left="0"/>
        <w:rPr>
          <w:rFonts w:asciiTheme="majorHAnsi" w:hAnsiTheme="majorHAnsi"/>
        </w:rPr>
      </w:pPr>
    </w:p>
    <w:p w:rsidR="00B12F51" w:rsidRPr="00B47055" w:rsidRDefault="00B47055" w:rsidP="006979C8">
      <w:pPr>
        <w:pStyle w:val="ListParagraph"/>
        <w:numPr>
          <w:ilvl w:val="0"/>
          <w:numId w:val="2"/>
        </w:numPr>
        <w:spacing w:after="0"/>
        <w:ind w:left="90"/>
        <w:rPr>
          <w:rFonts w:asciiTheme="majorHAnsi" w:hAnsiTheme="majorHAnsi"/>
          <w:b/>
        </w:rPr>
      </w:pPr>
      <w:r w:rsidRPr="00B47055">
        <w:rPr>
          <w:rFonts w:asciiTheme="majorHAnsi" w:hAnsiTheme="majorHAnsi"/>
          <w:b/>
          <w:bCs/>
        </w:rPr>
        <w:t>Special Circumstances Relating to the Guidelines of 5 CFR 1320.5</w:t>
      </w:r>
    </w:p>
    <w:p w:rsidR="00F52BCC" w:rsidRDefault="00A809AA" w:rsidP="006979C8">
      <w:pPr>
        <w:pStyle w:val="ListParagraph"/>
        <w:spacing w:after="0"/>
        <w:ind w:left="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6979C8">
      <w:pPr>
        <w:pStyle w:val="ListParagraph"/>
        <w:spacing w:after="0"/>
        <w:ind w:left="0"/>
        <w:rPr>
          <w:rFonts w:asciiTheme="majorHAnsi" w:hAnsiTheme="majorHAnsi"/>
        </w:rPr>
      </w:pPr>
    </w:p>
    <w:p w:rsidR="00B12F51" w:rsidRPr="0088467A" w:rsidRDefault="0088467A" w:rsidP="006979C8">
      <w:pPr>
        <w:pStyle w:val="ListParagraph"/>
        <w:numPr>
          <w:ilvl w:val="0"/>
          <w:numId w:val="2"/>
        </w:numPr>
        <w:spacing w:after="0"/>
        <w:ind w:left="9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A809AA" w:rsidRDefault="00C768E5" w:rsidP="006979C8">
      <w:pPr>
        <w:pStyle w:val="ListParagraph"/>
        <w:autoSpaceDE w:val="0"/>
        <w:autoSpaceDN w:val="0"/>
        <w:adjustRightInd w:val="0"/>
        <w:ind w:left="0"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6979C8">
      <w:pPr>
        <w:pStyle w:val="ListParagraph"/>
        <w:autoSpaceDE w:val="0"/>
        <w:autoSpaceDN w:val="0"/>
        <w:adjustRightInd w:val="0"/>
        <w:ind w:left="0" w:right="720"/>
        <w:rPr>
          <w:rFonts w:asciiTheme="majorHAnsi" w:hAnsiTheme="majorHAnsi"/>
        </w:rPr>
      </w:pPr>
    </w:p>
    <w:p w:rsidR="00A809AA" w:rsidRPr="00A809AA" w:rsidRDefault="00A809AA" w:rsidP="006979C8">
      <w:pPr>
        <w:pStyle w:val="ListParagraph"/>
        <w:autoSpaceDE w:val="0"/>
        <w:autoSpaceDN w:val="0"/>
        <w:adjustRightInd w:val="0"/>
        <w:ind w:left="0"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6979C8">
      <w:pPr>
        <w:pStyle w:val="ListParagraph"/>
        <w:spacing w:after="0"/>
        <w:ind w:left="450"/>
        <w:rPr>
          <w:rFonts w:asciiTheme="majorHAnsi" w:hAnsiTheme="majorHAnsi"/>
        </w:rPr>
      </w:pPr>
    </w:p>
    <w:p w:rsidR="00B12F51" w:rsidRPr="0088467A" w:rsidRDefault="0088467A" w:rsidP="006979C8">
      <w:pPr>
        <w:pStyle w:val="ListParagraph"/>
        <w:numPr>
          <w:ilvl w:val="0"/>
          <w:numId w:val="2"/>
        </w:numPr>
        <w:spacing w:after="0"/>
        <w:ind w:left="90"/>
        <w:rPr>
          <w:rFonts w:asciiTheme="majorHAnsi" w:hAnsiTheme="majorHAnsi"/>
          <w:b/>
        </w:rPr>
      </w:pPr>
      <w:r w:rsidRPr="0088467A">
        <w:rPr>
          <w:rFonts w:asciiTheme="majorHAnsi" w:hAnsiTheme="majorHAnsi"/>
          <w:b/>
          <w:bCs/>
        </w:rPr>
        <w:t>Explanation of Any Payment or Gift to Respondents</w:t>
      </w:r>
    </w:p>
    <w:p w:rsidR="00F52BCC" w:rsidRDefault="00A809AA" w:rsidP="006979C8">
      <w:pPr>
        <w:pStyle w:val="ListParagraph"/>
        <w:spacing w:after="0"/>
        <w:ind w:left="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6979C8">
      <w:pPr>
        <w:pStyle w:val="ListParagraph"/>
        <w:spacing w:after="0"/>
        <w:ind w:left="0"/>
        <w:rPr>
          <w:rFonts w:asciiTheme="majorHAnsi" w:hAnsiTheme="majorHAnsi"/>
        </w:rPr>
      </w:pPr>
    </w:p>
    <w:p w:rsidR="00B12F51" w:rsidRPr="00D16E78" w:rsidRDefault="0088467A" w:rsidP="006979C8">
      <w:pPr>
        <w:pStyle w:val="ListParagraph"/>
        <w:numPr>
          <w:ilvl w:val="0"/>
          <w:numId w:val="2"/>
        </w:numPr>
        <w:spacing w:after="0"/>
        <w:ind w:left="9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3C31C9" w:rsidRPr="003C31C9" w:rsidRDefault="003C31C9" w:rsidP="006979C8">
      <w:pPr>
        <w:pStyle w:val="ListParagraph"/>
        <w:autoSpaceDE w:val="0"/>
        <w:autoSpaceDN w:val="0"/>
        <w:adjustRightInd w:val="0"/>
        <w:ind w:left="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public health agencies will be speaking from their official roles and will not be asked, nor will they provide individually identifiable information.  This data collection is not research involving human subjects.</w:t>
      </w:r>
    </w:p>
    <w:p w:rsidR="00F52BCC" w:rsidRDefault="00F52BCC" w:rsidP="006979C8">
      <w:pPr>
        <w:pStyle w:val="ListParagraph"/>
        <w:spacing w:after="0"/>
        <w:ind w:left="0"/>
        <w:rPr>
          <w:rFonts w:asciiTheme="majorHAnsi" w:hAnsiTheme="majorHAnsi"/>
        </w:rPr>
      </w:pPr>
    </w:p>
    <w:p w:rsidR="006979C8" w:rsidRDefault="006979C8" w:rsidP="006979C8">
      <w:pPr>
        <w:pStyle w:val="ListParagraph"/>
        <w:spacing w:after="0"/>
        <w:ind w:left="0"/>
        <w:rPr>
          <w:rFonts w:asciiTheme="majorHAnsi" w:hAnsiTheme="majorHAnsi"/>
        </w:rPr>
      </w:pPr>
    </w:p>
    <w:p w:rsidR="006979C8" w:rsidRDefault="006979C8" w:rsidP="006979C8">
      <w:pPr>
        <w:pStyle w:val="ListParagraph"/>
        <w:spacing w:after="0"/>
        <w:ind w:left="0"/>
        <w:rPr>
          <w:rFonts w:asciiTheme="majorHAnsi" w:hAnsiTheme="majorHAnsi"/>
        </w:rPr>
      </w:pPr>
    </w:p>
    <w:p w:rsidR="006979C8" w:rsidRPr="003C31C9" w:rsidRDefault="006979C8" w:rsidP="006979C8">
      <w:pPr>
        <w:pStyle w:val="ListParagraph"/>
        <w:spacing w:after="0"/>
        <w:ind w:left="0"/>
        <w:rPr>
          <w:rFonts w:asciiTheme="majorHAnsi" w:hAnsiTheme="majorHAnsi"/>
        </w:rPr>
      </w:pPr>
    </w:p>
    <w:p w:rsidR="00B12F51" w:rsidRPr="0088467A" w:rsidRDefault="0088467A" w:rsidP="006979C8">
      <w:pPr>
        <w:pStyle w:val="ListParagraph"/>
        <w:numPr>
          <w:ilvl w:val="0"/>
          <w:numId w:val="2"/>
        </w:numPr>
        <w:spacing w:after="0"/>
        <w:ind w:left="90"/>
        <w:rPr>
          <w:rFonts w:asciiTheme="majorHAnsi" w:hAnsiTheme="majorHAnsi"/>
          <w:b/>
        </w:rPr>
      </w:pPr>
      <w:r w:rsidRPr="0088467A">
        <w:rPr>
          <w:rFonts w:asciiTheme="majorHAnsi" w:hAnsiTheme="majorHAnsi"/>
          <w:b/>
          <w:bCs/>
        </w:rPr>
        <w:t>Justification for Sensitive Questions</w:t>
      </w:r>
    </w:p>
    <w:p w:rsidR="00F52BCC" w:rsidRDefault="003C31C9" w:rsidP="006979C8">
      <w:pPr>
        <w:pStyle w:val="ListParagraph"/>
        <w:spacing w:after="0"/>
        <w:ind w:left="0"/>
        <w:rPr>
          <w:rFonts w:asciiTheme="majorHAnsi" w:hAnsiTheme="majorHAnsi"/>
        </w:rPr>
      </w:pPr>
      <w:r>
        <w:rPr>
          <w:rFonts w:asciiTheme="majorHAnsi" w:hAnsiTheme="majorHAnsi"/>
        </w:rPr>
        <w:lastRenderedPageBreak/>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88467A" w:rsidRDefault="00616090" w:rsidP="006979C8">
      <w:pPr>
        <w:spacing w:after="0"/>
        <w:rPr>
          <w:rFonts w:asciiTheme="majorHAnsi" w:hAnsiTheme="majorHAnsi"/>
        </w:rPr>
      </w:pPr>
    </w:p>
    <w:p w:rsidR="00B64BFA" w:rsidRPr="0088467A" w:rsidRDefault="0088467A" w:rsidP="006979C8">
      <w:pPr>
        <w:pStyle w:val="ListParagraph"/>
        <w:numPr>
          <w:ilvl w:val="0"/>
          <w:numId w:val="2"/>
        </w:numPr>
        <w:spacing w:after="0"/>
        <w:ind w:left="90"/>
        <w:rPr>
          <w:rFonts w:asciiTheme="majorHAnsi" w:hAnsiTheme="majorHAnsi"/>
          <w:b/>
        </w:rPr>
      </w:pPr>
      <w:r w:rsidRPr="0088467A">
        <w:rPr>
          <w:rFonts w:asciiTheme="majorHAnsi" w:hAnsiTheme="majorHAnsi"/>
          <w:b/>
          <w:bCs/>
        </w:rPr>
        <w:t>Estimates of Annualized Burden Hours and Costs</w:t>
      </w:r>
    </w:p>
    <w:p w:rsidR="00B64BFA" w:rsidRDefault="00B64BFA" w:rsidP="006979C8">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The estimate for burden hours is based on a pilot test of the </w:t>
      </w:r>
      <w:r w:rsidR="009C236C">
        <w:rPr>
          <w:rFonts w:asciiTheme="majorHAnsi" w:hAnsiTheme="majorHAnsi"/>
          <w:color w:val="000000"/>
        </w:rPr>
        <w:t>interview guide</w:t>
      </w:r>
      <w:r>
        <w:rPr>
          <w:rFonts w:asciiTheme="majorHAnsi" w:hAnsiTheme="majorHAnsi"/>
          <w:color w:val="000000"/>
        </w:rPr>
        <w:t xml:space="preserve"> by </w:t>
      </w:r>
      <w:r w:rsidR="001D6A8C">
        <w:rPr>
          <w:rFonts w:asciiTheme="majorHAnsi" w:hAnsiTheme="majorHAnsi"/>
        </w:rPr>
        <w:t>a</w:t>
      </w:r>
      <w:r w:rsidR="002C5317">
        <w:rPr>
          <w:rFonts w:asciiTheme="majorHAnsi" w:hAnsiTheme="majorHAnsi"/>
        </w:rPr>
        <w:t xml:space="preserve"> CDC</w:t>
      </w:r>
      <w:r w:rsidR="00C768E5">
        <w:rPr>
          <w:rFonts w:asciiTheme="majorHAnsi" w:hAnsiTheme="majorHAnsi"/>
        </w:rPr>
        <w:t xml:space="preserve"> </w:t>
      </w:r>
      <w:r w:rsidR="00C768E5" w:rsidRPr="00FE6A5C">
        <w:rPr>
          <w:rFonts w:asciiTheme="majorHAnsi" w:hAnsiTheme="majorHAnsi"/>
        </w:rPr>
        <w:t>public</w:t>
      </w:r>
      <w:r w:rsidR="001D6A8C">
        <w:rPr>
          <w:rFonts w:asciiTheme="majorHAnsi" w:hAnsiTheme="majorHAnsi"/>
        </w:rPr>
        <w:t xml:space="preserve"> health professional</w:t>
      </w:r>
      <w:r w:rsidRPr="00CF5ABD">
        <w:rPr>
          <w:rFonts w:asciiTheme="majorHAnsi" w:hAnsiTheme="majorHAnsi"/>
        </w:rPr>
        <w:t>.</w:t>
      </w:r>
      <w:r>
        <w:rPr>
          <w:rFonts w:asciiTheme="majorHAnsi" w:hAnsiTheme="majorHAnsi"/>
        </w:rPr>
        <w:t xml:space="preserve"> In the pilot test, the average time to complete the </w:t>
      </w:r>
      <w:r w:rsidR="001D6A8C">
        <w:rPr>
          <w:rFonts w:asciiTheme="majorHAnsi" w:hAnsiTheme="majorHAnsi"/>
        </w:rPr>
        <w:t>interview</w:t>
      </w:r>
      <w:r>
        <w:rPr>
          <w:rFonts w:asciiTheme="majorHAnsi" w:hAnsiTheme="majorHAnsi"/>
        </w:rPr>
        <w:t xml:space="preserve"> including time for </w:t>
      </w:r>
      <w:r w:rsidR="001D6A8C">
        <w:rPr>
          <w:rFonts w:asciiTheme="majorHAnsi" w:hAnsiTheme="majorHAnsi"/>
        </w:rPr>
        <w:t>introducing</w:t>
      </w:r>
      <w:r>
        <w:rPr>
          <w:rFonts w:asciiTheme="majorHAnsi" w:hAnsiTheme="majorHAnsi"/>
        </w:rPr>
        <w:t xml:space="preserve"> instructions, gathering needed information and completing the </w:t>
      </w:r>
      <w:r w:rsidR="001D6A8C">
        <w:rPr>
          <w:rFonts w:asciiTheme="majorHAnsi" w:hAnsiTheme="majorHAnsi"/>
        </w:rPr>
        <w:t>interview</w:t>
      </w:r>
      <w:r>
        <w:rPr>
          <w:rFonts w:asciiTheme="majorHAnsi" w:hAnsiTheme="majorHAnsi"/>
        </w:rPr>
        <w:t xml:space="preserve">, was approximately </w:t>
      </w:r>
      <w:r w:rsidR="00B209D7">
        <w:rPr>
          <w:rFonts w:asciiTheme="majorHAnsi" w:hAnsiTheme="majorHAnsi"/>
        </w:rPr>
        <w:t>3</w:t>
      </w:r>
      <w:r w:rsidR="001D6A8C">
        <w:rPr>
          <w:rFonts w:asciiTheme="majorHAnsi" w:hAnsiTheme="majorHAnsi"/>
        </w:rPr>
        <w:t>9</w:t>
      </w:r>
      <w:r w:rsidR="00B209D7">
        <w:rPr>
          <w:rFonts w:asciiTheme="majorHAnsi" w:hAnsiTheme="majorHAnsi"/>
        </w:rPr>
        <w:t xml:space="preserve"> </w:t>
      </w:r>
      <w:r>
        <w:rPr>
          <w:rFonts w:asciiTheme="majorHAnsi" w:hAnsiTheme="majorHAnsi"/>
        </w:rPr>
        <w:t xml:space="preserve">minutes. Based on these results, the estimated time range for actual respondents to complete the survey is </w:t>
      </w:r>
      <w:r w:rsidR="00B209D7">
        <w:rPr>
          <w:rFonts w:asciiTheme="majorHAnsi" w:hAnsiTheme="majorHAnsi"/>
        </w:rPr>
        <w:t>2</w:t>
      </w:r>
      <w:r w:rsidR="001D6A8C">
        <w:rPr>
          <w:rFonts w:asciiTheme="majorHAnsi" w:hAnsiTheme="majorHAnsi"/>
        </w:rPr>
        <w:t>3</w:t>
      </w:r>
      <w:r w:rsidR="00B209D7">
        <w:rPr>
          <w:rFonts w:asciiTheme="majorHAnsi" w:hAnsiTheme="majorHAnsi"/>
        </w:rPr>
        <w:t>-5</w:t>
      </w:r>
      <w:r w:rsidR="001D6A8C">
        <w:rPr>
          <w:rFonts w:asciiTheme="majorHAnsi" w:hAnsiTheme="majorHAnsi"/>
        </w:rPr>
        <w:t>7</w:t>
      </w:r>
      <w:r>
        <w:rPr>
          <w:rFonts w:asciiTheme="majorHAnsi" w:hAnsiTheme="majorHAnsi"/>
        </w:rPr>
        <w:t xml:space="preserve"> minutes. For the purposes of estimating burden hours, the </w:t>
      </w:r>
      <w:r w:rsidR="00FF245F">
        <w:rPr>
          <w:rFonts w:asciiTheme="majorHAnsi" w:hAnsiTheme="majorHAnsi"/>
        </w:rPr>
        <w:t xml:space="preserve">average time </w:t>
      </w:r>
      <w:r>
        <w:rPr>
          <w:rFonts w:asciiTheme="majorHAnsi" w:hAnsiTheme="majorHAnsi"/>
        </w:rPr>
        <w:t xml:space="preserve">(i.e., </w:t>
      </w:r>
      <w:r w:rsidR="00FF245F">
        <w:rPr>
          <w:rFonts w:asciiTheme="majorHAnsi" w:hAnsiTheme="majorHAnsi"/>
        </w:rPr>
        <w:t xml:space="preserve">39 </w:t>
      </w:r>
      <w:r>
        <w:rPr>
          <w:rFonts w:asciiTheme="majorHAnsi" w:hAnsiTheme="majorHAnsi"/>
        </w:rPr>
        <w:t>minutes) is used.</w:t>
      </w:r>
    </w:p>
    <w:p w:rsidR="00B64BFA" w:rsidRDefault="00B64BFA" w:rsidP="006979C8">
      <w:pPr>
        <w:pStyle w:val="ListParagraph"/>
        <w:autoSpaceDE w:val="0"/>
        <w:autoSpaceDN w:val="0"/>
        <w:adjustRightInd w:val="0"/>
        <w:ind w:left="0"/>
        <w:rPr>
          <w:rFonts w:asciiTheme="majorHAnsi" w:hAnsiTheme="majorHAnsi"/>
          <w:color w:val="000000"/>
        </w:rPr>
      </w:pPr>
    </w:p>
    <w:p w:rsidR="00B64BFA" w:rsidRDefault="00B64BFA" w:rsidP="006979C8">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10"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9431BA">
        <w:rPr>
          <w:rFonts w:asciiTheme="majorHAnsi" w:hAnsiTheme="majorHAnsi"/>
          <w:color w:val="000000"/>
        </w:rPr>
        <w:t>57.11 is estimated for 10 Principal Investigators</w:t>
      </w:r>
      <w:r w:rsidR="00C87661">
        <w:rPr>
          <w:rFonts w:asciiTheme="majorHAnsi" w:hAnsiTheme="majorHAnsi"/>
          <w:color w:val="000000"/>
        </w:rPr>
        <w:t xml:space="preserve"> and an average hourly wage of $26.00 is estimated for 10 Epidemiologists</w:t>
      </w:r>
      <w:r w:rsidRPr="002A1948">
        <w:rPr>
          <w:rFonts w:asciiTheme="majorHAnsi" w:hAnsiTheme="majorHAnsi"/>
          <w:color w:val="000000"/>
        </w:rPr>
        <w:t xml:space="preserve">. </w:t>
      </w:r>
      <w:r w:rsidR="00A578C2">
        <w:rPr>
          <w:rFonts w:asciiTheme="majorHAnsi" w:hAnsiTheme="majorHAnsi"/>
          <w:color w:val="000000"/>
        </w:rPr>
        <w:t>Table A-12 shows estimated burden and cost information.</w:t>
      </w:r>
    </w:p>
    <w:p w:rsidR="005A59E5" w:rsidRPr="002A1948" w:rsidRDefault="005A59E5" w:rsidP="00901AE4">
      <w:pPr>
        <w:pStyle w:val="ListParagraph"/>
        <w:autoSpaceDE w:val="0"/>
        <w:autoSpaceDN w:val="0"/>
        <w:adjustRightInd w:val="0"/>
        <w:ind w:left="270"/>
        <w:rPr>
          <w:rFonts w:asciiTheme="majorHAnsi" w:hAnsiTheme="majorHAnsi"/>
          <w:color w:val="000000"/>
        </w:rPr>
      </w:pPr>
    </w:p>
    <w:p w:rsidR="005A59E5" w:rsidRDefault="005A59E5" w:rsidP="00901AE4">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tc>
          <w:tcPr>
            <w:tcW w:w="1620" w:type="dxa"/>
            <w:tcBorders>
              <w:top w:val="single" w:sz="12" w:space="0" w:color="000000"/>
            </w:tcBorders>
            <w:vAlign w:val="center"/>
          </w:tcPr>
          <w:p w:rsidR="00E134F4" w:rsidRPr="006F6856" w:rsidRDefault="00694106" w:rsidP="000130B4">
            <w:pPr>
              <w:rPr>
                <w:rFonts w:asciiTheme="majorHAnsi" w:hAnsiTheme="majorHAnsi"/>
                <w:sz w:val="20"/>
              </w:rPr>
            </w:pPr>
            <w:r>
              <w:rPr>
                <w:rFonts w:asciiTheme="majorHAnsi" w:hAnsiTheme="majorHAnsi"/>
                <w:sz w:val="20"/>
              </w:rPr>
              <w:t>Principal Investigators</w:t>
            </w:r>
          </w:p>
        </w:tc>
        <w:tc>
          <w:tcPr>
            <w:tcW w:w="1440" w:type="dxa"/>
            <w:tcBorders>
              <w:top w:val="single" w:sz="12" w:space="0" w:color="000000"/>
            </w:tcBorders>
            <w:vAlign w:val="center"/>
          </w:tcPr>
          <w:p w:rsidR="000A1F30" w:rsidRPr="006F6856" w:rsidRDefault="00694106" w:rsidP="000130B4">
            <w:pPr>
              <w:jc w:val="center"/>
              <w:rPr>
                <w:rFonts w:asciiTheme="majorHAnsi" w:hAnsiTheme="majorHAnsi"/>
                <w:sz w:val="20"/>
              </w:rPr>
            </w:pPr>
            <w:r>
              <w:rPr>
                <w:rFonts w:asciiTheme="majorHAnsi" w:hAnsiTheme="majorHAnsi"/>
                <w:sz w:val="20"/>
              </w:rPr>
              <w:t>10</w:t>
            </w:r>
            <w:r w:rsidR="00CA5B99">
              <w:rPr>
                <w:rFonts w:asciiTheme="majorHAnsi" w:hAnsiTheme="majorHAnsi"/>
                <w:sz w:val="20"/>
              </w:rPr>
              <w:t xml:space="preserve"> </w:t>
            </w:r>
          </w:p>
        </w:tc>
        <w:tc>
          <w:tcPr>
            <w:tcW w:w="1800" w:type="dxa"/>
            <w:tcBorders>
              <w:top w:val="single" w:sz="12" w:space="0" w:color="000000"/>
            </w:tcBorders>
            <w:vAlign w:val="center"/>
          </w:tcPr>
          <w:p w:rsidR="000A1F30" w:rsidRPr="006F6856" w:rsidRDefault="00CA5B99" w:rsidP="000130B4">
            <w:pPr>
              <w:jc w:val="center"/>
              <w:rPr>
                <w:rFonts w:asciiTheme="majorHAnsi" w:hAnsiTheme="majorHAnsi"/>
                <w:sz w:val="20"/>
              </w:rPr>
            </w:pPr>
            <w:r>
              <w:rPr>
                <w:rFonts w:asciiTheme="majorHAnsi" w:hAnsiTheme="majorHAnsi"/>
                <w:sz w:val="20"/>
              </w:rPr>
              <w:t xml:space="preserve"> </w:t>
            </w:r>
            <w:r w:rsidR="009431BA">
              <w:rPr>
                <w:rFonts w:asciiTheme="majorHAnsi" w:hAnsiTheme="majorHAnsi"/>
                <w:sz w:val="20"/>
              </w:rPr>
              <w:t>1</w:t>
            </w:r>
          </w:p>
        </w:tc>
        <w:tc>
          <w:tcPr>
            <w:tcW w:w="1260" w:type="dxa"/>
            <w:tcBorders>
              <w:top w:val="single" w:sz="12" w:space="0" w:color="000000"/>
            </w:tcBorders>
            <w:vAlign w:val="center"/>
          </w:tcPr>
          <w:p w:rsidR="000A1F30" w:rsidRPr="00817941" w:rsidRDefault="00FF245F" w:rsidP="001D6A8C">
            <w:pPr>
              <w:jc w:val="center"/>
              <w:rPr>
                <w:rFonts w:asciiTheme="majorHAnsi" w:hAnsiTheme="majorHAnsi"/>
                <w:sz w:val="20"/>
              </w:rPr>
            </w:pPr>
            <w:r>
              <w:rPr>
                <w:rFonts w:asciiTheme="majorHAnsi" w:hAnsiTheme="majorHAnsi"/>
                <w:sz w:val="20"/>
              </w:rPr>
              <w:t>39</w:t>
            </w:r>
            <w:r w:rsidR="007B305A">
              <w:rPr>
                <w:rFonts w:asciiTheme="majorHAnsi" w:hAnsiTheme="majorHAnsi"/>
                <w:sz w:val="20"/>
              </w:rPr>
              <w:t>/</w:t>
            </w:r>
            <w:r w:rsidR="00817941" w:rsidRPr="00817941">
              <w:rPr>
                <w:rFonts w:asciiTheme="majorHAnsi" w:hAnsiTheme="majorHAnsi"/>
                <w:sz w:val="20"/>
              </w:rPr>
              <w:t>60</w:t>
            </w:r>
            <w:r w:rsidR="00CA5B99">
              <w:rPr>
                <w:rFonts w:asciiTheme="majorHAnsi" w:hAnsiTheme="majorHAnsi"/>
                <w:sz w:val="20"/>
              </w:rPr>
              <w:t xml:space="preserve"> </w:t>
            </w:r>
          </w:p>
        </w:tc>
        <w:tc>
          <w:tcPr>
            <w:tcW w:w="1080" w:type="dxa"/>
            <w:tcBorders>
              <w:top w:val="single" w:sz="12" w:space="0" w:color="000000"/>
            </w:tcBorders>
            <w:vAlign w:val="center"/>
          </w:tcPr>
          <w:p w:rsidR="000A1F30" w:rsidRPr="00817941" w:rsidRDefault="00FF245F" w:rsidP="001D6A8C">
            <w:pPr>
              <w:jc w:val="center"/>
              <w:rPr>
                <w:rFonts w:asciiTheme="majorHAnsi" w:hAnsiTheme="majorHAnsi"/>
                <w:sz w:val="20"/>
              </w:rPr>
            </w:pPr>
            <w:r>
              <w:rPr>
                <w:rFonts w:asciiTheme="majorHAnsi" w:hAnsiTheme="majorHAnsi"/>
                <w:sz w:val="20"/>
              </w:rPr>
              <w:t>7</w:t>
            </w:r>
          </w:p>
        </w:tc>
        <w:tc>
          <w:tcPr>
            <w:tcW w:w="990" w:type="dxa"/>
            <w:tcBorders>
              <w:top w:val="single" w:sz="12" w:space="0" w:color="000000"/>
            </w:tcBorders>
            <w:vAlign w:val="center"/>
          </w:tcPr>
          <w:p w:rsidR="000A1F30" w:rsidRPr="00817941" w:rsidRDefault="009431BA" w:rsidP="000130B4">
            <w:pPr>
              <w:jc w:val="center"/>
              <w:rPr>
                <w:rFonts w:asciiTheme="majorHAnsi" w:hAnsiTheme="majorHAnsi"/>
                <w:sz w:val="20"/>
              </w:rPr>
            </w:pPr>
            <w:r>
              <w:rPr>
                <w:rFonts w:asciiTheme="majorHAnsi" w:hAnsiTheme="majorHAnsi"/>
                <w:sz w:val="20"/>
              </w:rPr>
              <w:t>57.11</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8D58B8" w:rsidP="00FF362C">
            <w:pPr>
              <w:jc w:val="right"/>
              <w:rPr>
                <w:rFonts w:asciiTheme="majorHAnsi" w:hAnsiTheme="majorHAnsi"/>
                <w:sz w:val="20"/>
              </w:rPr>
            </w:pPr>
            <w:r>
              <w:rPr>
                <w:rFonts w:asciiTheme="majorHAnsi" w:hAnsiTheme="majorHAnsi"/>
                <w:sz w:val="20"/>
              </w:rPr>
              <w:t>$</w:t>
            </w:r>
            <w:r w:rsidR="00FF245F">
              <w:rPr>
                <w:rFonts w:asciiTheme="majorHAnsi" w:hAnsiTheme="majorHAnsi"/>
                <w:sz w:val="20"/>
              </w:rPr>
              <w:t>399.77</w:t>
            </w:r>
            <w:r w:rsidR="00CA5B99">
              <w:rPr>
                <w:rFonts w:asciiTheme="majorHAnsi" w:hAnsiTheme="majorHAnsi"/>
                <w:sz w:val="20"/>
              </w:rPr>
              <w:t xml:space="preserve"> </w:t>
            </w:r>
          </w:p>
        </w:tc>
      </w:tr>
      <w:tr w:rsidR="00694106" w:rsidRPr="006F6856">
        <w:tc>
          <w:tcPr>
            <w:tcW w:w="1620" w:type="dxa"/>
            <w:tcBorders>
              <w:top w:val="single" w:sz="12" w:space="0" w:color="000000"/>
            </w:tcBorders>
            <w:vAlign w:val="center"/>
          </w:tcPr>
          <w:p w:rsidR="00694106" w:rsidRDefault="00694106" w:rsidP="000130B4">
            <w:pPr>
              <w:rPr>
                <w:rFonts w:asciiTheme="majorHAnsi" w:hAnsiTheme="majorHAnsi"/>
                <w:sz w:val="20"/>
              </w:rPr>
            </w:pPr>
            <w:r>
              <w:rPr>
                <w:rFonts w:asciiTheme="majorHAnsi" w:hAnsiTheme="majorHAnsi"/>
                <w:sz w:val="20"/>
              </w:rPr>
              <w:t>Epidemiologists</w:t>
            </w:r>
          </w:p>
        </w:tc>
        <w:tc>
          <w:tcPr>
            <w:tcW w:w="1440" w:type="dxa"/>
            <w:tcBorders>
              <w:top w:val="single" w:sz="12" w:space="0" w:color="000000"/>
            </w:tcBorders>
            <w:vAlign w:val="center"/>
          </w:tcPr>
          <w:p w:rsidR="00694106" w:rsidRDefault="00694106" w:rsidP="000130B4">
            <w:pPr>
              <w:jc w:val="center"/>
              <w:rPr>
                <w:rFonts w:asciiTheme="majorHAnsi" w:hAnsiTheme="majorHAnsi"/>
                <w:sz w:val="20"/>
              </w:rPr>
            </w:pPr>
            <w:r>
              <w:rPr>
                <w:rFonts w:asciiTheme="majorHAnsi" w:hAnsiTheme="majorHAnsi"/>
                <w:sz w:val="20"/>
              </w:rPr>
              <w:t>10</w:t>
            </w:r>
          </w:p>
        </w:tc>
        <w:tc>
          <w:tcPr>
            <w:tcW w:w="1800" w:type="dxa"/>
            <w:tcBorders>
              <w:top w:val="single" w:sz="12" w:space="0" w:color="000000"/>
            </w:tcBorders>
            <w:vAlign w:val="center"/>
          </w:tcPr>
          <w:p w:rsidR="00694106" w:rsidRDefault="009431BA"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694106" w:rsidRDefault="00FF245F" w:rsidP="001D6A8C">
            <w:pPr>
              <w:jc w:val="center"/>
              <w:rPr>
                <w:rFonts w:asciiTheme="majorHAnsi" w:hAnsiTheme="majorHAnsi"/>
                <w:sz w:val="20"/>
              </w:rPr>
            </w:pPr>
            <w:r>
              <w:rPr>
                <w:rFonts w:asciiTheme="majorHAnsi" w:hAnsiTheme="majorHAnsi"/>
                <w:sz w:val="20"/>
              </w:rPr>
              <w:t>39</w:t>
            </w:r>
            <w:r w:rsidR="00974A5C">
              <w:rPr>
                <w:rFonts w:asciiTheme="majorHAnsi" w:hAnsiTheme="majorHAnsi"/>
                <w:sz w:val="20"/>
              </w:rPr>
              <w:t>/60</w:t>
            </w:r>
          </w:p>
        </w:tc>
        <w:tc>
          <w:tcPr>
            <w:tcW w:w="1080" w:type="dxa"/>
            <w:tcBorders>
              <w:top w:val="single" w:sz="12" w:space="0" w:color="000000"/>
            </w:tcBorders>
            <w:vAlign w:val="center"/>
          </w:tcPr>
          <w:p w:rsidR="00694106" w:rsidRDefault="00FF245F" w:rsidP="000130B4">
            <w:pPr>
              <w:jc w:val="center"/>
              <w:rPr>
                <w:rFonts w:asciiTheme="majorHAnsi" w:hAnsiTheme="majorHAnsi"/>
                <w:sz w:val="20"/>
              </w:rPr>
            </w:pPr>
            <w:r>
              <w:rPr>
                <w:rFonts w:asciiTheme="majorHAnsi" w:hAnsiTheme="majorHAnsi"/>
                <w:sz w:val="20"/>
              </w:rPr>
              <w:t>7</w:t>
            </w:r>
          </w:p>
        </w:tc>
        <w:tc>
          <w:tcPr>
            <w:tcW w:w="990" w:type="dxa"/>
            <w:tcBorders>
              <w:top w:val="single" w:sz="12" w:space="0" w:color="000000"/>
            </w:tcBorders>
            <w:vAlign w:val="center"/>
          </w:tcPr>
          <w:p w:rsidR="00694106" w:rsidRDefault="00FB5CFC" w:rsidP="000130B4">
            <w:pPr>
              <w:jc w:val="center"/>
              <w:rPr>
                <w:rFonts w:asciiTheme="majorHAnsi" w:hAnsiTheme="majorHAnsi"/>
                <w:sz w:val="20"/>
              </w:rPr>
            </w:pPr>
            <w:r>
              <w:rPr>
                <w:rFonts w:asciiTheme="majorHAnsi" w:hAnsiTheme="majorHAnsi"/>
                <w:sz w:val="20"/>
              </w:rPr>
              <w:t>26.00</w:t>
            </w:r>
          </w:p>
        </w:tc>
        <w:tc>
          <w:tcPr>
            <w:tcW w:w="1368" w:type="dxa"/>
            <w:tcBorders>
              <w:top w:val="single" w:sz="12" w:space="0" w:color="000000"/>
            </w:tcBorders>
            <w:vAlign w:val="center"/>
          </w:tcPr>
          <w:p w:rsidR="00694106" w:rsidRDefault="00FB5CFC" w:rsidP="00FF362C">
            <w:pPr>
              <w:jc w:val="right"/>
              <w:rPr>
                <w:rFonts w:asciiTheme="majorHAnsi" w:hAnsiTheme="majorHAnsi"/>
                <w:sz w:val="20"/>
              </w:rPr>
            </w:pPr>
            <w:r>
              <w:rPr>
                <w:rFonts w:asciiTheme="majorHAnsi" w:hAnsiTheme="majorHAnsi"/>
                <w:sz w:val="20"/>
              </w:rPr>
              <w:t>$</w:t>
            </w:r>
            <w:r w:rsidR="00FF245F">
              <w:rPr>
                <w:rFonts w:asciiTheme="majorHAnsi" w:hAnsiTheme="majorHAnsi"/>
                <w:sz w:val="20"/>
              </w:rPr>
              <w:t>182</w:t>
            </w:r>
            <w:r>
              <w:rPr>
                <w:rFonts w:asciiTheme="majorHAnsi" w:hAnsiTheme="majorHAnsi"/>
                <w:sz w:val="20"/>
              </w:rPr>
              <w:t>.00</w:t>
            </w:r>
          </w:p>
        </w:tc>
      </w:tr>
      <w:tr w:rsidR="00C0376C" w:rsidRPr="006F6856">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5B2E07" w:rsidP="00C0376C">
            <w:pPr>
              <w:spacing w:after="0"/>
              <w:jc w:val="center"/>
              <w:rPr>
                <w:rFonts w:asciiTheme="majorHAnsi" w:hAnsiTheme="majorHAnsi"/>
                <w:b/>
                <w:sz w:val="20"/>
              </w:rPr>
            </w:pPr>
            <w:r>
              <w:rPr>
                <w:rFonts w:asciiTheme="majorHAnsi" w:hAnsiTheme="majorHAnsi"/>
                <w:b/>
                <w:sz w:val="20"/>
              </w:rPr>
              <w:t>20</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5B2E07">
              <w:rPr>
                <w:rFonts w:asciiTheme="majorHAnsi" w:hAnsiTheme="majorHAnsi"/>
                <w:b/>
                <w:sz w:val="20"/>
              </w:rPr>
              <w:t>2</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FF245F" w:rsidP="00FF362C">
            <w:pPr>
              <w:spacing w:after="0"/>
              <w:jc w:val="center"/>
              <w:rPr>
                <w:rFonts w:asciiTheme="majorHAnsi" w:hAnsiTheme="majorHAnsi"/>
                <w:b/>
                <w:sz w:val="20"/>
              </w:rPr>
            </w:pPr>
            <w:r>
              <w:rPr>
                <w:rFonts w:asciiTheme="majorHAnsi" w:hAnsiTheme="majorHAnsi"/>
                <w:b/>
                <w:sz w:val="20"/>
              </w:rPr>
              <w:t>14</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8D58B8" w:rsidP="00FF362C">
            <w:pPr>
              <w:spacing w:after="0"/>
              <w:jc w:val="right"/>
              <w:rPr>
                <w:rFonts w:asciiTheme="majorHAnsi" w:hAnsiTheme="majorHAnsi"/>
                <w:b/>
                <w:sz w:val="20"/>
              </w:rPr>
            </w:pPr>
            <w:r>
              <w:rPr>
                <w:rFonts w:asciiTheme="majorHAnsi" w:hAnsiTheme="majorHAnsi"/>
                <w:b/>
                <w:sz w:val="20"/>
              </w:rPr>
              <w:t>$</w:t>
            </w:r>
            <w:r w:rsidR="00FF245F">
              <w:rPr>
                <w:rFonts w:asciiTheme="majorHAnsi" w:hAnsiTheme="majorHAnsi"/>
                <w:b/>
                <w:sz w:val="20"/>
              </w:rPr>
              <w:t>581.77</w:t>
            </w:r>
            <w:r w:rsidR="00CA5B99">
              <w:rPr>
                <w:rFonts w:asciiTheme="majorHAnsi" w:hAnsiTheme="majorHAnsi"/>
                <w:b/>
                <w:sz w:val="20"/>
              </w:rPr>
              <w:t xml:space="preserve"> </w:t>
            </w:r>
          </w:p>
        </w:tc>
      </w:tr>
    </w:tbl>
    <w:p w:rsidR="003C31C9" w:rsidRDefault="003C31C9" w:rsidP="003C31C9">
      <w:pPr>
        <w:pStyle w:val="Default"/>
        <w:ind w:left="720"/>
        <w:rPr>
          <w:rFonts w:asciiTheme="majorHAnsi" w:hAnsiTheme="majorHAnsi" w:cs="Times New Roman"/>
          <w:sz w:val="22"/>
          <w:szCs w:val="22"/>
        </w:rPr>
      </w:pPr>
    </w:p>
    <w:p w:rsidR="00AE7B93" w:rsidRPr="00AE7B93" w:rsidRDefault="00AE7B93" w:rsidP="00AE7B93">
      <w:pPr>
        <w:autoSpaceDE w:val="0"/>
        <w:autoSpaceDN w:val="0"/>
        <w:adjustRightInd w:val="0"/>
        <w:ind w:right="720"/>
        <w:rPr>
          <w:rFonts w:asciiTheme="majorHAnsi" w:hAnsiTheme="majorHAnsi"/>
          <w:u w:val="single"/>
        </w:rPr>
      </w:pPr>
    </w:p>
    <w:p w:rsidR="00B12F51" w:rsidRPr="0088467A" w:rsidRDefault="0088467A" w:rsidP="00AE7B93">
      <w:pPr>
        <w:pStyle w:val="ListParagraph"/>
        <w:numPr>
          <w:ilvl w:val="0"/>
          <w:numId w:val="2"/>
        </w:numPr>
        <w:spacing w:after="0"/>
        <w:ind w:left="360"/>
        <w:rPr>
          <w:rFonts w:asciiTheme="majorHAnsi" w:hAnsiTheme="majorHAnsi"/>
          <w:b/>
          <w:bCs/>
        </w:rPr>
      </w:pPr>
      <w:r w:rsidRPr="0088467A">
        <w:rPr>
          <w:rFonts w:asciiTheme="majorHAnsi" w:hAnsiTheme="majorHAnsi"/>
          <w:b/>
          <w:bCs/>
        </w:rPr>
        <w:t>Estimates of Other Total Annual Cost Burden to Respondents or Record Keepers</w:t>
      </w:r>
    </w:p>
    <w:p w:rsidR="00D75750" w:rsidRDefault="003C31C9" w:rsidP="00AE7B93">
      <w:pPr>
        <w:pStyle w:val="CM89"/>
        <w:spacing w:line="228" w:lineRule="atLeast"/>
        <w:ind w:left="27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w:t>
      </w:r>
      <w:r w:rsidR="00AE7B93">
        <w:rPr>
          <w:rFonts w:asciiTheme="majorHAnsi" w:hAnsiTheme="majorHAnsi" w:cs="Times New Roman"/>
          <w:color w:val="000000"/>
          <w:sz w:val="22"/>
        </w:rPr>
        <w:t>.</w:t>
      </w:r>
    </w:p>
    <w:p w:rsidR="006979C8" w:rsidRDefault="006979C8" w:rsidP="006979C8">
      <w:pPr>
        <w:pStyle w:val="Default"/>
      </w:pPr>
    </w:p>
    <w:p w:rsidR="006979C8" w:rsidRDefault="006979C8" w:rsidP="006979C8">
      <w:pPr>
        <w:pStyle w:val="Default"/>
      </w:pPr>
    </w:p>
    <w:p w:rsidR="006979C8" w:rsidRDefault="006979C8" w:rsidP="006979C8">
      <w:pPr>
        <w:pStyle w:val="Default"/>
      </w:pPr>
    </w:p>
    <w:p w:rsidR="006979C8" w:rsidRDefault="006979C8" w:rsidP="006979C8">
      <w:pPr>
        <w:pStyle w:val="Default"/>
      </w:pPr>
    </w:p>
    <w:p w:rsidR="006979C8" w:rsidRDefault="006979C8" w:rsidP="006979C8">
      <w:pPr>
        <w:pStyle w:val="Default"/>
      </w:pPr>
    </w:p>
    <w:p w:rsidR="006979C8" w:rsidRDefault="006979C8" w:rsidP="006979C8">
      <w:pPr>
        <w:pStyle w:val="Default"/>
      </w:pPr>
    </w:p>
    <w:p w:rsidR="006979C8" w:rsidRDefault="006979C8" w:rsidP="006979C8">
      <w:pPr>
        <w:pStyle w:val="Default"/>
      </w:pPr>
    </w:p>
    <w:p w:rsidR="006979C8" w:rsidRPr="006979C8" w:rsidRDefault="006979C8" w:rsidP="006979C8">
      <w:pPr>
        <w:pStyle w:val="Default"/>
      </w:pPr>
    </w:p>
    <w:p w:rsidR="00D75750" w:rsidRPr="00911486" w:rsidRDefault="00D75750" w:rsidP="00AE7B93">
      <w:pPr>
        <w:pStyle w:val="Default"/>
        <w:ind w:left="270"/>
      </w:pPr>
    </w:p>
    <w:p w:rsidR="00AE7B93" w:rsidRPr="006979C8" w:rsidRDefault="0088467A" w:rsidP="006979C8">
      <w:pPr>
        <w:pStyle w:val="ListParagraph"/>
        <w:numPr>
          <w:ilvl w:val="0"/>
          <w:numId w:val="2"/>
        </w:numPr>
        <w:spacing w:after="0"/>
        <w:ind w:left="36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4841F1" w:rsidRDefault="00321B51" w:rsidP="00AE7B93">
      <w:pPr>
        <w:pStyle w:val="ListParagraph"/>
        <w:autoSpaceDE w:val="0"/>
        <w:autoSpaceDN w:val="0"/>
        <w:adjustRightInd w:val="0"/>
        <w:ind w:left="270" w:right="720"/>
        <w:rPr>
          <w:rFonts w:asciiTheme="majorHAnsi" w:hAnsiTheme="majorHAnsi"/>
        </w:rPr>
      </w:pPr>
      <w:r>
        <w:rPr>
          <w:rFonts w:asciiTheme="majorHAnsi" w:hAnsiTheme="majorHAnsi"/>
          <w:color w:val="000000"/>
        </w:rPr>
        <w:lastRenderedPageBreak/>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tc>
          <w:tcPr>
            <w:tcW w:w="4518" w:type="dxa"/>
            <w:tcBorders>
              <w:top w:val="single" w:sz="12" w:space="0" w:color="auto"/>
            </w:tcBorders>
          </w:tcPr>
          <w:p w:rsidR="004841F1" w:rsidRPr="00C23516" w:rsidRDefault="00DA077E" w:rsidP="00241B17">
            <w:pPr>
              <w:rPr>
                <w:rFonts w:asciiTheme="majorHAnsi" w:hAnsiTheme="majorHAnsi"/>
                <w:b/>
                <w:sz w:val="20"/>
              </w:rPr>
            </w:pPr>
            <w:r>
              <w:rPr>
                <w:rFonts w:asciiTheme="majorHAnsi" w:hAnsiTheme="majorHAnsi"/>
                <w:b/>
                <w:sz w:val="20"/>
              </w:rPr>
              <w:t>Associate Service</w:t>
            </w:r>
            <w:r w:rsidR="00C23516" w:rsidRPr="00C23516">
              <w:rPr>
                <w:rFonts w:asciiTheme="majorHAnsi" w:hAnsiTheme="majorHAnsi"/>
                <w:b/>
                <w:sz w:val="20"/>
              </w:rPr>
              <w:t xml:space="preserve"> Fellow (GS-</w:t>
            </w:r>
            <w:r>
              <w:rPr>
                <w:rFonts w:asciiTheme="majorHAnsi" w:hAnsiTheme="majorHAnsi"/>
                <w:b/>
                <w:sz w:val="20"/>
              </w:rPr>
              <w:t>12</w:t>
            </w:r>
            <w:r w:rsidR="00C23516" w:rsidRPr="00C23516">
              <w:rPr>
                <w:rFonts w:asciiTheme="majorHAnsi" w:hAnsiTheme="majorHAnsi"/>
                <w:b/>
                <w:sz w:val="20"/>
              </w:rPr>
              <w:t>)</w:t>
            </w:r>
          </w:p>
          <w:p w:rsidR="00C23516" w:rsidRPr="004841F1" w:rsidRDefault="00C23516" w:rsidP="00241B17">
            <w:pPr>
              <w:rPr>
                <w:rFonts w:asciiTheme="majorHAnsi" w:hAnsiTheme="majorHAnsi"/>
                <w:sz w:val="20"/>
              </w:rPr>
            </w:pPr>
            <w:r>
              <w:rPr>
                <w:rFonts w:asciiTheme="majorHAnsi" w:hAnsiTheme="majorHAnsi"/>
                <w:sz w:val="20"/>
              </w:rPr>
              <w:t>Instrument development, pilot testing, OMB package preparation, data collection, data coding, data analysis, report preparation</w:t>
            </w:r>
          </w:p>
        </w:tc>
        <w:tc>
          <w:tcPr>
            <w:tcW w:w="1980" w:type="dxa"/>
            <w:tcBorders>
              <w:top w:val="single" w:sz="12" w:space="0" w:color="auto"/>
            </w:tcBorders>
          </w:tcPr>
          <w:p w:rsidR="004841F1" w:rsidRPr="004841F1" w:rsidRDefault="00321B51" w:rsidP="007D3CCC">
            <w:pPr>
              <w:jc w:val="center"/>
              <w:rPr>
                <w:rFonts w:asciiTheme="majorHAnsi" w:hAnsiTheme="majorHAnsi"/>
                <w:sz w:val="20"/>
              </w:rPr>
            </w:pPr>
            <w:r>
              <w:rPr>
                <w:rFonts w:asciiTheme="majorHAnsi" w:hAnsiTheme="majorHAnsi"/>
                <w:sz w:val="20"/>
              </w:rPr>
              <w:t xml:space="preserve"> </w:t>
            </w:r>
            <w:r w:rsidR="007D3CCC">
              <w:rPr>
                <w:rFonts w:asciiTheme="majorHAnsi" w:hAnsiTheme="majorHAnsi"/>
                <w:sz w:val="20"/>
              </w:rPr>
              <w:t>350</w:t>
            </w:r>
            <w:r w:rsidR="00204A1A">
              <w:rPr>
                <w:rFonts w:asciiTheme="majorHAnsi" w:hAnsiTheme="majorHAnsi"/>
                <w:sz w:val="20"/>
              </w:rPr>
              <w:t xml:space="preserve"> hours</w:t>
            </w:r>
          </w:p>
        </w:tc>
        <w:tc>
          <w:tcPr>
            <w:tcW w:w="1620" w:type="dxa"/>
            <w:tcBorders>
              <w:top w:val="single" w:sz="12" w:space="0" w:color="auto"/>
            </w:tcBorders>
          </w:tcPr>
          <w:p w:rsidR="004841F1" w:rsidRPr="004841F1" w:rsidRDefault="00CC0ABC" w:rsidP="00A132F1">
            <w:pPr>
              <w:jc w:val="center"/>
              <w:rPr>
                <w:rFonts w:asciiTheme="majorHAnsi" w:hAnsiTheme="majorHAnsi"/>
                <w:sz w:val="20"/>
              </w:rPr>
            </w:pPr>
            <w:r>
              <w:rPr>
                <w:rFonts w:asciiTheme="majorHAnsi" w:hAnsiTheme="majorHAnsi"/>
                <w:sz w:val="20"/>
              </w:rPr>
              <w:t>$</w:t>
            </w:r>
            <w:r w:rsidR="00DA077E">
              <w:rPr>
                <w:rFonts w:asciiTheme="majorHAnsi" w:hAnsiTheme="majorHAnsi"/>
                <w:sz w:val="20"/>
              </w:rPr>
              <w:t>35.67</w:t>
            </w:r>
            <w:r w:rsidR="00321B51">
              <w:rPr>
                <w:rFonts w:asciiTheme="majorHAnsi" w:hAnsiTheme="majorHAnsi"/>
                <w:sz w:val="20"/>
              </w:rPr>
              <w:t xml:space="preserve"> </w:t>
            </w:r>
          </w:p>
        </w:tc>
        <w:tc>
          <w:tcPr>
            <w:tcW w:w="1458" w:type="dxa"/>
            <w:tcBorders>
              <w:top w:val="single" w:sz="12" w:space="0" w:color="auto"/>
            </w:tcBorders>
          </w:tcPr>
          <w:p w:rsidR="004841F1" w:rsidRPr="004841F1" w:rsidRDefault="00321B51" w:rsidP="006A5E36">
            <w:pPr>
              <w:jc w:val="center"/>
              <w:rPr>
                <w:rFonts w:asciiTheme="majorHAnsi" w:hAnsiTheme="majorHAnsi"/>
                <w:sz w:val="20"/>
              </w:rPr>
            </w:pPr>
            <w:r>
              <w:rPr>
                <w:rFonts w:asciiTheme="majorHAnsi" w:hAnsiTheme="majorHAnsi"/>
                <w:sz w:val="20"/>
              </w:rPr>
              <w:t xml:space="preserve"> </w:t>
            </w:r>
            <w:r w:rsidR="0018048B">
              <w:rPr>
                <w:rFonts w:asciiTheme="majorHAnsi" w:hAnsiTheme="majorHAnsi"/>
                <w:sz w:val="20"/>
              </w:rPr>
              <w:t>$</w:t>
            </w:r>
            <w:r w:rsidR="00DA077E">
              <w:rPr>
                <w:rFonts w:asciiTheme="majorHAnsi" w:hAnsiTheme="majorHAnsi"/>
                <w:sz w:val="20"/>
              </w:rPr>
              <w:t>12,482</w:t>
            </w:r>
          </w:p>
        </w:tc>
      </w:tr>
      <w:tr w:rsidR="004824FA" w:rsidRPr="004841F1">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18048B" w:rsidP="00A132F1">
            <w:pPr>
              <w:jc w:val="center"/>
              <w:rPr>
                <w:rFonts w:asciiTheme="majorHAnsi" w:hAnsiTheme="majorHAnsi"/>
                <w:b/>
                <w:sz w:val="20"/>
              </w:rPr>
            </w:pPr>
            <w:r>
              <w:rPr>
                <w:rFonts w:asciiTheme="majorHAnsi" w:hAnsiTheme="majorHAnsi"/>
                <w:sz w:val="20"/>
              </w:rPr>
              <w:t>$</w:t>
            </w:r>
            <w:r w:rsidR="00DA077E">
              <w:rPr>
                <w:rFonts w:asciiTheme="majorHAnsi" w:hAnsiTheme="majorHAnsi"/>
                <w:sz w:val="20"/>
              </w:rPr>
              <w:t>12,482</w:t>
            </w:r>
          </w:p>
        </w:tc>
      </w:tr>
    </w:tbl>
    <w:p w:rsidR="004841F1" w:rsidRDefault="004841F1" w:rsidP="00241B17">
      <w:pPr>
        <w:spacing w:after="0"/>
        <w:rPr>
          <w:rFonts w:asciiTheme="majorHAnsi" w:hAnsiTheme="majorHAnsi"/>
        </w:rPr>
      </w:pPr>
    </w:p>
    <w:p w:rsidR="00B12F51" w:rsidRPr="00D75750" w:rsidRDefault="00D75750" w:rsidP="00AE7B93">
      <w:pPr>
        <w:pStyle w:val="ListParagraph"/>
        <w:numPr>
          <w:ilvl w:val="0"/>
          <w:numId w:val="2"/>
        </w:numPr>
        <w:spacing w:after="0"/>
        <w:ind w:left="360"/>
        <w:rPr>
          <w:rFonts w:asciiTheme="majorHAnsi" w:hAnsiTheme="majorHAnsi"/>
          <w:b/>
        </w:rPr>
      </w:pPr>
      <w:r w:rsidRPr="00D75750">
        <w:rPr>
          <w:rFonts w:asciiTheme="majorHAnsi" w:hAnsiTheme="majorHAnsi"/>
          <w:b/>
          <w:bCs/>
        </w:rPr>
        <w:t>Explanation for Program Changes or Adjustments</w:t>
      </w:r>
    </w:p>
    <w:p w:rsidR="00F52BCC" w:rsidRDefault="003C7C5D" w:rsidP="00AE7B93">
      <w:pPr>
        <w:pStyle w:val="ListParagraph"/>
        <w:spacing w:after="0"/>
        <w:ind w:left="270"/>
        <w:rPr>
          <w:rFonts w:asciiTheme="majorHAnsi" w:hAnsiTheme="majorHAnsi"/>
        </w:rPr>
      </w:pPr>
      <w:r>
        <w:rPr>
          <w:rFonts w:asciiTheme="majorHAnsi" w:hAnsiTheme="majorHAnsi"/>
        </w:rPr>
        <w:t>This is a new data collection.</w:t>
      </w:r>
    </w:p>
    <w:p w:rsidR="00F52BCC" w:rsidRDefault="00F52BCC" w:rsidP="00AE7B93">
      <w:pPr>
        <w:pStyle w:val="ListParagraph"/>
        <w:spacing w:after="0"/>
        <w:ind w:left="270"/>
        <w:rPr>
          <w:rFonts w:asciiTheme="majorHAnsi" w:hAnsiTheme="majorHAnsi"/>
        </w:rPr>
      </w:pPr>
    </w:p>
    <w:p w:rsidR="00B12F51" w:rsidRPr="00EF33CD" w:rsidRDefault="00616090" w:rsidP="00AE7B93">
      <w:pPr>
        <w:pStyle w:val="ListParagraph"/>
        <w:numPr>
          <w:ilvl w:val="0"/>
          <w:numId w:val="2"/>
        </w:numPr>
        <w:spacing w:after="0"/>
        <w:ind w:left="36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2F1502" w:rsidRDefault="002F1502" w:rsidP="00AE7B93">
      <w:pPr>
        <w:pStyle w:val="ListParagraph"/>
        <w:spacing w:after="0"/>
        <w:ind w:left="270"/>
        <w:rPr>
          <w:rFonts w:asciiTheme="majorHAnsi" w:hAnsiTheme="majorHAnsi"/>
        </w:rPr>
      </w:pPr>
    </w:p>
    <w:p w:rsidR="000A71DF" w:rsidRPr="000A71DF" w:rsidRDefault="000A71DF" w:rsidP="00AE7B93">
      <w:pPr>
        <w:spacing w:after="0"/>
        <w:ind w:firstLine="720"/>
        <w:rPr>
          <w:rFonts w:asciiTheme="majorHAnsi" w:hAnsiTheme="majorHAnsi"/>
          <w:sz w:val="24"/>
          <w:u w:val="single"/>
        </w:rPr>
      </w:pPr>
      <w:r>
        <w:rPr>
          <w:rFonts w:asciiTheme="majorHAnsi" w:hAnsiTheme="majorHAnsi"/>
          <w:sz w:val="24"/>
          <w:u w:val="single"/>
        </w:rPr>
        <w:t>Project Time Schedule</w:t>
      </w:r>
    </w:p>
    <w:p w:rsidR="00C65EB3" w:rsidRPr="000A71DF" w:rsidRDefault="00C65EB3" w:rsidP="00AE7B93">
      <w:pPr>
        <w:pStyle w:val="ListParagraph"/>
        <w:numPr>
          <w:ilvl w:val="0"/>
          <w:numId w:val="17"/>
        </w:numPr>
        <w:tabs>
          <w:tab w:val="right" w:leader="dot" w:pos="9360"/>
        </w:tabs>
        <w:spacing w:after="0"/>
        <w:ind w:left="990"/>
        <w:rPr>
          <w:rFonts w:asciiTheme="majorHAnsi" w:hAnsiTheme="majorHAnsi"/>
        </w:rPr>
      </w:pPr>
      <w:r w:rsidRPr="000A71DF">
        <w:rPr>
          <w:rFonts w:asciiTheme="majorHAnsi" w:hAnsiTheme="majorHAnsi"/>
        </w:rPr>
        <w:t xml:space="preserve">Design </w:t>
      </w:r>
      <w:r>
        <w:rPr>
          <w:rFonts w:asciiTheme="majorHAnsi" w:hAnsiTheme="majorHAnsi"/>
        </w:rPr>
        <w:t>interview guide</w:t>
      </w:r>
      <w:r w:rsidRPr="000A71DF">
        <w:rPr>
          <w:rFonts w:asciiTheme="majorHAnsi" w:hAnsiTheme="majorHAnsi"/>
        </w:rPr>
        <w:tab/>
        <w:t>(COMPLETE)</w:t>
      </w:r>
    </w:p>
    <w:p w:rsidR="00A3089E" w:rsidRDefault="00C65EB3" w:rsidP="00AE7B93">
      <w:pPr>
        <w:pStyle w:val="ListParagraph"/>
        <w:numPr>
          <w:ilvl w:val="0"/>
          <w:numId w:val="18"/>
        </w:numPr>
        <w:tabs>
          <w:tab w:val="right" w:leader="dot" w:pos="9360"/>
        </w:tabs>
        <w:spacing w:after="0"/>
        <w:ind w:left="990"/>
        <w:rPr>
          <w:rFonts w:asciiTheme="majorHAnsi" w:hAnsiTheme="majorHAnsi"/>
        </w:rPr>
      </w:pPr>
      <w:r w:rsidRPr="000A71DF">
        <w:rPr>
          <w:rFonts w:asciiTheme="majorHAnsi" w:hAnsiTheme="majorHAnsi"/>
        </w:rPr>
        <w:t xml:space="preserve">Develop </w:t>
      </w:r>
      <w:r>
        <w:rPr>
          <w:rFonts w:asciiTheme="majorHAnsi" w:hAnsiTheme="majorHAnsi"/>
        </w:rPr>
        <w:t>interview</w:t>
      </w:r>
      <w:r w:rsidRPr="000A71DF">
        <w:rPr>
          <w:rFonts w:asciiTheme="majorHAnsi" w:hAnsiTheme="majorHAnsi"/>
        </w:rPr>
        <w:t xml:space="preserve"> protocol, instructions, and analysis plan</w:t>
      </w:r>
      <w:r w:rsidRPr="000A71DF">
        <w:rPr>
          <w:rFonts w:asciiTheme="majorHAnsi" w:hAnsiTheme="majorHAnsi"/>
        </w:rPr>
        <w:tab/>
        <w:t>(COMPLETE)</w:t>
      </w:r>
    </w:p>
    <w:p w:rsidR="00BE6149" w:rsidRPr="00A3089E" w:rsidRDefault="00C65EB3" w:rsidP="00AE7B93">
      <w:pPr>
        <w:pStyle w:val="ListParagraph"/>
        <w:numPr>
          <w:ilvl w:val="0"/>
          <w:numId w:val="18"/>
        </w:numPr>
        <w:tabs>
          <w:tab w:val="right" w:leader="dot" w:pos="9360"/>
        </w:tabs>
        <w:spacing w:after="0"/>
        <w:ind w:left="990"/>
        <w:rPr>
          <w:rFonts w:asciiTheme="majorHAnsi" w:hAnsiTheme="majorHAnsi"/>
        </w:rPr>
      </w:pPr>
      <w:r w:rsidRPr="00A3089E">
        <w:rPr>
          <w:rFonts w:asciiTheme="majorHAnsi" w:hAnsiTheme="majorHAnsi"/>
        </w:rPr>
        <w:t>Pilot test interview protocol and guide</w:t>
      </w:r>
      <w:r w:rsidRPr="00A3089E">
        <w:rPr>
          <w:rFonts w:asciiTheme="majorHAnsi" w:hAnsiTheme="majorHAnsi"/>
        </w:rPr>
        <w:tab/>
        <w:t>(COMPLETE)</w:t>
      </w:r>
    </w:p>
    <w:p w:rsidR="00C65EB3" w:rsidRPr="00AE7B93" w:rsidRDefault="00C65EB3" w:rsidP="00AE7B93">
      <w:pPr>
        <w:pStyle w:val="ListParagraph"/>
        <w:numPr>
          <w:ilvl w:val="0"/>
          <w:numId w:val="18"/>
        </w:numPr>
        <w:tabs>
          <w:tab w:val="right" w:leader="dot" w:pos="9360"/>
        </w:tabs>
        <w:spacing w:after="0"/>
        <w:ind w:left="990"/>
        <w:rPr>
          <w:rFonts w:asciiTheme="majorHAnsi" w:hAnsiTheme="majorHAnsi"/>
        </w:rPr>
      </w:pPr>
      <w:r w:rsidRPr="00AE7B93">
        <w:rPr>
          <w:rFonts w:asciiTheme="majorHAnsi" w:hAnsiTheme="majorHAnsi"/>
        </w:rPr>
        <w:t>Prepare OMB package</w:t>
      </w:r>
      <w:r w:rsidRPr="00AE7B93">
        <w:rPr>
          <w:rFonts w:asciiTheme="majorHAnsi" w:hAnsiTheme="majorHAnsi"/>
        </w:rPr>
        <w:tab/>
      </w:r>
      <w:r w:rsidR="00BE6149" w:rsidRPr="00AE7B93">
        <w:rPr>
          <w:rFonts w:asciiTheme="majorHAnsi" w:hAnsiTheme="majorHAnsi"/>
        </w:rPr>
        <w:t>(COMPLETE)</w:t>
      </w:r>
    </w:p>
    <w:p w:rsidR="00C65EB3" w:rsidRPr="000A71DF" w:rsidRDefault="00C65EB3" w:rsidP="00AE7B93">
      <w:pPr>
        <w:pStyle w:val="ListParagraph"/>
        <w:numPr>
          <w:ilvl w:val="0"/>
          <w:numId w:val="21"/>
        </w:numPr>
        <w:tabs>
          <w:tab w:val="right" w:leader="dot" w:pos="9360"/>
        </w:tabs>
        <w:spacing w:after="0"/>
        <w:ind w:left="990"/>
        <w:rPr>
          <w:rFonts w:asciiTheme="majorHAnsi" w:hAnsiTheme="majorHAnsi"/>
        </w:rPr>
      </w:pPr>
      <w:r w:rsidRPr="000A71DF">
        <w:rPr>
          <w:rFonts w:asciiTheme="majorHAnsi" w:hAnsiTheme="majorHAnsi"/>
        </w:rPr>
        <w:t>Submit OMB package</w:t>
      </w:r>
      <w:r w:rsidRPr="000A71DF">
        <w:rPr>
          <w:rFonts w:asciiTheme="majorHAnsi" w:hAnsiTheme="majorHAnsi"/>
        </w:rPr>
        <w:tab/>
        <w:t>(</w:t>
      </w:r>
      <w:r w:rsidR="00A3089E">
        <w:rPr>
          <w:rFonts w:asciiTheme="majorHAnsi" w:hAnsiTheme="majorHAnsi"/>
        </w:rPr>
        <w:t>TBD</w:t>
      </w:r>
      <w:r w:rsidRPr="000A71DF">
        <w:rPr>
          <w:rFonts w:asciiTheme="majorHAnsi" w:hAnsiTheme="majorHAnsi"/>
        </w:rPr>
        <w:t>)</w:t>
      </w:r>
    </w:p>
    <w:p w:rsidR="00C65EB3" w:rsidRPr="000A71DF" w:rsidRDefault="00C65EB3" w:rsidP="00AE7B93">
      <w:pPr>
        <w:pStyle w:val="ListParagraph"/>
        <w:numPr>
          <w:ilvl w:val="0"/>
          <w:numId w:val="16"/>
        </w:numPr>
        <w:tabs>
          <w:tab w:val="right" w:leader="dot" w:pos="9360"/>
        </w:tabs>
        <w:spacing w:after="0"/>
        <w:ind w:left="990"/>
        <w:rPr>
          <w:rFonts w:asciiTheme="majorHAnsi" w:hAnsiTheme="majorHAnsi"/>
        </w:rPr>
      </w:pPr>
      <w:r w:rsidRPr="000A71DF">
        <w:rPr>
          <w:rFonts w:asciiTheme="majorHAnsi" w:hAnsiTheme="majorHAnsi"/>
        </w:rPr>
        <w:t>OMB approval</w:t>
      </w:r>
      <w:r w:rsidRPr="000A71DF">
        <w:rPr>
          <w:rFonts w:asciiTheme="majorHAnsi" w:hAnsiTheme="majorHAnsi"/>
        </w:rPr>
        <w:tab/>
        <w:t>(</w:t>
      </w:r>
      <w:r>
        <w:rPr>
          <w:rFonts w:asciiTheme="majorHAnsi" w:hAnsiTheme="majorHAnsi"/>
        </w:rPr>
        <w:t>TBD</w:t>
      </w:r>
      <w:r w:rsidRPr="000A71DF">
        <w:rPr>
          <w:rFonts w:asciiTheme="majorHAnsi" w:hAnsiTheme="majorHAnsi"/>
        </w:rPr>
        <w:t>)</w:t>
      </w:r>
    </w:p>
    <w:p w:rsidR="00C65EB3" w:rsidRPr="000A71DF" w:rsidRDefault="00C65EB3" w:rsidP="00AE7B93">
      <w:pPr>
        <w:pStyle w:val="ListParagraph"/>
        <w:numPr>
          <w:ilvl w:val="0"/>
          <w:numId w:val="16"/>
        </w:numPr>
        <w:tabs>
          <w:tab w:val="right" w:leader="dot" w:pos="9360"/>
        </w:tabs>
        <w:spacing w:after="0"/>
        <w:ind w:left="990"/>
        <w:rPr>
          <w:rFonts w:asciiTheme="majorHAnsi" w:hAnsiTheme="majorHAnsi"/>
        </w:rPr>
      </w:pPr>
      <w:r w:rsidRPr="000A71DF">
        <w:rPr>
          <w:rFonts w:asciiTheme="majorHAnsi" w:hAnsiTheme="majorHAnsi"/>
        </w:rPr>
        <w:t xml:space="preserve">Conduct </w:t>
      </w:r>
      <w:r>
        <w:rPr>
          <w:rFonts w:asciiTheme="majorHAnsi" w:hAnsiTheme="majorHAnsi"/>
        </w:rPr>
        <w:t>interviews</w:t>
      </w:r>
      <w:r w:rsidRPr="000A71DF">
        <w:rPr>
          <w:rFonts w:asciiTheme="majorHAnsi" w:hAnsiTheme="majorHAnsi"/>
        </w:rPr>
        <w:tab/>
        <w:t>(</w:t>
      </w:r>
      <w:r>
        <w:rPr>
          <w:rFonts w:asciiTheme="majorHAnsi" w:hAnsiTheme="majorHAnsi"/>
        </w:rPr>
        <w:t>4 weeks</w:t>
      </w:r>
      <w:r w:rsidRPr="000A71DF">
        <w:rPr>
          <w:rFonts w:asciiTheme="majorHAnsi" w:hAnsiTheme="majorHAnsi"/>
        </w:rPr>
        <w:t>)</w:t>
      </w:r>
    </w:p>
    <w:p w:rsidR="00C65EB3" w:rsidRDefault="00C65EB3" w:rsidP="00AE7B93">
      <w:pPr>
        <w:pStyle w:val="ListParagraph"/>
        <w:numPr>
          <w:ilvl w:val="0"/>
          <w:numId w:val="16"/>
        </w:numPr>
        <w:tabs>
          <w:tab w:val="right" w:leader="dot" w:pos="9360"/>
        </w:tabs>
        <w:spacing w:after="0"/>
        <w:ind w:left="990"/>
        <w:rPr>
          <w:rFonts w:asciiTheme="majorHAnsi" w:hAnsiTheme="majorHAnsi"/>
        </w:rPr>
      </w:pPr>
      <w:r>
        <w:rPr>
          <w:rFonts w:asciiTheme="majorHAnsi" w:hAnsiTheme="majorHAnsi"/>
        </w:rPr>
        <w:t>Transcribe interview data</w:t>
      </w:r>
      <w:r w:rsidRPr="000A71DF">
        <w:rPr>
          <w:rFonts w:asciiTheme="majorHAnsi" w:hAnsiTheme="majorHAnsi"/>
        </w:rPr>
        <w:tab/>
        <w:t>(</w:t>
      </w:r>
      <w:r>
        <w:rPr>
          <w:rFonts w:asciiTheme="majorHAnsi" w:hAnsiTheme="majorHAnsi"/>
        </w:rPr>
        <w:t>2 weeks</w:t>
      </w:r>
      <w:r w:rsidRPr="000A71DF">
        <w:rPr>
          <w:rFonts w:asciiTheme="majorHAnsi" w:hAnsiTheme="majorHAnsi"/>
        </w:rPr>
        <w:t>)</w:t>
      </w:r>
    </w:p>
    <w:p w:rsidR="00C65EB3" w:rsidRPr="000A71DF" w:rsidRDefault="00650E0A" w:rsidP="00AE7B93">
      <w:pPr>
        <w:pStyle w:val="ListParagraph"/>
        <w:numPr>
          <w:ilvl w:val="0"/>
          <w:numId w:val="16"/>
        </w:numPr>
        <w:tabs>
          <w:tab w:val="right" w:leader="dot" w:pos="9360"/>
        </w:tabs>
        <w:spacing w:after="0"/>
        <w:ind w:left="990"/>
        <w:rPr>
          <w:rFonts w:asciiTheme="majorHAnsi" w:hAnsiTheme="majorHAnsi"/>
        </w:rPr>
      </w:pPr>
      <w:r>
        <w:rPr>
          <w:rFonts w:asciiTheme="majorHAnsi" w:hAnsiTheme="majorHAnsi"/>
        </w:rPr>
        <w:t>Code and analyze data</w:t>
      </w:r>
      <w:r w:rsidR="00C65EB3" w:rsidRPr="000A71DF">
        <w:rPr>
          <w:rFonts w:asciiTheme="majorHAnsi" w:hAnsiTheme="majorHAnsi"/>
        </w:rPr>
        <w:tab/>
        <w:t>(</w:t>
      </w:r>
      <w:r w:rsidR="00B209D7">
        <w:rPr>
          <w:rFonts w:asciiTheme="majorHAnsi" w:hAnsiTheme="majorHAnsi"/>
        </w:rPr>
        <w:t>4</w:t>
      </w:r>
      <w:r w:rsidR="00C65EB3">
        <w:rPr>
          <w:rFonts w:asciiTheme="majorHAnsi" w:hAnsiTheme="majorHAnsi"/>
        </w:rPr>
        <w:t xml:space="preserve"> weeks</w:t>
      </w:r>
      <w:r w:rsidR="00C65EB3" w:rsidRPr="000A71DF">
        <w:rPr>
          <w:rFonts w:asciiTheme="majorHAnsi" w:hAnsiTheme="majorHAnsi"/>
        </w:rPr>
        <w:t>)</w:t>
      </w:r>
    </w:p>
    <w:p w:rsidR="00C65EB3" w:rsidRPr="000A71DF" w:rsidRDefault="00C65EB3" w:rsidP="00AE7B93">
      <w:pPr>
        <w:pStyle w:val="ListParagraph"/>
        <w:numPr>
          <w:ilvl w:val="0"/>
          <w:numId w:val="16"/>
        </w:numPr>
        <w:tabs>
          <w:tab w:val="right" w:leader="dot" w:pos="9360"/>
        </w:tabs>
        <w:spacing w:after="0"/>
        <w:ind w:left="990"/>
        <w:rPr>
          <w:rFonts w:asciiTheme="majorHAnsi" w:hAnsiTheme="majorHAnsi"/>
        </w:rPr>
      </w:pPr>
      <w:r w:rsidRPr="000A71DF">
        <w:rPr>
          <w:rFonts w:asciiTheme="majorHAnsi" w:hAnsiTheme="majorHAnsi"/>
        </w:rPr>
        <w:t>Prepare report</w:t>
      </w:r>
      <w:r w:rsidRPr="000A71DF">
        <w:rPr>
          <w:rFonts w:asciiTheme="majorHAnsi" w:hAnsiTheme="majorHAnsi"/>
        </w:rPr>
        <w:tab/>
        <w:t>(</w:t>
      </w:r>
      <w:r w:rsidR="00B209D7">
        <w:rPr>
          <w:rFonts w:asciiTheme="majorHAnsi" w:hAnsiTheme="majorHAnsi"/>
        </w:rPr>
        <w:t>3</w:t>
      </w:r>
      <w:r>
        <w:rPr>
          <w:rFonts w:asciiTheme="majorHAnsi" w:hAnsiTheme="majorHAnsi"/>
        </w:rPr>
        <w:t xml:space="preserve"> weeks</w:t>
      </w:r>
      <w:r w:rsidRPr="000A71DF">
        <w:rPr>
          <w:rFonts w:asciiTheme="majorHAnsi" w:hAnsiTheme="majorHAnsi"/>
        </w:rPr>
        <w:t>)</w:t>
      </w:r>
    </w:p>
    <w:p w:rsidR="00C65EB3" w:rsidRPr="000A71DF" w:rsidRDefault="00C65EB3" w:rsidP="00AE7B93">
      <w:pPr>
        <w:pStyle w:val="ListParagraph"/>
        <w:numPr>
          <w:ilvl w:val="0"/>
          <w:numId w:val="16"/>
        </w:numPr>
        <w:tabs>
          <w:tab w:val="right" w:leader="dot" w:pos="9360"/>
        </w:tabs>
        <w:spacing w:after="0"/>
        <w:ind w:left="990"/>
        <w:rPr>
          <w:rFonts w:asciiTheme="majorHAnsi" w:hAnsiTheme="majorHAnsi"/>
        </w:rPr>
      </w:pPr>
      <w:r w:rsidRPr="000A71DF">
        <w:rPr>
          <w:rFonts w:asciiTheme="majorHAnsi" w:hAnsiTheme="majorHAnsi"/>
        </w:rPr>
        <w:t>Disseminate results</w:t>
      </w:r>
      <w:r>
        <w:rPr>
          <w:rFonts w:asciiTheme="majorHAnsi" w:hAnsiTheme="majorHAnsi"/>
        </w:rPr>
        <w:t>/reports</w:t>
      </w:r>
      <w:r w:rsidRPr="000A71DF">
        <w:rPr>
          <w:rFonts w:asciiTheme="majorHAnsi" w:hAnsiTheme="majorHAnsi"/>
        </w:rPr>
        <w:tab/>
        <w:t>(</w:t>
      </w:r>
      <w:r w:rsidR="00AE7B93">
        <w:rPr>
          <w:rFonts w:asciiTheme="majorHAnsi" w:hAnsiTheme="majorHAnsi"/>
        </w:rPr>
        <w:t>6 weeks</w:t>
      </w:r>
      <w:r w:rsidRPr="000A71DF">
        <w:rPr>
          <w:rFonts w:asciiTheme="majorHAnsi" w:hAnsiTheme="majorHAnsi"/>
        </w:rPr>
        <w:t>)</w:t>
      </w:r>
    </w:p>
    <w:p w:rsidR="000A71DF" w:rsidRPr="000A71DF" w:rsidRDefault="000A71DF" w:rsidP="00AE7B93">
      <w:pPr>
        <w:pStyle w:val="ListParagraph"/>
        <w:tabs>
          <w:tab w:val="right" w:leader="dot" w:pos="9360"/>
        </w:tabs>
        <w:spacing w:after="0"/>
        <w:ind w:left="990"/>
        <w:rPr>
          <w:rFonts w:asciiTheme="majorHAnsi" w:hAnsiTheme="majorHAnsi"/>
        </w:rPr>
      </w:pPr>
    </w:p>
    <w:p w:rsidR="000A71DF" w:rsidRDefault="000A71DF" w:rsidP="00AE7B93">
      <w:pPr>
        <w:pStyle w:val="ListParagraph"/>
        <w:spacing w:after="0"/>
        <w:ind w:left="270"/>
        <w:rPr>
          <w:rFonts w:asciiTheme="majorHAnsi" w:hAnsiTheme="majorHAnsi"/>
        </w:rPr>
      </w:pPr>
    </w:p>
    <w:p w:rsidR="00B12F51" w:rsidRPr="00D75750" w:rsidRDefault="00D75750" w:rsidP="00AE7B93">
      <w:pPr>
        <w:pStyle w:val="ListParagraph"/>
        <w:numPr>
          <w:ilvl w:val="0"/>
          <w:numId w:val="2"/>
        </w:numPr>
        <w:spacing w:after="0"/>
        <w:ind w:left="36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AE7B93">
      <w:pPr>
        <w:pStyle w:val="ListParagraph"/>
        <w:spacing w:after="0"/>
        <w:ind w:left="270"/>
        <w:rPr>
          <w:rFonts w:asciiTheme="majorHAnsi" w:hAnsiTheme="majorHAnsi"/>
        </w:rPr>
      </w:pPr>
      <w:r>
        <w:rPr>
          <w:rFonts w:asciiTheme="majorHAnsi" w:hAnsiTheme="majorHAnsi"/>
        </w:rPr>
        <w:t>We are requesting no exemption.</w:t>
      </w:r>
    </w:p>
    <w:p w:rsidR="00F52BCC" w:rsidRDefault="00F52BCC" w:rsidP="00AE7B93">
      <w:pPr>
        <w:pStyle w:val="ListParagraph"/>
        <w:spacing w:after="0"/>
        <w:ind w:left="270"/>
        <w:rPr>
          <w:rFonts w:asciiTheme="majorHAnsi" w:hAnsiTheme="majorHAnsi"/>
        </w:rPr>
      </w:pPr>
    </w:p>
    <w:p w:rsidR="00B12F51" w:rsidRPr="00D26A64" w:rsidRDefault="00B12F51" w:rsidP="00AE7B93">
      <w:pPr>
        <w:pStyle w:val="ListParagraph"/>
        <w:numPr>
          <w:ilvl w:val="0"/>
          <w:numId w:val="2"/>
        </w:numPr>
        <w:spacing w:after="0"/>
        <w:ind w:left="36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AE7B93">
      <w:pPr>
        <w:pStyle w:val="ListParagraph"/>
        <w:spacing w:after="0"/>
        <w:ind w:left="27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385BB5" w:rsidRDefault="00385BB5" w:rsidP="00AE7B93">
      <w:pPr>
        <w:rPr>
          <w:rFonts w:asciiTheme="majorHAnsi" w:hAnsiTheme="majorHAnsi"/>
          <w:b/>
          <w:sz w:val="28"/>
        </w:rPr>
      </w:pPr>
      <w:r>
        <w:rPr>
          <w:rFonts w:asciiTheme="majorHAnsi" w:hAnsiTheme="majorHAnsi"/>
          <w:b/>
          <w:sz w:val="28"/>
        </w:rPr>
        <w:br w:type="page"/>
      </w: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Default="00A36419" w:rsidP="00527C28">
      <w:pPr>
        <w:pStyle w:val="ListParagraph"/>
        <w:spacing w:after="0" w:line="360" w:lineRule="auto"/>
        <w:rPr>
          <w:rFonts w:asciiTheme="majorHAnsi" w:hAnsiTheme="majorHAnsi"/>
          <w:b/>
        </w:rPr>
      </w:pPr>
    </w:p>
    <w:p w:rsidR="004B74C0" w:rsidRDefault="00583E86" w:rsidP="004B74C0">
      <w:pPr>
        <w:pStyle w:val="ListParagraph"/>
        <w:numPr>
          <w:ilvl w:val="0"/>
          <w:numId w:val="30"/>
        </w:numPr>
        <w:spacing w:after="0" w:line="360" w:lineRule="auto"/>
        <w:rPr>
          <w:rFonts w:asciiTheme="majorHAnsi" w:hAnsiTheme="majorHAnsi"/>
          <w:b/>
        </w:rPr>
      </w:pPr>
      <w:r>
        <w:rPr>
          <w:rFonts w:asciiTheme="majorHAnsi" w:hAnsiTheme="majorHAnsi"/>
          <w:b/>
        </w:rPr>
        <w:t>ELC Logic Model</w:t>
      </w:r>
    </w:p>
    <w:p w:rsidR="00990158" w:rsidRDefault="004B74C0" w:rsidP="004B74C0">
      <w:pPr>
        <w:pStyle w:val="ListParagraph"/>
        <w:numPr>
          <w:ilvl w:val="0"/>
          <w:numId w:val="30"/>
        </w:numPr>
        <w:spacing w:after="0" w:line="360" w:lineRule="auto"/>
        <w:rPr>
          <w:rFonts w:asciiTheme="majorHAnsi" w:hAnsiTheme="majorHAnsi"/>
          <w:b/>
        </w:rPr>
      </w:pPr>
      <w:r>
        <w:rPr>
          <w:rFonts w:asciiTheme="majorHAnsi" w:hAnsiTheme="majorHAnsi"/>
          <w:b/>
        </w:rPr>
        <w:t>Interview Guide</w:t>
      </w:r>
      <w:r w:rsidR="00990158">
        <w:rPr>
          <w:rFonts w:asciiTheme="majorHAnsi" w:hAnsiTheme="majorHAnsi"/>
          <w:b/>
        </w:rPr>
        <w:t xml:space="preserve"> (Version: Principal Investigator)</w:t>
      </w:r>
    </w:p>
    <w:p w:rsidR="004B74C0" w:rsidRDefault="00990158" w:rsidP="004B74C0">
      <w:pPr>
        <w:pStyle w:val="ListParagraph"/>
        <w:numPr>
          <w:ilvl w:val="0"/>
          <w:numId w:val="30"/>
        </w:numPr>
        <w:spacing w:after="0" w:line="360" w:lineRule="auto"/>
        <w:rPr>
          <w:rFonts w:asciiTheme="majorHAnsi" w:hAnsiTheme="majorHAnsi"/>
          <w:b/>
        </w:rPr>
      </w:pPr>
      <w:r>
        <w:rPr>
          <w:rFonts w:asciiTheme="majorHAnsi" w:hAnsiTheme="majorHAnsi"/>
          <w:b/>
        </w:rPr>
        <w:t>Interview Guide (Version: Flexible Epidemiologist)</w:t>
      </w:r>
    </w:p>
    <w:p w:rsidR="004B74C0" w:rsidRPr="004B74C0" w:rsidRDefault="004B74C0" w:rsidP="004B74C0">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FA" w:rsidRDefault="00462DFA" w:rsidP="00716F94">
      <w:pPr>
        <w:spacing w:after="0" w:line="240" w:lineRule="auto"/>
      </w:pPr>
      <w:r>
        <w:separator/>
      </w:r>
    </w:p>
  </w:endnote>
  <w:endnote w:type="continuationSeparator" w:id="0">
    <w:p w:rsidR="00462DFA" w:rsidRDefault="00462DF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AE7B93" w:rsidRDefault="00AE7B9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4970">
              <w:rPr>
                <w:b/>
                <w:noProof/>
              </w:rPr>
              <w:t>2</w:t>
            </w:r>
            <w:r>
              <w:rPr>
                <w:b/>
                <w:sz w:val="24"/>
                <w:szCs w:val="24"/>
              </w:rPr>
              <w:fldChar w:fldCharType="end"/>
            </w:r>
            <w:r>
              <w:t xml:space="preserve"> of </w:t>
            </w:r>
            <w:r>
              <w:rPr>
                <w:b/>
                <w:szCs w:val="24"/>
              </w:rPr>
              <w:t>8</w:t>
            </w:r>
          </w:p>
        </w:sdtContent>
      </w:sdt>
    </w:sdtContent>
  </w:sdt>
  <w:p w:rsidR="00AE7B93" w:rsidRDefault="00AE7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FA" w:rsidRDefault="00462DFA" w:rsidP="00716F94">
      <w:pPr>
        <w:spacing w:after="0" w:line="240" w:lineRule="auto"/>
      </w:pPr>
      <w:r>
        <w:separator/>
      </w:r>
    </w:p>
  </w:footnote>
  <w:footnote w:type="continuationSeparator" w:id="0">
    <w:p w:rsidR="00462DFA" w:rsidRDefault="00462DF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93" w:rsidRPr="00716F94" w:rsidRDefault="00AE7B9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22730"/>
    <w:multiLevelType w:val="hybridMultilevel"/>
    <w:tmpl w:val="124A0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0685F"/>
    <w:multiLevelType w:val="hybridMultilevel"/>
    <w:tmpl w:val="9F948A56"/>
    <w:lvl w:ilvl="0" w:tplc="35A684F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B92269"/>
    <w:multiLevelType w:val="hybridMultilevel"/>
    <w:tmpl w:val="A24A7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859F8"/>
    <w:multiLevelType w:val="hybridMultilevel"/>
    <w:tmpl w:val="70142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F54D37"/>
    <w:multiLevelType w:val="hybridMultilevel"/>
    <w:tmpl w:val="ECAAB40A"/>
    <w:lvl w:ilvl="0" w:tplc="35A684F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9761AE"/>
    <w:multiLevelType w:val="hybridMultilevel"/>
    <w:tmpl w:val="4F8E9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64A"/>
    <w:multiLevelType w:val="hybridMultilevel"/>
    <w:tmpl w:val="9AFAD2F0"/>
    <w:lvl w:ilvl="0" w:tplc="E1C03912">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F0146"/>
    <w:multiLevelType w:val="hybridMultilevel"/>
    <w:tmpl w:val="2D7C527A"/>
    <w:lvl w:ilvl="0" w:tplc="35A684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8"/>
  </w:num>
  <w:num w:numId="4">
    <w:abstractNumId w:val="11"/>
  </w:num>
  <w:num w:numId="5">
    <w:abstractNumId w:val="18"/>
  </w:num>
  <w:num w:numId="6">
    <w:abstractNumId w:val="8"/>
  </w:num>
  <w:num w:numId="7">
    <w:abstractNumId w:val="0"/>
  </w:num>
  <w:num w:numId="8">
    <w:abstractNumId w:val="5"/>
  </w:num>
  <w:num w:numId="9">
    <w:abstractNumId w:val="9"/>
  </w:num>
  <w:num w:numId="10">
    <w:abstractNumId w:val="21"/>
  </w:num>
  <w:num w:numId="11">
    <w:abstractNumId w:val="3"/>
  </w:num>
  <w:num w:numId="12">
    <w:abstractNumId w:val="27"/>
  </w:num>
  <w:num w:numId="13">
    <w:abstractNumId w:val="7"/>
  </w:num>
  <w:num w:numId="14">
    <w:abstractNumId w:val="4"/>
  </w:num>
  <w:num w:numId="15">
    <w:abstractNumId w:val="23"/>
  </w:num>
  <w:num w:numId="16">
    <w:abstractNumId w:val="24"/>
  </w:num>
  <w:num w:numId="17">
    <w:abstractNumId w:val="26"/>
  </w:num>
  <w:num w:numId="18">
    <w:abstractNumId w:val="12"/>
  </w:num>
  <w:num w:numId="19">
    <w:abstractNumId w:val="29"/>
  </w:num>
  <w:num w:numId="20">
    <w:abstractNumId w:val="20"/>
  </w:num>
  <w:num w:numId="21">
    <w:abstractNumId w:val="22"/>
  </w:num>
  <w:num w:numId="22">
    <w:abstractNumId w:val="19"/>
  </w:num>
  <w:num w:numId="23">
    <w:abstractNumId w:val="6"/>
  </w:num>
  <w:num w:numId="24">
    <w:abstractNumId w:val="15"/>
  </w:num>
  <w:num w:numId="25">
    <w:abstractNumId w:val="1"/>
  </w:num>
  <w:num w:numId="26">
    <w:abstractNumId w:val="25"/>
  </w:num>
  <w:num w:numId="27">
    <w:abstractNumId w:val="10"/>
  </w:num>
  <w:num w:numId="28">
    <w:abstractNumId w:val="16"/>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E67"/>
    <w:rsid w:val="00011A98"/>
    <w:rsid w:val="00011F8D"/>
    <w:rsid w:val="000130B4"/>
    <w:rsid w:val="00014361"/>
    <w:rsid w:val="000232BD"/>
    <w:rsid w:val="00034970"/>
    <w:rsid w:val="000474FB"/>
    <w:rsid w:val="00051B81"/>
    <w:rsid w:val="00053A92"/>
    <w:rsid w:val="00054839"/>
    <w:rsid w:val="00057F36"/>
    <w:rsid w:val="000975DE"/>
    <w:rsid w:val="000A1F30"/>
    <w:rsid w:val="000A71DF"/>
    <w:rsid w:val="000B0962"/>
    <w:rsid w:val="000B16F1"/>
    <w:rsid w:val="000B2CBC"/>
    <w:rsid w:val="000C02D5"/>
    <w:rsid w:val="000E6577"/>
    <w:rsid w:val="000E7A19"/>
    <w:rsid w:val="000F547A"/>
    <w:rsid w:val="00102F5A"/>
    <w:rsid w:val="00104A1B"/>
    <w:rsid w:val="00110ED5"/>
    <w:rsid w:val="001177DD"/>
    <w:rsid w:val="00135334"/>
    <w:rsid w:val="001412D4"/>
    <w:rsid w:val="00144F64"/>
    <w:rsid w:val="00145D62"/>
    <w:rsid w:val="00151567"/>
    <w:rsid w:val="00163E17"/>
    <w:rsid w:val="00166F9E"/>
    <w:rsid w:val="00167880"/>
    <w:rsid w:val="0018048B"/>
    <w:rsid w:val="00180D45"/>
    <w:rsid w:val="00187870"/>
    <w:rsid w:val="00187D5A"/>
    <w:rsid w:val="001972D7"/>
    <w:rsid w:val="001A28F6"/>
    <w:rsid w:val="001B2831"/>
    <w:rsid w:val="001B4065"/>
    <w:rsid w:val="001B4CA3"/>
    <w:rsid w:val="001C0493"/>
    <w:rsid w:val="001C28AD"/>
    <w:rsid w:val="001C489D"/>
    <w:rsid w:val="001D6A8C"/>
    <w:rsid w:val="001D7FCB"/>
    <w:rsid w:val="001E2B99"/>
    <w:rsid w:val="001E69B6"/>
    <w:rsid w:val="001F3F1D"/>
    <w:rsid w:val="001F4DBB"/>
    <w:rsid w:val="00202D07"/>
    <w:rsid w:val="0020312D"/>
    <w:rsid w:val="00204A1A"/>
    <w:rsid w:val="00206E33"/>
    <w:rsid w:val="00210519"/>
    <w:rsid w:val="00221C18"/>
    <w:rsid w:val="00227259"/>
    <w:rsid w:val="0022765A"/>
    <w:rsid w:val="002401D3"/>
    <w:rsid w:val="00241B17"/>
    <w:rsid w:val="00241C81"/>
    <w:rsid w:val="00257A1C"/>
    <w:rsid w:val="0027234C"/>
    <w:rsid w:val="00273C91"/>
    <w:rsid w:val="00281795"/>
    <w:rsid w:val="002850E3"/>
    <w:rsid w:val="00287E2F"/>
    <w:rsid w:val="002A1948"/>
    <w:rsid w:val="002A4222"/>
    <w:rsid w:val="002C0877"/>
    <w:rsid w:val="002C2AE2"/>
    <w:rsid w:val="002C35F3"/>
    <w:rsid w:val="002C5317"/>
    <w:rsid w:val="002D0DCE"/>
    <w:rsid w:val="002E2B10"/>
    <w:rsid w:val="002E73B0"/>
    <w:rsid w:val="002F1502"/>
    <w:rsid w:val="002F2069"/>
    <w:rsid w:val="002F71A2"/>
    <w:rsid w:val="003041AD"/>
    <w:rsid w:val="0031279F"/>
    <w:rsid w:val="00316F00"/>
    <w:rsid w:val="00321B51"/>
    <w:rsid w:val="00336D96"/>
    <w:rsid w:val="003379DD"/>
    <w:rsid w:val="00344F07"/>
    <w:rsid w:val="003469C8"/>
    <w:rsid w:val="00350C8C"/>
    <w:rsid w:val="0035340D"/>
    <w:rsid w:val="00353C2D"/>
    <w:rsid w:val="00353CCF"/>
    <w:rsid w:val="00355EA4"/>
    <w:rsid w:val="003635BE"/>
    <w:rsid w:val="00366B5E"/>
    <w:rsid w:val="00385BB5"/>
    <w:rsid w:val="00386BC2"/>
    <w:rsid w:val="003B125E"/>
    <w:rsid w:val="003B13E9"/>
    <w:rsid w:val="003C31C9"/>
    <w:rsid w:val="003C4961"/>
    <w:rsid w:val="003C7678"/>
    <w:rsid w:val="003C7A95"/>
    <w:rsid w:val="003C7C5D"/>
    <w:rsid w:val="003D0AD2"/>
    <w:rsid w:val="003E0FA6"/>
    <w:rsid w:val="003F01F2"/>
    <w:rsid w:val="003F21CF"/>
    <w:rsid w:val="003F4AE4"/>
    <w:rsid w:val="003F5913"/>
    <w:rsid w:val="004024F8"/>
    <w:rsid w:val="00405696"/>
    <w:rsid w:val="0041159A"/>
    <w:rsid w:val="004121E3"/>
    <w:rsid w:val="004305A8"/>
    <w:rsid w:val="004353D5"/>
    <w:rsid w:val="0043750F"/>
    <w:rsid w:val="0044198B"/>
    <w:rsid w:val="00443CA0"/>
    <w:rsid w:val="00446E7A"/>
    <w:rsid w:val="00450E14"/>
    <w:rsid w:val="00462C65"/>
    <w:rsid w:val="00462DFA"/>
    <w:rsid w:val="004674E7"/>
    <w:rsid w:val="00467B14"/>
    <w:rsid w:val="004702D2"/>
    <w:rsid w:val="00470378"/>
    <w:rsid w:val="00473A75"/>
    <w:rsid w:val="00474EDA"/>
    <w:rsid w:val="004768D1"/>
    <w:rsid w:val="004824FA"/>
    <w:rsid w:val="00484011"/>
    <w:rsid w:val="004841F1"/>
    <w:rsid w:val="004A1E3A"/>
    <w:rsid w:val="004A59C1"/>
    <w:rsid w:val="004B35D3"/>
    <w:rsid w:val="004B46D6"/>
    <w:rsid w:val="004B74C0"/>
    <w:rsid w:val="004C0BF6"/>
    <w:rsid w:val="004C4464"/>
    <w:rsid w:val="004C4AEA"/>
    <w:rsid w:val="004C5F41"/>
    <w:rsid w:val="004D0430"/>
    <w:rsid w:val="004D0AD6"/>
    <w:rsid w:val="004D1DAA"/>
    <w:rsid w:val="004D4EB1"/>
    <w:rsid w:val="004D5468"/>
    <w:rsid w:val="004E003C"/>
    <w:rsid w:val="004E16EB"/>
    <w:rsid w:val="004E6665"/>
    <w:rsid w:val="004F634E"/>
    <w:rsid w:val="004F67A8"/>
    <w:rsid w:val="0051582C"/>
    <w:rsid w:val="0052297D"/>
    <w:rsid w:val="00522A50"/>
    <w:rsid w:val="0052531E"/>
    <w:rsid w:val="005256E5"/>
    <w:rsid w:val="00527225"/>
    <w:rsid w:val="00527C28"/>
    <w:rsid w:val="0053557D"/>
    <w:rsid w:val="005410E3"/>
    <w:rsid w:val="005463DE"/>
    <w:rsid w:val="00546DC2"/>
    <w:rsid w:val="005542E8"/>
    <w:rsid w:val="00556630"/>
    <w:rsid w:val="0055686D"/>
    <w:rsid w:val="00575484"/>
    <w:rsid w:val="005800EE"/>
    <w:rsid w:val="00583E86"/>
    <w:rsid w:val="005869D6"/>
    <w:rsid w:val="0059331E"/>
    <w:rsid w:val="00595D41"/>
    <w:rsid w:val="005A33F6"/>
    <w:rsid w:val="005A59E5"/>
    <w:rsid w:val="005B1592"/>
    <w:rsid w:val="005B2E07"/>
    <w:rsid w:val="005B7440"/>
    <w:rsid w:val="005C44EF"/>
    <w:rsid w:val="005D2E31"/>
    <w:rsid w:val="005E2150"/>
    <w:rsid w:val="005E219A"/>
    <w:rsid w:val="005E2995"/>
    <w:rsid w:val="005E4F40"/>
    <w:rsid w:val="005F0F07"/>
    <w:rsid w:val="005F3FEF"/>
    <w:rsid w:val="00600C4F"/>
    <w:rsid w:val="00607F7C"/>
    <w:rsid w:val="006102DA"/>
    <w:rsid w:val="00616090"/>
    <w:rsid w:val="006315A3"/>
    <w:rsid w:val="00650E0A"/>
    <w:rsid w:val="006579A2"/>
    <w:rsid w:val="00667342"/>
    <w:rsid w:val="00667C89"/>
    <w:rsid w:val="006711EE"/>
    <w:rsid w:val="006809BB"/>
    <w:rsid w:val="006809FD"/>
    <w:rsid w:val="00691D1F"/>
    <w:rsid w:val="00694106"/>
    <w:rsid w:val="006979C8"/>
    <w:rsid w:val="00697BAE"/>
    <w:rsid w:val="006A5E36"/>
    <w:rsid w:val="006B4DDC"/>
    <w:rsid w:val="006B5E55"/>
    <w:rsid w:val="006C4DA7"/>
    <w:rsid w:val="006D25A1"/>
    <w:rsid w:val="006E14E9"/>
    <w:rsid w:val="006F09A2"/>
    <w:rsid w:val="006F6856"/>
    <w:rsid w:val="006F6CE4"/>
    <w:rsid w:val="00712126"/>
    <w:rsid w:val="007145D0"/>
    <w:rsid w:val="00716F94"/>
    <w:rsid w:val="00720FCF"/>
    <w:rsid w:val="00745165"/>
    <w:rsid w:val="00745181"/>
    <w:rsid w:val="00757975"/>
    <w:rsid w:val="00757CA3"/>
    <w:rsid w:val="00760E12"/>
    <w:rsid w:val="00763CF3"/>
    <w:rsid w:val="00772293"/>
    <w:rsid w:val="00775108"/>
    <w:rsid w:val="00776981"/>
    <w:rsid w:val="00781AE3"/>
    <w:rsid w:val="00783C75"/>
    <w:rsid w:val="00784619"/>
    <w:rsid w:val="0078627B"/>
    <w:rsid w:val="0078765B"/>
    <w:rsid w:val="00794E32"/>
    <w:rsid w:val="00795092"/>
    <w:rsid w:val="007A0D73"/>
    <w:rsid w:val="007A36C5"/>
    <w:rsid w:val="007B305A"/>
    <w:rsid w:val="007C6FD4"/>
    <w:rsid w:val="007D3CCC"/>
    <w:rsid w:val="007E575D"/>
    <w:rsid w:val="007E6AEF"/>
    <w:rsid w:val="00815C7D"/>
    <w:rsid w:val="0081750D"/>
    <w:rsid w:val="00817941"/>
    <w:rsid w:val="008229E4"/>
    <w:rsid w:val="00823547"/>
    <w:rsid w:val="008237DB"/>
    <w:rsid w:val="00825E2F"/>
    <w:rsid w:val="008261AB"/>
    <w:rsid w:val="008269AB"/>
    <w:rsid w:val="00834C91"/>
    <w:rsid w:val="00835CA7"/>
    <w:rsid w:val="008370D4"/>
    <w:rsid w:val="008414AD"/>
    <w:rsid w:val="008428D9"/>
    <w:rsid w:val="0085762A"/>
    <w:rsid w:val="008621E5"/>
    <w:rsid w:val="0086716F"/>
    <w:rsid w:val="00877D04"/>
    <w:rsid w:val="0088467A"/>
    <w:rsid w:val="00884DB9"/>
    <w:rsid w:val="00896DA9"/>
    <w:rsid w:val="008A11CE"/>
    <w:rsid w:val="008B05CD"/>
    <w:rsid w:val="008B0EBA"/>
    <w:rsid w:val="008C67D2"/>
    <w:rsid w:val="008D58B8"/>
    <w:rsid w:val="008E0683"/>
    <w:rsid w:val="00901AE4"/>
    <w:rsid w:val="00902DD9"/>
    <w:rsid w:val="00911486"/>
    <w:rsid w:val="009129CA"/>
    <w:rsid w:val="009206B6"/>
    <w:rsid w:val="009252DC"/>
    <w:rsid w:val="009263C1"/>
    <w:rsid w:val="00937471"/>
    <w:rsid w:val="00941B4F"/>
    <w:rsid w:val="009431BA"/>
    <w:rsid w:val="009518C0"/>
    <w:rsid w:val="009564EE"/>
    <w:rsid w:val="00963CE3"/>
    <w:rsid w:val="00964F18"/>
    <w:rsid w:val="009654C7"/>
    <w:rsid w:val="00974424"/>
    <w:rsid w:val="00974A5C"/>
    <w:rsid w:val="00982A10"/>
    <w:rsid w:val="00987F76"/>
    <w:rsid w:val="00990158"/>
    <w:rsid w:val="00993088"/>
    <w:rsid w:val="0099664F"/>
    <w:rsid w:val="00997D5D"/>
    <w:rsid w:val="009A0447"/>
    <w:rsid w:val="009A2CE5"/>
    <w:rsid w:val="009B4A51"/>
    <w:rsid w:val="009B5591"/>
    <w:rsid w:val="009C236C"/>
    <w:rsid w:val="009C28B1"/>
    <w:rsid w:val="009C61AD"/>
    <w:rsid w:val="009D373D"/>
    <w:rsid w:val="009D7B2C"/>
    <w:rsid w:val="009E0801"/>
    <w:rsid w:val="009E1D05"/>
    <w:rsid w:val="009F7DE0"/>
    <w:rsid w:val="00A11B0C"/>
    <w:rsid w:val="00A132F1"/>
    <w:rsid w:val="00A3089E"/>
    <w:rsid w:val="00A33B35"/>
    <w:rsid w:val="00A33E90"/>
    <w:rsid w:val="00A36419"/>
    <w:rsid w:val="00A44921"/>
    <w:rsid w:val="00A578C2"/>
    <w:rsid w:val="00A72652"/>
    <w:rsid w:val="00A75D1C"/>
    <w:rsid w:val="00A75F39"/>
    <w:rsid w:val="00A800E8"/>
    <w:rsid w:val="00A8062C"/>
    <w:rsid w:val="00A809AA"/>
    <w:rsid w:val="00A849B3"/>
    <w:rsid w:val="00A8510D"/>
    <w:rsid w:val="00A86AF3"/>
    <w:rsid w:val="00A90AFF"/>
    <w:rsid w:val="00A90BDC"/>
    <w:rsid w:val="00A95477"/>
    <w:rsid w:val="00A975A9"/>
    <w:rsid w:val="00AA3192"/>
    <w:rsid w:val="00AB0486"/>
    <w:rsid w:val="00AB251E"/>
    <w:rsid w:val="00AB3608"/>
    <w:rsid w:val="00AC5C48"/>
    <w:rsid w:val="00AC63E3"/>
    <w:rsid w:val="00AE7B93"/>
    <w:rsid w:val="00AF05B5"/>
    <w:rsid w:val="00AF0CF4"/>
    <w:rsid w:val="00AF2252"/>
    <w:rsid w:val="00AF65CB"/>
    <w:rsid w:val="00AF757A"/>
    <w:rsid w:val="00B00B12"/>
    <w:rsid w:val="00B1129F"/>
    <w:rsid w:val="00B11D61"/>
    <w:rsid w:val="00B12F51"/>
    <w:rsid w:val="00B15438"/>
    <w:rsid w:val="00B209D7"/>
    <w:rsid w:val="00B24E02"/>
    <w:rsid w:val="00B2751E"/>
    <w:rsid w:val="00B3650C"/>
    <w:rsid w:val="00B47055"/>
    <w:rsid w:val="00B51B57"/>
    <w:rsid w:val="00B64BFA"/>
    <w:rsid w:val="00B66FFA"/>
    <w:rsid w:val="00B71E63"/>
    <w:rsid w:val="00B75692"/>
    <w:rsid w:val="00B767DD"/>
    <w:rsid w:val="00B85DE4"/>
    <w:rsid w:val="00B8713C"/>
    <w:rsid w:val="00B87326"/>
    <w:rsid w:val="00B87AAD"/>
    <w:rsid w:val="00B91A31"/>
    <w:rsid w:val="00BA6C28"/>
    <w:rsid w:val="00BA6DB4"/>
    <w:rsid w:val="00BB55A6"/>
    <w:rsid w:val="00BC3F3C"/>
    <w:rsid w:val="00BC59B7"/>
    <w:rsid w:val="00BC5BB2"/>
    <w:rsid w:val="00BE6149"/>
    <w:rsid w:val="00BE738E"/>
    <w:rsid w:val="00BF11A1"/>
    <w:rsid w:val="00BF3F54"/>
    <w:rsid w:val="00BF64EC"/>
    <w:rsid w:val="00C00697"/>
    <w:rsid w:val="00C0376C"/>
    <w:rsid w:val="00C06D77"/>
    <w:rsid w:val="00C14BA6"/>
    <w:rsid w:val="00C23516"/>
    <w:rsid w:val="00C3485C"/>
    <w:rsid w:val="00C418DB"/>
    <w:rsid w:val="00C544A4"/>
    <w:rsid w:val="00C65EB3"/>
    <w:rsid w:val="00C768E5"/>
    <w:rsid w:val="00C77B56"/>
    <w:rsid w:val="00C87661"/>
    <w:rsid w:val="00C90168"/>
    <w:rsid w:val="00C90C53"/>
    <w:rsid w:val="00CA2004"/>
    <w:rsid w:val="00CA27A5"/>
    <w:rsid w:val="00CA5B99"/>
    <w:rsid w:val="00CB334D"/>
    <w:rsid w:val="00CB56D5"/>
    <w:rsid w:val="00CC0ABC"/>
    <w:rsid w:val="00CD1EA8"/>
    <w:rsid w:val="00CD39AE"/>
    <w:rsid w:val="00CD6823"/>
    <w:rsid w:val="00CF5ABD"/>
    <w:rsid w:val="00CF5F33"/>
    <w:rsid w:val="00CF63CE"/>
    <w:rsid w:val="00CF657F"/>
    <w:rsid w:val="00D05F15"/>
    <w:rsid w:val="00D067C1"/>
    <w:rsid w:val="00D13B13"/>
    <w:rsid w:val="00D16E78"/>
    <w:rsid w:val="00D201D3"/>
    <w:rsid w:val="00D26A64"/>
    <w:rsid w:val="00D368BD"/>
    <w:rsid w:val="00D52B9A"/>
    <w:rsid w:val="00D5367E"/>
    <w:rsid w:val="00D53B1E"/>
    <w:rsid w:val="00D73D3A"/>
    <w:rsid w:val="00D75750"/>
    <w:rsid w:val="00D84EF0"/>
    <w:rsid w:val="00D861ED"/>
    <w:rsid w:val="00D873E0"/>
    <w:rsid w:val="00D94F8B"/>
    <w:rsid w:val="00D95FBF"/>
    <w:rsid w:val="00DA077E"/>
    <w:rsid w:val="00DA34EB"/>
    <w:rsid w:val="00DA3E4A"/>
    <w:rsid w:val="00DA5988"/>
    <w:rsid w:val="00DB7F78"/>
    <w:rsid w:val="00DC15F8"/>
    <w:rsid w:val="00DC317C"/>
    <w:rsid w:val="00DC4FF2"/>
    <w:rsid w:val="00DC79CC"/>
    <w:rsid w:val="00E10D39"/>
    <w:rsid w:val="00E134F4"/>
    <w:rsid w:val="00E162E0"/>
    <w:rsid w:val="00E23568"/>
    <w:rsid w:val="00E245B5"/>
    <w:rsid w:val="00E33E1B"/>
    <w:rsid w:val="00E34D3E"/>
    <w:rsid w:val="00E40D11"/>
    <w:rsid w:val="00E56A34"/>
    <w:rsid w:val="00E720E9"/>
    <w:rsid w:val="00E77488"/>
    <w:rsid w:val="00E8096C"/>
    <w:rsid w:val="00E81C5E"/>
    <w:rsid w:val="00E83B3C"/>
    <w:rsid w:val="00E8736B"/>
    <w:rsid w:val="00E90275"/>
    <w:rsid w:val="00E925D4"/>
    <w:rsid w:val="00E97226"/>
    <w:rsid w:val="00EA2B44"/>
    <w:rsid w:val="00EA33EF"/>
    <w:rsid w:val="00EC390A"/>
    <w:rsid w:val="00EC4FFD"/>
    <w:rsid w:val="00EC5EFC"/>
    <w:rsid w:val="00EE55ED"/>
    <w:rsid w:val="00EF33CD"/>
    <w:rsid w:val="00F1217C"/>
    <w:rsid w:val="00F12924"/>
    <w:rsid w:val="00F1459F"/>
    <w:rsid w:val="00F20C9B"/>
    <w:rsid w:val="00F300CB"/>
    <w:rsid w:val="00F42C3A"/>
    <w:rsid w:val="00F473F7"/>
    <w:rsid w:val="00F52782"/>
    <w:rsid w:val="00F52BCC"/>
    <w:rsid w:val="00F5313F"/>
    <w:rsid w:val="00F81A48"/>
    <w:rsid w:val="00F8275F"/>
    <w:rsid w:val="00F82D6B"/>
    <w:rsid w:val="00F876B8"/>
    <w:rsid w:val="00FA23EB"/>
    <w:rsid w:val="00FB5CFC"/>
    <w:rsid w:val="00FB62BC"/>
    <w:rsid w:val="00FC6975"/>
    <w:rsid w:val="00FD17C9"/>
    <w:rsid w:val="00FD2A5B"/>
    <w:rsid w:val="00FD7FF4"/>
    <w:rsid w:val="00FE3BAC"/>
    <w:rsid w:val="00FE6482"/>
    <w:rsid w:val="00FE6A5C"/>
    <w:rsid w:val="00FF245F"/>
    <w:rsid w:val="00FF36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9431BA"/>
    <w:rPr>
      <w:color w:val="800080" w:themeColor="followedHyperlink"/>
      <w:u w:val="single"/>
    </w:rPr>
  </w:style>
  <w:style w:type="paragraph" w:styleId="EndnoteText">
    <w:name w:val="endnote text"/>
    <w:basedOn w:val="Normal"/>
    <w:link w:val="EndnoteTextChar"/>
    <w:uiPriority w:val="99"/>
    <w:semiHidden/>
    <w:unhideWhenUsed/>
    <w:rsid w:val="00D73D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3D3A"/>
    <w:rPr>
      <w:sz w:val="20"/>
      <w:szCs w:val="20"/>
    </w:rPr>
  </w:style>
  <w:style w:type="character" w:styleId="EndnoteReference">
    <w:name w:val="endnote reference"/>
    <w:basedOn w:val="DefaultParagraphFont"/>
    <w:uiPriority w:val="99"/>
    <w:semiHidden/>
    <w:unhideWhenUsed/>
    <w:rsid w:val="00D73D3A"/>
    <w:rPr>
      <w:vertAlign w:val="superscript"/>
    </w:rPr>
  </w:style>
  <w:style w:type="paragraph" w:styleId="FootnoteText">
    <w:name w:val="footnote text"/>
    <w:basedOn w:val="Normal"/>
    <w:link w:val="FootnoteTextChar"/>
    <w:uiPriority w:val="99"/>
    <w:semiHidden/>
    <w:unhideWhenUsed/>
    <w:rsid w:val="00D73D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D3A"/>
    <w:rPr>
      <w:sz w:val="20"/>
      <w:szCs w:val="20"/>
    </w:rPr>
  </w:style>
  <w:style w:type="character" w:styleId="FootnoteReference">
    <w:name w:val="footnote reference"/>
    <w:basedOn w:val="DefaultParagraphFont"/>
    <w:uiPriority w:val="99"/>
    <w:semiHidden/>
    <w:unhideWhenUsed/>
    <w:rsid w:val="00D73D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9431BA"/>
    <w:rPr>
      <w:color w:val="800080" w:themeColor="followedHyperlink"/>
      <w:u w:val="single"/>
    </w:rPr>
  </w:style>
  <w:style w:type="paragraph" w:styleId="EndnoteText">
    <w:name w:val="endnote text"/>
    <w:basedOn w:val="Normal"/>
    <w:link w:val="EndnoteTextChar"/>
    <w:uiPriority w:val="99"/>
    <w:semiHidden/>
    <w:unhideWhenUsed/>
    <w:rsid w:val="00D73D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3D3A"/>
    <w:rPr>
      <w:sz w:val="20"/>
      <w:szCs w:val="20"/>
    </w:rPr>
  </w:style>
  <w:style w:type="character" w:styleId="EndnoteReference">
    <w:name w:val="endnote reference"/>
    <w:basedOn w:val="DefaultParagraphFont"/>
    <w:uiPriority w:val="99"/>
    <w:semiHidden/>
    <w:unhideWhenUsed/>
    <w:rsid w:val="00D73D3A"/>
    <w:rPr>
      <w:vertAlign w:val="superscript"/>
    </w:rPr>
  </w:style>
  <w:style w:type="paragraph" w:styleId="FootnoteText">
    <w:name w:val="footnote text"/>
    <w:basedOn w:val="Normal"/>
    <w:link w:val="FootnoteTextChar"/>
    <w:uiPriority w:val="99"/>
    <w:semiHidden/>
    <w:unhideWhenUsed/>
    <w:rsid w:val="00D73D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D3A"/>
    <w:rPr>
      <w:sz w:val="20"/>
      <w:szCs w:val="20"/>
    </w:rPr>
  </w:style>
  <w:style w:type="character" w:styleId="FootnoteReference">
    <w:name w:val="footnote reference"/>
    <w:basedOn w:val="DefaultParagraphFont"/>
    <w:uiPriority w:val="99"/>
    <w:semiHidden/>
    <w:unhideWhenUsed/>
    <w:rsid w:val="00D73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cchung@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FD93-CB97-44BD-A17E-85B84912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2740</Words>
  <Characters>15619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2</cp:revision>
  <cp:lastPrinted>2011-06-07T15:53:00Z</cp:lastPrinted>
  <dcterms:created xsi:type="dcterms:W3CDTF">2013-12-02T17:38:00Z</dcterms:created>
  <dcterms:modified xsi:type="dcterms:W3CDTF">2013-12-02T17:38:00Z</dcterms:modified>
</cp:coreProperties>
</file>