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6B114F" w:rsidRDefault="006B114F" w:rsidP="006B114F">
      <w:pPr>
        <w:spacing w:after="0"/>
        <w:jc w:val="center"/>
        <w:rPr>
          <w:rFonts w:asciiTheme="majorHAnsi" w:hAnsiTheme="majorHAnsi"/>
          <w:b/>
          <w:sz w:val="40"/>
        </w:rPr>
      </w:pPr>
      <w:r w:rsidRPr="00E66DC3">
        <w:rPr>
          <w:rFonts w:asciiTheme="majorHAnsi" w:hAnsiTheme="majorHAnsi"/>
          <w:b/>
          <w:sz w:val="40"/>
        </w:rPr>
        <w:t xml:space="preserve">Health Department Use and Application </w:t>
      </w:r>
      <w:r w:rsidR="00923294">
        <w:rPr>
          <w:rFonts w:asciiTheme="majorHAnsi" w:hAnsiTheme="majorHAnsi"/>
          <w:b/>
          <w:sz w:val="40"/>
        </w:rPr>
        <w:t xml:space="preserve">of </w:t>
      </w:r>
      <w:r w:rsidRPr="00E66DC3">
        <w:rPr>
          <w:rFonts w:asciiTheme="majorHAnsi" w:hAnsiTheme="majorHAnsi"/>
          <w:b/>
          <w:sz w:val="40"/>
        </w:rPr>
        <w:t>CDC Drug Resistant TB Laboratory Services</w:t>
      </w:r>
    </w:p>
    <w:p w:rsidR="00231398" w:rsidRDefault="00231398" w:rsidP="00484011">
      <w:pPr>
        <w:spacing w:after="0"/>
        <w:jc w:val="center"/>
        <w:rPr>
          <w:rFonts w:asciiTheme="majorHAnsi" w:hAnsiTheme="majorHAnsi"/>
          <w:b/>
          <w:sz w:val="40"/>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5E4ADC">
        <w:rPr>
          <w:rFonts w:asciiTheme="majorHAnsi" w:hAnsiTheme="majorHAnsi"/>
        </w:rPr>
        <w:t>November 5</w:t>
      </w:r>
      <w:r w:rsidR="00231398">
        <w:rPr>
          <w:rFonts w:asciiTheme="majorHAnsi" w:hAnsiTheme="majorHAnsi"/>
        </w:rPr>
        <w:t>, 2013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0D44B8" w:rsidRDefault="000D44B8" w:rsidP="000B0962">
      <w:pPr>
        <w:spacing w:after="0" w:line="240" w:lineRule="auto"/>
        <w:rPr>
          <w:rFonts w:ascii="Times New Roman" w:hAnsi="Times New Roman" w:cs="Times New Roman"/>
          <w:bCs/>
        </w:rPr>
      </w:pPr>
      <w:r w:rsidRPr="000D44B8">
        <w:rPr>
          <w:rFonts w:ascii="Times New Roman" w:hAnsi="Times New Roman" w:cs="Times New Roman"/>
          <w:bCs/>
        </w:rPr>
        <w:t>Allison McAlister</w:t>
      </w:r>
      <w:r w:rsidRPr="000D44B8">
        <w:rPr>
          <w:rFonts w:ascii="Times New Roman" w:hAnsi="Times New Roman" w:cs="Times New Roman"/>
          <w:bCs/>
        </w:rPr>
        <w:tab/>
      </w:r>
    </w:p>
    <w:p w:rsidR="0034693A" w:rsidRPr="0034693A" w:rsidRDefault="0034693A" w:rsidP="0034693A">
      <w:pPr>
        <w:spacing w:after="0" w:line="240" w:lineRule="auto"/>
        <w:rPr>
          <w:rFonts w:ascii="Times New Roman" w:hAnsi="Times New Roman" w:cs="Times New Roman"/>
        </w:rPr>
      </w:pPr>
      <w:r w:rsidRPr="0034693A">
        <w:rPr>
          <w:rFonts w:ascii="Times New Roman" w:hAnsi="Times New Roman" w:cs="Times New Roman"/>
        </w:rPr>
        <w:t>Laboratory Branch</w:t>
      </w:r>
    </w:p>
    <w:p w:rsidR="00321B51" w:rsidRPr="000D44B8" w:rsidRDefault="0034693A" w:rsidP="0034693A">
      <w:pPr>
        <w:spacing w:after="0" w:line="240" w:lineRule="auto"/>
        <w:rPr>
          <w:rFonts w:ascii="Times New Roman" w:hAnsi="Times New Roman" w:cs="Times New Roman"/>
        </w:rPr>
      </w:pPr>
      <w:r w:rsidRPr="0034693A">
        <w:rPr>
          <w:rFonts w:ascii="Times New Roman" w:hAnsi="Times New Roman" w:cs="Times New Roman"/>
        </w:rPr>
        <w:t>Division of Tuberculosis Elimination</w:t>
      </w:r>
      <w:r>
        <w:rPr>
          <w:rFonts w:ascii="Times New Roman" w:hAnsi="Times New Roman" w:cs="Times New Roman"/>
        </w:rPr>
        <w:t xml:space="preserve">, </w:t>
      </w:r>
      <w:r w:rsidR="000D44B8" w:rsidRPr="000D44B8">
        <w:rPr>
          <w:rFonts w:ascii="Times New Roman" w:hAnsi="Times New Roman" w:cs="Times New Roman"/>
        </w:rPr>
        <w:t>CDC</w:t>
      </w:r>
    </w:p>
    <w:p w:rsidR="00321B51" w:rsidRPr="000D44B8" w:rsidRDefault="000D44B8" w:rsidP="000B0962">
      <w:pPr>
        <w:spacing w:after="0" w:line="240" w:lineRule="auto"/>
        <w:rPr>
          <w:rFonts w:ascii="Times New Roman" w:hAnsi="Times New Roman" w:cs="Times New Roman"/>
        </w:rPr>
      </w:pPr>
      <w:r w:rsidRPr="000D44B8">
        <w:rPr>
          <w:rFonts w:ascii="Times New Roman" w:hAnsi="Times New Roman" w:cs="Times New Roman"/>
        </w:rPr>
        <w:t>1600 Clifton Rd NE Atlanta, GA 30333</w:t>
      </w:r>
    </w:p>
    <w:p w:rsidR="00321B51" w:rsidRPr="000D44B8" w:rsidRDefault="00AA7158" w:rsidP="000B0962">
      <w:pPr>
        <w:spacing w:after="0" w:line="240" w:lineRule="auto"/>
        <w:rPr>
          <w:rFonts w:ascii="Times New Roman" w:hAnsi="Times New Roman" w:cs="Times New Roman"/>
        </w:rPr>
      </w:pPr>
      <w:r>
        <w:rPr>
          <w:rFonts w:ascii="Times New Roman" w:hAnsi="Times New Roman" w:cs="Times New Roman"/>
        </w:rPr>
        <w:t xml:space="preserve">Phone: </w:t>
      </w:r>
      <w:r w:rsidR="000D44B8" w:rsidRPr="000D44B8">
        <w:rPr>
          <w:rFonts w:ascii="Times New Roman" w:hAnsi="Times New Roman" w:cs="Times New Roman"/>
        </w:rPr>
        <w:t>404-639-4925</w:t>
      </w:r>
    </w:p>
    <w:p w:rsidR="00321B51" w:rsidRPr="000D44B8" w:rsidRDefault="00AA7158" w:rsidP="000B0962">
      <w:pPr>
        <w:spacing w:after="0" w:line="240" w:lineRule="auto"/>
        <w:rPr>
          <w:rFonts w:ascii="Times New Roman" w:hAnsi="Times New Roman" w:cs="Times New Roman"/>
        </w:rPr>
      </w:pPr>
      <w:r>
        <w:rPr>
          <w:rFonts w:ascii="Times New Roman" w:hAnsi="Times New Roman" w:cs="Times New Roman"/>
        </w:rPr>
        <w:t xml:space="preserve">Fax: </w:t>
      </w:r>
      <w:r w:rsidR="000D44B8" w:rsidRPr="000D44B8">
        <w:rPr>
          <w:rFonts w:ascii="Times New Roman" w:hAnsi="Times New Roman" w:cs="Times New Roman"/>
        </w:rPr>
        <w:t>404-639-5491</w:t>
      </w:r>
    </w:p>
    <w:p w:rsidR="00321B51" w:rsidRPr="000D44B8" w:rsidRDefault="00AA7158" w:rsidP="000B0962">
      <w:pPr>
        <w:spacing w:after="0" w:line="240" w:lineRule="auto"/>
        <w:rPr>
          <w:rFonts w:ascii="Times New Roman" w:hAnsi="Times New Roman" w:cs="Times New Roman"/>
        </w:rPr>
      </w:pPr>
      <w:r>
        <w:rPr>
          <w:rFonts w:ascii="Times New Roman" w:hAnsi="Times New Roman" w:cs="Times New Roman"/>
        </w:rPr>
        <w:t>Email: i</w:t>
      </w:r>
      <w:r w:rsidR="000D44B8" w:rsidRPr="000D44B8">
        <w:rPr>
          <w:rFonts w:ascii="Times New Roman" w:hAnsi="Times New Roman" w:cs="Times New Roman"/>
        </w:rPr>
        <w:t>hk5@cdc.gov</w:t>
      </w:r>
    </w:p>
    <w:p w:rsidR="000B0962" w:rsidRDefault="000B0962" w:rsidP="00716F94">
      <w:pPr>
        <w:spacing w:after="0"/>
        <w:rPr>
          <w:rFonts w:asciiTheme="majorHAnsi" w:hAnsiTheme="majorHAnsi"/>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0D44B8" w:rsidRDefault="00E33E1B" w:rsidP="00F25892">
      <w:pPr>
        <w:spacing w:after="0"/>
        <w:rPr>
          <w:rFonts w:asciiTheme="majorHAnsi" w:hAnsiTheme="majorHAnsi"/>
          <w:b/>
        </w:rPr>
      </w:pPr>
      <w:r>
        <w:rPr>
          <w:rFonts w:asciiTheme="majorHAnsi" w:hAnsiTheme="majorHAnsi"/>
          <w:b/>
        </w:rPr>
        <w:t>Background</w:t>
      </w:r>
    </w:p>
    <w:p w:rsidR="009252DC" w:rsidRDefault="004F67A8" w:rsidP="00F25892">
      <w:pPr>
        <w:pStyle w:val="Header"/>
        <w:tabs>
          <w:tab w:val="clear" w:pos="4680"/>
        </w:tabs>
        <w:spacing w:line="276" w:lineRule="auto"/>
        <w:rPr>
          <w:rFonts w:asciiTheme="majorHAnsi" w:hAnsiTheme="majorHAnsi"/>
        </w:rPr>
      </w:pPr>
      <w:r>
        <w:rPr>
          <w:rFonts w:asciiTheme="majorHAnsi" w:hAnsiTheme="majorHAnsi"/>
        </w:rPr>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w:t>
      </w:r>
      <w:bookmarkStart w:id="0" w:name="_GoBack"/>
      <w:r w:rsidR="009252DC">
        <w:rPr>
          <w:rFonts w:asciiTheme="majorHAnsi" w:hAnsiTheme="majorHAnsi"/>
        </w:rPr>
        <w:t>Survey</w:t>
      </w:r>
      <w:bookmarkEnd w:id="0"/>
      <w:r w:rsidR="009252DC">
        <w:rPr>
          <w:rFonts w:asciiTheme="majorHAnsi" w:hAnsiTheme="majorHAnsi"/>
        </w:rPr>
        <w:t xml:space="preserve">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data collection aligns with that of the OSC. Data will be collected from</w:t>
      </w:r>
      <w:r w:rsidR="000D44B8">
        <w:rPr>
          <w:rFonts w:asciiTheme="majorHAnsi" w:hAnsiTheme="majorHAnsi"/>
        </w:rPr>
        <w:t xml:space="preserve"> </w:t>
      </w:r>
      <w:r w:rsidR="000D44B8" w:rsidRPr="000D44B8">
        <w:rPr>
          <w:rFonts w:asciiTheme="majorHAnsi" w:hAnsiTheme="majorHAnsi"/>
        </w:rPr>
        <w:t>public health officials in 6</w:t>
      </w:r>
      <w:r w:rsidR="006B114F">
        <w:rPr>
          <w:rFonts w:asciiTheme="majorHAnsi" w:hAnsiTheme="majorHAnsi"/>
        </w:rPr>
        <w:t>0</w:t>
      </w:r>
      <w:r w:rsidR="000D44B8" w:rsidRPr="000D44B8">
        <w:rPr>
          <w:rFonts w:asciiTheme="majorHAnsi" w:hAnsiTheme="majorHAnsi"/>
        </w:rPr>
        <w:t xml:space="preserve"> U.S. </w:t>
      </w:r>
      <w:r w:rsidR="00F25892">
        <w:rPr>
          <w:rFonts w:asciiTheme="majorHAnsi" w:hAnsiTheme="majorHAnsi"/>
        </w:rPr>
        <w:t xml:space="preserve">health department </w:t>
      </w:r>
      <w:r w:rsidR="000D44B8" w:rsidRPr="000D44B8">
        <w:rPr>
          <w:rFonts w:asciiTheme="majorHAnsi" w:hAnsiTheme="majorHAnsi"/>
        </w:rPr>
        <w:t>jurisdictions</w:t>
      </w:r>
      <w:r w:rsidR="009252DC">
        <w:rPr>
          <w:rFonts w:asciiTheme="majorHAnsi" w:hAnsiTheme="majorHAnsi"/>
        </w:rPr>
        <w:t xml:space="preserve"> acting in their official capacities.</w:t>
      </w:r>
      <w:r w:rsidR="00F25892">
        <w:rPr>
          <w:rFonts w:asciiTheme="majorHAnsi" w:hAnsiTheme="majorHAnsi"/>
        </w:rPr>
        <w:t xml:space="preserve"> </w:t>
      </w:r>
      <w:r w:rsidR="00D11982">
        <w:rPr>
          <w:rFonts w:asciiTheme="majorHAnsi" w:hAnsiTheme="majorHAnsi"/>
        </w:rPr>
        <w:t xml:space="preserve">These jurisdictions include 50 states, 9 major U.S. Cities, and the District of Columbia. </w:t>
      </w:r>
      <w:r w:rsidR="00F25892" w:rsidRPr="00F25892">
        <w:rPr>
          <w:rFonts w:asciiTheme="majorHAnsi" w:hAnsiTheme="majorHAnsi"/>
        </w:rPr>
        <w:t>This data collection is authorized by Section 301 of the Public Health Service Act (42 U.S.C. 241).</w:t>
      </w:r>
    </w:p>
    <w:p w:rsidR="00F25892" w:rsidRDefault="00F25892" w:rsidP="00F25892">
      <w:pPr>
        <w:pStyle w:val="Header"/>
        <w:tabs>
          <w:tab w:val="clear" w:pos="4680"/>
        </w:tabs>
        <w:spacing w:line="276" w:lineRule="auto"/>
        <w:rPr>
          <w:rFonts w:asciiTheme="majorHAnsi" w:hAnsiTheme="majorHAnsi"/>
        </w:rPr>
      </w:pPr>
    </w:p>
    <w:p w:rsidR="006B114F" w:rsidRDefault="006B114F" w:rsidP="006B114F">
      <w:pPr>
        <w:pStyle w:val="Header"/>
        <w:tabs>
          <w:tab w:val="clear" w:pos="4680"/>
        </w:tabs>
        <w:spacing w:line="276" w:lineRule="auto"/>
        <w:rPr>
          <w:rFonts w:asciiTheme="majorHAnsi" w:hAnsiTheme="majorHAnsi"/>
        </w:rPr>
      </w:pPr>
      <w:r w:rsidRPr="001C5354">
        <w:rPr>
          <w:rFonts w:asciiTheme="majorHAnsi" w:hAnsiTheme="majorHAnsi"/>
        </w:rPr>
        <w:t>TB Control Programs have a mission of carrying out programs to prevent, control, and eventually eliminate TB. The roles and responsibilities of these programs are complex and must be carried out at national, state, and local levels. The state and local public health departments have the primary responsibilities for preventing and controlling TB. TB patients often receive care in a variety of settings, including public and private sectors, which must report all TB cases to the health department in that jurisdiction. Regardless if a patient is being cared for in a public or private setting, state and local health departments must coordinate with the healthcare providers and facilities to ensure prevention and control st</w:t>
      </w:r>
      <w:r>
        <w:rPr>
          <w:rFonts w:asciiTheme="majorHAnsi" w:hAnsiTheme="majorHAnsi"/>
        </w:rPr>
        <w:t>rategies are being met.  TB Control programs must</w:t>
      </w:r>
      <w:r w:rsidRPr="001C5354">
        <w:rPr>
          <w:rFonts w:asciiTheme="majorHAnsi" w:hAnsiTheme="majorHAnsi"/>
        </w:rPr>
        <w:t xml:space="preserve"> work closely with laboratories to ensure the rapid delivery of specimens or isolates to the state or local public health laboratories for prompt reporting of AFB smear results, culture results, and drug-susceptibility test results to the c</w:t>
      </w:r>
      <w:r w:rsidR="0072674E">
        <w:rPr>
          <w:rFonts w:asciiTheme="majorHAnsi" w:hAnsiTheme="majorHAnsi"/>
        </w:rPr>
        <w:t>linician and health department</w:t>
      </w:r>
      <w:r w:rsidRPr="001C5354">
        <w:rPr>
          <w:rFonts w:asciiTheme="majorHAnsi" w:hAnsiTheme="majorHAnsi"/>
        </w:rPr>
        <w:t xml:space="preserve">. </w:t>
      </w:r>
    </w:p>
    <w:p w:rsidR="006B114F" w:rsidRDefault="006B114F" w:rsidP="006B114F">
      <w:pPr>
        <w:pStyle w:val="Header"/>
        <w:tabs>
          <w:tab w:val="clear" w:pos="4680"/>
        </w:tabs>
        <w:spacing w:line="276" w:lineRule="auto"/>
        <w:rPr>
          <w:rFonts w:asciiTheme="majorHAnsi" w:hAnsiTheme="majorHAnsi"/>
        </w:rPr>
      </w:pPr>
    </w:p>
    <w:p w:rsidR="001C5354" w:rsidRDefault="00A34C1D" w:rsidP="00F25892">
      <w:pPr>
        <w:pStyle w:val="Header"/>
        <w:tabs>
          <w:tab w:val="clear" w:pos="4680"/>
        </w:tabs>
        <w:spacing w:line="276" w:lineRule="auto"/>
        <w:rPr>
          <w:rFonts w:asciiTheme="majorHAnsi" w:hAnsiTheme="majorHAnsi"/>
        </w:rPr>
      </w:pPr>
      <w:r>
        <w:rPr>
          <w:rFonts w:asciiTheme="majorHAnsi" w:hAnsiTheme="majorHAnsi"/>
        </w:rPr>
        <w:t>In the United States, primary, m</w:t>
      </w:r>
      <w:r w:rsidR="00C41DAE" w:rsidRPr="00C41DAE">
        <w:rPr>
          <w:rFonts w:asciiTheme="majorHAnsi" w:hAnsiTheme="majorHAnsi"/>
        </w:rPr>
        <w:t>ultidrug resistant (MDR) TB</w:t>
      </w:r>
      <w:r>
        <w:rPr>
          <w:rFonts w:asciiTheme="majorHAnsi" w:hAnsiTheme="majorHAnsi"/>
        </w:rPr>
        <w:t>,</w:t>
      </w:r>
      <w:r w:rsidR="00C41DAE" w:rsidRPr="00C41DAE">
        <w:rPr>
          <w:rFonts w:asciiTheme="majorHAnsi" w:hAnsiTheme="majorHAnsi"/>
        </w:rPr>
        <w:t xml:space="preserve"> defined as TB that is resistant to at least the two most effective first-line drugs, rif</w:t>
      </w:r>
      <w:r>
        <w:rPr>
          <w:rFonts w:asciiTheme="majorHAnsi" w:hAnsiTheme="majorHAnsi"/>
        </w:rPr>
        <w:t xml:space="preserve">ampin (RMP) and isoniazid (INH), accounted for </w:t>
      </w:r>
      <w:r w:rsidRPr="001C5354">
        <w:rPr>
          <w:rFonts w:asciiTheme="majorHAnsi" w:hAnsiTheme="majorHAnsi"/>
        </w:rPr>
        <w:t>1.3% of the total number of cases</w:t>
      </w:r>
      <w:r>
        <w:rPr>
          <w:rFonts w:asciiTheme="majorHAnsi" w:hAnsiTheme="majorHAnsi"/>
        </w:rPr>
        <w:t xml:space="preserve"> in 2011. </w:t>
      </w:r>
      <w:r w:rsidR="001C5354" w:rsidRPr="001C5354">
        <w:rPr>
          <w:rFonts w:asciiTheme="majorHAnsi" w:hAnsiTheme="majorHAnsi"/>
        </w:rPr>
        <w:t xml:space="preserve">Extensively drug resistant (XDR) TB, defined as TB resistant to at least RMP, INH, a </w:t>
      </w:r>
      <w:proofErr w:type="spellStart"/>
      <w:r w:rsidR="001C5354" w:rsidRPr="001C5354">
        <w:rPr>
          <w:rFonts w:asciiTheme="majorHAnsi" w:hAnsiTheme="majorHAnsi"/>
        </w:rPr>
        <w:t>fluoroquinolone</w:t>
      </w:r>
      <w:proofErr w:type="spellEnd"/>
      <w:r w:rsidR="001C5354" w:rsidRPr="001C5354">
        <w:rPr>
          <w:rFonts w:asciiTheme="majorHAnsi" w:hAnsiTheme="majorHAnsi"/>
        </w:rPr>
        <w:t xml:space="preserve"> and one of the three </w:t>
      </w:r>
      <w:proofErr w:type="spellStart"/>
      <w:r w:rsidR="001C5354" w:rsidRPr="001C5354">
        <w:rPr>
          <w:rFonts w:asciiTheme="majorHAnsi" w:hAnsiTheme="majorHAnsi"/>
        </w:rPr>
        <w:t>injectables</w:t>
      </w:r>
      <w:proofErr w:type="spellEnd"/>
      <w:r w:rsidR="001C5354" w:rsidRPr="001C5354">
        <w:rPr>
          <w:rFonts w:asciiTheme="majorHAnsi" w:hAnsiTheme="majorHAnsi"/>
        </w:rPr>
        <w:t xml:space="preserve"> (i.e., </w:t>
      </w:r>
      <w:proofErr w:type="spellStart"/>
      <w:r w:rsidR="001C5354" w:rsidRPr="001C5354">
        <w:rPr>
          <w:rFonts w:asciiTheme="majorHAnsi" w:hAnsiTheme="majorHAnsi"/>
        </w:rPr>
        <w:t>amikacin</w:t>
      </w:r>
      <w:proofErr w:type="spellEnd"/>
      <w:r w:rsidR="001C5354" w:rsidRPr="001C5354">
        <w:rPr>
          <w:rFonts w:asciiTheme="majorHAnsi" w:hAnsiTheme="majorHAnsi"/>
        </w:rPr>
        <w:t xml:space="preserve">, kanamycin, </w:t>
      </w:r>
      <w:proofErr w:type="spellStart"/>
      <w:r w:rsidR="001C5354" w:rsidRPr="001C5354">
        <w:rPr>
          <w:rFonts w:asciiTheme="majorHAnsi" w:hAnsiTheme="majorHAnsi"/>
        </w:rPr>
        <w:t>capreomycin</w:t>
      </w:r>
      <w:proofErr w:type="spellEnd"/>
      <w:r w:rsidR="001C5354" w:rsidRPr="001C5354">
        <w:rPr>
          <w:rFonts w:asciiTheme="majorHAnsi" w:hAnsiTheme="majorHAnsi"/>
        </w:rPr>
        <w:t>), remains relatively low in the United States with a total of 12 cases reported from 2008 to 2011, 6 of these</w:t>
      </w:r>
      <w:r w:rsidR="001C5354">
        <w:rPr>
          <w:rFonts w:asciiTheme="majorHAnsi" w:hAnsiTheme="majorHAnsi"/>
        </w:rPr>
        <w:t xml:space="preserve"> being reported in 2011 </w:t>
      </w:r>
      <w:r w:rsidR="001C5354" w:rsidRPr="0072674E">
        <w:rPr>
          <w:rFonts w:asciiTheme="majorHAnsi" w:hAnsiTheme="majorHAnsi"/>
        </w:rPr>
        <w:t>(</w:t>
      </w:r>
      <w:r w:rsidR="0072674E" w:rsidRPr="002B10C6">
        <w:rPr>
          <w:rFonts w:asciiTheme="majorHAnsi" w:hAnsiTheme="majorHAnsi"/>
          <w:b/>
        </w:rPr>
        <w:t xml:space="preserve">See </w:t>
      </w:r>
      <w:r w:rsidR="002B10C6">
        <w:rPr>
          <w:rFonts w:asciiTheme="majorHAnsi" w:hAnsiTheme="majorHAnsi"/>
          <w:b/>
        </w:rPr>
        <w:t>Attachment A</w:t>
      </w:r>
      <w:r w:rsidR="001C5354" w:rsidRPr="0072674E">
        <w:rPr>
          <w:rFonts w:asciiTheme="majorHAnsi" w:hAnsiTheme="majorHAnsi"/>
        </w:rPr>
        <w:t>).</w:t>
      </w:r>
      <w:r w:rsidR="001C5354">
        <w:rPr>
          <w:rFonts w:asciiTheme="majorHAnsi" w:hAnsiTheme="majorHAnsi"/>
        </w:rPr>
        <w:tab/>
      </w:r>
    </w:p>
    <w:p w:rsidR="001C5354" w:rsidRDefault="001C5354" w:rsidP="00F25892">
      <w:pPr>
        <w:pStyle w:val="Header"/>
        <w:tabs>
          <w:tab w:val="clear" w:pos="4680"/>
        </w:tabs>
        <w:spacing w:line="276" w:lineRule="auto"/>
        <w:rPr>
          <w:rFonts w:asciiTheme="majorHAnsi" w:hAnsiTheme="majorHAnsi"/>
        </w:rPr>
      </w:pPr>
    </w:p>
    <w:p w:rsidR="00F25892" w:rsidRDefault="00C41DAE" w:rsidP="00F25892">
      <w:pPr>
        <w:pStyle w:val="Header"/>
        <w:tabs>
          <w:tab w:val="clear" w:pos="4680"/>
        </w:tabs>
        <w:spacing w:line="276" w:lineRule="auto"/>
        <w:rPr>
          <w:rFonts w:asciiTheme="majorHAnsi" w:hAnsiTheme="majorHAnsi"/>
        </w:rPr>
      </w:pPr>
      <w:r w:rsidRPr="00C41DAE">
        <w:rPr>
          <w:rFonts w:asciiTheme="majorHAnsi" w:hAnsiTheme="majorHAnsi"/>
        </w:rPr>
        <w:t>Rapid and reliable diagnosis of MDR TB is essential to the prevention of ongoing transmission and the appropriate selection of anti-TB drugs for effective treatment. Conventional phenotypic</w:t>
      </w:r>
      <w:r>
        <w:rPr>
          <w:rFonts w:asciiTheme="majorHAnsi" w:hAnsiTheme="majorHAnsi"/>
        </w:rPr>
        <w:t xml:space="preserve"> drug susceptibility testing</w:t>
      </w:r>
      <w:r w:rsidRPr="00C41DAE">
        <w:rPr>
          <w:rFonts w:asciiTheme="majorHAnsi" w:hAnsiTheme="majorHAnsi"/>
        </w:rPr>
        <w:t xml:space="preserve"> </w:t>
      </w:r>
      <w:r w:rsidR="005023A0">
        <w:rPr>
          <w:rFonts w:asciiTheme="majorHAnsi" w:hAnsiTheme="majorHAnsi"/>
        </w:rPr>
        <w:t>(</w:t>
      </w:r>
      <w:r w:rsidRPr="00C41DAE">
        <w:rPr>
          <w:rFonts w:asciiTheme="majorHAnsi" w:hAnsiTheme="majorHAnsi"/>
        </w:rPr>
        <w:t>DST</w:t>
      </w:r>
      <w:r w:rsidR="005023A0">
        <w:rPr>
          <w:rFonts w:asciiTheme="majorHAnsi" w:hAnsiTheme="majorHAnsi"/>
        </w:rPr>
        <w:t>)</w:t>
      </w:r>
      <w:r w:rsidRPr="00C41DAE">
        <w:rPr>
          <w:rFonts w:asciiTheme="majorHAnsi" w:hAnsiTheme="majorHAnsi"/>
        </w:rPr>
        <w:t xml:space="preserve"> methods like the agar proportion method and the liquid cultur</w:t>
      </w:r>
      <w:r>
        <w:rPr>
          <w:rFonts w:asciiTheme="majorHAnsi" w:hAnsiTheme="majorHAnsi"/>
        </w:rPr>
        <w:t>e method (e.g. MGIT system) are</w:t>
      </w:r>
      <w:r w:rsidRPr="00C41DAE">
        <w:rPr>
          <w:rFonts w:asciiTheme="majorHAnsi" w:hAnsiTheme="majorHAnsi"/>
        </w:rPr>
        <w:t xml:space="preserve"> considered the “gold standard” for DST in TB</w:t>
      </w:r>
      <w:r w:rsidR="00E70D87">
        <w:rPr>
          <w:rFonts w:asciiTheme="majorHAnsi" w:hAnsiTheme="majorHAnsi"/>
        </w:rPr>
        <w:t>. These methods are</w:t>
      </w:r>
      <w:r w:rsidRPr="00C41DAE">
        <w:rPr>
          <w:rFonts w:asciiTheme="majorHAnsi" w:hAnsiTheme="majorHAnsi"/>
        </w:rPr>
        <w:t xml:space="preserve"> based on timely indirect methods that depend on primary culture.  Because </w:t>
      </w:r>
      <w:r w:rsidRPr="00AF1A5A">
        <w:rPr>
          <w:rFonts w:asciiTheme="majorHAnsi" w:hAnsiTheme="majorHAnsi"/>
          <w:i/>
        </w:rPr>
        <w:t>Mycobacterium tuberculosis</w:t>
      </w:r>
      <w:r w:rsidRPr="00C41DAE">
        <w:rPr>
          <w:rFonts w:asciiTheme="majorHAnsi" w:hAnsiTheme="majorHAnsi"/>
        </w:rPr>
        <w:t xml:space="preserve"> has a slow growth rate, isolation from clinical specimens may take 2-6 weeks followed by another 2-6 weeks be</w:t>
      </w:r>
      <w:r w:rsidR="005023A0">
        <w:rPr>
          <w:rFonts w:asciiTheme="majorHAnsi" w:hAnsiTheme="majorHAnsi"/>
        </w:rPr>
        <w:t xml:space="preserve">fore DST results are available. </w:t>
      </w:r>
      <w:r w:rsidRPr="00C41DAE">
        <w:rPr>
          <w:rFonts w:asciiTheme="majorHAnsi" w:hAnsiTheme="majorHAnsi"/>
        </w:rPr>
        <w:t>In some situations, conventional DST is not even feasible (e.g. when isolate</w:t>
      </w:r>
      <w:r w:rsidR="00AF1A5A">
        <w:rPr>
          <w:rFonts w:asciiTheme="majorHAnsi" w:hAnsiTheme="majorHAnsi"/>
        </w:rPr>
        <w:t xml:space="preserve"> is non-viable or fails to grow</w:t>
      </w:r>
      <w:r w:rsidRPr="00C41DAE">
        <w:rPr>
          <w:rFonts w:asciiTheme="majorHAnsi" w:hAnsiTheme="majorHAnsi"/>
        </w:rPr>
        <w:t xml:space="preserve"> in conventional media).</w:t>
      </w:r>
      <w:r w:rsidR="00E70D87">
        <w:rPr>
          <w:rFonts w:asciiTheme="majorHAnsi" w:hAnsiTheme="majorHAnsi"/>
        </w:rPr>
        <w:t xml:space="preserve"> </w:t>
      </w:r>
    </w:p>
    <w:p w:rsidR="00F25892" w:rsidRDefault="00F25892" w:rsidP="00F25892">
      <w:pPr>
        <w:pStyle w:val="Header"/>
        <w:tabs>
          <w:tab w:val="clear" w:pos="4680"/>
        </w:tabs>
        <w:spacing w:line="276" w:lineRule="auto"/>
        <w:rPr>
          <w:rFonts w:asciiTheme="majorHAnsi" w:hAnsiTheme="majorHAnsi"/>
        </w:rPr>
      </w:pPr>
    </w:p>
    <w:p w:rsidR="005023A0" w:rsidRDefault="00A34C1D" w:rsidP="00F25892">
      <w:pPr>
        <w:pStyle w:val="Header"/>
        <w:tabs>
          <w:tab w:val="clear" w:pos="4680"/>
        </w:tabs>
        <w:spacing w:line="276" w:lineRule="auto"/>
        <w:rPr>
          <w:rFonts w:asciiTheme="majorHAnsi" w:hAnsiTheme="majorHAnsi"/>
        </w:rPr>
      </w:pPr>
      <w:r w:rsidRPr="00A34C1D">
        <w:rPr>
          <w:rFonts w:asciiTheme="majorHAnsi" w:hAnsiTheme="majorHAnsi"/>
        </w:rPr>
        <w:t xml:space="preserve">In September of 2009, CDC rolled out the MDDR service to rapidly identify drug resistance in isolates and clinical specimens (2012 inclusion) containing M. tuberculosis complex. The implementation of this Clinical Laboratory Improvement Amendments (CLIA) compliant service by </w:t>
      </w:r>
      <w:r w:rsidRPr="00A34C1D">
        <w:rPr>
          <w:rFonts w:asciiTheme="majorHAnsi" w:hAnsiTheme="majorHAnsi"/>
        </w:rPr>
        <w:lastRenderedPageBreak/>
        <w:t xml:space="preserve">the Laboratory Branch within the Division of TB Elimination was in response to an Advisory Council for the Elimination of TB (ACET) recommendation to CDC to provide </w:t>
      </w:r>
      <w:r w:rsidR="0072674E">
        <w:rPr>
          <w:rFonts w:asciiTheme="majorHAnsi" w:hAnsiTheme="majorHAnsi"/>
        </w:rPr>
        <w:t>rapid DST in the United States (</w:t>
      </w:r>
      <w:r w:rsidR="00FF6ADB">
        <w:rPr>
          <w:rFonts w:asciiTheme="majorHAnsi" w:hAnsiTheme="majorHAnsi"/>
          <w:b/>
        </w:rPr>
        <w:t>See Attachment B</w:t>
      </w:r>
      <w:r w:rsidR="0072674E">
        <w:rPr>
          <w:rFonts w:asciiTheme="majorHAnsi" w:hAnsiTheme="majorHAnsi"/>
        </w:rPr>
        <w:t xml:space="preserve">). </w:t>
      </w:r>
      <w:r w:rsidRPr="00A34C1D">
        <w:rPr>
          <w:rFonts w:asciiTheme="majorHAnsi" w:hAnsiTheme="majorHAnsi"/>
        </w:rPr>
        <w:t xml:space="preserve">MDDR uses polymerase chain reaction (PCR) for amplification of targeted genes and conventional DNA sequencing to detect mutations associated with resistance to four first-line drugs, RMP, INH, pyrazinamide and </w:t>
      </w:r>
      <w:proofErr w:type="spellStart"/>
      <w:r w:rsidRPr="00A34C1D">
        <w:rPr>
          <w:rFonts w:asciiTheme="majorHAnsi" w:hAnsiTheme="majorHAnsi"/>
        </w:rPr>
        <w:t>ethambutol</w:t>
      </w:r>
      <w:proofErr w:type="spellEnd"/>
      <w:r w:rsidRPr="00A34C1D">
        <w:rPr>
          <w:rFonts w:asciiTheme="majorHAnsi" w:hAnsiTheme="majorHAnsi"/>
        </w:rPr>
        <w:t xml:space="preserve"> and the most effective second-line drugs, the </w:t>
      </w:r>
      <w:proofErr w:type="spellStart"/>
      <w:r w:rsidRPr="00A34C1D">
        <w:rPr>
          <w:rFonts w:asciiTheme="majorHAnsi" w:hAnsiTheme="majorHAnsi"/>
        </w:rPr>
        <w:t>fluoroquinolones</w:t>
      </w:r>
      <w:proofErr w:type="spellEnd"/>
      <w:r w:rsidRPr="00A34C1D">
        <w:rPr>
          <w:rFonts w:asciiTheme="majorHAnsi" w:hAnsiTheme="majorHAnsi"/>
        </w:rPr>
        <w:t xml:space="preserve"> and </w:t>
      </w:r>
      <w:proofErr w:type="spellStart"/>
      <w:r w:rsidRPr="00A34C1D">
        <w:rPr>
          <w:rFonts w:asciiTheme="majorHAnsi" w:hAnsiTheme="majorHAnsi"/>
        </w:rPr>
        <w:t>injectables</w:t>
      </w:r>
      <w:proofErr w:type="spellEnd"/>
      <w:r w:rsidRPr="00A34C1D">
        <w:rPr>
          <w:rFonts w:asciiTheme="majorHAnsi" w:hAnsiTheme="majorHAnsi"/>
        </w:rPr>
        <w:t xml:space="preserve">. Conventional DST, the agar proportion method and MGIT for pyrazinamide is also done on all samples received for MDDR. The service is available to all U.S. Public Health TB programs and samples may be submitted by public health laboratories if they meet at least one of the submission criteria. Samples must receive approval prior to sending to CDC for testing. Submission criteria include samples from patients whom have a high-risk for RMP resistance, have known RMP resistance, TB cases with high public impact (e.g.  </w:t>
      </w:r>
      <w:proofErr w:type="gramStart"/>
      <w:r w:rsidRPr="00A34C1D">
        <w:rPr>
          <w:rFonts w:asciiTheme="majorHAnsi" w:hAnsiTheme="majorHAnsi"/>
        </w:rPr>
        <w:t>a</w:t>
      </w:r>
      <w:proofErr w:type="gramEnd"/>
      <w:r w:rsidRPr="00A34C1D">
        <w:rPr>
          <w:rFonts w:asciiTheme="majorHAnsi" w:hAnsiTheme="majorHAnsi"/>
        </w:rPr>
        <w:t xml:space="preserve"> daycare worker or nurse), or have adverse reactions to current drug regimen, or from samples which failed to grow in conventional DST medium. Other situations may be con</w:t>
      </w:r>
      <w:r>
        <w:rPr>
          <w:rFonts w:asciiTheme="majorHAnsi" w:hAnsiTheme="majorHAnsi"/>
        </w:rPr>
        <w:t xml:space="preserve">sidered on a case by case basis. </w:t>
      </w:r>
      <w:r w:rsidRPr="00A34C1D">
        <w:rPr>
          <w:rFonts w:asciiTheme="majorHAnsi" w:hAnsiTheme="majorHAnsi"/>
        </w:rPr>
        <w:t>From September 2009 to May 2013, 1,274 samples have been received for MDDR testing</w:t>
      </w:r>
      <w:r>
        <w:rPr>
          <w:rFonts w:asciiTheme="majorHAnsi" w:hAnsiTheme="majorHAnsi"/>
        </w:rPr>
        <w:t xml:space="preserve"> from all states except Wyoming.</w:t>
      </w:r>
    </w:p>
    <w:p w:rsidR="00A34C1D" w:rsidRDefault="00A34C1D" w:rsidP="00F25892">
      <w:pPr>
        <w:pStyle w:val="Header"/>
        <w:tabs>
          <w:tab w:val="clear" w:pos="4680"/>
        </w:tabs>
        <w:spacing w:line="276" w:lineRule="auto"/>
        <w:rPr>
          <w:rFonts w:asciiTheme="majorHAnsi" w:hAnsiTheme="majorHAnsi"/>
        </w:rPr>
      </w:pPr>
    </w:p>
    <w:p w:rsidR="005023A0" w:rsidRDefault="007D1D63" w:rsidP="00F25892">
      <w:pPr>
        <w:pStyle w:val="Header"/>
        <w:tabs>
          <w:tab w:val="clear" w:pos="4680"/>
        </w:tabs>
        <w:spacing w:line="276" w:lineRule="auto"/>
        <w:rPr>
          <w:rFonts w:asciiTheme="majorHAnsi" w:hAnsiTheme="majorHAnsi"/>
        </w:rPr>
      </w:pPr>
      <w:r w:rsidRPr="007D1D63">
        <w:rPr>
          <w:rFonts w:asciiTheme="majorHAnsi" w:hAnsiTheme="majorHAnsi"/>
        </w:rPr>
        <w:t>An</w:t>
      </w:r>
      <w:r w:rsidR="00F25892">
        <w:rPr>
          <w:rFonts w:asciiTheme="majorHAnsi" w:hAnsiTheme="majorHAnsi"/>
        </w:rPr>
        <w:t xml:space="preserve"> assessment</w:t>
      </w:r>
      <w:r w:rsidRPr="007D1D63">
        <w:rPr>
          <w:rFonts w:asciiTheme="majorHAnsi" w:hAnsiTheme="majorHAnsi"/>
        </w:rPr>
        <w:t xml:space="preserve"> of the impact of MDDR results on public</w:t>
      </w:r>
      <w:r w:rsidR="00A34C1D">
        <w:rPr>
          <w:rFonts w:asciiTheme="majorHAnsi" w:hAnsiTheme="majorHAnsi"/>
        </w:rPr>
        <w:t xml:space="preserve"> health interventions is needed</w:t>
      </w:r>
      <w:r w:rsidRPr="007D1D63">
        <w:rPr>
          <w:rFonts w:asciiTheme="majorHAnsi" w:hAnsiTheme="majorHAnsi"/>
        </w:rPr>
        <w:t xml:space="preserve">. </w:t>
      </w:r>
      <w:r w:rsidR="007A76F8" w:rsidRPr="007A76F8">
        <w:rPr>
          <w:rFonts w:asciiTheme="majorHAnsi" w:hAnsiTheme="majorHAnsi"/>
        </w:rPr>
        <w:t>The information being collected is specific to CDC MDDR testing service.  Since this service is new and unique, there are no other data collection systems available for evaluation of this service.  An assessment of the service from a laboratory perspective (i.e. soliciting information from public health laboratory directors) was completed in January, 2012</w:t>
      </w:r>
      <w:r w:rsidR="007A76F8">
        <w:rPr>
          <w:rFonts w:asciiTheme="majorHAnsi" w:hAnsiTheme="majorHAnsi"/>
        </w:rPr>
        <w:t>, using the OSTLTS Gen-IC</w:t>
      </w:r>
      <w:r w:rsidR="00203AE4">
        <w:rPr>
          <w:rFonts w:asciiTheme="majorHAnsi" w:hAnsiTheme="majorHAnsi"/>
        </w:rPr>
        <w:t xml:space="preserve"> mechanism</w:t>
      </w:r>
      <w:r w:rsidR="007A76F8">
        <w:rPr>
          <w:rFonts w:asciiTheme="majorHAnsi" w:hAnsiTheme="majorHAnsi"/>
        </w:rPr>
        <w:t>,</w:t>
      </w:r>
      <w:r w:rsidR="007A76F8" w:rsidRPr="007A76F8">
        <w:rPr>
          <w:rFonts w:asciiTheme="majorHAnsi" w:hAnsiTheme="majorHAnsi"/>
        </w:rPr>
        <w:t xml:space="preserve">  but no </w:t>
      </w:r>
      <w:r w:rsidR="00646DEE">
        <w:rPr>
          <w:rFonts w:asciiTheme="majorHAnsi" w:hAnsiTheme="majorHAnsi"/>
        </w:rPr>
        <w:t xml:space="preserve">assessment </w:t>
      </w:r>
      <w:r w:rsidR="007A76F8" w:rsidRPr="007A76F8">
        <w:rPr>
          <w:rFonts w:asciiTheme="majorHAnsi" w:hAnsiTheme="majorHAnsi"/>
        </w:rPr>
        <w:t>measuring the impact on TB control programs (i.e. soliciting information from TB Controllers) has been done.</w:t>
      </w:r>
      <w:r w:rsidR="007A76F8">
        <w:rPr>
          <w:rFonts w:asciiTheme="majorHAnsi" w:hAnsiTheme="majorHAnsi"/>
        </w:rPr>
        <w:t xml:space="preserve"> </w:t>
      </w:r>
      <w:r w:rsidR="00646DEE">
        <w:rPr>
          <w:rFonts w:asciiTheme="majorHAnsi" w:hAnsiTheme="majorHAnsi"/>
        </w:rPr>
        <w:t>An assessment</w:t>
      </w:r>
      <w:r w:rsidRPr="007D1D63">
        <w:rPr>
          <w:rFonts w:asciiTheme="majorHAnsi" w:hAnsiTheme="majorHAnsi"/>
        </w:rPr>
        <w:t xml:space="preserve"> from the perspective of the TB control programs are necessary to understand how the molecular results from this CDC clinical laboratory service might be used for public health interventions and to identify service improvements to better serve state and local TB Control Programs.</w:t>
      </w:r>
      <w:r w:rsidR="007A76F8">
        <w:rPr>
          <w:rFonts w:asciiTheme="majorHAnsi" w:hAnsiTheme="majorHAnsi"/>
        </w:rPr>
        <w:t xml:space="preserve"> </w:t>
      </w:r>
    </w:p>
    <w:p w:rsidR="004F67A8" w:rsidRPr="001A28F6" w:rsidRDefault="004F67A8" w:rsidP="002B10C6">
      <w:pPr>
        <w:spacing w:after="0"/>
        <w:rPr>
          <w:rFonts w:asciiTheme="majorHAnsi" w:hAnsiTheme="majorHAnsi"/>
        </w:rPr>
      </w:pPr>
    </w:p>
    <w:p w:rsidR="006102DA" w:rsidRPr="001A28F6" w:rsidRDefault="006102DA" w:rsidP="00F25892">
      <w:pPr>
        <w:spacing w:after="0"/>
        <w:rPr>
          <w:rFonts w:asciiTheme="majorHAnsi" w:hAnsiTheme="majorHAnsi"/>
          <w:b/>
        </w:rPr>
      </w:pPr>
      <w:r w:rsidRPr="001A28F6">
        <w:rPr>
          <w:rFonts w:asciiTheme="majorHAnsi" w:hAnsiTheme="majorHAnsi"/>
          <w:b/>
        </w:rPr>
        <w:t>Privacy Impact Assessment</w:t>
      </w:r>
    </w:p>
    <w:p w:rsidR="007A76F8" w:rsidRDefault="006102DA" w:rsidP="00F25892">
      <w:pPr>
        <w:spacing w:after="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of </w:t>
      </w:r>
      <w:r w:rsidR="00D5367E" w:rsidRPr="001A28F6">
        <w:rPr>
          <w:rFonts w:asciiTheme="majorHAnsi" w:hAnsiTheme="majorHAnsi"/>
        </w:rPr>
        <w:t xml:space="preserve">a </w:t>
      </w:r>
      <w:r w:rsidR="00B1129F" w:rsidRPr="001A28F6">
        <w:rPr>
          <w:rFonts w:asciiTheme="majorHAnsi" w:hAnsiTheme="majorHAnsi"/>
        </w:rPr>
        <w:t xml:space="preserve">web-based </w:t>
      </w:r>
      <w:r w:rsidR="00D5367E" w:rsidRPr="001A28F6">
        <w:rPr>
          <w:rFonts w:asciiTheme="majorHAnsi" w:hAnsiTheme="majorHAnsi"/>
        </w:rPr>
        <w:t>questionnaire</w:t>
      </w:r>
      <w:r w:rsidR="00E23568" w:rsidRPr="001A28F6">
        <w:rPr>
          <w:rFonts w:asciiTheme="majorHAnsi" w:hAnsiTheme="majorHAnsi"/>
        </w:rPr>
        <w:t xml:space="preserve"> (</w:t>
      </w:r>
      <w:r w:rsidR="00E23568" w:rsidRPr="008229E4">
        <w:rPr>
          <w:rFonts w:asciiTheme="majorHAnsi" w:hAnsiTheme="majorHAnsi"/>
          <w:b/>
        </w:rPr>
        <w:t xml:space="preserve">see Attachment </w:t>
      </w:r>
      <w:r w:rsidR="001A698F">
        <w:rPr>
          <w:rFonts w:asciiTheme="majorHAnsi" w:hAnsiTheme="majorHAnsi"/>
          <w:b/>
        </w:rPr>
        <w:t xml:space="preserve">C </w:t>
      </w:r>
      <w:r w:rsidR="008229E4" w:rsidRPr="008229E4">
        <w:rPr>
          <w:rFonts w:asciiTheme="majorHAnsi" w:hAnsiTheme="majorHAnsi"/>
          <w:b/>
        </w:rPr>
        <w:t>–</w:t>
      </w:r>
      <w:r w:rsidR="0072674E">
        <w:rPr>
          <w:rFonts w:asciiTheme="majorHAnsi" w:hAnsiTheme="majorHAnsi"/>
          <w:b/>
        </w:rPr>
        <w:t>Data Collection Instrument</w:t>
      </w:r>
      <w:r w:rsidR="008229E4" w:rsidRPr="008229E4">
        <w:rPr>
          <w:rFonts w:asciiTheme="majorHAnsi" w:hAnsiTheme="majorHAnsi"/>
          <w:b/>
        </w:rPr>
        <w:t>: MS Word version</w:t>
      </w:r>
      <w:r w:rsidR="004674E7" w:rsidRPr="008229E4">
        <w:rPr>
          <w:rFonts w:asciiTheme="majorHAnsi" w:hAnsiTheme="majorHAnsi"/>
          <w:b/>
        </w:rPr>
        <w:t xml:space="preserve"> and </w:t>
      </w:r>
      <w:r w:rsidR="001A698F">
        <w:rPr>
          <w:rFonts w:asciiTheme="majorHAnsi" w:hAnsiTheme="majorHAnsi"/>
          <w:b/>
        </w:rPr>
        <w:t>Attachment D</w:t>
      </w:r>
      <w:r w:rsidR="008229E4" w:rsidRPr="008229E4">
        <w:rPr>
          <w:rFonts w:asciiTheme="majorHAnsi" w:hAnsiTheme="majorHAnsi"/>
          <w:b/>
        </w:rPr>
        <w:t xml:space="preserve">– </w:t>
      </w:r>
      <w:r w:rsidR="0072674E">
        <w:rPr>
          <w:rFonts w:asciiTheme="majorHAnsi" w:hAnsiTheme="majorHAnsi"/>
          <w:b/>
        </w:rPr>
        <w:t>Data Col</w:t>
      </w:r>
      <w:r w:rsidR="002F414B">
        <w:rPr>
          <w:rFonts w:asciiTheme="majorHAnsi" w:hAnsiTheme="majorHAnsi"/>
          <w:b/>
        </w:rPr>
        <w:t xml:space="preserve">lection Instrument: Online </w:t>
      </w:r>
      <w:r w:rsidR="008229E4" w:rsidRPr="008229E4">
        <w:rPr>
          <w:rFonts w:asciiTheme="majorHAnsi" w:hAnsiTheme="majorHAnsi"/>
          <w:b/>
        </w:rPr>
        <w:t>version</w:t>
      </w:r>
      <w:r w:rsidR="00E23568" w:rsidRPr="001A28F6">
        <w:rPr>
          <w:rFonts w:asciiTheme="majorHAnsi" w:hAnsiTheme="majorHAnsi"/>
        </w:rPr>
        <w:t>)</w:t>
      </w:r>
      <w:r w:rsidR="00D5367E" w:rsidRPr="001A28F6">
        <w:rPr>
          <w:rFonts w:asciiTheme="majorHAnsi" w:hAnsiTheme="majorHAnsi"/>
        </w:rPr>
        <w:t xml:space="preserve"> designed to </w:t>
      </w:r>
      <w:r w:rsidR="00EC16F6">
        <w:rPr>
          <w:rFonts w:asciiTheme="majorHAnsi" w:hAnsiTheme="majorHAnsi"/>
        </w:rPr>
        <w:t>assess</w:t>
      </w:r>
      <w:r w:rsidR="00D5367E" w:rsidRPr="001A28F6">
        <w:rPr>
          <w:rFonts w:asciiTheme="majorHAnsi" w:hAnsiTheme="majorHAnsi"/>
        </w:rPr>
        <w:t xml:space="preserve"> </w:t>
      </w:r>
      <w:r w:rsidR="00F97105" w:rsidRPr="00F97105">
        <w:rPr>
          <w:rFonts w:asciiTheme="majorHAnsi" w:hAnsiTheme="majorHAnsi"/>
        </w:rPr>
        <w:t>TB controllers from 6</w:t>
      </w:r>
      <w:r w:rsidR="006B114F">
        <w:rPr>
          <w:rFonts w:asciiTheme="majorHAnsi" w:hAnsiTheme="majorHAnsi"/>
        </w:rPr>
        <w:t>0</w:t>
      </w:r>
      <w:r w:rsidR="00F97105" w:rsidRPr="00F97105">
        <w:rPr>
          <w:rFonts w:asciiTheme="majorHAnsi" w:hAnsiTheme="majorHAnsi"/>
        </w:rPr>
        <w:t xml:space="preserve"> state and local U.S. jurisdictions that receive awards through the CDC TB El</w:t>
      </w:r>
      <w:r w:rsidR="00F97105">
        <w:rPr>
          <w:rFonts w:asciiTheme="majorHAnsi" w:hAnsiTheme="majorHAnsi"/>
        </w:rPr>
        <w:t xml:space="preserve">imination Cooperative Agreement </w:t>
      </w:r>
      <w:r w:rsidR="00D5367E" w:rsidRPr="001A28F6">
        <w:rPr>
          <w:rFonts w:asciiTheme="majorHAnsi" w:hAnsiTheme="majorHAnsi"/>
        </w:rPr>
        <w:t xml:space="preserve">regarding </w:t>
      </w:r>
      <w:r w:rsidR="00F97105">
        <w:rPr>
          <w:rFonts w:asciiTheme="majorHAnsi" w:hAnsiTheme="majorHAnsi"/>
        </w:rPr>
        <w:t>the use of the MDDR service and</w:t>
      </w:r>
      <w:r w:rsidR="003B61EF" w:rsidRPr="003B61EF">
        <w:t xml:space="preserve"> </w:t>
      </w:r>
      <w:r w:rsidR="003B61EF" w:rsidRPr="003B61EF">
        <w:rPr>
          <w:rFonts w:asciiTheme="majorHAnsi" w:hAnsiTheme="majorHAnsi"/>
        </w:rPr>
        <w:t xml:space="preserve">use of results from service on public health interventions for TB </w:t>
      </w:r>
      <w:proofErr w:type="gramStart"/>
      <w:r w:rsidR="003B61EF" w:rsidRPr="003B61EF">
        <w:rPr>
          <w:rFonts w:asciiTheme="majorHAnsi" w:hAnsiTheme="majorHAnsi"/>
        </w:rPr>
        <w:t>control</w:t>
      </w:r>
      <w:r w:rsidR="003B61EF">
        <w:rPr>
          <w:rFonts w:asciiTheme="majorHAnsi" w:hAnsiTheme="majorHAnsi"/>
        </w:rPr>
        <w:t xml:space="preserve"> </w:t>
      </w:r>
      <w:r w:rsidR="00F97105">
        <w:rPr>
          <w:rFonts w:asciiTheme="majorHAnsi" w:hAnsiTheme="majorHAnsi"/>
        </w:rPr>
        <w:t>.</w:t>
      </w:r>
      <w:proofErr w:type="gramEnd"/>
      <w:r w:rsidR="004C4464">
        <w:rPr>
          <w:rFonts w:asciiTheme="majorHAnsi" w:hAnsiTheme="majorHAnsi"/>
        </w:rPr>
        <w:t xml:space="preserve"> </w:t>
      </w:r>
      <w:r w:rsidR="00AB3608">
        <w:rPr>
          <w:rFonts w:asciiTheme="majorHAnsi" w:hAnsiTheme="majorHAnsi"/>
        </w:rPr>
        <w:t>T</w:t>
      </w:r>
      <w:r w:rsidR="004024F8">
        <w:rPr>
          <w:rFonts w:asciiTheme="majorHAnsi" w:hAnsiTheme="majorHAnsi"/>
        </w:rPr>
        <w:t xml:space="preserve">he </w:t>
      </w:r>
      <w:r w:rsidR="00AB3608">
        <w:rPr>
          <w:rFonts w:asciiTheme="majorHAnsi" w:hAnsiTheme="majorHAnsi"/>
        </w:rPr>
        <w:t>data collection</w:t>
      </w:r>
      <w:r w:rsidR="004024F8">
        <w:rPr>
          <w:rFonts w:asciiTheme="majorHAnsi" w:hAnsiTheme="majorHAnsi"/>
        </w:rPr>
        <w:t xml:space="preserve"> instrument </w:t>
      </w:r>
      <w:r w:rsidR="00AB3608">
        <w:rPr>
          <w:rFonts w:asciiTheme="majorHAnsi" w:hAnsiTheme="majorHAnsi"/>
        </w:rPr>
        <w:t xml:space="preserve">will be administered as a web-based </w:t>
      </w:r>
      <w:r w:rsidR="00EC16F6">
        <w:rPr>
          <w:rFonts w:asciiTheme="majorHAnsi" w:hAnsiTheme="majorHAnsi"/>
        </w:rPr>
        <w:t xml:space="preserve">assessment </w:t>
      </w:r>
      <w:r w:rsidR="003B61EF" w:rsidRPr="003B61EF">
        <w:rPr>
          <w:rFonts w:asciiTheme="majorHAnsi" w:hAnsiTheme="majorHAnsi"/>
        </w:rPr>
        <w:t>using Adobe</w:t>
      </w:r>
      <w:r w:rsidR="000C5FC2">
        <w:rPr>
          <w:rFonts w:asciiTheme="majorHAnsi" w:hAnsiTheme="majorHAnsi"/>
        </w:rPr>
        <w:t>®</w:t>
      </w:r>
      <w:r w:rsidR="003B61EF" w:rsidRPr="003B61EF">
        <w:rPr>
          <w:rFonts w:asciiTheme="majorHAnsi" w:hAnsiTheme="majorHAnsi"/>
        </w:rPr>
        <w:t xml:space="preserve"> </w:t>
      </w:r>
      <w:proofErr w:type="spellStart"/>
      <w:r w:rsidR="000C5FC2">
        <w:rPr>
          <w:rFonts w:asciiTheme="majorHAnsi" w:hAnsiTheme="majorHAnsi"/>
        </w:rPr>
        <w:t>FormsCentral</w:t>
      </w:r>
      <w:proofErr w:type="spellEnd"/>
      <w:r w:rsidR="003B61EF" w:rsidRPr="003B61EF">
        <w:rPr>
          <w:rFonts w:asciiTheme="majorHAnsi" w:hAnsiTheme="majorHAnsi"/>
        </w:rPr>
        <w:t xml:space="preserve">. An </w:t>
      </w:r>
      <w:r w:rsidR="005E3A96">
        <w:rPr>
          <w:rFonts w:asciiTheme="majorHAnsi" w:hAnsiTheme="majorHAnsi"/>
        </w:rPr>
        <w:t>email</w:t>
      </w:r>
      <w:r w:rsidR="00AF1A5A">
        <w:rPr>
          <w:rFonts w:asciiTheme="majorHAnsi" w:hAnsiTheme="majorHAnsi"/>
        </w:rPr>
        <w:t xml:space="preserve"> with an </w:t>
      </w:r>
      <w:r w:rsidR="003B61EF" w:rsidRPr="003B61EF">
        <w:rPr>
          <w:rFonts w:asciiTheme="majorHAnsi" w:hAnsiTheme="majorHAnsi"/>
        </w:rPr>
        <w:t xml:space="preserve">HTML link </w:t>
      </w:r>
      <w:r w:rsidR="005E3A96">
        <w:rPr>
          <w:rFonts w:asciiTheme="majorHAnsi" w:hAnsiTheme="majorHAnsi"/>
        </w:rPr>
        <w:t xml:space="preserve">will be sent to the TB Controllers. </w:t>
      </w:r>
      <w:r w:rsidR="005E3A96" w:rsidRPr="003B61EF">
        <w:rPr>
          <w:rFonts w:asciiTheme="majorHAnsi" w:hAnsiTheme="majorHAnsi"/>
        </w:rPr>
        <w:t xml:space="preserve">The email will </w:t>
      </w:r>
      <w:r w:rsidR="005E3A96">
        <w:rPr>
          <w:rFonts w:asciiTheme="majorHAnsi" w:hAnsiTheme="majorHAnsi"/>
        </w:rPr>
        <w:t xml:space="preserve">also </w:t>
      </w:r>
      <w:r w:rsidR="005E3A96" w:rsidRPr="003B61EF">
        <w:rPr>
          <w:rFonts w:asciiTheme="majorHAnsi" w:hAnsiTheme="majorHAnsi"/>
        </w:rPr>
        <w:t xml:space="preserve">contain instructions for completing </w:t>
      </w:r>
      <w:r w:rsidR="005E3A96">
        <w:rPr>
          <w:rFonts w:asciiTheme="majorHAnsi" w:hAnsiTheme="majorHAnsi"/>
        </w:rPr>
        <w:t xml:space="preserve">and submitting the </w:t>
      </w:r>
      <w:r w:rsidR="00EC16F6">
        <w:rPr>
          <w:rFonts w:asciiTheme="majorHAnsi" w:hAnsiTheme="majorHAnsi"/>
        </w:rPr>
        <w:t>assessment</w:t>
      </w:r>
      <w:r w:rsidR="005E3A96">
        <w:rPr>
          <w:rFonts w:asciiTheme="majorHAnsi" w:hAnsiTheme="majorHAnsi"/>
        </w:rPr>
        <w:t xml:space="preserve">.  </w:t>
      </w:r>
    </w:p>
    <w:p w:rsidR="007A76F8" w:rsidRDefault="007A76F8" w:rsidP="00F25892">
      <w:pPr>
        <w:spacing w:after="0"/>
        <w:rPr>
          <w:rFonts w:asciiTheme="majorHAnsi" w:hAnsiTheme="majorHAnsi"/>
        </w:rPr>
      </w:pPr>
    </w:p>
    <w:p w:rsidR="00D17004" w:rsidRDefault="007A76F8" w:rsidP="00F25892">
      <w:pPr>
        <w:spacing w:after="0"/>
        <w:rPr>
          <w:rFonts w:asciiTheme="majorHAnsi" w:hAnsiTheme="majorHAnsi"/>
        </w:rPr>
      </w:pPr>
      <w:r>
        <w:rPr>
          <w:rFonts w:asciiTheme="majorHAnsi" w:hAnsiTheme="majorHAnsi"/>
        </w:rPr>
        <w:t>Based on an internal pilot test, the average time to complete is 10 minutes, with a</w:t>
      </w:r>
      <w:r w:rsidR="00D11982">
        <w:rPr>
          <w:rFonts w:asciiTheme="majorHAnsi" w:hAnsiTheme="majorHAnsi"/>
        </w:rPr>
        <w:t xml:space="preserve"> range of 6-</w:t>
      </w:r>
      <w:r>
        <w:rPr>
          <w:rFonts w:asciiTheme="majorHAnsi" w:hAnsiTheme="majorHAnsi"/>
        </w:rPr>
        <w:t>15</w:t>
      </w:r>
      <w:r w:rsidRPr="007A76F8">
        <w:rPr>
          <w:rFonts w:asciiTheme="majorHAnsi" w:hAnsiTheme="majorHAnsi"/>
        </w:rPr>
        <w:t xml:space="preserve"> minutes, including time spent on instructions.</w:t>
      </w:r>
      <w:r>
        <w:rPr>
          <w:rFonts w:asciiTheme="majorHAnsi" w:hAnsiTheme="majorHAnsi"/>
        </w:rPr>
        <w:t xml:space="preserve"> The pilot study was </w:t>
      </w:r>
      <w:r w:rsidRPr="007A76F8">
        <w:rPr>
          <w:rFonts w:asciiTheme="majorHAnsi" w:hAnsiTheme="majorHAnsi"/>
        </w:rPr>
        <w:t xml:space="preserve">completed by three subject matter experts. An email with instructions and the html link to the assessment was sent. Participants were asked to record the amount of time to complete and note any technical errors or difficulties.  </w:t>
      </w:r>
    </w:p>
    <w:p w:rsidR="00D5714C" w:rsidRDefault="006102DA" w:rsidP="00F25892">
      <w:pPr>
        <w:spacing w:after="0"/>
        <w:rPr>
          <w:rFonts w:asciiTheme="majorHAnsi" w:hAnsiTheme="majorHAnsi"/>
        </w:rPr>
      </w:pPr>
      <w:r w:rsidRPr="00D5367E">
        <w:rPr>
          <w:rFonts w:asciiTheme="majorHAnsi" w:hAnsiTheme="majorHAnsi"/>
          <w:u w:val="single"/>
        </w:rPr>
        <w:lastRenderedPageBreak/>
        <w:t xml:space="preserve">Items of Information to be </w:t>
      </w:r>
      <w:proofErr w:type="gramStart"/>
      <w:r w:rsidRPr="00D5367E">
        <w:rPr>
          <w:rFonts w:asciiTheme="majorHAnsi" w:hAnsiTheme="majorHAnsi"/>
          <w:u w:val="single"/>
        </w:rPr>
        <w:t>Collected</w:t>
      </w:r>
      <w:proofErr w:type="gramEnd"/>
      <w:r w:rsidR="00B1129F" w:rsidRPr="00D5367E">
        <w:rPr>
          <w:rFonts w:asciiTheme="majorHAnsi" w:hAnsiTheme="majorHAnsi"/>
        </w:rPr>
        <w:t xml:space="preserve"> –</w:t>
      </w:r>
      <w:r w:rsidR="003B61EF" w:rsidRPr="003B61EF">
        <w:t xml:space="preserve"> </w:t>
      </w:r>
      <w:r w:rsidR="00EC16F6">
        <w:rPr>
          <w:rFonts w:asciiTheme="majorHAnsi" w:hAnsiTheme="majorHAnsi"/>
        </w:rPr>
        <w:t>The assessment</w:t>
      </w:r>
      <w:r w:rsidR="003B61EF" w:rsidRPr="003B61EF">
        <w:rPr>
          <w:rFonts w:asciiTheme="majorHAnsi" w:hAnsiTheme="majorHAnsi"/>
        </w:rPr>
        <w:t xml:space="preserve"> consists of </w:t>
      </w:r>
      <w:r w:rsidR="003B61EF" w:rsidRPr="00342A61">
        <w:rPr>
          <w:rFonts w:asciiTheme="majorHAnsi" w:hAnsiTheme="majorHAnsi"/>
        </w:rPr>
        <w:t>2</w:t>
      </w:r>
      <w:r w:rsidR="005E3A96" w:rsidRPr="00342A61">
        <w:rPr>
          <w:rFonts w:asciiTheme="majorHAnsi" w:hAnsiTheme="majorHAnsi"/>
        </w:rPr>
        <w:t>0</w:t>
      </w:r>
      <w:r w:rsidR="00D5714C">
        <w:rPr>
          <w:rFonts w:asciiTheme="majorHAnsi" w:hAnsiTheme="majorHAnsi"/>
        </w:rPr>
        <w:t xml:space="preserve"> questions including multiple choice questions, for which r</w:t>
      </w:r>
      <w:r w:rsidR="003B61EF" w:rsidRPr="003B61EF">
        <w:rPr>
          <w:rFonts w:asciiTheme="majorHAnsi" w:hAnsiTheme="majorHAnsi"/>
        </w:rPr>
        <w:t xml:space="preserve">espondents will be informed </w:t>
      </w:r>
      <w:r w:rsidR="00D5714C">
        <w:rPr>
          <w:rFonts w:asciiTheme="majorHAnsi" w:hAnsiTheme="majorHAnsi"/>
        </w:rPr>
        <w:t>to select either one or all</w:t>
      </w:r>
      <w:r w:rsidR="003B61EF" w:rsidRPr="003B61EF">
        <w:rPr>
          <w:rFonts w:asciiTheme="majorHAnsi" w:hAnsiTheme="majorHAnsi"/>
        </w:rPr>
        <w:t xml:space="preserve"> responses that apply</w:t>
      </w:r>
      <w:r w:rsidR="00D5714C">
        <w:rPr>
          <w:rFonts w:asciiTheme="majorHAnsi" w:hAnsiTheme="majorHAnsi"/>
        </w:rPr>
        <w:t>, and questions that will use a rating scale for responses</w:t>
      </w:r>
      <w:r w:rsidR="003B61EF" w:rsidRPr="003B61EF">
        <w:rPr>
          <w:rFonts w:asciiTheme="majorHAnsi" w:hAnsiTheme="majorHAnsi"/>
        </w:rPr>
        <w:t xml:space="preserve">. </w:t>
      </w:r>
      <w:r w:rsidR="007A76F8">
        <w:rPr>
          <w:rFonts w:asciiTheme="majorHAnsi" w:hAnsiTheme="majorHAnsi"/>
        </w:rPr>
        <w:t xml:space="preserve">The data collection instrument uses skip </w:t>
      </w:r>
      <w:proofErr w:type="gramStart"/>
      <w:r w:rsidR="007A76F8">
        <w:rPr>
          <w:rFonts w:asciiTheme="majorHAnsi" w:hAnsiTheme="majorHAnsi"/>
        </w:rPr>
        <w:t>patterns</w:t>
      </w:r>
      <w:r w:rsidR="00203AE4">
        <w:rPr>
          <w:rFonts w:asciiTheme="majorHAnsi" w:hAnsiTheme="majorHAnsi"/>
        </w:rPr>
        <w:t>,</w:t>
      </w:r>
      <w:proofErr w:type="gramEnd"/>
      <w:r w:rsidR="00203AE4">
        <w:rPr>
          <w:rFonts w:asciiTheme="majorHAnsi" w:hAnsiTheme="majorHAnsi"/>
        </w:rPr>
        <w:t xml:space="preserve"> therefore,</w:t>
      </w:r>
      <w:r w:rsidR="007A76F8">
        <w:rPr>
          <w:rFonts w:asciiTheme="majorHAnsi" w:hAnsiTheme="majorHAnsi"/>
        </w:rPr>
        <w:t xml:space="preserve"> some participants may not see all 20 questions based on their answers to specific questions</w:t>
      </w:r>
      <w:r w:rsidR="00203AE4">
        <w:rPr>
          <w:rFonts w:asciiTheme="majorHAnsi" w:hAnsiTheme="majorHAnsi"/>
        </w:rPr>
        <w:t>.</w:t>
      </w:r>
      <w:r w:rsidR="007A76F8">
        <w:rPr>
          <w:rFonts w:asciiTheme="majorHAnsi" w:hAnsiTheme="majorHAnsi"/>
        </w:rPr>
        <w:t xml:space="preserve"> </w:t>
      </w:r>
      <w:r w:rsidR="003B61EF" w:rsidRPr="003B61EF">
        <w:rPr>
          <w:rFonts w:asciiTheme="majorHAnsi" w:hAnsiTheme="majorHAnsi"/>
        </w:rPr>
        <w:t>Some selections are formatted for open-ended responses</w:t>
      </w:r>
      <w:r w:rsidR="00D5714C">
        <w:rPr>
          <w:rFonts w:asciiTheme="majorHAnsi" w:hAnsiTheme="majorHAnsi"/>
        </w:rPr>
        <w:t xml:space="preserve"> and text field boxes will be included. </w:t>
      </w:r>
      <w:r w:rsidR="003B61EF" w:rsidRPr="003B61EF">
        <w:rPr>
          <w:rFonts w:asciiTheme="majorHAnsi" w:hAnsiTheme="majorHAnsi"/>
        </w:rPr>
        <w:t xml:space="preserve">The </w:t>
      </w:r>
      <w:r w:rsidR="00EC16F6">
        <w:rPr>
          <w:rFonts w:asciiTheme="majorHAnsi" w:hAnsiTheme="majorHAnsi"/>
        </w:rPr>
        <w:t>assessment</w:t>
      </w:r>
      <w:r w:rsidR="003B61EF" w:rsidRPr="003B61EF">
        <w:rPr>
          <w:rFonts w:asciiTheme="majorHAnsi" w:hAnsiTheme="majorHAnsi"/>
        </w:rPr>
        <w:t xml:space="preserve"> will collect information on the following:</w:t>
      </w:r>
      <w:r w:rsidR="000B0962">
        <w:rPr>
          <w:rFonts w:asciiTheme="majorHAnsi" w:hAnsiTheme="majorHAnsi"/>
        </w:rPr>
        <w:t xml:space="preserve"> </w:t>
      </w:r>
    </w:p>
    <w:p w:rsidR="00D5714C" w:rsidRDefault="00812056" w:rsidP="00F25892">
      <w:pPr>
        <w:pStyle w:val="ListParagraph"/>
        <w:numPr>
          <w:ilvl w:val="0"/>
          <w:numId w:val="24"/>
        </w:numPr>
        <w:spacing w:after="0"/>
        <w:ind w:left="720"/>
        <w:rPr>
          <w:rFonts w:asciiTheme="majorHAnsi" w:hAnsiTheme="majorHAnsi"/>
        </w:rPr>
      </w:pPr>
      <w:r>
        <w:rPr>
          <w:rFonts w:asciiTheme="majorHAnsi" w:hAnsiTheme="majorHAnsi"/>
        </w:rPr>
        <w:t>f</w:t>
      </w:r>
      <w:r w:rsidR="00D5714C" w:rsidRPr="00D5714C">
        <w:rPr>
          <w:rFonts w:asciiTheme="majorHAnsi" w:hAnsiTheme="majorHAnsi"/>
        </w:rPr>
        <w:t>actors that trigger state and local TB Control Programs to request their partner public health laboratories to</w:t>
      </w:r>
      <w:r w:rsidR="008D0218">
        <w:rPr>
          <w:rFonts w:asciiTheme="majorHAnsi" w:hAnsiTheme="majorHAnsi"/>
        </w:rPr>
        <w:t xml:space="preserve"> refer samples for MDDR testing</w:t>
      </w:r>
      <w:r w:rsidR="00D5714C" w:rsidRPr="00D5714C">
        <w:rPr>
          <w:rFonts w:asciiTheme="majorHAnsi" w:hAnsiTheme="majorHAnsi"/>
        </w:rPr>
        <w:t xml:space="preserve"> </w:t>
      </w:r>
    </w:p>
    <w:p w:rsidR="00D5714C" w:rsidRDefault="00812056" w:rsidP="00F25892">
      <w:pPr>
        <w:pStyle w:val="ListParagraph"/>
        <w:numPr>
          <w:ilvl w:val="0"/>
          <w:numId w:val="24"/>
        </w:numPr>
        <w:spacing w:after="0"/>
        <w:ind w:left="720"/>
        <w:rPr>
          <w:rFonts w:asciiTheme="majorHAnsi" w:hAnsiTheme="majorHAnsi"/>
        </w:rPr>
      </w:pPr>
      <w:r>
        <w:rPr>
          <w:rFonts w:asciiTheme="majorHAnsi" w:hAnsiTheme="majorHAnsi"/>
        </w:rPr>
        <w:t>w</w:t>
      </w:r>
      <w:r w:rsidR="008D0218">
        <w:rPr>
          <w:rFonts w:asciiTheme="majorHAnsi" w:hAnsiTheme="majorHAnsi"/>
        </w:rPr>
        <w:t>ho</w:t>
      </w:r>
      <w:r>
        <w:rPr>
          <w:rFonts w:asciiTheme="majorHAnsi" w:hAnsiTheme="majorHAnsi"/>
        </w:rPr>
        <w:t xml:space="preserve"> primarily</w:t>
      </w:r>
      <w:r w:rsidR="008D0218">
        <w:rPr>
          <w:rFonts w:asciiTheme="majorHAnsi" w:hAnsiTheme="majorHAnsi"/>
        </w:rPr>
        <w:t xml:space="preserve"> initiates the requests</w:t>
      </w:r>
      <w:r w:rsidR="00D5714C" w:rsidRPr="00D5714C">
        <w:rPr>
          <w:rFonts w:asciiTheme="majorHAnsi" w:hAnsiTheme="majorHAnsi"/>
        </w:rPr>
        <w:t xml:space="preserve"> </w:t>
      </w:r>
      <w:r>
        <w:rPr>
          <w:rFonts w:asciiTheme="majorHAnsi" w:hAnsiTheme="majorHAnsi"/>
        </w:rPr>
        <w:t>to submit a sample fo</w:t>
      </w:r>
      <w:r w:rsidR="0005556B">
        <w:rPr>
          <w:rFonts w:asciiTheme="majorHAnsi" w:hAnsiTheme="majorHAnsi"/>
        </w:rPr>
        <w:t>r MDDR testing</w:t>
      </w:r>
    </w:p>
    <w:p w:rsidR="00812056" w:rsidRDefault="00812056" w:rsidP="00F25892">
      <w:pPr>
        <w:pStyle w:val="ListParagraph"/>
        <w:numPr>
          <w:ilvl w:val="0"/>
          <w:numId w:val="24"/>
        </w:numPr>
        <w:spacing w:after="0"/>
        <w:ind w:left="720"/>
        <w:rPr>
          <w:rFonts w:asciiTheme="majorHAnsi" w:hAnsiTheme="majorHAnsi"/>
        </w:rPr>
      </w:pPr>
      <w:proofErr w:type="gramStart"/>
      <w:r>
        <w:rPr>
          <w:rFonts w:asciiTheme="majorHAnsi" w:hAnsiTheme="majorHAnsi"/>
        </w:rPr>
        <w:t>if</w:t>
      </w:r>
      <w:proofErr w:type="gramEnd"/>
      <w:r>
        <w:rPr>
          <w:rFonts w:asciiTheme="majorHAnsi" w:hAnsiTheme="majorHAnsi"/>
        </w:rPr>
        <w:t xml:space="preserve"> TB  controllers are involved in the process for requesting MDDR testing.</w:t>
      </w:r>
    </w:p>
    <w:p w:rsidR="00D5714C" w:rsidRDefault="00812056" w:rsidP="00F25892">
      <w:pPr>
        <w:pStyle w:val="ListParagraph"/>
        <w:numPr>
          <w:ilvl w:val="0"/>
          <w:numId w:val="24"/>
        </w:numPr>
        <w:spacing w:after="0"/>
        <w:ind w:left="720"/>
        <w:rPr>
          <w:rFonts w:asciiTheme="majorHAnsi" w:hAnsiTheme="majorHAnsi"/>
        </w:rPr>
      </w:pPr>
      <w:r>
        <w:rPr>
          <w:rFonts w:asciiTheme="majorHAnsi" w:hAnsiTheme="majorHAnsi"/>
        </w:rPr>
        <w:t>a</w:t>
      </w:r>
      <w:r w:rsidR="00D5714C" w:rsidRPr="00D5714C">
        <w:rPr>
          <w:rFonts w:asciiTheme="majorHAnsi" w:hAnsiTheme="majorHAnsi"/>
        </w:rPr>
        <w:t xml:space="preserve">bility </w:t>
      </w:r>
      <w:r w:rsidR="0005556B">
        <w:rPr>
          <w:rFonts w:asciiTheme="majorHAnsi" w:hAnsiTheme="majorHAnsi"/>
        </w:rPr>
        <w:t xml:space="preserve">of TB Controllers </w:t>
      </w:r>
      <w:r w:rsidR="00D5714C" w:rsidRPr="00D5714C">
        <w:rPr>
          <w:rFonts w:asciiTheme="majorHAnsi" w:hAnsiTheme="majorHAnsi"/>
        </w:rPr>
        <w:t>to understand and interpret result</w:t>
      </w:r>
      <w:r w:rsidR="008D0218">
        <w:rPr>
          <w:rFonts w:asciiTheme="majorHAnsi" w:hAnsiTheme="majorHAnsi"/>
        </w:rPr>
        <w:t>s</w:t>
      </w:r>
      <w:r w:rsidR="00D5714C" w:rsidRPr="00D5714C">
        <w:rPr>
          <w:rFonts w:asciiTheme="majorHAnsi" w:hAnsiTheme="majorHAnsi"/>
        </w:rPr>
        <w:t xml:space="preserve"> </w:t>
      </w:r>
      <w:r w:rsidR="005714B8">
        <w:rPr>
          <w:rFonts w:asciiTheme="majorHAnsi" w:hAnsiTheme="majorHAnsi"/>
        </w:rPr>
        <w:t xml:space="preserve">from the MDDR </w:t>
      </w:r>
      <w:r>
        <w:rPr>
          <w:rFonts w:asciiTheme="majorHAnsi" w:hAnsiTheme="majorHAnsi"/>
        </w:rPr>
        <w:t>testing s</w:t>
      </w:r>
      <w:r w:rsidR="005714B8">
        <w:rPr>
          <w:rFonts w:asciiTheme="majorHAnsi" w:hAnsiTheme="majorHAnsi"/>
        </w:rPr>
        <w:t>ervice</w:t>
      </w:r>
    </w:p>
    <w:p w:rsidR="00D5714C" w:rsidRDefault="00812056" w:rsidP="00F25892">
      <w:pPr>
        <w:pStyle w:val="ListParagraph"/>
        <w:numPr>
          <w:ilvl w:val="0"/>
          <w:numId w:val="24"/>
        </w:numPr>
        <w:spacing w:after="0"/>
        <w:ind w:left="720"/>
        <w:rPr>
          <w:rFonts w:asciiTheme="majorHAnsi" w:hAnsiTheme="majorHAnsi"/>
        </w:rPr>
      </w:pPr>
      <w:r>
        <w:rPr>
          <w:rFonts w:asciiTheme="majorHAnsi" w:hAnsiTheme="majorHAnsi"/>
        </w:rPr>
        <w:t>w</w:t>
      </w:r>
      <w:r w:rsidR="00D5714C" w:rsidRPr="00D5714C">
        <w:rPr>
          <w:rFonts w:asciiTheme="majorHAnsi" w:hAnsiTheme="majorHAnsi"/>
        </w:rPr>
        <w:t xml:space="preserve">hat sources </w:t>
      </w:r>
      <w:r w:rsidR="0005556B">
        <w:rPr>
          <w:rFonts w:asciiTheme="majorHAnsi" w:hAnsiTheme="majorHAnsi"/>
        </w:rPr>
        <w:t xml:space="preserve"> TB Controllers</w:t>
      </w:r>
      <w:r w:rsidR="00D5714C" w:rsidRPr="00D5714C">
        <w:rPr>
          <w:rFonts w:asciiTheme="majorHAnsi" w:hAnsiTheme="majorHAnsi"/>
        </w:rPr>
        <w:t xml:space="preserve"> consult t</w:t>
      </w:r>
      <w:r w:rsidR="008D0218">
        <w:rPr>
          <w:rFonts w:asciiTheme="majorHAnsi" w:hAnsiTheme="majorHAnsi"/>
        </w:rPr>
        <w:t>o better understand the results</w:t>
      </w:r>
      <w:r w:rsidR="00D5714C" w:rsidRPr="00D5714C">
        <w:rPr>
          <w:rFonts w:asciiTheme="majorHAnsi" w:hAnsiTheme="majorHAnsi"/>
        </w:rPr>
        <w:t xml:space="preserve"> </w:t>
      </w:r>
    </w:p>
    <w:p w:rsidR="008D0218" w:rsidRPr="00812056" w:rsidRDefault="008D0218" w:rsidP="00F25892">
      <w:pPr>
        <w:pStyle w:val="ListParagraph"/>
        <w:numPr>
          <w:ilvl w:val="0"/>
          <w:numId w:val="24"/>
        </w:numPr>
        <w:spacing w:after="0"/>
        <w:ind w:left="720"/>
        <w:rPr>
          <w:rFonts w:asciiTheme="majorHAnsi" w:hAnsiTheme="majorHAnsi"/>
        </w:rPr>
      </w:pPr>
      <w:r>
        <w:rPr>
          <w:rFonts w:asciiTheme="majorHAnsi" w:hAnsiTheme="majorHAnsi"/>
        </w:rPr>
        <w:t>h</w:t>
      </w:r>
      <w:r w:rsidR="00812056">
        <w:rPr>
          <w:rFonts w:asciiTheme="majorHAnsi" w:hAnsiTheme="majorHAnsi"/>
        </w:rPr>
        <w:t>ow</w:t>
      </w:r>
      <w:r>
        <w:rPr>
          <w:rFonts w:asciiTheme="majorHAnsi" w:hAnsiTheme="majorHAnsi"/>
        </w:rPr>
        <w:t xml:space="preserve"> the results </w:t>
      </w:r>
      <w:r w:rsidR="00812056">
        <w:rPr>
          <w:rFonts w:asciiTheme="majorHAnsi" w:hAnsiTheme="majorHAnsi"/>
        </w:rPr>
        <w:t>are</w:t>
      </w:r>
      <w:r w:rsidR="0005556B">
        <w:rPr>
          <w:rFonts w:asciiTheme="majorHAnsi" w:hAnsiTheme="majorHAnsi"/>
        </w:rPr>
        <w:t xml:space="preserve"> utilized b</w:t>
      </w:r>
      <w:r w:rsidR="005714B8">
        <w:rPr>
          <w:rFonts w:asciiTheme="majorHAnsi" w:hAnsiTheme="majorHAnsi"/>
        </w:rPr>
        <w:t>y</w:t>
      </w:r>
      <w:r w:rsidR="0005556B">
        <w:rPr>
          <w:rFonts w:asciiTheme="majorHAnsi" w:hAnsiTheme="majorHAnsi"/>
        </w:rPr>
        <w:t xml:space="preserve"> TB Controllers for public health interventions</w:t>
      </w:r>
    </w:p>
    <w:p w:rsidR="00DB7F78" w:rsidRPr="00812056" w:rsidRDefault="00812056" w:rsidP="00F25892">
      <w:pPr>
        <w:pStyle w:val="ListParagraph"/>
        <w:numPr>
          <w:ilvl w:val="0"/>
          <w:numId w:val="24"/>
        </w:numPr>
        <w:spacing w:after="0"/>
        <w:ind w:left="720"/>
        <w:rPr>
          <w:rFonts w:asciiTheme="majorHAnsi" w:hAnsiTheme="majorHAnsi"/>
        </w:rPr>
      </w:pPr>
      <w:proofErr w:type="gramStart"/>
      <w:r w:rsidRPr="00812056">
        <w:rPr>
          <w:rFonts w:asciiTheme="majorHAnsi" w:hAnsiTheme="majorHAnsi"/>
        </w:rPr>
        <w:t>a</w:t>
      </w:r>
      <w:r w:rsidR="005714B8" w:rsidRPr="00812056">
        <w:rPr>
          <w:rFonts w:asciiTheme="majorHAnsi" w:hAnsiTheme="majorHAnsi"/>
        </w:rPr>
        <w:t>ctions</w:t>
      </w:r>
      <w:proofErr w:type="gramEnd"/>
      <w:r w:rsidR="005714B8" w:rsidRPr="00812056">
        <w:rPr>
          <w:rFonts w:asciiTheme="majorHAnsi" w:hAnsiTheme="majorHAnsi"/>
        </w:rPr>
        <w:t xml:space="preserve"> taken by TB Controllers if </w:t>
      </w:r>
      <w:r w:rsidR="00D5714C" w:rsidRPr="00812056">
        <w:rPr>
          <w:rFonts w:asciiTheme="majorHAnsi" w:hAnsiTheme="majorHAnsi"/>
        </w:rPr>
        <w:t xml:space="preserve"> discordance</w:t>
      </w:r>
      <w:r w:rsidR="005714B8" w:rsidRPr="00812056">
        <w:rPr>
          <w:rFonts w:asciiTheme="majorHAnsi" w:hAnsiTheme="majorHAnsi"/>
        </w:rPr>
        <w:t xml:space="preserve"> is noted</w:t>
      </w:r>
      <w:r w:rsidR="00D5714C" w:rsidRPr="00812056">
        <w:rPr>
          <w:rFonts w:asciiTheme="majorHAnsi" w:hAnsiTheme="majorHAnsi"/>
        </w:rPr>
        <w:t xml:space="preserve"> between </w:t>
      </w:r>
      <w:r w:rsidRPr="00812056">
        <w:rPr>
          <w:rFonts w:asciiTheme="majorHAnsi" w:hAnsiTheme="majorHAnsi"/>
        </w:rPr>
        <w:t xml:space="preserve">molecular results </w:t>
      </w:r>
      <w:r>
        <w:rPr>
          <w:rFonts w:asciiTheme="majorHAnsi" w:hAnsiTheme="majorHAnsi"/>
        </w:rPr>
        <w:t xml:space="preserve"> and </w:t>
      </w:r>
      <w:r w:rsidR="00D5714C" w:rsidRPr="00812056">
        <w:rPr>
          <w:rFonts w:asciiTheme="majorHAnsi" w:hAnsiTheme="majorHAnsi"/>
        </w:rPr>
        <w:t>conventional</w:t>
      </w:r>
      <w:r>
        <w:rPr>
          <w:rFonts w:asciiTheme="majorHAnsi" w:hAnsiTheme="majorHAnsi"/>
        </w:rPr>
        <w:t xml:space="preserve"> results performed at CDC or t</w:t>
      </w:r>
      <w:r w:rsidR="00D5714C" w:rsidRPr="00812056">
        <w:rPr>
          <w:rFonts w:asciiTheme="majorHAnsi" w:hAnsiTheme="majorHAnsi"/>
        </w:rPr>
        <w:t>heir</w:t>
      </w:r>
      <w:r>
        <w:rPr>
          <w:rFonts w:asciiTheme="majorHAnsi" w:hAnsiTheme="majorHAnsi"/>
        </w:rPr>
        <w:t xml:space="preserve"> public health</w:t>
      </w:r>
      <w:r w:rsidR="00D5714C" w:rsidRPr="00812056">
        <w:rPr>
          <w:rFonts w:asciiTheme="majorHAnsi" w:hAnsiTheme="majorHAnsi"/>
        </w:rPr>
        <w:t xml:space="preserve"> laboratory</w:t>
      </w:r>
      <w:r>
        <w:rPr>
          <w:rFonts w:asciiTheme="majorHAnsi" w:hAnsiTheme="majorHAnsi"/>
        </w:rPr>
        <w:t>.</w:t>
      </w:r>
    </w:p>
    <w:p w:rsidR="00DB7F78" w:rsidRDefault="00DB7F78" w:rsidP="00F25892">
      <w:pPr>
        <w:spacing w:after="0"/>
        <w:rPr>
          <w:rFonts w:asciiTheme="majorHAnsi" w:hAnsiTheme="majorHAnsi"/>
        </w:rPr>
      </w:pPr>
    </w:p>
    <w:p w:rsidR="006102DA" w:rsidRPr="005869D6" w:rsidRDefault="006102DA" w:rsidP="00F25892">
      <w:pPr>
        <w:spacing w:after="0"/>
        <w:rPr>
          <w:rFonts w:asciiTheme="majorHAnsi" w:hAnsiTheme="majorHAnsi"/>
        </w:rPr>
      </w:pPr>
      <w:r w:rsidRPr="006102DA">
        <w:rPr>
          <w:rFonts w:asciiTheme="majorHAnsi" w:hAnsiTheme="majorHAnsi"/>
          <w:u w:val="single"/>
        </w:rPr>
        <w:t xml:space="preserve">Identification of Website(s) and Website Content Directed at Children </w:t>
      </w:r>
      <w:proofErr w:type="gramStart"/>
      <w:r w:rsidRPr="006102DA">
        <w:rPr>
          <w:rFonts w:asciiTheme="majorHAnsi" w:hAnsiTheme="majorHAnsi"/>
          <w:u w:val="single"/>
        </w:rPr>
        <w:t>Under</w:t>
      </w:r>
      <w:proofErr w:type="gramEnd"/>
      <w:r w:rsidRPr="006102DA">
        <w:rPr>
          <w:rFonts w:asciiTheme="majorHAnsi" w:hAnsiTheme="majorHAnsi"/>
          <w:u w:val="single"/>
        </w:rPr>
        <w:t xml:space="preserve"> 13 Years of </w:t>
      </w:r>
      <w:r w:rsidRPr="005869D6">
        <w:rPr>
          <w:rFonts w:asciiTheme="majorHAnsi" w:hAnsiTheme="majorHAnsi"/>
          <w:u w:val="single"/>
        </w:rPr>
        <w:t>Age</w:t>
      </w:r>
      <w:r w:rsidR="00D13B13" w:rsidRPr="005869D6">
        <w:rPr>
          <w:rFonts w:asciiTheme="majorHAnsi" w:hAnsiTheme="majorHAnsi"/>
        </w:rPr>
        <w:t xml:space="preserve"> –</w:t>
      </w:r>
      <w:r w:rsidR="005869D6">
        <w:rPr>
          <w:rFonts w:asciiTheme="majorHAnsi" w:hAnsiTheme="majorHAnsi"/>
        </w:rPr>
        <w:t>No website content will be directed at children.</w:t>
      </w:r>
    </w:p>
    <w:p w:rsidR="00F52BCC" w:rsidRPr="00F52BCC" w:rsidRDefault="00F52BCC" w:rsidP="00F25892">
      <w:pPr>
        <w:spacing w:after="0"/>
        <w:rPr>
          <w:rFonts w:asciiTheme="majorHAnsi" w:hAnsiTheme="majorHAnsi"/>
        </w:rPr>
      </w:pPr>
    </w:p>
    <w:p w:rsidR="00B12F51" w:rsidRPr="00014361" w:rsidRDefault="00B12F51" w:rsidP="00F25892">
      <w:pPr>
        <w:pStyle w:val="ListParagraph"/>
        <w:numPr>
          <w:ilvl w:val="0"/>
          <w:numId w:val="2"/>
        </w:numPr>
        <w:spacing w:after="0"/>
        <w:ind w:left="0"/>
        <w:rPr>
          <w:rFonts w:asciiTheme="majorHAnsi" w:hAnsiTheme="majorHAnsi"/>
          <w:b/>
        </w:rPr>
      </w:pPr>
      <w:r w:rsidRPr="00014361">
        <w:rPr>
          <w:rFonts w:asciiTheme="majorHAnsi" w:hAnsiTheme="majorHAnsi"/>
          <w:b/>
        </w:rPr>
        <w:t>Purpose and Use of the Information Collection</w:t>
      </w:r>
    </w:p>
    <w:p w:rsidR="00EC16F6" w:rsidRDefault="00E838AB" w:rsidP="00F25892">
      <w:pPr>
        <w:pStyle w:val="ListParagraph"/>
        <w:spacing w:after="0"/>
        <w:ind w:left="0"/>
        <w:rPr>
          <w:rFonts w:asciiTheme="majorHAnsi" w:hAnsiTheme="majorHAnsi"/>
        </w:rPr>
      </w:pPr>
      <w:r w:rsidRPr="00375135">
        <w:rPr>
          <w:rFonts w:asciiTheme="majorHAnsi" w:hAnsiTheme="majorHAnsi"/>
        </w:rPr>
        <w:t xml:space="preserve">To </w:t>
      </w:r>
      <w:r w:rsidR="008D0218" w:rsidRPr="00375135">
        <w:rPr>
          <w:rFonts w:asciiTheme="majorHAnsi" w:hAnsiTheme="majorHAnsi"/>
        </w:rPr>
        <w:t>gain a better understanding of the how the resu</w:t>
      </w:r>
      <w:r w:rsidR="00375135">
        <w:rPr>
          <w:rFonts w:asciiTheme="majorHAnsi" w:hAnsiTheme="majorHAnsi"/>
        </w:rPr>
        <w:t xml:space="preserve">lts from the MDDR </w:t>
      </w:r>
      <w:r w:rsidR="00812056">
        <w:rPr>
          <w:rFonts w:asciiTheme="majorHAnsi" w:hAnsiTheme="majorHAnsi"/>
        </w:rPr>
        <w:t>testing s</w:t>
      </w:r>
      <w:r w:rsidR="00375135">
        <w:rPr>
          <w:rFonts w:asciiTheme="majorHAnsi" w:hAnsiTheme="majorHAnsi"/>
        </w:rPr>
        <w:t>ervice impact</w:t>
      </w:r>
      <w:r w:rsidR="008D0218" w:rsidRPr="00375135">
        <w:rPr>
          <w:rFonts w:asciiTheme="majorHAnsi" w:hAnsiTheme="majorHAnsi"/>
        </w:rPr>
        <w:t xml:space="preserve"> the</w:t>
      </w:r>
      <w:r w:rsidR="009244DC" w:rsidRPr="00375135">
        <w:rPr>
          <w:rFonts w:asciiTheme="majorHAnsi" w:hAnsiTheme="majorHAnsi"/>
        </w:rPr>
        <w:t xml:space="preserve"> work of the TB Control Program,</w:t>
      </w:r>
      <w:r w:rsidRPr="00375135">
        <w:rPr>
          <w:rFonts w:asciiTheme="majorHAnsi" w:hAnsiTheme="majorHAnsi"/>
        </w:rPr>
        <w:t xml:space="preserve"> </w:t>
      </w:r>
      <w:r w:rsidR="009244DC" w:rsidRPr="00375135">
        <w:rPr>
          <w:rFonts w:asciiTheme="majorHAnsi" w:hAnsiTheme="majorHAnsi"/>
        </w:rPr>
        <w:t xml:space="preserve">a qualitative assessment </w:t>
      </w:r>
      <w:r w:rsidR="00A64D94">
        <w:rPr>
          <w:rFonts w:asciiTheme="majorHAnsi" w:hAnsiTheme="majorHAnsi"/>
        </w:rPr>
        <w:t>to</w:t>
      </w:r>
      <w:r w:rsidR="009244DC" w:rsidRPr="00375135">
        <w:rPr>
          <w:rFonts w:asciiTheme="majorHAnsi" w:hAnsiTheme="majorHAnsi"/>
        </w:rPr>
        <w:t xml:space="preserve"> be sent to TB Controllers to </w:t>
      </w:r>
      <w:r w:rsidR="00EC16F6">
        <w:rPr>
          <w:rFonts w:asciiTheme="majorHAnsi" w:hAnsiTheme="majorHAnsi"/>
        </w:rPr>
        <w:t xml:space="preserve">assess </w:t>
      </w:r>
      <w:r w:rsidR="009244DC" w:rsidRPr="00375135">
        <w:rPr>
          <w:rFonts w:asciiTheme="majorHAnsi" w:hAnsiTheme="majorHAnsi"/>
        </w:rPr>
        <w:t>the use and application of MDDR service.</w:t>
      </w:r>
      <w:r w:rsidR="00375135" w:rsidRPr="00375135">
        <w:rPr>
          <w:rFonts w:asciiTheme="majorHAnsi" w:hAnsiTheme="majorHAnsi"/>
        </w:rPr>
        <w:t xml:space="preserve"> </w:t>
      </w:r>
    </w:p>
    <w:p w:rsidR="00EC16F6" w:rsidRDefault="00EC16F6" w:rsidP="00F25892">
      <w:pPr>
        <w:pStyle w:val="ListParagraph"/>
        <w:spacing w:after="0"/>
        <w:ind w:left="0"/>
        <w:rPr>
          <w:rFonts w:asciiTheme="majorHAnsi" w:hAnsiTheme="majorHAnsi"/>
        </w:rPr>
      </w:pPr>
    </w:p>
    <w:p w:rsidR="00EC16F6" w:rsidRDefault="008D0218" w:rsidP="00F25892">
      <w:pPr>
        <w:pStyle w:val="ListParagraph"/>
        <w:spacing w:after="0"/>
        <w:ind w:left="0"/>
        <w:rPr>
          <w:rFonts w:asciiTheme="majorHAnsi" w:hAnsiTheme="majorHAnsi"/>
        </w:rPr>
      </w:pPr>
      <w:r w:rsidRPr="00375135">
        <w:rPr>
          <w:rFonts w:asciiTheme="majorHAnsi" w:hAnsiTheme="majorHAnsi"/>
        </w:rPr>
        <w:t>Lessons learned could aid in clarifying laboratory reporting language and focus training and educational efforts to improve understanding of the MDDR service and molecular results</w:t>
      </w:r>
      <w:r w:rsidR="009244DC" w:rsidRPr="00375135">
        <w:rPr>
          <w:rFonts w:asciiTheme="majorHAnsi" w:hAnsiTheme="majorHAnsi"/>
        </w:rPr>
        <w:t>.</w:t>
      </w:r>
      <w:r w:rsidR="00375135" w:rsidRPr="00375135">
        <w:rPr>
          <w:rFonts w:asciiTheme="majorHAnsi" w:hAnsiTheme="majorHAnsi"/>
        </w:rPr>
        <w:t xml:space="preserve"> </w:t>
      </w:r>
      <w:r w:rsidR="00A64D94">
        <w:rPr>
          <w:rFonts w:asciiTheme="majorHAnsi" w:hAnsiTheme="majorHAnsi"/>
        </w:rPr>
        <w:t xml:space="preserve">It </w:t>
      </w:r>
      <w:r w:rsidR="001A698F">
        <w:rPr>
          <w:rFonts w:asciiTheme="majorHAnsi" w:hAnsiTheme="majorHAnsi"/>
        </w:rPr>
        <w:t xml:space="preserve">is </w:t>
      </w:r>
      <w:r w:rsidR="001A698F" w:rsidRPr="00A64D94">
        <w:rPr>
          <w:rFonts w:asciiTheme="majorHAnsi" w:hAnsiTheme="majorHAnsi"/>
        </w:rPr>
        <w:t>important</w:t>
      </w:r>
      <w:r w:rsidR="00A64D94" w:rsidRPr="00A64D94">
        <w:rPr>
          <w:rFonts w:asciiTheme="majorHAnsi" w:hAnsiTheme="majorHAnsi"/>
        </w:rPr>
        <w:t xml:space="preserve"> to ensure there is an understanding of these types of molecular results among </w:t>
      </w:r>
      <w:proofErr w:type="spellStart"/>
      <w:r w:rsidR="00A64D94" w:rsidRPr="00A64D94">
        <w:rPr>
          <w:rFonts w:asciiTheme="majorHAnsi" w:hAnsiTheme="majorHAnsi"/>
        </w:rPr>
        <w:t>laboratorians</w:t>
      </w:r>
      <w:proofErr w:type="spellEnd"/>
      <w:r w:rsidR="00A64D94" w:rsidRPr="00A64D94">
        <w:rPr>
          <w:rFonts w:asciiTheme="majorHAnsi" w:hAnsiTheme="majorHAnsi"/>
        </w:rPr>
        <w:t>, TB c</w:t>
      </w:r>
      <w:r w:rsidR="00203AE4">
        <w:rPr>
          <w:rFonts w:asciiTheme="majorHAnsi" w:hAnsiTheme="majorHAnsi"/>
        </w:rPr>
        <w:t>ontrol programs, and clinicians to ensure prompt and adequate treatment and prevent ongoing transmission of MDR TB. T</w:t>
      </w:r>
      <w:r w:rsidR="009244DC" w:rsidRPr="00375135">
        <w:rPr>
          <w:rFonts w:asciiTheme="majorHAnsi" w:hAnsiTheme="majorHAnsi"/>
        </w:rPr>
        <w:t xml:space="preserve">his </w:t>
      </w:r>
      <w:r w:rsidR="00EC16F6">
        <w:rPr>
          <w:rFonts w:asciiTheme="majorHAnsi" w:hAnsiTheme="majorHAnsi"/>
        </w:rPr>
        <w:t>assessment</w:t>
      </w:r>
      <w:r w:rsidR="009244DC" w:rsidRPr="00375135">
        <w:rPr>
          <w:rFonts w:asciiTheme="majorHAnsi" w:hAnsiTheme="majorHAnsi"/>
        </w:rPr>
        <w:t xml:space="preserve"> is </w:t>
      </w:r>
      <w:r w:rsidR="00E838AB" w:rsidRPr="00375135">
        <w:rPr>
          <w:rFonts w:asciiTheme="majorHAnsi" w:hAnsiTheme="majorHAnsi"/>
        </w:rPr>
        <w:t xml:space="preserve">necessary to </w:t>
      </w:r>
      <w:r w:rsidR="00A64D94">
        <w:rPr>
          <w:rFonts w:asciiTheme="majorHAnsi" w:hAnsiTheme="majorHAnsi"/>
        </w:rPr>
        <w:t>gain a</w:t>
      </w:r>
      <w:r w:rsidR="00375135" w:rsidRPr="00375135">
        <w:rPr>
          <w:rFonts w:asciiTheme="majorHAnsi" w:hAnsiTheme="majorHAnsi"/>
        </w:rPr>
        <w:t xml:space="preserve"> program perspective</w:t>
      </w:r>
      <w:r w:rsidR="00E838AB" w:rsidRPr="00375135">
        <w:rPr>
          <w:rFonts w:asciiTheme="majorHAnsi" w:hAnsiTheme="majorHAnsi"/>
        </w:rPr>
        <w:t xml:space="preserve"> and to identify </w:t>
      </w:r>
      <w:r w:rsidR="00693D87">
        <w:rPr>
          <w:rFonts w:asciiTheme="majorHAnsi" w:hAnsiTheme="majorHAnsi"/>
        </w:rPr>
        <w:t>s</w:t>
      </w:r>
      <w:r w:rsidR="00E838AB" w:rsidRPr="00375135">
        <w:rPr>
          <w:rFonts w:asciiTheme="majorHAnsi" w:hAnsiTheme="majorHAnsi"/>
        </w:rPr>
        <w:t>ervice improvements to better serve state and local TB Control Programs</w:t>
      </w:r>
      <w:r w:rsidR="00375135" w:rsidRPr="00375135">
        <w:rPr>
          <w:rFonts w:asciiTheme="majorHAnsi" w:hAnsiTheme="majorHAnsi"/>
        </w:rPr>
        <w:t>.</w:t>
      </w:r>
      <w:r w:rsidR="00A64D94">
        <w:rPr>
          <w:rFonts w:asciiTheme="majorHAnsi" w:hAnsiTheme="majorHAnsi"/>
        </w:rPr>
        <w:t xml:space="preserve"> </w:t>
      </w:r>
    </w:p>
    <w:p w:rsidR="00EC16F6" w:rsidRDefault="00EC16F6" w:rsidP="00F25892">
      <w:pPr>
        <w:pStyle w:val="ListParagraph"/>
        <w:spacing w:after="0"/>
        <w:ind w:left="0"/>
        <w:rPr>
          <w:rFonts w:asciiTheme="majorHAnsi" w:hAnsiTheme="majorHAnsi"/>
        </w:rPr>
      </w:pPr>
    </w:p>
    <w:p w:rsidR="006102DA" w:rsidRDefault="006102DA" w:rsidP="00F25892">
      <w:pPr>
        <w:spacing w:after="0"/>
        <w:rPr>
          <w:rFonts w:asciiTheme="majorHAnsi" w:hAnsiTheme="majorHAnsi"/>
        </w:rPr>
      </w:pPr>
      <w:r>
        <w:rPr>
          <w:rFonts w:asciiTheme="majorHAnsi" w:hAnsiTheme="majorHAnsi"/>
          <w:u w:val="single"/>
        </w:rPr>
        <w:t>Privacy Impact Assessment</w:t>
      </w:r>
      <w:r w:rsidR="00DB7F78">
        <w:rPr>
          <w:rFonts w:asciiTheme="majorHAnsi" w:hAnsiTheme="majorHAnsi"/>
          <w:u w:val="single"/>
        </w:rPr>
        <w:t xml:space="preserve"> </w:t>
      </w:r>
    </w:p>
    <w:p w:rsidR="00F52BCC" w:rsidRDefault="001C418D" w:rsidP="00F25892">
      <w:pPr>
        <w:pStyle w:val="ListParagraph"/>
        <w:spacing w:after="0"/>
        <w:ind w:left="0"/>
        <w:rPr>
          <w:rFonts w:asciiTheme="majorHAnsi" w:hAnsiTheme="majorHAnsi"/>
        </w:rPr>
      </w:pPr>
      <w:r w:rsidRPr="00A64D94">
        <w:rPr>
          <w:rFonts w:asciiTheme="majorHAnsi" w:hAnsiTheme="majorHAnsi"/>
        </w:rPr>
        <w:t>CDC will not receive any personally identifiable information</w:t>
      </w:r>
      <w:r>
        <w:rPr>
          <w:rFonts w:asciiTheme="majorHAnsi" w:hAnsiTheme="majorHAnsi"/>
        </w:rPr>
        <w:t xml:space="preserve">. </w:t>
      </w:r>
      <w:r w:rsidR="00A64D94" w:rsidRPr="00A64D94">
        <w:rPr>
          <w:rFonts w:asciiTheme="majorHAnsi" w:hAnsiTheme="majorHAnsi"/>
        </w:rPr>
        <w:t>Information wi</w:t>
      </w:r>
      <w:r>
        <w:rPr>
          <w:rFonts w:asciiTheme="majorHAnsi" w:hAnsiTheme="majorHAnsi"/>
        </w:rPr>
        <w:t>ll be collected electronically and all d</w:t>
      </w:r>
      <w:r w:rsidRPr="001C418D">
        <w:rPr>
          <w:rFonts w:asciiTheme="majorHAnsi" w:hAnsiTheme="majorHAnsi"/>
        </w:rPr>
        <w:t xml:space="preserve">ata will be input into secure data bases. </w:t>
      </w:r>
    </w:p>
    <w:p w:rsidR="00EC16F6" w:rsidRDefault="00EC16F6" w:rsidP="00F25892">
      <w:pPr>
        <w:pStyle w:val="ListParagraph"/>
        <w:spacing w:after="0"/>
        <w:ind w:left="0"/>
        <w:rPr>
          <w:rFonts w:asciiTheme="majorHAnsi" w:hAnsiTheme="majorHAnsi"/>
        </w:rPr>
      </w:pPr>
    </w:p>
    <w:p w:rsidR="00B12F51" w:rsidRPr="00EC16F6" w:rsidRDefault="00B47055" w:rsidP="00F25892">
      <w:pPr>
        <w:pStyle w:val="ListParagraph"/>
        <w:numPr>
          <w:ilvl w:val="0"/>
          <w:numId w:val="2"/>
        </w:numPr>
        <w:spacing w:after="0"/>
        <w:ind w:left="0"/>
        <w:rPr>
          <w:rFonts w:asciiTheme="majorHAnsi" w:hAnsiTheme="majorHAnsi"/>
          <w:b/>
        </w:rPr>
      </w:pPr>
      <w:r w:rsidRPr="00B47055">
        <w:rPr>
          <w:rFonts w:asciiTheme="majorHAnsi" w:hAnsiTheme="majorHAnsi"/>
          <w:b/>
          <w:bCs/>
        </w:rPr>
        <w:t>Use of Improved Information Technology and Burden Reduction</w:t>
      </w:r>
    </w:p>
    <w:p w:rsidR="00B47055" w:rsidRDefault="00FE06EE" w:rsidP="00F25892">
      <w:pPr>
        <w:pStyle w:val="ListParagraph"/>
        <w:spacing w:after="0"/>
        <w:ind w:left="0"/>
        <w:rPr>
          <w:rFonts w:asciiTheme="majorHAnsi" w:hAnsiTheme="majorHAnsi"/>
        </w:rPr>
      </w:pPr>
      <w:r w:rsidRPr="00FE06EE">
        <w:rPr>
          <w:rFonts w:asciiTheme="majorHAnsi" w:hAnsiTheme="majorHAnsi"/>
        </w:rPr>
        <w:t xml:space="preserve">Data collection will be conducted by using a web-based </w:t>
      </w:r>
      <w:r w:rsidR="001A2972">
        <w:rPr>
          <w:rFonts w:asciiTheme="majorHAnsi" w:hAnsiTheme="majorHAnsi"/>
        </w:rPr>
        <w:t>instrument</w:t>
      </w:r>
      <w:r w:rsidRPr="00FE06EE">
        <w:rPr>
          <w:rFonts w:asciiTheme="majorHAnsi" w:hAnsiTheme="majorHAnsi"/>
        </w:rPr>
        <w:t>, using</w:t>
      </w:r>
      <w:r w:rsidR="000C5FC2">
        <w:rPr>
          <w:rFonts w:asciiTheme="majorHAnsi" w:hAnsiTheme="majorHAnsi"/>
        </w:rPr>
        <w:t xml:space="preserve"> </w:t>
      </w:r>
      <w:r w:rsidR="000C5FC2" w:rsidRPr="000C5FC2">
        <w:rPr>
          <w:rFonts w:asciiTheme="majorHAnsi" w:hAnsiTheme="majorHAnsi"/>
        </w:rPr>
        <w:t xml:space="preserve">Adobe® </w:t>
      </w:r>
      <w:proofErr w:type="spellStart"/>
      <w:r w:rsidR="000C5FC2" w:rsidRPr="000C5FC2">
        <w:rPr>
          <w:rFonts w:asciiTheme="majorHAnsi" w:hAnsiTheme="majorHAnsi"/>
        </w:rPr>
        <w:t>FormsCentral</w:t>
      </w:r>
      <w:proofErr w:type="spellEnd"/>
      <w:r w:rsidRPr="00FE06EE">
        <w:rPr>
          <w:rFonts w:asciiTheme="majorHAnsi" w:hAnsiTheme="majorHAnsi"/>
        </w:rPr>
        <w:t xml:space="preserve">.  Web </w:t>
      </w:r>
      <w:r w:rsidR="00EC16F6">
        <w:rPr>
          <w:rFonts w:asciiTheme="majorHAnsi" w:hAnsiTheme="majorHAnsi"/>
        </w:rPr>
        <w:t>tools</w:t>
      </w:r>
      <w:r w:rsidRPr="00FE06EE">
        <w:rPr>
          <w:rFonts w:asciiTheme="majorHAnsi" w:hAnsiTheme="majorHAnsi"/>
        </w:rPr>
        <w:t xml:space="preserve"> reduce respondent burden by enabling easy access and completion at a convenient time and location. The onlin</w:t>
      </w:r>
      <w:r w:rsidR="000C5FC2">
        <w:rPr>
          <w:rFonts w:asciiTheme="majorHAnsi" w:hAnsiTheme="majorHAnsi"/>
        </w:rPr>
        <w:t xml:space="preserve">e </w:t>
      </w:r>
      <w:r w:rsidR="00EC16F6">
        <w:rPr>
          <w:rFonts w:asciiTheme="majorHAnsi" w:hAnsiTheme="majorHAnsi"/>
        </w:rPr>
        <w:t>tool</w:t>
      </w:r>
      <w:r w:rsidR="000C5FC2">
        <w:rPr>
          <w:rFonts w:asciiTheme="majorHAnsi" w:hAnsiTheme="majorHAnsi"/>
        </w:rPr>
        <w:t xml:space="preserve"> will consist</w:t>
      </w:r>
      <w:r w:rsidR="001A698F">
        <w:rPr>
          <w:rFonts w:asciiTheme="majorHAnsi" w:hAnsiTheme="majorHAnsi"/>
        </w:rPr>
        <w:t xml:space="preserve"> of</w:t>
      </w:r>
      <w:r w:rsidR="000C5FC2">
        <w:rPr>
          <w:rFonts w:asciiTheme="majorHAnsi" w:hAnsiTheme="majorHAnsi"/>
        </w:rPr>
        <w:t xml:space="preserve"> </w:t>
      </w:r>
      <w:r w:rsidRPr="00FE06EE">
        <w:rPr>
          <w:rFonts w:asciiTheme="majorHAnsi" w:hAnsiTheme="majorHAnsi"/>
        </w:rPr>
        <w:t>easy-to-read response selections or embedde</w:t>
      </w:r>
      <w:r w:rsidR="000C5FC2">
        <w:rPr>
          <w:rFonts w:asciiTheme="majorHAnsi" w:hAnsiTheme="majorHAnsi"/>
        </w:rPr>
        <w:t>d text boxes. Skip logics</w:t>
      </w:r>
      <w:r w:rsidRPr="00FE06EE">
        <w:rPr>
          <w:rFonts w:asciiTheme="majorHAnsi" w:hAnsiTheme="majorHAnsi"/>
        </w:rPr>
        <w:t xml:space="preserve"> will be programmed into the </w:t>
      </w:r>
      <w:r w:rsidR="007A3699">
        <w:rPr>
          <w:rFonts w:asciiTheme="majorHAnsi" w:hAnsiTheme="majorHAnsi"/>
        </w:rPr>
        <w:t xml:space="preserve">tool </w:t>
      </w:r>
      <w:r w:rsidRPr="00FE06EE">
        <w:rPr>
          <w:rFonts w:asciiTheme="majorHAnsi" w:hAnsiTheme="majorHAnsi"/>
        </w:rPr>
        <w:t xml:space="preserve">to direct respondents to appropriate questions. Screen shots of are shown in Attachment </w:t>
      </w:r>
      <w:r w:rsidR="001A698F" w:rsidRPr="001A698F">
        <w:rPr>
          <w:rFonts w:asciiTheme="majorHAnsi" w:hAnsiTheme="majorHAnsi"/>
        </w:rPr>
        <w:t>D</w:t>
      </w:r>
      <w:r w:rsidRPr="001A698F">
        <w:rPr>
          <w:rFonts w:asciiTheme="majorHAnsi" w:hAnsiTheme="majorHAnsi"/>
        </w:rPr>
        <w:t>.</w:t>
      </w:r>
      <w:r w:rsidRPr="00FE06EE">
        <w:rPr>
          <w:rFonts w:asciiTheme="majorHAnsi" w:hAnsiTheme="majorHAnsi"/>
        </w:rPr>
        <w:t xml:space="preserve">  The </w:t>
      </w:r>
      <w:r w:rsidR="007A3699">
        <w:rPr>
          <w:rFonts w:asciiTheme="majorHAnsi" w:hAnsiTheme="majorHAnsi"/>
        </w:rPr>
        <w:t>instrument</w:t>
      </w:r>
      <w:r w:rsidRPr="00FE06EE">
        <w:rPr>
          <w:rFonts w:asciiTheme="majorHAnsi" w:hAnsiTheme="majorHAnsi"/>
        </w:rPr>
        <w:t xml:space="preserve"> was designed to collect the minimum information necessary for the purposes of this project. </w:t>
      </w:r>
      <w:proofErr w:type="gramStart"/>
      <w:r w:rsidR="00DC79CC">
        <w:rPr>
          <w:rFonts w:asciiTheme="majorHAnsi" w:hAnsiTheme="majorHAnsi"/>
        </w:rPr>
        <w:t xml:space="preserve">(i.e., limited to </w:t>
      </w:r>
      <w:r w:rsidR="000C5FC2" w:rsidRPr="00342A61">
        <w:rPr>
          <w:rFonts w:asciiTheme="majorHAnsi" w:hAnsiTheme="majorHAnsi"/>
        </w:rPr>
        <w:t>2</w:t>
      </w:r>
      <w:r w:rsidR="00693D87" w:rsidRPr="00342A61">
        <w:rPr>
          <w:rFonts w:asciiTheme="majorHAnsi" w:hAnsiTheme="majorHAnsi"/>
        </w:rPr>
        <w:t>0</w:t>
      </w:r>
      <w:r w:rsidR="000C5FC2" w:rsidRPr="000C5FC2">
        <w:rPr>
          <w:rFonts w:asciiTheme="majorHAnsi" w:hAnsiTheme="majorHAnsi"/>
          <w:color w:val="FF0000"/>
        </w:rPr>
        <w:t xml:space="preserve"> </w:t>
      </w:r>
      <w:r w:rsidR="008414AD">
        <w:rPr>
          <w:rFonts w:asciiTheme="majorHAnsi" w:hAnsiTheme="majorHAnsi"/>
        </w:rPr>
        <w:t>questions</w:t>
      </w:r>
      <w:r w:rsidR="00DC79CC">
        <w:rPr>
          <w:rFonts w:asciiTheme="majorHAnsi" w:hAnsiTheme="majorHAnsi"/>
        </w:rPr>
        <w:t>).</w:t>
      </w:r>
      <w:proofErr w:type="gramEnd"/>
      <w:r w:rsidR="00AB251E">
        <w:rPr>
          <w:rFonts w:asciiTheme="majorHAnsi" w:hAnsiTheme="majorHAnsi"/>
        </w:rPr>
        <w:t xml:space="preserve"> </w:t>
      </w:r>
    </w:p>
    <w:p w:rsidR="00B12F51" w:rsidRPr="00EC16F6" w:rsidRDefault="00B47055" w:rsidP="00F25892">
      <w:pPr>
        <w:pStyle w:val="ListParagraph"/>
        <w:numPr>
          <w:ilvl w:val="0"/>
          <w:numId w:val="2"/>
        </w:numPr>
        <w:spacing w:after="0"/>
        <w:ind w:left="0"/>
        <w:rPr>
          <w:rFonts w:asciiTheme="majorHAnsi" w:hAnsiTheme="majorHAnsi"/>
          <w:b/>
        </w:rPr>
      </w:pPr>
      <w:r w:rsidRPr="00B47055">
        <w:rPr>
          <w:rFonts w:asciiTheme="majorHAnsi" w:hAnsiTheme="majorHAnsi"/>
          <w:b/>
          <w:bCs/>
        </w:rPr>
        <w:lastRenderedPageBreak/>
        <w:t>Efforts to Identify Duplication and Use of Similar Information</w:t>
      </w:r>
    </w:p>
    <w:p w:rsidR="00E33E1B" w:rsidRDefault="000C5FC2" w:rsidP="00F25892">
      <w:pPr>
        <w:pStyle w:val="ListParagraph"/>
        <w:spacing w:after="0"/>
        <w:ind w:left="0"/>
        <w:rPr>
          <w:rFonts w:asciiTheme="majorHAnsi" w:hAnsiTheme="majorHAnsi"/>
        </w:rPr>
      </w:pPr>
      <w:r w:rsidRPr="000C5FC2">
        <w:rPr>
          <w:rFonts w:asciiTheme="majorHAnsi" w:hAnsiTheme="majorHAnsi"/>
        </w:rPr>
        <w:t>The information be</w:t>
      </w:r>
      <w:r w:rsidR="00693D87">
        <w:rPr>
          <w:rFonts w:asciiTheme="majorHAnsi" w:hAnsiTheme="majorHAnsi"/>
        </w:rPr>
        <w:t>ing collected is specific to</w:t>
      </w:r>
      <w:r w:rsidRPr="000C5FC2">
        <w:rPr>
          <w:rFonts w:asciiTheme="majorHAnsi" w:hAnsiTheme="majorHAnsi"/>
        </w:rPr>
        <w:t xml:space="preserve"> CDC MDDR</w:t>
      </w:r>
      <w:r w:rsidR="00693D87">
        <w:rPr>
          <w:rFonts w:asciiTheme="majorHAnsi" w:hAnsiTheme="majorHAnsi"/>
        </w:rPr>
        <w:t xml:space="preserve"> testing s</w:t>
      </w:r>
      <w:r w:rsidRPr="000C5FC2">
        <w:rPr>
          <w:rFonts w:asciiTheme="majorHAnsi" w:hAnsiTheme="majorHAnsi"/>
        </w:rPr>
        <w:t xml:space="preserve">ervice.  Since this service is new and unique, there are no other data collection systems available for evaluation of this service. </w:t>
      </w:r>
      <w:r w:rsidR="0009493C">
        <w:rPr>
          <w:rFonts w:asciiTheme="majorHAnsi" w:hAnsiTheme="majorHAnsi"/>
        </w:rPr>
        <w:t xml:space="preserve"> An </w:t>
      </w:r>
      <w:r w:rsidR="004B4B3C">
        <w:rPr>
          <w:rFonts w:asciiTheme="majorHAnsi" w:hAnsiTheme="majorHAnsi"/>
        </w:rPr>
        <w:t xml:space="preserve">assessment </w:t>
      </w:r>
      <w:r w:rsidR="0009493C">
        <w:rPr>
          <w:rFonts w:asciiTheme="majorHAnsi" w:hAnsiTheme="majorHAnsi"/>
        </w:rPr>
        <w:t>of the service from a laboratory perspective (i.e. soliciting information from public health laboratory directors) was completed in January, 2012</w:t>
      </w:r>
      <w:r w:rsidR="00203AE4">
        <w:rPr>
          <w:rFonts w:asciiTheme="majorHAnsi" w:hAnsiTheme="majorHAnsi"/>
        </w:rPr>
        <w:t>, under the OSTLTS Gen-IC mechanism,</w:t>
      </w:r>
      <w:r w:rsidR="0009493C">
        <w:rPr>
          <w:rFonts w:asciiTheme="majorHAnsi" w:hAnsiTheme="majorHAnsi"/>
        </w:rPr>
        <w:t xml:space="preserve"> but no </w:t>
      </w:r>
      <w:r w:rsidR="00162D59">
        <w:rPr>
          <w:rFonts w:asciiTheme="majorHAnsi" w:hAnsiTheme="majorHAnsi"/>
        </w:rPr>
        <w:t>assessment</w:t>
      </w:r>
      <w:r w:rsidR="0009493C">
        <w:rPr>
          <w:rFonts w:asciiTheme="majorHAnsi" w:hAnsiTheme="majorHAnsi"/>
        </w:rPr>
        <w:t xml:space="preserve"> measuring the impact on TB control programs (i.e. soliciting information from TB Controllers) has been done.  </w:t>
      </w:r>
      <w:r w:rsidRPr="000C5FC2">
        <w:rPr>
          <w:rFonts w:asciiTheme="majorHAnsi" w:hAnsiTheme="majorHAnsi"/>
        </w:rPr>
        <w:t>In addition, a r</w:t>
      </w:r>
      <w:r w:rsidR="00B838B7">
        <w:rPr>
          <w:rFonts w:asciiTheme="majorHAnsi" w:hAnsiTheme="majorHAnsi"/>
        </w:rPr>
        <w:t>eview of the literature</w:t>
      </w:r>
      <w:r>
        <w:rPr>
          <w:rFonts w:asciiTheme="majorHAnsi" w:hAnsiTheme="majorHAnsi"/>
        </w:rPr>
        <w:t xml:space="preserve"> </w:t>
      </w:r>
      <w:r w:rsidRPr="000C5FC2">
        <w:rPr>
          <w:rFonts w:asciiTheme="majorHAnsi" w:hAnsiTheme="majorHAnsi"/>
        </w:rPr>
        <w:t>reveal</w:t>
      </w:r>
      <w:r w:rsidR="00B838B7">
        <w:rPr>
          <w:rFonts w:asciiTheme="majorHAnsi" w:hAnsiTheme="majorHAnsi"/>
        </w:rPr>
        <w:t>s</w:t>
      </w:r>
      <w:r>
        <w:rPr>
          <w:rFonts w:asciiTheme="majorHAnsi" w:hAnsiTheme="majorHAnsi"/>
        </w:rPr>
        <w:t xml:space="preserve"> </w:t>
      </w:r>
      <w:r w:rsidRPr="000C5FC2">
        <w:rPr>
          <w:rFonts w:asciiTheme="majorHAnsi" w:hAnsiTheme="majorHAnsi"/>
        </w:rPr>
        <w:t>few qual</w:t>
      </w:r>
      <w:r w:rsidR="009D1D9C">
        <w:rPr>
          <w:rFonts w:asciiTheme="majorHAnsi" w:hAnsiTheme="majorHAnsi"/>
        </w:rPr>
        <w:t>itative evaluations or outcomes</w:t>
      </w:r>
      <w:r w:rsidRPr="000C5FC2">
        <w:rPr>
          <w:rFonts w:asciiTheme="majorHAnsi" w:hAnsiTheme="majorHAnsi"/>
        </w:rPr>
        <w:t xml:space="preserve"> (i.e. </w:t>
      </w:r>
      <w:r w:rsidR="009D1D9C">
        <w:rPr>
          <w:rFonts w:asciiTheme="majorHAnsi" w:hAnsiTheme="majorHAnsi"/>
        </w:rPr>
        <w:t>assessments</w:t>
      </w:r>
      <w:r w:rsidRPr="000C5FC2">
        <w:rPr>
          <w:rFonts w:asciiTheme="majorHAnsi" w:hAnsiTheme="majorHAnsi"/>
        </w:rPr>
        <w:t xml:space="preserve"> that describe the impact on a TB Control Program or the clinical impact) of molecular diagnostic services for drug resistanc</w:t>
      </w:r>
      <w:r>
        <w:rPr>
          <w:rFonts w:asciiTheme="majorHAnsi" w:hAnsiTheme="majorHAnsi"/>
        </w:rPr>
        <w:t>e detection.</w:t>
      </w:r>
    </w:p>
    <w:p w:rsidR="000C5FC2" w:rsidRDefault="000C5FC2" w:rsidP="009D1D9C">
      <w:pPr>
        <w:pStyle w:val="ListParagraph"/>
        <w:spacing w:after="0"/>
        <w:ind w:left="0"/>
        <w:rPr>
          <w:rFonts w:asciiTheme="majorHAnsi" w:hAnsiTheme="majorHAnsi"/>
        </w:rPr>
      </w:pPr>
    </w:p>
    <w:p w:rsidR="00B12F51" w:rsidRPr="00B47055" w:rsidRDefault="00B47055" w:rsidP="009D1D9C">
      <w:pPr>
        <w:pStyle w:val="ListParagraph"/>
        <w:numPr>
          <w:ilvl w:val="0"/>
          <w:numId w:val="2"/>
        </w:numPr>
        <w:spacing w:after="0"/>
        <w:ind w:left="-270" w:firstLine="0"/>
        <w:rPr>
          <w:rFonts w:asciiTheme="majorHAnsi" w:hAnsiTheme="majorHAnsi"/>
          <w:b/>
        </w:rPr>
      </w:pPr>
      <w:r w:rsidRPr="00B47055">
        <w:rPr>
          <w:rFonts w:asciiTheme="majorHAnsi" w:hAnsiTheme="majorHAnsi"/>
          <w:b/>
          <w:bCs/>
        </w:rPr>
        <w:t>Impact on Small Businesses or Other Small Entities</w:t>
      </w:r>
    </w:p>
    <w:p w:rsidR="0053557D" w:rsidRDefault="00D26A64" w:rsidP="009D1D9C">
      <w:pPr>
        <w:pStyle w:val="ListParagraph"/>
        <w:spacing w:after="0"/>
        <w:ind w:left="-27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9D1D9C" w:rsidRPr="00D95FBF" w:rsidRDefault="009D1D9C" w:rsidP="009D1D9C">
      <w:pPr>
        <w:pStyle w:val="ListParagraph"/>
        <w:spacing w:after="0"/>
        <w:ind w:left="0"/>
      </w:pPr>
    </w:p>
    <w:p w:rsidR="00A4590E" w:rsidRDefault="00B47055" w:rsidP="00A4590E">
      <w:pPr>
        <w:pStyle w:val="ListParagraph"/>
        <w:numPr>
          <w:ilvl w:val="0"/>
          <w:numId w:val="2"/>
        </w:numPr>
        <w:spacing w:after="0"/>
        <w:ind w:left="-270" w:firstLine="0"/>
        <w:rPr>
          <w:rFonts w:asciiTheme="majorHAnsi" w:hAnsiTheme="majorHAnsi"/>
          <w:b/>
        </w:rPr>
      </w:pPr>
      <w:r w:rsidRPr="00B47055">
        <w:rPr>
          <w:rFonts w:asciiTheme="majorHAnsi" w:hAnsiTheme="majorHAnsi"/>
          <w:b/>
          <w:bCs/>
        </w:rPr>
        <w:t>Consequences of Collecting the Information Less Frequently</w:t>
      </w:r>
      <w:r w:rsidRPr="00B47055">
        <w:rPr>
          <w:rFonts w:asciiTheme="majorHAnsi" w:hAnsiTheme="majorHAnsi"/>
          <w:b/>
        </w:rPr>
        <w:t xml:space="preserve"> </w:t>
      </w:r>
      <w:r w:rsidR="00D95FBF" w:rsidRPr="00B47055">
        <w:rPr>
          <w:rFonts w:asciiTheme="majorHAnsi" w:hAnsiTheme="majorHAnsi"/>
          <w:b/>
        </w:rPr>
        <w:t xml:space="preserve">   </w:t>
      </w:r>
    </w:p>
    <w:p w:rsidR="00A4590E" w:rsidRPr="00A4590E" w:rsidRDefault="00A4590E" w:rsidP="00A4590E">
      <w:pPr>
        <w:pStyle w:val="ListParagraph"/>
        <w:spacing w:after="0"/>
        <w:ind w:left="-270"/>
        <w:rPr>
          <w:rFonts w:asciiTheme="majorHAnsi" w:hAnsiTheme="majorHAnsi"/>
          <w:b/>
        </w:rPr>
      </w:pPr>
      <w:r w:rsidRPr="00A4590E">
        <w:rPr>
          <w:rFonts w:asciiTheme="majorHAnsi" w:hAnsiTheme="majorHAnsi"/>
        </w:rPr>
        <w:t>This request is for a one time data collection.  There are no legal obstacles to reduce the burden.</w:t>
      </w:r>
    </w:p>
    <w:p w:rsidR="00B838B7" w:rsidRPr="00B838B7" w:rsidRDefault="00B838B7" w:rsidP="00162D59">
      <w:pPr>
        <w:pStyle w:val="ListParagraph"/>
        <w:spacing w:after="0"/>
        <w:ind w:left="-270"/>
        <w:rPr>
          <w:rFonts w:asciiTheme="majorHAnsi" w:hAnsiTheme="majorHAnsi"/>
        </w:rPr>
      </w:pPr>
      <w:r w:rsidRPr="00B838B7">
        <w:rPr>
          <w:rFonts w:asciiTheme="majorHAnsi" w:hAnsiTheme="majorHAnsi"/>
        </w:rPr>
        <w:t>The consequences for not collec</w:t>
      </w:r>
      <w:r w:rsidR="00162D59">
        <w:rPr>
          <w:rFonts w:asciiTheme="majorHAnsi" w:hAnsiTheme="majorHAnsi"/>
        </w:rPr>
        <w:t>ting this information would be:</w:t>
      </w:r>
    </w:p>
    <w:p w:rsidR="009144C7" w:rsidRDefault="00B838B7" w:rsidP="00847F13">
      <w:pPr>
        <w:pStyle w:val="ListParagraph"/>
        <w:numPr>
          <w:ilvl w:val="0"/>
          <w:numId w:val="25"/>
        </w:numPr>
        <w:spacing w:after="0"/>
        <w:ind w:left="360"/>
        <w:rPr>
          <w:rFonts w:asciiTheme="majorHAnsi" w:hAnsiTheme="majorHAnsi"/>
        </w:rPr>
      </w:pPr>
      <w:r w:rsidRPr="00B838B7">
        <w:rPr>
          <w:rFonts w:asciiTheme="majorHAnsi" w:hAnsiTheme="majorHAnsi"/>
        </w:rPr>
        <w:t xml:space="preserve">Failure to improve reporting of MDDR test results by not identifying whether  results from the MDDR </w:t>
      </w:r>
      <w:r w:rsidR="00693D87">
        <w:rPr>
          <w:rFonts w:asciiTheme="majorHAnsi" w:hAnsiTheme="majorHAnsi"/>
        </w:rPr>
        <w:t>s</w:t>
      </w:r>
      <w:r w:rsidRPr="00B838B7">
        <w:rPr>
          <w:rFonts w:asciiTheme="majorHAnsi" w:hAnsiTheme="majorHAnsi"/>
        </w:rPr>
        <w:t xml:space="preserve">ervice are being interpreted correctly </w:t>
      </w:r>
      <w:r w:rsidR="009144C7">
        <w:rPr>
          <w:rFonts w:asciiTheme="majorHAnsi" w:hAnsiTheme="majorHAnsi"/>
        </w:rPr>
        <w:t>by TB Controllers.</w:t>
      </w:r>
    </w:p>
    <w:p w:rsidR="009C1463" w:rsidRDefault="0072674E" w:rsidP="00847F13">
      <w:pPr>
        <w:pStyle w:val="ListParagraph"/>
        <w:numPr>
          <w:ilvl w:val="0"/>
          <w:numId w:val="25"/>
        </w:numPr>
        <w:spacing w:after="0"/>
        <w:ind w:left="360"/>
        <w:rPr>
          <w:rFonts w:asciiTheme="majorHAnsi" w:hAnsiTheme="majorHAnsi"/>
        </w:rPr>
      </w:pPr>
      <w:r>
        <w:rPr>
          <w:rFonts w:asciiTheme="majorHAnsi" w:hAnsiTheme="majorHAnsi"/>
        </w:rPr>
        <w:t xml:space="preserve">Failure to assess </w:t>
      </w:r>
      <w:r w:rsidR="009C1463">
        <w:rPr>
          <w:rFonts w:asciiTheme="majorHAnsi" w:hAnsiTheme="majorHAnsi"/>
        </w:rPr>
        <w:t>the impact of MDDR test results on TB Control Programs.</w:t>
      </w:r>
    </w:p>
    <w:p w:rsidR="00162D59" w:rsidRDefault="00B838B7" w:rsidP="00162D59">
      <w:pPr>
        <w:pStyle w:val="ListParagraph"/>
        <w:numPr>
          <w:ilvl w:val="0"/>
          <w:numId w:val="25"/>
        </w:numPr>
        <w:spacing w:after="0"/>
        <w:ind w:left="360"/>
        <w:rPr>
          <w:rFonts w:asciiTheme="majorHAnsi" w:hAnsiTheme="majorHAnsi"/>
        </w:rPr>
      </w:pPr>
      <w:r w:rsidRPr="00B838B7">
        <w:rPr>
          <w:rFonts w:asciiTheme="majorHAnsi" w:hAnsiTheme="majorHAnsi"/>
        </w:rPr>
        <w:t xml:space="preserve">Negative patient outcomes if </w:t>
      </w:r>
      <w:r w:rsidR="009144C7">
        <w:rPr>
          <w:rFonts w:asciiTheme="majorHAnsi" w:hAnsiTheme="majorHAnsi"/>
        </w:rPr>
        <w:t xml:space="preserve">TB Controllers </w:t>
      </w:r>
      <w:r w:rsidRPr="00B838B7">
        <w:rPr>
          <w:rFonts w:asciiTheme="majorHAnsi" w:hAnsiTheme="majorHAnsi"/>
        </w:rPr>
        <w:t>do not accurately report results to health care providers</w:t>
      </w:r>
      <w:r w:rsidR="009C1463">
        <w:rPr>
          <w:rFonts w:asciiTheme="majorHAnsi" w:hAnsiTheme="majorHAnsi"/>
        </w:rPr>
        <w:t>, such as:</w:t>
      </w:r>
    </w:p>
    <w:p w:rsidR="009C1463" w:rsidRPr="00162D59" w:rsidRDefault="009C1463" w:rsidP="00162D59">
      <w:pPr>
        <w:pStyle w:val="ListParagraph"/>
        <w:numPr>
          <w:ilvl w:val="0"/>
          <w:numId w:val="25"/>
        </w:numPr>
        <w:spacing w:after="0"/>
        <w:rPr>
          <w:rFonts w:asciiTheme="majorHAnsi" w:hAnsiTheme="majorHAnsi"/>
        </w:rPr>
      </w:pPr>
      <w:r w:rsidRPr="00162D59">
        <w:rPr>
          <w:rFonts w:ascii="Times New Roman" w:hAnsi="Times New Roman" w:cs="Times New Roman"/>
          <w:sz w:val="24"/>
          <w:szCs w:val="24"/>
        </w:rPr>
        <w:t>Exposure to inadequate treatment, selecting for amplified drug resistance, thus making treatment even more difficult and more costly</w:t>
      </w:r>
      <w:r w:rsidR="00A4590E">
        <w:rPr>
          <w:rFonts w:ascii="Times New Roman" w:hAnsi="Times New Roman" w:cs="Times New Roman"/>
          <w:sz w:val="24"/>
          <w:szCs w:val="24"/>
        </w:rPr>
        <w:t>.</w:t>
      </w:r>
    </w:p>
    <w:p w:rsidR="009C1463" w:rsidRPr="009C1463" w:rsidRDefault="009C1463" w:rsidP="00162D59">
      <w:pPr>
        <w:pStyle w:val="ListParagraph"/>
        <w:numPr>
          <w:ilvl w:val="0"/>
          <w:numId w:val="25"/>
        </w:numPr>
        <w:spacing w:after="0"/>
        <w:rPr>
          <w:rFonts w:asciiTheme="majorHAnsi" w:hAnsiTheme="majorHAnsi"/>
        </w:rPr>
      </w:pPr>
      <w:r>
        <w:rPr>
          <w:rFonts w:ascii="Times New Roman" w:hAnsi="Times New Roman" w:cs="Times New Roman"/>
          <w:sz w:val="24"/>
          <w:szCs w:val="24"/>
        </w:rPr>
        <w:t>F</w:t>
      </w:r>
      <w:r w:rsidRPr="00C1534D">
        <w:rPr>
          <w:rFonts w:ascii="Times New Roman" w:hAnsi="Times New Roman" w:cs="Times New Roman"/>
          <w:sz w:val="24"/>
          <w:szCs w:val="24"/>
        </w:rPr>
        <w:t>urthering the spread of drug</w:t>
      </w:r>
      <w:r>
        <w:rPr>
          <w:rFonts w:ascii="Times New Roman" w:hAnsi="Times New Roman" w:cs="Times New Roman"/>
          <w:sz w:val="24"/>
          <w:szCs w:val="24"/>
        </w:rPr>
        <w:t xml:space="preserve"> resistance TB in the community</w:t>
      </w:r>
      <w:r w:rsidR="00A4590E">
        <w:rPr>
          <w:rFonts w:ascii="Times New Roman" w:hAnsi="Times New Roman" w:cs="Times New Roman"/>
          <w:sz w:val="24"/>
          <w:szCs w:val="24"/>
        </w:rPr>
        <w:t>.</w:t>
      </w:r>
      <w:r w:rsidRPr="00C1534D">
        <w:rPr>
          <w:rFonts w:ascii="Times New Roman" w:hAnsi="Times New Roman" w:cs="Times New Roman"/>
          <w:sz w:val="24"/>
          <w:szCs w:val="24"/>
        </w:rPr>
        <w:t xml:space="preserve"> </w:t>
      </w:r>
    </w:p>
    <w:p w:rsidR="00B838B7" w:rsidRPr="00A4590E" w:rsidRDefault="009C1463" w:rsidP="00A4590E">
      <w:pPr>
        <w:pStyle w:val="ListParagraph"/>
        <w:numPr>
          <w:ilvl w:val="0"/>
          <w:numId w:val="25"/>
        </w:numPr>
        <w:spacing w:after="0"/>
        <w:rPr>
          <w:rFonts w:asciiTheme="majorHAnsi" w:hAnsiTheme="majorHAnsi"/>
        </w:rPr>
      </w:pPr>
      <w:r>
        <w:rPr>
          <w:rFonts w:ascii="Times New Roman" w:hAnsi="Times New Roman" w:cs="Times New Roman"/>
          <w:sz w:val="24"/>
          <w:szCs w:val="24"/>
        </w:rPr>
        <w:t>Deterioration of patient’s health, thus</w:t>
      </w:r>
      <w:r w:rsidRPr="00C1534D">
        <w:rPr>
          <w:rFonts w:ascii="Times New Roman" w:hAnsi="Times New Roman" w:cs="Times New Roman"/>
          <w:sz w:val="24"/>
          <w:szCs w:val="24"/>
        </w:rPr>
        <w:t xml:space="preserve"> nar</w:t>
      </w:r>
      <w:r>
        <w:rPr>
          <w:rFonts w:ascii="Times New Roman" w:hAnsi="Times New Roman" w:cs="Times New Roman"/>
          <w:sz w:val="24"/>
          <w:szCs w:val="24"/>
        </w:rPr>
        <w:t>rowing the window for effective</w:t>
      </w:r>
      <w:r w:rsidRPr="00C1534D">
        <w:rPr>
          <w:rFonts w:ascii="Times New Roman" w:hAnsi="Times New Roman" w:cs="Times New Roman"/>
          <w:sz w:val="24"/>
          <w:szCs w:val="24"/>
        </w:rPr>
        <w:t xml:space="preserve"> treatment, especially in</w:t>
      </w:r>
      <w:r>
        <w:rPr>
          <w:rFonts w:ascii="Times New Roman" w:hAnsi="Times New Roman" w:cs="Times New Roman"/>
          <w:sz w:val="24"/>
          <w:szCs w:val="24"/>
        </w:rPr>
        <w:t xml:space="preserve"> patients infected with HIV</w:t>
      </w:r>
      <w:r w:rsidR="00A4590E">
        <w:rPr>
          <w:rFonts w:ascii="Times New Roman" w:hAnsi="Times New Roman" w:cs="Times New Roman"/>
          <w:sz w:val="24"/>
          <w:szCs w:val="24"/>
        </w:rPr>
        <w:t>.</w:t>
      </w:r>
    </w:p>
    <w:p w:rsidR="00A4590E" w:rsidRPr="00C768E5" w:rsidRDefault="00A4590E" w:rsidP="009D1D9C">
      <w:pPr>
        <w:spacing w:after="0"/>
        <w:rPr>
          <w:rFonts w:asciiTheme="majorHAnsi" w:hAnsiTheme="majorHAnsi"/>
        </w:rPr>
      </w:pPr>
    </w:p>
    <w:p w:rsidR="00B12F51" w:rsidRPr="00B47055" w:rsidRDefault="00B47055" w:rsidP="00847F13">
      <w:pPr>
        <w:pStyle w:val="ListParagraph"/>
        <w:numPr>
          <w:ilvl w:val="0"/>
          <w:numId w:val="2"/>
        </w:numPr>
        <w:tabs>
          <w:tab w:val="left" w:pos="180"/>
          <w:tab w:val="left" w:pos="360"/>
        </w:tabs>
        <w:spacing w:after="0"/>
        <w:ind w:left="-90" w:firstLine="0"/>
        <w:rPr>
          <w:rFonts w:asciiTheme="majorHAnsi" w:hAnsiTheme="majorHAnsi"/>
          <w:b/>
        </w:rPr>
      </w:pPr>
      <w:r w:rsidRPr="00B47055">
        <w:rPr>
          <w:rFonts w:asciiTheme="majorHAnsi" w:hAnsiTheme="majorHAnsi"/>
          <w:b/>
          <w:bCs/>
        </w:rPr>
        <w:t>Special Circumstances Relating to the Guidelines of 5 CFR 1320.5</w:t>
      </w:r>
    </w:p>
    <w:p w:rsidR="00F52BCC" w:rsidRPr="00A4590E" w:rsidRDefault="00A809AA" w:rsidP="00A4590E">
      <w:pPr>
        <w:pStyle w:val="ListParagraph"/>
        <w:spacing w:after="0"/>
        <w:ind w:left="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847F13" w:rsidRDefault="00847F13" w:rsidP="009D1D9C">
      <w:pPr>
        <w:pStyle w:val="ListParagraph"/>
        <w:spacing w:after="0"/>
        <w:rPr>
          <w:rFonts w:asciiTheme="majorHAnsi" w:hAnsiTheme="majorHAnsi"/>
        </w:rPr>
      </w:pPr>
    </w:p>
    <w:p w:rsidR="00B12F51" w:rsidRPr="0088467A" w:rsidRDefault="0088467A" w:rsidP="009D1D9C">
      <w:pPr>
        <w:pStyle w:val="ListParagraph"/>
        <w:numPr>
          <w:ilvl w:val="0"/>
          <w:numId w:val="2"/>
        </w:numPr>
        <w:spacing w:after="0"/>
        <w:rPr>
          <w:rFonts w:asciiTheme="majorHAnsi" w:hAnsiTheme="majorHAnsi"/>
          <w:b/>
          <w:bCs/>
        </w:rPr>
      </w:pPr>
      <w:r w:rsidRPr="0088467A">
        <w:rPr>
          <w:rFonts w:asciiTheme="majorHAnsi" w:hAnsiTheme="majorHAnsi"/>
          <w:b/>
          <w:bCs/>
        </w:rPr>
        <w:t>Comments in Response to the Federal Register Notice and Efforts to Consult Outside the Agency</w:t>
      </w:r>
    </w:p>
    <w:p w:rsidR="00A809AA" w:rsidRPr="00A809AA" w:rsidRDefault="00C768E5" w:rsidP="00847F13">
      <w:pPr>
        <w:pStyle w:val="ListParagraph"/>
        <w:autoSpaceDE w:val="0"/>
        <w:autoSpaceDN w:val="0"/>
        <w:adjustRightInd w:val="0"/>
        <w:ind w:left="0"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BE738E">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47F13">
      <w:pPr>
        <w:pStyle w:val="ListParagraph"/>
        <w:autoSpaceDE w:val="0"/>
        <w:autoSpaceDN w:val="0"/>
        <w:adjustRightInd w:val="0"/>
        <w:ind w:left="0" w:right="720"/>
        <w:rPr>
          <w:rFonts w:asciiTheme="majorHAnsi" w:hAnsiTheme="majorHAnsi"/>
        </w:rPr>
      </w:pPr>
    </w:p>
    <w:p w:rsidR="00A4590E" w:rsidRDefault="00A4590E" w:rsidP="00847F13">
      <w:pPr>
        <w:pStyle w:val="ListParagraph"/>
        <w:autoSpaceDE w:val="0"/>
        <w:autoSpaceDN w:val="0"/>
        <w:adjustRightInd w:val="0"/>
        <w:ind w:left="0" w:right="720"/>
        <w:rPr>
          <w:rFonts w:asciiTheme="majorHAnsi" w:hAnsiTheme="majorHAnsi"/>
        </w:rPr>
      </w:pPr>
    </w:p>
    <w:p w:rsidR="00A809AA" w:rsidRPr="00A809AA" w:rsidRDefault="00A809AA" w:rsidP="00847F13">
      <w:pPr>
        <w:pStyle w:val="ListParagraph"/>
        <w:autoSpaceDE w:val="0"/>
        <w:autoSpaceDN w:val="0"/>
        <w:adjustRightInd w:val="0"/>
        <w:ind w:left="0" w:right="720"/>
        <w:rPr>
          <w:rFonts w:asciiTheme="majorHAnsi" w:hAnsiTheme="majorHAnsi"/>
        </w:rPr>
      </w:pPr>
      <w:r w:rsidRPr="00A809AA">
        <w:rPr>
          <w:rFonts w:asciiTheme="majorHAnsi" w:hAnsiTheme="majorHAnsi"/>
        </w:rPr>
        <w:lastRenderedPageBreak/>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9D1D9C">
      <w:pPr>
        <w:pStyle w:val="ListParagraph"/>
        <w:spacing w:after="0"/>
        <w:rPr>
          <w:rFonts w:asciiTheme="majorHAnsi" w:hAnsiTheme="majorHAnsi"/>
        </w:rPr>
      </w:pPr>
    </w:p>
    <w:p w:rsidR="00B12F51" w:rsidRPr="0088467A" w:rsidRDefault="0088467A" w:rsidP="009D1D9C">
      <w:pPr>
        <w:pStyle w:val="ListParagraph"/>
        <w:numPr>
          <w:ilvl w:val="0"/>
          <w:numId w:val="2"/>
        </w:numPr>
        <w:spacing w:after="0"/>
        <w:rPr>
          <w:rFonts w:asciiTheme="majorHAnsi" w:hAnsiTheme="majorHAnsi"/>
          <w:b/>
        </w:rPr>
      </w:pPr>
      <w:r w:rsidRPr="0088467A">
        <w:rPr>
          <w:rFonts w:asciiTheme="majorHAnsi" w:hAnsiTheme="majorHAnsi"/>
          <w:b/>
          <w:bCs/>
        </w:rPr>
        <w:t>Explanation of Any Payment or Gift to Respondents</w:t>
      </w:r>
    </w:p>
    <w:p w:rsidR="00F52BCC" w:rsidRDefault="00A809AA" w:rsidP="00847F13">
      <w:pPr>
        <w:pStyle w:val="ListParagraph"/>
        <w:spacing w:after="0"/>
        <w:ind w:left="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9D1D9C">
      <w:pPr>
        <w:pStyle w:val="ListParagraph"/>
        <w:spacing w:after="0"/>
        <w:rPr>
          <w:rFonts w:asciiTheme="majorHAnsi" w:hAnsiTheme="majorHAnsi"/>
        </w:rPr>
      </w:pPr>
    </w:p>
    <w:p w:rsidR="00B12F51" w:rsidRPr="00D16E78" w:rsidRDefault="0088467A" w:rsidP="009D1D9C">
      <w:pPr>
        <w:pStyle w:val="ListParagraph"/>
        <w:numPr>
          <w:ilvl w:val="0"/>
          <w:numId w:val="2"/>
        </w:numPr>
        <w:spacing w:after="0"/>
        <w:rPr>
          <w:rFonts w:asciiTheme="majorHAnsi" w:hAnsiTheme="majorHAnsi"/>
          <w:b/>
        </w:rPr>
      </w:pPr>
      <w:r>
        <w:rPr>
          <w:rFonts w:asciiTheme="majorHAnsi" w:hAnsiTheme="majorHAnsi"/>
          <w:b/>
        </w:rPr>
        <w:t xml:space="preserve"> </w:t>
      </w:r>
      <w:r w:rsidRPr="0088467A">
        <w:rPr>
          <w:rFonts w:asciiTheme="majorHAnsi" w:hAnsiTheme="majorHAnsi"/>
          <w:b/>
          <w:bCs/>
        </w:rPr>
        <w:t>Assurance of Confidentiality Provided to Respondents</w:t>
      </w:r>
    </w:p>
    <w:p w:rsidR="003C31C9" w:rsidRPr="003C31C9" w:rsidRDefault="003C31C9" w:rsidP="00847F13">
      <w:pPr>
        <w:pStyle w:val="ListParagraph"/>
        <w:autoSpaceDE w:val="0"/>
        <w:autoSpaceDN w:val="0"/>
        <w:adjustRightInd w:val="0"/>
        <w:ind w:left="0"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public health agencies will be speaking from their official roles and will not be asked, nor will they provide individually identifiable information.  This data collection is not research involving human subjects.</w:t>
      </w:r>
    </w:p>
    <w:p w:rsidR="00F52BCC" w:rsidRPr="003C31C9" w:rsidRDefault="00F52BCC" w:rsidP="009D1D9C">
      <w:pPr>
        <w:pStyle w:val="ListParagraph"/>
        <w:spacing w:after="0"/>
        <w:rPr>
          <w:rFonts w:asciiTheme="majorHAnsi" w:hAnsiTheme="majorHAnsi"/>
        </w:rPr>
      </w:pPr>
    </w:p>
    <w:p w:rsidR="00B12F51" w:rsidRPr="0088467A" w:rsidRDefault="0088467A" w:rsidP="009D1D9C">
      <w:pPr>
        <w:pStyle w:val="ListParagraph"/>
        <w:numPr>
          <w:ilvl w:val="0"/>
          <w:numId w:val="2"/>
        </w:numPr>
        <w:spacing w:after="0"/>
        <w:rPr>
          <w:rFonts w:asciiTheme="majorHAnsi" w:hAnsiTheme="majorHAnsi"/>
          <w:b/>
        </w:rPr>
      </w:pPr>
      <w:r w:rsidRPr="0088467A">
        <w:rPr>
          <w:rFonts w:asciiTheme="majorHAnsi" w:hAnsiTheme="majorHAnsi"/>
          <w:b/>
          <w:bCs/>
        </w:rPr>
        <w:t>Justification for Sensitive Questions</w:t>
      </w:r>
    </w:p>
    <w:p w:rsidR="00F52BCC" w:rsidRDefault="003C31C9" w:rsidP="00847F13">
      <w:pPr>
        <w:pStyle w:val="ListParagraph"/>
        <w:spacing w:after="0"/>
        <w:ind w:left="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616090" w:rsidRPr="0088467A" w:rsidRDefault="00616090" w:rsidP="009D1D9C">
      <w:pPr>
        <w:spacing w:after="0"/>
        <w:rPr>
          <w:rFonts w:asciiTheme="majorHAnsi" w:hAnsiTheme="majorHAnsi"/>
        </w:rPr>
      </w:pPr>
    </w:p>
    <w:p w:rsidR="00B64BFA" w:rsidRPr="0088467A" w:rsidRDefault="0088467A" w:rsidP="009D1D9C">
      <w:pPr>
        <w:pStyle w:val="ListParagraph"/>
        <w:numPr>
          <w:ilvl w:val="0"/>
          <w:numId w:val="2"/>
        </w:numPr>
        <w:spacing w:after="0"/>
        <w:rPr>
          <w:rFonts w:asciiTheme="majorHAnsi" w:hAnsiTheme="majorHAnsi"/>
          <w:b/>
        </w:rPr>
      </w:pPr>
      <w:r w:rsidRPr="0088467A">
        <w:rPr>
          <w:rFonts w:asciiTheme="majorHAnsi" w:hAnsiTheme="majorHAnsi"/>
          <w:b/>
          <w:bCs/>
        </w:rPr>
        <w:t>Estimates of Annualized Burden Hours and Costs</w:t>
      </w:r>
    </w:p>
    <w:p w:rsidR="00B64BFA" w:rsidRDefault="00B64BFA" w:rsidP="00847F13">
      <w:pPr>
        <w:pStyle w:val="ListParagraph"/>
        <w:autoSpaceDE w:val="0"/>
        <w:autoSpaceDN w:val="0"/>
        <w:adjustRightInd w:val="0"/>
        <w:ind w:left="0"/>
        <w:rPr>
          <w:rFonts w:asciiTheme="majorHAnsi" w:hAnsiTheme="majorHAnsi"/>
          <w:color w:val="000000"/>
        </w:rPr>
      </w:pPr>
      <w:r>
        <w:rPr>
          <w:rFonts w:asciiTheme="majorHAnsi" w:hAnsiTheme="majorHAnsi"/>
          <w:color w:val="000000"/>
        </w:rPr>
        <w:t xml:space="preserve">The estimate for burden hours is based on a pilot test of the instrument by </w:t>
      </w:r>
      <w:r w:rsidR="00A4305C" w:rsidRPr="00847F13">
        <w:rPr>
          <w:rFonts w:asciiTheme="majorHAnsi" w:hAnsiTheme="majorHAnsi"/>
        </w:rPr>
        <w:t>3</w:t>
      </w:r>
      <w:r w:rsidR="00A4305C">
        <w:rPr>
          <w:rFonts w:asciiTheme="majorHAnsi" w:hAnsiTheme="majorHAnsi"/>
        </w:rPr>
        <w:t xml:space="preserve"> </w:t>
      </w:r>
      <w:r w:rsidR="00C768E5">
        <w:rPr>
          <w:rFonts w:asciiTheme="majorHAnsi" w:hAnsiTheme="majorHAnsi"/>
        </w:rPr>
        <w:t>of</w:t>
      </w:r>
      <w:r w:rsidR="00C768E5" w:rsidRPr="00FE6A5C">
        <w:rPr>
          <w:rFonts w:asciiTheme="majorHAnsi" w:hAnsiTheme="majorHAnsi"/>
        </w:rPr>
        <w:t xml:space="preserve"> public</w:t>
      </w:r>
      <w:r w:rsidRPr="00FE6A5C">
        <w:rPr>
          <w:rFonts w:asciiTheme="majorHAnsi" w:hAnsiTheme="majorHAnsi"/>
        </w:rPr>
        <w:t xml:space="preserve"> health professionals</w:t>
      </w:r>
      <w:r w:rsidRPr="00CF5ABD">
        <w:rPr>
          <w:rFonts w:asciiTheme="majorHAnsi" w:hAnsiTheme="majorHAnsi"/>
        </w:rPr>
        <w:t>.</w:t>
      </w:r>
      <w:r>
        <w:rPr>
          <w:rFonts w:asciiTheme="majorHAnsi" w:hAnsiTheme="majorHAnsi"/>
        </w:rPr>
        <w:t xml:space="preserve"> In the pilot test, the average time to complete including time for reviewing instructions, gathering needed information and completing the </w:t>
      </w:r>
      <w:r w:rsidR="001A2972">
        <w:rPr>
          <w:rFonts w:asciiTheme="majorHAnsi" w:hAnsiTheme="majorHAnsi"/>
        </w:rPr>
        <w:t>assessment</w:t>
      </w:r>
      <w:r>
        <w:rPr>
          <w:rFonts w:asciiTheme="majorHAnsi" w:hAnsiTheme="majorHAnsi"/>
        </w:rPr>
        <w:t xml:space="preserve">, was approximately </w:t>
      </w:r>
      <w:r w:rsidR="00342A61">
        <w:rPr>
          <w:rFonts w:asciiTheme="majorHAnsi" w:hAnsiTheme="majorHAnsi"/>
        </w:rPr>
        <w:t>10</w:t>
      </w:r>
      <w:r w:rsidR="00A4305C">
        <w:rPr>
          <w:rFonts w:asciiTheme="majorHAnsi" w:hAnsiTheme="majorHAnsi"/>
        </w:rPr>
        <w:t xml:space="preserve"> </w:t>
      </w:r>
      <w:r>
        <w:rPr>
          <w:rFonts w:asciiTheme="majorHAnsi" w:hAnsiTheme="majorHAnsi"/>
        </w:rPr>
        <w:t xml:space="preserve">minutes. Based on these results, the estimated time range for actual respondents to complete </w:t>
      </w:r>
      <w:proofErr w:type="gramStart"/>
      <w:r>
        <w:rPr>
          <w:rFonts w:asciiTheme="majorHAnsi" w:hAnsiTheme="majorHAnsi"/>
        </w:rPr>
        <w:t>the is</w:t>
      </w:r>
      <w:proofErr w:type="gramEnd"/>
      <w:r>
        <w:rPr>
          <w:rFonts w:asciiTheme="majorHAnsi" w:hAnsiTheme="majorHAnsi"/>
        </w:rPr>
        <w:t xml:space="preserve"> </w:t>
      </w:r>
      <w:r w:rsidR="0072674E">
        <w:rPr>
          <w:rFonts w:asciiTheme="majorHAnsi" w:hAnsiTheme="majorHAnsi"/>
        </w:rPr>
        <w:t>10-15</w:t>
      </w:r>
      <w:r w:rsidRPr="00342A61">
        <w:rPr>
          <w:rFonts w:asciiTheme="majorHAnsi" w:hAnsiTheme="majorHAnsi"/>
        </w:rPr>
        <w:t xml:space="preserve"> </w:t>
      </w:r>
      <w:r>
        <w:rPr>
          <w:rFonts w:asciiTheme="majorHAnsi" w:hAnsiTheme="majorHAnsi"/>
        </w:rPr>
        <w:t xml:space="preserve">minutes. For the purposes of estimating burden hours, the upper limit of this range (i.e., </w:t>
      </w:r>
      <w:r w:rsidR="0072674E">
        <w:rPr>
          <w:rFonts w:asciiTheme="majorHAnsi" w:hAnsiTheme="majorHAnsi"/>
        </w:rPr>
        <w:t>15</w:t>
      </w:r>
      <w:r w:rsidR="00A4305C">
        <w:rPr>
          <w:rFonts w:asciiTheme="majorHAnsi" w:hAnsiTheme="majorHAnsi"/>
        </w:rPr>
        <w:t xml:space="preserve"> </w:t>
      </w:r>
      <w:r>
        <w:rPr>
          <w:rFonts w:asciiTheme="majorHAnsi" w:hAnsiTheme="majorHAnsi"/>
        </w:rPr>
        <w:t>minutes) is used.</w:t>
      </w:r>
    </w:p>
    <w:p w:rsidR="00A4590E" w:rsidRPr="00A4590E" w:rsidRDefault="00B64BFA" w:rsidP="00A4590E">
      <w:pPr>
        <w:autoSpaceDE w:val="0"/>
        <w:autoSpaceDN w:val="0"/>
        <w:adjustRightInd w:val="0"/>
        <w:rPr>
          <w:rFonts w:asciiTheme="majorHAnsi" w:hAnsiTheme="majorHAnsi"/>
          <w:color w:val="000000"/>
        </w:rPr>
      </w:pPr>
      <w:r w:rsidRPr="00847F13">
        <w:rPr>
          <w:rFonts w:asciiTheme="majorHAnsi" w:hAnsiTheme="majorHAnsi"/>
          <w:color w:val="000000"/>
        </w:rPr>
        <w:t>Estimates for the average hourly wage for respondents are based on the Department of Labor (DOL) National Compensation Survey estimate for management occupations – medical and health services managers in state government (</w:t>
      </w:r>
      <w:hyperlink r:id="rId9" w:history="1">
        <w:r w:rsidRPr="00847F13">
          <w:rPr>
            <w:rStyle w:val="Hyperlink"/>
            <w:rFonts w:asciiTheme="majorHAnsi" w:hAnsiTheme="majorHAnsi"/>
          </w:rPr>
          <w:t>http://www.bls.gov/ncs/ocs/sp/nctb1349.pdf</w:t>
        </w:r>
      </w:hyperlink>
      <w:r w:rsidRPr="00847F13">
        <w:rPr>
          <w:rFonts w:asciiTheme="majorHAnsi" w:hAnsiTheme="majorHAnsi"/>
          <w:color w:val="000000"/>
        </w:rPr>
        <w:t xml:space="preserve">). </w:t>
      </w:r>
      <w:r w:rsidR="00C544A4" w:rsidRPr="00847F13">
        <w:rPr>
          <w:rFonts w:asciiTheme="majorHAnsi" w:hAnsiTheme="majorHAnsi"/>
          <w:color w:val="000000"/>
        </w:rPr>
        <w:t>Based on DOL data, a</w:t>
      </w:r>
      <w:r w:rsidRPr="00847F13">
        <w:rPr>
          <w:rFonts w:asciiTheme="majorHAnsi" w:hAnsiTheme="majorHAnsi"/>
          <w:color w:val="000000"/>
        </w:rPr>
        <w:t>n average hourly wage of $</w:t>
      </w:r>
      <w:r w:rsidR="00BF5726" w:rsidRPr="00847F13">
        <w:rPr>
          <w:rFonts w:asciiTheme="majorHAnsi" w:hAnsiTheme="majorHAnsi"/>
          <w:color w:val="000000"/>
        </w:rPr>
        <w:t>57</w:t>
      </w:r>
      <w:r w:rsidR="006B114F">
        <w:rPr>
          <w:rFonts w:asciiTheme="majorHAnsi" w:hAnsiTheme="majorHAnsi"/>
          <w:color w:val="000000"/>
        </w:rPr>
        <w:t>.11 is estimated for all 60</w:t>
      </w:r>
      <w:r w:rsidR="00BF5726" w:rsidRPr="00847F13">
        <w:rPr>
          <w:rFonts w:asciiTheme="majorHAnsi" w:hAnsiTheme="majorHAnsi"/>
          <w:color w:val="000000"/>
        </w:rPr>
        <w:t xml:space="preserve"> </w:t>
      </w:r>
      <w:r w:rsidRPr="00847F13">
        <w:rPr>
          <w:rFonts w:asciiTheme="majorHAnsi" w:hAnsiTheme="majorHAnsi"/>
          <w:color w:val="000000"/>
        </w:rPr>
        <w:t xml:space="preserve">respondents. </w:t>
      </w:r>
      <w:r w:rsidR="00A578C2" w:rsidRPr="00847F13">
        <w:rPr>
          <w:rFonts w:asciiTheme="majorHAnsi" w:hAnsiTheme="majorHAnsi"/>
          <w:color w:val="000000"/>
        </w:rPr>
        <w:t>Table A-12 shows estimated burden and cost information.</w:t>
      </w: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E134F4" w:rsidRPr="006F6856" w:rsidRDefault="00847F13" w:rsidP="000130B4">
            <w:pPr>
              <w:rPr>
                <w:rFonts w:asciiTheme="majorHAnsi" w:hAnsiTheme="majorHAnsi"/>
                <w:sz w:val="20"/>
              </w:rPr>
            </w:pPr>
            <w:r>
              <w:rPr>
                <w:rFonts w:asciiTheme="majorHAnsi" w:hAnsiTheme="majorHAnsi"/>
                <w:sz w:val="20"/>
              </w:rPr>
              <w:t xml:space="preserve">State and Local </w:t>
            </w:r>
            <w:r w:rsidR="00CC63A1">
              <w:rPr>
                <w:rFonts w:asciiTheme="majorHAnsi" w:hAnsiTheme="majorHAnsi"/>
                <w:sz w:val="20"/>
              </w:rPr>
              <w:t>TB Controller</w:t>
            </w:r>
            <w:r w:rsidR="00BF5726">
              <w:rPr>
                <w:rFonts w:asciiTheme="majorHAnsi" w:hAnsiTheme="majorHAnsi"/>
                <w:sz w:val="20"/>
              </w:rPr>
              <w:t>s</w:t>
            </w:r>
          </w:p>
        </w:tc>
        <w:tc>
          <w:tcPr>
            <w:tcW w:w="1440" w:type="dxa"/>
            <w:tcBorders>
              <w:top w:val="single" w:sz="12" w:space="0" w:color="000000"/>
            </w:tcBorders>
            <w:vAlign w:val="center"/>
          </w:tcPr>
          <w:p w:rsidR="000A1F30" w:rsidRPr="006F6856" w:rsidRDefault="006B114F" w:rsidP="000130B4">
            <w:pPr>
              <w:jc w:val="center"/>
              <w:rPr>
                <w:rFonts w:asciiTheme="majorHAnsi" w:hAnsiTheme="majorHAnsi"/>
                <w:sz w:val="20"/>
              </w:rPr>
            </w:pPr>
            <w:r>
              <w:rPr>
                <w:rFonts w:asciiTheme="majorHAnsi" w:hAnsiTheme="majorHAnsi"/>
                <w:sz w:val="20"/>
              </w:rPr>
              <w:t>60</w:t>
            </w:r>
            <w:r w:rsidR="00CA5B99">
              <w:rPr>
                <w:rFonts w:asciiTheme="majorHAnsi" w:hAnsiTheme="majorHAnsi"/>
                <w:sz w:val="20"/>
              </w:rPr>
              <w:t xml:space="preserve"> </w:t>
            </w:r>
          </w:p>
        </w:tc>
        <w:tc>
          <w:tcPr>
            <w:tcW w:w="1800" w:type="dxa"/>
            <w:tcBorders>
              <w:top w:val="single" w:sz="12" w:space="0" w:color="000000"/>
            </w:tcBorders>
            <w:vAlign w:val="center"/>
          </w:tcPr>
          <w:p w:rsidR="000A1F30" w:rsidRPr="006F6856" w:rsidRDefault="00CC63A1"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Pr="00817941" w:rsidRDefault="0072674E" w:rsidP="000130B4">
            <w:pPr>
              <w:jc w:val="center"/>
              <w:rPr>
                <w:rFonts w:asciiTheme="majorHAnsi" w:hAnsiTheme="majorHAnsi"/>
                <w:sz w:val="20"/>
              </w:rPr>
            </w:pPr>
            <w:r>
              <w:rPr>
                <w:rFonts w:asciiTheme="majorHAnsi" w:hAnsiTheme="majorHAnsi"/>
                <w:sz w:val="20"/>
              </w:rPr>
              <w:t>15</w:t>
            </w:r>
            <w:r w:rsidR="007B305A">
              <w:rPr>
                <w:rFonts w:asciiTheme="majorHAnsi" w:hAnsiTheme="majorHAnsi"/>
                <w:sz w:val="20"/>
              </w:rPr>
              <w:t>/</w:t>
            </w:r>
            <w:r w:rsidR="00817941" w:rsidRPr="00817941">
              <w:rPr>
                <w:rFonts w:asciiTheme="majorHAnsi" w:hAnsiTheme="majorHAnsi"/>
                <w:sz w:val="20"/>
              </w:rPr>
              <w:t>60</w:t>
            </w:r>
            <w:r w:rsidR="00CA5B99">
              <w:rPr>
                <w:rFonts w:asciiTheme="majorHAnsi" w:hAnsiTheme="majorHAnsi"/>
                <w:sz w:val="20"/>
              </w:rPr>
              <w:t xml:space="preserve"> </w:t>
            </w:r>
          </w:p>
        </w:tc>
        <w:tc>
          <w:tcPr>
            <w:tcW w:w="1080" w:type="dxa"/>
            <w:tcBorders>
              <w:top w:val="single" w:sz="12" w:space="0" w:color="000000"/>
            </w:tcBorders>
            <w:vAlign w:val="center"/>
          </w:tcPr>
          <w:p w:rsidR="000A1F30" w:rsidRPr="00817941" w:rsidRDefault="0072674E" w:rsidP="000130B4">
            <w:pPr>
              <w:jc w:val="center"/>
              <w:rPr>
                <w:rFonts w:asciiTheme="majorHAnsi" w:hAnsiTheme="majorHAnsi"/>
                <w:sz w:val="20"/>
              </w:rPr>
            </w:pPr>
            <w:r>
              <w:rPr>
                <w:rFonts w:asciiTheme="majorHAnsi" w:hAnsiTheme="majorHAnsi"/>
                <w:sz w:val="20"/>
              </w:rPr>
              <w:t>15</w:t>
            </w:r>
          </w:p>
        </w:tc>
        <w:tc>
          <w:tcPr>
            <w:tcW w:w="990" w:type="dxa"/>
            <w:tcBorders>
              <w:top w:val="single" w:sz="12" w:space="0" w:color="000000"/>
            </w:tcBorders>
            <w:vAlign w:val="center"/>
          </w:tcPr>
          <w:p w:rsidR="000A1F30" w:rsidRPr="00817941" w:rsidRDefault="00BF5726" w:rsidP="000130B4">
            <w:pPr>
              <w:jc w:val="center"/>
              <w:rPr>
                <w:rFonts w:asciiTheme="majorHAnsi" w:hAnsiTheme="majorHAnsi"/>
                <w:sz w:val="20"/>
              </w:rPr>
            </w:pPr>
            <w:r>
              <w:rPr>
                <w:rFonts w:asciiTheme="majorHAnsi" w:hAnsiTheme="majorHAnsi"/>
                <w:sz w:val="20"/>
              </w:rPr>
              <w:t>$57.11</w:t>
            </w:r>
            <w:r w:rsidR="00CA5B99">
              <w:rPr>
                <w:rFonts w:asciiTheme="majorHAnsi" w:hAnsiTheme="majorHAnsi"/>
                <w:sz w:val="20"/>
              </w:rPr>
              <w:t xml:space="preserve"> </w:t>
            </w:r>
          </w:p>
        </w:tc>
        <w:tc>
          <w:tcPr>
            <w:tcW w:w="1368" w:type="dxa"/>
            <w:tcBorders>
              <w:top w:val="single" w:sz="12" w:space="0" w:color="000000"/>
            </w:tcBorders>
            <w:vAlign w:val="center"/>
          </w:tcPr>
          <w:p w:rsidR="000A1F30" w:rsidRPr="00817941" w:rsidRDefault="00BF5726" w:rsidP="0072674E">
            <w:pPr>
              <w:jc w:val="right"/>
              <w:rPr>
                <w:rFonts w:asciiTheme="majorHAnsi" w:hAnsiTheme="majorHAnsi"/>
                <w:sz w:val="20"/>
              </w:rPr>
            </w:pPr>
            <w:r>
              <w:rPr>
                <w:rFonts w:asciiTheme="majorHAnsi" w:hAnsiTheme="majorHAnsi"/>
                <w:sz w:val="20"/>
              </w:rPr>
              <w:t>$</w:t>
            </w:r>
            <w:r w:rsidR="0072674E">
              <w:rPr>
                <w:rFonts w:asciiTheme="majorHAnsi" w:hAnsiTheme="majorHAnsi"/>
                <w:sz w:val="20"/>
              </w:rPr>
              <w:t>856.65</w:t>
            </w:r>
            <w:r w:rsidR="00CA5B99">
              <w:rPr>
                <w:rFonts w:asciiTheme="majorHAnsi" w:hAnsiTheme="majorHAnsi"/>
                <w:sz w:val="20"/>
              </w:rPr>
              <w:t xml:space="preserve"> </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6B114F" w:rsidP="00C0376C">
            <w:pPr>
              <w:spacing w:after="0"/>
              <w:jc w:val="center"/>
              <w:rPr>
                <w:rFonts w:asciiTheme="majorHAnsi" w:hAnsiTheme="majorHAnsi"/>
                <w:b/>
                <w:sz w:val="20"/>
              </w:rPr>
            </w:pPr>
            <w:r>
              <w:rPr>
                <w:rFonts w:asciiTheme="majorHAnsi" w:hAnsiTheme="majorHAnsi"/>
                <w:b/>
                <w:sz w:val="20"/>
              </w:rPr>
              <w:t>60</w:t>
            </w:r>
          </w:p>
        </w:tc>
        <w:tc>
          <w:tcPr>
            <w:tcW w:w="1800" w:type="dxa"/>
            <w:shd w:val="clear" w:color="auto" w:fill="auto"/>
            <w:vAlign w:val="center"/>
          </w:tcPr>
          <w:p w:rsidR="00C0376C" w:rsidRPr="00817941" w:rsidRDefault="00BF5726" w:rsidP="00C0376C">
            <w:pPr>
              <w:spacing w:after="0"/>
              <w:jc w:val="center"/>
              <w:rPr>
                <w:rFonts w:asciiTheme="majorHAnsi" w:hAnsiTheme="majorHAnsi"/>
                <w:b/>
                <w:sz w:val="20"/>
              </w:rPr>
            </w:pPr>
            <w:r>
              <w:rPr>
                <w:rFonts w:asciiTheme="majorHAnsi" w:hAnsiTheme="majorHAnsi"/>
                <w:b/>
                <w:sz w:val="20"/>
              </w:rPr>
              <w:t>1</w:t>
            </w:r>
            <w:r w:rsidR="00CA5B99">
              <w:rPr>
                <w:rFonts w:asciiTheme="majorHAnsi" w:hAnsiTheme="majorHAnsi"/>
                <w:b/>
                <w:sz w:val="20"/>
              </w:rPr>
              <w:t xml:space="preserve"> </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72674E" w:rsidP="00C0376C">
            <w:pPr>
              <w:spacing w:after="0"/>
              <w:jc w:val="center"/>
              <w:rPr>
                <w:rFonts w:asciiTheme="majorHAnsi" w:hAnsiTheme="majorHAnsi"/>
                <w:b/>
                <w:sz w:val="20"/>
              </w:rPr>
            </w:pPr>
            <w:r>
              <w:rPr>
                <w:rFonts w:asciiTheme="majorHAnsi" w:hAnsiTheme="majorHAnsi"/>
                <w:b/>
                <w:sz w:val="20"/>
              </w:rPr>
              <w:t>15</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BF5726" w:rsidP="0072674E">
            <w:pPr>
              <w:spacing w:after="0"/>
              <w:jc w:val="right"/>
              <w:rPr>
                <w:rFonts w:asciiTheme="majorHAnsi" w:hAnsiTheme="majorHAnsi"/>
                <w:b/>
                <w:sz w:val="20"/>
              </w:rPr>
            </w:pPr>
            <w:r>
              <w:rPr>
                <w:rFonts w:asciiTheme="majorHAnsi" w:hAnsiTheme="majorHAnsi"/>
                <w:b/>
                <w:sz w:val="20"/>
              </w:rPr>
              <w:t>$</w:t>
            </w:r>
            <w:r w:rsidR="0072674E">
              <w:rPr>
                <w:rFonts w:asciiTheme="majorHAnsi" w:hAnsiTheme="majorHAnsi"/>
                <w:b/>
                <w:sz w:val="20"/>
              </w:rPr>
              <w:t>856.65</w:t>
            </w:r>
            <w:r w:rsidR="00CA5B99">
              <w:rPr>
                <w:rFonts w:asciiTheme="majorHAnsi" w:hAnsiTheme="majorHAnsi"/>
                <w:b/>
                <w:sz w:val="20"/>
              </w:rPr>
              <w:t xml:space="preserve"> </w:t>
            </w:r>
          </w:p>
        </w:tc>
      </w:tr>
    </w:tbl>
    <w:p w:rsidR="002F1502" w:rsidRDefault="002F1502" w:rsidP="008E0683">
      <w:pPr>
        <w:pStyle w:val="ListParagraph"/>
        <w:autoSpaceDE w:val="0"/>
        <w:autoSpaceDN w:val="0"/>
        <w:adjustRightInd w:val="0"/>
        <w:ind w:right="720"/>
        <w:rPr>
          <w:rFonts w:asciiTheme="majorHAnsi" w:hAnsiTheme="majorHAnsi"/>
          <w:u w:val="single"/>
        </w:rPr>
      </w:pPr>
    </w:p>
    <w:p w:rsidR="00B12F51" w:rsidRPr="0088467A" w:rsidRDefault="0088467A" w:rsidP="00847F13">
      <w:pPr>
        <w:pStyle w:val="ListParagraph"/>
        <w:numPr>
          <w:ilvl w:val="0"/>
          <w:numId w:val="2"/>
        </w:numPr>
        <w:spacing w:after="0"/>
        <w:rPr>
          <w:rFonts w:asciiTheme="majorHAnsi" w:hAnsiTheme="majorHAnsi"/>
          <w:b/>
          <w:bCs/>
        </w:rPr>
      </w:pPr>
      <w:r w:rsidRPr="0088467A">
        <w:rPr>
          <w:rFonts w:asciiTheme="majorHAnsi" w:hAnsiTheme="majorHAnsi"/>
          <w:b/>
          <w:bCs/>
        </w:rPr>
        <w:t>Estimates of Other Total Annual Cost Burden to Respondents or Record Keepers</w:t>
      </w:r>
    </w:p>
    <w:p w:rsidR="00D75750" w:rsidRDefault="003C31C9" w:rsidP="00847F13">
      <w:pPr>
        <w:pStyle w:val="CM89"/>
        <w:spacing w:line="228" w:lineRule="atLeast"/>
      </w:pPr>
      <w:r w:rsidRPr="003C31C9">
        <w:rPr>
          <w:rFonts w:asciiTheme="majorHAnsi" w:hAnsiTheme="majorHAnsi" w:cs="Times New Roman"/>
          <w:color w:val="000000"/>
          <w:sz w:val="22"/>
        </w:rPr>
        <w:t>There will be no direct costs to the respondents</w:t>
      </w:r>
      <w:r>
        <w:rPr>
          <w:rFonts w:asciiTheme="majorHAnsi" w:hAnsiTheme="majorHAnsi" w:cs="Times New Roman"/>
          <w:color w:val="000000"/>
          <w:sz w:val="22"/>
        </w:rPr>
        <w:t>.</w:t>
      </w:r>
    </w:p>
    <w:p w:rsidR="00D75750" w:rsidRPr="00911486" w:rsidRDefault="00D75750" w:rsidP="00911486">
      <w:pPr>
        <w:pStyle w:val="Default"/>
        <w:ind w:left="720"/>
      </w:pPr>
    </w:p>
    <w:p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rsidR="008E0683" w:rsidRDefault="00BF5726" w:rsidP="00847F13">
      <w:pPr>
        <w:pStyle w:val="ListParagraph"/>
        <w:autoSpaceDE w:val="0"/>
        <w:autoSpaceDN w:val="0"/>
        <w:adjustRightInd w:val="0"/>
        <w:ind w:left="0" w:right="720"/>
        <w:rPr>
          <w:rFonts w:asciiTheme="majorHAnsi" w:hAnsiTheme="majorHAnsi"/>
        </w:rPr>
      </w:pPr>
      <w:r w:rsidRPr="00BF5726">
        <w:rPr>
          <w:rFonts w:asciiTheme="majorHAnsi" w:hAnsiTheme="majorHAnsi"/>
        </w:rPr>
        <w:t>There are no equipment or overhead costs.  Contractors are not being used to support this data collection. The only cost to the federal government would be the salary of CDC staff supporting the data collection activities and associated tasks.</w:t>
      </w:r>
      <w:r w:rsidR="00847F13">
        <w:rPr>
          <w:rFonts w:asciiTheme="majorHAnsi" w:hAnsiTheme="majorHAnsi"/>
        </w:rPr>
        <w:t xml:space="preserve"> </w:t>
      </w:r>
      <w:r w:rsidRPr="00BF5726">
        <w:rPr>
          <w:rFonts w:asciiTheme="majorHAnsi" w:hAnsiTheme="majorHAnsi"/>
        </w:rPr>
        <w:t>The lead staff from the LB for this project consists of a M</w:t>
      </w:r>
      <w:r>
        <w:rPr>
          <w:rFonts w:asciiTheme="majorHAnsi" w:hAnsiTheme="majorHAnsi"/>
        </w:rPr>
        <w:t>icrobiologist and Team Leader</w:t>
      </w:r>
      <w:r w:rsidRPr="00BF5726">
        <w:rPr>
          <w:rFonts w:asciiTheme="majorHAnsi" w:hAnsiTheme="majorHAnsi"/>
        </w:rPr>
        <w:t xml:space="preserve"> from the Laborat</w:t>
      </w:r>
      <w:r>
        <w:rPr>
          <w:rFonts w:asciiTheme="majorHAnsi" w:hAnsiTheme="majorHAnsi"/>
        </w:rPr>
        <w:t>ory Capacity and a Public Health Advisor from the Field Service and Evaluation Branch</w:t>
      </w:r>
      <w:r w:rsidRPr="00BF5726">
        <w:rPr>
          <w:rFonts w:asciiTheme="majorHAnsi" w:hAnsiTheme="majorHAnsi"/>
        </w:rPr>
        <w:t>.  The lead staff will collect the data; code, enter, and prepare the data for analysis; conduct data analyses and prepare the evaluation report. Hourly rates of $</w:t>
      </w:r>
      <w:r w:rsidR="001A698F">
        <w:rPr>
          <w:rFonts w:asciiTheme="majorHAnsi" w:hAnsiTheme="majorHAnsi"/>
        </w:rPr>
        <w:t xml:space="preserve">25.34 </w:t>
      </w:r>
      <w:r w:rsidRPr="00BF5726">
        <w:rPr>
          <w:rFonts w:asciiTheme="majorHAnsi" w:hAnsiTheme="majorHAnsi"/>
        </w:rPr>
        <w:t>for GS-</w:t>
      </w:r>
      <w:r w:rsidR="001A698F">
        <w:rPr>
          <w:rFonts w:asciiTheme="majorHAnsi" w:hAnsiTheme="majorHAnsi"/>
        </w:rPr>
        <w:t>9</w:t>
      </w:r>
      <w:r w:rsidRPr="00BF5726">
        <w:rPr>
          <w:rFonts w:asciiTheme="majorHAnsi" w:hAnsiTheme="majorHAnsi"/>
        </w:rPr>
        <w:t xml:space="preserve"> (step 3), $51.81 for GS-14 (step 3) and $</w:t>
      </w:r>
      <w:r w:rsidR="0072674E">
        <w:rPr>
          <w:rFonts w:asciiTheme="majorHAnsi" w:hAnsiTheme="majorHAnsi"/>
        </w:rPr>
        <w:t>52.86 for GS-13 w</w:t>
      </w:r>
      <w:r w:rsidRPr="00BF5726">
        <w:rPr>
          <w:rFonts w:asciiTheme="majorHAnsi" w:hAnsiTheme="majorHAnsi"/>
        </w:rPr>
        <w:t>ere used to estimate staff costs. The estimated cost to the federal government is $</w:t>
      </w:r>
      <w:r w:rsidR="0072674E">
        <w:rPr>
          <w:rFonts w:asciiTheme="majorHAnsi" w:hAnsiTheme="majorHAnsi"/>
        </w:rPr>
        <w:t>19,676.16</w:t>
      </w:r>
      <w:r w:rsidRPr="00BF5726">
        <w:rPr>
          <w:rFonts w:asciiTheme="majorHAnsi" w:hAnsiTheme="majorHAnsi"/>
        </w:rPr>
        <w:t>.  Table A-14 describes how this cost estimate was calculated.</w:t>
      </w:r>
    </w:p>
    <w:p w:rsidR="001A698F" w:rsidRPr="008E0683" w:rsidRDefault="001A698F" w:rsidP="00BF5726">
      <w:pPr>
        <w:pStyle w:val="ListParagraph"/>
        <w:autoSpaceDE w:val="0"/>
        <w:autoSpaceDN w:val="0"/>
        <w:adjustRightInd w:val="0"/>
        <w:ind w:right="720"/>
        <w:rPr>
          <w:rFonts w:asciiTheme="majorHAnsi" w:hAnsiTheme="majorHAnsi"/>
        </w:rPr>
      </w:pPr>
    </w:p>
    <w:p w:rsidR="004841F1" w:rsidRDefault="00321B51" w:rsidP="00847F13">
      <w:pPr>
        <w:pStyle w:val="ListParagraph"/>
        <w:autoSpaceDE w:val="0"/>
        <w:autoSpaceDN w:val="0"/>
        <w:adjustRightInd w:val="0"/>
        <w:ind w:left="0"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BF5726" w:rsidRPr="004841F1" w:rsidTr="00881320">
        <w:tc>
          <w:tcPr>
            <w:tcW w:w="4518" w:type="dxa"/>
            <w:tcBorders>
              <w:top w:val="single" w:sz="12" w:space="0" w:color="auto"/>
            </w:tcBorders>
          </w:tcPr>
          <w:p w:rsidR="00BF5726" w:rsidRDefault="00BF5726">
            <w:pPr>
              <w:rPr>
                <w:rFonts w:asciiTheme="majorHAnsi" w:hAnsiTheme="majorHAnsi"/>
                <w:b/>
                <w:sz w:val="20"/>
              </w:rPr>
            </w:pPr>
            <w:r>
              <w:rPr>
                <w:rFonts w:asciiTheme="majorHAnsi" w:hAnsiTheme="majorHAnsi"/>
                <w:b/>
                <w:sz w:val="20"/>
              </w:rPr>
              <w:t>Microbiologist (GS-9)</w:t>
            </w:r>
          </w:p>
          <w:p w:rsidR="00BF5726" w:rsidRDefault="00BF5726">
            <w:pPr>
              <w:rPr>
                <w:rFonts w:asciiTheme="majorHAnsi" w:hAnsiTheme="majorHAnsi"/>
                <w:sz w:val="20"/>
              </w:rPr>
            </w:pPr>
            <w:r>
              <w:rPr>
                <w:rFonts w:asciiTheme="majorHAnsi" w:hAnsiTheme="majorHAnsi"/>
                <w:sz w:val="20"/>
              </w:rPr>
              <w:t>Instrument development, pilot testing, OMB package preparation, data collection, data coding and entry, quality control, data analysis, report preparation</w:t>
            </w:r>
          </w:p>
        </w:tc>
        <w:tc>
          <w:tcPr>
            <w:tcW w:w="1980" w:type="dxa"/>
            <w:tcBorders>
              <w:top w:val="single" w:sz="12" w:space="0" w:color="auto"/>
            </w:tcBorders>
            <w:vAlign w:val="center"/>
          </w:tcPr>
          <w:p w:rsidR="00BF5726" w:rsidRPr="004841F1" w:rsidRDefault="00881320" w:rsidP="00342A61">
            <w:pPr>
              <w:jc w:val="center"/>
              <w:rPr>
                <w:rFonts w:asciiTheme="majorHAnsi" w:hAnsiTheme="majorHAnsi"/>
                <w:sz w:val="20"/>
              </w:rPr>
            </w:pPr>
            <w:r>
              <w:rPr>
                <w:rFonts w:asciiTheme="majorHAnsi" w:hAnsiTheme="majorHAnsi"/>
                <w:sz w:val="20"/>
              </w:rPr>
              <w:t xml:space="preserve">300 </w:t>
            </w:r>
          </w:p>
        </w:tc>
        <w:tc>
          <w:tcPr>
            <w:tcW w:w="1620" w:type="dxa"/>
            <w:tcBorders>
              <w:top w:val="single" w:sz="12" w:space="0" w:color="auto"/>
            </w:tcBorders>
            <w:vAlign w:val="center"/>
          </w:tcPr>
          <w:p w:rsidR="00BF5726" w:rsidRPr="004841F1" w:rsidRDefault="00881320" w:rsidP="00881320">
            <w:pPr>
              <w:jc w:val="center"/>
              <w:rPr>
                <w:rFonts w:asciiTheme="majorHAnsi" w:hAnsiTheme="majorHAnsi"/>
                <w:sz w:val="20"/>
              </w:rPr>
            </w:pPr>
            <w:r>
              <w:rPr>
                <w:rFonts w:asciiTheme="majorHAnsi" w:hAnsiTheme="majorHAnsi"/>
                <w:sz w:val="20"/>
              </w:rPr>
              <w:t>$25.34</w:t>
            </w:r>
          </w:p>
        </w:tc>
        <w:tc>
          <w:tcPr>
            <w:tcW w:w="1458" w:type="dxa"/>
            <w:tcBorders>
              <w:top w:val="single" w:sz="12" w:space="0" w:color="auto"/>
            </w:tcBorders>
            <w:vAlign w:val="center"/>
          </w:tcPr>
          <w:p w:rsidR="00BF5726" w:rsidRPr="004841F1" w:rsidRDefault="001A698F" w:rsidP="00881320">
            <w:pPr>
              <w:jc w:val="center"/>
              <w:rPr>
                <w:rFonts w:asciiTheme="majorHAnsi" w:hAnsiTheme="majorHAnsi"/>
                <w:sz w:val="20"/>
              </w:rPr>
            </w:pPr>
            <w:r>
              <w:rPr>
                <w:rFonts w:asciiTheme="majorHAnsi" w:hAnsiTheme="majorHAnsi"/>
                <w:sz w:val="20"/>
              </w:rPr>
              <w:t>$7602.00</w:t>
            </w:r>
          </w:p>
        </w:tc>
      </w:tr>
      <w:tr w:rsidR="00881320" w:rsidRPr="004841F1" w:rsidTr="00881320">
        <w:tc>
          <w:tcPr>
            <w:tcW w:w="4518" w:type="dxa"/>
          </w:tcPr>
          <w:p w:rsidR="00881320" w:rsidRDefault="00881320">
            <w:pPr>
              <w:rPr>
                <w:rFonts w:asciiTheme="majorHAnsi" w:hAnsiTheme="majorHAnsi"/>
                <w:sz w:val="20"/>
              </w:rPr>
            </w:pPr>
            <w:r>
              <w:rPr>
                <w:rFonts w:asciiTheme="majorHAnsi" w:hAnsiTheme="majorHAnsi"/>
                <w:b/>
                <w:sz w:val="20"/>
              </w:rPr>
              <w:t>Microbiologist (GS-14), Team lead, Laboratory Capacity Team</w:t>
            </w:r>
          </w:p>
          <w:p w:rsidR="00881320" w:rsidRDefault="00881320">
            <w:pPr>
              <w:rPr>
                <w:rFonts w:asciiTheme="majorHAnsi" w:hAnsiTheme="majorHAnsi"/>
                <w:sz w:val="20"/>
              </w:rPr>
            </w:pPr>
            <w:r>
              <w:rPr>
                <w:rFonts w:asciiTheme="majorHAnsi" w:hAnsiTheme="majorHAnsi"/>
                <w:sz w:val="20"/>
              </w:rPr>
              <w:t>Instrument development, pilot testing, OMB package preparation, report preparation</w:t>
            </w:r>
          </w:p>
        </w:tc>
        <w:tc>
          <w:tcPr>
            <w:tcW w:w="1980" w:type="dxa"/>
            <w:vAlign w:val="center"/>
          </w:tcPr>
          <w:p w:rsidR="00881320" w:rsidRPr="00CD2034" w:rsidRDefault="00881320" w:rsidP="00342A61">
            <w:pPr>
              <w:jc w:val="center"/>
            </w:pPr>
            <w:r w:rsidRPr="00CD2034">
              <w:t xml:space="preserve">130 </w:t>
            </w:r>
          </w:p>
        </w:tc>
        <w:tc>
          <w:tcPr>
            <w:tcW w:w="1620" w:type="dxa"/>
            <w:vAlign w:val="center"/>
          </w:tcPr>
          <w:p w:rsidR="00881320" w:rsidRPr="00CD2034" w:rsidRDefault="00881320" w:rsidP="00881320">
            <w:pPr>
              <w:jc w:val="center"/>
            </w:pPr>
            <w:r w:rsidRPr="00CD2034">
              <w:t>$51.81</w:t>
            </w:r>
          </w:p>
        </w:tc>
        <w:tc>
          <w:tcPr>
            <w:tcW w:w="1458" w:type="dxa"/>
            <w:vAlign w:val="center"/>
          </w:tcPr>
          <w:p w:rsidR="00881320" w:rsidRDefault="00881320" w:rsidP="00881320">
            <w:pPr>
              <w:jc w:val="center"/>
            </w:pPr>
            <w:r w:rsidRPr="00CD2034">
              <w:t>$6735.30</w:t>
            </w:r>
          </w:p>
        </w:tc>
      </w:tr>
      <w:tr w:rsidR="007528C3" w:rsidRPr="004841F1" w:rsidTr="00881320">
        <w:tc>
          <w:tcPr>
            <w:tcW w:w="4518" w:type="dxa"/>
          </w:tcPr>
          <w:p w:rsidR="007528C3" w:rsidRDefault="007528C3" w:rsidP="007528C3">
            <w:pPr>
              <w:rPr>
                <w:rFonts w:asciiTheme="majorHAnsi" w:hAnsiTheme="majorHAnsi"/>
                <w:b/>
                <w:sz w:val="20"/>
              </w:rPr>
            </w:pPr>
            <w:r>
              <w:rPr>
                <w:rFonts w:asciiTheme="majorHAnsi" w:hAnsiTheme="majorHAnsi"/>
                <w:b/>
                <w:sz w:val="20"/>
              </w:rPr>
              <w:t>Microbiologist (GS-13)</w:t>
            </w:r>
          </w:p>
          <w:p w:rsidR="007528C3" w:rsidRPr="00693D87" w:rsidRDefault="007528C3" w:rsidP="007528C3">
            <w:pPr>
              <w:spacing w:after="200" w:line="276" w:lineRule="auto"/>
              <w:rPr>
                <w:rFonts w:asciiTheme="majorHAnsi" w:hAnsiTheme="majorHAnsi"/>
                <w:sz w:val="20"/>
              </w:rPr>
            </w:pPr>
            <w:r w:rsidRPr="00693D87">
              <w:rPr>
                <w:rFonts w:asciiTheme="majorHAnsi" w:hAnsiTheme="majorHAnsi"/>
                <w:sz w:val="20"/>
              </w:rPr>
              <w:t>Instrument development, OMB package preparation</w:t>
            </w:r>
          </w:p>
        </w:tc>
        <w:tc>
          <w:tcPr>
            <w:tcW w:w="1980" w:type="dxa"/>
            <w:vAlign w:val="center"/>
          </w:tcPr>
          <w:p w:rsidR="007528C3" w:rsidRPr="00CD2034" w:rsidRDefault="007528C3" w:rsidP="00881320">
            <w:pPr>
              <w:jc w:val="center"/>
            </w:pPr>
            <w:r>
              <w:t>100</w:t>
            </w:r>
          </w:p>
        </w:tc>
        <w:tc>
          <w:tcPr>
            <w:tcW w:w="1620" w:type="dxa"/>
            <w:vAlign w:val="center"/>
          </w:tcPr>
          <w:p w:rsidR="007528C3" w:rsidRPr="00CD2034" w:rsidRDefault="00A4305C" w:rsidP="00881320">
            <w:pPr>
              <w:jc w:val="center"/>
            </w:pPr>
            <w:r>
              <w:t>$</w:t>
            </w:r>
            <w:r w:rsidR="007528C3">
              <w:t>52.86</w:t>
            </w:r>
          </w:p>
        </w:tc>
        <w:tc>
          <w:tcPr>
            <w:tcW w:w="1458" w:type="dxa"/>
            <w:vAlign w:val="center"/>
          </w:tcPr>
          <w:p w:rsidR="007528C3" w:rsidRPr="00CD2034" w:rsidRDefault="00A87A4D" w:rsidP="00881320">
            <w:pPr>
              <w:jc w:val="center"/>
            </w:pPr>
            <w:r>
              <w:t>$</w:t>
            </w:r>
            <w:r w:rsidR="007528C3">
              <w:t>5286.00</w:t>
            </w:r>
          </w:p>
        </w:tc>
      </w:tr>
      <w:tr w:rsidR="00693D87" w:rsidRPr="004841F1" w:rsidTr="00881320">
        <w:tc>
          <w:tcPr>
            <w:tcW w:w="4518" w:type="dxa"/>
          </w:tcPr>
          <w:p w:rsidR="00693D87" w:rsidRDefault="00693D87" w:rsidP="007528C3">
            <w:pPr>
              <w:rPr>
                <w:rFonts w:asciiTheme="majorHAnsi" w:hAnsiTheme="majorHAnsi"/>
                <w:b/>
                <w:sz w:val="20"/>
              </w:rPr>
            </w:pPr>
            <w:r>
              <w:rPr>
                <w:rFonts w:asciiTheme="majorHAnsi" w:hAnsiTheme="majorHAnsi"/>
                <w:b/>
                <w:sz w:val="20"/>
              </w:rPr>
              <w:t>Public Health Advisor (GS-</w:t>
            </w:r>
            <w:r w:rsidR="00342A61">
              <w:rPr>
                <w:rFonts w:asciiTheme="majorHAnsi" w:hAnsiTheme="majorHAnsi"/>
                <w:b/>
                <w:sz w:val="20"/>
              </w:rPr>
              <w:t>13</w:t>
            </w:r>
            <w:r>
              <w:rPr>
                <w:rFonts w:asciiTheme="majorHAnsi" w:hAnsiTheme="majorHAnsi"/>
                <w:b/>
                <w:sz w:val="20"/>
              </w:rPr>
              <w:t>)</w:t>
            </w:r>
          </w:p>
          <w:p w:rsidR="00693D87" w:rsidRPr="00693D87" w:rsidRDefault="00693D87" w:rsidP="007528C3">
            <w:pPr>
              <w:rPr>
                <w:rFonts w:asciiTheme="majorHAnsi" w:hAnsiTheme="majorHAnsi"/>
                <w:sz w:val="20"/>
              </w:rPr>
            </w:pPr>
            <w:r w:rsidRPr="00693D87">
              <w:rPr>
                <w:rFonts w:asciiTheme="majorHAnsi" w:hAnsiTheme="majorHAnsi"/>
                <w:sz w:val="20"/>
              </w:rPr>
              <w:t>Instrument development, communication</w:t>
            </w:r>
            <w:r>
              <w:rPr>
                <w:rFonts w:asciiTheme="majorHAnsi" w:hAnsiTheme="majorHAnsi"/>
                <w:sz w:val="20"/>
              </w:rPr>
              <w:t>s with</w:t>
            </w:r>
            <w:r w:rsidRPr="00693D87">
              <w:rPr>
                <w:rFonts w:asciiTheme="majorHAnsi" w:hAnsiTheme="majorHAnsi"/>
                <w:sz w:val="20"/>
              </w:rPr>
              <w:t xml:space="preserve"> respondent universe</w:t>
            </w:r>
            <w:r>
              <w:rPr>
                <w:rFonts w:asciiTheme="majorHAnsi" w:hAnsiTheme="majorHAnsi"/>
                <w:sz w:val="20"/>
              </w:rPr>
              <w:t>, data analysis</w:t>
            </w:r>
          </w:p>
        </w:tc>
        <w:tc>
          <w:tcPr>
            <w:tcW w:w="1980" w:type="dxa"/>
            <w:vAlign w:val="center"/>
          </w:tcPr>
          <w:p w:rsidR="00693D87" w:rsidRDefault="00693D87" w:rsidP="00881320">
            <w:pPr>
              <w:jc w:val="center"/>
            </w:pPr>
            <w:r>
              <w:t>10</w:t>
            </w:r>
          </w:p>
        </w:tc>
        <w:tc>
          <w:tcPr>
            <w:tcW w:w="1620" w:type="dxa"/>
            <w:vAlign w:val="center"/>
          </w:tcPr>
          <w:p w:rsidR="00693D87" w:rsidRDefault="00A4305C" w:rsidP="00881320">
            <w:pPr>
              <w:jc w:val="center"/>
            </w:pPr>
            <w:r>
              <w:t>$52.86</w:t>
            </w:r>
          </w:p>
        </w:tc>
        <w:tc>
          <w:tcPr>
            <w:tcW w:w="1458" w:type="dxa"/>
            <w:vAlign w:val="center"/>
          </w:tcPr>
          <w:p w:rsidR="00693D87" w:rsidRDefault="00A4305C" w:rsidP="00881320">
            <w:pPr>
              <w:jc w:val="center"/>
            </w:pPr>
            <w:r>
              <w:t>$52.86</w:t>
            </w:r>
          </w:p>
        </w:tc>
      </w:tr>
      <w:tr w:rsidR="004824FA" w:rsidRPr="004841F1" w:rsidTr="006C4DA7">
        <w:trPr>
          <w:trHeight w:val="332"/>
        </w:trPr>
        <w:tc>
          <w:tcPr>
            <w:tcW w:w="8118" w:type="dxa"/>
            <w:gridSpan w:val="3"/>
            <w:vAlign w:val="center"/>
          </w:tcPr>
          <w:p w:rsidR="004824FA" w:rsidRPr="007B305A" w:rsidRDefault="004824FA" w:rsidP="006B4DDC">
            <w:pPr>
              <w:jc w:val="right"/>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A4305C" w:rsidP="006315A3">
            <w:pPr>
              <w:jc w:val="center"/>
              <w:rPr>
                <w:rFonts w:asciiTheme="majorHAnsi" w:hAnsiTheme="majorHAnsi"/>
                <w:b/>
                <w:sz w:val="20"/>
              </w:rPr>
            </w:pPr>
            <w:r>
              <w:rPr>
                <w:rFonts w:asciiTheme="majorHAnsi" w:hAnsiTheme="majorHAnsi"/>
                <w:b/>
                <w:sz w:val="20"/>
              </w:rPr>
              <w:t>$19,676.16</w:t>
            </w:r>
            <w:r w:rsidR="00321B51">
              <w:rPr>
                <w:rFonts w:asciiTheme="majorHAnsi" w:hAnsiTheme="majorHAnsi"/>
                <w:b/>
                <w:sz w:val="20"/>
              </w:rPr>
              <w:t xml:space="preserve"> </w:t>
            </w:r>
          </w:p>
        </w:tc>
      </w:tr>
    </w:tbl>
    <w:p w:rsidR="00714375" w:rsidRPr="00714375" w:rsidRDefault="00714375" w:rsidP="00714375">
      <w:pPr>
        <w:spacing w:after="0"/>
        <w:rPr>
          <w:rFonts w:asciiTheme="majorHAnsi" w:hAnsiTheme="majorHAnsi"/>
          <w:b/>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Explanation for Program Changes or Adjustments</w:t>
      </w:r>
    </w:p>
    <w:p w:rsidR="00F52BCC" w:rsidRDefault="003C7C5D" w:rsidP="00847F13">
      <w:pPr>
        <w:pStyle w:val="ListParagraph"/>
        <w:spacing w:after="0"/>
        <w:ind w:left="0"/>
        <w:rPr>
          <w:rFonts w:asciiTheme="majorHAnsi" w:hAnsiTheme="majorHAnsi"/>
        </w:rPr>
      </w:pPr>
      <w:r>
        <w:rPr>
          <w:rFonts w:asciiTheme="majorHAnsi" w:hAnsiTheme="majorHAnsi"/>
        </w:rPr>
        <w:t>This is a new data collection.</w:t>
      </w:r>
    </w:p>
    <w:p w:rsidR="00714375" w:rsidRDefault="00714375" w:rsidP="00847F13">
      <w:pPr>
        <w:pStyle w:val="ListParagraph"/>
        <w:spacing w:after="0"/>
        <w:ind w:left="0"/>
        <w:rPr>
          <w:rFonts w:asciiTheme="majorHAnsi" w:hAnsiTheme="majorHAnsi"/>
        </w:rPr>
      </w:pPr>
    </w:p>
    <w:p w:rsidR="00714375" w:rsidRDefault="00714375" w:rsidP="00847F13">
      <w:pPr>
        <w:pStyle w:val="ListParagraph"/>
        <w:spacing w:after="0"/>
        <w:ind w:left="0"/>
        <w:rPr>
          <w:rFonts w:asciiTheme="majorHAnsi" w:hAnsiTheme="majorHAnsi"/>
        </w:rPr>
      </w:pPr>
    </w:p>
    <w:p w:rsidR="00714375" w:rsidRDefault="00714375" w:rsidP="00847F13">
      <w:pPr>
        <w:pStyle w:val="ListParagraph"/>
        <w:spacing w:after="0"/>
        <w:ind w:left="0"/>
        <w:rPr>
          <w:rFonts w:asciiTheme="majorHAnsi" w:hAnsiTheme="majorHAnsi"/>
        </w:rPr>
      </w:pPr>
    </w:p>
    <w:p w:rsidR="00714375" w:rsidRDefault="00714375" w:rsidP="00847F13">
      <w:pPr>
        <w:pStyle w:val="ListParagraph"/>
        <w:spacing w:after="0"/>
        <w:ind w:left="0"/>
        <w:rPr>
          <w:rFonts w:asciiTheme="majorHAnsi" w:hAnsiTheme="majorHAnsi"/>
        </w:rPr>
      </w:pPr>
    </w:p>
    <w:p w:rsidR="00714375" w:rsidRDefault="00714375" w:rsidP="00847F13">
      <w:pPr>
        <w:pStyle w:val="ListParagraph"/>
        <w:spacing w:after="0"/>
        <w:ind w:left="0"/>
        <w:rPr>
          <w:rFonts w:asciiTheme="majorHAnsi" w:hAnsiTheme="majorHAnsi"/>
        </w:rPr>
      </w:pPr>
    </w:p>
    <w:p w:rsidR="00714375" w:rsidRDefault="00714375" w:rsidP="00847F13">
      <w:pPr>
        <w:pStyle w:val="ListParagraph"/>
        <w:spacing w:after="0"/>
        <w:ind w:left="0"/>
        <w:rPr>
          <w:rFonts w:asciiTheme="majorHAnsi" w:hAnsiTheme="majorHAnsi"/>
        </w:rPr>
      </w:pPr>
    </w:p>
    <w:p w:rsidR="00F52BCC" w:rsidRDefault="00F52BCC" w:rsidP="00F52BCC">
      <w:pPr>
        <w:pStyle w:val="ListParagraph"/>
        <w:spacing w:after="0"/>
        <w:rPr>
          <w:rFonts w:asciiTheme="majorHAnsi" w:hAnsiTheme="majorHAnsi"/>
        </w:rPr>
      </w:pPr>
    </w:p>
    <w:p w:rsidR="00B12F51" w:rsidRPr="00EF33CD" w:rsidRDefault="00616090" w:rsidP="00D75750">
      <w:pPr>
        <w:pStyle w:val="ListParagraph"/>
        <w:numPr>
          <w:ilvl w:val="0"/>
          <w:numId w:val="2"/>
        </w:numPr>
        <w:spacing w:after="0"/>
        <w:rPr>
          <w:rFonts w:asciiTheme="majorHAnsi" w:hAnsiTheme="majorHAnsi"/>
          <w:b/>
        </w:rPr>
      </w:pPr>
      <w:r>
        <w:rPr>
          <w:rFonts w:asciiTheme="majorHAnsi" w:hAnsiTheme="majorHAnsi"/>
          <w:b/>
        </w:rPr>
        <w:lastRenderedPageBreak/>
        <w:t>Plan</w:t>
      </w:r>
      <w:r w:rsidR="00D75750">
        <w:rPr>
          <w:rFonts w:asciiTheme="majorHAnsi" w:hAnsiTheme="majorHAnsi"/>
          <w:b/>
        </w:rPr>
        <w:t>s</w:t>
      </w:r>
      <w:r w:rsidR="00D75750" w:rsidRPr="00D75750">
        <w:rPr>
          <w:rFonts w:asciiTheme="majorHAnsi" w:hAnsiTheme="majorHAnsi"/>
          <w:b/>
          <w:bCs/>
        </w:rPr>
        <w:t xml:space="preserve"> for Tabulation and Publication and Project Time Schedule</w:t>
      </w:r>
    </w:p>
    <w:p w:rsidR="001A698F" w:rsidRPr="00847F13" w:rsidRDefault="001A698F" w:rsidP="00847F13">
      <w:pPr>
        <w:pStyle w:val="ListParagraph"/>
        <w:spacing w:after="0"/>
        <w:ind w:left="0"/>
        <w:rPr>
          <w:rFonts w:asciiTheme="majorHAnsi" w:hAnsiTheme="majorHAnsi"/>
        </w:rPr>
      </w:pPr>
      <w:r w:rsidRPr="001A698F">
        <w:rPr>
          <w:rFonts w:asciiTheme="majorHAnsi" w:hAnsiTheme="majorHAnsi"/>
        </w:rPr>
        <w:t>Results of this data collection will be prepared for publication in a peer-reviewed journal. Concurrently, CDC lead staff will externally communicate results to Health Officials representing PHL.</w:t>
      </w:r>
    </w:p>
    <w:p w:rsidR="000A71DF" w:rsidRPr="000A71DF" w:rsidRDefault="000A71DF" w:rsidP="00714375">
      <w:pPr>
        <w:spacing w:after="0"/>
        <w:ind w:firstLine="720"/>
        <w:rPr>
          <w:rFonts w:asciiTheme="majorHAnsi" w:hAnsiTheme="majorHAnsi"/>
          <w:sz w:val="24"/>
          <w:u w:val="single"/>
        </w:rPr>
      </w:pPr>
      <w:r>
        <w:rPr>
          <w:rFonts w:asciiTheme="majorHAnsi" w:hAnsiTheme="majorHAnsi"/>
          <w:sz w:val="24"/>
          <w:u w:val="single"/>
        </w:rPr>
        <w:t>Project Time Schedule</w:t>
      </w:r>
    </w:p>
    <w:p w:rsidR="001A698F" w:rsidRDefault="001A698F" w:rsidP="00714375">
      <w:pPr>
        <w:pStyle w:val="ListParagraph"/>
        <w:numPr>
          <w:ilvl w:val="0"/>
          <w:numId w:val="26"/>
        </w:numPr>
        <w:tabs>
          <w:tab w:val="right" w:leader="dot" w:pos="9360"/>
        </w:tabs>
        <w:spacing w:after="0"/>
        <w:ind w:left="1440"/>
        <w:rPr>
          <w:rFonts w:asciiTheme="majorHAnsi" w:hAnsiTheme="majorHAnsi"/>
        </w:rPr>
      </w:pPr>
      <w:r>
        <w:rPr>
          <w:rFonts w:asciiTheme="majorHAnsi" w:hAnsiTheme="majorHAnsi"/>
        </w:rPr>
        <w:t>Design questionnaire</w:t>
      </w:r>
      <w:r>
        <w:rPr>
          <w:rFonts w:asciiTheme="majorHAnsi" w:hAnsiTheme="majorHAnsi"/>
        </w:rPr>
        <w:tab/>
        <w:t>(COMPLETE)</w:t>
      </w:r>
    </w:p>
    <w:p w:rsidR="001A698F" w:rsidRDefault="001A698F" w:rsidP="00714375">
      <w:pPr>
        <w:pStyle w:val="ListParagraph"/>
        <w:numPr>
          <w:ilvl w:val="0"/>
          <w:numId w:val="27"/>
        </w:numPr>
        <w:tabs>
          <w:tab w:val="right" w:leader="dot" w:pos="9360"/>
        </w:tabs>
        <w:spacing w:after="0"/>
        <w:ind w:left="1440"/>
        <w:rPr>
          <w:rFonts w:asciiTheme="majorHAnsi" w:hAnsiTheme="majorHAnsi"/>
        </w:rPr>
      </w:pPr>
      <w:r>
        <w:rPr>
          <w:rFonts w:asciiTheme="majorHAnsi" w:hAnsiTheme="majorHAnsi"/>
        </w:rPr>
        <w:t>Develop protocol, instructions, and analysis plan</w:t>
      </w:r>
      <w:r>
        <w:rPr>
          <w:rFonts w:asciiTheme="majorHAnsi" w:hAnsiTheme="majorHAnsi"/>
        </w:rPr>
        <w:tab/>
        <w:t>(COMPLETE)</w:t>
      </w:r>
    </w:p>
    <w:p w:rsidR="001A698F" w:rsidRPr="00A4305C" w:rsidRDefault="001A698F" w:rsidP="00714375">
      <w:pPr>
        <w:pStyle w:val="ListParagraph"/>
        <w:numPr>
          <w:ilvl w:val="0"/>
          <w:numId w:val="28"/>
        </w:numPr>
        <w:tabs>
          <w:tab w:val="right" w:leader="dot" w:pos="9360"/>
        </w:tabs>
        <w:spacing w:after="0"/>
        <w:ind w:left="1440"/>
        <w:rPr>
          <w:rFonts w:asciiTheme="majorHAnsi" w:hAnsiTheme="majorHAnsi"/>
        </w:rPr>
      </w:pPr>
      <w:r w:rsidRPr="00A4305C">
        <w:rPr>
          <w:rFonts w:asciiTheme="majorHAnsi" w:hAnsiTheme="majorHAnsi"/>
        </w:rPr>
        <w:t>Pilot test questionnaire</w:t>
      </w:r>
      <w:r w:rsidRPr="00A4305C">
        <w:rPr>
          <w:rFonts w:asciiTheme="majorHAnsi" w:hAnsiTheme="majorHAnsi"/>
        </w:rPr>
        <w:tab/>
        <w:t>(COMPLETE)</w:t>
      </w:r>
    </w:p>
    <w:p w:rsidR="001A698F" w:rsidRDefault="001A698F" w:rsidP="00714375">
      <w:pPr>
        <w:pStyle w:val="ListParagraph"/>
        <w:numPr>
          <w:ilvl w:val="0"/>
          <w:numId w:val="28"/>
        </w:numPr>
        <w:tabs>
          <w:tab w:val="right" w:leader="dot" w:pos="9360"/>
        </w:tabs>
        <w:spacing w:after="0"/>
        <w:ind w:left="1440"/>
        <w:rPr>
          <w:rFonts w:asciiTheme="majorHAnsi" w:hAnsiTheme="majorHAnsi"/>
        </w:rPr>
      </w:pPr>
      <w:r>
        <w:rPr>
          <w:rFonts w:asciiTheme="majorHAnsi" w:hAnsiTheme="majorHAnsi"/>
        </w:rPr>
        <w:t>Prepare OMB package</w:t>
      </w:r>
      <w:r>
        <w:rPr>
          <w:rFonts w:asciiTheme="majorHAnsi" w:hAnsiTheme="majorHAnsi"/>
        </w:rPr>
        <w:tab/>
        <w:t>(COMPLETE)</w:t>
      </w:r>
    </w:p>
    <w:p w:rsidR="001A698F" w:rsidRDefault="001A698F" w:rsidP="00714375">
      <w:pPr>
        <w:pStyle w:val="ListParagraph"/>
        <w:numPr>
          <w:ilvl w:val="0"/>
          <w:numId w:val="28"/>
        </w:numPr>
        <w:tabs>
          <w:tab w:val="right" w:leader="dot" w:pos="9360"/>
        </w:tabs>
        <w:spacing w:after="0"/>
        <w:ind w:left="1440"/>
        <w:rPr>
          <w:rFonts w:asciiTheme="majorHAnsi" w:hAnsiTheme="majorHAnsi"/>
        </w:rPr>
      </w:pPr>
      <w:r>
        <w:rPr>
          <w:rFonts w:asciiTheme="majorHAnsi" w:hAnsiTheme="majorHAnsi"/>
        </w:rPr>
        <w:t>Submit OMB package</w:t>
      </w:r>
      <w:r>
        <w:rPr>
          <w:rFonts w:asciiTheme="majorHAnsi" w:hAnsiTheme="majorHAnsi"/>
        </w:rPr>
        <w:tab/>
        <w:t>(COMPLETE)</w:t>
      </w:r>
    </w:p>
    <w:p w:rsidR="001A698F" w:rsidRDefault="001A698F"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OMB approval</w:t>
      </w:r>
      <w:r>
        <w:rPr>
          <w:rFonts w:asciiTheme="majorHAnsi" w:hAnsiTheme="majorHAnsi"/>
        </w:rPr>
        <w:tab/>
        <w:t>(TBD)</w:t>
      </w:r>
    </w:p>
    <w:p w:rsidR="001A698F" w:rsidRDefault="001A698F"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 xml:space="preserve">Conduct </w:t>
      </w:r>
      <w:r w:rsidR="001A2972">
        <w:rPr>
          <w:rFonts w:asciiTheme="majorHAnsi" w:hAnsiTheme="majorHAnsi"/>
        </w:rPr>
        <w:t>assessment</w:t>
      </w:r>
      <w:r w:rsidR="001A2972">
        <w:rPr>
          <w:rFonts w:asciiTheme="majorHAnsi" w:hAnsiTheme="majorHAnsi"/>
        </w:rPr>
        <w:tab/>
        <w:t>(</w:t>
      </w:r>
      <w:r>
        <w:rPr>
          <w:rFonts w:asciiTheme="majorHAnsi" w:hAnsiTheme="majorHAnsi"/>
        </w:rPr>
        <w:t>open 2 weeks)</w:t>
      </w:r>
    </w:p>
    <w:p w:rsidR="001A698F" w:rsidRDefault="001A698F"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Collect, code, enter, quality control, and analyze data</w:t>
      </w:r>
      <w:r>
        <w:rPr>
          <w:rFonts w:asciiTheme="majorHAnsi" w:hAnsiTheme="majorHAnsi"/>
        </w:rPr>
        <w:tab/>
        <w:t>(</w:t>
      </w:r>
      <w:r w:rsidR="00A4305C">
        <w:rPr>
          <w:rFonts w:asciiTheme="majorHAnsi" w:hAnsiTheme="majorHAnsi"/>
        </w:rPr>
        <w:t>2 days</w:t>
      </w:r>
      <w:r>
        <w:rPr>
          <w:rFonts w:asciiTheme="majorHAnsi" w:hAnsiTheme="majorHAnsi"/>
        </w:rPr>
        <w:t>)</w:t>
      </w:r>
    </w:p>
    <w:p w:rsidR="001A698F" w:rsidRDefault="001A698F"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Prepare report</w:t>
      </w:r>
      <w:r>
        <w:rPr>
          <w:rFonts w:asciiTheme="majorHAnsi" w:hAnsiTheme="majorHAnsi"/>
        </w:rPr>
        <w:tab/>
        <w:t>(1 week)</w:t>
      </w:r>
    </w:p>
    <w:p w:rsidR="000A71DF" w:rsidRPr="00714375" w:rsidRDefault="00714375"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Disseminate results/reports</w:t>
      </w:r>
      <w:r>
        <w:rPr>
          <w:rFonts w:asciiTheme="majorHAnsi" w:hAnsiTheme="majorHAnsi"/>
        </w:rPr>
        <w:tab/>
        <w:t>(6 weeks</w:t>
      </w:r>
      <w:r w:rsidR="001A698F">
        <w:rPr>
          <w:rFonts w:asciiTheme="majorHAnsi" w:hAnsiTheme="majorHAnsi"/>
        </w:rPr>
        <w:t>)</w:t>
      </w:r>
    </w:p>
    <w:p w:rsidR="000A71DF" w:rsidRDefault="000A71DF" w:rsidP="00F52BCC">
      <w:pPr>
        <w:pStyle w:val="ListParagraph"/>
        <w:spacing w:after="0"/>
        <w:rPr>
          <w:rFonts w:asciiTheme="majorHAnsi" w:hAnsiTheme="majorHAnsi"/>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Default="00180D45" w:rsidP="00847F13">
      <w:pPr>
        <w:pStyle w:val="ListParagraph"/>
        <w:spacing w:after="0"/>
        <w:ind w:left="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D75750">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847F13">
      <w:pPr>
        <w:pStyle w:val="ListParagraph"/>
        <w:spacing w:after="0"/>
        <w:ind w:left="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385BB5" w:rsidRDefault="00385BB5">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714375" w:rsidRDefault="00714375" w:rsidP="00714375">
      <w:pPr>
        <w:spacing w:after="0" w:line="360" w:lineRule="auto"/>
        <w:rPr>
          <w:rFonts w:asciiTheme="majorHAnsi" w:hAnsiTheme="majorHAnsi"/>
          <w:b/>
        </w:rPr>
      </w:pPr>
      <w:r w:rsidRPr="00714375">
        <w:rPr>
          <w:rFonts w:asciiTheme="majorHAnsi" w:hAnsiTheme="majorHAnsi"/>
          <w:b/>
        </w:rPr>
        <w:t>Attachment A. Reported Tuberculosis in the United States, 2011</w:t>
      </w:r>
    </w:p>
    <w:p w:rsidR="00714375" w:rsidRDefault="00714375" w:rsidP="00714375">
      <w:pPr>
        <w:spacing w:after="0" w:line="360" w:lineRule="auto"/>
        <w:rPr>
          <w:rFonts w:asciiTheme="majorHAnsi" w:hAnsiTheme="majorHAnsi"/>
          <w:b/>
        </w:rPr>
      </w:pPr>
    </w:p>
    <w:p w:rsidR="00714375" w:rsidRDefault="00714375" w:rsidP="00714375">
      <w:pPr>
        <w:spacing w:after="0" w:line="360" w:lineRule="auto"/>
        <w:rPr>
          <w:rFonts w:asciiTheme="majorHAnsi" w:hAnsiTheme="majorHAnsi"/>
          <w:b/>
        </w:rPr>
      </w:pPr>
      <w:r>
        <w:rPr>
          <w:rFonts w:asciiTheme="majorHAnsi" w:hAnsiTheme="majorHAnsi"/>
          <w:b/>
        </w:rPr>
        <w:t xml:space="preserve">Attachment B. </w:t>
      </w:r>
      <w:r w:rsidR="001A698F" w:rsidRPr="00714375">
        <w:rPr>
          <w:rFonts w:asciiTheme="majorHAnsi" w:hAnsiTheme="majorHAnsi"/>
          <w:b/>
        </w:rPr>
        <w:t>Report of Expert Consultations on Rapid Molecular Testing to Detect Drug-</w:t>
      </w:r>
    </w:p>
    <w:p w:rsidR="001A698F" w:rsidRPr="00714375" w:rsidRDefault="001A698F" w:rsidP="00714375">
      <w:pPr>
        <w:spacing w:after="0" w:line="360" w:lineRule="auto"/>
        <w:ind w:left="720" w:firstLine="720"/>
        <w:rPr>
          <w:rFonts w:asciiTheme="majorHAnsi" w:hAnsiTheme="majorHAnsi"/>
          <w:b/>
        </w:rPr>
      </w:pPr>
      <w:r w:rsidRPr="00714375">
        <w:rPr>
          <w:rFonts w:asciiTheme="majorHAnsi" w:hAnsiTheme="majorHAnsi"/>
          <w:b/>
        </w:rPr>
        <w:t>Resistant Tuberculosis in the United States</w:t>
      </w:r>
    </w:p>
    <w:p w:rsidR="00714375" w:rsidRDefault="00714375" w:rsidP="00714375">
      <w:pPr>
        <w:spacing w:line="360" w:lineRule="auto"/>
        <w:rPr>
          <w:rFonts w:asciiTheme="majorHAnsi" w:hAnsiTheme="majorHAnsi"/>
          <w:b/>
        </w:rPr>
      </w:pPr>
      <w:r>
        <w:rPr>
          <w:rFonts w:asciiTheme="majorHAnsi" w:hAnsiTheme="majorHAnsi"/>
          <w:b/>
        </w:rPr>
        <w:t xml:space="preserve">Attachment C. </w:t>
      </w:r>
      <w:r w:rsidR="0072674E" w:rsidRPr="00714375">
        <w:rPr>
          <w:rFonts w:asciiTheme="majorHAnsi" w:hAnsiTheme="majorHAnsi"/>
          <w:b/>
        </w:rPr>
        <w:t>Data Collection Instrument</w:t>
      </w:r>
      <w:r w:rsidR="001A698F" w:rsidRPr="00714375">
        <w:rPr>
          <w:rFonts w:asciiTheme="majorHAnsi" w:hAnsiTheme="majorHAnsi"/>
          <w:b/>
        </w:rPr>
        <w:t>- MS Word version</w:t>
      </w:r>
    </w:p>
    <w:p w:rsidR="001A698F" w:rsidRPr="00714375" w:rsidRDefault="00714375" w:rsidP="00714375">
      <w:pPr>
        <w:spacing w:line="360" w:lineRule="auto"/>
        <w:rPr>
          <w:rFonts w:asciiTheme="majorHAnsi" w:hAnsiTheme="majorHAnsi"/>
          <w:b/>
        </w:rPr>
      </w:pPr>
      <w:r>
        <w:rPr>
          <w:rFonts w:asciiTheme="majorHAnsi" w:hAnsiTheme="majorHAnsi"/>
          <w:b/>
        </w:rPr>
        <w:t xml:space="preserve">Attachment D. </w:t>
      </w:r>
      <w:r w:rsidR="0072674E" w:rsidRPr="00714375">
        <w:rPr>
          <w:rFonts w:asciiTheme="majorHAnsi" w:hAnsiTheme="majorHAnsi"/>
          <w:b/>
        </w:rPr>
        <w:t>Data Collection Instrument</w:t>
      </w:r>
      <w:r w:rsidR="007E5305" w:rsidRPr="00714375">
        <w:rPr>
          <w:rFonts w:asciiTheme="majorHAnsi" w:hAnsiTheme="majorHAnsi"/>
          <w:b/>
        </w:rPr>
        <w:t>-</w:t>
      </w:r>
      <w:r w:rsidR="00342A61" w:rsidRPr="00714375">
        <w:rPr>
          <w:rFonts w:asciiTheme="majorHAnsi" w:hAnsiTheme="majorHAnsi"/>
          <w:b/>
        </w:rPr>
        <w:t>Online (PDF) version</w:t>
      </w:r>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2E" w:rsidRDefault="00B7032E" w:rsidP="00716F94">
      <w:pPr>
        <w:spacing w:after="0" w:line="240" w:lineRule="auto"/>
      </w:pPr>
      <w:r>
        <w:separator/>
      </w:r>
    </w:p>
  </w:endnote>
  <w:endnote w:type="continuationSeparator" w:id="0">
    <w:p w:rsidR="00B7032E" w:rsidRDefault="00B7032E"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B7032E" w:rsidRDefault="00B7032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A2972">
              <w:rPr>
                <w:b/>
                <w:noProof/>
              </w:rPr>
              <w:t>2</w:t>
            </w:r>
            <w:r>
              <w:rPr>
                <w:b/>
                <w:sz w:val="24"/>
                <w:szCs w:val="24"/>
              </w:rPr>
              <w:fldChar w:fldCharType="end"/>
            </w:r>
            <w:r>
              <w:t xml:space="preserve"> of </w:t>
            </w:r>
            <w:r>
              <w:rPr>
                <w:b/>
                <w:szCs w:val="24"/>
              </w:rPr>
              <w:t>8</w:t>
            </w:r>
          </w:p>
        </w:sdtContent>
      </w:sdt>
    </w:sdtContent>
  </w:sdt>
  <w:p w:rsidR="00B7032E" w:rsidRDefault="00B70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2E" w:rsidRDefault="00B7032E" w:rsidP="00716F94">
      <w:pPr>
        <w:spacing w:after="0" w:line="240" w:lineRule="auto"/>
      </w:pPr>
      <w:r>
        <w:separator/>
      </w:r>
    </w:p>
  </w:footnote>
  <w:footnote w:type="continuationSeparator" w:id="0">
    <w:p w:rsidR="00B7032E" w:rsidRDefault="00B7032E"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2E" w:rsidRPr="00716F94" w:rsidRDefault="00B7032E"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F0FA1"/>
    <w:multiLevelType w:val="hybridMultilevel"/>
    <w:tmpl w:val="EB6298B8"/>
    <w:lvl w:ilvl="0" w:tplc="7C18286A">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42DB1236"/>
    <w:multiLevelType w:val="hybridMultilevel"/>
    <w:tmpl w:val="F6523384"/>
    <w:lvl w:ilvl="0" w:tplc="871CCC76">
      <w:start w:val="404"/>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443210"/>
    <w:multiLevelType w:val="hybridMultilevel"/>
    <w:tmpl w:val="49244396"/>
    <w:lvl w:ilvl="0" w:tplc="81A6499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1115168"/>
    <w:multiLevelType w:val="hybridMultilevel"/>
    <w:tmpl w:val="8608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4"/>
  </w:num>
  <w:num w:numId="4">
    <w:abstractNumId w:val="9"/>
  </w:num>
  <w:num w:numId="5">
    <w:abstractNumId w:val="14"/>
  </w:num>
  <w:num w:numId="6">
    <w:abstractNumId w:val="7"/>
  </w:num>
  <w:num w:numId="7">
    <w:abstractNumId w:val="0"/>
  </w:num>
  <w:num w:numId="8">
    <w:abstractNumId w:val="4"/>
  </w:num>
  <w:num w:numId="9">
    <w:abstractNumId w:val="8"/>
  </w:num>
  <w:num w:numId="10">
    <w:abstractNumId w:val="18"/>
  </w:num>
  <w:num w:numId="11">
    <w:abstractNumId w:val="2"/>
  </w:num>
  <w:num w:numId="12">
    <w:abstractNumId w:val="23"/>
  </w:num>
  <w:num w:numId="13">
    <w:abstractNumId w:val="6"/>
  </w:num>
  <w:num w:numId="14">
    <w:abstractNumId w:val="3"/>
  </w:num>
  <w:num w:numId="15">
    <w:abstractNumId w:val="20"/>
  </w:num>
  <w:num w:numId="16">
    <w:abstractNumId w:val="21"/>
  </w:num>
  <w:num w:numId="17">
    <w:abstractNumId w:val="22"/>
  </w:num>
  <w:num w:numId="18">
    <w:abstractNumId w:val="10"/>
  </w:num>
  <w:num w:numId="19">
    <w:abstractNumId w:val="25"/>
  </w:num>
  <w:num w:numId="20">
    <w:abstractNumId w:val="17"/>
  </w:num>
  <w:num w:numId="21">
    <w:abstractNumId w:val="19"/>
  </w:num>
  <w:num w:numId="22">
    <w:abstractNumId w:val="16"/>
  </w:num>
  <w:num w:numId="23">
    <w:abstractNumId w:val="5"/>
  </w:num>
  <w:num w:numId="24">
    <w:abstractNumId w:val="13"/>
  </w:num>
  <w:num w:numId="25">
    <w:abstractNumId w:val="12"/>
  </w:num>
  <w:num w:numId="26">
    <w:abstractNumId w:val="22"/>
  </w:num>
  <w:num w:numId="27">
    <w:abstractNumId w:val="10"/>
  </w:num>
  <w:num w:numId="28">
    <w:abstractNumId w:val="19"/>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474FB"/>
    <w:rsid w:val="00053A92"/>
    <w:rsid w:val="00054839"/>
    <w:rsid w:val="0005556B"/>
    <w:rsid w:val="00057F36"/>
    <w:rsid w:val="0009493C"/>
    <w:rsid w:val="000A1F30"/>
    <w:rsid w:val="000A71DF"/>
    <w:rsid w:val="000B0962"/>
    <w:rsid w:val="000B2CBC"/>
    <w:rsid w:val="000C5FC2"/>
    <w:rsid w:val="000D44B8"/>
    <w:rsid w:val="000E28FC"/>
    <w:rsid w:val="000E6577"/>
    <w:rsid w:val="000E7A19"/>
    <w:rsid w:val="000F181B"/>
    <w:rsid w:val="00100881"/>
    <w:rsid w:val="00104A1B"/>
    <w:rsid w:val="001065EB"/>
    <w:rsid w:val="001177DD"/>
    <w:rsid w:val="001179FE"/>
    <w:rsid w:val="00135334"/>
    <w:rsid w:val="001412D4"/>
    <w:rsid w:val="00144F64"/>
    <w:rsid w:val="00145D62"/>
    <w:rsid w:val="00151567"/>
    <w:rsid w:val="00162D59"/>
    <w:rsid w:val="00163E17"/>
    <w:rsid w:val="00166F9E"/>
    <w:rsid w:val="00167880"/>
    <w:rsid w:val="00180D45"/>
    <w:rsid w:val="00187870"/>
    <w:rsid w:val="00187D5A"/>
    <w:rsid w:val="001972D7"/>
    <w:rsid w:val="001A28F6"/>
    <w:rsid w:val="001A2972"/>
    <w:rsid w:val="001A698F"/>
    <w:rsid w:val="001B2831"/>
    <w:rsid w:val="001B4065"/>
    <w:rsid w:val="001C0493"/>
    <w:rsid w:val="001C28AD"/>
    <w:rsid w:val="001C418D"/>
    <w:rsid w:val="001C5354"/>
    <w:rsid w:val="001D7FCB"/>
    <w:rsid w:val="001E2B99"/>
    <w:rsid w:val="001E69B6"/>
    <w:rsid w:val="001F44AF"/>
    <w:rsid w:val="001F4DBB"/>
    <w:rsid w:val="00202D07"/>
    <w:rsid w:val="0020312D"/>
    <w:rsid w:val="00203AE4"/>
    <w:rsid w:val="00206E33"/>
    <w:rsid w:val="00210519"/>
    <w:rsid w:val="00227259"/>
    <w:rsid w:val="00231398"/>
    <w:rsid w:val="00241B17"/>
    <w:rsid w:val="00241C81"/>
    <w:rsid w:val="00257A1C"/>
    <w:rsid w:val="00266F97"/>
    <w:rsid w:val="0027234C"/>
    <w:rsid w:val="00281795"/>
    <w:rsid w:val="002850E3"/>
    <w:rsid w:val="00287E2F"/>
    <w:rsid w:val="002A1948"/>
    <w:rsid w:val="002B10C6"/>
    <w:rsid w:val="002C0877"/>
    <w:rsid w:val="002C2AE2"/>
    <w:rsid w:val="002D0DCE"/>
    <w:rsid w:val="002E2B10"/>
    <w:rsid w:val="002E73B0"/>
    <w:rsid w:val="002F1502"/>
    <w:rsid w:val="002F2069"/>
    <w:rsid w:val="002F414B"/>
    <w:rsid w:val="002F71A2"/>
    <w:rsid w:val="003041AD"/>
    <w:rsid w:val="00307895"/>
    <w:rsid w:val="0031279F"/>
    <w:rsid w:val="00316F00"/>
    <w:rsid w:val="00321B51"/>
    <w:rsid w:val="00336D96"/>
    <w:rsid w:val="00342A61"/>
    <w:rsid w:val="00344F07"/>
    <w:rsid w:val="0034693A"/>
    <w:rsid w:val="003469C8"/>
    <w:rsid w:val="00350C8C"/>
    <w:rsid w:val="00355EA4"/>
    <w:rsid w:val="003635BE"/>
    <w:rsid w:val="00366B5E"/>
    <w:rsid w:val="00375135"/>
    <w:rsid w:val="00385BB5"/>
    <w:rsid w:val="00386BC2"/>
    <w:rsid w:val="003B125E"/>
    <w:rsid w:val="003B61EF"/>
    <w:rsid w:val="003C31C9"/>
    <w:rsid w:val="003C4961"/>
    <w:rsid w:val="003C7C5D"/>
    <w:rsid w:val="003D0AD2"/>
    <w:rsid w:val="003F5913"/>
    <w:rsid w:val="004024F8"/>
    <w:rsid w:val="00405696"/>
    <w:rsid w:val="0041159A"/>
    <w:rsid w:val="0041628A"/>
    <w:rsid w:val="004305A8"/>
    <w:rsid w:val="004353D5"/>
    <w:rsid w:val="00443CA0"/>
    <w:rsid w:val="00450E14"/>
    <w:rsid w:val="00457A7B"/>
    <w:rsid w:val="00462C65"/>
    <w:rsid w:val="004674E7"/>
    <w:rsid w:val="00467B14"/>
    <w:rsid w:val="00474EDA"/>
    <w:rsid w:val="00475164"/>
    <w:rsid w:val="004824FA"/>
    <w:rsid w:val="00484011"/>
    <w:rsid w:val="004841F1"/>
    <w:rsid w:val="00496A6B"/>
    <w:rsid w:val="004A1E3A"/>
    <w:rsid w:val="004B46D6"/>
    <w:rsid w:val="004B4B3C"/>
    <w:rsid w:val="004C0BF6"/>
    <w:rsid w:val="004C4464"/>
    <w:rsid w:val="004C4AEA"/>
    <w:rsid w:val="004D0430"/>
    <w:rsid w:val="004D1DAA"/>
    <w:rsid w:val="004D4EB1"/>
    <w:rsid w:val="004E003C"/>
    <w:rsid w:val="004E16EB"/>
    <w:rsid w:val="004E6665"/>
    <w:rsid w:val="004F634E"/>
    <w:rsid w:val="004F67A8"/>
    <w:rsid w:val="004F71C5"/>
    <w:rsid w:val="005023A0"/>
    <w:rsid w:val="0051582C"/>
    <w:rsid w:val="00522A50"/>
    <w:rsid w:val="00527225"/>
    <w:rsid w:val="0053557D"/>
    <w:rsid w:val="005410E3"/>
    <w:rsid w:val="005463DE"/>
    <w:rsid w:val="00546DC2"/>
    <w:rsid w:val="005542E8"/>
    <w:rsid w:val="00556630"/>
    <w:rsid w:val="0055686D"/>
    <w:rsid w:val="005714B8"/>
    <w:rsid w:val="005800EE"/>
    <w:rsid w:val="005869D6"/>
    <w:rsid w:val="0059331E"/>
    <w:rsid w:val="005A33F6"/>
    <w:rsid w:val="005A59E5"/>
    <w:rsid w:val="005B7440"/>
    <w:rsid w:val="005E2150"/>
    <w:rsid w:val="005E2995"/>
    <w:rsid w:val="005E3A96"/>
    <w:rsid w:val="005E4ADC"/>
    <w:rsid w:val="005F3FEF"/>
    <w:rsid w:val="00600C4F"/>
    <w:rsid w:val="00607F7C"/>
    <w:rsid w:val="006102DA"/>
    <w:rsid w:val="00616090"/>
    <w:rsid w:val="006315A3"/>
    <w:rsid w:val="00646DEE"/>
    <w:rsid w:val="006579A2"/>
    <w:rsid w:val="00667C89"/>
    <w:rsid w:val="006711EE"/>
    <w:rsid w:val="006809BB"/>
    <w:rsid w:val="006809FD"/>
    <w:rsid w:val="00691D1F"/>
    <w:rsid w:val="00693D87"/>
    <w:rsid w:val="00697BAE"/>
    <w:rsid w:val="006B114F"/>
    <w:rsid w:val="006B4DDC"/>
    <w:rsid w:val="006B5E55"/>
    <w:rsid w:val="006C4DA7"/>
    <w:rsid w:val="006D25A1"/>
    <w:rsid w:val="006E14E9"/>
    <w:rsid w:val="006F09A2"/>
    <w:rsid w:val="006F6856"/>
    <w:rsid w:val="00714375"/>
    <w:rsid w:val="007145D0"/>
    <w:rsid w:val="00716F94"/>
    <w:rsid w:val="0072674E"/>
    <w:rsid w:val="007528C3"/>
    <w:rsid w:val="00755853"/>
    <w:rsid w:val="00760E12"/>
    <w:rsid w:val="00763CF3"/>
    <w:rsid w:val="00772293"/>
    <w:rsid w:val="00776981"/>
    <w:rsid w:val="00781AE3"/>
    <w:rsid w:val="00783C75"/>
    <w:rsid w:val="00784619"/>
    <w:rsid w:val="0078627B"/>
    <w:rsid w:val="0078765B"/>
    <w:rsid w:val="00794E32"/>
    <w:rsid w:val="007A0D73"/>
    <w:rsid w:val="007A3699"/>
    <w:rsid w:val="007A76F8"/>
    <w:rsid w:val="007B305A"/>
    <w:rsid w:val="007D1D63"/>
    <w:rsid w:val="007E5305"/>
    <w:rsid w:val="007E575D"/>
    <w:rsid w:val="007E6AEF"/>
    <w:rsid w:val="00812056"/>
    <w:rsid w:val="00815C7D"/>
    <w:rsid w:val="00817941"/>
    <w:rsid w:val="008229E4"/>
    <w:rsid w:val="00823547"/>
    <w:rsid w:val="008261AB"/>
    <w:rsid w:val="008269AB"/>
    <w:rsid w:val="00834C91"/>
    <w:rsid w:val="00835CA7"/>
    <w:rsid w:val="008370D4"/>
    <w:rsid w:val="008414AD"/>
    <w:rsid w:val="008428D9"/>
    <w:rsid w:val="00847F13"/>
    <w:rsid w:val="00881320"/>
    <w:rsid w:val="0088467A"/>
    <w:rsid w:val="00884DB9"/>
    <w:rsid w:val="00895126"/>
    <w:rsid w:val="00897A47"/>
    <w:rsid w:val="008C67D2"/>
    <w:rsid w:val="008D0218"/>
    <w:rsid w:val="008E0683"/>
    <w:rsid w:val="00902DD9"/>
    <w:rsid w:val="00911486"/>
    <w:rsid w:val="009129CA"/>
    <w:rsid w:val="009144C7"/>
    <w:rsid w:val="009206B6"/>
    <w:rsid w:val="00923294"/>
    <w:rsid w:val="009244DC"/>
    <w:rsid w:val="009252DC"/>
    <w:rsid w:val="009263C1"/>
    <w:rsid w:val="00941B4F"/>
    <w:rsid w:val="009518C0"/>
    <w:rsid w:val="00963CE3"/>
    <w:rsid w:val="00964F18"/>
    <w:rsid w:val="009720A1"/>
    <w:rsid w:val="00974424"/>
    <w:rsid w:val="00987F76"/>
    <w:rsid w:val="00993088"/>
    <w:rsid w:val="0099664F"/>
    <w:rsid w:val="00997D5D"/>
    <w:rsid w:val="009A0447"/>
    <w:rsid w:val="009A2CE5"/>
    <w:rsid w:val="009B391A"/>
    <w:rsid w:val="009B4A51"/>
    <w:rsid w:val="009C1463"/>
    <w:rsid w:val="009C28B1"/>
    <w:rsid w:val="009C61AD"/>
    <w:rsid w:val="009D1D9C"/>
    <w:rsid w:val="009D373D"/>
    <w:rsid w:val="009D7B2C"/>
    <w:rsid w:val="009E0801"/>
    <w:rsid w:val="009E1D05"/>
    <w:rsid w:val="009F7DE0"/>
    <w:rsid w:val="00A11B0C"/>
    <w:rsid w:val="00A236FB"/>
    <w:rsid w:val="00A3388F"/>
    <w:rsid w:val="00A33B35"/>
    <w:rsid w:val="00A33E90"/>
    <w:rsid w:val="00A34C1D"/>
    <w:rsid w:val="00A36419"/>
    <w:rsid w:val="00A4305C"/>
    <w:rsid w:val="00A44921"/>
    <w:rsid w:val="00A4590E"/>
    <w:rsid w:val="00A578C2"/>
    <w:rsid w:val="00A64D94"/>
    <w:rsid w:val="00A72652"/>
    <w:rsid w:val="00A75D1C"/>
    <w:rsid w:val="00A809AA"/>
    <w:rsid w:val="00A849B3"/>
    <w:rsid w:val="00A8510D"/>
    <w:rsid w:val="00A86AF3"/>
    <w:rsid w:val="00A87A4D"/>
    <w:rsid w:val="00A90AFF"/>
    <w:rsid w:val="00A90BDC"/>
    <w:rsid w:val="00A95477"/>
    <w:rsid w:val="00A975A9"/>
    <w:rsid w:val="00AA3192"/>
    <w:rsid w:val="00AA7158"/>
    <w:rsid w:val="00AB0486"/>
    <w:rsid w:val="00AB251E"/>
    <w:rsid w:val="00AB3608"/>
    <w:rsid w:val="00AC5C48"/>
    <w:rsid w:val="00AC63E3"/>
    <w:rsid w:val="00AF0CF4"/>
    <w:rsid w:val="00AF1A5A"/>
    <w:rsid w:val="00AF2252"/>
    <w:rsid w:val="00B00B12"/>
    <w:rsid w:val="00B1129F"/>
    <w:rsid w:val="00B11D61"/>
    <w:rsid w:val="00B12F51"/>
    <w:rsid w:val="00B2751E"/>
    <w:rsid w:val="00B3650C"/>
    <w:rsid w:val="00B47055"/>
    <w:rsid w:val="00B64BFA"/>
    <w:rsid w:val="00B7032E"/>
    <w:rsid w:val="00B71E63"/>
    <w:rsid w:val="00B838B7"/>
    <w:rsid w:val="00B85DE4"/>
    <w:rsid w:val="00B87AAD"/>
    <w:rsid w:val="00B91A31"/>
    <w:rsid w:val="00BA6C28"/>
    <w:rsid w:val="00BA6DB4"/>
    <w:rsid w:val="00BC3F3C"/>
    <w:rsid w:val="00BC5BB2"/>
    <w:rsid w:val="00BC6355"/>
    <w:rsid w:val="00BE738E"/>
    <w:rsid w:val="00BF11A1"/>
    <w:rsid w:val="00BF3F54"/>
    <w:rsid w:val="00BF5726"/>
    <w:rsid w:val="00C00697"/>
    <w:rsid w:val="00C0376C"/>
    <w:rsid w:val="00C061D6"/>
    <w:rsid w:val="00C06D77"/>
    <w:rsid w:val="00C14BA6"/>
    <w:rsid w:val="00C3485C"/>
    <w:rsid w:val="00C41DAE"/>
    <w:rsid w:val="00C544A4"/>
    <w:rsid w:val="00C768E5"/>
    <w:rsid w:val="00C86CE5"/>
    <w:rsid w:val="00CA2004"/>
    <w:rsid w:val="00CA5B99"/>
    <w:rsid w:val="00CB334D"/>
    <w:rsid w:val="00CB56D5"/>
    <w:rsid w:val="00CC63A1"/>
    <w:rsid w:val="00CD1EA8"/>
    <w:rsid w:val="00CF5ABD"/>
    <w:rsid w:val="00CF63CE"/>
    <w:rsid w:val="00D067C1"/>
    <w:rsid w:val="00D11982"/>
    <w:rsid w:val="00D13B13"/>
    <w:rsid w:val="00D16E78"/>
    <w:rsid w:val="00D17004"/>
    <w:rsid w:val="00D201D3"/>
    <w:rsid w:val="00D26A64"/>
    <w:rsid w:val="00D52B9A"/>
    <w:rsid w:val="00D5367E"/>
    <w:rsid w:val="00D53B1E"/>
    <w:rsid w:val="00D5714C"/>
    <w:rsid w:val="00D67E4F"/>
    <w:rsid w:val="00D75750"/>
    <w:rsid w:val="00D81B05"/>
    <w:rsid w:val="00D84EF0"/>
    <w:rsid w:val="00D861ED"/>
    <w:rsid w:val="00D873E0"/>
    <w:rsid w:val="00D94F8B"/>
    <w:rsid w:val="00D95FBF"/>
    <w:rsid w:val="00DA5988"/>
    <w:rsid w:val="00DB7F78"/>
    <w:rsid w:val="00DC317C"/>
    <w:rsid w:val="00DC4FF2"/>
    <w:rsid w:val="00DC79CC"/>
    <w:rsid w:val="00E10D39"/>
    <w:rsid w:val="00E134F4"/>
    <w:rsid w:val="00E162E0"/>
    <w:rsid w:val="00E23568"/>
    <w:rsid w:val="00E245B5"/>
    <w:rsid w:val="00E33E1B"/>
    <w:rsid w:val="00E34D3E"/>
    <w:rsid w:val="00E70D87"/>
    <w:rsid w:val="00E720E9"/>
    <w:rsid w:val="00E81C5E"/>
    <w:rsid w:val="00E838AB"/>
    <w:rsid w:val="00E83B3C"/>
    <w:rsid w:val="00E8736B"/>
    <w:rsid w:val="00E90275"/>
    <w:rsid w:val="00E925D4"/>
    <w:rsid w:val="00E96F0A"/>
    <w:rsid w:val="00E97226"/>
    <w:rsid w:val="00EA2B44"/>
    <w:rsid w:val="00EA33EF"/>
    <w:rsid w:val="00EC16F6"/>
    <w:rsid w:val="00EC4FFD"/>
    <w:rsid w:val="00EC5EFC"/>
    <w:rsid w:val="00EF33CD"/>
    <w:rsid w:val="00F12924"/>
    <w:rsid w:val="00F20C9B"/>
    <w:rsid w:val="00F25892"/>
    <w:rsid w:val="00F300CB"/>
    <w:rsid w:val="00F42C3A"/>
    <w:rsid w:val="00F52BCC"/>
    <w:rsid w:val="00F5313F"/>
    <w:rsid w:val="00F81A48"/>
    <w:rsid w:val="00F97105"/>
    <w:rsid w:val="00FB62BC"/>
    <w:rsid w:val="00FD17C9"/>
    <w:rsid w:val="00FD2A5B"/>
    <w:rsid w:val="00FE06EE"/>
    <w:rsid w:val="00FE6A5C"/>
    <w:rsid w:val="00FF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60758">
      <w:bodyDiv w:val="1"/>
      <w:marLeft w:val="0"/>
      <w:marRight w:val="0"/>
      <w:marTop w:val="0"/>
      <w:marBottom w:val="0"/>
      <w:divBdr>
        <w:top w:val="none" w:sz="0" w:space="0" w:color="auto"/>
        <w:left w:val="none" w:sz="0" w:space="0" w:color="auto"/>
        <w:bottom w:val="none" w:sz="0" w:space="0" w:color="auto"/>
        <w:right w:val="none" w:sz="0" w:space="0" w:color="auto"/>
      </w:divBdr>
    </w:div>
    <w:div w:id="6946919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CDC132</b:Tag>
    <b:SourceType>DocumentFromInternetSite</b:SourceType>
    <b:Guid>{3087805B-FD28-4233-BE14-E5F59BAEA2EF}</b:Guid>
    <b:Title>Core Curriculum on Tuberculosis: What the Clinician Should Know</b:Title>
    <b:Year>2013</b:Year>
    <b:Author>
      <b:Author>
        <b:Corporate>CDC</b:Corporate>
      </b:Author>
    </b:Author>
    <b:InternetSiteTitle>CDC</b:InternetSiteTitle>
    <b:YearAccessed>2013</b:YearAccessed>
    <b:MonthAccessed>July</b:MonthAccessed>
    <b:DayAccessed>26</b:DayAccessed>
    <b:URL>http://www.cdc.gov/tb/education/corecurr/pdf/corecurr_all.pdf</b:URL>
    <b:Version>6th edition</b:Version>
    <b:RefOrder>6</b:RefOrder>
  </b:Source>
</b:Sources>
</file>

<file path=customXml/itemProps1.xml><?xml version="1.0" encoding="utf-8"?>
<ds:datastoreItem xmlns:ds="http://schemas.openxmlformats.org/officeDocument/2006/customXml" ds:itemID="{16294CDC-E77B-41DD-B2C7-D36B9FB9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13</cp:revision>
  <cp:lastPrinted>2011-06-07T15:53:00Z</cp:lastPrinted>
  <dcterms:created xsi:type="dcterms:W3CDTF">2013-11-04T20:03:00Z</dcterms:created>
  <dcterms:modified xsi:type="dcterms:W3CDTF">2013-11-05T13:28:00Z</dcterms:modified>
</cp:coreProperties>
</file>