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866700" w:rsidRDefault="00E62884" w:rsidP="00866700">
      <w:pPr>
        <w:spacing w:after="0"/>
        <w:jc w:val="center"/>
        <w:rPr>
          <w:rFonts w:asciiTheme="majorHAnsi" w:hAnsiTheme="majorHAnsi"/>
          <w:b/>
          <w:sz w:val="40"/>
        </w:rPr>
      </w:pPr>
      <w:bookmarkStart w:id="0" w:name="_GoBack"/>
      <w:bookmarkEnd w:id="0"/>
      <w:r>
        <w:rPr>
          <w:rFonts w:asciiTheme="majorHAnsi" w:hAnsiTheme="majorHAnsi"/>
          <w:b/>
          <w:sz w:val="40"/>
        </w:rPr>
        <w:t>Case Study</w:t>
      </w:r>
      <w:r w:rsidR="00866700">
        <w:rPr>
          <w:rFonts w:asciiTheme="majorHAnsi" w:hAnsiTheme="majorHAnsi"/>
          <w:b/>
          <w:sz w:val="40"/>
        </w:rPr>
        <w:t xml:space="preserve"> of the Career Epidemiology Field Officer Assignments in </w:t>
      </w:r>
      <w:r w:rsidR="009B1A77">
        <w:rPr>
          <w:rFonts w:asciiTheme="majorHAnsi" w:hAnsiTheme="majorHAnsi"/>
          <w:b/>
          <w:sz w:val="40"/>
        </w:rPr>
        <w:t>Three State Health Departments</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645C3F">
        <w:rPr>
          <w:rFonts w:asciiTheme="majorHAnsi" w:hAnsiTheme="majorHAnsi"/>
        </w:rPr>
        <w:t>11/</w:t>
      </w:r>
      <w:r w:rsidR="00E62884">
        <w:rPr>
          <w:rFonts w:asciiTheme="majorHAnsi" w:hAnsiTheme="majorHAnsi"/>
        </w:rPr>
        <w:t>21</w:t>
      </w:r>
      <w:r w:rsidR="009B1A77">
        <w:rPr>
          <w:rFonts w:asciiTheme="majorHAnsi" w:hAnsiTheme="majorHAnsi"/>
        </w:rPr>
        <w:t>/2013</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930E6B" w:rsidRDefault="00930E6B" w:rsidP="00930E6B">
      <w:pPr>
        <w:spacing w:after="0" w:line="240" w:lineRule="auto"/>
        <w:rPr>
          <w:rFonts w:asciiTheme="majorHAnsi" w:hAnsiTheme="majorHAnsi"/>
        </w:rPr>
      </w:pPr>
      <w:r>
        <w:rPr>
          <w:rFonts w:asciiTheme="majorHAnsi" w:hAnsiTheme="majorHAnsi"/>
        </w:rPr>
        <w:t>Kerry Pride, DVM, MPH, DACVPM</w:t>
      </w:r>
    </w:p>
    <w:p w:rsidR="00930E6B" w:rsidRDefault="00930E6B" w:rsidP="00930E6B">
      <w:pPr>
        <w:spacing w:after="0" w:line="240" w:lineRule="auto"/>
        <w:rPr>
          <w:rFonts w:asciiTheme="majorHAnsi" w:hAnsiTheme="majorHAnsi"/>
        </w:rPr>
      </w:pPr>
      <w:r>
        <w:rPr>
          <w:rFonts w:asciiTheme="majorHAnsi" w:hAnsiTheme="majorHAnsi"/>
        </w:rPr>
        <w:t>Preventive Medicine Fellow</w:t>
      </w:r>
    </w:p>
    <w:p w:rsidR="00930E6B" w:rsidRDefault="00930E6B" w:rsidP="00930E6B">
      <w:pPr>
        <w:spacing w:after="0" w:line="240" w:lineRule="auto"/>
        <w:rPr>
          <w:rFonts w:asciiTheme="majorHAnsi" w:hAnsiTheme="majorHAnsi"/>
        </w:rPr>
      </w:pPr>
      <w:r>
        <w:rPr>
          <w:rFonts w:asciiTheme="majorHAnsi" w:hAnsiTheme="majorHAnsi"/>
        </w:rPr>
        <w:t xml:space="preserve">1400 Broadway, </w:t>
      </w:r>
      <w:proofErr w:type="spellStart"/>
      <w:r>
        <w:rPr>
          <w:rFonts w:asciiTheme="majorHAnsi" w:hAnsiTheme="majorHAnsi"/>
        </w:rPr>
        <w:t>Rm</w:t>
      </w:r>
      <w:proofErr w:type="spellEnd"/>
      <w:r>
        <w:rPr>
          <w:rFonts w:asciiTheme="majorHAnsi" w:hAnsiTheme="majorHAnsi"/>
        </w:rPr>
        <w:t xml:space="preserve"> 201</w:t>
      </w:r>
    </w:p>
    <w:p w:rsidR="00930E6B" w:rsidRDefault="00930E6B" w:rsidP="00930E6B">
      <w:pPr>
        <w:spacing w:after="0" w:line="240" w:lineRule="auto"/>
        <w:rPr>
          <w:rFonts w:asciiTheme="majorHAnsi" w:hAnsiTheme="majorHAnsi"/>
        </w:rPr>
      </w:pPr>
      <w:r>
        <w:rPr>
          <w:rFonts w:asciiTheme="majorHAnsi" w:hAnsiTheme="majorHAnsi"/>
        </w:rPr>
        <w:t>Helena, MT 59620</w:t>
      </w:r>
    </w:p>
    <w:p w:rsidR="00930E6B" w:rsidRDefault="00930E6B" w:rsidP="00930E6B">
      <w:pPr>
        <w:spacing w:after="0" w:line="240" w:lineRule="auto"/>
        <w:rPr>
          <w:rFonts w:asciiTheme="majorHAnsi" w:hAnsiTheme="majorHAnsi"/>
        </w:rPr>
      </w:pPr>
      <w:r>
        <w:rPr>
          <w:rFonts w:asciiTheme="majorHAnsi" w:hAnsiTheme="majorHAnsi"/>
        </w:rPr>
        <w:t>406-444-5980</w:t>
      </w:r>
    </w:p>
    <w:p w:rsidR="00930E6B" w:rsidRDefault="00930E6B" w:rsidP="00930E6B">
      <w:pPr>
        <w:spacing w:after="0" w:line="240" w:lineRule="auto"/>
        <w:rPr>
          <w:rFonts w:asciiTheme="majorHAnsi" w:hAnsiTheme="majorHAnsi"/>
        </w:rPr>
      </w:pPr>
      <w:r>
        <w:rPr>
          <w:rFonts w:asciiTheme="majorHAnsi" w:hAnsiTheme="majorHAnsi"/>
        </w:rPr>
        <w:t>406-600-1594</w:t>
      </w:r>
    </w:p>
    <w:p w:rsidR="00930E6B" w:rsidRDefault="00930E6B" w:rsidP="00930E6B">
      <w:pPr>
        <w:spacing w:after="0" w:line="240" w:lineRule="auto"/>
        <w:rPr>
          <w:rFonts w:asciiTheme="majorHAnsi" w:hAnsiTheme="majorHAnsi"/>
        </w:rPr>
      </w:pPr>
      <w:r>
        <w:rPr>
          <w:rFonts w:asciiTheme="majorHAnsi" w:hAnsiTheme="majorHAnsi"/>
        </w:rPr>
        <w:t>hgp3@cdc.gov</w:t>
      </w:r>
    </w:p>
    <w:p w:rsidR="00F725B5" w:rsidRDefault="00F725B5" w:rsidP="00B12F51">
      <w:pPr>
        <w:spacing w:after="0"/>
        <w:rPr>
          <w:rFonts w:ascii="Times New Roman" w:hAnsi="Times New Roman" w:cs="Times New Roman"/>
          <w:bCs/>
          <w:color w:val="FF0000"/>
        </w:rPr>
      </w:pPr>
    </w:p>
    <w:p w:rsidR="00930E6B" w:rsidRDefault="00930E6B" w:rsidP="00B12F51">
      <w:pPr>
        <w:spacing w:after="0"/>
        <w:rPr>
          <w:rFonts w:ascii="Times New Roman" w:hAnsi="Times New Roman" w:cs="Times New Roman"/>
          <w:bCs/>
          <w:color w:val="FF0000"/>
        </w:rPr>
      </w:pP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9759F3" w:rsidRDefault="009759F3" w:rsidP="001F6A29">
      <w:pPr>
        <w:pStyle w:val="ListParagraph"/>
        <w:numPr>
          <w:ilvl w:val="0"/>
          <w:numId w:val="3"/>
        </w:numPr>
        <w:spacing w:after="0"/>
        <w:ind w:left="36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rsidR="00137C7B" w:rsidRDefault="00977F2B" w:rsidP="001F6A29">
      <w:pPr>
        <w:pStyle w:val="NoSpacing"/>
        <w:ind w:left="360"/>
        <w:rPr>
          <w:rFonts w:asciiTheme="majorHAnsi" w:hAnsiTheme="majorHAnsi" w:cs="Times New Roman"/>
        </w:rPr>
      </w:pPr>
      <w:r w:rsidRPr="005E0B81">
        <w:rPr>
          <w:rFonts w:asciiTheme="majorHAnsi" w:hAnsiTheme="majorHAnsi" w:cs="Times New Roman"/>
        </w:rPr>
        <w:t>The respondent universe consists of 18 state and Tribal public health officials acting in their official capacity that receive direct assistance from the Career Epidemiology</w:t>
      </w:r>
      <w:r w:rsidR="00241EA3" w:rsidRPr="005E0B81">
        <w:rPr>
          <w:rFonts w:asciiTheme="majorHAnsi" w:hAnsiTheme="majorHAnsi" w:cs="Times New Roman"/>
        </w:rPr>
        <w:t xml:space="preserve"> Field Officer (CEFO) Program</w:t>
      </w:r>
      <w:r w:rsidRPr="005E0B81">
        <w:rPr>
          <w:rFonts w:asciiTheme="majorHAnsi" w:hAnsiTheme="majorHAnsi" w:cs="Times New Roman"/>
        </w:rPr>
        <w:t xml:space="preserve">.  </w:t>
      </w:r>
      <w:r w:rsidR="00CE3B70" w:rsidRPr="00CE3B70">
        <w:rPr>
          <w:rFonts w:asciiTheme="majorHAnsi" w:hAnsiTheme="majorHAnsi" w:cs="Times New Roman"/>
        </w:rPr>
        <w:t xml:space="preserve">These respondents are CEFO state supervisors and key informants. </w:t>
      </w:r>
      <w:r w:rsidR="00CE3B70">
        <w:rPr>
          <w:rFonts w:asciiTheme="majorHAnsi" w:hAnsiTheme="majorHAnsi" w:cs="Times New Roman"/>
        </w:rPr>
        <w:t xml:space="preserve">Specifically, </w:t>
      </w:r>
      <w:r w:rsidR="00FE7030" w:rsidRPr="00FE7030">
        <w:rPr>
          <w:rFonts w:asciiTheme="majorHAnsi" w:hAnsiTheme="majorHAnsi" w:cs="Times New Roman"/>
        </w:rPr>
        <w:t xml:space="preserve">CEFOs identified eleven CEFO State Supervisors and PHEP Directors and seven CEFO State and Tribal Partners as the individuals who directly work, interact, and collaborate with the CEFO.  These individuals are able to speak </w:t>
      </w:r>
      <w:r w:rsidR="00FE7030" w:rsidRPr="00A31A6D">
        <w:rPr>
          <w:rFonts w:asciiTheme="majorHAnsi" w:hAnsiTheme="majorHAnsi" w:cs="Times New Roman"/>
        </w:rPr>
        <w:t>directly to the</w:t>
      </w:r>
      <w:r w:rsidR="00877298" w:rsidRPr="00A31A6D">
        <w:rPr>
          <w:rFonts w:asciiTheme="majorHAnsi" w:hAnsiTheme="majorHAnsi" w:cs="Times New Roman"/>
        </w:rPr>
        <w:t xml:space="preserve"> roles and contributions of CEFOs</w:t>
      </w:r>
      <w:r w:rsidR="00FE7030" w:rsidRPr="00A31A6D">
        <w:rPr>
          <w:rFonts w:asciiTheme="majorHAnsi" w:hAnsiTheme="majorHAnsi" w:cs="Times New Roman"/>
        </w:rPr>
        <w:t>. In an effort to gather information on the full breadth the program responses from both supervisors and key partners are vital, leading to two different respondent</w:t>
      </w:r>
      <w:r w:rsidR="00FE7030" w:rsidRPr="00FE7030">
        <w:rPr>
          <w:rFonts w:asciiTheme="majorHAnsi" w:hAnsiTheme="majorHAnsi" w:cs="Times New Roman"/>
        </w:rPr>
        <w:t xml:space="preserve"> universes</w:t>
      </w:r>
      <w:r w:rsidR="00FE7030">
        <w:rPr>
          <w:rFonts w:asciiTheme="majorHAnsi" w:hAnsiTheme="majorHAnsi" w:cs="Times New Roman"/>
        </w:rPr>
        <w:t>.   Therefore, the total respondent universe</w:t>
      </w:r>
      <w:r w:rsidR="00CE3B70">
        <w:rPr>
          <w:rFonts w:asciiTheme="majorHAnsi" w:hAnsiTheme="majorHAnsi" w:cs="Times New Roman"/>
        </w:rPr>
        <w:t xml:space="preserve"> </w:t>
      </w:r>
      <w:r w:rsidRPr="005E0B81">
        <w:rPr>
          <w:rFonts w:asciiTheme="majorHAnsi" w:hAnsiTheme="majorHAnsi" w:cs="Times New Roman"/>
        </w:rPr>
        <w:t xml:space="preserve">are composed of state epidemiologists, state public health emergency preparedness (PHEP) directors, state medical officers, state public health veterinarians, state tobacco project officer, chief administrator, bureau chiefs, and Tribal public health </w:t>
      </w:r>
      <w:r w:rsidR="003353B5">
        <w:rPr>
          <w:rFonts w:asciiTheme="majorHAnsi" w:hAnsiTheme="majorHAnsi" w:cs="Times New Roman"/>
        </w:rPr>
        <w:t>directors</w:t>
      </w:r>
      <w:r w:rsidRPr="005E0B81">
        <w:rPr>
          <w:rFonts w:asciiTheme="majorHAnsi" w:hAnsiTheme="majorHAnsi" w:cs="Times New Roman"/>
        </w:rPr>
        <w:t>.</w:t>
      </w:r>
    </w:p>
    <w:p w:rsidR="00137C7B" w:rsidRDefault="00137C7B" w:rsidP="001F6A29">
      <w:pPr>
        <w:pStyle w:val="NoSpacing"/>
        <w:ind w:left="360"/>
        <w:rPr>
          <w:rFonts w:asciiTheme="majorHAnsi" w:hAnsiTheme="majorHAnsi" w:cs="Times New Roman"/>
        </w:rPr>
      </w:pPr>
    </w:p>
    <w:p w:rsidR="00977F2B" w:rsidRPr="005E0B81" w:rsidRDefault="006F7347" w:rsidP="006F7347">
      <w:pPr>
        <w:pStyle w:val="NoSpacing"/>
        <w:ind w:left="360"/>
        <w:rPr>
          <w:rFonts w:asciiTheme="majorHAnsi" w:hAnsiTheme="majorHAnsi" w:cs="Times New Roman"/>
        </w:rPr>
      </w:pPr>
      <w:r>
        <w:rPr>
          <w:rFonts w:asciiTheme="majorHAnsi" w:hAnsiTheme="majorHAnsi" w:cs="Times New Roman"/>
        </w:rPr>
        <w:t xml:space="preserve">The respondent universe consists of state and tribal public health officials from </w:t>
      </w:r>
      <w:r w:rsidR="00137C7B" w:rsidRPr="00137C7B">
        <w:rPr>
          <w:rFonts w:asciiTheme="majorHAnsi" w:hAnsiTheme="majorHAnsi" w:cs="Times New Roman"/>
        </w:rPr>
        <w:t>Idaho, Montana and Wyoming health depart</w:t>
      </w:r>
      <w:r>
        <w:rPr>
          <w:rFonts w:asciiTheme="majorHAnsi" w:hAnsiTheme="majorHAnsi" w:cs="Times New Roman"/>
        </w:rPr>
        <w:t xml:space="preserve">ments.  </w:t>
      </w:r>
      <w:r w:rsidR="00137C7B" w:rsidRPr="00137C7B">
        <w:rPr>
          <w:rFonts w:asciiTheme="majorHAnsi" w:hAnsiTheme="majorHAnsi" w:cs="Times New Roman"/>
        </w:rPr>
        <w:t xml:space="preserve"> Idaho, Montana and Wyoming were chosen because they are rural states with three different types of health departments and different lengths of tenure by the CEFOs. The health departments are centralized, decentralized, and hybrid with district local health departments. These state health departments will help the program gain a better </w:t>
      </w:r>
      <w:r w:rsidR="00137C7B" w:rsidRPr="00A31A6D">
        <w:rPr>
          <w:rFonts w:asciiTheme="majorHAnsi" w:hAnsiTheme="majorHAnsi" w:cs="Times New Roman"/>
        </w:rPr>
        <w:t xml:space="preserve">understanding of </w:t>
      </w:r>
      <w:proofErr w:type="gramStart"/>
      <w:r w:rsidR="00137C7B" w:rsidRPr="00A31A6D">
        <w:rPr>
          <w:rFonts w:asciiTheme="majorHAnsi" w:hAnsiTheme="majorHAnsi" w:cs="Times New Roman"/>
        </w:rPr>
        <w:t>the  functions</w:t>
      </w:r>
      <w:proofErr w:type="gramEnd"/>
      <w:r w:rsidR="00137C7B" w:rsidRPr="00137C7B">
        <w:rPr>
          <w:rFonts w:asciiTheme="majorHAnsi" w:hAnsiTheme="majorHAnsi" w:cs="Times New Roman"/>
        </w:rPr>
        <w:t xml:space="preserve"> and state-specific factors that influence the work of CEFOs within different states that share similar public health problems.</w:t>
      </w:r>
      <w:r>
        <w:rPr>
          <w:rFonts w:asciiTheme="majorHAnsi" w:hAnsiTheme="majorHAnsi" w:cs="Times New Roman"/>
        </w:rPr>
        <w:t xml:space="preserve">  </w:t>
      </w:r>
      <w:r w:rsidR="00977F2B" w:rsidRPr="005E0B81">
        <w:rPr>
          <w:rFonts w:asciiTheme="majorHAnsi" w:hAnsiTheme="majorHAnsi" w:cs="Times New Roman"/>
        </w:rPr>
        <w:t xml:space="preserve"> The CEFO Program desires and expects a 100 percent response rate, since respondents have been engaged in the development of the </w:t>
      </w:r>
      <w:r w:rsidR="00E62884">
        <w:rPr>
          <w:rFonts w:asciiTheme="majorHAnsi" w:hAnsiTheme="majorHAnsi" w:cs="Times New Roman"/>
        </w:rPr>
        <w:t>case study</w:t>
      </w:r>
      <w:r w:rsidR="00977F2B" w:rsidRPr="005E0B81">
        <w:rPr>
          <w:rFonts w:asciiTheme="majorHAnsi" w:hAnsiTheme="majorHAnsi" w:cs="Times New Roman"/>
        </w:rPr>
        <w:t xml:space="preserve"> plan. All respondents </w:t>
      </w:r>
      <w:r w:rsidR="00241EA3" w:rsidRPr="005E0B81">
        <w:rPr>
          <w:rFonts w:asciiTheme="majorHAnsi" w:hAnsiTheme="majorHAnsi" w:cs="Times New Roman"/>
        </w:rPr>
        <w:t>are aware of the data collection plan and have agreed to</w:t>
      </w:r>
      <w:r w:rsidR="00A0505B">
        <w:rPr>
          <w:rFonts w:asciiTheme="majorHAnsi" w:hAnsiTheme="majorHAnsi" w:cs="Times New Roman"/>
        </w:rPr>
        <w:t xml:space="preserve"> participate in the phone interview</w:t>
      </w:r>
      <w:r w:rsidR="00241EA3" w:rsidRPr="005E0B81">
        <w:rPr>
          <w:rFonts w:asciiTheme="majorHAnsi" w:hAnsiTheme="majorHAnsi" w:cs="Times New Roman"/>
        </w:rPr>
        <w:t>.</w:t>
      </w:r>
    </w:p>
    <w:p w:rsidR="00A75D1C" w:rsidRPr="009B1A77" w:rsidRDefault="00A75D1C" w:rsidP="009B1A77">
      <w:pPr>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E24C20">
        <w:trPr>
          <w:trHeight w:hRule="exact" w:val="750"/>
        </w:trPr>
        <w:tc>
          <w:tcPr>
            <w:tcW w:w="3600" w:type="dxa"/>
            <w:tcBorders>
              <w:top w:val="single" w:sz="12" w:space="0" w:color="auto"/>
              <w:bottom w:val="single" w:sz="4" w:space="0" w:color="auto"/>
            </w:tcBorders>
            <w:vAlign w:val="center"/>
          </w:tcPr>
          <w:p w:rsidR="00BC5BB2" w:rsidRPr="006F6856" w:rsidRDefault="009B1A77" w:rsidP="00344F07">
            <w:pPr>
              <w:pStyle w:val="ListParagraph"/>
              <w:ind w:left="0"/>
              <w:rPr>
                <w:rFonts w:asciiTheme="majorHAnsi" w:hAnsiTheme="majorHAnsi"/>
                <w:sz w:val="20"/>
              </w:rPr>
            </w:pPr>
            <w:r>
              <w:rPr>
                <w:rFonts w:asciiTheme="majorHAnsi" w:hAnsiTheme="majorHAnsi"/>
                <w:sz w:val="20"/>
              </w:rPr>
              <w:t xml:space="preserve">State and Tribal </w:t>
            </w:r>
            <w:r w:rsidR="00241EA3">
              <w:rPr>
                <w:rFonts w:asciiTheme="majorHAnsi" w:hAnsiTheme="majorHAnsi"/>
                <w:sz w:val="20"/>
              </w:rPr>
              <w:t>Health Departments</w:t>
            </w:r>
          </w:p>
        </w:tc>
        <w:tc>
          <w:tcPr>
            <w:tcW w:w="4860" w:type="dxa"/>
            <w:tcBorders>
              <w:top w:val="single" w:sz="12" w:space="0" w:color="auto"/>
              <w:bottom w:val="single" w:sz="4" w:space="0" w:color="auto"/>
            </w:tcBorders>
            <w:vAlign w:val="center"/>
          </w:tcPr>
          <w:p w:rsidR="00FE7030" w:rsidRPr="00FE7030" w:rsidRDefault="00FE7030" w:rsidP="00FE7030">
            <w:pPr>
              <w:rPr>
                <w:rFonts w:asciiTheme="majorHAnsi" w:hAnsiTheme="majorHAnsi"/>
                <w:sz w:val="20"/>
              </w:rPr>
            </w:pPr>
            <w:r w:rsidRPr="00FE7030">
              <w:rPr>
                <w:rFonts w:asciiTheme="majorHAnsi" w:hAnsiTheme="majorHAnsi"/>
                <w:sz w:val="20"/>
              </w:rPr>
              <w:t>CEFO State Supervisors and PHEP Directors:</w:t>
            </w:r>
          </w:p>
          <w:p w:rsidR="00BC5BB2" w:rsidRPr="006F6856" w:rsidRDefault="00FE7030" w:rsidP="00FE7030">
            <w:pPr>
              <w:pStyle w:val="ListParagraph"/>
              <w:ind w:left="0"/>
              <w:rPr>
                <w:rFonts w:asciiTheme="majorHAnsi" w:hAnsiTheme="majorHAnsi"/>
                <w:sz w:val="20"/>
              </w:rPr>
            </w:pPr>
            <w:r w:rsidRPr="00FE7030">
              <w:rPr>
                <w:rFonts w:asciiTheme="majorHAnsi" w:hAnsiTheme="majorHAnsi"/>
                <w:sz w:val="20"/>
              </w:rPr>
              <w:t>State Epidemiologists Section Chiefs</w:t>
            </w:r>
          </w:p>
        </w:tc>
        <w:tc>
          <w:tcPr>
            <w:tcW w:w="1080" w:type="dxa"/>
            <w:tcBorders>
              <w:top w:val="single" w:sz="12" w:space="0" w:color="auto"/>
              <w:bottom w:val="single" w:sz="4" w:space="0" w:color="auto"/>
            </w:tcBorders>
            <w:vAlign w:val="center"/>
          </w:tcPr>
          <w:p w:rsidR="00BC5BB2" w:rsidRPr="006F6856" w:rsidRDefault="002C1DE7" w:rsidP="009B1A77">
            <w:pPr>
              <w:pStyle w:val="ListParagraph"/>
              <w:ind w:left="0"/>
              <w:jc w:val="center"/>
              <w:rPr>
                <w:rFonts w:asciiTheme="majorHAnsi" w:hAnsiTheme="majorHAnsi"/>
                <w:sz w:val="20"/>
              </w:rPr>
            </w:pPr>
            <w:r>
              <w:rPr>
                <w:rFonts w:asciiTheme="majorHAnsi" w:hAnsiTheme="majorHAnsi"/>
                <w:sz w:val="20"/>
              </w:rPr>
              <w:t>1</w:t>
            </w:r>
            <w:r w:rsidR="00FE7030">
              <w:rPr>
                <w:rFonts w:asciiTheme="majorHAnsi" w:hAnsiTheme="majorHAnsi"/>
                <w:sz w:val="20"/>
              </w:rPr>
              <w:t>1</w:t>
            </w:r>
          </w:p>
        </w:tc>
      </w:tr>
      <w:tr w:rsidR="00FE7030" w:rsidRPr="006F6856" w:rsidTr="00E24C20">
        <w:trPr>
          <w:trHeight w:hRule="exact" w:val="750"/>
        </w:trPr>
        <w:tc>
          <w:tcPr>
            <w:tcW w:w="3600" w:type="dxa"/>
            <w:tcBorders>
              <w:top w:val="single" w:sz="12" w:space="0" w:color="auto"/>
              <w:bottom w:val="single" w:sz="4" w:space="0" w:color="auto"/>
            </w:tcBorders>
            <w:vAlign w:val="center"/>
          </w:tcPr>
          <w:p w:rsidR="00FE7030" w:rsidRDefault="00FE7030" w:rsidP="00344F07">
            <w:pPr>
              <w:pStyle w:val="ListParagraph"/>
              <w:ind w:left="0"/>
              <w:rPr>
                <w:rFonts w:asciiTheme="majorHAnsi" w:hAnsiTheme="majorHAnsi"/>
                <w:sz w:val="20"/>
              </w:rPr>
            </w:pPr>
          </w:p>
        </w:tc>
        <w:tc>
          <w:tcPr>
            <w:tcW w:w="4860" w:type="dxa"/>
            <w:tcBorders>
              <w:top w:val="single" w:sz="12" w:space="0" w:color="auto"/>
              <w:bottom w:val="single" w:sz="4" w:space="0" w:color="auto"/>
            </w:tcBorders>
            <w:vAlign w:val="center"/>
          </w:tcPr>
          <w:p w:rsidR="00FE7030" w:rsidRDefault="00367905" w:rsidP="00F725B5">
            <w:pPr>
              <w:pStyle w:val="ListParagraph"/>
              <w:ind w:left="0"/>
              <w:rPr>
                <w:rFonts w:asciiTheme="majorHAnsi" w:hAnsiTheme="majorHAnsi"/>
                <w:sz w:val="20"/>
              </w:rPr>
            </w:pPr>
            <w:r w:rsidRPr="00367905">
              <w:rPr>
                <w:rFonts w:asciiTheme="majorHAnsi" w:hAnsiTheme="majorHAnsi"/>
                <w:sz w:val="20"/>
              </w:rPr>
              <w:t>CEFO State and Tribal Partners: State Public Managers, State Veterinarian</w:t>
            </w:r>
          </w:p>
        </w:tc>
        <w:tc>
          <w:tcPr>
            <w:tcW w:w="1080" w:type="dxa"/>
            <w:tcBorders>
              <w:top w:val="single" w:sz="12" w:space="0" w:color="auto"/>
              <w:bottom w:val="single" w:sz="4" w:space="0" w:color="auto"/>
            </w:tcBorders>
            <w:vAlign w:val="center"/>
          </w:tcPr>
          <w:p w:rsidR="00FE7030" w:rsidRDefault="00FE7030" w:rsidP="009B1A77">
            <w:pPr>
              <w:pStyle w:val="ListParagraph"/>
              <w:ind w:left="0"/>
              <w:jc w:val="center"/>
              <w:rPr>
                <w:rFonts w:asciiTheme="majorHAnsi" w:hAnsiTheme="majorHAnsi"/>
                <w:sz w:val="20"/>
              </w:rPr>
            </w:pPr>
            <w:r>
              <w:rPr>
                <w:rFonts w:asciiTheme="majorHAnsi" w:hAnsiTheme="majorHAnsi"/>
                <w:sz w:val="20"/>
              </w:rPr>
              <w:t>7</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2C1DE7" w:rsidP="00344F07">
            <w:pPr>
              <w:pStyle w:val="ListParagraph"/>
              <w:ind w:left="0"/>
              <w:jc w:val="center"/>
              <w:rPr>
                <w:rFonts w:asciiTheme="majorHAnsi" w:hAnsiTheme="majorHAnsi"/>
                <w:b/>
                <w:sz w:val="20"/>
              </w:rPr>
            </w:pPr>
            <w:r>
              <w:rPr>
                <w:rFonts w:asciiTheme="majorHAnsi" w:hAnsiTheme="majorHAnsi"/>
                <w:b/>
                <w:sz w:val="20"/>
              </w:rPr>
              <w:t>18</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1F6A29" w:rsidRDefault="00287E2F" w:rsidP="002C1DE7">
      <w:pPr>
        <w:pStyle w:val="ListParagraph"/>
        <w:numPr>
          <w:ilvl w:val="0"/>
          <w:numId w:val="3"/>
        </w:numPr>
        <w:tabs>
          <w:tab w:val="left" w:pos="450"/>
        </w:tabs>
        <w:spacing w:after="0"/>
        <w:ind w:left="0" w:firstLine="0"/>
        <w:rPr>
          <w:rFonts w:asciiTheme="majorHAnsi" w:hAnsiTheme="majorHAnsi"/>
          <w:b/>
        </w:rPr>
      </w:pPr>
      <w:r w:rsidRPr="001F6A29">
        <w:rPr>
          <w:rFonts w:asciiTheme="majorHAnsi" w:hAnsiTheme="majorHAnsi"/>
          <w:b/>
        </w:rPr>
        <w:t xml:space="preserve">Procedures for </w:t>
      </w:r>
      <w:r w:rsidR="009759F3" w:rsidRPr="001F6A29">
        <w:rPr>
          <w:rFonts w:asciiTheme="majorHAnsi" w:hAnsiTheme="majorHAnsi"/>
          <w:b/>
        </w:rPr>
        <w:t xml:space="preserve">the </w:t>
      </w:r>
      <w:r w:rsidRPr="001F6A29">
        <w:rPr>
          <w:rFonts w:asciiTheme="majorHAnsi" w:hAnsiTheme="majorHAnsi"/>
          <w:b/>
        </w:rPr>
        <w:t>Collecti</w:t>
      </w:r>
      <w:r w:rsidR="009759F3" w:rsidRPr="001F6A29">
        <w:rPr>
          <w:rFonts w:asciiTheme="majorHAnsi" w:hAnsiTheme="majorHAnsi"/>
          <w:b/>
        </w:rPr>
        <w:t>on</w:t>
      </w:r>
      <w:r w:rsidRPr="001F6A29">
        <w:rPr>
          <w:rFonts w:asciiTheme="majorHAnsi" w:hAnsiTheme="majorHAnsi"/>
          <w:b/>
        </w:rPr>
        <w:t xml:space="preserve"> of Information</w:t>
      </w:r>
      <w:r w:rsidR="00F725B5" w:rsidRPr="001F6A29">
        <w:rPr>
          <w:rFonts w:asciiTheme="majorHAnsi" w:hAnsiTheme="majorHAnsi"/>
          <w:b/>
        </w:rPr>
        <w:t xml:space="preserve"> </w:t>
      </w:r>
      <w:r w:rsidR="009759F3" w:rsidRPr="001F6A29">
        <w:rPr>
          <w:rFonts w:asciiTheme="majorHAnsi" w:hAnsiTheme="majorHAnsi"/>
          <w:b/>
        </w:rPr>
        <w:t xml:space="preserve">  </w:t>
      </w:r>
    </w:p>
    <w:p w:rsidR="00741C47" w:rsidRPr="005E0B81" w:rsidRDefault="00741C47" w:rsidP="002C1DE7">
      <w:pPr>
        <w:pStyle w:val="Header"/>
        <w:tabs>
          <w:tab w:val="clear" w:pos="4680"/>
        </w:tabs>
        <w:spacing w:line="276" w:lineRule="auto"/>
        <w:ind w:left="360"/>
        <w:rPr>
          <w:rFonts w:asciiTheme="majorHAnsi" w:hAnsiTheme="majorHAnsi"/>
        </w:rPr>
      </w:pPr>
      <w:r w:rsidRPr="005E0B81">
        <w:rPr>
          <w:rFonts w:asciiTheme="majorHAnsi" w:hAnsiTheme="majorHAnsi"/>
        </w:rPr>
        <w:t>Data will be collecte</w:t>
      </w:r>
      <w:r w:rsidR="00F355D4">
        <w:rPr>
          <w:rFonts w:asciiTheme="majorHAnsi" w:hAnsiTheme="majorHAnsi"/>
        </w:rPr>
        <w:t xml:space="preserve">d through a one-time phone interview </w:t>
      </w:r>
      <w:r w:rsidRPr="005E0B81">
        <w:rPr>
          <w:rFonts w:asciiTheme="majorHAnsi" w:hAnsiTheme="majorHAnsi"/>
        </w:rPr>
        <w:t>administered to the respondent population. Partici</w:t>
      </w:r>
      <w:r w:rsidR="00A0505B">
        <w:rPr>
          <w:rFonts w:asciiTheme="majorHAnsi" w:hAnsiTheme="majorHAnsi"/>
        </w:rPr>
        <w:t>pants include</w:t>
      </w:r>
      <w:r w:rsidR="00A0505B" w:rsidRPr="00A0505B">
        <w:rPr>
          <w:rFonts w:asciiTheme="majorHAnsi" w:hAnsiTheme="majorHAnsi"/>
        </w:rPr>
        <w:t xml:space="preserve"> CEFO State Supervisors and PHEP Directors and CEFO State and Tribal Partners. These different respondent universes will decrease the burden on the respondents by ensuring only relevant questions are asked of the respondents. For example, a partner will not be able to speak to supervisory aspects of the CEFOs assignment.</w:t>
      </w:r>
      <w:r w:rsidRPr="005E0B81">
        <w:rPr>
          <w:rFonts w:asciiTheme="majorHAnsi" w:hAnsiTheme="majorHAnsi"/>
        </w:rPr>
        <w:t xml:space="preserve"> An email notification </w:t>
      </w:r>
      <w:r w:rsidR="001F6A29" w:rsidRPr="005E0B81">
        <w:rPr>
          <w:rFonts w:asciiTheme="majorHAnsi" w:hAnsiTheme="majorHAnsi"/>
        </w:rPr>
        <w:t>(</w:t>
      </w:r>
      <w:r w:rsidRPr="005E0B81">
        <w:rPr>
          <w:rFonts w:asciiTheme="majorHAnsi" w:hAnsiTheme="majorHAnsi"/>
          <w:b/>
        </w:rPr>
        <w:t xml:space="preserve">see Attachment </w:t>
      </w:r>
      <w:r w:rsidR="00537B86">
        <w:rPr>
          <w:rFonts w:asciiTheme="majorHAnsi" w:hAnsiTheme="majorHAnsi"/>
          <w:b/>
        </w:rPr>
        <w:t>D</w:t>
      </w:r>
      <w:r w:rsidR="001F6A29" w:rsidRPr="005E0B81">
        <w:rPr>
          <w:rFonts w:asciiTheme="majorHAnsi" w:hAnsiTheme="majorHAnsi"/>
          <w:b/>
        </w:rPr>
        <w:t xml:space="preserve"> – Email Notification)</w:t>
      </w:r>
      <w:r w:rsidRPr="005E0B81">
        <w:rPr>
          <w:rFonts w:asciiTheme="majorHAnsi" w:hAnsiTheme="majorHAnsi"/>
        </w:rPr>
        <w:t xml:space="preserve"> will be sent to all respondents with </w:t>
      </w:r>
      <w:r w:rsidRPr="005E0B81">
        <w:rPr>
          <w:rFonts w:asciiTheme="majorHAnsi" w:hAnsiTheme="majorHAnsi"/>
        </w:rPr>
        <w:lastRenderedPageBreak/>
        <w:t xml:space="preserve">information on the </w:t>
      </w:r>
      <w:r w:rsidR="00311DD0">
        <w:rPr>
          <w:rFonts w:asciiTheme="majorHAnsi" w:hAnsiTheme="majorHAnsi"/>
        </w:rPr>
        <w:t>phone interview</w:t>
      </w:r>
      <w:r w:rsidRPr="005E0B81">
        <w:rPr>
          <w:rFonts w:asciiTheme="majorHAnsi" w:hAnsiTheme="majorHAnsi"/>
        </w:rPr>
        <w:t xml:space="preserve"> and a link to schedule the time and date for the focus group. The link to schedule the</w:t>
      </w:r>
      <w:r w:rsidR="002C1DE7">
        <w:rPr>
          <w:rFonts w:asciiTheme="majorHAnsi" w:hAnsiTheme="majorHAnsi"/>
        </w:rPr>
        <w:t xml:space="preserve"> </w:t>
      </w:r>
      <w:r w:rsidR="00311DD0">
        <w:rPr>
          <w:rFonts w:asciiTheme="majorHAnsi" w:hAnsiTheme="majorHAnsi"/>
        </w:rPr>
        <w:t>calls</w:t>
      </w:r>
      <w:r w:rsidR="002C1DE7">
        <w:rPr>
          <w:rFonts w:asciiTheme="majorHAnsi" w:hAnsiTheme="majorHAnsi"/>
        </w:rPr>
        <w:t xml:space="preserve"> will be open for 14</w:t>
      </w:r>
      <w:r w:rsidRPr="005E0B81">
        <w:rPr>
          <w:rFonts w:asciiTheme="majorHAnsi" w:hAnsiTheme="majorHAnsi"/>
        </w:rPr>
        <w:t xml:space="preserve"> days, within which respondents can schedule the </w:t>
      </w:r>
      <w:r w:rsidR="00311DD0">
        <w:rPr>
          <w:rFonts w:asciiTheme="majorHAnsi" w:hAnsiTheme="majorHAnsi"/>
        </w:rPr>
        <w:t>calls</w:t>
      </w:r>
      <w:r w:rsidRPr="005E0B81">
        <w:rPr>
          <w:rFonts w:asciiTheme="majorHAnsi" w:hAnsiTheme="majorHAnsi"/>
        </w:rPr>
        <w:t xml:space="preserve"> within a two month period provided. Reminders </w:t>
      </w:r>
      <w:r w:rsidR="001F6A29" w:rsidRPr="005E0B81">
        <w:rPr>
          <w:rFonts w:asciiTheme="majorHAnsi" w:hAnsiTheme="majorHAnsi"/>
        </w:rPr>
        <w:t>(</w:t>
      </w:r>
      <w:r w:rsidR="00537B86">
        <w:rPr>
          <w:rFonts w:asciiTheme="majorHAnsi" w:hAnsiTheme="majorHAnsi"/>
          <w:b/>
        </w:rPr>
        <w:t>see Attachment E</w:t>
      </w:r>
      <w:r w:rsidR="001F6A29" w:rsidRPr="005E0B81">
        <w:rPr>
          <w:rFonts w:asciiTheme="majorHAnsi" w:hAnsiTheme="majorHAnsi"/>
          <w:b/>
        </w:rPr>
        <w:t xml:space="preserve"> – Reminder Email)</w:t>
      </w:r>
      <w:r w:rsidR="001F6A29" w:rsidRPr="005E0B81">
        <w:rPr>
          <w:rFonts w:asciiTheme="majorHAnsi" w:hAnsiTheme="majorHAnsi"/>
        </w:rPr>
        <w:t xml:space="preserve"> </w:t>
      </w:r>
      <w:r w:rsidRPr="005E0B81">
        <w:rPr>
          <w:rFonts w:asciiTheme="majorHAnsi" w:hAnsiTheme="majorHAnsi"/>
        </w:rPr>
        <w:t>will be sent on a weekly ba</w:t>
      </w:r>
      <w:r w:rsidR="005379C4">
        <w:rPr>
          <w:rFonts w:asciiTheme="majorHAnsi" w:hAnsiTheme="majorHAnsi"/>
        </w:rPr>
        <w:t>sis with the 14</w:t>
      </w:r>
      <w:r w:rsidRPr="005E0B81">
        <w:rPr>
          <w:rFonts w:asciiTheme="majorHAnsi" w:hAnsiTheme="majorHAnsi"/>
        </w:rPr>
        <w:t xml:space="preserve"> day period. </w:t>
      </w:r>
    </w:p>
    <w:p w:rsidR="00741C47" w:rsidRPr="005E0B81" w:rsidRDefault="00CF7CC4" w:rsidP="002C1DE7">
      <w:pPr>
        <w:pStyle w:val="Header"/>
        <w:tabs>
          <w:tab w:val="clear" w:pos="4680"/>
          <w:tab w:val="clear" w:pos="9360"/>
          <w:tab w:val="left" w:pos="1155"/>
        </w:tabs>
        <w:spacing w:line="276" w:lineRule="auto"/>
        <w:ind w:left="360" w:firstLine="360"/>
        <w:rPr>
          <w:rFonts w:asciiTheme="majorHAnsi" w:hAnsiTheme="majorHAnsi"/>
        </w:rPr>
      </w:pPr>
      <w:r>
        <w:rPr>
          <w:rFonts w:asciiTheme="majorHAnsi" w:hAnsiTheme="majorHAnsi"/>
        </w:rPr>
        <w:tab/>
      </w:r>
    </w:p>
    <w:p w:rsidR="00741C47" w:rsidRDefault="00741C47" w:rsidP="002C1DE7">
      <w:pPr>
        <w:pStyle w:val="Header"/>
        <w:tabs>
          <w:tab w:val="clear" w:pos="4680"/>
        </w:tabs>
        <w:spacing w:line="276" w:lineRule="auto"/>
        <w:ind w:left="360"/>
        <w:rPr>
          <w:rFonts w:asciiTheme="majorHAnsi" w:hAnsiTheme="majorHAnsi"/>
        </w:rPr>
      </w:pPr>
      <w:r w:rsidRPr="005E0B81">
        <w:rPr>
          <w:rFonts w:asciiTheme="majorHAnsi" w:hAnsiTheme="majorHAnsi"/>
        </w:rPr>
        <w:t xml:space="preserve">The </w:t>
      </w:r>
      <w:r w:rsidR="00311DD0">
        <w:rPr>
          <w:rFonts w:asciiTheme="majorHAnsi" w:hAnsiTheme="majorHAnsi"/>
        </w:rPr>
        <w:t>phone interviews</w:t>
      </w:r>
      <w:r w:rsidRPr="005E0B81">
        <w:rPr>
          <w:rFonts w:asciiTheme="majorHAnsi" w:hAnsiTheme="majorHAnsi"/>
        </w:rPr>
        <w:t xml:space="preserve"> will be conducted one </w:t>
      </w:r>
      <w:proofErr w:type="gramStart"/>
      <w:r w:rsidRPr="005E0B81">
        <w:rPr>
          <w:rFonts w:asciiTheme="majorHAnsi" w:hAnsiTheme="majorHAnsi"/>
        </w:rPr>
        <w:t>time  to</w:t>
      </w:r>
      <w:proofErr w:type="gramEnd"/>
      <w:r w:rsidRPr="005E0B81">
        <w:rPr>
          <w:rFonts w:asciiTheme="majorHAnsi" w:hAnsiTheme="majorHAnsi"/>
        </w:rPr>
        <w:t xml:space="preserve"> g</w:t>
      </w:r>
      <w:r w:rsidR="001F6A29" w:rsidRPr="005E0B81">
        <w:rPr>
          <w:rFonts w:asciiTheme="majorHAnsi" w:hAnsiTheme="majorHAnsi"/>
        </w:rPr>
        <w:t>ain a better understanding of the program’s field assignments  in the field. Data will be collected and stored in qualitative software maintained by the CEFO Program Office.  Some data will be transferred to Excel for conducting basic descriptive analyses and producing data charts and tables for reporting</w:t>
      </w:r>
      <w:r w:rsidR="001F6A29">
        <w:rPr>
          <w:rFonts w:asciiTheme="majorHAnsi" w:hAnsiTheme="majorHAnsi"/>
        </w:rPr>
        <w:t>.</w:t>
      </w:r>
    </w:p>
    <w:p w:rsidR="002F2069" w:rsidRPr="00311DD0" w:rsidRDefault="002F2069" w:rsidP="00311DD0">
      <w:pPr>
        <w:spacing w:after="0"/>
        <w:rPr>
          <w:rFonts w:asciiTheme="majorHAnsi" w:hAnsiTheme="majorHAnsi"/>
        </w:rPr>
      </w:pPr>
    </w:p>
    <w:p w:rsidR="009759F3" w:rsidRPr="009759F3" w:rsidRDefault="00287E2F" w:rsidP="00D352B3">
      <w:pPr>
        <w:pStyle w:val="ListParagraph"/>
        <w:numPr>
          <w:ilvl w:val="0"/>
          <w:numId w:val="3"/>
        </w:numPr>
        <w:spacing w:after="0"/>
        <w:ind w:left="36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rsidR="00F52BCC" w:rsidRPr="005E0B81" w:rsidRDefault="001F6A29" w:rsidP="00CF7CC4">
      <w:pPr>
        <w:spacing w:after="0"/>
        <w:ind w:left="360"/>
        <w:rPr>
          <w:rFonts w:asciiTheme="majorHAnsi" w:hAnsiTheme="majorHAnsi" w:cs="Times New Roman"/>
        </w:rPr>
      </w:pPr>
      <w:r w:rsidRPr="005E0B81">
        <w:rPr>
          <w:rFonts w:asciiTheme="majorHAnsi" w:hAnsiTheme="majorHAnsi" w:cs="Times New Roman"/>
        </w:rPr>
        <w:t xml:space="preserve">All respondents are aware of the data collection plan and have agreed to participate in the </w:t>
      </w:r>
      <w:r w:rsidR="00E62884">
        <w:rPr>
          <w:rFonts w:asciiTheme="majorHAnsi" w:hAnsiTheme="majorHAnsi" w:cs="Times New Roman"/>
        </w:rPr>
        <w:t>case study</w:t>
      </w:r>
      <w:r w:rsidRPr="005E0B81">
        <w:rPr>
          <w:rFonts w:asciiTheme="majorHAnsi" w:hAnsiTheme="majorHAnsi" w:cs="Times New Roman"/>
        </w:rPr>
        <w:t xml:space="preserve">. Nevertheless, email notifications and reminder emails will be sent to all respondents to ensure maximum response rates. Respondents will have a 2 month period to schedule the </w:t>
      </w:r>
      <w:r w:rsidR="00311DD0">
        <w:rPr>
          <w:rFonts w:asciiTheme="majorHAnsi" w:hAnsiTheme="majorHAnsi" w:cs="Times New Roman"/>
        </w:rPr>
        <w:t>phone interviews</w:t>
      </w:r>
      <w:r w:rsidR="005E0B81" w:rsidRPr="005E0B81">
        <w:rPr>
          <w:rFonts w:asciiTheme="majorHAnsi" w:hAnsiTheme="majorHAnsi" w:cs="Times New Roman"/>
        </w:rPr>
        <w:t xml:space="preserve"> to</w:t>
      </w:r>
      <w:r w:rsidRPr="005E0B81">
        <w:rPr>
          <w:rFonts w:asciiTheme="majorHAnsi" w:hAnsiTheme="majorHAnsi" w:cs="Times New Roman"/>
        </w:rPr>
        <w:t xml:space="preserve"> </w:t>
      </w:r>
      <w:r w:rsidR="005E0B81" w:rsidRPr="005E0B81">
        <w:rPr>
          <w:rFonts w:asciiTheme="majorHAnsi" w:hAnsiTheme="majorHAnsi" w:cs="Times New Roman"/>
        </w:rPr>
        <w:t>allow sufficient time to plan and schedule the focus group.</w:t>
      </w:r>
      <w:r w:rsidR="005E0B81" w:rsidRPr="005E0B81">
        <w:rPr>
          <w:rFonts w:asciiTheme="majorHAnsi" w:hAnsiTheme="majorHAnsi"/>
        </w:rPr>
        <w:t xml:space="preserve"> Higher response rates will yield more reliable information; however, no scientific inferences will be made.</w:t>
      </w:r>
    </w:p>
    <w:p w:rsidR="001F6A29" w:rsidRPr="009759F3" w:rsidRDefault="001F6A29" w:rsidP="00D352B3">
      <w:pPr>
        <w:spacing w:after="0"/>
        <w:rPr>
          <w:rFonts w:asciiTheme="majorHAnsi" w:hAnsiTheme="majorHAnsi"/>
        </w:rPr>
      </w:pPr>
    </w:p>
    <w:p w:rsidR="00F52BCC" w:rsidRPr="009759F3" w:rsidRDefault="00287E2F" w:rsidP="00D352B3">
      <w:pPr>
        <w:pStyle w:val="ListParagraph"/>
        <w:numPr>
          <w:ilvl w:val="0"/>
          <w:numId w:val="3"/>
        </w:numPr>
        <w:spacing w:after="0"/>
        <w:ind w:left="360"/>
        <w:rPr>
          <w:rFonts w:asciiTheme="majorHAnsi" w:hAnsiTheme="majorHAnsi"/>
          <w:b/>
        </w:rPr>
      </w:pPr>
      <w:r w:rsidRPr="005F3FEF">
        <w:rPr>
          <w:rFonts w:asciiTheme="majorHAnsi" w:hAnsiTheme="majorHAnsi"/>
          <w:b/>
        </w:rPr>
        <w:t xml:space="preserve">Test of Procedures </w:t>
      </w:r>
      <w:r w:rsidR="009759F3" w:rsidRPr="009759F3">
        <w:rPr>
          <w:rFonts w:asciiTheme="majorHAnsi" w:hAnsiTheme="majorHAnsi"/>
          <w:b/>
          <w:bCs/>
        </w:rPr>
        <w:t>or Methods to be Undertaken</w:t>
      </w:r>
    </w:p>
    <w:p w:rsidR="00313A53" w:rsidRPr="00B321D1" w:rsidRDefault="00313A53" w:rsidP="00313A53">
      <w:pPr>
        <w:pStyle w:val="NoSpacing"/>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877298">
        <w:rPr>
          <w:rFonts w:ascii="Times New Roman" w:eastAsia="Times New Roman" w:hAnsi="Times New Roman" w:cs="Times New Roman"/>
          <w:sz w:val="24"/>
          <w:szCs w:val="24"/>
        </w:rPr>
        <w:t xml:space="preserve">descriptive case study </w:t>
      </w:r>
      <w:r>
        <w:rPr>
          <w:rFonts w:ascii="Times New Roman" w:eastAsia="Times New Roman" w:hAnsi="Times New Roman" w:cs="Times New Roman"/>
          <w:sz w:val="24"/>
          <w:szCs w:val="24"/>
        </w:rPr>
        <w:t>will serve as a guide for future work</w:t>
      </w:r>
      <w:r w:rsidRPr="00BF5710">
        <w:rPr>
          <w:rFonts w:ascii="Times New Roman" w:eastAsia="Times New Roman" w:hAnsi="Times New Roman" w:cs="Times New Roman"/>
          <w:sz w:val="24"/>
          <w:szCs w:val="24"/>
        </w:rPr>
        <w:t xml:space="preserve"> for subsequent </w:t>
      </w:r>
      <w:r w:rsidR="00877298">
        <w:rPr>
          <w:rFonts w:ascii="Times New Roman" w:eastAsia="Times New Roman" w:hAnsi="Times New Roman" w:cs="Times New Roman"/>
          <w:sz w:val="24"/>
          <w:szCs w:val="24"/>
        </w:rPr>
        <w:t>studies to better understand the roles and contributions of CEFOs</w:t>
      </w:r>
      <w:r w:rsidRPr="00BF5710">
        <w:rPr>
          <w:rFonts w:ascii="Times New Roman" w:eastAsia="Times New Roman" w:hAnsi="Times New Roman" w:cs="Times New Roman"/>
          <w:sz w:val="24"/>
          <w:szCs w:val="24"/>
        </w:rPr>
        <w:t xml:space="preserve"> in other jurisdictions</w:t>
      </w:r>
      <w:r w:rsidR="008225D6">
        <w:rPr>
          <w:rFonts w:ascii="Times New Roman" w:eastAsia="Times New Roman" w:hAnsi="Times New Roman" w:cs="Times New Roman"/>
          <w:sz w:val="24"/>
          <w:szCs w:val="24"/>
        </w:rPr>
        <w:t xml:space="preserve">. </w:t>
      </w:r>
      <w:r w:rsidRPr="00BF5710">
        <w:rPr>
          <w:rFonts w:ascii="Times New Roman" w:eastAsia="Times New Roman" w:hAnsi="Times New Roman" w:cs="Times New Roman"/>
          <w:sz w:val="24"/>
          <w:szCs w:val="24"/>
        </w:rPr>
        <w:t>.</w:t>
      </w:r>
    </w:p>
    <w:p w:rsidR="00D352B3" w:rsidRDefault="00D352B3" w:rsidP="00D352B3">
      <w:pPr>
        <w:pStyle w:val="ListParagraph"/>
        <w:spacing w:after="0"/>
        <w:ind w:left="360"/>
        <w:rPr>
          <w:rFonts w:asciiTheme="majorHAnsi" w:hAnsiTheme="majorHAnsi"/>
        </w:rPr>
      </w:pPr>
    </w:p>
    <w:p w:rsidR="009759F3" w:rsidRPr="009759F3" w:rsidRDefault="009759F3" w:rsidP="00D352B3">
      <w:pPr>
        <w:pStyle w:val="ListParagraph"/>
        <w:numPr>
          <w:ilvl w:val="0"/>
          <w:numId w:val="3"/>
        </w:numPr>
        <w:spacing w:after="0"/>
        <w:ind w:left="360"/>
        <w:rPr>
          <w:rFonts w:asciiTheme="majorHAnsi" w:hAnsiTheme="majorHAnsi"/>
          <w:b/>
        </w:rPr>
      </w:pPr>
      <w:r w:rsidRPr="009759F3">
        <w:rPr>
          <w:rFonts w:asciiTheme="majorHAnsi" w:hAnsiTheme="majorHAnsi"/>
          <w:b/>
          <w:bCs/>
        </w:rPr>
        <w:t>Individuals Consulted on Statistical Aspects and Individuals Collecting and/or Analyzing Data</w:t>
      </w:r>
    </w:p>
    <w:p w:rsidR="00287E2F" w:rsidRPr="00281795" w:rsidRDefault="00287E2F" w:rsidP="00D352B3">
      <w:pPr>
        <w:pStyle w:val="ListParagraph"/>
        <w:spacing w:after="0"/>
        <w:ind w:left="360"/>
        <w:rPr>
          <w:rFonts w:asciiTheme="majorHAnsi" w:hAnsiTheme="majorHAnsi"/>
          <w:b/>
        </w:rPr>
      </w:pPr>
    </w:p>
    <w:p w:rsidR="003F5913" w:rsidRDefault="00D04E55" w:rsidP="00D352B3">
      <w:pPr>
        <w:tabs>
          <w:tab w:val="left" w:pos="5040"/>
        </w:tabs>
        <w:spacing w:after="0"/>
        <w:ind w:left="360"/>
        <w:rPr>
          <w:rFonts w:asciiTheme="majorHAnsi" w:hAnsiTheme="majorHAnsi"/>
        </w:rPr>
      </w:pPr>
      <w:r>
        <w:rPr>
          <w:rFonts w:asciiTheme="majorHAnsi" w:hAnsiTheme="majorHAnsi"/>
        </w:rPr>
        <w:t>Kerry Pride</w:t>
      </w:r>
      <w:r w:rsidR="002C1DE7">
        <w:rPr>
          <w:rFonts w:asciiTheme="majorHAnsi" w:hAnsiTheme="majorHAnsi"/>
        </w:rPr>
        <w:t>, DVM, MPH</w:t>
      </w:r>
      <w:r>
        <w:rPr>
          <w:rFonts w:asciiTheme="majorHAnsi" w:hAnsiTheme="majorHAnsi"/>
        </w:rPr>
        <w:tab/>
      </w:r>
      <w:r>
        <w:rPr>
          <w:rFonts w:asciiTheme="majorHAnsi" w:hAnsiTheme="majorHAnsi"/>
        </w:rPr>
        <w:tab/>
        <w:t>Yessica Gomez</w:t>
      </w:r>
      <w:r w:rsidR="002C1DE7">
        <w:rPr>
          <w:rFonts w:asciiTheme="majorHAnsi" w:hAnsiTheme="majorHAnsi"/>
        </w:rPr>
        <w:t>, MPH</w:t>
      </w:r>
    </w:p>
    <w:p w:rsidR="00D04E55" w:rsidRDefault="00D04E55" w:rsidP="00D352B3">
      <w:pPr>
        <w:tabs>
          <w:tab w:val="left" w:pos="5040"/>
        </w:tabs>
        <w:spacing w:after="0"/>
        <w:ind w:left="360"/>
        <w:rPr>
          <w:rFonts w:asciiTheme="majorHAnsi" w:hAnsiTheme="majorHAnsi"/>
        </w:rPr>
      </w:pPr>
      <w:r>
        <w:rPr>
          <w:rFonts w:asciiTheme="majorHAnsi" w:hAnsiTheme="majorHAnsi"/>
        </w:rPr>
        <w:t>Preventive Medicine Fellow</w:t>
      </w:r>
      <w:r>
        <w:rPr>
          <w:rFonts w:asciiTheme="majorHAnsi" w:hAnsiTheme="majorHAnsi"/>
        </w:rPr>
        <w:tab/>
      </w:r>
      <w:r>
        <w:rPr>
          <w:rFonts w:asciiTheme="majorHAnsi" w:hAnsiTheme="majorHAnsi"/>
        </w:rPr>
        <w:tab/>
        <w:t>ORISE Fellow</w:t>
      </w:r>
    </w:p>
    <w:p w:rsidR="00D04E55" w:rsidRDefault="00D04E55" w:rsidP="00D352B3">
      <w:pPr>
        <w:tabs>
          <w:tab w:val="left" w:pos="5040"/>
        </w:tabs>
        <w:spacing w:after="0"/>
        <w:ind w:left="360"/>
        <w:rPr>
          <w:rFonts w:asciiTheme="majorHAnsi" w:hAnsiTheme="majorHAnsi"/>
        </w:rPr>
      </w:pPr>
      <w:r>
        <w:rPr>
          <w:rFonts w:asciiTheme="majorHAnsi" w:hAnsiTheme="majorHAnsi"/>
        </w:rPr>
        <w:t>CDC/OSELS/SEPDPO</w:t>
      </w:r>
      <w:r>
        <w:rPr>
          <w:rFonts w:asciiTheme="majorHAnsi" w:hAnsiTheme="majorHAnsi"/>
        </w:rPr>
        <w:tab/>
      </w:r>
      <w:r>
        <w:rPr>
          <w:rFonts w:asciiTheme="majorHAnsi" w:hAnsiTheme="majorHAnsi"/>
        </w:rPr>
        <w:tab/>
        <w:t>CDC/OPHPR/DSLR/FSB</w:t>
      </w:r>
    </w:p>
    <w:p w:rsidR="00D04E55" w:rsidRDefault="00D04E55" w:rsidP="00D352B3">
      <w:pPr>
        <w:tabs>
          <w:tab w:val="left" w:pos="5040"/>
        </w:tabs>
        <w:spacing w:after="0"/>
        <w:ind w:left="360"/>
        <w:rPr>
          <w:rFonts w:asciiTheme="majorHAnsi" w:hAnsiTheme="majorHAnsi"/>
        </w:rPr>
      </w:pPr>
      <w:r>
        <w:rPr>
          <w:rFonts w:asciiTheme="majorHAnsi" w:hAnsiTheme="majorHAnsi"/>
        </w:rPr>
        <w:t>Phone: 406-444-5980</w:t>
      </w:r>
      <w:r>
        <w:rPr>
          <w:rFonts w:asciiTheme="majorHAnsi" w:hAnsiTheme="majorHAnsi"/>
        </w:rPr>
        <w:tab/>
      </w:r>
      <w:r>
        <w:rPr>
          <w:rFonts w:asciiTheme="majorHAnsi" w:hAnsiTheme="majorHAnsi"/>
        </w:rPr>
        <w:tab/>
        <w:t>Phone: 770-488-8809</w:t>
      </w:r>
    </w:p>
    <w:p w:rsidR="00D04E55" w:rsidRPr="009759F3" w:rsidRDefault="00D04E55" w:rsidP="00D352B3">
      <w:pPr>
        <w:tabs>
          <w:tab w:val="left" w:pos="5040"/>
        </w:tabs>
        <w:spacing w:after="0"/>
        <w:ind w:left="360"/>
        <w:rPr>
          <w:rFonts w:asciiTheme="majorHAnsi" w:hAnsiTheme="majorHAnsi"/>
        </w:rPr>
      </w:pPr>
      <w:r>
        <w:rPr>
          <w:rFonts w:asciiTheme="majorHAnsi" w:hAnsiTheme="majorHAnsi"/>
        </w:rPr>
        <w:t>Email: hgp3@cdc.gov</w:t>
      </w:r>
      <w:r>
        <w:rPr>
          <w:rFonts w:asciiTheme="majorHAnsi" w:hAnsiTheme="majorHAnsi"/>
        </w:rPr>
        <w:tab/>
      </w:r>
      <w:r>
        <w:rPr>
          <w:rFonts w:asciiTheme="majorHAnsi" w:hAnsiTheme="majorHAnsi"/>
        </w:rPr>
        <w:tab/>
        <w:t>Email: xca1@cdc.gov</w:t>
      </w:r>
    </w:p>
    <w:p w:rsidR="00E24C20" w:rsidRDefault="00E24C20">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0E6577" w:rsidRDefault="00311DD0" w:rsidP="000E6577">
      <w:pPr>
        <w:spacing w:line="360" w:lineRule="auto"/>
        <w:rPr>
          <w:rFonts w:asciiTheme="majorHAnsi" w:hAnsiTheme="majorHAnsi"/>
          <w:b/>
        </w:rPr>
      </w:pPr>
      <w:proofErr w:type="gramStart"/>
      <w:r>
        <w:rPr>
          <w:rFonts w:asciiTheme="majorHAnsi" w:hAnsiTheme="majorHAnsi"/>
          <w:b/>
        </w:rPr>
        <w:t>Attachment D</w:t>
      </w:r>
      <w:r w:rsidR="00F750D8">
        <w:rPr>
          <w:rFonts w:asciiTheme="majorHAnsi" w:hAnsiTheme="majorHAnsi"/>
          <w:b/>
        </w:rPr>
        <w:t>.</w:t>
      </w:r>
      <w:proofErr w:type="gramEnd"/>
      <w:r w:rsidR="00F750D8">
        <w:rPr>
          <w:rFonts w:asciiTheme="majorHAnsi" w:hAnsiTheme="majorHAnsi"/>
          <w:b/>
        </w:rPr>
        <w:t xml:space="preserve">  Email Notification</w:t>
      </w:r>
    </w:p>
    <w:p w:rsidR="00F750D8" w:rsidRDefault="00311DD0" w:rsidP="000E6577">
      <w:pPr>
        <w:spacing w:line="360" w:lineRule="auto"/>
        <w:rPr>
          <w:rFonts w:asciiTheme="majorHAnsi" w:hAnsiTheme="majorHAnsi"/>
          <w:b/>
        </w:rPr>
      </w:pPr>
      <w:proofErr w:type="gramStart"/>
      <w:r>
        <w:rPr>
          <w:rFonts w:asciiTheme="majorHAnsi" w:hAnsiTheme="majorHAnsi"/>
          <w:b/>
        </w:rPr>
        <w:t>Attachment E</w:t>
      </w:r>
      <w:r w:rsidR="00F750D8">
        <w:rPr>
          <w:rFonts w:asciiTheme="majorHAnsi" w:hAnsiTheme="majorHAnsi"/>
          <w:b/>
        </w:rPr>
        <w:t>.</w:t>
      </w:r>
      <w:proofErr w:type="gramEnd"/>
      <w:r w:rsidR="00F750D8">
        <w:rPr>
          <w:rFonts w:asciiTheme="majorHAnsi" w:hAnsiTheme="majorHAnsi"/>
          <w:b/>
        </w:rPr>
        <w:t xml:space="preserve">  Reminder Email</w:t>
      </w:r>
    </w:p>
    <w:p w:rsidR="00F750D8" w:rsidRPr="000E6577" w:rsidRDefault="00F750D8" w:rsidP="000E6577">
      <w:pPr>
        <w:spacing w:line="360" w:lineRule="auto"/>
        <w:rPr>
          <w:rFonts w:asciiTheme="majorHAnsi" w:hAnsiTheme="majorHAnsi"/>
          <w:b/>
        </w:rPr>
      </w:pPr>
    </w:p>
    <w:sectPr w:rsidR="00F750D8" w:rsidRPr="000E6577" w:rsidSect="003E5D57">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CB" w:rsidRDefault="009405CB" w:rsidP="00716F94">
      <w:pPr>
        <w:spacing w:after="0" w:line="240" w:lineRule="auto"/>
      </w:pPr>
      <w:r>
        <w:separator/>
      </w:r>
    </w:p>
  </w:endnote>
  <w:endnote w:type="continuationSeparator" w:id="0">
    <w:p w:rsidR="009405CB" w:rsidRDefault="009405C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137C7B" w:rsidRDefault="00137C7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62884">
              <w:rPr>
                <w:b/>
                <w:noProof/>
              </w:rPr>
              <w:t>2</w:t>
            </w:r>
            <w:r>
              <w:rPr>
                <w:b/>
                <w:sz w:val="24"/>
                <w:szCs w:val="24"/>
              </w:rPr>
              <w:fldChar w:fldCharType="end"/>
            </w:r>
            <w:r>
              <w:t xml:space="preserve"> of </w:t>
            </w:r>
            <w:r>
              <w:rPr>
                <w:b/>
                <w:szCs w:val="24"/>
              </w:rPr>
              <w:t>3</w:t>
            </w:r>
          </w:p>
        </w:sdtContent>
      </w:sdt>
    </w:sdtContent>
  </w:sdt>
  <w:p w:rsidR="00137C7B" w:rsidRDefault="00137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CB" w:rsidRDefault="009405CB" w:rsidP="00716F94">
      <w:pPr>
        <w:spacing w:after="0" w:line="240" w:lineRule="auto"/>
      </w:pPr>
      <w:r>
        <w:separator/>
      </w:r>
    </w:p>
  </w:footnote>
  <w:footnote w:type="continuationSeparator" w:id="0">
    <w:p w:rsidR="009405CB" w:rsidRDefault="009405CB"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C7B" w:rsidRPr="00716F94" w:rsidRDefault="00137C7B"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8CAAC424"/>
    <w:lvl w:ilvl="0" w:tplc="BED0E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20"/>
  </w:num>
  <w:num w:numId="17">
    <w:abstractNumId w:val="8"/>
  </w:num>
  <w:num w:numId="18">
    <w:abstractNumId w:val="11"/>
  </w:num>
  <w:num w:numId="19">
    <w:abstractNumId w:val="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34A58"/>
    <w:rsid w:val="000474FB"/>
    <w:rsid w:val="00053A92"/>
    <w:rsid w:val="0005605E"/>
    <w:rsid w:val="00057F36"/>
    <w:rsid w:val="000A1F30"/>
    <w:rsid w:val="000E1714"/>
    <w:rsid w:val="000E6577"/>
    <w:rsid w:val="000E7A19"/>
    <w:rsid w:val="00104A1B"/>
    <w:rsid w:val="001177DD"/>
    <w:rsid w:val="001308EB"/>
    <w:rsid w:val="00137C7B"/>
    <w:rsid w:val="001412D4"/>
    <w:rsid w:val="00144F64"/>
    <w:rsid w:val="00151567"/>
    <w:rsid w:val="00163E17"/>
    <w:rsid w:val="00166F9E"/>
    <w:rsid w:val="00181EF1"/>
    <w:rsid w:val="00187D5A"/>
    <w:rsid w:val="001972D7"/>
    <w:rsid w:val="001A28F6"/>
    <w:rsid w:val="001B2831"/>
    <w:rsid w:val="001C0493"/>
    <w:rsid w:val="001C28AD"/>
    <w:rsid w:val="001D7FCB"/>
    <w:rsid w:val="001E2B99"/>
    <w:rsid w:val="001E69B6"/>
    <w:rsid w:val="001F4DBB"/>
    <w:rsid w:val="001F6A29"/>
    <w:rsid w:val="001F7C89"/>
    <w:rsid w:val="0020312D"/>
    <w:rsid w:val="0020495F"/>
    <w:rsid w:val="00206E33"/>
    <w:rsid w:val="00210519"/>
    <w:rsid w:val="00230CEF"/>
    <w:rsid w:val="00241B17"/>
    <w:rsid w:val="00241C81"/>
    <w:rsid w:val="00241EA3"/>
    <w:rsid w:val="00257A1C"/>
    <w:rsid w:val="0027234C"/>
    <w:rsid w:val="00272E03"/>
    <w:rsid w:val="00281795"/>
    <w:rsid w:val="002850E3"/>
    <w:rsid w:val="00287E2F"/>
    <w:rsid w:val="002A1948"/>
    <w:rsid w:val="002C0877"/>
    <w:rsid w:val="002C1DE7"/>
    <w:rsid w:val="002C2AE2"/>
    <w:rsid w:val="002D0DCE"/>
    <w:rsid w:val="002E2B10"/>
    <w:rsid w:val="002F1502"/>
    <w:rsid w:val="002F169D"/>
    <w:rsid w:val="002F2069"/>
    <w:rsid w:val="002F6F92"/>
    <w:rsid w:val="003041AD"/>
    <w:rsid w:val="00311DD0"/>
    <w:rsid w:val="0031279F"/>
    <w:rsid w:val="00313A53"/>
    <w:rsid w:val="003353B5"/>
    <w:rsid w:val="00336D96"/>
    <w:rsid w:val="00344F07"/>
    <w:rsid w:val="003469C8"/>
    <w:rsid w:val="00355EA4"/>
    <w:rsid w:val="003635BE"/>
    <w:rsid w:val="00366B5E"/>
    <w:rsid w:val="00367905"/>
    <w:rsid w:val="00372844"/>
    <w:rsid w:val="00386610"/>
    <w:rsid w:val="00387559"/>
    <w:rsid w:val="003B2F79"/>
    <w:rsid w:val="003C31C9"/>
    <w:rsid w:val="003C4961"/>
    <w:rsid w:val="003C74B5"/>
    <w:rsid w:val="003C7C5D"/>
    <w:rsid w:val="003D0AD2"/>
    <w:rsid w:val="003E4E7D"/>
    <w:rsid w:val="003E5D57"/>
    <w:rsid w:val="003F5913"/>
    <w:rsid w:val="004024F8"/>
    <w:rsid w:val="0041159A"/>
    <w:rsid w:val="004305A8"/>
    <w:rsid w:val="00443CA0"/>
    <w:rsid w:val="00450E14"/>
    <w:rsid w:val="00462C65"/>
    <w:rsid w:val="00467B14"/>
    <w:rsid w:val="00474EDA"/>
    <w:rsid w:val="0047536D"/>
    <w:rsid w:val="004824FA"/>
    <w:rsid w:val="00484011"/>
    <w:rsid w:val="004841F1"/>
    <w:rsid w:val="004A1E3A"/>
    <w:rsid w:val="004C361B"/>
    <w:rsid w:val="004C4AEA"/>
    <w:rsid w:val="004E003C"/>
    <w:rsid w:val="004E16EB"/>
    <w:rsid w:val="004E6665"/>
    <w:rsid w:val="004F634E"/>
    <w:rsid w:val="004F67A8"/>
    <w:rsid w:val="00522A50"/>
    <w:rsid w:val="00527225"/>
    <w:rsid w:val="0053557D"/>
    <w:rsid w:val="005379C4"/>
    <w:rsid w:val="00537B86"/>
    <w:rsid w:val="005463DE"/>
    <w:rsid w:val="00546DC2"/>
    <w:rsid w:val="005542E8"/>
    <w:rsid w:val="00556630"/>
    <w:rsid w:val="0055686D"/>
    <w:rsid w:val="005800EE"/>
    <w:rsid w:val="005869D6"/>
    <w:rsid w:val="005A33F6"/>
    <w:rsid w:val="005A59E5"/>
    <w:rsid w:val="005B7440"/>
    <w:rsid w:val="005B7D84"/>
    <w:rsid w:val="005C6E9D"/>
    <w:rsid w:val="005E0B81"/>
    <w:rsid w:val="005E2150"/>
    <w:rsid w:val="005E2995"/>
    <w:rsid w:val="005F3FEF"/>
    <w:rsid w:val="00601392"/>
    <w:rsid w:val="00607F7C"/>
    <w:rsid w:val="006102DA"/>
    <w:rsid w:val="00621F93"/>
    <w:rsid w:val="006315A3"/>
    <w:rsid w:val="00637CC1"/>
    <w:rsid w:val="00645C3F"/>
    <w:rsid w:val="006579A2"/>
    <w:rsid w:val="00667C89"/>
    <w:rsid w:val="006711EE"/>
    <w:rsid w:val="00676FFE"/>
    <w:rsid w:val="006809BB"/>
    <w:rsid w:val="006809FD"/>
    <w:rsid w:val="00691D1F"/>
    <w:rsid w:val="00697BAE"/>
    <w:rsid w:val="006B4DDC"/>
    <w:rsid w:val="006B5E55"/>
    <w:rsid w:val="006D25A1"/>
    <w:rsid w:val="006F6856"/>
    <w:rsid w:val="006F7347"/>
    <w:rsid w:val="007145D0"/>
    <w:rsid w:val="00716F94"/>
    <w:rsid w:val="00741C47"/>
    <w:rsid w:val="00760E12"/>
    <w:rsid w:val="00763CF3"/>
    <w:rsid w:val="00772293"/>
    <w:rsid w:val="00783C75"/>
    <w:rsid w:val="00784619"/>
    <w:rsid w:val="0078627B"/>
    <w:rsid w:val="00794E32"/>
    <w:rsid w:val="007B305A"/>
    <w:rsid w:val="007D2A06"/>
    <w:rsid w:val="00800993"/>
    <w:rsid w:val="00815C7D"/>
    <w:rsid w:val="00817941"/>
    <w:rsid w:val="008225D6"/>
    <w:rsid w:val="008261AB"/>
    <w:rsid w:val="00835CA7"/>
    <w:rsid w:val="008370D4"/>
    <w:rsid w:val="008414AD"/>
    <w:rsid w:val="008428D9"/>
    <w:rsid w:val="00866700"/>
    <w:rsid w:val="00877298"/>
    <w:rsid w:val="00884DB9"/>
    <w:rsid w:val="0089676F"/>
    <w:rsid w:val="008C67D2"/>
    <w:rsid w:val="008E0683"/>
    <w:rsid w:val="00902DD9"/>
    <w:rsid w:val="00911486"/>
    <w:rsid w:val="009129CA"/>
    <w:rsid w:val="009179B3"/>
    <w:rsid w:val="009206B6"/>
    <w:rsid w:val="009263C1"/>
    <w:rsid w:val="00930E6B"/>
    <w:rsid w:val="00931C02"/>
    <w:rsid w:val="009405CB"/>
    <w:rsid w:val="00941B4F"/>
    <w:rsid w:val="00963CE3"/>
    <w:rsid w:val="00964F18"/>
    <w:rsid w:val="00974424"/>
    <w:rsid w:val="009759F3"/>
    <w:rsid w:val="00977F2B"/>
    <w:rsid w:val="00987F76"/>
    <w:rsid w:val="00993088"/>
    <w:rsid w:val="0099664F"/>
    <w:rsid w:val="00997D5D"/>
    <w:rsid w:val="009A0447"/>
    <w:rsid w:val="009B034F"/>
    <w:rsid w:val="009B1A77"/>
    <w:rsid w:val="009B4A51"/>
    <w:rsid w:val="009C28B1"/>
    <w:rsid w:val="009C61AD"/>
    <w:rsid w:val="009D373D"/>
    <w:rsid w:val="009E1D05"/>
    <w:rsid w:val="009F7C4F"/>
    <w:rsid w:val="00A0505B"/>
    <w:rsid w:val="00A11B0C"/>
    <w:rsid w:val="00A305CE"/>
    <w:rsid w:val="00A31A6D"/>
    <w:rsid w:val="00A33B35"/>
    <w:rsid w:val="00A36419"/>
    <w:rsid w:val="00A578C2"/>
    <w:rsid w:val="00A72652"/>
    <w:rsid w:val="00A75D1C"/>
    <w:rsid w:val="00A809AA"/>
    <w:rsid w:val="00A849B3"/>
    <w:rsid w:val="00A8510D"/>
    <w:rsid w:val="00A86AF3"/>
    <w:rsid w:val="00A90BDC"/>
    <w:rsid w:val="00A95477"/>
    <w:rsid w:val="00A975A9"/>
    <w:rsid w:val="00AA3192"/>
    <w:rsid w:val="00AB3608"/>
    <w:rsid w:val="00AC5C48"/>
    <w:rsid w:val="00AF0CF4"/>
    <w:rsid w:val="00AF2252"/>
    <w:rsid w:val="00B1129F"/>
    <w:rsid w:val="00B11D61"/>
    <w:rsid w:val="00B12F51"/>
    <w:rsid w:val="00B2751E"/>
    <w:rsid w:val="00B3650C"/>
    <w:rsid w:val="00B60FCB"/>
    <w:rsid w:val="00B64BFA"/>
    <w:rsid w:val="00B85DE4"/>
    <w:rsid w:val="00B91A31"/>
    <w:rsid w:val="00BA6DB4"/>
    <w:rsid w:val="00BC3F3C"/>
    <w:rsid w:val="00BC5BB2"/>
    <w:rsid w:val="00BF3F54"/>
    <w:rsid w:val="00C00697"/>
    <w:rsid w:val="00C0376C"/>
    <w:rsid w:val="00C06D77"/>
    <w:rsid w:val="00C11A1D"/>
    <w:rsid w:val="00C14BA6"/>
    <w:rsid w:val="00C347E7"/>
    <w:rsid w:val="00C3485C"/>
    <w:rsid w:val="00CA2004"/>
    <w:rsid w:val="00CB334D"/>
    <w:rsid w:val="00CB56D5"/>
    <w:rsid w:val="00CD0771"/>
    <w:rsid w:val="00CD1EA8"/>
    <w:rsid w:val="00CE3B70"/>
    <w:rsid w:val="00CF5ABD"/>
    <w:rsid w:val="00CF63CE"/>
    <w:rsid w:val="00CF7CC4"/>
    <w:rsid w:val="00D04E55"/>
    <w:rsid w:val="00D067C1"/>
    <w:rsid w:val="00D13B13"/>
    <w:rsid w:val="00D16E78"/>
    <w:rsid w:val="00D201D3"/>
    <w:rsid w:val="00D26A64"/>
    <w:rsid w:val="00D352B3"/>
    <w:rsid w:val="00D4221A"/>
    <w:rsid w:val="00D52B9A"/>
    <w:rsid w:val="00D5367E"/>
    <w:rsid w:val="00D7285C"/>
    <w:rsid w:val="00D861ED"/>
    <w:rsid w:val="00D873E0"/>
    <w:rsid w:val="00D94F8B"/>
    <w:rsid w:val="00DA4EA9"/>
    <w:rsid w:val="00DA5988"/>
    <w:rsid w:val="00DC317C"/>
    <w:rsid w:val="00DC4FF2"/>
    <w:rsid w:val="00DC79CC"/>
    <w:rsid w:val="00DC7AE0"/>
    <w:rsid w:val="00E134F4"/>
    <w:rsid w:val="00E23568"/>
    <w:rsid w:val="00E245B5"/>
    <w:rsid w:val="00E24C20"/>
    <w:rsid w:val="00E33E1B"/>
    <w:rsid w:val="00E34D3E"/>
    <w:rsid w:val="00E45A81"/>
    <w:rsid w:val="00E62884"/>
    <w:rsid w:val="00E81C5E"/>
    <w:rsid w:val="00E83B3C"/>
    <w:rsid w:val="00E8736B"/>
    <w:rsid w:val="00E90275"/>
    <w:rsid w:val="00E925D4"/>
    <w:rsid w:val="00E97226"/>
    <w:rsid w:val="00EB63B3"/>
    <w:rsid w:val="00ED088D"/>
    <w:rsid w:val="00ED6878"/>
    <w:rsid w:val="00EF0EC8"/>
    <w:rsid w:val="00EF33CD"/>
    <w:rsid w:val="00F300CB"/>
    <w:rsid w:val="00F355D4"/>
    <w:rsid w:val="00F42C3A"/>
    <w:rsid w:val="00F52BCC"/>
    <w:rsid w:val="00F5313F"/>
    <w:rsid w:val="00F57581"/>
    <w:rsid w:val="00F725B5"/>
    <w:rsid w:val="00F750D8"/>
    <w:rsid w:val="00F81A48"/>
    <w:rsid w:val="00FA27C2"/>
    <w:rsid w:val="00FD17C9"/>
    <w:rsid w:val="00FD1EF0"/>
    <w:rsid w:val="00FD2A5B"/>
    <w:rsid w:val="00FD2C74"/>
    <w:rsid w:val="00FE6A5C"/>
    <w:rsid w:val="00FE7030"/>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977F2B"/>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977F2B"/>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72987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4141-4F99-40A7-ABD7-C26DA97D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2013-10-18T13:59:00Z</cp:lastPrinted>
  <dcterms:created xsi:type="dcterms:W3CDTF">2013-11-21T15:43:00Z</dcterms:created>
  <dcterms:modified xsi:type="dcterms:W3CDTF">2013-11-21T15:43:00Z</dcterms:modified>
</cp:coreProperties>
</file>