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19" w:rsidRDefault="002F6919" w:rsidP="00A54DC9">
      <w:pPr>
        <w:spacing w:after="0"/>
        <w:jc w:val="center"/>
        <w:rPr>
          <w:rFonts w:asciiTheme="majorHAnsi" w:hAnsiTheme="majorHAnsi"/>
          <w:b/>
          <w:sz w:val="40"/>
        </w:rPr>
      </w:pPr>
    </w:p>
    <w:p w:rsidR="001D22E9" w:rsidRDefault="001D22E9" w:rsidP="00A54DC9">
      <w:pPr>
        <w:spacing w:after="0"/>
        <w:jc w:val="center"/>
        <w:rPr>
          <w:rFonts w:asciiTheme="majorHAnsi" w:hAnsiTheme="majorHAnsi"/>
          <w:b/>
          <w:sz w:val="40"/>
        </w:rPr>
      </w:pPr>
    </w:p>
    <w:p w:rsidR="00A54DC9" w:rsidRDefault="00A54DC9" w:rsidP="00A54DC9">
      <w:pPr>
        <w:spacing w:after="0"/>
        <w:jc w:val="center"/>
        <w:rPr>
          <w:rFonts w:asciiTheme="majorHAnsi" w:hAnsiTheme="majorHAnsi"/>
          <w:b/>
          <w:sz w:val="40"/>
        </w:rPr>
      </w:pPr>
    </w:p>
    <w:p w:rsidR="00A54DC9" w:rsidRDefault="00A54DC9" w:rsidP="0032416D">
      <w:pPr>
        <w:spacing w:after="0"/>
        <w:rPr>
          <w:rFonts w:asciiTheme="majorHAnsi" w:hAnsiTheme="majorHAnsi"/>
          <w:b/>
          <w:sz w:val="40"/>
        </w:rPr>
      </w:pPr>
    </w:p>
    <w:p w:rsidR="00A54DC9" w:rsidRDefault="00A54DC9" w:rsidP="00A54DC9">
      <w:pPr>
        <w:spacing w:after="0"/>
        <w:jc w:val="center"/>
        <w:rPr>
          <w:rFonts w:asciiTheme="majorHAnsi" w:hAnsiTheme="majorHAnsi"/>
          <w:b/>
          <w:sz w:val="40"/>
        </w:rPr>
      </w:pPr>
    </w:p>
    <w:p w:rsidR="00A54DC9" w:rsidRPr="009B4A51" w:rsidRDefault="00A54DC9" w:rsidP="00A54DC9">
      <w:pPr>
        <w:spacing w:after="0"/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 xml:space="preserve">Assessment of </w:t>
      </w:r>
      <w:r w:rsidR="003E2E3D">
        <w:rPr>
          <w:rFonts w:asciiTheme="majorHAnsi" w:hAnsiTheme="majorHAnsi"/>
          <w:b/>
          <w:sz w:val="40"/>
        </w:rPr>
        <w:t>State</w:t>
      </w:r>
      <w:r w:rsidR="00000F43">
        <w:rPr>
          <w:rFonts w:asciiTheme="majorHAnsi" w:hAnsiTheme="majorHAnsi"/>
          <w:b/>
          <w:sz w:val="40"/>
        </w:rPr>
        <w:t xml:space="preserve"> Public Health Department</w:t>
      </w:r>
      <w:r>
        <w:rPr>
          <w:rFonts w:asciiTheme="majorHAnsi" w:hAnsiTheme="majorHAnsi"/>
          <w:b/>
          <w:sz w:val="40"/>
        </w:rPr>
        <w:t xml:space="preserve"> Immunization Billing Reimbursement Projects </w:t>
      </w:r>
    </w:p>
    <w:p w:rsidR="00A54DC9" w:rsidRDefault="00A54DC9" w:rsidP="00A54DC9">
      <w:pPr>
        <w:spacing w:after="0"/>
        <w:jc w:val="center"/>
        <w:rPr>
          <w:rFonts w:asciiTheme="majorHAnsi" w:hAnsiTheme="majorHAnsi"/>
          <w:b/>
        </w:rPr>
      </w:pPr>
    </w:p>
    <w:p w:rsidR="00A54DC9" w:rsidRPr="00AA3192" w:rsidRDefault="00A54DC9" w:rsidP="00A54DC9">
      <w:pPr>
        <w:spacing w:after="0"/>
        <w:jc w:val="center"/>
        <w:rPr>
          <w:rFonts w:asciiTheme="majorHAnsi" w:hAnsiTheme="majorHAnsi"/>
        </w:rPr>
      </w:pPr>
      <w:r w:rsidRPr="00AA3192">
        <w:rPr>
          <w:rFonts w:asciiTheme="majorHAnsi" w:hAnsiTheme="majorHAnsi"/>
        </w:rPr>
        <w:t>OSTL</w:t>
      </w:r>
      <w:r>
        <w:rPr>
          <w:rFonts w:asciiTheme="majorHAnsi" w:hAnsiTheme="majorHAnsi"/>
        </w:rPr>
        <w:t>TS Generic Information Collection</w:t>
      </w:r>
      <w:r w:rsidRPr="00AA3192">
        <w:rPr>
          <w:rFonts w:asciiTheme="majorHAnsi" w:hAnsiTheme="majorHAnsi"/>
        </w:rPr>
        <w:t xml:space="preserve"> Request</w:t>
      </w:r>
    </w:p>
    <w:p w:rsidR="00A54DC9" w:rsidRPr="00AA3192" w:rsidRDefault="00A54DC9" w:rsidP="00A54DC9">
      <w:pPr>
        <w:pStyle w:val="Header"/>
        <w:tabs>
          <w:tab w:val="clear" w:pos="4680"/>
        </w:tabs>
        <w:jc w:val="center"/>
      </w:pPr>
      <w:r w:rsidRPr="00AA3192">
        <w:t>OMB No. 0920-0879</w:t>
      </w:r>
    </w:p>
    <w:p w:rsidR="00A54DC9" w:rsidRDefault="00A54DC9" w:rsidP="00A54DC9">
      <w:pPr>
        <w:spacing w:after="0"/>
        <w:rPr>
          <w:rFonts w:asciiTheme="majorHAnsi" w:hAnsiTheme="majorHAnsi"/>
          <w:b/>
        </w:rPr>
      </w:pPr>
    </w:p>
    <w:p w:rsidR="00A54DC9" w:rsidRDefault="00A54DC9" w:rsidP="00A54DC9">
      <w:pPr>
        <w:spacing w:after="0"/>
        <w:rPr>
          <w:rFonts w:asciiTheme="majorHAnsi" w:hAnsiTheme="majorHAnsi"/>
          <w:b/>
        </w:rPr>
      </w:pPr>
    </w:p>
    <w:p w:rsidR="00A54DC9" w:rsidRDefault="00A54DC9" w:rsidP="00A54DC9">
      <w:pPr>
        <w:spacing w:after="0"/>
        <w:rPr>
          <w:rFonts w:asciiTheme="majorHAnsi" w:hAnsiTheme="majorHAnsi"/>
          <w:b/>
        </w:rPr>
      </w:pPr>
    </w:p>
    <w:p w:rsidR="00A54DC9" w:rsidRDefault="00A54DC9" w:rsidP="00A54DC9">
      <w:pPr>
        <w:spacing w:after="0"/>
        <w:rPr>
          <w:rFonts w:asciiTheme="majorHAnsi" w:hAnsiTheme="majorHAnsi"/>
          <w:b/>
        </w:rPr>
      </w:pPr>
    </w:p>
    <w:p w:rsidR="00A54DC9" w:rsidRPr="00AA3192" w:rsidRDefault="007C1BB3" w:rsidP="00A54DC9">
      <w:pPr>
        <w:spacing w:after="0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b/>
          <w:sz w:val="32"/>
        </w:rPr>
        <w:t>Supporting Statement – Section B</w:t>
      </w:r>
    </w:p>
    <w:p w:rsidR="00A54DC9" w:rsidRDefault="00A54DC9" w:rsidP="00A54DC9">
      <w:pPr>
        <w:spacing w:after="0"/>
        <w:rPr>
          <w:rFonts w:asciiTheme="majorHAnsi" w:hAnsiTheme="majorHAnsi"/>
          <w:b/>
        </w:rPr>
      </w:pPr>
    </w:p>
    <w:p w:rsidR="00A54DC9" w:rsidRDefault="00A54DC9" w:rsidP="00A54DC9">
      <w:pPr>
        <w:spacing w:after="0"/>
        <w:rPr>
          <w:rFonts w:asciiTheme="majorHAnsi" w:hAnsiTheme="majorHAnsi"/>
          <w:b/>
        </w:rPr>
      </w:pPr>
    </w:p>
    <w:p w:rsidR="00A54DC9" w:rsidRDefault="00A54DC9" w:rsidP="00A54DC9">
      <w:pPr>
        <w:spacing w:after="0"/>
        <w:rPr>
          <w:rFonts w:asciiTheme="majorHAnsi" w:hAnsiTheme="majorHAnsi"/>
          <w:b/>
        </w:rPr>
      </w:pPr>
    </w:p>
    <w:p w:rsidR="00A54DC9" w:rsidRDefault="00A54DC9" w:rsidP="00A54DC9">
      <w:pPr>
        <w:spacing w:after="0"/>
        <w:rPr>
          <w:rFonts w:asciiTheme="majorHAnsi" w:hAnsiTheme="majorHAnsi"/>
          <w:b/>
        </w:rPr>
      </w:pPr>
    </w:p>
    <w:p w:rsidR="00DB7D6B" w:rsidRDefault="00DB7D6B" w:rsidP="00DB7D6B">
      <w:pPr>
        <w:spacing w:after="0"/>
        <w:rPr>
          <w:rFonts w:asciiTheme="majorHAnsi" w:hAnsiTheme="majorHAnsi"/>
          <w:b/>
        </w:rPr>
      </w:pPr>
    </w:p>
    <w:p w:rsidR="00A54DC9" w:rsidRDefault="001F1B5D" w:rsidP="00DB7D6B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Submitted:</w:t>
      </w:r>
      <w:r w:rsidR="00000F43">
        <w:rPr>
          <w:rFonts w:asciiTheme="majorHAnsi" w:hAnsiTheme="majorHAnsi"/>
          <w:b/>
        </w:rPr>
        <w:t xml:space="preserve"> November </w:t>
      </w:r>
      <w:r w:rsidR="00A80498">
        <w:rPr>
          <w:rFonts w:asciiTheme="majorHAnsi" w:hAnsiTheme="majorHAnsi"/>
          <w:b/>
        </w:rPr>
        <w:t>1</w:t>
      </w:r>
      <w:r w:rsidR="00710E4F">
        <w:rPr>
          <w:rFonts w:asciiTheme="majorHAnsi" w:hAnsiTheme="majorHAnsi"/>
          <w:b/>
        </w:rPr>
        <w:t>4</w:t>
      </w:r>
      <w:r w:rsidR="00F95468">
        <w:rPr>
          <w:rFonts w:asciiTheme="majorHAnsi" w:hAnsiTheme="majorHAnsi"/>
          <w:b/>
        </w:rPr>
        <w:t>, 2013</w:t>
      </w:r>
      <w:r w:rsidR="0032416D">
        <w:rPr>
          <w:rFonts w:asciiTheme="majorHAnsi" w:hAnsiTheme="majorHAnsi"/>
          <w:b/>
        </w:rPr>
        <w:br/>
      </w:r>
    </w:p>
    <w:p w:rsidR="0032416D" w:rsidRPr="00916CED" w:rsidRDefault="0032416D" w:rsidP="00DB7D6B">
      <w:pPr>
        <w:spacing w:after="0"/>
        <w:jc w:val="center"/>
        <w:rPr>
          <w:rFonts w:asciiTheme="majorHAnsi" w:hAnsiTheme="majorHAnsi"/>
          <w:b/>
        </w:rPr>
      </w:pPr>
    </w:p>
    <w:p w:rsidR="00A54DC9" w:rsidRDefault="00A54DC9" w:rsidP="00A54DC9">
      <w:pPr>
        <w:spacing w:after="0"/>
        <w:rPr>
          <w:rFonts w:asciiTheme="majorHAnsi" w:hAnsiTheme="majorHAnsi"/>
          <w:b/>
        </w:rPr>
      </w:pPr>
    </w:p>
    <w:p w:rsidR="00A54DC9" w:rsidRPr="00A54DC9" w:rsidRDefault="00A54DC9" w:rsidP="00A54DC9">
      <w:pPr>
        <w:spacing w:after="0"/>
        <w:rPr>
          <w:rFonts w:asciiTheme="majorHAnsi" w:hAnsiTheme="majorHAnsi"/>
          <w:b/>
        </w:rPr>
      </w:pPr>
      <w:r w:rsidRPr="00A54DC9">
        <w:rPr>
          <w:rFonts w:asciiTheme="majorHAnsi" w:hAnsiTheme="majorHAnsi"/>
          <w:b/>
        </w:rPr>
        <w:t>Program Official/Project Officer</w:t>
      </w:r>
    </w:p>
    <w:p w:rsidR="00A54DC9" w:rsidRPr="00A54DC9" w:rsidRDefault="00A54DC9" w:rsidP="00A54DC9">
      <w:pPr>
        <w:spacing w:after="0"/>
        <w:rPr>
          <w:rFonts w:asciiTheme="majorHAnsi" w:hAnsiTheme="majorHAnsi"/>
        </w:rPr>
      </w:pPr>
      <w:r w:rsidRPr="00A54DC9">
        <w:rPr>
          <w:rFonts w:asciiTheme="majorHAnsi" w:hAnsiTheme="majorHAnsi"/>
        </w:rPr>
        <w:t>CAPT Duane Kilgus, MPH, RS</w:t>
      </w:r>
    </w:p>
    <w:p w:rsidR="00A54DC9" w:rsidRPr="00A54DC9" w:rsidRDefault="00A54DC9" w:rsidP="00A54DC9">
      <w:pPr>
        <w:spacing w:after="0"/>
        <w:rPr>
          <w:rFonts w:asciiTheme="majorHAnsi" w:hAnsiTheme="majorHAnsi"/>
        </w:rPr>
      </w:pPr>
      <w:r w:rsidRPr="00A54DC9">
        <w:rPr>
          <w:rFonts w:asciiTheme="majorHAnsi" w:hAnsiTheme="majorHAnsi"/>
        </w:rPr>
        <w:t>Billing Team Lead</w:t>
      </w:r>
    </w:p>
    <w:p w:rsidR="00A54DC9" w:rsidRPr="00A54DC9" w:rsidRDefault="00A54DC9" w:rsidP="00A54DC9">
      <w:pPr>
        <w:spacing w:after="0"/>
        <w:rPr>
          <w:rFonts w:asciiTheme="majorHAnsi" w:hAnsiTheme="majorHAnsi"/>
        </w:rPr>
      </w:pPr>
      <w:r w:rsidRPr="00A54DC9">
        <w:rPr>
          <w:rFonts w:asciiTheme="majorHAnsi" w:hAnsiTheme="majorHAnsi"/>
        </w:rPr>
        <w:t>Centers for Disease Control and Prevention</w:t>
      </w:r>
    </w:p>
    <w:p w:rsidR="00A54DC9" w:rsidRPr="00A54DC9" w:rsidRDefault="00A54DC9" w:rsidP="00A54DC9">
      <w:pPr>
        <w:spacing w:after="0"/>
        <w:rPr>
          <w:rFonts w:asciiTheme="majorHAnsi" w:hAnsiTheme="majorHAnsi"/>
        </w:rPr>
      </w:pPr>
      <w:r w:rsidRPr="00A54DC9">
        <w:rPr>
          <w:rFonts w:asciiTheme="majorHAnsi" w:hAnsiTheme="majorHAnsi"/>
        </w:rPr>
        <w:t>National Center for Immunization and Respiratory Diseases</w:t>
      </w:r>
    </w:p>
    <w:p w:rsidR="00A54DC9" w:rsidRPr="00A54DC9" w:rsidRDefault="00A54DC9" w:rsidP="00A54DC9">
      <w:pPr>
        <w:spacing w:after="0"/>
        <w:rPr>
          <w:rFonts w:asciiTheme="majorHAnsi" w:hAnsiTheme="majorHAnsi"/>
        </w:rPr>
      </w:pPr>
      <w:r w:rsidRPr="00A54DC9">
        <w:rPr>
          <w:rFonts w:asciiTheme="majorHAnsi" w:hAnsiTheme="majorHAnsi"/>
        </w:rPr>
        <w:t>Immunization Services Division</w:t>
      </w:r>
    </w:p>
    <w:p w:rsidR="00A54DC9" w:rsidRPr="00A54DC9" w:rsidRDefault="00A54DC9" w:rsidP="00A54DC9">
      <w:pPr>
        <w:spacing w:after="0"/>
        <w:rPr>
          <w:rFonts w:asciiTheme="majorHAnsi" w:hAnsiTheme="majorHAnsi"/>
        </w:rPr>
      </w:pPr>
      <w:r w:rsidRPr="00A54DC9">
        <w:rPr>
          <w:rFonts w:asciiTheme="majorHAnsi" w:hAnsiTheme="majorHAnsi"/>
        </w:rPr>
        <w:t>1600 Clifton Rd. NE MS-A19 Atlanta, GA 30333</w:t>
      </w:r>
    </w:p>
    <w:p w:rsidR="00A54DC9" w:rsidRDefault="00A54DC9" w:rsidP="00A54DC9">
      <w:pPr>
        <w:spacing w:after="0"/>
        <w:rPr>
          <w:rFonts w:asciiTheme="majorHAnsi" w:hAnsiTheme="majorHAnsi"/>
        </w:rPr>
      </w:pPr>
      <w:r w:rsidRPr="00A54DC9">
        <w:rPr>
          <w:rFonts w:asciiTheme="majorHAnsi" w:hAnsiTheme="majorHAnsi"/>
        </w:rPr>
        <w:t>Phone: 404-639-6354</w:t>
      </w:r>
    </w:p>
    <w:p w:rsidR="007C1BB3" w:rsidRPr="00A54DC9" w:rsidRDefault="007C1BB3" w:rsidP="00A54DC9">
      <w:pPr>
        <w:spacing w:after="0"/>
        <w:rPr>
          <w:rFonts w:asciiTheme="majorHAnsi" w:hAnsiTheme="majorHAnsi"/>
        </w:rPr>
      </w:pPr>
      <w:r w:rsidRPr="002A335B">
        <w:rPr>
          <w:rFonts w:asciiTheme="majorHAnsi" w:hAnsiTheme="majorHAnsi"/>
        </w:rPr>
        <w:t>Fax Number:</w:t>
      </w:r>
      <w:r w:rsidR="002A335B">
        <w:rPr>
          <w:rFonts w:asciiTheme="majorHAnsi" w:hAnsiTheme="majorHAnsi"/>
        </w:rPr>
        <w:t xml:space="preserve"> 404-235-1747</w:t>
      </w:r>
    </w:p>
    <w:p w:rsidR="007C1BB3" w:rsidRDefault="00A54DC9" w:rsidP="00A54DC9">
      <w:pPr>
        <w:spacing w:after="0"/>
        <w:rPr>
          <w:rStyle w:val="Hyperlink"/>
          <w:rFonts w:asciiTheme="majorHAnsi" w:hAnsiTheme="majorHAnsi"/>
        </w:rPr>
      </w:pPr>
      <w:r w:rsidRPr="00A54DC9">
        <w:rPr>
          <w:rFonts w:asciiTheme="majorHAnsi" w:hAnsiTheme="majorHAnsi"/>
        </w:rPr>
        <w:t xml:space="preserve">Email: </w:t>
      </w:r>
      <w:hyperlink r:id="rId9" w:history="1">
        <w:r w:rsidRPr="00127EC5">
          <w:rPr>
            <w:rStyle w:val="Hyperlink"/>
            <w:rFonts w:asciiTheme="majorHAnsi" w:hAnsiTheme="majorHAnsi"/>
          </w:rPr>
          <w:t>dgk9@cdc.gov</w:t>
        </w:r>
      </w:hyperlink>
    </w:p>
    <w:p w:rsidR="0032416D" w:rsidRDefault="0032416D" w:rsidP="00A54DC9">
      <w:pPr>
        <w:spacing w:after="0"/>
        <w:rPr>
          <w:rStyle w:val="Hyperlink"/>
          <w:rFonts w:asciiTheme="majorHAnsi" w:hAnsiTheme="majorHAnsi"/>
        </w:rPr>
      </w:pPr>
    </w:p>
    <w:p w:rsidR="0032416D" w:rsidRDefault="0032416D" w:rsidP="00A54DC9">
      <w:pPr>
        <w:spacing w:after="0"/>
        <w:rPr>
          <w:rStyle w:val="Hyperlink"/>
          <w:rFonts w:asciiTheme="majorHAnsi" w:hAnsiTheme="majorHAnsi"/>
        </w:rPr>
      </w:pPr>
    </w:p>
    <w:p w:rsidR="0032416D" w:rsidRDefault="0032416D" w:rsidP="00A54DC9">
      <w:pPr>
        <w:spacing w:after="0"/>
        <w:rPr>
          <w:rFonts w:asciiTheme="majorHAnsi" w:hAnsiTheme="majorHAnsi"/>
        </w:rPr>
      </w:pPr>
    </w:p>
    <w:p w:rsidR="00A54DC9" w:rsidRPr="009D67B0" w:rsidRDefault="007C1BB3" w:rsidP="00A54DC9">
      <w:pPr>
        <w:spacing w:after="0"/>
      </w:pPr>
      <w:r w:rsidRPr="009D67B0">
        <w:rPr>
          <w:b/>
          <w:sz w:val="28"/>
        </w:rPr>
        <w:lastRenderedPageBreak/>
        <w:t>Section B – Data Collection Procedures</w:t>
      </w:r>
    </w:p>
    <w:p w:rsidR="00D74297" w:rsidRPr="009D67B0" w:rsidRDefault="00D74297" w:rsidP="00A54DC9">
      <w:pPr>
        <w:spacing w:after="0"/>
        <w:rPr>
          <w:b/>
        </w:rPr>
      </w:pPr>
    </w:p>
    <w:p w:rsidR="00A54DC9" w:rsidRPr="00F500AD" w:rsidRDefault="007C1BB3" w:rsidP="00A54DC9">
      <w:pPr>
        <w:pStyle w:val="ListParagraph"/>
        <w:numPr>
          <w:ilvl w:val="0"/>
          <w:numId w:val="1"/>
        </w:numPr>
        <w:spacing w:after="0"/>
        <w:ind w:left="360"/>
        <w:rPr>
          <w:b/>
          <w:sz w:val="24"/>
          <w:szCs w:val="24"/>
        </w:rPr>
      </w:pPr>
      <w:r w:rsidRPr="00F500AD">
        <w:rPr>
          <w:b/>
          <w:sz w:val="24"/>
          <w:szCs w:val="24"/>
        </w:rPr>
        <w:t>Respondent Universe and Sampling Methods</w:t>
      </w:r>
    </w:p>
    <w:p w:rsidR="005A7F97" w:rsidRPr="00F500AD" w:rsidRDefault="005A7F97" w:rsidP="005A7F97">
      <w:pPr>
        <w:pStyle w:val="ListParagraph"/>
        <w:spacing w:after="0"/>
        <w:ind w:left="360"/>
        <w:rPr>
          <w:b/>
          <w:sz w:val="24"/>
          <w:szCs w:val="24"/>
        </w:rPr>
      </w:pPr>
    </w:p>
    <w:p w:rsidR="00E6774B" w:rsidRPr="00F500AD" w:rsidRDefault="005A7F97" w:rsidP="003E2E3D">
      <w:pPr>
        <w:spacing w:after="0"/>
        <w:rPr>
          <w:noProof/>
          <w:sz w:val="24"/>
          <w:szCs w:val="24"/>
        </w:rPr>
      </w:pPr>
      <w:r w:rsidRPr="00F500AD">
        <w:rPr>
          <w:sz w:val="24"/>
          <w:szCs w:val="24"/>
        </w:rPr>
        <w:t xml:space="preserve">The respondent population consists of </w:t>
      </w:r>
      <w:r w:rsidR="009C7AB9">
        <w:rPr>
          <w:sz w:val="24"/>
          <w:szCs w:val="24"/>
        </w:rPr>
        <w:t xml:space="preserve">state </w:t>
      </w:r>
      <w:r w:rsidRPr="00F500AD">
        <w:rPr>
          <w:rFonts w:cs="Times New Roman"/>
          <w:sz w:val="24"/>
          <w:szCs w:val="24"/>
        </w:rPr>
        <w:t xml:space="preserve">immunization </w:t>
      </w:r>
      <w:r w:rsidR="009C7AB9">
        <w:rPr>
          <w:rFonts w:cs="Times New Roman"/>
          <w:sz w:val="24"/>
          <w:szCs w:val="24"/>
        </w:rPr>
        <w:t xml:space="preserve">billing </w:t>
      </w:r>
      <w:r w:rsidRPr="00F500AD">
        <w:rPr>
          <w:rFonts w:cs="Times New Roman"/>
          <w:sz w:val="24"/>
          <w:szCs w:val="24"/>
        </w:rPr>
        <w:t xml:space="preserve">program managers or </w:t>
      </w:r>
      <w:r w:rsidR="009C7AB9">
        <w:rPr>
          <w:rFonts w:cs="Times New Roman"/>
          <w:sz w:val="24"/>
          <w:szCs w:val="24"/>
        </w:rPr>
        <w:t>coordinators</w:t>
      </w:r>
      <w:r w:rsidR="00707C92" w:rsidRPr="00F500AD">
        <w:rPr>
          <w:rFonts w:cs="Times New Roman"/>
          <w:sz w:val="24"/>
          <w:szCs w:val="24"/>
        </w:rPr>
        <w:t xml:space="preserve"> who</w:t>
      </w:r>
      <w:r w:rsidR="00707C92" w:rsidRPr="00F500AD">
        <w:rPr>
          <w:sz w:val="24"/>
          <w:szCs w:val="24"/>
        </w:rPr>
        <w:t xml:space="preserve"> manage awards from CDC’s </w:t>
      </w:r>
      <w:r w:rsidR="009C7AB9">
        <w:rPr>
          <w:sz w:val="24"/>
          <w:szCs w:val="24"/>
        </w:rPr>
        <w:t>Billables project</w:t>
      </w:r>
      <w:r w:rsidR="00A739AC" w:rsidRPr="00F500AD">
        <w:rPr>
          <w:sz w:val="24"/>
          <w:szCs w:val="24"/>
        </w:rPr>
        <w:t xml:space="preserve"> </w:t>
      </w:r>
      <w:r w:rsidR="00A739AC" w:rsidRPr="00F500AD">
        <w:rPr>
          <w:rFonts w:cs="Times New Roman"/>
          <w:sz w:val="24"/>
          <w:szCs w:val="24"/>
        </w:rPr>
        <w:t>(referenced together as “State Health Department” in table below)</w:t>
      </w:r>
      <w:r w:rsidR="00A739AC" w:rsidRPr="00F500AD">
        <w:rPr>
          <w:sz w:val="24"/>
          <w:szCs w:val="24"/>
        </w:rPr>
        <w:t xml:space="preserve">. </w:t>
      </w:r>
      <w:r w:rsidR="006671DF">
        <w:rPr>
          <w:sz w:val="24"/>
          <w:szCs w:val="24"/>
        </w:rPr>
        <w:t>There are 35</w:t>
      </w:r>
      <w:r w:rsidR="00707C92" w:rsidRPr="00F500AD">
        <w:rPr>
          <w:sz w:val="24"/>
          <w:szCs w:val="24"/>
        </w:rPr>
        <w:t xml:space="preserve"> active awardees</w:t>
      </w:r>
      <w:r w:rsidR="003E2E3D" w:rsidRPr="00F500AD">
        <w:rPr>
          <w:sz w:val="24"/>
          <w:szCs w:val="24"/>
        </w:rPr>
        <w:t xml:space="preserve"> within the United States</w:t>
      </w:r>
      <w:r w:rsidR="009C7AB9">
        <w:rPr>
          <w:sz w:val="24"/>
          <w:szCs w:val="24"/>
        </w:rPr>
        <w:t xml:space="preserve"> </w:t>
      </w:r>
      <w:r w:rsidR="009C7AB9">
        <w:rPr>
          <w:b/>
          <w:sz w:val="24"/>
          <w:szCs w:val="24"/>
        </w:rPr>
        <w:t xml:space="preserve">(see Attachment </w:t>
      </w:r>
      <w:r w:rsidR="00710E4F">
        <w:rPr>
          <w:b/>
          <w:sz w:val="24"/>
          <w:szCs w:val="24"/>
        </w:rPr>
        <w:t>I</w:t>
      </w:r>
      <w:r w:rsidR="009C7AB9">
        <w:rPr>
          <w:b/>
          <w:sz w:val="24"/>
          <w:szCs w:val="24"/>
        </w:rPr>
        <w:t>)</w:t>
      </w:r>
      <w:r w:rsidR="003E2E3D" w:rsidRPr="00F500AD">
        <w:rPr>
          <w:sz w:val="24"/>
          <w:szCs w:val="24"/>
        </w:rPr>
        <w:t xml:space="preserve">. </w:t>
      </w:r>
      <w:r w:rsidRPr="00F500AD">
        <w:rPr>
          <w:sz w:val="24"/>
          <w:szCs w:val="24"/>
        </w:rPr>
        <w:t>Each health department has a billing project lead but specific title can include pro</w:t>
      </w:r>
      <w:r w:rsidR="006C3792" w:rsidRPr="00F500AD">
        <w:rPr>
          <w:sz w:val="24"/>
          <w:szCs w:val="24"/>
        </w:rPr>
        <w:t xml:space="preserve">gram manager, finance director or </w:t>
      </w:r>
      <w:r w:rsidRPr="00F500AD">
        <w:rPr>
          <w:sz w:val="24"/>
          <w:szCs w:val="24"/>
        </w:rPr>
        <w:t xml:space="preserve">immunization billing coordinator, which are the target population for this </w:t>
      </w:r>
      <w:r w:rsidR="00146F51">
        <w:rPr>
          <w:sz w:val="24"/>
          <w:szCs w:val="24"/>
        </w:rPr>
        <w:t>assessment</w:t>
      </w:r>
      <w:r w:rsidRPr="00F500AD">
        <w:rPr>
          <w:sz w:val="24"/>
          <w:szCs w:val="24"/>
        </w:rPr>
        <w:t xml:space="preserve">. These individuals are the universe of </w:t>
      </w:r>
      <w:r w:rsidR="00A739AC" w:rsidRPr="00F500AD">
        <w:rPr>
          <w:sz w:val="24"/>
          <w:szCs w:val="24"/>
        </w:rPr>
        <w:t xml:space="preserve">potential </w:t>
      </w:r>
      <w:r w:rsidRPr="00F500AD">
        <w:rPr>
          <w:sz w:val="24"/>
          <w:szCs w:val="24"/>
        </w:rPr>
        <w:t>respondents</w:t>
      </w:r>
      <w:r w:rsidR="00DB5D36" w:rsidRPr="00F500AD">
        <w:rPr>
          <w:sz w:val="24"/>
          <w:szCs w:val="24"/>
        </w:rPr>
        <w:t xml:space="preserve">. </w:t>
      </w:r>
    </w:p>
    <w:p w:rsidR="003E2E3D" w:rsidRPr="00F500AD" w:rsidRDefault="003E2E3D" w:rsidP="003E2E3D">
      <w:pPr>
        <w:spacing w:after="0"/>
        <w:rPr>
          <w:sz w:val="24"/>
          <w:szCs w:val="24"/>
        </w:rPr>
      </w:pPr>
    </w:p>
    <w:p w:rsidR="005A7F97" w:rsidRPr="00F500AD" w:rsidRDefault="005A7F97" w:rsidP="005A7F97">
      <w:pPr>
        <w:spacing w:after="0"/>
        <w:rPr>
          <w:sz w:val="24"/>
          <w:szCs w:val="24"/>
        </w:rPr>
      </w:pPr>
      <w:r w:rsidRPr="00F500AD">
        <w:rPr>
          <w:b/>
          <w:sz w:val="24"/>
          <w:szCs w:val="24"/>
          <w:u w:val="single"/>
        </w:rPr>
        <w:t>Table B-1</w:t>
      </w:r>
      <w:r w:rsidRPr="00F500AD">
        <w:rPr>
          <w:b/>
          <w:sz w:val="24"/>
          <w:szCs w:val="24"/>
        </w:rPr>
        <w:t>:</w:t>
      </w:r>
      <w:r w:rsidRPr="00F500AD">
        <w:rPr>
          <w:sz w:val="24"/>
          <w:szCs w:val="24"/>
        </w:rPr>
        <w:t xml:space="preserve"> Potential Respondent Universe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600"/>
        <w:gridCol w:w="4860"/>
        <w:gridCol w:w="1080"/>
      </w:tblGrid>
      <w:tr w:rsidR="005A7F97" w:rsidRPr="00F500AD" w:rsidTr="008D2E02">
        <w:trPr>
          <w:trHeight w:val="377"/>
        </w:trPr>
        <w:tc>
          <w:tcPr>
            <w:tcW w:w="360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7F97" w:rsidRPr="00F500AD" w:rsidRDefault="005A7F97" w:rsidP="008D2E0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F500AD">
              <w:rPr>
                <w:b/>
                <w:sz w:val="24"/>
                <w:szCs w:val="24"/>
              </w:rPr>
              <w:t>Entity</w:t>
            </w:r>
          </w:p>
        </w:tc>
        <w:tc>
          <w:tcPr>
            <w:tcW w:w="486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7F97" w:rsidRPr="00F500AD" w:rsidRDefault="005A7F97" w:rsidP="008D2E0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F500AD">
              <w:rPr>
                <w:b/>
                <w:sz w:val="24"/>
                <w:szCs w:val="24"/>
              </w:rPr>
              <w:t>Potential Respondent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7F97" w:rsidRPr="00F500AD" w:rsidRDefault="005A7F97" w:rsidP="008D2E0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F500AD">
              <w:rPr>
                <w:b/>
                <w:sz w:val="24"/>
                <w:szCs w:val="24"/>
              </w:rPr>
              <w:t>N</w:t>
            </w:r>
          </w:p>
        </w:tc>
      </w:tr>
      <w:tr w:rsidR="005A7F97" w:rsidRPr="00F500AD" w:rsidTr="008D2E02">
        <w:tc>
          <w:tcPr>
            <w:tcW w:w="3600" w:type="dxa"/>
            <w:tcBorders>
              <w:top w:val="single" w:sz="8" w:space="0" w:color="auto"/>
              <w:bottom w:val="single" w:sz="8" w:space="0" w:color="auto"/>
            </w:tcBorders>
          </w:tcPr>
          <w:p w:rsidR="005A7F97" w:rsidRPr="00F500AD" w:rsidRDefault="005A7F97" w:rsidP="008D2E02">
            <w:pPr>
              <w:pStyle w:val="ListParagraph"/>
              <w:spacing w:after="40" w:line="276" w:lineRule="auto"/>
              <w:ind w:left="0"/>
              <w:contextualSpacing w:val="0"/>
              <w:rPr>
                <w:sz w:val="24"/>
                <w:szCs w:val="24"/>
              </w:rPr>
            </w:pPr>
            <w:r w:rsidRPr="00F500AD">
              <w:rPr>
                <w:sz w:val="24"/>
                <w:szCs w:val="24"/>
              </w:rPr>
              <w:t>State Health Department</w:t>
            </w:r>
          </w:p>
        </w:tc>
        <w:tc>
          <w:tcPr>
            <w:tcW w:w="4860" w:type="dxa"/>
            <w:tcBorders>
              <w:top w:val="single" w:sz="8" w:space="0" w:color="auto"/>
              <w:bottom w:val="single" w:sz="8" w:space="0" w:color="auto"/>
            </w:tcBorders>
          </w:tcPr>
          <w:p w:rsidR="005A7F97" w:rsidRPr="00F500AD" w:rsidRDefault="009C7AB9" w:rsidP="003E2E3D">
            <w:pPr>
              <w:pStyle w:val="ListParagraph"/>
              <w:spacing w:after="40" w:line="276" w:lineRule="auto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Immunization Billing P</w:t>
            </w:r>
            <w:r w:rsidR="003E2E3D" w:rsidRPr="00F500AD">
              <w:rPr>
                <w:rFonts w:cs="Times New Roman"/>
                <w:sz w:val="24"/>
                <w:szCs w:val="24"/>
              </w:rPr>
              <w:t>rogram Manager</w:t>
            </w:r>
            <w:r>
              <w:rPr>
                <w:rFonts w:cs="Times New Roman"/>
                <w:sz w:val="24"/>
                <w:szCs w:val="24"/>
              </w:rPr>
              <w:t>s or Coordinators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5A7F97" w:rsidRPr="00F500AD" w:rsidRDefault="006671DF" w:rsidP="008D2E02">
            <w:pPr>
              <w:pStyle w:val="ListParagraph"/>
              <w:spacing w:after="40" w:line="276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5A7F97" w:rsidRPr="00F500AD" w:rsidTr="008D2E02">
        <w:trPr>
          <w:trHeight w:hRule="exact" w:val="360"/>
        </w:trPr>
        <w:tc>
          <w:tcPr>
            <w:tcW w:w="8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F97" w:rsidRPr="00F500AD" w:rsidRDefault="005A7F97" w:rsidP="008D2E02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  <w:r w:rsidRPr="00F500AD">
              <w:rPr>
                <w:b/>
                <w:sz w:val="24"/>
                <w:szCs w:val="24"/>
              </w:rPr>
              <w:t>Total Universe of Potential Respondents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F97" w:rsidRPr="00F500AD" w:rsidRDefault="006671DF" w:rsidP="003E2E3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</w:tbl>
    <w:p w:rsidR="00B328F9" w:rsidRPr="00F500AD" w:rsidRDefault="00B328F9" w:rsidP="002A16BE">
      <w:pPr>
        <w:spacing w:after="0"/>
        <w:rPr>
          <w:b/>
          <w:sz w:val="24"/>
          <w:szCs w:val="24"/>
        </w:rPr>
      </w:pPr>
    </w:p>
    <w:p w:rsidR="000704EB" w:rsidRPr="00F500AD" w:rsidRDefault="00F16539" w:rsidP="002A16BE">
      <w:pPr>
        <w:pStyle w:val="ListParagraph"/>
        <w:numPr>
          <w:ilvl w:val="0"/>
          <w:numId w:val="1"/>
        </w:numPr>
        <w:spacing w:after="0"/>
        <w:ind w:left="360"/>
        <w:rPr>
          <w:b/>
          <w:sz w:val="24"/>
          <w:szCs w:val="24"/>
        </w:rPr>
      </w:pPr>
      <w:r w:rsidRPr="00F500AD">
        <w:rPr>
          <w:b/>
          <w:sz w:val="24"/>
          <w:szCs w:val="24"/>
        </w:rPr>
        <w:t>Procedures for the Collection of Information</w:t>
      </w:r>
    </w:p>
    <w:p w:rsidR="002A16BE" w:rsidRPr="00F500AD" w:rsidRDefault="002A16BE" w:rsidP="002A16BE">
      <w:pPr>
        <w:pStyle w:val="ListParagraph"/>
        <w:spacing w:after="0"/>
        <w:rPr>
          <w:b/>
          <w:sz w:val="24"/>
          <w:szCs w:val="24"/>
        </w:rPr>
      </w:pPr>
    </w:p>
    <w:p w:rsidR="00DF50F7" w:rsidRPr="00F500AD" w:rsidRDefault="00F16539" w:rsidP="002A16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4"/>
          <w:szCs w:val="24"/>
        </w:rPr>
      </w:pPr>
      <w:r w:rsidRPr="00F500AD">
        <w:rPr>
          <w:rFonts w:cs="Arial"/>
          <w:sz w:val="24"/>
          <w:szCs w:val="24"/>
        </w:rPr>
        <w:t xml:space="preserve">Data will be collected through </w:t>
      </w:r>
      <w:r w:rsidR="00CB6513" w:rsidRPr="00F500AD">
        <w:rPr>
          <w:rFonts w:cs="Arial"/>
          <w:sz w:val="24"/>
          <w:szCs w:val="24"/>
        </w:rPr>
        <w:t xml:space="preserve">the </w:t>
      </w:r>
      <w:r w:rsidR="00A466D1" w:rsidRPr="00F500AD">
        <w:rPr>
          <w:sz w:val="24"/>
          <w:szCs w:val="24"/>
        </w:rPr>
        <w:t xml:space="preserve">Survey Monkey </w:t>
      </w:r>
      <w:r w:rsidRPr="00F500AD">
        <w:rPr>
          <w:rFonts w:cs="Arial"/>
          <w:sz w:val="24"/>
          <w:szCs w:val="24"/>
        </w:rPr>
        <w:t>an</w:t>
      </w:r>
      <w:r w:rsidR="00CB6513" w:rsidRPr="00F500AD">
        <w:rPr>
          <w:rFonts w:cs="Arial"/>
          <w:sz w:val="24"/>
          <w:szCs w:val="24"/>
        </w:rPr>
        <w:t xml:space="preserve">d </w:t>
      </w:r>
      <w:r w:rsidRPr="00F500AD">
        <w:rPr>
          <w:rFonts w:cs="Arial"/>
          <w:sz w:val="24"/>
          <w:szCs w:val="24"/>
        </w:rPr>
        <w:t>distributed to all individuals who co</w:t>
      </w:r>
      <w:r w:rsidR="00946FC7">
        <w:rPr>
          <w:rFonts w:cs="Arial"/>
          <w:sz w:val="24"/>
          <w:szCs w:val="24"/>
        </w:rPr>
        <w:t xml:space="preserve">mprise the respondent universe. </w:t>
      </w:r>
      <w:r w:rsidR="00946FC7" w:rsidRPr="00457884">
        <w:rPr>
          <w:sz w:val="24"/>
          <w:szCs w:val="24"/>
        </w:rPr>
        <w:t xml:space="preserve">The </w:t>
      </w:r>
      <w:r w:rsidR="00946FC7">
        <w:rPr>
          <w:sz w:val="24"/>
          <w:szCs w:val="24"/>
        </w:rPr>
        <w:t xml:space="preserve">data collection </w:t>
      </w:r>
      <w:r w:rsidR="006B3FEB">
        <w:rPr>
          <w:sz w:val="24"/>
          <w:szCs w:val="24"/>
        </w:rPr>
        <w:t>instrument</w:t>
      </w:r>
      <w:r w:rsidR="006409C9">
        <w:rPr>
          <w:sz w:val="24"/>
          <w:szCs w:val="24"/>
        </w:rPr>
        <w:t xml:space="preserve"> </w:t>
      </w:r>
      <w:r w:rsidR="00946FC7" w:rsidRPr="00457884">
        <w:rPr>
          <w:sz w:val="24"/>
          <w:szCs w:val="24"/>
        </w:rPr>
        <w:t xml:space="preserve">consists of </w:t>
      </w:r>
      <w:r w:rsidR="00946FC7">
        <w:rPr>
          <w:sz w:val="24"/>
          <w:szCs w:val="24"/>
        </w:rPr>
        <w:t>4</w:t>
      </w:r>
      <w:r w:rsidR="00946FC7" w:rsidRPr="00457884">
        <w:rPr>
          <w:sz w:val="24"/>
          <w:szCs w:val="24"/>
        </w:rPr>
        <w:t>4</w:t>
      </w:r>
      <w:r w:rsidR="00946FC7">
        <w:rPr>
          <w:sz w:val="24"/>
          <w:szCs w:val="24"/>
        </w:rPr>
        <w:t xml:space="preserve"> questions </w:t>
      </w:r>
      <w:r w:rsidR="00946FC7" w:rsidRPr="00457884">
        <w:rPr>
          <w:sz w:val="24"/>
          <w:szCs w:val="24"/>
        </w:rPr>
        <w:t>of various types</w:t>
      </w:r>
      <w:r w:rsidR="00946FC7">
        <w:rPr>
          <w:sz w:val="24"/>
          <w:szCs w:val="24"/>
        </w:rPr>
        <w:t>,</w:t>
      </w:r>
      <w:r w:rsidR="00946FC7" w:rsidRPr="00457884">
        <w:rPr>
          <w:sz w:val="24"/>
          <w:szCs w:val="24"/>
        </w:rPr>
        <w:t xml:space="preserve"> including </w:t>
      </w:r>
      <w:r w:rsidR="00946FC7" w:rsidRPr="00C909CD">
        <w:rPr>
          <w:sz w:val="24"/>
          <w:szCs w:val="24"/>
        </w:rPr>
        <w:t>dichotomous</w:t>
      </w:r>
      <w:r w:rsidR="00946FC7">
        <w:rPr>
          <w:sz w:val="24"/>
          <w:szCs w:val="24"/>
        </w:rPr>
        <w:t>, multiple response, and open-</w:t>
      </w:r>
      <w:r w:rsidR="00946FC7" w:rsidRPr="00457884">
        <w:rPr>
          <w:sz w:val="24"/>
          <w:szCs w:val="24"/>
        </w:rPr>
        <w:t xml:space="preserve">ended. </w:t>
      </w:r>
      <w:r w:rsidRPr="00F500AD">
        <w:rPr>
          <w:rFonts w:cs="Arial"/>
          <w:sz w:val="24"/>
          <w:szCs w:val="24"/>
        </w:rPr>
        <w:t>An introductory e</w:t>
      </w:r>
      <w:r w:rsidR="006C3792" w:rsidRPr="00F500AD">
        <w:rPr>
          <w:rFonts w:cs="Arial"/>
          <w:sz w:val="24"/>
          <w:szCs w:val="24"/>
        </w:rPr>
        <w:t>-</w:t>
      </w:r>
      <w:r w:rsidRPr="00F500AD">
        <w:rPr>
          <w:rFonts w:cs="Arial"/>
          <w:sz w:val="24"/>
          <w:szCs w:val="24"/>
        </w:rPr>
        <w:t>mail notification (</w:t>
      </w:r>
      <w:r w:rsidR="00946FC7">
        <w:rPr>
          <w:rFonts w:cs="Arial"/>
          <w:b/>
          <w:sz w:val="24"/>
          <w:szCs w:val="24"/>
        </w:rPr>
        <w:t xml:space="preserve">see Attachment </w:t>
      </w:r>
      <w:r w:rsidR="00710E4F">
        <w:rPr>
          <w:rFonts w:cs="Arial"/>
          <w:b/>
          <w:sz w:val="24"/>
          <w:szCs w:val="24"/>
        </w:rPr>
        <w:t>J</w:t>
      </w:r>
      <w:r w:rsidRPr="00F500AD">
        <w:rPr>
          <w:rFonts w:cs="Arial"/>
          <w:b/>
          <w:sz w:val="24"/>
          <w:szCs w:val="24"/>
        </w:rPr>
        <w:t xml:space="preserve"> – Introductory E</w:t>
      </w:r>
      <w:r w:rsidR="006C3792" w:rsidRPr="00F500AD">
        <w:rPr>
          <w:rFonts w:cs="Arial"/>
          <w:b/>
          <w:sz w:val="24"/>
          <w:szCs w:val="24"/>
        </w:rPr>
        <w:t>-</w:t>
      </w:r>
      <w:r w:rsidRPr="00F500AD">
        <w:rPr>
          <w:rFonts w:cs="Arial"/>
          <w:b/>
          <w:sz w:val="24"/>
          <w:szCs w:val="24"/>
        </w:rPr>
        <w:t>mail</w:t>
      </w:r>
      <w:r w:rsidRPr="00F500AD">
        <w:rPr>
          <w:rFonts w:cs="Arial"/>
          <w:sz w:val="24"/>
          <w:szCs w:val="24"/>
        </w:rPr>
        <w:t xml:space="preserve">) will be sent to all immunization billing program </w:t>
      </w:r>
      <w:r w:rsidR="00BE318B">
        <w:rPr>
          <w:rFonts w:cs="Arial"/>
          <w:sz w:val="24"/>
          <w:szCs w:val="24"/>
        </w:rPr>
        <w:t xml:space="preserve">managers or </w:t>
      </w:r>
      <w:r w:rsidR="00946FC7">
        <w:rPr>
          <w:rFonts w:cs="Arial"/>
          <w:sz w:val="24"/>
          <w:szCs w:val="24"/>
        </w:rPr>
        <w:t xml:space="preserve">coordinators </w:t>
      </w:r>
      <w:r w:rsidRPr="00F500AD">
        <w:rPr>
          <w:rFonts w:cs="Arial"/>
          <w:sz w:val="24"/>
          <w:szCs w:val="24"/>
        </w:rPr>
        <w:t xml:space="preserve">informing them of the planned </w:t>
      </w:r>
      <w:r w:rsidR="00946FC7">
        <w:rPr>
          <w:rFonts w:cs="Arial"/>
          <w:sz w:val="24"/>
          <w:szCs w:val="24"/>
        </w:rPr>
        <w:t>assessment</w:t>
      </w:r>
      <w:r w:rsidR="0003520A" w:rsidRPr="00F500AD">
        <w:rPr>
          <w:rFonts w:cs="Arial"/>
          <w:sz w:val="24"/>
          <w:szCs w:val="24"/>
        </w:rPr>
        <w:t xml:space="preserve">, announcing the dates the </w:t>
      </w:r>
      <w:r w:rsidR="00946FC7">
        <w:rPr>
          <w:rFonts w:cs="Arial"/>
          <w:sz w:val="24"/>
          <w:szCs w:val="24"/>
        </w:rPr>
        <w:t>assessment</w:t>
      </w:r>
      <w:r w:rsidR="0003520A" w:rsidRPr="00F500AD">
        <w:rPr>
          <w:rFonts w:cs="Arial"/>
          <w:sz w:val="24"/>
          <w:szCs w:val="24"/>
        </w:rPr>
        <w:t xml:space="preserve"> </w:t>
      </w:r>
      <w:r w:rsidRPr="00F500AD">
        <w:rPr>
          <w:rFonts w:cs="Arial"/>
          <w:sz w:val="24"/>
          <w:szCs w:val="24"/>
        </w:rPr>
        <w:t>will be administered, and prov</w:t>
      </w:r>
      <w:r w:rsidR="00A739AC" w:rsidRPr="00F500AD">
        <w:rPr>
          <w:rFonts w:cs="Arial"/>
          <w:sz w:val="24"/>
          <w:szCs w:val="24"/>
        </w:rPr>
        <w:t>id</w:t>
      </w:r>
      <w:r w:rsidR="00E0721A">
        <w:rPr>
          <w:rFonts w:cs="Arial"/>
          <w:sz w:val="24"/>
          <w:szCs w:val="24"/>
        </w:rPr>
        <w:t xml:space="preserve">ing </w:t>
      </w:r>
      <w:r w:rsidRPr="00F500AD">
        <w:rPr>
          <w:rFonts w:cs="Arial"/>
          <w:sz w:val="24"/>
          <w:szCs w:val="24"/>
        </w:rPr>
        <w:t xml:space="preserve">links to the </w:t>
      </w:r>
      <w:r w:rsidR="00E0721A">
        <w:rPr>
          <w:rFonts w:cs="Arial"/>
          <w:sz w:val="24"/>
          <w:szCs w:val="24"/>
        </w:rPr>
        <w:t>data collection instrument</w:t>
      </w:r>
      <w:r w:rsidRPr="00F500AD">
        <w:rPr>
          <w:rFonts w:cs="Arial"/>
          <w:sz w:val="24"/>
          <w:szCs w:val="24"/>
        </w:rPr>
        <w:t xml:space="preserve">.  </w:t>
      </w:r>
      <w:r w:rsidR="007857B8" w:rsidRPr="00F500AD">
        <w:rPr>
          <w:rFonts w:cs="Arial"/>
          <w:sz w:val="24"/>
          <w:szCs w:val="24"/>
        </w:rPr>
        <w:t>The e</w:t>
      </w:r>
      <w:r w:rsidR="006C3792" w:rsidRPr="00F500AD">
        <w:rPr>
          <w:rFonts w:cs="Arial"/>
          <w:sz w:val="24"/>
          <w:szCs w:val="24"/>
        </w:rPr>
        <w:t>-</w:t>
      </w:r>
      <w:r w:rsidR="007857B8" w:rsidRPr="00F500AD">
        <w:rPr>
          <w:rFonts w:cs="Arial"/>
          <w:sz w:val="24"/>
          <w:szCs w:val="24"/>
        </w:rPr>
        <w:t xml:space="preserve">mail will inform respondents of the necessary reports and reimbursement data that will </w:t>
      </w:r>
      <w:r w:rsidR="00A739AC" w:rsidRPr="00F500AD">
        <w:rPr>
          <w:rFonts w:cs="Arial"/>
          <w:sz w:val="24"/>
          <w:szCs w:val="24"/>
        </w:rPr>
        <w:t>need to be on hand to complete</w:t>
      </w:r>
      <w:r w:rsidR="007857B8" w:rsidRPr="00F500AD">
        <w:rPr>
          <w:rFonts w:cs="Arial"/>
          <w:sz w:val="24"/>
          <w:szCs w:val="24"/>
        </w:rPr>
        <w:t xml:space="preserve"> the </w:t>
      </w:r>
      <w:r w:rsidR="00946FC7">
        <w:rPr>
          <w:rFonts w:cs="Arial"/>
          <w:sz w:val="24"/>
          <w:szCs w:val="24"/>
        </w:rPr>
        <w:t>assessment</w:t>
      </w:r>
      <w:r w:rsidR="007857B8" w:rsidRPr="00F500AD">
        <w:rPr>
          <w:rFonts w:cs="Arial"/>
          <w:sz w:val="24"/>
          <w:szCs w:val="24"/>
        </w:rPr>
        <w:t xml:space="preserve">. </w:t>
      </w:r>
      <w:r w:rsidR="00CB6513" w:rsidRPr="00F500AD">
        <w:rPr>
          <w:rFonts w:cs="Arial"/>
          <w:sz w:val="24"/>
          <w:szCs w:val="24"/>
        </w:rPr>
        <w:t xml:space="preserve">The </w:t>
      </w:r>
      <w:r w:rsidR="00946FC7">
        <w:rPr>
          <w:rFonts w:cs="Arial"/>
          <w:sz w:val="24"/>
          <w:szCs w:val="24"/>
        </w:rPr>
        <w:t>assessment</w:t>
      </w:r>
      <w:r w:rsidR="0003520A" w:rsidRPr="00F500AD">
        <w:rPr>
          <w:rFonts w:cs="Arial"/>
          <w:sz w:val="24"/>
          <w:szCs w:val="24"/>
        </w:rPr>
        <w:t xml:space="preserve"> </w:t>
      </w:r>
      <w:r w:rsidRPr="00F500AD">
        <w:rPr>
          <w:rFonts w:cs="Arial"/>
          <w:sz w:val="24"/>
          <w:szCs w:val="24"/>
        </w:rPr>
        <w:t xml:space="preserve">will remain open for a period of </w:t>
      </w:r>
      <w:r w:rsidR="0017307D" w:rsidRPr="00F500AD">
        <w:rPr>
          <w:rFonts w:cs="Arial"/>
          <w:sz w:val="24"/>
          <w:szCs w:val="24"/>
        </w:rPr>
        <w:t>four</w:t>
      </w:r>
      <w:r w:rsidR="006C3792" w:rsidRPr="00F500AD">
        <w:rPr>
          <w:rFonts w:cs="Arial"/>
          <w:sz w:val="24"/>
          <w:szCs w:val="24"/>
        </w:rPr>
        <w:t xml:space="preserve"> </w:t>
      </w:r>
      <w:r w:rsidR="00A739AC" w:rsidRPr="00F500AD">
        <w:rPr>
          <w:rFonts w:cs="Arial"/>
          <w:sz w:val="24"/>
          <w:szCs w:val="24"/>
        </w:rPr>
        <w:t>weeks</w:t>
      </w:r>
      <w:r w:rsidR="0003520A" w:rsidRPr="00F500AD">
        <w:rPr>
          <w:rFonts w:cs="Arial"/>
          <w:sz w:val="24"/>
          <w:szCs w:val="24"/>
        </w:rPr>
        <w:t xml:space="preserve"> to allow ample time for completion by respondents. </w:t>
      </w:r>
      <w:r w:rsidR="009B2928" w:rsidRPr="00F500AD">
        <w:rPr>
          <w:rFonts w:cs="Arial"/>
          <w:sz w:val="24"/>
          <w:szCs w:val="24"/>
        </w:rPr>
        <w:t>A</w:t>
      </w:r>
      <w:r w:rsidRPr="00F500AD">
        <w:rPr>
          <w:rFonts w:cs="Arial"/>
          <w:sz w:val="24"/>
          <w:szCs w:val="24"/>
        </w:rPr>
        <w:t xml:space="preserve"> follow-up e</w:t>
      </w:r>
      <w:r w:rsidR="006C3792" w:rsidRPr="00F500AD">
        <w:rPr>
          <w:rFonts w:cs="Arial"/>
          <w:sz w:val="24"/>
          <w:szCs w:val="24"/>
        </w:rPr>
        <w:t>-</w:t>
      </w:r>
      <w:r w:rsidRPr="00F500AD">
        <w:rPr>
          <w:rFonts w:cs="Arial"/>
          <w:sz w:val="24"/>
          <w:szCs w:val="24"/>
        </w:rPr>
        <w:t>mail (</w:t>
      </w:r>
      <w:r w:rsidR="00CB6513" w:rsidRPr="00F500AD">
        <w:rPr>
          <w:rFonts w:cs="Arial"/>
          <w:b/>
          <w:sz w:val="24"/>
          <w:szCs w:val="24"/>
        </w:rPr>
        <w:t xml:space="preserve">see Attachment </w:t>
      </w:r>
      <w:r w:rsidR="00710E4F">
        <w:rPr>
          <w:rFonts w:cs="Arial"/>
          <w:b/>
          <w:sz w:val="24"/>
          <w:szCs w:val="24"/>
        </w:rPr>
        <w:t>K</w:t>
      </w:r>
      <w:r w:rsidRPr="00F500AD">
        <w:rPr>
          <w:rFonts w:cs="Arial"/>
          <w:b/>
          <w:sz w:val="24"/>
          <w:szCs w:val="24"/>
        </w:rPr>
        <w:t xml:space="preserve"> - Follow-up E</w:t>
      </w:r>
      <w:r w:rsidR="006C3792" w:rsidRPr="00F500AD">
        <w:rPr>
          <w:rFonts w:cs="Arial"/>
          <w:b/>
          <w:sz w:val="24"/>
          <w:szCs w:val="24"/>
        </w:rPr>
        <w:t>-</w:t>
      </w:r>
      <w:r w:rsidRPr="00F500AD">
        <w:rPr>
          <w:rFonts w:cs="Arial"/>
          <w:b/>
          <w:sz w:val="24"/>
          <w:szCs w:val="24"/>
        </w:rPr>
        <w:t>mail</w:t>
      </w:r>
      <w:r w:rsidRPr="00F500AD">
        <w:rPr>
          <w:rFonts w:cs="Arial"/>
          <w:sz w:val="24"/>
          <w:szCs w:val="24"/>
        </w:rPr>
        <w:t>) will be sent to th</w:t>
      </w:r>
      <w:r w:rsidR="009B2928" w:rsidRPr="00F500AD">
        <w:rPr>
          <w:rFonts w:cs="Arial"/>
          <w:sz w:val="24"/>
          <w:szCs w:val="24"/>
        </w:rPr>
        <w:t xml:space="preserve">ose who have not responded </w:t>
      </w:r>
      <w:r w:rsidR="0017307D" w:rsidRPr="00F500AD">
        <w:rPr>
          <w:rFonts w:cs="Arial"/>
          <w:sz w:val="24"/>
          <w:szCs w:val="24"/>
        </w:rPr>
        <w:t xml:space="preserve">two </w:t>
      </w:r>
      <w:r w:rsidR="00A739AC" w:rsidRPr="00F500AD">
        <w:rPr>
          <w:rFonts w:cs="Arial"/>
          <w:sz w:val="24"/>
          <w:szCs w:val="24"/>
        </w:rPr>
        <w:t>week</w:t>
      </w:r>
      <w:r w:rsidR="0017307D" w:rsidRPr="00F500AD">
        <w:rPr>
          <w:rFonts w:cs="Arial"/>
          <w:sz w:val="24"/>
          <w:szCs w:val="24"/>
        </w:rPr>
        <w:t>s</w:t>
      </w:r>
      <w:r w:rsidR="009B2928" w:rsidRPr="00F500AD">
        <w:rPr>
          <w:rFonts w:cs="Arial"/>
          <w:sz w:val="24"/>
          <w:szCs w:val="24"/>
        </w:rPr>
        <w:t xml:space="preserve"> into the open period.</w:t>
      </w:r>
      <w:r w:rsidR="00D74297" w:rsidRPr="00F500AD">
        <w:rPr>
          <w:rFonts w:cs="Arial"/>
          <w:sz w:val="24"/>
          <w:szCs w:val="24"/>
        </w:rPr>
        <w:t xml:space="preserve"> </w:t>
      </w:r>
    </w:p>
    <w:p w:rsidR="00DF50F7" w:rsidRPr="00F500AD" w:rsidRDefault="00D74297" w:rsidP="00D74297">
      <w:pPr>
        <w:spacing w:after="0"/>
        <w:rPr>
          <w:b/>
          <w:sz w:val="24"/>
          <w:szCs w:val="24"/>
        </w:rPr>
      </w:pPr>
      <w:r w:rsidRPr="00F500AD">
        <w:rPr>
          <w:b/>
          <w:sz w:val="24"/>
          <w:szCs w:val="24"/>
        </w:rPr>
        <w:t xml:space="preserve">3. </w:t>
      </w:r>
      <w:r w:rsidR="00FE3B77" w:rsidRPr="00F500AD">
        <w:rPr>
          <w:b/>
          <w:sz w:val="24"/>
          <w:szCs w:val="24"/>
        </w:rPr>
        <w:t xml:space="preserve">    </w:t>
      </w:r>
      <w:r w:rsidR="00DF50F7" w:rsidRPr="00F500AD">
        <w:rPr>
          <w:b/>
          <w:sz w:val="24"/>
          <w:szCs w:val="24"/>
        </w:rPr>
        <w:t>Methods to Maximize Response Rates</w:t>
      </w:r>
      <w:r w:rsidR="009B2928" w:rsidRPr="00F500AD">
        <w:rPr>
          <w:b/>
          <w:sz w:val="24"/>
          <w:szCs w:val="24"/>
        </w:rPr>
        <w:t>, Deal with Non</w:t>
      </w:r>
      <w:r w:rsidR="006C3792" w:rsidRPr="00F500AD">
        <w:rPr>
          <w:b/>
          <w:sz w:val="24"/>
          <w:szCs w:val="24"/>
        </w:rPr>
        <w:t>-</w:t>
      </w:r>
      <w:r w:rsidR="009B2928" w:rsidRPr="00F500AD">
        <w:rPr>
          <w:b/>
          <w:sz w:val="24"/>
          <w:szCs w:val="24"/>
        </w:rPr>
        <w:t>response</w:t>
      </w:r>
      <w:r w:rsidR="00DF50F7" w:rsidRPr="00F500AD">
        <w:rPr>
          <w:b/>
          <w:sz w:val="24"/>
          <w:szCs w:val="24"/>
        </w:rPr>
        <w:t xml:space="preserve">  </w:t>
      </w:r>
    </w:p>
    <w:p w:rsidR="000704EB" w:rsidRPr="00F500AD" w:rsidRDefault="000704EB" w:rsidP="000704EB">
      <w:pPr>
        <w:pStyle w:val="ListParagraph"/>
        <w:spacing w:after="0"/>
        <w:rPr>
          <w:b/>
          <w:sz w:val="24"/>
          <w:szCs w:val="24"/>
        </w:rPr>
      </w:pPr>
    </w:p>
    <w:p w:rsidR="000C2921" w:rsidRDefault="009B2928" w:rsidP="002A16BE">
      <w:pPr>
        <w:spacing w:after="0"/>
        <w:rPr>
          <w:sz w:val="24"/>
          <w:szCs w:val="24"/>
        </w:rPr>
      </w:pPr>
      <w:r w:rsidRPr="00F500AD">
        <w:rPr>
          <w:rFonts w:cs="Times New Roman"/>
          <w:sz w:val="24"/>
          <w:szCs w:val="24"/>
        </w:rPr>
        <w:t>Alt</w:t>
      </w:r>
      <w:r w:rsidR="008B2837" w:rsidRPr="00F500AD">
        <w:rPr>
          <w:rFonts w:cs="Times New Roman"/>
          <w:sz w:val="24"/>
          <w:szCs w:val="24"/>
        </w:rPr>
        <w:t>hough participation in the data collection</w:t>
      </w:r>
      <w:r w:rsidRPr="00F500AD">
        <w:rPr>
          <w:rFonts w:cs="Times New Roman"/>
          <w:sz w:val="24"/>
          <w:szCs w:val="24"/>
        </w:rPr>
        <w:t xml:space="preserve"> is voluntary, every effort will be made to maximize the rat</w:t>
      </w:r>
      <w:r w:rsidR="000704EB" w:rsidRPr="00F500AD">
        <w:rPr>
          <w:rFonts w:cs="Times New Roman"/>
          <w:sz w:val="24"/>
          <w:szCs w:val="24"/>
        </w:rPr>
        <w:t xml:space="preserve">e of response for this </w:t>
      </w:r>
      <w:r w:rsidR="002A16BE" w:rsidRPr="00F500AD">
        <w:rPr>
          <w:rFonts w:cs="Times New Roman"/>
          <w:sz w:val="24"/>
          <w:szCs w:val="24"/>
        </w:rPr>
        <w:t>questionnaire</w:t>
      </w:r>
      <w:r w:rsidR="000704EB" w:rsidRPr="00F500AD">
        <w:rPr>
          <w:rFonts w:cs="Times New Roman"/>
          <w:sz w:val="24"/>
          <w:szCs w:val="24"/>
        </w:rPr>
        <w:t xml:space="preserve">. </w:t>
      </w:r>
      <w:r w:rsidR="000C2921">
        <w:rPr>
          <w:rFonts w:cs="Times New Roman"/>
          <w:sz w:val="24"/>
          <w:szCs w:val="24"/>
        </w:rPr>
        <w:t>CDC b</w:t>
      </w:r>
      <w:r w:rsidR="000704EB" w:rsidRPr="00F500AD">
        <w:rPr>
          <w:rFonts w:cs="Times New Roman"/>
          <w:sz w:val="24"/>
          <w:szCs w:val="24"/>
        </w:rPr>
        <w:t>illing</w:t>
      </w:r>
      <w:r w:rsidRPr="00F500AD">
        <w:rPr>
          <w:rFonts w:cs="Times New Roman"/>
          <w:sz w:val="24"/>
          <w:szCs w:val="24"/>
        </w:rPr>
        <w:t xml:space="preserve"> team </w:t>
      </w:r>
      <w:r w:rsidR="000C2921">
        <w:rPr>
          <w:rFonts w:cs="Times New Roman"/>
          <w:sz w:val="24"/>
          <w:szCs w:val="24"/>
        </w:rPr>
        <w:t>staff</w:t>
      </w:r>
      <w:r w:rsidRPr="00F500AD">
        <w:rPr>
          <w:rFonts w:cs="Times New Roman"/>
          <w:sz w:val="24"/>
          <w:szCs w:val="24"/>
        </w:rPr>
        <w:t xml:space="preserve"> designed the </w:t>
      </w:r>
      <w:r w:rsidR="000C2921">
        <w:rPr>
          <w:rFonts w:cs="Times New Roman"/>
          <w:sz w:val="24"/>
          <w:szCs w:val="24"/>
        </w:rPr>
        <w:t>assessment</w:t>
      </w:r>
      <w:r w:rsidR="002A16BE" w:rsidRPr="00F500AD">
        <w:rPr>
          <w:rFonts w:cs="Times New Roman"/>
          <w:sz w:val="24"/>
          <w:szCs w:val="24"/>
        </w:rPr>
        <w:t xml:space="preserve"> </w:t>
      </w:r>
      <w:r w:rsidRPr="00F500AD">
        <w:rPr>
          <w:rFonts w:cs="Times New Roman"/>
          <w:sz w:val="24"/>
          <w:szCs w:val="24"/>
        </w:rPr>
        <w:t xml:space="preserve">with particular focus on minimizing respondent burden and the length of time </w:t>
      </w:r>
      <w:r w:rsidR="002A16BE" w:rsidRPr="00F500AD">
        <w:rPr>
          <w:rFonts w:cs="Times New Roman"/>
          <w:sz w:val="24"/>
          <w:szCs w:val="24"/>
        </w:rPr>
        <w:t>for completion</w:t>
      </w:r>
      <w:r w:rsidR="006409C9">
        <w:rPr>
          <w:rFonts w:cs="Times New Roman"/>
          <w:sz w:val="24"/>
          <w:szCs w:val="24"/>
        </w:rPr>
        <w:t xml:space="preserve">. </w:t>
      </w:r>
      <w:r w:rsidR="000C2921">
        <w:rPr>
          <w:sz w:val="24"/>
          <w:szCs w:val="24"/>
        </w:rPr>
        <w:t>A</w:t>
      </w:r>
      <w:r w:rsidR="000C2921" w:rsidRPr="00457884">
        <w:rPr>
          <w:sz w:val="24"/>
          <w:szCs w:val="24"/>
        </w:rPr>
        <w:t xml:space="preserve"> </w:t>
      </w:r>
      <w:r w:rsidR="000C2921">
        <w:rPr>
          <w:sz w:val="24"/>
          <w:szCs w:val="24"/>
        </w:rPr>
        <w:t xml:space="preserve">significant </w:t>
      </w:r>
      <w:r w:rsidR="000C2921" w:rsidRPr="00457884">
        <w:rPr>
          <w:sz w:val="24"/>
          <w:szCs w:val="24"/>
        </w:rPr>
        <w:t xml:space="preserve">effort was made to limit questions requiring </w:t>
      </w:r>
      <w:r w:rsidR="000C2921">
        <w:rPr>
          <w:sz w:val="24"/>
          <w:szCs w:val="24"/>
        </w:rPr>
        <w:t>narrative responses and include</w:t>
      </w:r>
      <w:r w:rsidR="000C2921" w:rsidRPr="00457884">
        <w:rPr>
          <w:sz w:val="24"/>
          <w:szCs w:val="24"/>
        </w:rPr>
        <w:t xml:space="preserve"> </w:t>
      </w:r>
      <w:r w:rsidR="000C2921" w:rsidRPr="00457884">
        <w:rPr>
          <w:sz w:val="24"/>
          <w:szCs w:val="24"/>
        </w:rPr>
        <w:lastRenderedPageBreak/>
        <w:t>narrative optional questions for respondents to elaborate on their feedback if they choo</w:t>
      </w:r>
      <w:r w:rsidR="000C2921">
        <w:rPr>
          <w:sz w:val="24"/>
          <w:szCs w:val="24"/>
        </w:rPr>
        <w:t>se to do so.</w:t>
      </w:r>
    </w:p>
    <w:p w:rsidR="000C2921" w:rsidRDefault="000C2921" w:rsidP="002A16BE">
      <w:pPr>
        <w:spacing w:after="0"/>
        <w:rPr>
          <w:sz w:val="24"/>
          <w:szCs w:val="24"/>
        </w:rPr>
      </w:pPr>
    </w:p>
    <w:p w:rsidR="009B2928" w:rsidRPr="000C2921" w:rsidRDefault="00E0721A" w:rsidP="002A16BE">
      <w:pPr>
        <w:spacing w:after="0"/>
        <w:rPr>
          <w:rFonts w:cs="Times New Roman"/>
          <w:sz w:val="24"/>
          <w:szCs w:val="24"/>
        </w:rPr>
      </w:pPr>
      <w:r>
        <w:rPr>
          <w:sz w:val="24"/>
          <w:szCs w:val="24"/>
        </w:rPr>
        <w:t>The</w:t>
      </w:r>
      <w:r w:rsidR="009B2928" w:rsidRPr="00F500AD">
        <w:rPr>
          <w:sz w:val="24"/>
          <w:szCs w:val="24"/>
        </w:rPr>
        <w:t xml:space="preserve"> initial e</w:t>
      </w:r>
      <w:r w:rsidR="006C3792" w:rsidRPr="00F500AD">
        <w:rPr>
          <w:sz w:val="24"/>
          <w:szCs w:val="24"/>
        </w:rPr>
        <w:t>-</w:t>
      </w:r>
      <w:r w:rsidR="009B2928" w:rsidRPr="00F500AD">
        <w:rPr>
          <w:sz w:val="24"/>
          <w:szCs w:val="24"/>
        </w:rPr>
        <w:t xml:space="preserve">mail and </w:t>
      </w:r>
      <w:r w:rsidR="000C2921">
        <w:rPr>
          <w:sz w:val="24"/>
          <w:szCs w:val="24"/>
        </w:rPr>
        <w:t>one</w:t>
      </w:r>
      <w:r w:rsidR="000704EB" w:rsidRPr="00F500AD">
        <w:rPr>
          <w:sz w:val="24"/>
          <w:szCs w:val="24"/>
        </w:rPr>
        <w:t xml:space="preserve"> reminder e</w:t>
      </w:r>
      <w:r w:rsidR="006C3792" w:rsidRPr="00F500AD">
        <w:rPr>
          <w:sz w:val="24"/>
          <w:szCs w:val="24"/>
        </w:rPr>
        <w:t>-</w:t>
      </w:r>
      <w:r w:rsidR="000704EB" w:rsidRPr="00F500AD">
        <w:rPr>
          <w:sz w:val="24"/>
          <w:szCs w:val="24"/>
        </w:rPr>
        <w:t>mail</w:t>
      </w:r>
      <w:r w:rsidR="009B2928" w:rsidRPr="00F500AD">
        <w:rPr>
          <w:sz w:val="24"/>
          <w:szCs w:val="24"/>
        </w:rPr>
        <w:t xml:space="preserve"> will be utilized to maximize response rates</w:t>
      </w:r>
      <w:r w:rsidR="00D74297" w:rsidRPr="00F500AD">
        <w:rPr>
          <w:sz w:val="24"/>
          <w:szCs w:val="24"/>
        </w:rPr>
        <w:t xml:space="preserve"> </w:t>
      </w:r>
      <w:r w:rsidR="000C2921">
        <w:rPr>
          <w:b/>
          <w:sz w:val="24"/>
          <w:szCs w:val="24"/>
        </w:rPr>
        <w:t xml:space="preserve">(See Attachments </w:t>
      </w:r>
      <w:r w:rsidR="00710E4F">
        <w:rPr>
          <w:b/>
          <w:sz w:val="24"/>
          <w:szCs w:val="24"/>
        </w:rPr>
        <w:t>J</w:t>
      </w:r>
      <w:r w:rsidR="000C2921">
        <w:rPr>
          <w:b/>
          <w:sz w:val="24"/>
          <w:szCs w:val="24"/>
        </w:rPr>
        <w:t xml:space="preserve"> and </w:t>
      </w:r>
      <w:r w:rsidR="00710E4F">
        <w:rPr>
          <w:b/>
          <w:sz w:val="24"/>
          <w:szCs w:val="24"/>
        </w:rPr>
        <w:t>K</w:t>
      </w:r>
      <w:r w:rsidR="00D74297" w:rsidRPr="00F500AD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9B2928" w:rsidRPr="00F500AD">
        <w:rPr>
          <w:sz w:val="24"/>
          <w:szCs w:val="24"/>
        </w:rPr>
        <w:t xml:space="preserve">To reduce burden on the respondents, the </w:t>
      </w:r>
      <w:r w:rsidR="000C2921">
        <w:rPr>
          <w:sz w:val="24"/>
          <w:szCs w:val="24"/>
        </w:rPr>
        <w:t xml:space="preserve">CDC </w:t>
      </w:r>
      <w:r w:rsidR="00D74297" w:rsidRPr="00F500AD">
        <w:rPr>
          <w:sz w:val="24"/>
          <w:szCs w:val="24"/>
        </w:rPr>
        <w:t xml:space="preserve">billing </w:t>
      </w:r>
      <w:r w:rsidR="009B2928" w:rsidRPr="00F500AD">
        <w:rPr>
          <w:sz w:val="24"/>
          <w:szCs w:val="24"/>
        </w:rPr>
        <w:t>team</w:t>
      </w:r>
      <w:r w:rsidR="000C2921">
        <w:rPr>
          <w:sz w:val="24"/>
          <w:szCs w:val="24"/>
        </w:rPr>
        <w:t xml:space="preserve"> staff</w:t>
      </w:r>
      <w:r w:rsidR="009B2928" w:rsidRPr="00F500AD">
        <w:rPr>
          <w:sz w:val="24"/>
          <w:szCs w:val="24"/>
        </w:rPr>
        <w:t xml:space="preserve"> will review which states have responded to the </w:t>
      </w:r>
      <w:r w:rsidR="000C2921">
        <w:rPr>
          <w:sz w:val="24"/>
          <w:szCs w:val="24"/>
        </w:rPr>
        <w:t>assessment</w:t>
      </w:r>
      <w:r w:rsidR="009B2928" w:rsidRPr="00F500AD">
        <w:rPr>
          <w:sz w:val="24"/>
          <w:szCs w:val="24"/>
        </w:rPr>
        <w:t xml:space="preserve">, and </w:t>
      </w:r>
      <w:r w:rsidR="000C2921">
        <w:rPr>
          <w:sz w:val="24"/>
          <w:szCs w:val="24"/>
        </w:rPr>
        <w:t xml:space="preserve">a </w:t>
      </w:r>
      <w:r w:rsidR="009B2928" w:rsidRPr="00F500AD">
        <w:rPr>
          <w:sz w:val="24"/>
          <w:szCs w:val="24"/>
        </w:rPr>
        <w:t>reminder e</w:t>
      </w:r>
      <w:r w:rsidR="006C3792" w:rsidRPr="00F500AD">
        <w:rPr>
          <w:sz w:val="24"/>
          <w:szCs w:val="24"/>
        </w:rPr>
        <w:t>-</w:t>
      </w:r>
      <w:r w:rsidR="000C2921">
        <w:rPr>
          <w:sz w:val="24"/>
          <w:szCs w:val="24"/>
        </w:rPr>
        <w:t>mail</w:t>
      </w:r>
      <w:r w:rsidR="009B2928" w:rsidRPr="00F500AD">
        <w:rPr>
          <w:sz w:val="24"/>
          <w:szCs w:val="24"/>
        </w:rPr>
        <w:t xml:space="preserve"> will only be sent to those who have </w:t>
      </w:r>
      <w:r w:rsidR="000704EB" w:rsidRPr="00F500AD">
        <w:rPr>
          <w:sz w:val="24"/>
          <w:szCs w:val="24"/>
        </w:rPr>
        <w:t xml:space="preserve">not yet completed the </w:t>
      </w:r>
      <w:r w:rsidR="000C2921">
        <w:rPr>
          <w:sz w:val="24"/>
          <w:szCs w:val="24"/>
        </w:rPr>
        <w:t>assessment</w:t>
      </w:r>
      <w:r w:rsidR="000704EB" w:rsidRPr="00F500AD">
        <w:rPr>
          <w:sz w:val="24"/>
          <w:szCs w:val="24"/>
        </w:rPr>
        <w:t xml:space="preserve">. </w:t>
      </w:r>
      <w:r w:rsidR="000C2921">
        <w:rPr>
          <w:sz w:val="24"/>
          <w:szCs w:val="24"/>
        </w:rPr>
        <w:t xml:space="preserve">One </w:t>
      </w:r>
      <w:r w:rsidR="00D80F9D" w:rsidRPr="00F500AD">
        <w:rPr>
          <w:sz w:val="24"/>
          <w:szCs w:val="24"/>
        </w:rPr>
        <w:t>e</w:t>
      </w:r>
      <w:r w:rsidR="006C3792" w:rsidRPr="00F500AD">
        <w:rPr>
          <w:sz w:val="24"/>
          <w:szCs w:val="24"/>
        </w:rPr>
        <w:t>-</w:t>
      </w:r>
      <w:r w:rsidR="00D80F9D" w:rsidRPr="00F500AD">
        <w:rPr>
          <w:sz w:val="24"/>
          <w:szCs w:val="24"/>
        </w:rPr>
        <w:t>mail reminder will be sent to each non-res</w:t>
      </w:r>
      <w:r w:rsidR="000C2921">
        <w:rPr>
          <w:sz w:val="24"/>
          <w:szCs w:val="24"/>
        </w:rPr>
        <w:t xml:space="preserve">ponder. </w:t>
      </w:r>
      <w:r>
        <w:rPr>
          <w:sz w:val="24"/>
          <w:szCs w:val="24"/>
        </w:rPr>
        <w:t>Additionally, t</w:t>
      </w:r>
      <w:r w:rsidR="002A16BE" w:rsidRPr="00F500AD">
        <w:rPr>
          <w:sz w:val="24"/>
          <w:szCs w:val="24"/>
        </w:rPr>
        <w:t xml:space="preserve">he response for this </w:t>
      </w:r>
      <w:r w:rsidR="000C2921">
        <w:rPr>
          <w:sz w:val="24"/>
          <w:szCs w:val="24"/>
        </w:rPr>
        <w:t>assessment</w:t>
      </w:r>
      <w:r w:rsidR="00D80F9D" w:rsidRPr="00F500AD">
        <w:rPr>
          <w:sz w:val="24"/>
          <w:szCs w:val="24"/>
        </w:rPr>
        <w:t xml:space="preserve"> </w:t>
      </w:r>
      <w:r w:rsidR="00FE3B77" w:rsidRPr="00F500AD">
        <w:rPr>
          <w:sz w:val="24"/>
          <w:szCs w:val="24"/>
        </w:rPr>
        <w:t>will</w:t>
      </w:r>
      <w:r w:rsidR="00D80F9D" w:rsidRPr="00F500AD">
        <w:rPr>
          <w:sz w:val="24"/>
          <w:szCs w:val="24"/>
        </w:rPr>
        <w:t xml:space="preserve"> be maximized through the support of the </w:t>
      </w:r>
      <w:r w:rsidR="000C2921">
        <w:rPr>
          <w:sz w:val="24"/>
          <w:szCs w:val="24"/>
        </w:rPr>
        <w:t>CDC billing team staff members</w:t>
      </w:r>
      <w:r w:rsidR="00D80F9D" w:rsidRPr="00F500AD">
        <w:rPr>
          <w:sz w:val="24"/>
          <w:szCs w:val="24"/>
        </w:rPr>
        <w:t xml:space="preserve"> on </w:t>
      </w:r>
      <w:r w:rsidR="00FE3B77" w:rsidRPr="00F500AD">
        <w:rPr>
          <w:sz w:val="24"/>
          <w:szCs w:val="24"/>
        </w:rPr>
        <w:t>regular</w:t>
      </w:r>
      <w:r w:rsidR="006C3792" w:rsidRPr="00F500AD">
        <w:rPr>
          <w:sz w:val="24"/>
          <w:szCs w:val="24"/>
        </w:rPr>
        <w:t>ly</w:t>
      </w:r>
      <w:r w:rsidR="002A16BE" w:rsidRPr="00F500AD">
        <w:rPr>
          <w:sz w:val="24"/>
          <w:szCs w:val="24"/>
        </w:rPr>
        <w:t xml:space="preserve"> scheduled monthly calls.</w:t>
      </w:r>
    </w:p>
    <w:p w:rsidR="00F500AD" w:rsidRPr="00F500AD" w:rsidRDefault="00F500AD" w:rsidP="002A16BE">
      <w:pPr>
        <w:spacing w:after="0"/>
        <w:rPr>
          <w:sz w:val="24"/>
          <w:szCs w:val="24"/>
        </w:rPr>
      </w:pPr>
    </w:p>
    <w:p w:rsidR="00FE3B77" w:rsidRPr="00F500AD" w:rsidRDefault="00FE3B77" w:rsidP="002A16BE">
      <w:pPr>
        <w:spacing w:after="0"/>
        <w:rPr>
          <w:b/>
          <w:sz w:val="24"/>
          <w:szCs w:val="24"/>
        </w:rPr>
      </w:pPr>
      <w:r w:rsidRPr="00F500AD">
        <w:rPr>
          <w:b/>
          <w:sz w:val="24"/>
          <w:szCs w:val="24"/>
        </w:rPr>
        <w:t xml:space="preserve">4.     </w:t>
      </w:r>
      <w:r w:rsidR="00DF50F7" w:rsidRPr="00F500AD">
        <w:rPr>
          <w:b/>
          <w:sz w:val="24"/>
          <w:szCs w:val="24"/>
        </w:rPr>
        <w:t xml:space="preserve">Test of Procedures </w:t>
      </w:r>
      <w:r w:rsidR="00D80F9D" w:rsidRPr="00F500AD">
        <w:rPr>
          <w:b/>
          <w:sz w:val="24"/>
          <w:szCs w:val="24"/>
        </w:rPr>
        <w:t>or Methods to be Undertaken</w:t>
      </w:r>
    </w:p>
    <w:p w:rsidR="002A16BE" w:rsidRPr="00F500AD" w:rsidRDefault="002A16BE" w:rsidP="002A16BE">
      <w:pPr>
        <w:spacing w:after="0"/>
        <w:rPr>
          <w:b/>
          <w:sz w:val="24"/>
          <w:szCs w:val="24"/>
        </w:rPr>
      </w:pPr>
    </w:p>
    <w:p w:rsidR="00FE3B77" w:rsidRPr="00F500AD" w:rsidRDefault="00097088" w:rsidP="00FE3B77">
      <w:pPr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0C2921">
        <w:rPr>
          <w:color w:val="000000"/>
          <w:sz w:val="24"/>
          <w:szCs w:val="24"/>
        </w:rPr>
        <w:t xml:space="preserve"> pilot test of the assessment</w:t>
      </w:r>
      <w:r>
        <w:rPr>
          <w:color w:val="000000"/>
          <w:sz w:val="24"/>
          <w:szCs w:val="24"/>
        </w:rPr>
        <w:t xml:space="preserve"> was performed with</w:t>
      </w:r>
      <w:r w:rsidR="00FE3B77" w:rsidRPr="00F500AD">
        <w:rPr>
          <w:color w:val="000000"/>
          <w:sz w:val="24"/>
          <w:szCs w:val="24"/>
        </w:rPr>
        <w:t xml:space="preserve"> </w:t>
      </w:r>
      <w:r w:rsidR="00FE3B77" w:rsidRPr="00F500AD">
        <w:rPr>
          <w:sz w:val="24"/>
          <w:szCs w:val="24"/>
        </w:rPr>
        <w:t xml:space="preserve">five immunization billing program managers </w:t>
      </w:r>
      <w:r w:rsidR="000C2921">
        <w:rPr>
          <w:sz w:val="24"/>
          <w:szCs w:val="24"/>
        </w:rPr>
        <w:t xml:space="preserve">or coordinators </w:t>
      </w:r>
      <w:r w:rsidR="00FE3B77" w:rsidRPr="00F500AD">
        <w:rPr>
          <w:sz w:val="24"/>
          <w:szCs w:val="24"/>
        </w:rPr>
        <w:t xml:space="preserve">from the list of current active </w:t>
      </w:r>
      <w:r w:rsidR="000C2921">
        <w:rPr>
          <w:sz w:val="24"/>
          <w:szCs w:val="24"/>
        </w:rPr>
        <w:t xml:space="preserve">grantee awardees. </w:t>
      </w:r>
      <w:r w:rsidR="00FE3B77" w:rsidRPr="00F500AD">
        <w:rPr>
          <w:sz w:val="24"/>
          <w:szCs w:val="24"/>
        </w:rPr>
        <w:t>In the pilot test, the average time to complete th</w:t>
      </w:r>
      <w:r w:rsidR="002A16BE" w:rsidRPr="00F500AD">
        <w:rPr>
          <w:sz w:val="24"/>
          <w:szCs w:val="24"/>
        </w:rPr>
        <w:t>e</w:t>
      </w:r>
      <w:r w:rsidR="000C2921">
        <w:rPr>
          <w:color w:val="000000"/>
          <w:sz w:val="24"/>
          <w:szCs w:val="24"/>
        </w:rPr>
        <w:t xml:space="preserve"> assessment</w:t>
      </w:r>
      <w:r w:rsidR="006C3792" w:rsidRPr="00F500AD">
        <w:rPr>
          <w:sz w:val="24"/>
          <w:szCs w:val="24"/>
        </w:rPr>
        <w:t>,</w:t>
      </w:r>
      <w:r w:rsidR="00FE3B77" w:rsidRPr="00F500AD">
        <w:rPr>
          <w:sz w:val="24"/>
          <w:szCs w:val="24"/>
        </w:rPr>
        <w:t xml:space="preserve"> including time for reviewing instructions, gathering needed information</w:t>
      </w:r>
      <w:r w:rsidR="006C3792" w:rsidRPr="00F500AD">
        <w:rPr>
          <w:sz w:val="24"/>
          <w:szCs w:val="24"/>
        </w:rPr>
        <w:t>,</w:t>
      </w:r>
      <w:r w:rsidR="00FE3B77" w:rsidRPr="00F500AD">
        <w:rPr>
          <w:sz w:val="24"/>
          <w:szCs w:val="24"/>
        </w:rPr>
        <w:t xml:space="preserve"> and completing </w:t>
      </w:r>
      <w:r w:rsidR="002A16BE" w:rsidRPr="00F500AD">
        <w:rPr>
          <w:sz w:val="24"/>
          <w:szCs w:val="24"/>
        </w:rPr>
        <w:t xml:space="preserve">the </w:t>
      </w:r>
      <w:r w:rsidR="000C2921">
        <w:rPr>
          <w:color w:val="000000"/>
          <w:sz w:val="24"/>
          <w:szCs w:val="24"/>
        </w:rPr>
        <w:t>assessment</w:t>
      </w:r>
      <w:r w:rsidR="002A16BE" w:rsidRPr="00F500AD">
        <w:rPr>
          <w:sz w:val="24"/>
          <w:szCs w:val="24"/>
        </w:rPr>
        <w:t>, was approximately 30</w:t>
      </w:r>
      <w:r w:rsidR="00FE3B77" w:rsidRPr="00F500AD">
        <w:rPr>
          <w:sz w:val="24"/>
          <w:szCs w:val="24"/>
        </w:rPr>
        <w:t xml:space="preserve"> minutes. Based on these results, the estimated time range for actual respondent</w:t>
      </w:r>
      <w:r w:rsidR="002A16BE" w:rsidRPr="00F500AD">
        <w:rPr>
          <w:sz w:val="24"/>
          <w:szCs w:val="24"/>
        </w:rPr>
        <w:t xml:space="preserve">s to complete the </w:t>
      </w:r>
      <w:r w:rsidR="000C2921">
        <w:rPr>
          <w:sz w:val="24"/>
          <w:szCs w:val="24"/>
        </w:rPr>
        <w:t>assessment</w:t>
      </w:r>
      <w:r w:rsidR="002A16BE" w:rsidRPr="00F500AD">
        <w:rPr>
          <w:sz w:val="24"/>
          <w:szCs w:val="24"/>
        </w:rPr>
        <w:t xml:space="preserve"> is 30-3</w:t>
      </w:r>
      <w:r w:rsidR="00FE3B77" w:rsidRPr="00F500AD">
        <w:rPr>
          <w:sz w:val="24"/>
          <w:szCs w:val="24"/>
        </w:rPr>
        <w:t>5 minutes.</w:t>
      </w:r>
      <w:r w:rsidR="00196E72">
        <w:rPr>
          <w:sz w:val="24"/>
          <w:szCs w:val="24"/>
        </w:rPr>
        <w:t xml:space="preserve"> T</w:t>
      </w:r>
      <w:r w:rsidR="00FE3B77" w:rsidRPr="00F500AD">
        <w:rPr>
          <w:sz w:val="24"/>
          <w:szCs w:val="24"/>
        </w:rPr>
        <w:t>he up</w:t>
      </w:r>
      <w:r w:rsidR="002A16BE" w:rsidRPr="00F500AD">
        <w:rPr>
          <w:sz w:val="24"/>
          <w:szCs w:val="24"/>
        </w:rPr>
        <w:t>per limit of this range (i.e., 3</w:t>
      </w:r>
      <w:r w:rsidR="00FE3B77" w:rsidRPr="00F500AD">
        <w:rPr>
          <w:sz w:val="24"/>
          <w:szCs w:val="24"/>
        </w:rPr>
        <w:t>5 minutes) is use</w:t>
      </w:r>
      <w:r w:rsidR="000C2921">
        <w:rPr>
          <w:sz w:val="24"/>
          <w:szCs w:val="24"/>
        </w:rPr>
        <w:t>d for completion of the entire assessment</w:t>
      </w:r>
      <w:r w:rsidR="002A16BE" w:rsidRPr="00F500AD">
        <w:rPr>
          <w:sz w:val="24"/>
          <w:szCs w:val="24"/>
        </w:rPr>
        <w:t>.</w:t>
      </w:r>
    </w:p>
    <w:p w:rsidR="00FE3B77" w:rsidRPr="00F500AD" w:rsidRDefault="00FE3B77" w:rsidP="00FE3B77">
      <w:pPr>
        <w:spacing w:after="0"/>
        <w:rPr>
          <w:sz w:val="24"/>
          <w:szCs w:val="24"/>
        </w:rPr>
      </w:pPr>
    </w:p>
    <w:p w:rsidR="00DF50F7" w:rsidRPr="00F500AD" w:rsidRDefault="00FE3B77" w:rsidP="00FE3B77">
      <w:pPr>
        <w:spacing w:after="0"/>
        <w:rPr>
          <w:b/>
          <w:sz w:val="24"/>
          <w:szCs w:val="24"/>
        </w:rPr>
      </w:pPr>
      <w:r w:rsidRPr="00F500AD">
        <w:rPr>
          <w:b/>
          <w:sz w:val="24"/>
          <w:szCs w:val="24"/>
        </w:rPr>
        <w:t xml:space="preserve">5.     Contact for Statistical Aspects and </w:t>
      </w:r>
      <w:r w:rsidR="00DF50F7" w:rsidRPr="00F500AD">
        <w:rPr>
          <w:b/>
          <w:sz w:val="24"/>
          <w:szCs w:val="24"/>
        </w:rPr>
        <w:t>Data Collection</w:t>
      </w:r>
    </w:p>
    <w:p w:rsidR="00D80F9D" w:rsidRPr="00F500AD" w:rsidRDefault="00D80F9D" w:rsidP="00D80F9D">
      <w:pPr>
        <w:tabs>
          <w:tab w:val="left" w:pos="5040"/>
        </w:tabs>
        <w:spacing w:after="0"/>
        <w:ind w:left="720"/>
        <w:rPr>
          <w:sz w:val="24"/>
          <w:szCs w:val="24"/>
        </w:rPr>
      </w:pPr>
    </w:p>
    <w:p w:rsidR="00D80F9D" w:rsidRPr="00F500AD" w:rsidRDefault="006C3792" w:rsidP="00801D7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eastAsia="Times New Roman" w:cs="Arial"/>
          <w:sz w:val="24"/>
          <w:szCs w:val="24"/>
        </w:rPr>
      </w:pPr>
      <w:r w:rsidRPr="00F500AD">
        <w:rPr>
          <w:rFonts w:eastAsia="Times New Roman" w:cs="Arial"/>
          <w:sz w:val="24"/>
          <w:szCs w:val="24"/>
        </w:rPr>
        <w:t>The following individual was</w:t>
      </w:r>
      <w:r w:rsidR="00D80F9D" w:rsidRPr="00F500AD">
        <w:rPr>
          <w:rFonts w:eastAsia="Times New Roman" w:cs="Arial"/>
          <w:sz w:val="24"/>
          <w:szCs w:val="24"/>
        </w:rPr>
        <w:t xml:space="preserve"> consulted to provide advice about the design of these data collection activities:</w:t>
      </w:r>
    </w:p>
    <w:p w:rsidR="00D80F9D" w:rsidRPr="00F500AD" w:rsidRDefault="00D80F9D" w:rsidP="00D80F9D">
      <w:pPr>
        <w:spacing w:after="0" w:line="240" w:lineRule="auto"/>
        <w:rPr>
          <w:rFonts w:eastAsia="Times New Roman" w:cs="Arial"/>
          <w:noProof/>
          <w:color w:val="000000"/>
          <w:sz w:val="24"/>
          <w:szCs w:val="24"/>
        </w:rPr>
      </w:pPr>
    </w:p>
    <w:p w:rsidR="00D80F9D" w:rsidRPr="00F500AD" w:rsidRDefault="002A335B" w:rsidP="00801D7D">
      <w:pPr>
        <w:spacing w:after="0" w:line="240" w:lineRule="auto"/>
        <w:ind w:firstLine="360"/>
        <w:rPr>
          <w:rFonts w:eastAsia="Times New Roman" w:cs="Arial"/>
          <w:noProof/>
          <w:color w:val="000000"/>
          <w:sz w:val="24"/>
          <w:szCs w:val="24"/>
        </w:rPr>
      </w:pPr>
      <w:r w:rsidRPr="00F500AD">
        <w:rPr>
          <w:rFonts w:eastAsia="Times New Roman" w:cs="Arial"/>
          <w:noProof/>
          <w:color w:val="000000"/>
          <w:sz w:val="24"/>
          <w:szCs w:val="24"/>
        </w:rPr>
        <w:t>Suchita Lorick</w:t>
      </w:r>
      <w:r w:rsidR="00DE5C17" w:rsidRPr="00F500AD">
        <w:rPr>
          <w:rFonts w:eastAsia="Times New Roman" w:cs="Arial"/>
          <w:noProof/>
          <w:color w:val="000000"/>
          <w:sz w:val="24"/>
          <w:szCs w:val="24"/>
        </w:rPr>
        <w:t>, DO, MPH</w:t>
      </w:r>
    </w:p>
    <w:p w:rsidR="00801D7D" w:rsidRPr="00F500AD" w:rsidRDefault="00DE5C17" w:rsidP="0087035A">
      <w:pPr>
        <w:spacing w:after="0" w:line="240" w:lineRule="auto"/>
        <w:ind w:firstLine="360"/>
        <w:rPr>
          <w:rFonts w:eastAsia="Times New Roman" w:cs="Arial"/>
          <w:noProof/>
          <w:color w:val="000000"/>
          <w:sz w:val="24"/>
          <w:szCs w:val="24"/>
          <w:lang w:val="fr-FR"/>
        </w:rPr>
      </w:pPr>
      <w:r w:rsidRPr="00F500AD">
        <w:rPr>
          <w:sz w:val="24"/>
          <w:szCs w:val="24"/>
          <w:lang w:val="en"/>
        </w:rPr>
        <w:t>Medical Officer</w:t>
      </w:r>
    </w:p>
    <w:p w:rsidR="00DE5C17" w:rsidRPr="00F500AD" w:rsidRDefault="00DE5C17" w:rsidP="00DE5C17">
      <w:pPr>
        <w:spacing w:after="0"/>
        <w:ind w:firstLine="360"/>
        <w:rPr>
          <w:sz w:val="24"/>
          <w:szCs w:val="24"/>
        </w:rPr>
      </w:pPr>
      <w:r w:rsidRPr="00F500AD">
        <w:rPr>
          <w:sz w:val="24"/>
          <w:szCs w:val="24"/>
        </w:rPr>
        <w:t>Centers for Disease Control and Prevention</w:t>
      </w:r>
    </w:p>
    <w:p w:rsidR="00DE5C17" w:rsidRPr="00F500AD" w:rsidRDefault="00DE5C17" w:rsidP="00DE5C17">
      <w:pPr>
        <w:spacing w:after="0"/>
        <w:ind w:left="360"/>
        <w:rPr>
          <w:sz w:val="24"/>
          <w:szCs w:val="24"/>
        </w:rPr>
      </w:pPr>
      <w:r w:rsidRPr="00F500AD">
        <w:rPr>
          <w:sz w:val="24"/>
          <w:szCs w:val="24"/>
        </w:rPr>
        <w:t>National Center for Immunization and Respiratory Diseases</w:t>
      </w:r>
    </w:p>
    <w:p w:rsidR="00DE5C17" w:rsidRPr="00F500AD" w:rsidRDefault="00DE5C17" w:rsidP="00DE5C17">
      <w:pPr>
        <w:spacing w:after="0"/>
        <w:ind w:left="360"/>
        <w:rPr>
          <w:sz w:val="24"/>
          <w:szCs w:val="24"/>
        </w:rPr>
      </w:pPr>
      <w:r w:rsidRPr="00F500AD">
        <w:rPr>
          <w:sz w:val="24"/>
          <w:szCs w:val="24"/>
        </w:rPr>
        <w:t>Immunization Services Division</w:t>
      </w:r>
    </w:p>
    <w:p w:rsidR="00DE5C17" w:rsidRPr="00F500AD" w:rsidRDefault="00DE5C17" w:rsidP="00DE5C17">
      <w:pPr>
        <w:spacing w:after="0" w:line="240" w:lineRule="auto"/>
        <w:ind w:left="360"/>
        <w:rPr>
          <w:rFonts w:eastAsia="Times New Roman" w:cs="Arial"/>
          <w:noProof/>
          <w:color w:val="000000"/>
          <w:sz w:val="24"/>
          <w:szCs w:val="24"/>
        </w:rPr>
      </w:pPr>
      <w:r w:rsidRPr="00F500AD">
        <w:rPr>
          <w:sz w:val="24"/>
          <w:szCs w:val="24"/>
        </w:rPr>
        <w:t xml:space="preserve">Phone: </w:t>
      </w:r>
      <w:r w:rsidRPr="00F500AD">
        <w:rPr>
          <w:rFonts w:eastAsia="Times New Roman" w:cs="Arial"/>
          <w:noProof/>
          <w:color w:val="000000"/>
          <w:sz w:val="24"/>
          <w:szCs w:val="24"/>
        </w:rPr>
        <w:t>404-639-1969</w:t>
      </w:r>
    </w:p>
    <w:p w:rsidR="00FE3B77" w:rsidRPr="00F500AD" w:rsidRDefault="00DE5C17" w:rsidP="002A16BE">
      <w:pPr>
        <w:spacing w:after="0"/>
        <w:ind w:firstLine="360"/>
        <w:rPr>
          <w:sz w:val="24"/>
          <w:szCs w:val="24"/>
        </w:rPr>
      </w:pPr>
      <w:r w:rsidRPr="00F500AD">
        <w:rPr>
          <w:sz w:val="24"/>
          <w:szCs w:val="24"/>
        </w:rPr>
        <w:t xml:space="preserve">Email: </w:t>
      </w:r>
      <w:hyperlink r:id="rId10" w:history="1">
        <w:r w:rsidRPr="00F500AD">
          <w:rPr>
            <w:rStyle w:val="Hyperlink"/>
            <w:sz w:val="24"/>
            <w:szCs w:val="24"/>
          </w:rPr>
          <w:t>dvl7@cdc.gov</w:t>
        </w:r>
      </w:hyperlink>
    </w:p>
    <w:p w:rsidR="00D80F9D" w:rsidRDefault="00D80F9D" w:rsidP="00D80F9D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F500AD">
        <w:rPr>
          <w:rFonts w:eastAsia="Times New Roman" w:cs="Arial"/>
          <w:sz w:val="24"/>
          <w:szCs w:val="24"/>
        </w:rPr>
        <w:t xml:space="preserve">The team of individuals working on this information collection, including instrument development, data collection, and data analysis will consist of members of the </w:t>
      </w:r>
      <w:r w:rsidR="000C2921">
        <w:rPr>
          <w:rFonts w:eastAsia="Times New Roman" w:cs="Arial"/>
          <w:sz w:val="24"/>
          <w:szCs w:val="24"/>
        </w:rPr>
        <w:t>CDC b</w:t>
      </w:r>
      <w:r w:rsidR="00552E4C" w:rsidRPr="00F500AD">
        <w:rPr>
          <w:rFonts w:eastAsia="Times New Roman" w:cs="Arial"/>
          <w:sz w:val="24"/>
          <w:szCs w:val="24"/>
        </w:rPr>
        <w:t xml:space="preserve">illing </w:t>
      </w:r>
      <w:r w:rsidR="000C2921">
        <w:rPr>
          <w:rFonts w:eastAsia="Times New Roman" w:cs="Arial"/>
          <w:sz w:val="24"/>
          <w:szCs w:val="24"/>
        </w:rPr>
        <w:t>t</w:t>
      </w:r>
      <w:r w:rsidRPr="00F500AD">
        <w:rPr>
          <w:rFonts w:eastAsia="Times New Roman" w:cs="Arial"/>
          <w:sz w:val="24"/>
          <w:szCs w:val="24"/>
        </w:rPr>
        <w:t>eam</w:t>
      </w:r>
      <w:r w:rsidR="000C2921">
        <w:rPr>
          <w:rFonts w:eastAsia="Times New Roman" w:cs="Arial"/>
          <w:sz w:val="24"/>
          <w:szCs w:val="24"/>
        </w:rPr>
        <w:t xml:space="preserve"> staff</w:t>
      </w:r>
      <w:r w:rsidRPr="00F500AD">
        <w:rPr>
          <w:rFonts w:eastAsia="Times New Roman" w:cs="Arial"/>
          <w:sz w:val="24"/>
          <w:szCs w:val="24"/>
        </w:rPr>
        <w:t>, as listed in Table</w:t>
      </w:r>
      <w:r w:rsidR="004929FB">
        <w:rPr>
          <w:rFonts w:eastAsia="Times New Roman" w:cs="Arial"/>
          <w:sz w:val="24"/>
          <w:szCs w:val="24"/>
        </w:rPr>
        <w:t xml:space="preserve"> B-5</w:t>
      </w:r>
      <w:r w:rsidR="00E728F3">
        <w:rPr>
          <w:rFonts w:eastAsia="Times New Roman" w:cs="Arial"/>
          <w:sz w:val="24"/>
          <w:szCs w:val="24"/>
        </w:rPr>
        <w:t>.</w:t>
      </w:r>
    </w:p>
    <w:p w:rsidR="00E728F3" w:rsidRPr="00F500AD" w:rsidRDefault="00E728F3" w:rsidP="00D80F9D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160"/>
        <w:gridCol w:w="2790"/>
      </w:tblGrid>
      <w:tr w:rsidR="00552E4C" w:rsidRPr="00F500AD" w:rsidTr="008D2E02">
        <w:tc>
          <w:tcPr>
            <w:tcW w:w="86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E4C" w:rsidRPr="00F500AD" w:rsidRDefault="00552E4C" w:rsidP="008D2E02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/>
                <w:sz w:val="24"/>
                <w:szCs w:val="24"/>
              </w:rPr>
            </w:pPr>
            <w:r w:rsidRPr="00F500AD">
              <w:rPr>
                <w:rFonts w:cs="Arial"/>
                <w:sz w:val="24"/>
                <w:szCs w:val="24"/>
              </w:rPr>
              <w:lastRenderedPageBreak/>
              <w:t>Staff Responsible for Instrument Design, Data Collection</w:t>
            </w:r>
            <w:r w:rsidR="006C3792" w:rsidRPr="00F500AD">
              <w:rPr>
                <w:rFonts w:cs="Arial"/>
                <w:sz w:val="24"/>
                <w:szCs w:val="24"/>
              </w:rPr>
              <w:t>,</w:t>
            </w:r>
            <w:r w:rsidRPr="00F500AD">
              <w:rPr>
                <w:rFonts w:cs="Arial"/>
                <w:sz w:val="24"/>
                <w:szCs w:val="24"/>
              </w:rPr>
              <w:t xml:space="preserve"> and Analyses</w:t>
            </w:r>
          </w:p>
        </w:tc>
      </w:tr>
      <w:tr w:rsidR="00552E4C" w:rsidRPr="00F500AD" w:rsidTr="008D2E02">
        <w:tc>
          <w:tcPr>
            <w:tcW w:w="1908" w:type="dxa"/>
            <w:shd w:val="clear" w:color="auto" w:fill="E0E0E0"/>
          </w:tcPr>
          <w:p w:rsidR="00552E4C" w:rsidRPr="00F500AD" w:rsidRDefault="00552E4C" w:rsidP="008D2E02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F500AD"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1800" w:type="dxa"/>
            <w:shd w:val="clear" w:color="auto" w:fill="E0E0E0"/>
          </w:tcPr>
          <w:p w:rsidR="00552E4C" w:rsidRPr="00F500AD" w:rsidRDefault="00552E4C" w:rsidP="008D2E02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F500AD">
              <w:rPr>
                <w:rFonts w:cs="Arial"/>
                <w:b/>
                <w:sz w:val="24"/>
                <w:szCs w:val="24"/>
              </w:rPr>
              <w:t>Agency</w:t>
            </w:r>
          </w:p>
        </w:tc>
        <w:tc>
          <w:tcPr>
            <w:tcW w:w="2160" w:type="dxa"/>
            <w:shd w:val="clear" w:color="auto" w:fill="E0E0E0"/>
          </w:tcPr>
          <w:p w:rsidR="00552E4C" w:rsidRPr="00F500AD" w:rsidRDefault="00552E4C" w:rsidP="008D2E02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F500AD">
              <w:rPr>
                <w:rFonts w:cs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2790" w:type="dxa"/>
            <w:shd w:val="clear" w:color="auto" w:fill="E0E0E0"/>
          </w:tcPr>
          <w:p w:rsidR="00552E4C" w:rsidRPr="00F500AD" w:rsidRDefault="00552E4C" w:rsidP="008D2E02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F500AD">
              <w:rPr>
                <w:rFonts w:cs="Arial"/>
                <w:b/>
                <w:sz w:val="24"/>
                <w:szCs w:val="24"/>
              </w:rPr>
              <w:t>E</w:t>
            </w:r>
            <w:r w:rsidR="00CA37F2" w:rsidRPr="00F500AD">
              <w:rPr>
                <w:rFonts w:cs="Arial"/>
                <w:b/>
                <w:sz w:val="24"/>
                <w:szCs w:val="24"/>
              </w:rPr>
              <w:t>-</w:t>
            </w:r>
            <w:r w:rsidRPr="00F500AD">
              <w:rPr>
                <w:rFonts w:cs="Arial"/>
                <w:b/>
                <w:sz w:val="24"/>
                <w:szCs w:val="24"/>
              </w:rPr>
              <w:t>mail</w:t>
            </w:r>
          </w:p>
        </w:tc>
      </w:tr>
      <w:tr w:rsidR="00552E4C" w:rsidRPr="00F500AD" w:rsidTr="008D2E02">
        <w:tc>
          <w:tcPr>
            <w:tcW w:w="1908" w:type="dxa"/>
          </w:tcPr>
          <w:p w:rsidR="00552E4C" w:rsidRPr="00F500AD" w:rsidRDefault="002A335B" w:rsidP="008D2E02">
            <w:p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F500AD">
              <w:rPr>
                <w:rFonts w:cs="Arial"/>
                <w:sz w:val="24"/>
                <w:szCs w:val="24"/>
              </w:rPr>
              <w:t>Duane Kilgus</w:t>
            </w:r>
          </w:p>
        </w:tc>
        <w:tc>
          <w:tcPr>
            <w:tcW w:w="1800" w:type="dxa"/>
          </w:tcPr>
          <w:p w:rsidR="00552E4C" w:rsidRPr="00F500AD" w:rsidRDefault="002A335B" w:rsidP="008D2E02">
            <w:p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F500AD">
              <w:rPr>
                <w:rFonts w:cs="Arial"/>
                <w:sz w:val="24"/>
                <w:szCs w:val="24"/>
              </w:rPr>
              <w:t>CDC/NCIRD</w:t>
            </w:r>
          </w:p>
        </w:tc>
        <w:tc>
          <w:tcPr>
            <w:tcW w:w="2160" w:type="dxa"/>
          </w:tcPr>
          <w:p w:rsidR="00552E4C" w:rsidRPr="00F500AD" w:rsidRDefault="002A335B" w:rsidP="008D2E02">
            <w:p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F500AD">
              <w:rPr>
                <w:rFonts w:cs="Arial"/>
                <w:sz w:val="24"/>
                <w:szCs w:val="24"/>
              </w:rPr>
              <w:t>404-639-6354</w:t>
            </w:r>
          </w:p>
        </w:tc>
        <w:tc>
          <w:tcPr>
            <w:tcW w:w="2790" w:type="dxa"/>
          </w:tcPr>
          <w:p w:rsidR="00552E4C" w:rsidRPr="00F500AD" w:rsidRDefault="002A335B" w:rsidP="008D2E02">
            <w:p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F500AD">
              <w:rPr>
                <w:rFonts w:cs="Arial"/>
                <w:sz w:val="24"/>
                <w:szCs w:val="24"/>
              </w:rPr>
              <w:t>dgk9@cdc.gov</w:t>
            </w:r>
          </w:p>
        </w:tc>
      </w:tr>
      <w:tr w:rsidR="00552E4C" w:rsidRPr="00F500AD" w:rsidTr="008D2E02">
        <w:tc>
          <w:tcPr>
            <w:tcW w:w="1908" w:type="dxa"/>
          </w:tcPr>
          <w:p w:rsidR="00552E4C" w:rsidRPr="00F500AD" w:rsidRDefault="002A335B" w:rsidP="008D2E02">
            <w:p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F500AD">
              <w:rPr>
                <w:rFonts w:cs="Arial"/>
                <w:sz w:val="24"/>
                <w:szCs w:val="24"/>
              </w:rPr>
              <w:t>Ashlynn Jackson</w:t>
            </w:r>
            <w:r w:rsidR="00552E4C" w:rsidRPr="00F500AD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52E4C" w:rsidRPr="00F500AD" w:rsidRDefault="002A335B" w:rsidP="008D2E02">
            <w:p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F500AD">
              <w:rPr>
                <w:rFonts w:cs="Arial"/>
                <w:sz w:val="24"/>
                <w:szCs w:val="24"/>
              </w:rPr>
              <w:t>CDC/NCIRD</w:t>
            </w:r>
          </w:p>
        </w:tc>
        <w:tc>
          <w:tcPr>
            <w:tcW w:w="2160" w:type="dxa"/>
          </w:tcPr>
          <w:p w:rsidR="00552E4C" w:rsidRPr="00F500AD" w:rsidRDefault="002A335B" w:rsidP="008D2E02">
            <w:p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F500AD">
              <w:rPr>
                <w:rFonts w:cs="Arial"/>
                <w:sz w:val="24"/>
                <w:szCs w:val="24"/>
              </w:rPr>
              <w:t>404-626-0799</w:t>
            </w:r>
          </w:p>
        </w:tc>
        <w:tc>
          <w:tcPr>
            <w:tcW w:w="2790" w:type="dxa"/>
          </w:tcPr>
          <w:p w:rsidR="00552E4C" w:rsidRPr="00F500AD" w:rsidRDefault="00FE3B77" w:rsidP="008D2E02">
            <w:p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F500AD">
              <w:rPr>
                <w:rFonts w:cs="Arial"/>
                <w:sz w:val="24"/>
                <w:szCs w:val="24"/>
              </w:rPr>
              <w:t>w</w:t>
            </w:r>
            <w:r w:rsidR="002A335B" w:rsidRPr="00F500AD">
              <w:rPr>
                <w:rFonts w:cs="Arial"/>
                <w:sz w:val="24"/>
                <w:szCs w:val="24"/>
              </w:rPr>
              <w:t>qo5@cdc.gov</w:t>
            </w:r>
          </w:p>
        </w:tc>
      </w:tr>
    </w:tbl>
    <w:p w:rsidR="00552E4C" w:rsidRPr="00F500AD" w:rsidRDefault="00552E4C" w:rsidP="00552E4C">
      <w:pPr>
        <w:spacing w:before="100" w:beforeAutospacing="1" w:after="100" w:afterAutospacing="1"/>
        <w:rPr>
          <w:rFonts w:cs="Arial"/>
          <w:sz w:val="24"/>
          <w:szCs w:val="24"/>
        </w:rPr>
      </w:pPr>
      <w:r w:rsidRPr="00F500AD">
        <w:rPr>
          <w:rFonts w:cs="Arial"/>
          <w:sz w:val="24"/>
          <w:szCs w:val="24"/>
        </w:rPr>
        <w:t xml:space="preserve">The majority of data will be analyzed using basic descriptive analyses. Because the major purpose of this data collection is program improvement, </w:t>
      </w:r>
      <w:r w:rsidR="00FE3B77" w:rsidRPr="00F500AD">
        <w:rPr>
          <w:rFonts w:cs="Arial"/>
          <w:sz w:val="24"/>
          <w:szCs w:val="24"/>
        </w:rPr>
        <w:t xml:space="preserve">the billing team </w:t>
      </w:r>
      <w:r w:rsidRPr="00F500AD">
        <w:rPr>
          <w:rFonts w:cs="Arial"/>
          <w:sz w:val="24"/>
          <w:szCs w:val="24"/>
        </w:rPr>
        <w:t xml:space="preserve">does not anticipate needing to use complex statistical techniques. </w:t>
      </w:r>
    </w:p>
    <w:p w:rsidR="00916D06" w:rsidRPr="00F500AD" w:rsidRDefault="00916D06" w:rsidP="00D80F9D">
      <w:pPr>
        <w:tabs>
          <w:tab w:val="left" w:pos="5040"/>
        </w:tabs>
        <w:spacing w:after="0"/>
        <w:rPr>
          <w:rFonts w:cs="Calibri"/>
          <w:sz w:val="24"/>
          <w:szCs w:val="24"/>
        </w:rPr>
      </w:pPr>
    </w:p>
    <w:p w:rsidR="002A16BE" w:rsidRPr="00F500AD" w:rsidRDefault="002A16BE" w:rsidP="00D80F9D">
      <w:pPr>
        <w:tabs>
          <w:tab w:val="left" w:pos="5040"/>
        </w:tabs>
        <w:spacing w:after="0"/>
        <w:rPr>
          <w:rFonts w:cs="Calibri"/>
          <w:sz w:val="24"/>
          <w:szCs w:val="24"/>
        </w:rPr>
      </w:pPr>
    </w:p>
    <w:p w:rsidR="002A16BE" w:rsidRPr="00F500AD" w:rsidRDefault="002A16BE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916D06" w:rsidRPr="00F500AD" w:rsidRDefault="00916D06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F500AD" w:rsidRDefault="00F500AD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0332C9" w:rsidRDefault="000332C9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0332C9" w:rsidRDefault="000332C9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0332C9" w:rsidRDefault="000332C9" w:rsidP="00D80F9D">
      <w:pPr>
        <w:tabs>
          <w:tab w:val="left" w:pos="5040"/>
        </w:tabs>
        <w:spacing w:after="0"/>
        <w:rPr>
          <w:b/>
          <w:sz w:val="24"/>
          <w:szCs w:val="24"/>
        </w:rPr>
      </w:pPr>
    </w:p>
    <w:p w:rsidR="00B328F9" w:rsidRPr="00F500AD" w:rsidRDefault="00D80F9D" w:rsidP="00D80F9D">
      <w:pPr>
        <w:tabs>
          <w:tab w:val="left" w:pos="5040"/>
        </w:tabs>
        <w:spacing w:after="0"/>
        <w:rPr>
          <w:sz w:val="24"/>
          <w:szCs w:val="24"/>
        </w:rPr>
      </w:pPr>
      <w:r w:rsidRPr="00F500AD">
        <w:rPr>
          <w:b/>
          <w:sz w:val="24"/>
          <w:szCs w:val="24"/>
        </w:rPr>
        <w:lastRenderedPageBreak/>
        <w:t>LIST OF ATTACHMENTS – Section B</w:t>
      </w:r>
    </w:p>
    <w:p w:rsidR="00B328F9" w:rsidRPr="00F500AD" w:rsidRDefault="00B328F9" w:rsidP="00B328F9">
      <w:pPr>
        <w:spacing w:after="160"/>
        <w:rPr>
          <w:sz w:val="24"/>
          <w:szCs w:val="24"/>
        </w:rPr>
      </w:pPr>
      <w:r w:rsidRPr="00F500AD">
        <w:rPr>
          <w:sz w:val="24"/>
          <w:szCs w:val="24"/>
        </w:rPr>
        <w:t>Note: Attachments are included as separate files as instructed.</w:t>
      </w:r>
    </w:p>
    <w:p w:rsidR="00D810B5" w:rsidRDefault="00710E4F" w:rsidP="00FE3B77">
      <w:pPr>
        <w:spacing w:after="120"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</w:t>
      </w:r>
      <w:r w:rsidR="000C2921" w:rsidRPr="00F500AD">
        <w:rPr>
          <w:rFonts w:cs="Arial"/>
          <w:b/>
          <w:sz w:val="24"/>
          <w:szCs w:val="24"/>
        </w:rPr>
        <w:t>.</w:t>
      </w:r>
      <w:r w:rsidR="008B7F68">
        <w:rPr>
          <w:rFonts w:cs="Arial"/>
          <w:b/>
          <w:sz w:val="24"/>
          <w:szCs w:val="24"/>
        </w:rPr>
        <w:t xml:space="preserve"> Billables </w:t>
      </w:r>
      <w:r w:rsidR="00486DBB">
        <w:rPr>
          <w:rFonts w:cs="Arial"/>
          <w:b/>
          <w:sz w:val="24"/>
          <w:szCs w:val="24"/>
        </w:rPr>
        <w:t>program</w:t>
      </w:r>
      <w:r w:rsidR="000C2921">
        <w:rPr>
          <w:rFonts w:cs="Arial"/>
          <w:b/>
          <w:sz w:val="24"/>
          <w:szCs w:val="24"/>
        </w:rPr>
        <w:t xml:space="preserve"> list </w:t>
      </w:r>
    </w:p>
    <w:p w:rsidR="00D80F9D" w:rsidRPr="00D810B5" w:rsidRDefault="00710E4F" w:rsidP="00FE3B77">
      <w:pPr>
        <w:spacing w:after="120"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J</w:t>
      </w:r>
      <w:r w:rsidR="00D810B5">
        <w:rPr>
          <w:rFonts w:cs="Arial"/>
          <w:b/>
          <w:sz w:val="24"/>
          <w:szCs w:val="24"/>
        </w:rPr>
        <w:t xml:space="preserve">. </w:t>
      </w:r>
      <w:r w:rsidR="00C9549F">
        <w:rPr>
          <w:rFonts w:cs="Arial"/>
          <w:b/>
          <w:sz w:val="24"/>
          <w:szCs w:val="24"/>
        </w:rPr>
        <w:t>Introductory e</w:t>
      </w:r>
      <w:r w:rsidR="00801D7D" w:rsidRPr="00F500AD">
        <w:rPr>
          <w:rFonts w:cs="Arial"/>
          <w:b/>
          <w:sz w:val="24"/>
          <w:szCs w:val="24"/>
        </w:rPr>
        <w:t>mail</w:t>
      </w:r>
    </w:p>
    <w:p w:rsidR="00801D7D" w:rsidRPr="00F500AD" w:rsidRDefault="00710E4F" w:rsidP="00FE3B77">
      <w:pPr>
        <w:spacing w:after="120" w:line="36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K</w:t>
      </w:r>
      <w:bookmarkStart w:id="0" w:name="_GoBack"/>
      <w:bookmarkEnd w:id="0"/>
      <w:r w:rsidR="00C9549F">
        <w:rPr>
          <w:rFonts w:cs="Arial"/>
          <w:b/>
          <w:sz w:val="24"/>
          <w:szCs w:val="24"/>
        </w:rPr>
        <w:t>. Follow-up e</w:t>
      </w:r>
      <w:r w:rsidR="00801D7D" w:rsidRPr="00F500AD">
        <w:rPr>
          <w:rFonts w:cs="Arial"/>
          <w:b/>
          <w:sz w:val="24"/>
          <w:szCs w:val="24"/>
        </w:rPr>
        <w:t>mail</w:t>
      </w:r>
    </w:p>
    <w:p w:rsidR="00801D7D" w:rsidRPr="00FE3B77" w:rsidRDefault="00801D7D" w:rsidP="00FE3B77">
      <w:pPr>
        <w:spacing w:after="120" w:line="360" w:lineRule="auto"/>
        <w:rPr>
          <w:b/>
        </w:rPr>
      </w:pPr>
    </w:p>
    <w:sectPr w:rsidR="00801D7D" w:rsidRPr="00FE3B7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7F8" w:rsidRDefault="00C477F8" w:rsidP="00A54DC9">
      <w:pPr>
        <w:spacing w:after="0" w:line="240" w:lineRule="auto"/>
      </w:pPr>
      <w:r>
        <w:separator/>
      </w:r>
    </w:p>
  </w:endnote>
  <w:endnote w:type="continuationSeparator" w:id="0">
    <w:p w:rsidR="00C477F8" w:rsidRDefault="00C477F8" w:rsidP="00A5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59481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B00BD" w:rsidRDefault="001B00B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E4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E4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72EE" w:rsidRDefault="00B972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7F8" w:rsidRDefault="00C477F8" w:rsidP="00A54DC9">
      <w:pPr>
        <w:spacing w:after="0" w:line="240" w:lineRule="auto"/>
      </w:pPr>
      <w:r>
        <w:separator/>
      </w:r>
    </w:p>
  </w:footnote>
  <w:footnote w:type="continuationSeparator" w:id="0">
    <w:p w:rsidR="00C477F8" w:rsidRDefault="00C477F8" w:rsidP="00A54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7777"/>
    <w:multiLevelType w:val="hybridMultilevel"/>
    <w:tmpl w:val="EA16E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97E8D"/>
    <w:multiLevelType w:val="hybridMultilevel"/>
    <w:tmpl w:val="7D406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E2B28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E001D"/>
    <w:multiLevelType w:val="hybridMultilevel"/>
    <w:tmpl w:val="47EA5AE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52D54"/>
    <w:multiLevelType w:val="hybridMultilevel"/>
    <w:tmpl w:val="0A06DC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A364A"/>
    <w:multiLevelType w:val="hybridMultilevel"/>
    <w:tmpl w:val="C8BC574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4230" w:hanging="360"/>
      </w:p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>
      <w:start w:val="1"/>
      <w:numFmt w:val="lowerRoman"/>
      <w:lvlText w:val="%3."/>
      <w:lvlJc w:val="right"/>
      <w:pPr>
        <w:ind w:left="5670" w:hanging="180"/>
      </w:pPr>
    </w:lvl>
    <w:lvl w:ilvl="3" w:tplc="0409000F">
      <w:start w:val="1"/>
      <w:numFmt w:val="decimal"/>
      <w:lvlText w:val="%4."/>
      <w:lvlJc w:val="left"/>
      <w:pPr>
        <w:ind w:left="6390" w:hanging="360"/>
      </w:pPr>
    </w:lvl>
    <w:lvl w:ilvl="4" w:tplc="04090019">
      <w:start w:val="1"/>
      <w:numFmt w:val="lowerLetter"/>
      <w:lvlText w:val="%5."/>
      <w:lvlJc w:val="left"/>
      <w:pPr>
        <w:ind w:left="7110" w:hanging="360"/>
      </w:p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9">
    <w:nsid w:val="65F81BD7"/>
    <w:multiLevelType w:val="hybridMultilevel"/>
    <w:tmpl w:val="B24A5A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05014"/>
    <w:multiLevelType w:val="hybridMultilevel"/>
    <w:tmpl w:val="860A917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5B73B6"/>
    <w:multiLevelType w:val="hybridMultilevel"/>
    <w:tmpl w:val="DA9066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9609A"/>
    <w:multiLevelType w:val="hybridMultilevel"/>
    <w:tmpl w:val="AA76EE7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C52E2"/>
    <w:multiLevelType w:val="hybridMultilevel"/>
    <w:tmpl w:val="242CF2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14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65"/>
    <w:rsid w:val="00000F43"/>
    <w:rsid w:val="000168A3"/>
    <w:rsid w:val="000332C9"/>
    <w:rsid w:val="0003520A"/>
    <w:rsid w:val="00035238"/>
    <w:rsid w:val="000704EB"/>
    <w:rsid w:val="000902A0"/>
    <w:rsid w:val="00097088"/>
    <w:rsid w:val="000C2921"/>
    <w:rsid w:val="000C65EE"/>
    <w:rsid w:val="000D22FE"/>
    <w:rsid w:val="00132D84"/>
    <w:rsid w:val="00146F51"/>
    <w:rsid w:val="0017307D"/>
    <w:rsid w:val="00196E72"/>
    <w:rsid w:val="001B00BA"/>
    <w:rsid w:val="001B00BD"/>
    <w:rsid w:val="001B0B94"/>
    <w:rsid w:val="001D22E9"/>
    <w:rsid w:val="001F1B5D"/>
    <w:rsid w:val="001F4EC3"/>
    <w:rsid w:val="002204E9"/>
    <w:rsid w:val="002A16BE"/>
    <w:rsid w:val="002A335B"/>
    <w:rsid w:val="002A4979"/>
    <w:rsid w:val="002B4AAE"/>
    <w:rsid w:val="002D10A4"/>
    <w:rsid w:val="002F0D08"/>
    <w:rsid w:val="002F6919"/>
    <w:rsid w:val="0032416D"/>
    <w:rsid w:val="003625EC"/>
    <w:rsid w:val="00364745"/>
    <w:rsid w:val="003E2E3D"/>
    <w:rsid w:val="004027C2"/>
    <w:rsid w:val="0041108F"/>
    <w:rsid w:val="00486DBB"/>
    <w:rsid w:val="004929FB"/>
    <w:rsid w:val="00552E4C"/>
    <w:rsid w:val="005572E5"/>
    <w:rsid w:val="005A592D"/>
    <w:rsid w:val="005A7F97"/>
    <w:rsid w:val="006409C9"/>
    <w:rsid w:val="00656235"/>
    <w:rsid w:val="00661940"/>
    <w:rsid w:val="006671DF"/>
    <w:rsid w:val="006B3FEB"/>
    <w:rsid w:val="006C3792"/>
    <w:rsid w:val="006F16D9"/>
    <w:rsid w:val="00707C92"/>
    <w:rsid w:val="00710E4F"/>
    <w:rsid w:val="00727AA0"/>
    <w:rsid w:val="00781C7B"/>
    <w:rsid w:val="007857B8"/>
    <w:rsid w:val="007C0017"/>
    <w:rsid w:val="007C1BB3"/>
    <w:rsid w:val="007C6C40"/>
    <w:rsid w:val="00801D7D"/>
    <w:rsid w:val="00814130"/>
    <w:rsid w:val="00837287"/>
    <w:rsid w:val="0087035A"/>
    <w:rsid w:val="008B2837"/>
    <w:rsid w:val="008B7F68"/>
    <w:rsid w:val="00916D06"/>
    <w:rsid w:val="009359B8"/>
    <w:rsid w:val="00946FC7"/>
    <w:rsid w:val="009B2928"/>
    <w:rsid w:val="009C7AB9"/>
    <w:rsid w:val="009D67B0"/>
    <w:rsid w:val="009F44E0"/>
    <w:rsid w:val="00A20965"/>
    <w:rsid w:val="00A2275F"/>
    <w:rsid w:val="00A31CA6"/>
    <w:rsid w:val="00A40EDD"/>
    <w:rsid w:val="00A466D1"/>
    <w:rsid w:val="00A54DC9"/>
    <w:rsid w:val="00A5586B"/>
    <w:rsid w:val="00A739AC"/>
    <w:rsid w:val="00A80498"/>
    <w:rsid w:val="00A84097"/>
    <w:rsid w:val="00AE0CBB"/>
    <w:rsid w:val="00AE5634"/>
    <w:rsid w:val="00B05795"/>
    <w:rsid w:val="00B161A9"/>
    <w:rsid w:val="00B328F9"/>
    <w:rsid w:val="00B54630"/>
    <w:rsid w:val="00B971E1"/>
    <w:rsid w:val="00B972EE"/>
    <w:rsid w:val="00BC3E6F"/>
    <w:rsid w:val="00BE318B"/>
    <w:rsid w:val="00BE5253"/>
    <w:rsid w:val="00BF5835"/>
    <w:rsid w:val="00C0774C"/>
    <w:rsid w:val="00C12AB5"/>
    <w:rsid w:val="00C3008F"/>
    <w:rsid w:val="00C477F8"/>
    <w:rsid w:val="00C67DD5"/>
    <w:rsid w:val="00C9549F"/>
    <w:rsid w:val="00CA37F2"/>
    <w:rsid w:val="00CB6513"/>
    <w:rsid w:val="00D3228C"/>
    <w:rsid w:val="00D74297"/>
    <w:rsid w:val="00D80F1B"/>
    <w:rsid w:val="00D80F9D"/>
    <w:rsid w:val="00D810B5"/>
    <w:rsid w:val="00DB5D36"/>
    <w:rsid w:val="00DB7D6B"/>
    <w:rsid w:val="00DC32D4"/>
    <w:rsid w:val="00DC7BC7"/>
    <w:rsid w:val="00DE5C17"/>
    <w:rsid w:val="00DF50F7"/>
    <w:rsid w:val="00DF554B"/>
    <w:rsid w:val="00E05314"/>
    <w:rsid w:val="00E0721A"/>
    <w:rsid w:val="00E54A49"/>
    <w:rsid w:val="00E6774B"/>
    <w:rsid w:val="00E728F3"/>
    <w:rsid w:val="00EF1118"/>
    <w:rsid w:val="00F16539"/>
    <w:rsid w:val="00F500AD"/>
    <w:rsid w:val="00F95468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C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C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54D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4D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5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C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54DC9"/>
    <w:rPr>
      <w:sz w:val="16"/>
      <w:szCs w:val="16"/>
    </w:rPr>
  </w:style>
  <w:style w:type="table" w:styleId="TableGrid">
    <w:name w:val="Table Grid"/>
    <w:basedOn w:val="TableNormal"/>
    <w:uiPriority w:val="59"/>
    <w:rsid w:val="001B00B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7D"/>
    <w:rPr>
      <w:rFonts w:ascii="Tahoma" w:eastAsiaTheme="minorEastAsi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7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75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75F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C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C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54D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4D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5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C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54DC9"/>
    <w:rPr>
      <w:sz w:val="16"/>
      <w:szCs w:val="16"/>
    </w:rPr>
  </w:style>
  <w:style w:type="table" w:styleId="TableGrid">
    <w:name w:val="Table Grid"/>
    <w:basedOn w:val="TableNormal"/>
    <w:uiPriority w:val="59"/>
    <w:rsid w:val="001B00B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7D"/>
    <w:rPr>
      <w:rFonts w:ascii="Tahoma" w:eastAsiaTheme="minorEastAsi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7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75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75F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vl7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gk9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7C6C-0C8C-486D-BB14-F47DD025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Ashlynn (CDC/OID/NCIRD) (CTR)</dc:creator>
  <cp:lastModifiedBy>CDC User</cp:lastModifiedBy>
  <cp:revision>2</cp:revision>
  <cp:lastPrinted>2013-08-21T19:55:00Z</cp:lastPrinted>
  <dcterms:created xsi:type="dcterms:W3CDTF">2013-11-14T18:03:00Z</dcterms:created>
  <dcterms:modified xsi:type="dcterms:W3CDTF">2013-11-14T18:03:00Z</dcterms:modified>
</cp:coreProperties>
</file>