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F79" w:rsidRPr="00771AE7" w:rsidRDefault="00134F79" w:rsidP="00134F79">
      <w:pPr>
        <w:rPr>
          <w:b/>
        </w:rPr>
      </w:pPr>
      <w:r w:rsidRPr="00771AE7">
        <w:rPr>
          <w:b/>
        </w:rPr>
        <w:t>Attachment A1:  Data Collection Definitions (These Will Be Hov</w:t>
      </w:r>
      <w:r w:rsidR="0004608C" w:rsidRPr="00771AE7">
        <w:rPr>
          <w:b/>
        </w:rPr>
        <w:t>er Boxes over the Relevant Terms; See Light Gray Highlighted Terms in Attachment A-Paper Version of Data Collection</w:t>
      </w:r>
      <w:r w:rsidRPr="00771AE7">
        <w:rPr>
          <w:b/>
        </w:rPr>
        <w:t>)</w:t>
      </w:r>
    </w:p>
    <w:p w:rsidR="00134F79" w:rsidRPr="00771AE7" w:rsidRDefault="00134F79" w:rsidP="00743ACE">
      <w:pPr>
        <w:jc w:val="center"/>
        <w:rPr>
          <w:b/>
        </w:rPr>
      </w:pPr>
      <w:bookmarkStart w:id="0" w:name="_GoBack"/>
      <w:bookmarkEnd w:id="0"/>
    </w:p>
    <w:p w:rsidR="00134F79" w:rsidRPr="00771AE7" w:rsidRDefault="00134F79" w:rsidP="00743ACE">
      <w:pPr>
        <w:jc w:val="center"/>
        <w:rPr>
          <w:b/>
        </w:rPr>
      </w:pPr>
    </w:p>
    <w:p w:rsidR="00F645DB" w:rsidRPr="00771AE7" w:rsidRDefault="00BA26BD" w:rsidP="00743ACE">
      <w:pPr>
        <w:jc w:val="center"/>
        <w:rPr>
          <w:b/>
        </w:rPr>
      </w:pPr>
      <w:r w:rsidRPr="00771AE7">
        <w:rPr>
          <w:b/>
        </w:rPr>
        <w:t>Definitions</w:t>
      </w:r>
    </w:p>
    <w:p w:rsidR="00BA26BD" w:rsidRPr="00771AE7" w:rsidRDefault="00BA26BD"/>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538"/>
        <w:gridCol w:w="7038"/>
      </w:tblGrid>
      <w:tr w:rsidR="00BA26BD" w:rsidRPr="00771AE7" w:rsidTr="00743ACE">
        <w:tc>
          <w:tcPr>
            <w:tcW w:w="2538" w:type="dxa"/>
          </w:tcPr>
          <w:p w:rsidR="00BA26BD" w:rsidRPr="00771AE7" w:rsidRDefault="00BA26BD" w:rsidP="00743ACE">
            <w:r w:rsidRPr="00771AE7">
              <w:t>Term</w:t>
            </w:r>
          </w:p>
        </w:tc>
        <w:tc>
          <w:tcPr>
            <w:tcW w:w="7038" w:type="dxa"/>
          </w:tcPr>
          <w:p w:rsidR="00BA26BD" w:rsidRPr="00771AE7" w:rsidRDefault="00BA26BD" w:rsidP="00743ACE">
            <w:r w:rsidRPr="00771AE7">
              <w:t>Definition</w:t>
            </w:r>
          </w:p>
        </w:tc>
      </w:tr>
      <w:tr w:rsidR="00111755" w:rsidRPr="00771AE7" w:rsidTr="00743ACE">
        <w:tc>
          <w:tcPr>
            <w:tcW w:w="2538" w:type="dxa"/>
          </w:tcPr>
          <w:p w:rsidR="00111755" w:rsidRPr="00771AE7" w:rsidRDefault="00111755" w:rsidP="00743ACE">
            <w:r w:rsidRPr="00771AE7">
              <w:t>Across the board</w:t>
            </w:r>
          </w:p>
        </w:tc>
        <w:tc>
          <w:tcPr>
            <w:tcW w:w="7038" w:type="dxa"/>
          </w:tcPr>
          <w:p w:rsidR="00111755" w:rsidRPr="00771AE7" w:rsidRDefault="00111755" w:rsidP="00743ACE">
            <w:r w:rsidRPr="00771AE7">
              <w:t>Refers to a process in which changes in spending or staffing are applied to all categories of an organization, usually in a manner proportional to each category’s share of staffing or budgeting before the change.  Example: A department has 2 branches, one with 30% of department staff and the other with 70%.  An across-the-board cut of 10 staff members would probably cut 3 staff members from the first branch and 7 from the second</w:t>
            </w:r>
          </w:p>
        </w:tc>
      </w:tr>
      <w:tr w:rsidR="00111755" w:rsidRPr="00771AE7" w:rsidTr="00743ACE">
        <w:tc>
          <w:tcPr>
            <w:tcW w:w="2538" w:type="dxa"/>
          </w:tcPr>
          <w:p w:rsidR="00111755" w:rsidRPr="00771AE7" w:rsidRDefault="00111755" w:rsidP="00743ACE">
            <w:r w:rsidRPr="00771AE7">
              <w:t>Expedited partner therapy (EPT)</w:t>
            </w:r>
          </w:p>
        </w:tc>
        <w:tc>
          <w:tcPr>
            <w:tcW w:w="7038" w:type="dxa"/>
          </w:tcPr>
          <w:p w:rsidR="00111755" w:rsidRPr="00771AE7" w:rsidRDefault="00111755" w:rsidP="00743ACE">
            <w:pPr>
              <w:tabs>
                <w:tab w:val="left" w:pos="-18"/>
              </w:tabs>
            </w:pPr>
            <w:r w:rsidRPr="00771AE7">
              <w:t>Refers to some procedure for treatment of partners without examination by a clinician, such as by providing a prescription for a patient’s partners or by providing treatment directly to a patient to take to his or her partners</w:t>
            </w:r>
          </w:p>
        </w:tc>
      </w:tr>
      <w:tr w:rsidR="00111755" w:rsidRPr="00771AE7" w:rsidTr="00743ACE">
        <w:tc>
          <w:tcPr>
            <w:tcW w:w="2538" w:type="dxa"/>
          </w:tcPr>
          <w:p w:rsidR="00111755" w:rsidRPr="00771AE7" w:rsidRDefault="00111755" w:rsidP="002D6CD1">
            <w:r w:rsidRPr="00771AE7">
              <w:t>Fewer clinic hours</w:t>
            </w:r>
          </w:p>
          <w:p w:rsidR="00111755" w:rsidRPr="00771AE7" w:rsidRDefault="00111755" w:rsidP="000D639D">
            <w:r w:rsidRPr="00771AE7">
              <w:t xml:space="preserve"> (Question </w:t>
            </w:r>
            <w:r w:rsidR="000D639D" w:rsidRPr="00771AE7">
              <w:t>40-c2</w:t>
            </w:r>
            <w:r w:rsidRPr="00771AE7">
              <w:t>)</w:t>
            </w:r>
          </w:p>
        </w:tc>
        <w:tc>
          <w:tcPr>
            <w:tcW w:w="7038" w:type="dxa"/>
          </w:tcPr>
          <w:p w:rsidR="00111755" w:rsidRPr="00771AE7" w:rsidRDefault="00111755" w:rsidP="00743ACE">
            <w:pPr>
              <w:tabs>
                <w:tab w:val="left" w:pos="-18"/>
              </w:tabs>
            </w:pPr>
            <w:r w:rsidRPr="00771AE7">
              <w:t>If you closed clinics but did not reduce hours at any other clinics, do not check this option</w:t>
            </w:r>
          </w:p>
        </w:tc>
      </w:tr>
      <w:tr w:rsidR="00111755" w:rsidRPr="00771AE7" w:rsidTr="00743ACE">
        <w:tc>
          <w:tcPr>
            <w:tcW w:w="2538" w:type="dxa"/>
          </w:tcPr>
          <w:p w:rsidR="00111755" w:rsidRPr="00771AE7" w:rsidRDefault="00111755" w:rsidP="00743ACE">
            <w:r w:rsidRPr="00771AE7">
              <w:t>Field-delivered treatment</w:t>
            </w:r>
          </w:p>
        </w:tc>
        <w:tc>
          <w:tcPr>
            <w:tcW w:w="7038" w:type="dxa"/>
          </w:tcPr>
          <w:p w:rsidR="00111755" w:rsidRPr="00771AE7" w:rsidRDefault="00111755" w:rsidP="00743ACE">
            <w:pPr>
              <w:tabs>
                <w:tab w:val="left" w:pos="-18"/>
              </w:tabs>
            </w:pPr>
            <w:r w:rsidRPr="00771AE7">
              <w:t>Refers to health department staff providing treatment directly to partners in a non-clinical setting without examination by a clinician</w:t>
            </w:r>
          </w:p>
        </w:tc>
      </w:tr>
      <w:tr w:rsidR="00111755" w:rsidRPr="00771AE7" w:rsidTr="00743ACE">
        <w:tc>
          <w:tcPr>
            <w:tcW w:w="2538" w:type="dxa"/>
          </w:tcPr>
          <w:p w:rsidR="00111755" w:rsidRPr="00771AE7" w:rsidRDefault="004946BA" w:rsidP="00743ACE">
            <w:r w:rsidRPr="00771AE7">
              <w:t>Non-clinical</w:t>
            </w:r>
          </w:p>
        </w:tc>
        <w:tc>
          <w:tcPr>
            <w:tcW w:w="7038" w:type="dxa"/>
          </w:tcPr>
          <w:p w:rsidR="00111755" w:rsidRPr="00771AE7" w:rsidRDefault="00111755" w:rsidP="00743ACE">
            <w:r w:rsidRPr="00771AE7">
              <w:t>Refers to a setting other than a conventional health care setting, such as a mobile van, community-based organization, jail intake, or health fair</w:t>
            </w:r>
          </w:p>
        </w:tc>
      </w:tr>
      <w:tr w:rsidR="00111755" w:rsidRPr="00771AE7" w:rsidTr="00743ACE">
        <w:tc>
          <w:tcPr>
            <w:tcW w:w="2538" w:type="dxa"/>
          </w:tcPr>
          <w:p w:rsidR="00111755" w:rsidRPr="00771AE7" w:rsidRDefault="00111755" w:rsidP="00743ACE">
            <w:r w:rsidRPr="00771AE7">
              <w:t>Partner services</w:t>
            </w:r>
          </w:p>
        </w:tc>
        <w:tc>
          <w:tcPr>
            <w:tcW w:w="7038" w:type="dxa"/>
          </w:tcPr>
          <w:p w:rsidR="00111755" w:rsidRPr="00771AE7" w:rsidRDefault="00111755" w:rsidP="00976F31">
            <w:r w:rsidRPr="00771AE7">
              <w:t>Refers to activities undertaken by the health department designed to lead to examination or treatment of partners of persons diagnosed with an STD.  Informing patients to refer their partners for examination and treatment without further assistance is not considered to be partner services for the purposes of this</w:t>
            </w:r>
            <w:r w:rsidR="00976F31" w:rsidRPr="00771AE7">
              <w:t xml:space="preserve"> </w:t>
            </w:r>
            <w:r w:rsidR="00584E47" w:rsidRPr="00771AE7">
              <w:t>data collection</w:t>
            </w:r>
          </w:p>
        </w:tc>
      </w:tr>
      <w:tr w:rsidR="00111755" w:rsidRPr="00771AE7" w:rsidTr="00743ACE">
        <w:tc>
          <w:tcPr>
            <w:tcW w:w="2538" w:type="dxa"/>
          </w:tcPr>
          <w:p w:rsidR="00111755" w:rsidRPr="00771AE7" w:rsidRDefault="00111755" w:rsidP="00743ACE">
            <w:r w:rsidRPr="00771AE7">
              <w:t>Specialty STD clinic</w:t>
            </w:r>
          </w:p>
        </w:tc>
        <w:tc>
          <w:tcPr>
            <w:tcW w:w="7038" w:type="dxa"/>
          </w:tcPr>
          <w:p w:rsidR="00111755" w:rsidRPr="00771AE7" w:rsidRDefault="00111755" w:rsidP="00976F31">
            <w:r w:rsidRPr="00771AE7">
              <w:t xml:space="preserve">Refers to a clinic devoted to examination for and treatment of STDs or to a clinic that has hours and staff devoted wholly to STD services.  Multi-role clinics, such as maternal and child health or primary care are not considered to be categorical STD clinics for the purposes of this </w:t>
            </w:r>
            <w:r w:rsidR="00584E47" w:rsidRPr="00771AE7">
              <w:t>data collection</w:t>
            </w:r>
          </w:p>
        </w:tc>
      </w:tr>
      <w:tr w:rsidR="00111755" w:rsidRPr="00771AE7" w:rsidTr="00743ACE">
        <w:tc>
          <w:tcPr>
            <w:tcW w:w="2538" w:type="dxa"/>
          </w:tcPr>
          <w:p w:rsidR="00111755" w:rsidRPr="00771AE7" w:rsidRDefault="00111755" w:rsidP="00743ACE">
            <w:r w:rsidRPr="00771AE7">
              <w:t>STD prevention services</w:t>
            </w:r>
          </w:p>
        </w:tc>
        <w:tc>
          <w:tcPr>
            <w:tcW w:w="7038" w:type="dxa"/>
          </w:tcPr>
          <w:p w:rsidR="00111755" w:rsidRPr="00771AE7" w:rsidRDefault="00111755" w:rsidP="00743ACE">
            <w:pPr>
              <w:tabs>
                <w:tab w:val="left" w:pos="-18"/>
              </w:tabs>
            </w:pPr>
            <w:r w:rsidRPr="00771AE7">
              <w:t>Refers to clinical and non-clinical services that prevent and treat STDs, such as screening, treatment, vaccination, and partner services</w:t>
            </w:r>
          </w:p>
        </w:tc>
      </w:tr>
    </w:tbl>
    <w:p w:rsidR="00BA26BD" w:rsidRPr="00771AE7" w:rsidRDefault="00BA26BD"/>
    <w:sectPr w:rsidR="00BA26BD" w:rsidRPr="00771AE7" w:rsidSect="00F645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232" w:rsidRDefault="005D3232" w:rsidP="00A87010">
      <w:pPr>
        <w:spacing w:line="240" w:lineRule="auto"/>
      </w:pPr>
      <w:r>
        <w:separator/>
      </w:r>
    </w:p>
  </w:endnote>
  <w:endnote w:type="continuationSeparator" w:id="0">
    <w:p w:rsidR="005D3232" w:rsidRDefault="005D3232" w:rsidP="00A87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232" w:rsidRDefault="005D3232" w:rsidP="00A87010">
      <w:pPr>
        <w:spacing w:line="240" w:lineRule="auto"/>
      </w:pPr>
      <w:r>
        <w:separator/>
      </w:r>
    </w:p>
  </w:footnote>
  <w:footnote w:type="continuationSeparator" w:id="0">
    <w:p w:rsidR="005D3232" w:rsidRDefault="005D3232" w:rsidP="00A870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D1" w:rsidRPr="00A87010" w:rsidRDefault="002D6CD1" w:rsidP="00A87010">
    <w:pPr>
      <w:pStyle w:val="Header"/>
      <w:tabs>
        <w:tab w:val="clear" w:pos="9360"/>
      </w:tabs>
      <w:rPr>
        <w:rFonts w:asciiTheme="minorHAnsi" w:hAnsiTheme="minorHAnsi"/>
        <w:sz w:val="22"/>
        <w:szCs w:val="22"/>
      </w:rPr>
    </w:pPr>
    <w:r w:rsidRPr="00A87010">
      <w:rPr>
        <w:rFonts w:asciiTheme="minorHAnsi" w:hAnsiTheme="minorHAnsi"/>
        <w:sz w:val="22"/>
        <w:szCs w:val="22"/>
      </w:rPr>
      <w:tab/>
    </w:r>
  </w:p>
  <w:p w:rsidR="002D6CD1" w:rsidRPr="00A87010" w:rsidRDefault="002D6CD1">
    <w:pPr>
      <w:pStyle w:val="Header"/>
      <w:rPr>
        <w:rFonts w:asciiTheme="minorHAnsi" w:hAnsiTheme="minorHAns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6BD"/>
    <w:rsid w:val="000064B9"/>
    <w:rsid w:val="0004608C"/>
    <w:rsid w:val="000B4223"/>
    <w:rsid w:val="000D639D"/>
    <w:rsid w:val="00111755"/>
    <w:rsid w:val="00134F79"/>
    <w:rsid w:val="00166DA4"/>
    <w:rsid w:val="001B6095"/>
    <w:rsid w:val="002D6CD1"/>
    <w:rsid w:val="00320C72"/>
    <w:rsid w:val="0040606B"/>
    <w:rsid w:val="004946BA"/>
    <w:rsid w:val="00536C6F"/>
    <w:rsid w:val="00584E47"/>
    <w:rsid w:val="005D3232"/>
    <w:rsid w:val="00641DC9"/>
    <w:rsid w:val="00682740"/>
    <w:rsid w:val="00743ACE"/>
    <w:rsid w:val="00771AE7"/>
    <w:rsid w:val="0080500E"/>
    <w:rsid w:val="0092202E"/>
    <w:rsid w:val="00976F31"/>
    <w:rsid w:val="00987C4B"/>
    <w:rsid w:val="009D144A"/>
    <w:rsid w:val="00A1169C"/>
    <w:rsid w:val="00A343B7"/>
    <w:rsid w:val="00A673E4"/>
    <w:rsid w:val="00A87010"/>
    <w:rsid w:val="00B42474"/>
    <w:rsid w:val="00B576CE"/>
    <w:rsid w:val="00B752BB"/>
    <w:rsid w:val="00B94FDA"/>
    <w:rsid w:val="00BA26BD"/>
    <w:rsid w:val="00BA2D2B"/>
    <w:rsid w:val="00C07239"/>
    <w:rsid w:val="00CB5EDB"/>
    <w:rsid w:val="00F645DB"/>
    <w:rsid w:val="00F92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26B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7010"/>
    <w:pPr>
      <w:tabs>
        <w:tab w:val="center" w:pos="4680"/>
        <w:tab w:val="right" w:pos="9360"/>
      </w:tabs>
      <w:spacing w:line="240" w:lineRule="auto"/>
    </w:pPr>
  </w:style>
  <w:style w:type="character" w:customStyle="1" w:styleId="HeaderChar">
    <w:name w:val="Header Char"/>
    <w:basedOn w:val="DefaultParagraphFont"/>
    <w:link w:val="Header"/>
    <w:uiPriority w:val="99"/>
    <w:rsid w:val="00A87010"/>
  </w:style>
  <w:style w:type="paragraph" w:styleId="Footer">
    <w:name w:val="footer"/>
    <w:basedOn w:val="Normal"/>
    <w:link w:val="FooterChar"/>
    <w:uiPriority w:val="99"/>
    <w:unhideWhenUsed/>
    <w:rsid w:val="00A87010"/>
    <w:pPr>
      <w:tabs>
        <w:tab w:val="center" w:pos="4680"/>
        <w:tab w:val="right" w:pos="9360"/>
      </w:tabs>
      <w:spacing w:line="240" w:lineRule="auto"/>
    </w:pPr>
  </w:style>
  <w:style w:type="character" w:customStyle="1" w:styleId="FooterChar">
    <w:name w:val="Footer Char"/>
    <w:basedOn w:val="DefaultParagraphFont"/>
    <w:link w:val="Footer"/>
    <w:uiPriority w:val="99"/>
    <w:rsid w:val="00A87010"/>
  </w:style>
  <w:style w:type="paragraph" w:styleId="BalloonText">
    <w:name w:val="Balloon Text"/>
    <w:basedOn w:val="Normal"/>
    <w:link w:val="BalloonTextChar"/>
    <w:uiPriority w:val="99"/>
    <w:semiHidden/>
    <w:unhideWhenUsed/>
    <w:rsid w:val="000064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4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26B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7010"/>
    <w:pPr>
      <w:tabs>
        <w:tab w:val="center" w:pos="4680"/>
        <w:tab w:val="right" w:pos="9360"/>
      </w:tabs>
      <w:spacing w:line="240" w:lineRule="auto"/>
    </w:pPr>
  </w:style>
  <w:style w:type="character" w:customStyle="1" w:styleId="HeaderChar">
    <w:name w:val="Header Char"/>
    <w:basedOn w:val="DefaultParagraphFont"/>
    <w:link w:val="Header"/>
    <w:uiPriority w:val="99"/>
    <w:rsid w:val="00A87010"/>
  </w:style>
  <w:style w:type="paragraph" w:styleId="Footer">
    <w:name w:val="footer"/>
    <w:basedOn w:val="Normal"/>
    <w:link w:val="FooterChar"/>
    <w:uiPriority w:val="99"/>
    <w:unhideWhenUsed/>
    <w:rsid w:val="00A87010"/>
    <w:pPr>
      <w:tabs>
        <w:tab w:val="center" w:pos="4680"/>
        <w:tab w:val="right" w:pos="9360"/>
      </w:tabs>
      <w:spacing w:line="240" w:lineRule="auto"/>
    </w:pPr>
  </w:style>
  <w:style w:type="character" w:customStyle="1" w:styleId="FooterChar">
    <w:name w:val="Footer Char"/>
    <w:basedOn w:val="DefaultParagraphFont"/>
    <w:link w:val="Footer"/>
    <w:uiPriority w:val="99"/>
    <w:rsid w:val="00A87010"/>
  </w:style>
  <w:style w:type="paragraph" w:styleId="BalloonText">
    <w:name w:val="Balloon Text"/>
    <w:basedOn w:val="Normal"/>
    <w:link w:val="BalloonTextChar"/>
    <w:uiPriority w:val="99"/>
    <w:semiHidden/>
    <w:unhideWhenUsed/>
    <w:rsid w:val="000064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teg5</dc:creator>
  <cp:lastModifiedBy>CDC User</cp:lastModifiedBy>
  <cp:revision>3</cp:revision>
  <dcterms:created xsi:type="dcterms:W3CDTF">2013-08-19T14:03:00Z</dcterms:created>
  <dcterms:modified xsi:type="dcterms:W3CDTF">2013-08-20T18:45:00Z</dcterms:modified>
</cp:coreProperties>
</file>