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716F94" w:rsidRPr="009B4A51" w:rsidRDefault="00551717" w:rsidP="009B4A51">
      <w:pPr>
        <w:spacing w:after="0"/>
        <w:jc w:val="center"/>
        <w:rPr>
          <w:rFonts w:asciiTheme="majorHAnsi" w:hAnsiTheme="majorHAnsi"/>
          <w:b/>
          <w:sz w:val="40"/>
        </w:rPr>
      </w:pPr>
      <w:r>
        <w:rPr>
          <w:rFonts w:asciiTheme="majorHAnsi" w:hAnsiTheme="majorHAnsi"/>
          <w:b/>
          <w:sz w:val="40"/>
        </w:rPr>
        <w:t xml:space="preserve">Assessing </w:t>
      </w:r>
      <w:r w:rsidR="00BC4AC9">
        <w:rPr>
          <w:rFonts w:asciiTheme="majorHAnsi" w:hAnsiTheme="majorHAnsi"/>
          <w:b/>
          <w:sz w:val="40"/>
        </w:rPr>
        <w:t>State and Local Clinical and Non-Clinical STD Prevention</w:t>
      </w:r>
      <w:r>
        <w:rPr>
          <w:rFonts w:asciiTheme="majorHAnsi" w:hAnsiTheme="majorHAnsi"/>
          <w:b/>
          <w:sz w:val="40"/>
        </w:rPr>
        <w:t xml:space="preserve"> STD Services  </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OSTLTS Generic Information C</w:t>
      </w:r>
      <w:r w:rsidR="00230CEF">
        <w:rPr>
          <w:rFonts w:asciiTheme="majorHAnsi" w:hAnsiTheme="majorHAnsi"/>
        </w:rPr>
        <w:t>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E938DA">
        <w:rPr>
          <w:rFonts w:asciiTheme="majorHAnsi" w:hAnsiTheme="majorHAnsi"/>
        </w:rPr>
        <w:t>08/</w:t>
      </w:r>
      <w:r w:rsidR="002E2D4F">
        <w:rPr>
          <w:rFonts w:asciiTheme="majorHAnsi" w:hAnsiTheme="majorHAnsi"/>
        </w:rPr>
        <w:t>20</w:t>
      </w:r>
      <w:r w:rsidR="00E938DA">
        <w:rPr>
          <w:rFonts w:asciiTheme="majorHAnsi" w:hAnsiTheme="majorHAnsi"/>
        </w:rPr>
        <w:t>/2013</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551717" w:rsidRPr="006C7A31" w:rsidRDefault="00551717" w:rsidP="00551717">
      <w:pPr>
        <w:spacing w:after="0" w:line="240" w:lineRule="auto"/>
        <w:rPr>
          <w:rFonts w:ascii="Times New Roman" w:hAnsi="Times New Roman" w:cs="Times New Roman"/>
          <w:bCs/>
        </w:rPr>
      </w:pPr>
      <w:r w:rsidRPr="006C7A31">
        <w:rPr>
          <w:rFonts w:ascii="Times New Roman" w:hAnsi="Times New Roman" w:cs="Times New Roman"/>
          <w:bCs/>
        </w:rPr>
        <w:t>Thomas Gift</w:t>
      </w:r>
    </w:p>
    <w:p w:rsidR="00551717" w:rsidRPr="006C7A31" w:rsidRDefault="00551717" w:rsidP="00551717">
      <w:pPr>
        <w:spacing w:after="0" w:line="240" w:lineRule="auto"/>
        <w:rPr>
          <w:rFonts w:ascii="Times New Roman" w:hAnsi="Times New Roman" w:cs="Times New Roman"/>
        </w:rPr>
      </w:pPr>
      <w:r w:rsidRPr="006C7A31">
        <w:rPr>
          <w:rFonts w:ascii="Times New Roman" w:hAnsi="Times New Roman" w:cs="Times New Roman"/>
        </w:rPr>
        <w:t>Acting Branch Chief</w:t>
      </w:r>
    </w:p>
    <w:p w:rsidR="00551717" w:rsidRPr="006C7A31" w:rsidRDefault="00551717" w:rsidP="00551717">
      <w:pPr>
        <w:spacing w:after="0" w:line="240" w:lineRule="auto"/>
        <w:rPr>
          <w:rFonts w:ascii="Times New Roman" w:hAnsi="Times New Roman" w:cs="Times New Roman"/>
        </w:rPr>
      </w:pPr>
      <w:r w:rsidRPr="006C7A31">
        <w:rPr>
          <w:rFonts w:ascii="Times New Roman" w:hAnsi="Times New Roman" w:cs="Times New Roman"/>
        </w:rPr>
        <w:t>Centers for Disease Control and Prevention, Division of STD Prevention</w:t>
      </w:r>
    </w:p>
    <w:p w:rsidR="00551717" w:rsidRPr="006C7A31" w:rsidRDefault="00551717" w:rsidP="00551717">
      <w:pPr>
        <w:spacing w:after="0" w:line="240" w:lineRule="auto"/>
        <w:rPr>
          <w:rFonts w:ascii="Times New Roman" w:hAnsi="Times New Roman" w:cs="Times New Roman"/>
        </w:rPr>
      </w:pPr>
      <w:r w:rsidRPr="006C7A31">
        <w:rPr>
          <w:rFonts w:ascii="Times New Roman" w:hAnsi="Times New Roman" w:cs="Times New Roman"/>
        </w:rPr>
        <w:t>1600 Clifton Rd. NE, MS E-80, Atlanta, GA 30333</w:t>
      </w:r>
    </w:p>
    <w:p w:rsidR="00551717" w:rsidRPr="006C7A31" w:rsidRDefault="00551717" w:rsidP="00551717">
      <w:pPr>
        <w:spacing w:after="0" w:line="240" w:lineRule="auto"/>
        <w:rPr>
          <w:rFonts w:ascii="Times New Roman" w:hAnsi="Times New Roman" w:cs="Times New Roman"/>
        </w:rPr>
      </w:pPr>
      <w:r w:rsidRPr="006C7A31">
        <w:rPr>
          <w:rFonts w:ascii="Times New Roman" w:hAnsi="Times New Roman" w:cs="Times New Roman"/>
        </w:rPr>
        <w:t>404-639-1831</w:t>
      </w:r>
    </w:p>
    <w:p w:rsidR="00551717" w:rsidRPr="006C7A31" w:rsidRDefault="00551717" w:rsidP="00551717">
      <w:pPr>
        <w:spacing w:after="0" w:line="240" w:lineRule="auto"/>
        <w:rPr>
          <w:rFonts w:ascii="Times New Roman" w:hAnsi="Times New Roman" w:cs="Times New Roman"/>
        </w:rPr>
      </w:pPr>
      <w:r w:rsidRPr="006C7A31">
        <w:rPr>
          <w:rFonts w:ascii="Times New Roman" w:hAnsi="Times New Roman" w:cs="Times New Roman"/>
        </w:rPr>
        <w:t>404-639-8607</w:t>
      </w:r>
    </w:p>
    <w:p w:rsidR="00551717" w:rsidRPr="006C7A31" w:rsidRDefault="00551717" w:rsidP="00551717">
      <w:pPr>
        <w:spacing w:after="0" w:line="240" w:lineRule="auto"/>
        <w:rPr>
          <w:rFonts w:ascii="Times New Roman" w:hAnsi="Times New Roman" w:cs="Times New Roman"/>
        </w:rPr>
      </w:pPr>
      <w:r w:rsidRPr="006C7A31">
        <w:rPr>
          <w:rFonts w:ascii="Times New Roman" w:hAnsi="Times New Roman" w:cs="Times New Roman"/>
        </w:rPr>
        <w:t>tgift@cdc.gov</w:t>
      </w:r>
    </w:p>
    <w:p w:rsidR="00F725B5" w:rsidRDefault="00F725B5" w:rsidP="00B12F51">
      <w:pPr>
        <w:spacing w:after="0"/>
        <w:rPr>
          <w:rFonts w:asciiTheme="majorHAnsi" w:hAnsiTheme="majorHAnsi"/>
        </w:rPr>
      </w:pPr>
    </w:p>
    <w:p w:rsidR="002E2D4F" w:rsidRDefault="002E2D4F" w:rsidP="00B12F51">
      <w:pPr>
        <w:spacing w:after="0"/>
        <w:rPr>
          <w:rFonts w:asciiTheme="majorHAnsi" w:hAnsiTheme="majorHAnsi"/>
        </w:rPr>
      </w:pPr>
    </w:p>
    <w:p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rsidR="00287E2F" w:rsidRDefault="00287E2F" w:rsidP="00B12F51">
      <w:pPr>
        <w:spacing w:after="0"/>
        <w:rPr>
          <w:rFonts w:asciiTheme="majorHAnsi" w:hAnsiTheme="majorHAnsi"/>
        </w:rPr>
      </w:pPr>
    </w:p>
    <w:p w:rsidR="002E2D4F" w:rsidRPr="002E2D4F" w:rsidRDefault="002E2D4F" w:rsidP="002E2D4F">
      <w:pPr>
        <w:pStyle w:val="ListParagraph"/>
        <w:numPr>
          <w:ilvl w:val="0"/>
          <w:numId w:val="21"/>
        </w:numPr>
        <w:ind w:left="360"/>
        <w:rPr>
          <w:rFonts w:asciiTheme="majorHAnsi" w:hAnsiTheme="majorHAnsi"/>
          <w:b/>
        </w:rPr>
      </w:pPr>
      <w:r w:rsidRPr="002E2D4F">
        <w:rPr>
          <w:rFonts w:asciiTheme="majorHAnsi" w:hAnsiTheme="majorHAnsi"/>
          <w:b/>
        </w:rPr>
        <w:t xml:space="preserve">Respondent Universe and Sampling Methods  </w:t>
      </w:r>
    </w:p>
    <w:p w:rsidR="00A71660" w:rsidRDefault="00A71660" w:rsidP="002E2D4F">
      <w:pPr>
        <w:pStyle w:val="ListParagraph"/>
        <w:spacing w:after="0"/>
        <w:ind w:left="360"/>
        <w:rPr>
          <w:rFonts w:asciiTheme="majorHAnsi" w:hAnsiTheme="majorHAnsi"/>
        </w:rPr>
      </w:pPr>
      <w:r>
        <w:rPr>
          <w:rFonts w:asciiTheme="majorHAnsi" w:hAnsiTheme="majorHAnsi"/>
        </w:rPr>
        <w:t xml:space="preserve">The respondent population consists of all state and directly-funded city-level STD program directors (CDC provides funds to these </w:t>
      </w:r>
      <w:r w:rsidR="002E2D4F">
        <w:rPr>
          <w:rFonts w:asciiTheme="majorHAnsi" w:hAnsiTheme="majorHAnsi"/>
        </w:rPr>
        <w:t>entities</w:t>
      </w:r>
      <w:r>
        <w:rPr>
          <w:rFonts w:asciiTheme="majorHAnsi" w:hAnsiTheme="majorHAnsi"/>
        </w:rPr>
        <w:t xml:space="preserve"> for STD prevention activities; the directly-funded cities include Chicago, San Francisco, Los Angeles, New York City, and other major cities).</w:t>
      </w:r>
      <w:r w:rsidR="00FC52B1">
        <w:rPr>
          <w:rFonts w:asciiTheme="majorHAnsi" w:hAnsiTheme="majorHAnsi"/>
        </w:rPr>
        <w:t xml:space="preserve">  These respondents </w:t>
      </w:r>
      <w:r w:rsidR="00A5000F">
        <w:rPr>
          <w:rFonts w:asciiTheme="majorHAnsi" w:hAnsiTheme="majorHAnsi"/>
        </w:rPr>
        <w:t xml:space="preserve">(n=65) </w:t>
      </w:r>
      <w:r w:rsidR="00FC52B1">
        <w:rPr>
          <w:rFonts w:asciiTheme="majorHAnsi" w:hAnsiTheme="majorHAnsi"/>
        </w:rPr>
        <w:t>will be identified by one of the organizations with which we are partnering for this data collection effort, the National Coalition of STD Directors (NCSD).</w:t>
      </w:r>
      <w:r>
        <w:rPr>
          <w:rFonts w:asciiTheme="majorHAnsi" w:hAnsiTheme="majorHAnsi"/>
        </w:rPr>
        <w:t xml:space="preserve">   </w:t>
      </w:r>
    </w:p>
    <w:p w:rsidR="00A71660" w:rsidRDefault="00A71660" w:rsidP="002E2D4F">
      <w:pPr>
        <w:pStyle w:val="ListParagraph"/>
        <w:spacing w:after="0"/>
        <w:ind w:left="360"/>
        <w:rPr>
          <w:rFonts w:asciiTheme="majorHAnsi" w:hAnsiTheme="majorHAnsi"/>
        </w:rPr>
      </w:pPr>
    </w:p>
    <w:p w:rsidR="00BC5BB2" w:rsidRDefault="00A71660" w:rsidP="002E2D4F">
      <w:pPr>
        <w:pStyle w:val="ListParagraph"/>
        <w:spacing w:after="0"/>
        <w:ind w:left="360"/>
        <w:rPr>
          <w:rFonts w:asciiTheme="majorHAnsi" w:hAnsiTheme="majorHAnsi"/>
        </w:rPr>
      </w:pPr>
      <w:r w:rsidRPr="002E2D4F">
        <w:rPr>
          <w:rFonts w:asciiTheme="majorHAnsi" w:hAnsiTheme="majorHAnsi"/>
        </w:rPr>
        <w:t xml:space="preserve">The data collection will also include a sample of city and county health officials with oversight of their respective STD programs.  </w:t>
      </w:r>
      <w:r w:rsidR="000004D3" w:rsidRPr="002E2D4F">
        <w:rPr>
          <w:rFonts w:asciiTheme="majorHAnsi" w:hAnsiTheme="majorHAnsi"/>
        </w:rPr>
        <w:t>We included all cities and counties that were in the top 50 jurisdictions for primary and secondary syphilis, chlamydia, or gonorrhea by either rate or number of cases</w:t>
      </w:r>
      <w:r w:rsidR="0058518B" w:rsidRPr="002E2D4F">
        <w:rPr>
          <w:rFonts w:asciiTheme="majorHAnsi" w:hAnsiTheme="majorHAnsi"/>
        </w:rPr>
        <w:t xml:space="preserve"> in 2010.  This included 91 cities and counties, some of which were also included in the directly-funded group referred to in the previous paragraph.  Staff at </w:t>
      </w:r>
      <w:r w:rsidR="00FC52B1" w:rsidRPr="002E2D4F">
        <w:rPr>
          <w:rFonts w:asciiTheme="majorHAnsi" w:hAnsiTheme="majorHAnsi"/>
        </w:rPr>
        <w:t xml:space="preserve">the National </w:t>
      </w:r>
      <w:r w:rsidR="00C319D7" w:rsidRPr="002E2D4F">
        <w:rPr>
          <w:rFonts w:asciiTheme="majorHAnsi" w:hAnsiTheme="majorHAnsi"/>
        </w:rPr>
        <w:t>Association</w:t>
      </w:r>
      <w:r w:rsidR="00FC52B1" w:rsidRPr="002E2D4F">
        <w:rPr>
          <w:rFonts w:asciiTheme="majorHAnsi" w:hAnsiTheme="majorHAnsi"/>
        </w:rPr>
        <w:t xml:space="preserve"> of County </w:t>
      </w:r>
      <w:r w:rsidR="00C319D7" w:rsidRPr="002E2D4F">
        <w:rPr>
          <w:rFonts w:asciiTheme="majorHAnsi" w:hAnsiTheme="majorHAnsi"/>
        </w:rPr>
        <w:t>and</w:t>
      </w:r>
      <w:r w:rsidR="00FC52B1" w:rsidRPr="002E2D4F">
        <w:rPr>
          <w:rFonts w:asciiTheme="majorHAnsi" w:hAnsiTheme="majorHAnsi"/>
        </w:rPr>
        <w:t xml:space="preserve"> City Health Officials (</w:t>
      </w:r>
      <w:r w:rsidR="0058518B" w:rsidRPr="002E2D4F">
        <w:rPr>
          <w:rFonts w:asciiTheme="majorHAnsi" w:hAnsiTheme="majorHAnsi"/>
        </w:rPr>
        <w:t>NACCHO</w:t>
      </w:r>
      <w:r w:rsidR="00FC52B1" w:rsidRPr="002E2D4F">
        <w:rPr>
          <w:rFonts w:asciiTheme="majorHAnsi" w:hAnsiTheme="majorHAnsi"/>
        </w:rPr>
        <w:t>)</w:t>
      </w:r>
      <w:r w:rsidR="0058518B" w:rsidRPr="002E2D4F">
        <w:rPr>
          <w:rFonts w:asciiTheme="majorHAnsi" w:hAnsiTheme="majorHAnsi"/>
        </w:rPr>
        <w:t xml:space="preserve"> randomly selected additional cities and counties from respondents to their 2010 data collection {756 /id} to assemble a total sample of 301.  The randomly-selected cities and counties were from the subsample of respondents who indicated they provided STD testing or treatment in their health departments.</w:t>
      </w:r>
    </w:p>
    <w:p w:rsidR="00A75D1C" w:rsidRDefault="00A305CE" w:rsidP="002E2D4F">
      <w:pPr>
        <w:spacing w:after="0"/>
        <w:ind w:left="360"/>
        <w:rPr>
          <w:rFonts w:asciiTheme="majorHAnsi" w:hAnsiTheme="majorHAnsi"/>
        </w:rPr>
      </w:pPr>
      <w:r>
        <w:rPr>
          <w:rFonts w:asciiTheme="majorHAnsi" w:hAnsiTheme="majorHAnsi"/>
        </w:rPr>
        <w:t xml:space="preserve"> </w:t>
      </w:r>
    </w:p>
    <w:p w:rsidR="00A5000F" w:rsidRDefault="00A5000F" w:rsidP="002E2D4F">
      <w:pPr>
        <w:spacing w:after="0"/>
        <w:ind w:left="360"/>
        <w:rPr>
          <w:rFonts w:asciiTheme="majorHAnsi" w:hAnsiTheme="majorHAnsi"/>
        </w:rPr>
      </w:pPr>
      <w:r>
        <w:rPr>
          <w:rFonts w:asciiTheme="majorHAnsi" w:hAnsiTheme="majorHAnsi"/>
        </w:rPr>
        <w:t>The total data collection will include a universe of 366 potential respondents</w:t>
      </w:r>
    </w:p>
    <w:p w:rsidR="00A75D1C" w:rsidRDefault="00A75D1C" w:rsidP="00F52BCC">
      <w:pPr>
        <w:pStyle w:val="ListParagraph"/>
        <w:spacing w:after="0"/>
        <w:rPr>
          <w:rFonts w:asciiTheme="majorHAnsi" w:hAnsiTheme="majorHAnsi"/>
        </w:rPr>
      </w:pPr>
    </w:p>
    <w:p w:rsidR="003635BE" w:rsidRDefault="003635BE" w:rsidP="003635BE">
      <w:pPr>
        <w:spacing w:after="0"/>
        <w:rPr>
          <w:rFonts w:asciiTheme="majorHAnsi" w:hAnsiTheme="majorHAnsi"/>
        </w:rPr>
      </w:pPr>
      <w:r>
        <w:rPr>
          <w:rFonts w:asciiTheme="majorHAnsi" w:hAnsiTheme="majorHAnsi"/>
          <w:b/>
          <w:u w:val="single"/>
        </w:rPr>
        <w:t>Table B</w:t>
      </w:r>
      <w:r w:rsidRPr="00241B17">
        <w:rPr>
          <w:rFonts w:asciiTheme="majorHAnsi" w:hAnsiTheme="majorHAnsi"/>
          <w:b/>
          <w:u w:val="single"/>
        </w:rPr>
        <w:t>-1</w:t>
      </w:r>
      <w:r w:rsidRPr="00241B17">
        <w:rPr>
          <w:rFonts w:asciiTheme="majorHAnsi" w:hAnsiTheme="majorHAnsi"/>
          <w:b/>
        </w:rPr>
        <w:t>:</w:t>
      </w:r>
      <w:r w:rsidRPr="008E0683">
        <w:rPr>
          <w:rFonts w:asciiTheme="majorHAnsi" w:hAnsiTheme="majorHAnsi"/>
        </w:rPr>
        <w:t xml:space="preserve"> </w:t>
      </w:r>
      <w:r>
        <w:rPr>
          <w:rFonts w:asciiTheme="majorHAnsi" w:hAnsiTheme="majorHAnsi"/>
        </w:rPr>
        <w:t>Potential Respondent Universe</w:t>
      </w:r>
    </w:p>
    <w:p w:rsidR="003635BE" w:rsidRDefault="003635BE" w:rsidP="00F52BCC">
      <w:pPr>
        <w:pStyle w:val="ListParagraph"/>
        <w:spacing w:after="0"/>
        <w:rPr>
          <w:rFonts w:asciiTheme="majorHAnsi" w:hAnsiTheme="majorHAnsi"/>
        </w:rPr>
      </w:pPr>
    </w:p>
    <w:tbl>
      <w:tblPr>
        <w:tblStyle w:val="TableGrid"/>
        <w:tblW w:w="0" w:type="auto"/>
        <w:tblInd w:w="18" w:type="dxa"/>
        <w:tblLook w:val="04A0" w:firstRow="1" w:lastRow="0" w:firstColumn="1" w:lastColumn="0" w:noHBand="0" w:noVBand="1"/>
      </w:tblPr>
      <w:tblGrid>
        <w:gridCol w:w="3600"/>
        <w:gridCol w:w="4860"/>
        <w:gridCol w:w="1080"/>
      </w:tblGrid>
      <w:tr w:rsidR="00BC5BB2" w:rsidRPr="006F6856" w:rsidTr="002C0877">
        <w:trPr>
          <w:trHeight w:val="377"/>
        </w:trPr>
        <w:tc>
          <w:tcPr>
            <w:tcW w:w="360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Entity</w:t>
            </w:r>
          </w:p>
        </w:tc>
        <w:tc>
          <w:tcPr>
            <w:tcW w:w="486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Potential Respondent</w:t>
            </w:r>
          </w:p>
        </w:tc>
        <w:tc>
          <w:tcPr>
            <w:tcW w:w="1080" w:type="dxa"/>
            <w:tcBorders>
              <w:bottom w:val="single" w:sz="12" w:space="0" w:color="auto"/>
            </w:tcBorders>
            <w:shd w:val="clear" w:color="auto" w:fill="D9D9D9" w:themeFill="background1" w:themeFillShade="D9"/>
            <w:vAlign w:val="center"/>
          </w:tcPr>
          <w:p w:rsidR="00BC5BB2" w:rsidRPr="006F6856" w:rsidRDefault="00BC5BB2" w:rsidP="00344F07">
            <w:pPr>
              <w:pStyle w:val="ListParagraph"/>
              <w:ind w:left="0"/>
              <w:jc w:val="center"/>
              <w:rPr>
                <w:rFonts w:asciiTheme="majorHAnsi" w:hAnsiTheme="majorHAnsi"/>
                <w:b/>
                <w:sz w:val="20"/>
              </w:rPr>
            </w:pPr>
            <w:r w:rsidRPr="006F6856">
              <w:rPr>
                <w:rFonts w:asciiTheme="majorHAnsi" w:hAnsiTheme="majorHAnsi"/>
                <w:b/>
                <w:sz w:val="20"/>
              </w:rPr>
              <w:t>N</w:t>
            </w:r>
          </w:p>
        </w:tc>
      </w:tr>
      <w:tr w:rsidR="00BC5BB2" w:rsidRPr="006F6856" w:rsidTr="00E24C20">
        <w:trPr>
          <w:trHeight w:hRule="exact" w:val="750"/>
        </w:trPr>
        <w:tc>
          <w:tcPr>
            <w:tcW w:w="3600" w:type="dxa"/>
            <w:tcBorders>
              <w:top w:val="single" w:sz="12" w:space="0" w:color="auto"/>
              <w:bottom w:val="single" w:sz="4" w:space="0" w:color="auto"/>
            </w:tcBorders>
            <w:vAlign w:val="center"/>
          </w:tcPr>
          <w:p w:rsidR="00BC5BB2" w:rsidRPr="006F6856" w:rsidRDefault="00551717" w:rsidP="00344F07">
            <w:pPr>
              <w:pStyle w:val="ListParagraph"/>
              <w:ind w:left="0"/>
              <w:rPr>
                <w:rFonts w:asciiTheme="majorHAnsi" w:hAnsiTheme="majorHAnsi"/>
                <w:sz w:val="20"/>
              </w:rPr>
            </w:pPr>
            <w:r>
              <w:rPr>
                <w:rFonts w:asciiTheme="majorHAnsi" w:hAnsiTheme="majorHAnsi"/>
                <w:sz w:val="20"/>
              </w:rPr>
              <w:t>State and Directly-Funded City Health Department / NCSD Member</w:t>
            </w:r>
          </w:p>
        </w:tc>
        <w:tc>
          <w:tcPr>
            <w:tcW w:w="4860" w:type="dxa"/>
            <w:tcBorders>
              <w:top w:val="single" w:sz="12" w:space="0" w:color="auto"/>
              <w:bottom w:val="single" w:sz="4" w:space="0" w:color="auto"/>
            </w:tcBorders>
            <w:vAlign w:val="center"/>
          </w:tcPr>
          <w:p w:rsidR="00BC5BB2" w:rsidRPr="006F6856" w:rsidRDefault="00551717" w:rsidP="00F725B5">
            <w:pPr>
              <w:pStyle w:val="ListParagraph"/>
              <w:ind w:left="0"/>
              <w:rPr>
                <w:rFonts w:asciiTheme="majorHAnsi" w:hAnsiTheme="majorHAnsi"/>
                <w:sz w:val="20"/>
              </w:rPr>
            </w:pPr>
            <w:r>
              <w:rPr>
                <w:rFonts w:asciiTheme="majorHAnsi" w:hAnsiTheme="majorHAnsi"/>
                <w:sz w:val="20"/>
              </w:rPr>
              <w:t>STD Program Director</w:t>
            </w:r>
          </w:p>
        </w:tc>
        <w:tc>
          <w:tcPr>
            <w:tcW w:w="1080" w:type="dxa"/>
            <w:tcBorders>
              <w:top w:val="single" w:sz="12" w:space="0" w:color="auto"/>
              <w:bottom w:val="single" w:sz="4" w:space="0" w:color="auto"/>
            </w:tcBorders>
            <w:vAlign w:val="center"/>
          </w:tcPr>
          <w:p w:rsidR="00BC5BB2" w:rsidRPr="006F6856" w:rsidRDefault="00551717" w:rsidP="00344F07">
            <w:pPr>
              <w:pStyle w:val="ListParagraph"/>
              <w:ind w:left="0"/>
              <w:jc w:val="center"/>
              <w:rPr>
                <w:rFonts w:asciiTheme="majorHAnsi" w:hAnsiTheme="majorHAnsi"/>
                <w:sz w:val="20"/>
              </w:rPr>
            </w:pPr>
            <w:r>
              <w:rPr>
                <w:rFonts w:asciiTheme="majorHAnsi" w:hAnsiTheme="majorHAnsi"/>
                <w:sz w:val="20"/>
              </w:rPr>
              <w:t>65</w:t>
            </w:r>
          </w:p>
        </w:tc>
      </w:tr>
      <w:tr w:rsidR="00551717" w:rsidRPr="006F6856" w:rsidTr="00E24C20">
        <w:trPr>
          <w:trHeight w:hRule="exact" w:val="750"/>
        </w:trPr>
        <w:tc>
          <w:tcPr>
            <w:tcW w:w="3600" w:type="dxa"/>
            <w:tcBorders>
              <w:top w:val="single" w:sz="12" w:space="0" w:color="auto"/>
              <w:bottom w:val="single" w:sz="4" w:space="0" w:color="auto"/>
            </w:tcBorders>
            <w:vAlign w:val="center"/>
          </w:tcPr>
          <w:p w:rsidR="00551717" w:rsidRPr="006F6856" w:rsidRDefault="00551717" w:rsidP="00E938DA">
            <w:pPr>
              <w:pStyle w:val="ListParagraph"/>
              <w:ind w:left="0"/>
              <w:rPr>
                <w:rFonts w:asciiTheme="majorHAnsi" w:hAnsiTheme="majorHAnsi"/>
                <w:sz w:val="20"/>
              </w:rPr>
            </w:pPr>
            <w:r>
              <w:rPr>
                <w:rFonts w:asciiTheme="majorHAnsi" w:hAnsiTheme="majorHAnsi"/>
                <w:sz w:val="20"/>
              </w:rPr>
              <w:t>City and County Health Department</w:t>
            </w:r>
          </w:p>
        </w:tc>
        <w:tc>
          <w:tcPr>
            <w:tcW w:w="4860" w:type="dxa"/>
            <w:tcBorders>
              <w:top w:val="single" w:sz="12" w:space="0" w:color="auto"/>
              <w:bottom w:val="single" w:sz="4" w:space="0" w:color="auto"/>
            </w:tcBorders>
            <w:vAlign w:val="center"/>
          </w:tcPr>
          <w:p w:rsidR="00551717" w:rsidRPr="006F6856" w:rsidRDefault="00551717" w:rsidP="00F725B5">
            <w:pPr>
              <w:pStyle w:val="ListParagraph"/>
              <w:ind w:left="0"/>
              <w:rPr>
                <w:rFonts w:asciiTheme="majorHAnsi" w:hAnsiTheme="majorHAnsi"/>
                <w:sz w:val="20"/>
              </w:rPr>
            </w:pPr>
            <w:r>
              <w:rPr>
                <w:rFonts w:asciiTheme="majorHAnsi" w:hAnsiTheme="majorHAnsi"/>
                <w:sz w:val="20"/>
              </w:rPr>
              <w:t>STD Program Director</w:t>
            </w:r>
          </w:p>
        </w:tc>
        <w:tc>
          <w:tcPr>
            <w:tcW w:w="1080" w:type="dxa"/>
            <w:tcBorders>
              <w:top w:val="single" w:sz="12" w:space="0" w:color="auto"/>
              <w:bottom w:val="single" w:sz="4" w:space="0" w:color="auto"/>
            </w:tcBorders>
            <w:vAlign w:val="center"/>
          </w:tcPr>
          <w:p w:rsidR="00551717" w:rsidRPr="006F6856" w:rsidRDefault="00551717" w:rsidP="00344F07">
            <w:pPr>
              <w:pStyle w:val="ListParagraph"/>
              <w:ind w:left="0"/>
              <w:jc w:val="center"/>
              <w:rPr>
                <w:rFonts w:asciiTheme="majorHAnsi" w:hAnsiTheme="majorHAnsi"/>
                <w:sz w:val="20"/>
              </w:rPr>
            </w:pPr>
            <w:r>
              <w:rPr>
                <w:rFonts w:asciiTheme="majorHAnsi" w:hAnsiTheme="majorHAnsi"/>
                <w:sz w:val="20"/>
              </w:rPr>
              <w:t>301</w:t>
            </w:r>
          </w:p>
        </w:tc>
      </w:tr>
      <w:tr w:rsidR="00053A92" w:rsidRPr="006F6856" w:rsidTr="002C0877">
        <w:trPr>
          <w:trHeight w:hRule="exact" w:val="360"/>
        </w:trPr>
        <w:tc>
          <w:tcPr>
            <w:tcW w:w="8460" w:type="dxa"/>
            <w:gridSpan w:val="2"/>
            <w:tcBorders>
              <w:top w:val="single" w:sz="4" w:space="0" w:color="auto"/>
            </w:tcBorders>
            <w:vAlign w:val="center"/>
          </w:tcPr>
          <w:p w:rsidR="00053A92" w:rsidRPr="00A75D1C" w:rsidRDefault="00053A92" w:rsidP="00344F07">
            <w:pPr>
              <w:pStyle w:val="ListParagraph"/>
              <w:ind w:left="0"/>
              <w:jc w:val="right"/>
              <w:rPr>
                <w:rFonts w:asciiTheme="majorHAnsi" w:hAnsiTheme="majorHAnsi"/>
                <w:b/>
                <w:sz w:val="20"/>
              </w:rPr>
            </w:pPr>
            <w:r w:rsidRPr="00A75D1C">
              <w:rPr>
                <w:rFonts w:asciiTheme="majorHAnsi" w:hAnsiTheme="majorHAnsi"/>
                <w:b/>
                <w:sz w:val="20"/>
              </w:rPr>
              <w:t>Total Universe of Potential Respondents</w:t>
            </w:r>
          </w:p>
        </w:tc>
        <w:tc>
          <w:tcPr>
            <w:tcW w:w="1080" w:type="dxa"/>
            <w:tcBorders>
              <w:top w:val="single" w:sz="4" w:space="0" w:color="auto"/>
            </w:tcBorders>
            <w:vAlign w:val="center"/>
          </w:tcPr>
          <w:p w:rsidR="00053A92" w:rsidRPr="00A75D1C" w:rsidRDefault="00551717" w:rsidP="00344F07">
            <w:pPr>
              <w:pStyle w:val="ListParagraph"/>
              <w:ind w:left="0"/>
              <w:jc w:val="center"/>
              <w:rPr>
                <w:rFonts w:asciiTheme="majorHAnsi" w:hAnsiTheme="majorHAnsi"/>
                <w:b/>
                <w:sz w:val="20"/>
              </w:rPr>
            </w:pPr>
            <w:r>
              <w:rPr>
                <w:rFonts w:asciiTheme="majorHAnsi" w:hAnsiTheme="majorHAnsi"/>
                <w:b/>
                <w:sz w:val="20"/>
              </w:rPr>
              <w:t>366</w:t>
            </w:r>
          </w:p>
        </w:tc>
      </w:tr>
    </w:tbl>
    <w:p w:rsidR="00BC5BB2" w:rsidRDefault="00BC5BB2" w:rsidP="00F52BCC">
      <w:pPr>
        <w:pStyle w:val="ListParagraph"/>
        <w:spacing w:after="0"/>
        <w:rPr>
          <w:rFonts w:asciiTheme="majorHAnsi" w:hAnsiTheme="majorHAnsi"/>
        </w:rPr>
      </w:pPr>
    </w:p>
    <w:p w:rsidR="00F52BCC" w:rsidRDefault="00F52BCC" w:rsidP="00F52BCC">
      <w:pPr>
        <w:pStyle w:val="ListParagraph"/>
        <w:spacing w:after="0"/>
        <w:rPr>
          <w:rFonts w:asciiTheme="majorHAnsi" w:hAnsiTheme="majorHAnsi"/>
        </w:rPr>
      </w:pPr>
    </w:p>
    <w:p w:rsidR="00287E2F" w:rsidRPr="002E2D4F" w:rsidRDefault="00287E2F" w:rsidP="002E2D4F">
      <w:pPr>
        <w:pStyle w:val="ListParagraph"/>
        <w:numPr>
          <w:ilvl w:val="0"/>
          <w:numId w:val="21"/>
        </w:numPr>
        <w:spacing w:after="0"/>
        <w:ind w:left="360"/>
        <w:rPr>
          <w:rFonts w:asciiTheme="majorHAnsi" w:hAnsiTheme="majorHAnsi"/>
          <w:b/>
        </w:rPr>
      </w:pPr>
      <w:r w:rsidRPr="002E2D4F">
        <w:rPr>
          <w:rFonts w:asciiTheme="majorHAnsi" w:hAnsiTheme="majorHAnsi"/>
          <w:b/>
        </w:rPr>
        <w:t xml:space="preserve">Procedures for </w:t>
      </w:r>
      <w:r w:rsidR="002E2D4F" w:rsidRPr="002E2D4F">
        <w:rPr>
          <w:rFonts w:asciiTheme="majorHAnsi" w:hAnsiTheme="majorHAnsi"/>
          <w:b/>
        </w:rPr>
        <w:t xml:space="preserve">the </w:t>
      </w:r>
      <w:r w:rsidRPr="002E2D4F">
        <w:rPr>
          <w:rFonts w:asciiTheme="majorHAnsi" w:hAnsiTheme="majorHAnsi"/>
          <w:b/>
        </w:rPr>
        <w:t>Collecti</w:t>
      </w:r>
      <w:r w:rsidR="002E2D4F" w:rsidRPr="002E2D4F">
        <w:rPr>
          <w:rFonts w:asciiTheme="majorHAnsi" w:hAnsiTheme="majorHAnsi"/>
          <w:b/>
        </w:rPr>
        <w:t>on</w:t>
      </w:r>
      <w:r w:rsidRPr="002E2D4F">
        <w:rPr>
          <w:rFonts w:asciiTheme="majorHAnsi" w:hAnsiTheme="majorHAnsi"/>
          <w:b/>
        </w:rPr>
        <w:t xml:space="preserve"> of Information</w:t>
      </w:r>
      <w:r w:rsidR="00F725B5" w:rsidRPr="002E2D4F">
        <w:rPr>
          <w:rFonts w:asciiTheme="majorHAnsi" w:hAnsiTheme="majorHAnsi"/>
          <w:b/>
        </w:rPr>
        <w:t xml:space="preserve"> </w:t>
      </w:r>
    </w:p>
    <w:p w:rsidR="003217F8" w:rsidRDefault="006226AA" w:rsidP="002E2D4F">
      <w:pPr>
        <w:pStyle w:val="ListParagraph"/>
        <w:spacing w:after="0"/>
        <w:ind w:left="360"/>
        <w:rPr>
          <w:rFonts w:asciiTheme="majorHAnsi" w:hAnsiTheme="majorHAnsi"/>
        </w:rPr>
      </w:pPr>
      <w:r>
        <w:rPr>
          <w:rFonts w:asciiTheme="majorHAnsi" w:hAnsiTheme="majorHAnsi"/>
        </w:rPr>
        <w:t>This data collection will be administ</w:t>
      </w:r>
      <w:r w:rsidR="00326501">
        <w:rPr>
          <w:rFonts w:asciiTheme="majorHAnsi" w:hAnsiTheme="majorHAnsi"/>
        </w:rPr>
        <w:t>e</w:t>
      </w:r>
      <w:r>
        <w:rPr>
          <w:rFonts w:asciiTheme="majorHAnsi" w:hAnsiTheme="majorHAnsi"/>
        </w:rPr>
        <w:t>red via a one-time Web-based instrument using the Qualtrics Web platform.  Staff with the National Association of County and City Health Officials (NACCHO)</w:t>
      </w:r>
      <w:r w:rsidR="00912ED7">
        <w:rPr>
          <w:rFonts w:asciiTheme="majorHAnsi" w:hAnsiTheme="majorHAnsi"/>
        </w:rPr>
        <w:t xml:space="preserve"> will program the instrument into the Qualtrics interface and transmit the data to CDC</w:t>
      </w:r>
      <w:r>
        <w:rPr>
          <w:rFonts w:asciiTheme="majorHAnsi" w:hAnsiTheme="majorHAnsi"/>
        </w:rPr>
        <w:t xml:space="preserve">.  Unique </w:t>
      </w:r>
      <w:r w:rsidR="00A1543F">
        <w:rPr>
          <w:rFonts w:asciiTheme="majorHAnsi" w:hAnsiTheme="majorHAnsi"/>
        </w:rPr>
        <w:t>data collection</w:t>
      </w:r>
      <w:r>
        <w:rPr>
          <w:rFonts w:asciiTheme="majorHAnsi" w:hAnsiTheme="majorHAnsi"/>
        </w:rPr>
        <w:t xml:space="preserve"> links will be used for respondents to help ensure that there will be no respondents outside the intended universe, and these links will also enable NACCH</w:t>
      </w:r>
      <w:r w:rsidR="00912ED7">
        <w:rPr>
          <w:rFonts w:asciiTheme="majorHAnsi" w:hAnsiTheme="majorHAnsi"/>
        </w:rPr>
        <w:t>O staff to add public domain demographic information to respondents’ data after they complete their so that respondents are not asked to provide such information</w:t>
      </w:r>
      <w:r w:rsidR="00C05060">
        <w:rPr>
          <w:rFonts w:asciiTheme="majorHAnsi" w:hAnsiTheme="majorHAnsi"/>
        </w:rPr>
        <w:t xml:space="preserve"> (e.g., jurisdiction population and</w:t>
      </w:r>
      <w:r w:rsidR="00912ED7">
        <w:rPr>
          <w:rFonts w:asciiTheme="majorHAnsi" w:hAnsiTheme="majorHAnsi"/>
        </w:rPr>
        <w:t xml:space="preserve"> method of governance). </w:t>
      </w:r>
    </w:p>
    <w:p w:rsidR="003217F8" w:rsidRDefault="003217F8" w:rsidP="002E2D4F">
      <w:pPr>
        <w:pStyle w:val="ListParagraph"/>
        <w:spacing w:after="0"/>
        <w:ind w:left="360"/>
        <w:rPr>
          <w:rFonts w:asciiTheme="majorHAnsi" w:hAnsiTheme="majorHAnsi"/>
        </w:rPr>
      </w:pPr>
    </w:p>
    <w:p w:rsidR="002F2069" w:rsidRPr="00E938DA" w:rsidRDefault="003217F8" w:rsidP="002E2D4F">
      <w:pPr>
        <w:pStyle w:val="ListParagraph"/>
        <w:spacing w:after="0"/>
        <w:ind w:left="360"/>
        <w:rPr>
          <w:rFonts w:asciiTheme="majorHAnsi" w:hAnsiTheme="majorHAnsi"/>
        </w:rPr>
      </w:pPr>
      <w:r>
        <w:rPr>
          <w:rFonts w:asciiTheme="majorHAnsi" w:hAnsiTheme="majorHAnsi"/>
        </w:rPr>
        <w:t>Respondents will be sent an invitation e-mail to open the data collection effort (</w:t>
      </w:r>
      <w:r w:rsidRPr="00E938DA">
        <w:rPr>
          <w:rFonts w:asciiTheme="majorHAnsi" w:hAnsiTheme="majorHAnsi"/>
          <w:b/>
        </w:rPr>
        <w:t>Attachment C</w:t>
      </w:r>
      <w:r>
        <w:rPr>
          <w:rFonts w:asciiTheme="majorHAnsi" w:hAnsiTheme="majorHAnsi"/>
        </w:rPr>
        <w:t xml:space="preserve">).   This e-mail message contains a brief description of the data collection and the reason for requesting the information, as well as a unique link to the </w:t>
      </w:r>
      <w:r w:rsidR="00A1543F">
        <w:rPr>
          <w:rFonts w:asciiTheme="majorHAnsi" w:hAnsiTheme="majorHAnsi"/>
        </w:rPr>
        <w:t>data collection</w:t>
      </w:r>
      <w:r>
        <w:rPr>
          <w:rFonts w:asciiTheme="majorHAnsi" w:hAnsiTheme="majorHAnsi"/>
        </w:rPr>
        <w:t>.</w:t>
      </w:r>
    </w:p>
    <w:p w:rsidR="002F2069" w:rsidRDefault="00A305CE" w:rsidP="002E2D4F">
      <w:pPr>
        <w:spacing w:after="0"/>
        <w:ind w:left="360"/>
        <w:rPr>
          <w:rFonts w:asciiTheme="majorHAnsi" w:hAnsiTheme="majorHAnsi"/>
        </w:rPr>
      </w:pPr>
      <w:r>
        <w:rPr>
          <w:rFonts w:asciiTheme="majorHAnsi" w:hAnsiTheme="majorHAnsi"/>
        </w:rPr>
        <w:t xml:space="preserve"> </w:t>
      </w:r>
    </w:p>
    <w:p w:rsidR="002F2069" w:rsidRDefault="002F2069" w:rsidP="002E2D4F">
      <w:pPr>
        <w:pStyle w:val="ListParagraph"/>
        <w:spacing w:after="0"/>
        <w:ind w:left="360"/>
        <w:rPr>
          <w:rFonts w:asciiTheme="majorHAnsi" w:hAnsiTheme="majorHAnsi"/>
        </w:rPr>
      </w:pPr>
    </w:p>
    <w:p w:rsidR="00287E2F" w:rsidRPr="00D26A64" w:rsidRDefault="00287E2F" w:rsidP="002E2D4F">
      <w:pPr>
        <w:pStyle w:val="ListParagraph"/>
        <w:numPr>
          <w:ilvl w:val="0"/>
          <w:numId w:val="21"/>
        </w:numPr>
        <w:spacing w:after="0"/>
        <w:ind w:left="360"/>
        <w:rPr>
          <w:rFonts w:asciiTheme="majorHAnsi" w:hAnsiTheme="majorHAnsi"/>
          <w:b/>
        </w:rPr>
      </w:pPr>
      <w:r w:rsidRPr="00D26A64">
        <w:rPr>
          <w:rFonts w:asciiTheme="majorHAnsi" w:hAnsiTheme="majorHAnsi"/>
          <w:b/>
        </w:rPr>
        <w:t>Methods to Maximize Response Rates</w:t>
      </w:r>
      <w:r w:rsidR="00F725B5">
        <w:rPr>
          <w:rFonts w:asciiTheme="majorHAnsi" w:hAnsiTheme="majorHAnsi"/>
          <w:b/>
        </w:rPr>
        <w:t xml:space="preserve"> </w:t>
      </w:r>
      <w:r w:rsidRPr="00D26A64">
        <w:rPr>
          <w:rFonts w:asciiTheme="majorHAnsi" w:hAnsiTheme="majorHAnsi"/>
          <w:b/>
        </w:rPr>
        <w:t xml:space="preserve"> </w:t>
      </w:r>
    </w:p>
    <w:p w:rsidR="00F52BCC" w:rsidRDefault="00F86D54" w:rsidP="002E2D4F">
      <w:pPr>
        <w:pStyle w:val="ListParagraph"/>
        <w:spacing w:after="0"/>
        <w:ind w:left="360"/>
        <w:rPr>
          <w:rFonts w:asciiTheme="majorHAnsi" w:hAnsiTheme="majorHAnsi"/>
        </w:rPr>
      </w:pPr>
      <w:r>
        <w:rPr>
          <w:rFonts w:asciiTheme="majorHAnsi" w:hAnsiTheme="majorHAnsi"/>
        </w:rPr>
        <w:t>The data collection will be open for 17 business days.  The initial e-mail invitation (</w:t>
      </w:r>
      <w:r w:rsidRPr="00E938DA">
        <w:rPr>
          <w:rFonts w:asciiTheme="majorHAnsi" w:hAnsiTheme="majorHAnsi"/>
          <w:b/>
        </w:rPr>
        <w:t>Attachment C</w:t>
      </w:r>
      <w:r>
        <w:rPr>
          <w:rFonts w:asciiTheme="majorHAnsi" w:hAnsiTheme="majorHAnsi"/>
        </w:rPr>
        <w:t xml:space="preserve">) will request a response within 7 business days and explain the purpose for </w:t>
      </w:r>
      <w:r w:rsidR="00FC52B1">
        <w:rPr>
          <w:rFonts w:asciiTheme="majorHAnsi" w:hAnsiTheme="majorHAnsi"/>
        </w:rPr>
        <w:t>the data collection.  A reminder after 7 business days (</w:t>
      </w:r>
      <w:r w:rsidR="00FC52B1" w:rsidRPr="00E938DA">
        <w:rPr>
          <w:rFonts w:asciiTheme="majorHAnsi" w:hAnsiTheme="majorHAnsi"/>
          <w:b/>
        </w:rPr>
        <w:t>Attachment D</w:t>
      </w:r>
      <w:r w:rsidR="00FC52B1">
        <w:rPr>
          <w:rFonts w:asciiTheme="majorHAnsi" w:hAnsiTheme="majorHAnsi"/>
        </w:rPr>
        <w:t xml:space="preserve">) will request response within 5 business days, and a final </w:t>
      </w:r>
      <w:r w:rsidR="006C7A31">
        <w:rPr>
          <w:rFonts w:asciiTheme="majorHAnsi" w:hAnsiTheme="majorHAnsi"/>
        </w:rPr>
        <w:t>reminder (</w:t>
      </w:r>
      <w:r w:rsidR="00FC52B1" w:rsidRPr="00E938DA">
        <w:rPr>
          <w:rFonts w:asciiTheme="majorHAnsi" w:hAnsiTheme="majorHAnsi"/>
          <w:b/>
        </w:rPr>
        <w:t>Attachment E</w:t>
      </w:r>
      <w:r w:rsidR="00FC52B1">
        <w:rPr>
          <w:rFonts w:asciiTheme="majorHAnsi" w:hAnsiTheme="majorHAnsi"/>
        </w:rPr>
        <w:t xml:space="preserve">) will be sent at that time </w:t>
      </w:r>
      <w:r w:rsidR="00E938DA">
        <w:rPr>
          <w:rFonts w:asciiTheme="majorHAnsi" w:hAnsiTheme="majorHAnsi"/>
        </w:rPr>
        <w:t>requesting a response.  T</w:t>
      </w:r>
      <w:r w:rsidR="00FC52B1">
        <w:rPr>
          <w:rFonts w:asciiTheme="majorHAnsi" w:hAnsiTheme="majorHAnsi"/>
        </w:rPr>
        <w:t xml:space="preserve">he final reminder will inform potential respondents that the data collection will be open for another 5 business days. Respondents are accustomed to receiving </w:t>
      </w:r>
      <w:r w:rsidR="00A1543F">
        <w:rPr>
          <w:rFonts w:asciiTheme="majorHAnsi" w:hAnsiTheme="majorHAnsi"/>
        </w:rPr>
        <w:t>data collection</w:t>
      </w:r>
      <w:r w:rsidR="00FC52B1">
        <w:rPr>
          <w:rFonts w:asciiTheme="majorHAnsi" w:hAnsiTheme="majorHAnsi"/>
        </w:rPr>
        <w:t>s associated with the two partnering organizations (N</w:t>
      </w:r>
      <w:r w:rsidR="00C319D7">
        <w:rPr>
          <w:rFonts w:asciiTheme="majorHAnsi" w:hAnsiTheme="majorHAnsi"/>
        </w:rPr>
        <w:t xml:space="preserve">CSD and NACCHO) and both organizations typically have high response rates. </w:t>
      </w:r>
    </w:p>
    <w:p w:rsidR="00F86D54" w:rsidRDefault="00F86D54" w:rsidP="002E2D4F">
      <w:pPr>
        <w:pStyle w:val="ListParagraph"/>
        <w:spacing w:after="0"/>
        <w:ind w:left="360"/>
        <w:rPr>
          <w:rFonts w:asciiTheme="majorHAnsi" w:hAnsiTheme="majorHAnsi"/>
        </w:rPr>
      </w:pPr>
    </w:p>
    <w:p w:rsidR="00287E2F" w:rsidRPr="005F3FEF" w:rsidRDefault="00287E2F" w:rsidP="002E2D4F">
      <w:pPr>
        <w:pStyle w:val="ListParagraph"/>
        <w:numPr>
          <w:ilvl w:val="0"/>
          <w:numId w:val="21"/>
        </w:numPr>
        <w:spacing w:after="0"/>
        <w:ind w:left="360"/>
        <w:rPr>
          <w:rFonts w:asciiTheme="majorHAnsi" w:hAnsiTheme="majorHAnsi"/>
          <w:b/>
        </w:rPr>
      </w:pPr>
      <w:r w:rsidRPr="005F3FEF">
        <w:rPr>
          <w:rFonts w:asciiTheme="majorHAnsi" w:hAnsiTheme="majorHAnsi"/>
          <w:b/>
        </w:rPr>
        <w:t xml:space="preserve">Test of Procedures </w:t>
      </w:r>
      <w:r w:rsidR="002E2D4F">
        <w:rPr>
          <w:rFonts w:asciiTheme="majorHAnsi" w:hAnsiTheme="majorHAnsi"/>
          <w:b/>
        </w:rPr>
        <w:t>or Methods to be Undertaken</w:t>
      </w:r>
    </w:p>
    <w:p w:rsidR="00F52BCC" w:rsidRDefault="00C319D7" w:rsidP="002E2D4F">
      <w:pPr>
        <w:pStyle w:val="ListParagraph"/>
        <w:spacing w:after="0"/>
        <w:ind w:left="360"/>
        <w:rPr>
          <w:rFonts w:asciiTheme="majorHAnsi" w:hAnsiTheme="majorHAnsi"/>
        </w:rPr>
      </w:pPr>
      <w:r>
        <w:rPr>
          <w:rFonts w:asciiTheme="majorHAnsi" w:hAnsiTheme="majorHAnsi"/>
        </w:rPr>
        <w:t xml:space="preserve">Questions were drafted by a working group at CDC in a series of meetings (the time spent in drafting the instrument was included in the burden estimate in Statement A). </w:t>
      </w:r>
      <w:r w:rsidR="00C65290">
        <w:rPr>
          <w:rFonts w:asciiTheme="majorHAnsi" w:hAnsiTheme="majorHAnsi"/>
        </w:rPr>
        <w:t xml:space="preserve"> The instrument was also reviewed by a senior </w:t>
      </w:r>
      <w:r w:rsidR="00A1543F">
        <w:rPr>
          <w:rFonts w:asciiTheme="majorHAnsi" w:hAnsiTheme="majorHAnsi"/>
        </w:rPr>
        <w:t>assessment</w:t>
      </w:r>
      <w:r w:rsidR="00C65290">
        <w:rPr>
          <w:rFonts w:asciiTheme="majorHAnsi" w:hAnsiTheme="majorHAnsi"/>
        </w:rPr>
        <w:t xml:space="preserve"> subject matter expert at CDC.</w:t>
      </w:r>
      <w:r>
        <w:rPr>
          <w:rFonts w:asciiTheme="majorHAnsi" w:hAnsiTheme="majorHAnsi"/>
        </w:rPr>
        <w:t xml:space="preserve"> The questions were put into a Web-based format by staff </w:t>
      </w:r>
      <w:r w:rsidR="00C65290">
        <w:rPr>
          <w:rFonts w:asciiTheme="majorHAnsi" w:hAnsiTheme="majorHAnsi"/>
        </w:rPr>
        <w:t xml:space="preserve">at NACCHO.  </w:t>
      </w:r>
      <w:r w:rsidR="00646A32">
        <w:rPr>
          <w:rFonts w:asciiTheme="majorHAnsi" w:hAnsiTheme="majorHAnsi"/>
        </w:rPr>
        <w:t xml:space="preserve">The </w:t>
      </w:r>
      <w:r w:rsidR="006D7F13">
        <w:rPr>
          <w:rFonts w:asciiTheme="majorHAnsi" w:hAnsiTheme="majorHAnsi"/>
        </w:rPr>
        <w:t>5</w:t>
      </w:r>
      <w:r w:rsidR="00646A32">
        <w:rPr>
          <w:rFonts w:asciiTheme="majorHAnsi" w:hAnsiTheme="majorHAnsi"/>
        </w:rPr>
        <w:t xml:space="preserve"> p</w:t>
      </w:r>
      <w:r w:rsidR="00C65290">
        <w:rPr>
          <w:rFonts w:asciiTheme="majorHAnsi" w:hAnsiTheme="majorHAnsi"/>
        </w:rPr>
        <w:t>ilot testers were taken from NACCHO</w:t>
      </w:r>
      <w:r w:rsidR="00646A32">
        <w:rPr>
          <w:rFonts w:asciiTheme="majorHAnsi" w:hAnsiTheme="majorHAnsi"/>
        </w:rPr>
        <w:t xml:space="preserve"> (2)</w:t>
      </w:r>
      <w:r w:rsidR="00C65290">
        <w:rPr>
          <w:rFonts w:asciiTheme="majorHAnsi" w:hAnsiTheme="majorHAnsi"/>
        </w:rPr>
        <w:t xml:space="preserve"> and NCSD</w:t>
      </w:r>
      <w:r w:rsidR="00646A32">
        <w:rPr>
          <w:rFonts w:asciiTheme="majorHAnsi" w:hAnsiTheme="majorHAnsi"/>
        </w:rPr>
        <w:t xml:space="preserve"> (2)</w:t>
      </w:r>
      <w:r w:rsidR="00C65290">
        <w:rPr>
          <w:rFonts w:asciiTheme="majorHAnsi" w:hAnsiTheme="majorHAnsi"/>
        </w:rPr>
        <w:t xml:space="preserve"> members</w:t>
      </w:r>
      <w:r w:rsidR="00646A32">
        <w:rPr>
          <w:rFonts w:asciiTheme="majorHAnsi" w:hAnsiTheme="majorHAnsi"/>
        </w:rPr>
        <w:t>,</w:t>
      </w:r>
      <w:r w:rsidR="00C65290">
        <w:rPr>
          <w:rFonts w:asciiTheme="majorHAnsi" w:hAnsiTheme="majorHAnsi"/>
        </w:rPr>
        <w:t xml:space="preserve"> a</w:t>
      </w:r>
      <w:r w:rsidR="00646A32">
        <w:rPr>
          <w:rFonts w:asciiTheme="majorHAnsi" w:hAnsiTheme="majorHAnsi"/>
        </w:rPr>
        <w:t xml:space="preserve">s well as CDC STD project officers (2).  Pilot testers completed the </w:t>
      </w:r>
      <w:r w:rsidR="00A1543F">
        <w:rPr>
          <w:rFonts w:asciiTheme="majorHAnsi" w:hAnsiTheme="majorHAnsi"/>
        </w:rPr>
        <w:t>data collection</w:t>
      </w:r>
      <w:r w:rsidR="00646A32">
        <w:rPr>
          <w:rFonts w:asciiTheme="majorHAnsi" w:hAnsiTheme="majorHAnsi"/>
        </w:rPr>
        <w:t xml:space="preserve"> and provided feedback on specific questions that were ambiguous and needed minor rewording to be clear.  </w:t>
      </w:r>
      <w:r w:rsidR="00CD1D03">
        <w:rPr>
          <w:rFonts w:asciiTheme="majorHAnsi" w:hAnsiTheme="majorHAnsi"/>
        </w:rPr>
        <w:t xml:space="preserve">For 5 questions, they suggested additional options that were needed in order to capture the universe of possible responses (questions 3, 4, 10, 24, and 35).   These changes were made for the final version.  The pilot testers also recorded the time it took them to complete the </w:t>
      </w:r>
      <w:r w:rsidR="00A1543F">
        <w:rPr>
          <w:rFonts w:asciiTheme="majorHAnsi" w:hAnsiTheme="majorHAnsi"/>
        </w:rPr>
        <w:t>data collection</w:t>
      </w:r>
      <w:r w:rsidR="00CD1D03">
        <w:rPr>
          <w:rFonts w:asciiTheme="majorHAnsi" w:hAnsiTheme="majorHAnsi"/>
        </w:rPr>
        <w:t xml:space="preserve"> and their reports were used to calculate the burden estimate (</w:t>
      </w:r>
      <w:r w:rsidR="006D7F13">
        <w:rPr>
          <w:rFonts w:asciiTheme="majorHAnsi" w:hAnsiTheme="majorHAnsi"/>
        </w:rPr>
        <w:t>1</w:t>
      </w:r>
      <w:r w:rsidR="00CD1D03">
        <w:rPr>
          <w:rFonts w:asciiTheme="majorHAnsi" w:hAnsiTheme="majorHAnsi"/>
        </w:rPr>
        <w:t>4 minutes on average, with a</w:t>
      </w:r>
      <w:r w:rsidR="0097213D">
        <w:rPr>
          <w:rFonts w:asciiTheme="majorHAnsi" w:hAnsiTheme="majorHAnsi"/>
        </w:rPr>
        <w:t xml:space="preserve"> range of 10-</w:t>
      </w:r>
      <w:r w:rsidR="006D7F13">
        <w:rPr>
          <w:rFonts w:asciiTheme="majorHAnsi" w:hAnsiTheme="majorHAnsi"/>
        </w:rPr>
        <w:t>20</w:t>
      </w:r>
      <w:r w:rsidR="0097213D">
        <w:rPr>
          <w:rFonts w:asciiTheme="majorHAnsi" w:hAnsiTheme="majorHAnsi"/>
        </w:rPr>
        <w:t xml:space="preserve"> minutes; the highest time was used for the burden estimate in Statement A).</w:t>
      </w:r>
    </w:p>
    <w:p w:rsidR="00F52BCC" w:rsidRDefault="00F52BCC" w:rsidP="002E2D4F">
      <w:pPr>
        <w:pStyle w:val="ListParagraph"/>
        <w:spacing w:after="0"/>
        <w:ind w:left="360"/>
        <w:rPr>
          <w:rFonts w:asciiTheme="majorHAnsi" w:hAnsiTheme="majorHAnsi"/>
        </w:rPr>
      </w:pPr>
    </w:p>
    <w:p w:rsidR="002E2D4F" w:rsidRPr="002E2D4F" w:rsidRDefault="002E2D4F" w:rsidP="002E2D4F">
      <w:pPr>
        <w:pStyle w:val="ListParagraph"/>
        <w:numPr>
          <w:ilvl w:val="0"/>
          <w:numId w:val="21"/>
        </w:numPr>
        <w:ind w:left="360"/>
        <w:rPr>
          <w:rFonts w:asciiTheme="majorHAnsi" w:hAnsiTheme="majorHAnsi"/>
          <w:b/>
        </w:rPr>
      </w:pPr>
      <w:r w:rsidRPr="002E2D4F">
        <w:rPr>
          <w:rFonts w:asciiTheme="majorHAnsi" w:hAnsiTheme="majorHAnsi"/>
          <w:b/>
        </w:rPr>
        <w:t xml:space="preserve">Individuals Consulted on Statistical Aspects and Individuals Collecting and/or Analyzing Data </w:t>
      </w:r>
    </w:p>
    <w:p w:rsidR="005F3FEF" w:rsidRDefault="0097213D" w:rsidP="002E2D4F">
      <w:pPr>
        <w:tabs>
          <w:tab w:val="left" w:pos="5040"/>
        </w:tabs>
        <w:spacing w:after="0"/>
        <w:ind w:left="360"/>
        <w:rPr>
          <w:rFonts w:asciiTheme="majorHAnsi" w:hAnsiTheme="majorHAnsi"/>
        </w:rPr>
      </w:pPr>
      <w:r>
        <w:rPr>
          <w:rFonts w:asciiTheme="majorHAnsi" w:hAnsiTheme="majorHAnsi"/>
        </w:rPr>
        <w:t>The data collection instrument was designed by CDC staff together with input from staff at NACCHO and NCSD.  The data will be analyzed at CDC.  The primary contact at NACCHO is listed below along with the lead investigator at CDC.</w:t>
      </w:r>
    </w:p>
    <w:p w:rsidR="0097213D" w:rsidRDefault="0097213D" w:rsidP="002E2D4F">
      <w:pPr>
        <w:tabs>
          <w:tab w:val="left" w:pos="5040"/>
        </w:tabs>
        <w:spacing w:after="0"/>
        <w:ind w:left="360"/>
        <w:rPr>
          <w:rFonts w:asciiTheme="majorHAnsi" w:hAnsiTheme="majorHAnsi"/>
        </w:rPr>
      </w:pPr>
    </w:p>
    <w:p w:rsidR="0097213D" w:rsidRDefault="0097213D" w:rsidP="002E2D4F">
      <w:pPr>
        <w:tabs>
          <w:tab w:val="left" w:pos="5040"/>
        </w:tabs>
        <w:spacing w:after="0"/>
        <w:ind w:left="360"/>
        <w:rPr>
          <w:rFonts w:asciiTheme="majorHAnsi" w:hAnsiTheme="majorHAnsi"/>
        </w:rPr>
      </w:pPr>
      <w:r>
        <w:rPr>
          <w:rFonts w:asciiTheme="majorHAnsi" w:hAnsiTheme="majorHAnsi"/>
        </w:rPr>
        <w:t>Kate Heyer, MPH</w:t>
      </w:r>
    </w:p>
    <w:p w:rsidR="0097213D" w:rsidRPr="0097213D" w:rsidRDefault="0097213D" w:rsidP="002E2D4F">
      <w:pPr>
        <w:tabs>
          <w:tab w:val="left" w:pos="5040"/>
        </w:tabs>
        <w:spacing w:after="0"/>
        <w:ind w:left="360"/>
        <w:rPr>
          <w:rFonts w:asciiTheme="majorHAnsi" w:hAnsiTheme="majorHAnsi"/>
        </w:rPr>
      </w:pPr>
      <w:r w:rsidRPr="0097213D">
        <w:rPr>
          <w:rFonts w:asciiTheme="majorHAnsi" w:hAnsiTheme="majorHAnsi"/>
        </w:rPr>
        <w:t>Senior Program Analyst</w:t>
      </w:r>
    </w:p>
    <w:p w:rsidR="0097213D" w:rsidRPr="0097213D" w:rsidRDefault="0097213D" w:rsidP="002E2D4F">
      <w:pPr>
        <w:tabs>
          <w:tab w:val="left" w:pos="5040"/>
        </w:tabs>
        <w:spacing w:after="0"/>
        <w:ind w:left="360"/>
        <w:rPr>
          <w:rFonts w:asciiTheme="majorHAnsi" w:hAnsiTheme="majorHAnsi"/>
        </w:rPr>
      </w:pPr>
      <w:r w:rsidRPr="0097213D">
        <w:rPr>
          <w:rFonts w:asciiTheme="majorHAnsi" w:hAnsiTheme="majorHAnsi"/>
        </w:rPr>
        <w:t>National Association of County and City Health Officials (NACCHO)</w:t>
      </w:r>
    </w:p>
    <w:p w:rsidR="0097213D" w:rsidRPr="0097213D" w:rsidRDefault="0097213D" w:rsidP="002E2D4F">
      <w:pPr>
        <w:tabs>
          <w:tab w:val="left" w:pos="5040"/>
        </w:tabs>
        <w:spacing w:after="0"/>
        <w:ind w:left="360"/>
        <w:rPr>
          <w:rFonts w:asciiTheme="majorHAnsi" w:hAnsiTheme="majorHAnsi"/>
        </w:rPr>
      </w:pPr>
      <w:r w:rsidRPr="0097213D">
        <w:rPr>
          <w:rFonts w:asciiTheme="majorHAnsi" w:hAnsiTheme="majorHAnsi"/>
        </w:rPr>
        <w:t>1100 17th Street, NW 7th Floor</w:t>
      </w:r>
    </w:p>
    <w:p w:rsidR="0097213D" w:rsidRPr="0097213D" w:rsidRDefault="0097213D" w:rsidP="002E2D4F">
      <w:pPr>
        <w:tabs>
          <w:tab w:val="left" w:pos="5040"/>
        </w:tabs>
        <w:spacing w:after="0"/>
        <w:ind w:left="360"/>
        <w:rPr>
          <w:rFonts w:asciiTheme="majorHAnsi" w:hAnsiTheme="majorHAnsi"/>
        </w:rPr>
      </w:pPr>
      <w:r w:rsidRPr="0097213D">
        <w:rPr>
          <w:rFonts w:asciiTheme="majorHAnsi" w:hAnsiTheme="majorHAnsi"/>
        </w:rPr>
        <w:t>Washington, DC 20036</w:t>
      </w:r>
    </w:p>
    <w:p w:rsidR="0097213D" w:rsidRPr="0097213D" w:rsidRDefault="0097213D" w:rsidP="006C7A31">
      <w:pPr>
        <w:tabs>
          <w:tab w:val="left" w:pos="5040"/>
        </w:tabs>
        <w:spacing w:after="0"/>
        <w:ind w:left="360"/>
        <w:rPr>
          <w:rFonts w:asciiTheme="majorHAnsi" w:hAnsiTheme="majorHAnsi"/>
        </w:rPr>
      </w:pPr>
      <w:r w:rsidRPr="0097213D">
        <w:rPr>
          <w:rFonts w:asciiTheme="majorHAnsi" w:hAnsiTheme="majorHAnsi"/>
        </w:rPr>
        <w:t>202-507-4251</w:t>
      </w:r>
    </w:p>
    <w:p w:rsidR="0097213D" w:rsidRDefault="0097213D" w:rsidP="006C7A31">
      <w:pPr>
        <w:tabs>
          <w:tab w:val="left" w:pos="5040"/>
        </w:tabs>
        <w:spacing w:after="0"/>
        <w:ind w:left="360"/>
        <w:rPr>
          <w:rFonts w:asciiTheme="majorHAnsi" w:hAnsiTheme="majorHAnsi"/>
        </w:rPr>
      </w:pPr>
      <w:r w:rsidRPr="0097213D">
        <w:rPr>
          <w:rFonts w:asciiTheme="majorHAnsi" w:hAnsiTheme="majorHAnsi"/>
        </w:rPr>
        <w:t>kheyer@naccho.org</w:t>
      </w:r>
    </w:p>
    <w:p w:rsidR="0097213D" w:rsidRDefault="006C7A31" w:rsidP="006C7A31">
      <w:pPr>
        <w:tabs>
          <w:tab w:val="left" w:pos="3488"/>
        </w:tabs>
        <w:spacing w:after="0"/>
        <w:ind w:left="360"/>
        <w:rPr>
          <w:rFonts w:asciiTheme="majorHAnsi" w:hAnsiTheme="majorHAnsi"/>
        </w:rPr>
      </w:pPr>
      <w:r>
        <w:rPr>
          <w:rFonts w:asciiTheme="majorHAnsi" w:hAnsiTheme="majorHAnsi"/>
        </w:rPr>
        <w:lastRenderedPageBreak/>
        <w:tab/>
      </w:r>
    </w:p>
    <w:p w:rsidR="0097213D" w:rsidRPr="0097213D" w:rsidRDefault="0097213D" w:rsidP="006C7A31">
      <w:pPr>
        <w:tabs>
          <w:tab w:val="left" w:pos="5040"/>
        </w:tabs>
        <w:spacing w:after="0"/>
        <w:ind w:left="360"/>
        <w:rPr>
          <w:rFonts w:asciiTheme="majorHAnsi" w:hAnsiTheme="majorHAnsi"/>
        </w:rPr>
      </w:pPr>
      <w:r w:rsidRPr="0097213D">
        <w:rPr>
          <w:rFonts w:asciiTheme="majorHAnsi" w:hAnsiTheme="majorHAnsi"/>
        </w:rPr>
        <w:t>Thomas L. Gift</w:t>
      </w:r>
      <w:r>
        <w:rPr>
          <w:rFonts w:asciiTheme="majorHAnsi" w:hAnsiTheme="majorHAnsi"/>
        </w:rPr>
        <w:t>, PhD</w:t>
      </w:r>
    </w:p>
    <w:p w:rsidR="0097213D" w:rsidRDefault="0097213D" w:rsidP="006C7A31">
      <w:pPr>
        <w:tabs>
          <w:tab w:val="left" w:pos="5040"/>
        </w:tabs>
        <w:spacing w:after="0"/>
        <w:ind w:left="360"/>
        <w:rPr>
          <w:rFonts w:asciiTheme="majorHAnsi" w:hAnsiTheme="majorHAnsi"/>
        </w:rPr>
      </w:pPr>
      <w:r>
        <w:rPr>
          <w:rFonts w:asciiTheme="majorHAnsi" w:hAnsiTheme="majorHAnsi"/>
        </w:rPr>
        <w:t>Economist and Acting Branch Chief</w:t>
      </w:r>
    </w:p>
    <w:p w:rsidR="0097213D" w:rsidRDefault="0097213D" w:rsidP="006C7A31">
      <w:pPr>
        <w:tabs>
          <w:tab w:val="left" w:pos="5040"/>
        </w:tabs>
        <w:spacing w:after="0"/>
        <w:ind w:left="360"/>
        <w:rPr>
          <w:rFonts w:asciiTheme="majorHAnsi" w:hAnsiTheme="majorHAnsi"/>
        </w:rPr>
      </w:pPr>
      <w:r w:rsidRPr="0097213D">
        <w:rPr>
          <w:rFonts w:asciiTheme="majorHAnsi" w:hAnsiTheme="majorHAnsi"/>
        </w:rPr>
        <w:t>Division of STD Prevention</w:t>
      </w:r>
    </w:p>
    <w:p w:rsidR="0097213D" w:rsidRPr="0097213D" w:rsidRDefault="0097213D" w:rsidP="006C7A31">
      <w:pPr>
        <w:tabs>
          <w:tab w:val="left" w:pos="5040"/>
        </w:tabs>
        <w:spacing w:after="0"/>
        <w:ind w:left="360"/>
        <w:rPr>
          <w:rFonts w:asciiTheme="majorHAnsi" w:hAnsiTheme="majorHAnsi"/>
        </w:rPr>
      </w:pPr>
      <w:r w:rsidRPr="0097213D">
        <w:rPr>
          <w:rFonts w:asciiTheme="majorHAnsi" w:hAnsiTheme="majorHAnsi"/>
        </w:rPr>
        <w:t>Centers for Disease Control</w:t>
      </w:r>
      <w:r>
        <w:rPr>
          <w:rFonts w:asciiTheme="majorHAnsi" w:hAnsiTheme="majorHAnsi"/>
        </w:rPr>
        <w:t xml:space="preserve"> </w:t>
      </w:r>
      <w:r w:rsidRPr="0097213D">
        <w:rPr>
          <w:rFonts w:asciiTheme="majorHAnsi" w:hAnsiTheme="majorHAnsi"/>
        </w:rPr>
        <w:t>and Prevention</w:t>
      </w:r>
    </w:p>
    <w:p w:rsidR="0097213D" w:rsidRPr="0097213D" w:rsidRDefault="0097213D" w:rsidP="006C7A31">
      <w:pPr>
        <w:tabs>
          <w:tab w:val="left" w:pos="5040"/>
        </w:tabs>
        <w:spacing w:after="0"/>
        <w:ind w:left="360"/>
        <w:rPr>
          <w:rFonts w:asciiTheme="majorHAnsi" w:hAnsiTheme="majorHAnsi"/>
        </w:rPr>
      </w:pPr>
      <w:r w:rsidRPr="0097213D">
        <w:rPr>
          <w:rFonts w:asciiTheme="majorHAnsi" w:hAnsiTheme="majorHAnsi"/>
        </w:rPr>
        <w:t>1600 Clifton Rd. NE, MS E-80</w:t>
      </w:r>
    </w:p>
    <w:p w:rsidR="0097213D" w:rsidRPr="0097213D" w:rsidRDefault="0097213D" w:rsidP="006C7A31">
      <w:pPr>
        <w:tabs>
          <w:tab w:val="left" w:pos="5040"/>
        </w:tabs>
        <w:spacing w:after="0"/>
        <w:ind w:left="360"/>
        <w:rPr>
          <w:rFonts w:asciiTheme="majorHAnsi" w:hAnsiTheme="majorHAnsi"/>
        </w:rPr>
      </w:pPr>
      <w:r w:rsidRPr="0097213D">
        <w:rPr>
          <w:rFonts w:asciiTheme="majorHAnsi" w:hAnsiTheme="majorHAnsi"/>
        </w:rPr>
        <w:t>Atlanta, GA 30333</w:t>
      </w:r>
    </w:p>
    <w:p w:rsidR="0097213D" w:rsidRPr="0097213D" w:rsidRDefault="0097213D" w:rsidP="006C7A31">
      <w:pPr>
        <w:tabs>
          <w:tab w:val="left" w:pos="5040"/>
        </w:tabs>
        <w:spacing w:after="0"/>
        <w:ind w:left="360"/>
        <w:rPr>
          <w:rFonts w:asciiTheme="majorHAnsi" w:hAnsiTheme="majorHAnsi"/>
        </w:rPr>
      </w:pPr>
      <w:r w:rsidRPr="0097213D">
        <w:rPr>
          <w:rFonts w:asciiTheme="majorHAnsi" w:hAnsiTheme="majorHAnsi"/>
        </w:rPr>
        <w:t>(404) 639-1831</w:t>
      </w:r>
    </w:p>
    <w:p w:rsidR="0097213D" w:rsidRDefault="0097213D" w:rsidP="006C7A31">
      <w:pPr>
        <w:tabs>
          <w:tab w:val="left" w:pos="5040"/>
        </w:tabs>
        <w:spacing w:after="0"/>
        <w:ind w:left="360"/>
        <w:rPr>
          <w:rFonts w:asciiTheme="majorHAnsi" w:hAnsiTheme="majorHAnsi"/>
        </w:rPr>
      </w:pPr>
      <w:r w:rsidRPr="0097213D">
        <w:rPr>
          <w:rFonts w:asciiTheme="majorHAnsi" w:hAnsiTheme="majorHAnsi"/>
        </w:rPr>
        <w:t>tgift@cdc.gov</w:t>
      </w:r>
    </w:p>
    <w:p w:rsidR="003F5913" w:rsidRDefault="003F5913" w:rsidP="006C7A31">
      <w:pPr>
        <w:rPr>
          <w:rFonts w:asciiTheme="majorHAnsi" w:hAnsiTheme="majorHAnsi"/>
          <w:b/>
          <w:sz w:val="28"/>
        </w:rPr>
      </w:pPr>
      <w:bookmarkStart w:id="0" w:name="_GoBack"/>
      <w:bookmarkEnd w:id="0"/>
    </w:p>
    <w:p w:rsidR="00E24C20" w:rsidRDefault="00E24C20">
      <w:pPr>
        <w:rPr>
          <w:rFonts w:asciiTheme="majorHAnsi" w:hAnsiTheme="majorHAnsi"/>
          <w:b/>
          <w:sz w:val="28"/>
        </w:rPr>
      </w:pPr>
    </w:p>
    <w:p w:rsidR="00A36419" w:rsidRDefault="00A36419" w:rsidP="00A36419">
      <w:pPr>
        <w:spacing w:after="0"/>
        <w:rPr>
          <w:rFonts w:asciiTheme="majorHAnsi" w:hAnsiTheme="majorHAnsi"/>
          <w:b/>
          <w:sz w:val="28"/>
        </w:rPr>
      </w:pPr>
      <w:r>
        <w:rPr>
          <w:rFonts w:asciiTheme="majorHAnsi" w:hAnsiTheme="majorHAnsi"/>
          <w:b/>
          <w:sz w:val="28"/>
        </w:rPr>
        <w:t>LIST OF ATTACHMENTS</w:t>
      </w:r>
      <w:r w:rsidR="00E24C20">
        <w:rPr>
          <w:rFonts w:asciiTheme="majorHAnsi" w:hAnsiTheme="majorHAnsi"/>
          <w:b/>
          <w:sz w:val="28"/>
        </w:rPr>
        <w:t xml:space="preserve"> – Section B</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Default="00A36419" w:rsidP="00A36419">
      <w:pPr>
        <w:spacing w:after="0" w:line="360" w:lineRule="auto"/>
        <w:rPr>
          <w:rFonts w:asciiTheme="majorHAnsi" w:hAnsiTheme="majorHAnsi"/>
          <w:b/>
        </w:rPr>
      </w:pPr>
    </w:p>
    <w:p w:rsidR="00E938DA" w:rsidRDefault="00E938DA" w:rsidP="00E938DA">
      <w:pPr>
        <w:spacing w:after="0" w:line="360" w:lineRule="auto"/>
        <w:rPr>
          <w:rFonts w:asciiTheme="majorHAnsi" w:hAnsiTheme="majorHAnsi"/>
          <w:b/>
        </w:rPr>
      </w:pPr>
      <w:r>
        <w:rPr>
          <w:rFonts w:asciiTheme="majorHAnsi" w:hAnsiTheme="majorHAnsi"/>
          <w:b/>
        </w:rPr>
        <w:t>C:  Invitation e-mail message</w:t>
      </w:r>
    </w:p>
    <w:p w:rsidR="00E938DA" w:rsidRDefault="00E938DA" w:rsidP="00E938DA">
      <w:pPr>
        <w:spacing w:after="0" w:line="360" w:lineRule="auto"/>
        <w:rPr>
          <w:rFonts w:asciiTheme="majorHAnsi" w:hAnsiTheme="majorHAnsi"/>
          <w:b/>
        </w:rPr>
      </w:pPr>
      <w:r>
        <w:rPr>
          <w:rFonts w:asciiTheme="majorHAnsi" w:hAnsiTheme="majorHAnsi"/>
          <w:b/>
        </w:rPr>
        <w:t>D:  First reminder e-mail message</w:t>
      </w:r>
    </w:p>
    <w:p w:rsidR="00E938DA" w:rsidRPr="00A36419" w:rsidRDefault="00E938DA" w:rsidP="00E938DA">
      <w:pPr>
        <w:spacing w:after="0" w:line="360" w:lineRule="auto"/>
        <w:rPr>
          <w:rFonts w:asciiTheme="majorHAnsi" w:hAnsiTheme="majorHAnsi"/>
          <w:b/>
        </w:rPr>
      </w:pPr>
      <w:r>
        <w:rPr>
          <w:rFonts w:asciiTheme="majorHAnsi" w:hAnsiTheme="majorHAnsi"/>
          <w:b/>
        </w:rPr>
        <w:t>E:   Second/final reminder e-mail message</w:t>
      </w:r>
    </w:p>
    <w:p w:rsidR="000076C2" w:rsidRPr="00A36419" w:rsidRDefault="000076C2" w:rsidP="00A36419">
      <w:pPr>
        <w:spacing w:after="0" w:line="360" w:lineRule="auto"/>
        <w:rPr>
          <w:rFonts w:asciiTheme="majorHAnsi" w:hAnsiTheme="majorHAnsi"/>
          <w:b/>
        </w:rPr>
      </w:pPr>
    </w:p>
    <w:p w:rsidR="000E6577" w:rsidRPr="000E6577" w:rsidRDefault="000E6577" w:rsidP="000E6577">
      <w:pPr>
        <w:spacing w:line="360" w:lineRule="auto"/>
        <w:rPr>
          <w:rFonts w:asciiTheme="majorHAnsi" w:hAnsiTheme="majorHAnsi"/>
          <w:b/>
        </w:rPr>
      </w:pPr>
    </w:p>
    <w:sectPr w:rsidR="000E6577" w:rsidRPr="000E6577"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2B" w:rsidRDefault="007C122B" w:rsidP="00716F94">
      <w:pPr>
        <w:spacing w:after="0" w:line="240" w:lineRule="auto"/>
      </w:pPr>
      <w:r>
        <w:separator/>
      </w:r>
    </w:p>
  </w:endnote>
  <w:endnote w:type="continuationSeparator" w:id="0">
    <w:p w:rsidR="007C122B" w:rsidRDefault="007C122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0E6577" w:rsidRDefault="000E6577">
            <w:pPr>
              <w:pStyle w:val="Footer"/>
              <w:jc w:val="right"/>
            </w:pPr>
            <w:r>
              <w:t xml:space="preserve">Page </w:t>
            </w:r>
            <w:r w:rsidR="00272E03">
              <w:rPr>
                <w:b/>
                <w:sz w:val="24"/>
                <w:szCs w:val="24"/>
              </w:rPr>
              <w:fldChar w:fldCharType="begin"/>
            </w:r>
            <w:r>
              <w:rPr>
                <w:b/>
              </w:rPr>
              <w:instrText xml:space="preserve"> PAGE </w:instrText>
            </w:r>
            <w:r w:rsidR="00272E03">
              <w:rPr>
                <w:b/>
                <w:sz w:val="24"/>
                <w:szCs w:val="24"/>
              </w:rPr>
              <w:fldChar w:fldCharType="separate"/>
            </w:r>
            <w:r w:rsidR="006C7A31">
              <w:rPr>
                <w:b/>
                <w:noProof/>
              </w:rPr>
              <w:t>4</w:t>
            </w:r>
            <w:r w:rsidR="00272E03">
              <w:rPr>
                <w:b/>
                <w:sz w:val="24"/>
                <w:szCs w:val="24"/>
              </w:rPr>
              <w:fldChar w:fldCharType="end"/>
            </w:r>
            <w:r>
              <w:t xml:space="preserve"> of </w:t>
            </w:r>
            <w:r w:rsidR="003E5D57">
              <w:rPr>
                <w:b/>
                <w:szCs w:val="24"/>
              </w:rPr>
              <w:t>3</w:t>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2B" w:rsidRDefault="007C122B" w:rsidP="00716F94">
      <w:pPr>
        <w:spacing w:after="0" w:line="240" w:lineRule="auto"/>
      </w:pPr>
      <w:r>
        <w:separator/>
      </w:r>
    </w:p>
  </w:footnote>
  <w:footnote w:type="continuationSeparator" w:id="0">
    <w:p w:rsidR="007C122B" w:rsidRDefault="007C122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85C" w:rsidRPr="00716F94" w:rsidRDefault="00C3485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E969B6"/>
    <w:multiLevelType w:val="hybridMultilevel"/>
    <w:tmpl w:val="9C38B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19"/>
  </w:num>
  <w:num w:numId="4">
    <w:abstractNumId w:val="10"/>
  </w:num>
  <w:num w:numId="5">
    <w:abstractNumId w:val="14"/>
  </w:num>
  <w:num w:numId="6">
    <w:abstractNumId w:val="7"/>
  </w:num>
  <w:num w:numId="7">
    <w:abstractNumId w:val="0"/>
  </w:num>
  <w:num w:numId="8">
    <w:abstractNumId w:val="5"/>
  </w:num>
  <w:num w:numId="9">
    <w:abstractNumId w:val="9"/>
  </w:num>
  <w:num w:numId="10">
    <w:abstractNumId w:val="15"/>
  </w:num>
  <w:num w:numId="11">
    <w:abstractNumId w:val="2"/>
  </w:num>
  <w:num w:numId="12">
    <w:abstractNumId w:val="18"/>
  </w:num>
  <w:num w:numId="13">
    <w:abstractNumId w:val="6"/>
  </w:num>
  <w:num w:numId="14">
    <w:abstractNumId w:val="3"/>
  </w:num>
  <w:num w:numId="15">
    <w:abstractNumId w:val="16"/>
  </w:num>
  <w:num w:numId="16">
    <w:abstractNumId w:val="20"/>
  </w:num>
  <w:num w:numId="17">
    <w:abstractNumId w:val="8"/>
  </w:num>
  <w:num w:numId="18">
    <w:abstractNumId w:val="11"/>
  </w:num>
  <w:num w:numId="19">
    <w:abstractNumId w:val="4"/>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4D3"/>
    <w:rsid w:val="000076C2"/>
    <w:rsid w:val="00010420"/>
    <w:rsid w:val="00011A98"/>
    <w:rsid w:val="00011F8D"/>
    <w:rsid w:val="000130B4"/>
    <w:rsid w:val="00014361"/>
    <w:rsid w:val="000474FB"/>
    <w:rsid w:val="00053A92"/>
    <w:rsid w:val="0005605E"/>
    <w:rsid w:val="00057F36"/>
    <w:rsid w:val="000A1F30"/>
    <w:rsid w:val="000E6577"/>
    <w:rsid w:val="000E7A19"/>
    <w:rsid w:val="00104A1B"/>
    <w:rsid w:val="001177DD"/>
    <w:rsid w:val="001308EB"/>
    <w:rsid w:val="001412D4"/>
    <w:rsid w:val="00144F64"/>
    <w:rsid w:val="00151567"/>
    <w:rsid w:val="00163E17"/>
    <w:rsid w:val="00166F9E"/>
    <w:rsid w:val="00187D5A"/>
    <w:rsid w:val="001972D7"/>
    <w:rsid w:val="001A28F6"/>
    <w:rsid w:val="001B2831"/>
    <w:rsid w:val="001C0493"/>
    <w:rsid w:val="001C28AD"/>
    <w:rsid w:val="001D7FCB"/>
    <w:rsid w:val="001E2B99"/>
    <w:rsid w:val="001E69B6"/>
    <w:rsid w:val="001F4DBB"/>
    <w:rsid w:val="001F7C89"/>
    <w:rsid w:val="0020312D"/>
    <w:rsid w:val="0020495F"/>
    <w:rsid w:val="00206E33"/>
    <w:rsid w:val="00210519"/>
    <w:rsid w:val="00230CEF"/>
    <w:rsid w:val="00241B17"/>
    <w:rsid w:val="00241C81"/>
    <w:rsid w:val="00257A1C"/>
    <w:rsid w:val="0027234C"/>
    <w:rsid w:val="00272E03"/>
    <w:rsid w:val="00281795"/>
    <w:rsid w:val="002850E3"/>
    <w:rsid w:val="00287E2F"/>
    <w:rsid w:val="002A1948"/>
    <w:rsid w:val="002C0877"/>
    <w:rsid w:val="002C2AE2"/>
    <w:rsid w:val="002D0DCE"/>
    <w:rsid w:val="002E2B10"/>
    <w:rsid w:val="002E2D4F"/>
    <w:rsid w:val="002F1502"/>
    <w:rsid w:val="002F169D"/>
    <w:rsid w:val="002F2069"/>
    <w:rsid w:val="002F6F92"/>
    <w:rsid w:val="003041AD"/>
    <w:rsid w:val="0031279F"/>
    <w:rsid w:val="003217F8"/>
    <w:rsid w:val="00326501"/>
    <w:rsid w:val="00336D96"/>
    <w:rsid w:val="00344F07"/>
    <w:rsid w:val="003469C8"/>
    <w:rsid w:val="00355EA4"/>
    <w:rsid w:val="003635BE"/>
    <w:rsid w:val="00366B5E"/>
    <w:rsid w:val="00372844"/>
    <w:rsid w:val="003C31C9"/>
    <w:rsid w:val="003C4961"/>
    <w:rsid w:val="003C7C5D"/>
    <w:rsid w:val="003D0AD2"/>
    <w:rsid w:val="003E4E7D"/>
    <w:rsid w:val="003E5D57"/>
    <w:rsid w:val="003F5913"/>
    <w:rsid w:val="004024F8"/>
    <w:rsid w:val="0041159A"/>
    <w:rsid w:val="004305A8"/>
    <w:rsid w:val="00443CA0"/>
    <w:rsid w:val="00450E14"/>
    <w:rsid w:val="00462C65"/>
    <w:rsid w:val="00467B14"/>
    <w:rsid w:val="00474EDA"/>
    <w:rsid w:val="0047536D"/>
    <w:rsid w:val="004824FA"/>
    <w:rsid w:val="00484011"/>
    <w:rsid w:val="004841F1"/>
    <w:rsid w:val="004A1E3A"/>
    <w:rsid w:val="004C4AEA"/>
    <w:rsid w:val="004E003C"/>
    <w:rsid w:val="004E16EB"/>
    <w:rsid w:val="004E6665"/>
    <w:rsid w:val="004F634E"/>
    <w:rsid w:val="004F67A8"/>
    <w:rsid w:val="00522A50"/>
    <w:rsid w:val="00527225"/>
    <w:rsid w:val="0053557D"/>
    <w:rsid w:val="005463DE"/>
    <w:rsid w:val="00546DC2"/>
    <w:rsid w:val="00551717"/>
    <w:rsid w:val="005542E8"/>
    <w:rsid w:val="00556630"/>
    <w:rsid w:val="0055686D"/>
    <w:rsid w:val="005733E4"/>
    <w:rsid w:val="005800EE"/>
    <w:rsid w:val="0058518B"/>
    <w:rsid w:val="005869D6"/>
    <w:rsid w:val="005A33F6"/>
    <w:rsid w:val="005A59E5"/>
    <w:rsid w:val="005B7440"/>
    <w:rsid w:val="005C6E9D"/>
    <w:rsid w:val="005E2150"/>
    <w:rsid w:val="005E2995"/>
    <w:rsid w:val="005F3FEF"/>
    <w:rsid w:val="00601392"/>
    <w:rsid w:val="00607F7C"/>
    <w:rsid w:val="006102DA"/>
    <w:rsid w:val="00621F93"/>
    <w:rsid w:val="006226AA"/>
    <w:rsid w:val="006315A3"/>
    <w:rsid w:val="00637CC1"/>
    <w:rsid w:val="00646A32"/>
    <w:rsid w:val="006579A2"/>
    <w:rsid w:val="00667C89"/>
    <w:rsid w:val="006711EE"/>
    <w:rsid w:val="006809BB"/>
    <w:rsid w:val="006809FD"/>
    <w:rsid w:val="00691D1F"/>
    <w:rsid w:val="00697BAE"/>
    <w:rsid w:val="006B4DDC"/>
    <w:rsid w:val="006B5E55"/>
    <w:rsid w:val="006C7A31"/>
    <w:rsid w:val="006D25A1"/>
    <w:rsid w:val="006D7F13"/>
    <w:rsid w:val="006F6856"/>
    <w:rsid w:val="007145D0"/>
    <w:rsid w:val="00716F94"/>
    <w:rsid w:val="00760E12"/>
    <w:rsid w:val="00763CF3"/>
    <w:rsid w:val="00772293"/>
    <w:rsid w:val="00783C75"/>
    <w:rsid w:val="00784619"/>
    <w:rsid w:val="0078627B"/>
    <w:rsid w:val="00794E32"/>
    <w:rsid w:val="007B305A"/>
    <w:rsid w:val="007C122B"/>
    <w:rsid w:val="00800993"/>
    <w:rsid w:val="00815C7D"/>
    <w:rsid w:val="00817941"/>
    <w:rsid w:val="008261AB"/>
    <w:rsid w:val="00835CA7"/>
    <w:rsid w:val="008370D4"/>
    <w:rsid w:val="008414AD"/>
    <w:rsid w:val="008428D9"/>
    <w:rsid w:val="00884DB9"/>
    <w:rsid w:val="0089676F"/>
    <w:rsid w:val="008C67D2"/>
    <w:rsid w:val="008E0683"/>
    <w:rsid w:val="00902DD9"/>
    <w:rsid w:val="00911486"/>
    <w:rsid w:val="009129CA"/>
    <w:rsid w:val="00912ED7"/>
    <w:rsid w:val="009206B6"/>
    <w:rsid w:val="009263C1"/>
    <w:rsid w:val="00931C02"/>
    <w:rsid w:val="00941B4F"/>
    <w:rsid w:val="009568C8"/>
    <w:rsid w:val="00963CE3"/>
    <w:rsid w:val="00964F18"/>
    <w:rsid w:val="0097213D"/>
    <w:rsid w:val="00974424"/>
    <w:rsid w:val="00987F76"/>
    <w:rsid w:val="00993088"/>
    <w:rsid w:val="0099664F"/>
    <w:rsid w:val="00997D5D"/>
    <w:rsid w:val="009A0447"/>
    <w:rsid w:val="009B034F"/>
    <w:rsid w:val="009B4A51"/>
    <w:rsid w:val="009C28B1"/>
    <w:rsid w:val="009C61AD"/>
    <w:rsid w:val="009D373D"/>
    <w:rsid w:val="009E1D05"/>
    <w:rsid w:val="00A11B0C"/>
    <w:rsid w:val="00A1543F"/>
    <w:rsid w:val="00A305CE"/>
    <w:rsid w:val="00A33B35"/>
    <w:rsid w:val="00A36419"/>
    <w:rsid w:val="00A5000F"/>
    <w:rsid w:val="00A547FE"/>
    <w:rsid w:val="00A578C2"/>
    <w:rsid w:val="00A71660"/>
    <w:rsid w:val="00A72652"/>
    <w:rsid w:val="00A75D1C"/>
    <w:rsid w:val="00A809AA"/>
    <w:rsid w:val="00A849B3"/>
    <w:rsid w:val="00A8510D"/>
    <w:rsid w:val="00A86AF3"/>
    <w:rsid w:val="00A90BDC"/>
    <w:rsid w:val="00A95477"/>
    <w:rsid w:val="00A975A9"/>
    <w:rsid w:val="00AA3192"/>
    <w:rsid w:val="00AB3608"/>
    <w:rsid w:val="00AC5C48"/>
    <w:rsid w:val="00AF0CF4"/>
    <w:rsid w:val="00AF2252"/>
    <w:rsid w:val="00B1129F"/>
    <w:rsid w:val="00B11D61"/>
    <w:rsid w:val="00B12F51"/>
    <w:rsid w:val="00B2751E"/>
    <w:rsid w:val="00B3650C"/>
    <w:rsid w:val="00B64BFA"/>
    <w:rsid w:val="00B85DE4"/>
    <w:rsid w:val="00B91A31"/>
    <w:rsid w:val="00BA6DB4"/>
    <w:rsid w:val="00BC3F3C"/>
    <w:rsid w:val="00BC4AC9"/>
    <w:rsid w:val="00BC5BB2"/>
    <w:rsid w:val="00BF3F54"/>
    <w:rsid w:val="00C00697"/>
    <w:rsid w:val="00C0376C"/>
    <w:rsid w:val="00C05060"/>
    <w:rsid w:val="00C06D77"/>
    <w:rsid w:val="00C14BA6"/>
    <w:rsid w:val="00C319D7"/>
    <w:rsid w:val="00C347E7"/>
    <w:rsid w:val="00C3485C"/>
    <w:rsid w:val="00C65290"/>
    <w:rsid w:val="00C975F4"/>
    <w:rsid w:val="00CA2004"/>
    <w:rsid w:val="00CB334D"/>
    <w:rsid w:val="00CB56D5"/>
    <w:rsid w:val="00CD0771"/>
    <w:rsid w:val="00CD1D03"/>
    <w:rsid w:val="00CD1EA8"/>
    <w:rsid w:val="00CF5ABD"/>
    <w:rsid w:val="00CF63CE"/>
    <w:rsid w:val="00D067C1"/>
    <w:rsid w:val="00D13B13"/>
    <w:rsid w:val="00D16E78"/>
    <w:rsid w:val="00D201D3"/>
    <w:rsid w:val="00D26A64"/>
    <w:rsid w:val="00D4221A"/>
    <w:rsid w:val="00D52B9A"/>
    <w:rsid w:val="00D5367E"/>
    <w:rsid w:val="00D7285C"/>
    <w:rsid w:val="00D861ED"/>
    <w:rsid w:val="00D873E0"/>
    <w:rsid w:val="00D94F8B"/>
    <w:rsid w:val="00DA4EA9"/>
    <w:rsid w:val="00DA5988"/>
    <w:rsid w:val="00DC317C"/>
    <w:rsid w:val="00DC4FF2"/>
    <w:rsid w:val="00DC79CC"/>
    <w:rsid w:val="00E134F4"/>
    <w:rsid w:val="00E23568"/>
    <w:rsid w:val="00E245B5"/>
    <w:rsid w:val="00E24C20"/>
    <w:rsid w:val="00E33E1B"/>
    <w:rsid w:val="00E34D3E"/>
    <w:rsid w:val="00E5173B"/>
    <w:rsid w:val="00E81C5E"/>
    <w:rsid w:val="00E83B3C"/>
    <w:rsid w:val="00E8736B"/>
    <w:rsid w:val="00E90275"/>
    <w:rsid w:val="00E925D4"/>
    <w:rsid w:val="00E938DA"/>
    <w:rsid w:val="00E97226"/>
    <w:rsid w:val="00EB63B3"/>
    <w:rsid w:val="00ED6878"/>
    <w:rsid w:val="00EF0EC8"/>
    <w:rsid w:val="00EF33CD"/>
    <w:rsid w:val="00F300CB"/>
    <w:rsid w:val="00F42C3A"/>
    <w:rsid w:val="00F52BCC"/>
    <w:rsid w:val="00F5313F"/>
    <w:rsid w:val="00F57581"/>
    <w:rsid w:val="00F725B5"/>
    <w:rsid w:val="00F81A48"/>
    <w:rsid w:val="00F86D54"/>
    <w:rsid w:val="00FC52B1"/>
    <w:rsid w:val="00FD17C9"/>
    <w:rsid w:val="00FD1EF0"/>
    <w:rsid w:val="00FD2A5B"/>
    <w:rsid w:val="00FE6A5C"/>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77561">
      <w:bodyDiv w:val="1"/>
      <w:marLeft w:val="0"/>
      <w:marRight w:val="0"/>
      <w:marTop w:val="0"/>
      <w:marBottom w:val="0"/>
      <w:divBdr>
        <w:top w:val="none" w:sz="0" w:space="0" w:color="auto"/>
        <w:left w:val="none" w:sz="0" w:space="0" w:color="auto"/>
        <w:bottom w:val="none" w:sz="0" w:space="0" w:color="auto"/>
        <w:right w:val="none" w:sz="0" w:space="0" w:color="auto"/>
      </w:divBdr>
    </w:div>
    <w:div w:id="1251617211">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E7B9C-A077-4478-B6A1-1CB7170D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4</cp:revision>
  <cp:lastPrinted>2011-06-07T15:53:00Z</cp:lastPrinted>
  <dcterms:created xsi:type="dcterms:W3CDTF">2013-08-19T20:12:00Z</dcterms:created>
  <dcterms:modified xsi:type="dcterms:W3CDTF">2013-08-20T18:40:00Z</dcterms:modified>
</cp:coreProperties>
</file>