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F51" w:rsidRPr="00A60D0F" w:rsidRDefault="00845F51" w:rsidP="0064424A">
      <w:pPr>
        <w:jc w:val="center"/>
        <w:rPr>
          <w:rFonts w:asciiTheme="minorHAnsi" w:hAnsiTheme="minorHAnsi" w:cstheme="minorHAnsi"/>
        </w:rPr>
      </w:pPr>
    </w:p>
    <w:p w:rsidR="00CE6BFD" w:rsidRPr="00A60D0F" w:rsidRDefault="00CE6BFD" w:rsidP="0064424A">
      <w:pPr>
        <w:jc w:val="center"/>
        <w:rPr>
          <w:rFonts w:asciiTheme="minorHAnsi" w:hAnsiTheme="minorHAnsi" w:cstheme="minorHAnsi"/>
        </w:rPr>
      </w:pPr>
    </w:p>
    <w:p w:rsidR="00CE6BFD" w:rsidRPr="00A60D0F" w:rsidRDefault="00CE6BFD" w:rsidP="0064424A">
      <w:pPr>
        <w:jc w:val="center"/>
        <w:rPr>
          <w:rFonts w:asciiTheme="minorHAnsi" w:hAnsiTheme="minorHAnsi" w:cstheme="minorHAnsi"/>
        </w:rPr>
      </w:pPr>
    </w:p>
    <w:p w:rsidR="00CE6BFD" w:rsidRPr="00A60D0F" w:rsidRDefault="00CE6BFD" w:rsidP="0064424A">
      <w:pPr>
        <w:jc w:val="center"/>
        <w:rPr>
          <w:rFonts w:asciiTheme="minorHAnsi" w:hAnsiTheme="minorHAnsi" w:cstheme="minorHAnsi"/>
        </w:rPr>
      </w:pPr>
    </w:p>
    <w:p w:rsidR="00CE6BFD" w:rsidRPr="00A60D0F" w:rsidRDefault="00CE6BFD" w:rsidP="0064424A">
      <w:pPr>
        <w:jc w:val="center"/>
        <w:rPr>
          <w:rFonts w:asciiTheme="minorHAnsi" w:hAnsiTheme="minorHAnsi" w:cstheme="minorHAnsi"/>
        </w:rPr>
      </w:pPr>
    </w:p>
    <w:p w:rsidR="00CE6BFD" w:rsidRPr="00A60D0F" w:rsidRDefault="00CE6BFD" w:rsidP="0064424A">
      <w:pPr>
        <w:jc w:val="center"/>
        <w:rPr>
          <w:rFonts w:asciiTheme="minorHAnsi" w:hAnsiTheme="minorHAnsi" w:cstheme="minorHAnsi"/>
        </w:rPr>
      </w:pPr>
    </w:p>
    <w:p w:rsidR="00FA4B51" w:rsidRPr="00A60D0F" w:rsidRDefault="001040AF" w:rsidP="0064424A">
      <w:pPr>
        <w:jc w:val="center"/>
        <w:rPr>
          <w:rFonts w:asciiTheme="minorHAnsi" w:hAnsiTheme="minorHAnsi" w:cstheme="minorHAnsi"/>
          <w:b/>
        </w:rPr>
      </w:pPr>
      <w:r w:rsidRPr="00A60D0F">
        <w:rPr>
          <w:rFonts w:asciiTheme="minorHAnsi" w:hAnsiTheme="minorHAnsi" w:cstheme="minorHAnsi"/>
          <w:b/>
        </w:rPr>
        <w:t>Assessing</w:t>
      </w:r>
      <w:r w:rsidR="00FA4B51" w:rsidRPr="00A60D0F">
        <w:rPr>
          <w:rFonts w:asciiTheme="minorHAnsi" w:hAnsiTheme="minorHAnsi" w:cstheme="minorHAnsi"/>
          <w:b/>
        </w:rPr>
        <w:t xml:space="preserve"> </w:t>
      </w:r>
      <w:r w:rsidRPr="00A60D0F">
        <w:rPr>
          <w:rFonts w:asciiTheme="minorHAnsi" w:hAnsiTheme="minorHAnsi" w:cstheme="minorHAnsi"/>
          <w:b/>
        </w:rPr>
        <w:t xml:space="preserve">Effectiveness of </w:t>
      </w:r>
      <w:r w:rsidR="00FA4B51" w:rsidRPr="00A60D0F">
        <w:rPr>
          <w:rFonts w:asciiTheme="minorHAnsi" w:hAnsiTheme="minorHAnsi" w:cstheme="minorHAnsi"/>
          <w:b/>
        </w:rPr>
        <w:t xml:space="preserve">the </w:t>
      </w:r>
      <w:r w:rsidR="002945F3" w:rsidRPr="00A60D0F">
        <w:rPr>
          <w:rFonts w:asciiTheme="minorHAnsi" w:hAnsiTheme="minorHAnsi" w:cstheme="minorHAnsi"/>
          <w:b/>
        </w:rPr>
        <w:t>Brochure: “</w:t>
      </w:r>
      <w:r w:rsidR="002A3E3E" w:rsidRPr="00A60D0F">
        <w:rPr>
          <w:rFonts w:asciiTheme="minorHAnsi" w:hAnsiTheme="minorHAnsi" w:cstheme="minorHAnsi"/>
          <w:b/>
        </w:rPr>
        <w:t>Local Health Departments and the NIOSH Health Hazard Evaluation Program: Working Together</w:t>
      </w:r>
      <w:r w:rsidR="002945F3" w:rsidRPr="00A60D0F">
        <w:rPr>
          <w:rFonts w:asciiTheme="minorHAnsi" w:hAnsiTheme="minorHAnsi" w:cstheme="minorHAnsi"/>
          <w:b/>
        </w:rPr>
        <w:t>”</w:t>
      </w:r>
    </w:p>
    <w:p w:rsidR="00D7018B" w:rsidRPr="00A60D0F" w:rsidRDefault="00D7018B" w:rsidP="0064424A">
      <w:pPr>
        <w:jc w:val="center"/>
        <w:rPr>
          <w:rFonts w:asciiTheme="minorHAnsi" w:hAnsiTheme="minorHAnsi" w:cstheme="minorHAnsi"/>
        </w:rPr>
      </w:pPr>
      <w:r w:rsidRPr="00A60D0F">
        <w:rPr>
          <w:rFonts w:asciiTheme="minorHAnsi" w:hAnsiTheme="minorHAnsi" w:cstheme="minorHAnsi"/>
        </w:rPr>
        <w:t>OSTLTS Generic Information Collection Request</w:t>
      </w:r>
    </w:p>
    <w:p w:rsidR="00D7018B" w:rsidRPr="00A60D0F" w:rsidRDefault="00D7018B" w:rsidP="0064424A">
      <w:pPr>
        <w:jc w:val="center"/>
        <w:rPr>
          <w:rFonts w:asciiTheme="minorHAnsi" w:hAnsiTheme="minorHAnsi" w:cstheme="minorHAnsi"/>
        </w:rPr>
      </w:pPr>
      <w:r w:rsidRPr="00A60D0F">
        <w:rPr>
          <w:rFonts w:asciiTheme="minorHAnsi" w:hAnsiTheme="minorHAnsi" w:cstheme="minorHAnsi"/>
        </w:rPr>
        <w:t>OMB No. 0920-0879</w:t>
      </w:r>
    </w:p>
    <w:p w:rsidR="00D7018B" w:rsidRPr="00A60D0F" w:rsidRDefault="00D7018B" w:rsidP="0064424A">
      <w:pPr>
        <w:jc w:val="center"/>
        <w:rPr>
          <w:rFonts w:asciiTheme="minorHAnsi" w:hAnsiTheme="minorHAnsi" w:cstheme="minorHAnsi"/>
        </w:rPr>
      </w:pPr>
    </w:p>
    <w:p w:rsidR="000D7C84" w:rsidRPr="00A60D0F" w:rsidRDefault="000D7C84" w:rsidP="00E52789">
      <w:pPr>
        <w:jc w:val="center"/>
        <w:outlineLvl w:val="0"/>
        <w:rPr>
          <w:rFonts w:asciiTheme="minorHAnsi" w:hAnsiTheme="minorHAnsi" w:cstheme="minorHAnsi"/>
        </w:rPr>
      </w:pPr>
    </w:p>
    <w:p w:rsidR="000D7C84" w:rsidRPr="00A60D0F" w:rsidRDefault="000D7C84" w:rsidP="00E52789">
      <w:pPr>
        <w:jc w:val="center"/>
        <w:outlineLvl w:val="0"/>
        <w:rPr>
          <w:rFonts w:asciiTheme="minorHAnsi" w:hAnsiTheme="minorHAnsi" w:cstheme="minorHAnsi"/>
        </w:rPr>
      </w:pPr>
    </w:p>
    <w:p w:rsidR="000D7C84" w:rsidRPr="00A60D0F" w:rsidRDefault="000D7C84" w:rsidP="00E52789">
      <w:pPr>
        <w:jc w:val="center"/>
        <w:outlineLvl w:val="0"/>
        <w:rPr>
          <w:rFonts w:asciiTheme="minorHAnsi" w:hAnsiTheme="minorHAnsi" w:cstheme="minorHAnsi"/>
        </w:rPr>
      </w:pPr>
    </w:p>
    <w:p w:rsidR="000D7C84" w:rsidRPr="00A60D0F" w:rsidRDefault="000D7C84" w:rsidP="00E52789">
      <w:pPr>
        <w:jc w:val="center"/>
        <w:outlineLvl w:val="0"/>
        <w:rPr>
          <w:rFonts w:asciiTheme="minorHAnsi" w:hAnsiTheme="minorHAnsi" w:cstheme="minorHAnsi"/>
        </w:rPr>
      </w:pPr>
    </w:p>
    <w:p w:rsidR="000D7C84" w:rsidRPr="00A60D0F" w:rsidRDefault="000D7C84" w:rsidP="00E52789">
      <w:pPr>
        <w:jc w:val="center"/>
        <w:outlineLvl w:val="0"/>
        <w:rPr>
          <w:rFonts w:asciiTheme="minorHAnsi" w:hAnsiTheme="minorHAnsi" w:cstheme="minorHAnsi"/>
        </w:rPr>
      </w:pPr>
    </w:p>
    <w:p w:rsidR="0064424A" w:rsidRPr="00A60D0F" w:rsidRDefault="0064424A" w:rsidP="00E52789">
      <w:pPr>
        <w:jc w:val="center"/>
        <w:outlineLvl w:val="0"/>
        <w:rPr>
          <w:rFonts w:asciiTheme="minorHAnsi" w:hAnsiTheme="minorHAnsi" w:cstheme="minorHAnsi"/>
          <w:b/>
        </w:rPr>
      </w:pPr>
      <w:r w:rsidRPr="00A60D0F">
        <w:rPr>
          <w:rFonts w:asciiTheme="minorHAnsi" w:hAnsiTheme="minorHAnsi" w:cstheme="minorHAnsi"/>
          <w:b/>
        </w:rPr>
        <w:t>SUPPORTING STATEMENT</w:t>
      </w:r>
      <w:r w:rsidR="00D7018B" w:rsidRPr="00A60D0F">
        <w:rPr>
          <w:rFonts w:asciiTheme="minorHAnsi" w:hAnsiTheme="minorHAnsi" w:cstheme="minorHAnsi"/>
          <w:b/>
        </w:rPr>
        <w:t xml:space="preserve"> – Section A</w:t>
      </w:r>
    </w:p>
    <w:p w:rsidR="00D7018B" w:rsidRPr="00A60D0F" w:rsidRDefault="00D7018B" w:rsidP="00E52789">
      <w:pPr>
        <w:jc w:val="center"/>
        <w:outlineLvl w:val="0"/>
        <w:rPr>
          <w:rFonts w:asciiTheme="minorHAnsi" w:hAnsiTheme="minorHAnsi" w:cstheme="minorHAnsi"/>
          <w:b/>
        </w:rPr>
      </w:pPr>
    </w:p>
    <w:p w:rsidR="000D7C84" w:rsidRPr="00A60D0F" w:rsidRDefault="000D7C84" w:rsidP="00E52789">
      <w:pPr>
        <w:jc w:val="center"/>
        <w:outlineLvl w:val="0"/>
        <w:rPr>
          <w:rFonts w:asciiTheme="minorHAnsi" w:hAnsiTheme="minorHAnsi" w:cstheme="minorHAnsi"/>
          <w:b/>
        </w:rPr>
      </w:pPr>
    </w:p>
    <w:p w:rsidR="000D7C84" w:rsidRPr="00A60D0F" w:rsidRDefault="000D7C84" w:rsidP="00E52789">
      <w:pPr>
        <w:jc w:val="center"/>
        <w:outlineLvl w:val="0"/>
        <w:rPr>
          <w:rFonts w:asciiTheme="minorHAnsi" w:hAnsiTheme="minorHAnsi" w:cstheme="minorHAnsi"/>
          <w:b/>
        </w:rPr>
      </w:pPr>
    </w:p>
    <w:p w:rsidR="000D7C84" w:rsidRPr="00A60D0F" w:rsidRDefault="000D7C84" w:rsidP="00E52789">
      <w:pPr>
        <w:jc w:val="center"/>
        <w:outlineLvl w:val="0"/>
        <w:rPr>
          <w:rFonts w:asciiTheme="minorHAnsi" w:hAnsiTheme="minorHAnsi" w:cstheme="minorHAnsi"/>
          <w:b/>
        </w:rPr>
      </w:pPr>
    </w:p>
    <w:p w:rsidR="00D7018B" w:rsidRPr="00A60D0F" w:rsidRDefault="00D7018B" w:rsidP="00E52789">
      <w:pPr>
        <w:jc w:val="center"/>
        <w:outlineLvl w:val="0"/>
        <w:rPr>
          <w:rFonts w:asciiTheme="minorHAnsi" w:hAnsiTheme="minorHAnsi" w:cstheme="minorHAnsi"/>
        </w:rPr>
      </w:pPr>
    </w:p>
    <w:p w:rsidR="00CE6BFD" w:rsidRPr="00A60D0F" w:rsidRDefault="00D7018B" w:rsidP="00E52789">
      <w:pPr>
        <w:jc w:val="center"/>
        <w:outlineLvl w:val="0"/>
        <w:rPr>
          <w:rFonts w:asciiTheme="minorHAnsi" w:hAnsiTheme="minorHAnsi" w:cstheme="minorHAnsi"/>
        </w:rPr>
      </w:pPr>
      <w:r w:rsidRPr="00A60D0F">
        <w:rPr>
          <w:rFonts w:asciiTheme="minorHAnsi" w:hAnsiTheme="minorHAnsi" w:cstheme="minorHAnsi"/>
          <w:b/>
        </w:rPr>
        <w:t>Submitted</w:t>
      </w:r>
      <w:r w:rsidR="00FA4B51" w:rsidRPr="00A60D0F">
        <w:rPr>
          <w:rFonts w:asciiTheme="minorHAnsi" w:hAnsiTheme="minorHAnsi" w:cstheme="minorHAnsi"/>
          <w:b/>
        </w:rPr>
        <w:t xml:space="preserve">: </w:t>
      </w:r>
      <w:r w:rsidR="002945F3" w:rsidRPr="00A60D0F">
        <w:rPr>
          <w:rFonts w:asciiTheme="minorHAnsi" w:hAnsiTheme="minorHAnsi" w:cstheme="minorHAnsi"/>
          <w:b/>
        </w:rPr>
        <w:t>August</w:t>
      </w:r>
      <w:r w:rsidR="00516568">
        <w:rPr>
          <w:rFonts w:asciiTheme="minorHAnsi" w:hAnsiTheme="minorHAnsi" w:cstheme="minorHAnsi"/>
          <w:b/>
        </w:rPr>
        <w:t xml:space="preserve"> 26</w:t>
      </w:r>
      <w:bookmarkStart w:id="0" w:name="_GoBack"/>
      <w:bookmarkEnd w:id="0"/>
      <w:r w:rsidR="00172EB7">
        <w:rPr>
          <w:rFonts w:asciiTheme="minorHAnsi" w:hAnsiTheme="minorHAnsi" w:cstheme="minorHAnsi"/>
          <w:b/>
        </w:rPr>
        <w:t>,</w:t>
      </w:r>
      <w:r w:rsidR="00124BDA" w:rsidRPr="00A60D0F">
        <w:rPr>
          <w:rFonts w:asciiTheme="minorHAnsi" w:hAnsiTheme="minorHAnsi" w:cstheme="minorHAnsi"/>
          <w:b/>
        </w:rPr>
        <w:t xml:space="preserve"> 201</w:t>
      </w:r>
      <w:r w:rsidR="002945F3" w:rsidRPr="00A60D0F">
        <w:rPr>
          <w:rFonts w:asciiTheme="minorHAnsi" w:hAnsiTheme="minorHAnsi" w:cstheme="minorHAnsi"/>
          <w:b/>
        </w:rPr>
        <w:t>3</w:t>
      </w:r>
    </w:p>
    <w:p w:rsidR="00CE6BFD" w:rsidRPr="00A60D0F" w:rsidRDefault="00CE6BFD" w:rsidP="00E52789">
      <w:pPr>
        <w:jc w:val="center"/>
        <w:outlineLvl w:val="0"/>
        <w:rPr>
          <w:rFonts w:asciiTheme="minorHAnsi" w:hAnsiTheme="minorHAnsi" w:cstheme="minorHAnsi"/>
        </w:rPr>
      </w:pPr>
    </w:p>
    <w:p w:rsidR="00CE6BFD" w:rsidRPr="00A60D0F" w:rsidRDefault="00CE6BFD" w:rsidP="00E52789">
      <w:pPr>
        <w:jc w:val="center"/>
        <w:outlineLvl w:val="0"/>
        <w:rPr>
          <w:rFonts w:asciiTheme="minorHAnsi" w:hAnsiTheme="minorHAnsi" w:cstheme="minorHAnsi"/>
        </w:rPr>
      </w:pPr>
    </w:p>
    <w:p w:rsidR="00CE6BFD" w:rsidRPr="00A60D0F" w:rsidRDefault="00CE6BFD" w:rsidP="00E52789">
      <w:pPr>
        <w:jc w:val="center"/>
        <w:outlineLvl w:val="0"/>
        <w:rPr>
          <w:rFonts w:asciiTheme="minorHAnsi" w:hAnsiTheme="minorHAnsi" w:cstheme="minorHAnsi"/>
        </w:rPr>
      </w:pPr>
    </w:p>
    <w:p w:rsidR="00CE6BFD" w:rsidRPr="00A60D0F" w:rsidRDefault="00CE6BFD" w:rsidP="00E52789">
      <w:pPr>
        <w:jc w:val="center"/>
        <w:outlineLvl w:val="0"/>
        <w:rPr>
          <w:rFonts w:asciiTheme="minorHAnsi" w:hAnsiTheme="minorHAnsi" w:cstheme="minorHAnsi"/>
        </w:rPr>
      </w:pPr>
    </w:p>
    <w:p w:rsidR="00CE6BFD" w:rsidRPr="00A60D0F" w:rsidRDefault="00CE6BFD" w:rsidP="00E52789">
      <w:pPr>
        <w:jc w:val="center"/>
        <w:outlineLvl w:val="0"/>
        <w:rPr>
          <w:rFonts w:asciiTheme="minorHAnsi" w:hAnsiTheme="minorHAnsi" w:cstheme="minorHAnsi"/>
        </w:rPr>
      </w:pPr>
    </w:p>
    <w:p w:rsidR="00CE6BFD" w:rsidRPr="00A60D0F" w:rsidRDefault="00CE6BFD" w:rsidP="00CE6BFD">
      <w:pPr>
        <w:outlineLvl w:val="0"/>
        <w:rPr>
          <w:rFonts w:asciiTheme="minorHAnsi" w:hAnsiTheme="minorHAnsi" w:cstheme="minorHAnsi"/>
        </w:rPr>
      </w:pPr>
      <w:r w:rsidRPr="00A60D0F">
        <w:rPr>
          <w:rFonts w:asciiTheme="minorHAnsi" w:hAnsiTheme="minorHAnsi" w:cstheme="minorHAnsi"/>
        </w:rPr>
        <w:t xml:space="preserve">             </w:t>
      </w:r>
    </w:p>
    <w:p w:rsidR="00CE6BFD" w:rsidRPr="00A60D0F" w:rsidRDefault="00CE6BFD" w:rsidP="00CE6BFD">
      <w:pPr>
        <w:outlineLvl w:val="0"/>
        <w:rPr>
          <w:rFonts w:asciiTheme="minorHAnsi" w:hAnsiTheme="minorHAnsi" w:cstheme="minorHAnsi"/>
        </w:rPr>
      </w:pPr>
    </w:p>
    <w:p w:rsidR="00CE6BFD" w:rsidRPr="00A60D0F" w:rsidRDefault="00CE6BFD" w:rsidP="00CE6BFD">
      <w:pPr>
        <w:outlineLvl w:val="0"/>
        <w:rPr>
          <w:rFonts w:asciiTheme="minorHAnsi" w:hAnsiTheme="minorHAnsi" w:cstheme="minorHAnsi"/>
        </w:rPr>
      </w:pPr>
    </w:p>
    <w:p w:rsidR="00CE6BFD" w:rsidRPr="00A60D0F" w:rsidRDefault="00CE6BFD" w:rsidP="00CE6BFD">
      <w:pPr>
        <w:outlineLvl w:val="0"/>
        <w:rPr>
          <w:rFonts w:asciiTheme="minorHAnsi" w:hAnsiTheme="minorHAnsi" w:cstheme="minorHAnsi"/>
        </w:rPr>
      </w:pPr>
    </w:p>
    <w:p w:rsidR="00CE6BFD" w:rsidRPr="00A60D0F" w:rsidRDefault="00CE6BFD" w:rsidP="00363892">
      <w:pPr>
        <w:outlineLvl w:val="0"/>
        <w:rPr>
          <w:rFonts w:asciiTheme="minorHAnsi" w:hAnsiTheme="minorHAnsi" w:cstheme="minorHAnsi"/>
          <w:b/>
          <w:u w:val="single"/>
        </w:rPr>
      </w:pPr>
      <w:r w:rsidRPr="00A60D0F">
        <w:rPr>
          <w:rFonts w:asciiTheme="minorHAnsi" w:hAnsiTheme="minorHAnsi" w:cstheme="minorHAnsi"/>
        </w:rPr>
        <w:t xml:space="preserve">            </w:t>
      </w:r>
      <w:r w:rsidR="00D7018B" w:rsidRPr="00A60D0F">
        <w:rPr>
          <w:rFonts w:asciiTheme="minorHAnsi" w:hAnsiTheme="minorHAnsi" w:cstheme="minorHAnsi"/>
          <w:b/>
          <w:u w:val="single"/>
        </w:rPr>
        <w:t>Program Official/Project Officer</w:t>
      </w:r>
    </w:p>
    <w:p w:rsidR="00363892" w:rsidRPr="00A60D0F" w:rsidRDefault="00242C73" w:rsidP="00363892">
      <w:pPr>
        <w:ind w:left="720"/>
        <w:rPr>
          <w:rFonts w:asciiTheme="minorHAnsi" w:hAnsiTheme="minorHAnsi" w:cstheme="minorHAnsi"/>
        </w:rPr>
      </w:pPr>
      <w:r w:rsidRPr="00A60D0F">
        <w:rPr>
          <w:rFonts w:asciiTheme="minorHAnsi" w:hAnsiTheme="minorHAnsi" w:cstheme="minorHAnsi"/>
          <w:bCs/>
        </w:rPr>
        <w:t xml:space="preserve">Allison Tepper, </w:t>
      </w:r>
      <w:r w:rsidR="00012F07">
        <w:rPr>
          <w:rFonts w:asciiTheme="minorHAnsi" w:hAnsiTheme="minorHAnsi" w:cstheme="minorHAnsi"/>
          <w:bCs/>
        </w:rPr>
        <w:t xml:space="preserve">PhD, </w:t>
      </w:r>
      <w:r w:rsidRPr="00A60D0F">
        <w:rPr>
          <w:rFonts w:asciiTheme="minorHAnsi" w:hAnsiTheme="minorHAnsi" w:cstheme="minorHAnsi"/>
          <w:bCs/>
        </w:rPr>
        <w:t xml:space="preserve">Branch Chief </w:t>
      </w:r>
    </w:p>
    <w:p w:rsidR="00D7018B" w:rsidRPr="00A60D0F" w:rsidRDefault="00D7018B" w:rsidP="00D7018B">
      <w:pPr>
        <w:ind w:firstLine="720"/>
        <w:rPr>
          <w:rFonts w:asciiTheme="minorHAnsi" w:hAnsiTheme="minorHAnsi" w:cstheme="minorHAnsi"/>
        </w:rPr>
      </w:pPr>
      <w:r w:rsidRPr="00A60D0F">
        <w:rPr>
          <w:rFonts w:asciiTheme="minorHAnsi" w:hAnsiTheme="minorHAnsi" w:cstheme="minorHAnsi"/>
        </w:rPr>
        <w:t>Centers for Disease Control and Prevention</w:t>
      </w:r>
    </w:p>
    <w:p w:rsidR="00242C73" w:rsidRPr="00A60D0F" w:rsidRDefault="00242C73" w:rsidP="00363892">
      <w:pPr>
        <w:ind w:left="720"/>
        <w:rPr>
          <w:rFonts w:asciiTheme="minorHAnsi" w:hAnsiTheme="minorHAnsi" w:cstheme="minorHAnsi"/>
          <w:bCs/>
        </w:rPr>
      </w:pPr>
      <w:r w:rsidRPr="00A60D0F">
        <w:rPr>
          <w:rFonts w:asciiTheme="minorHAnsi" w:hAnsiTheme="minorHAnsi" w:cstheme="minorHAnsi"/>
          <w:bCs/>
        </w:rPr>
        <w:t>National Institute for Occupational Safety and Health</w:t>
      </w:r>
    </w:p>
    <w:p w:rsidR="00242C73" w:rsidRPr="00A60D0F" w:rsidRDefault="00242C73" w:rsidP="00363892">
      <w:pPr>
        <w:ind w:firstLine="720"/>
        <w:rPr>
          <w:rFonts w:asciiTheme="minorHAnsi" w:hAnsiTheme="minorHAnsi" w:cstheme="minorHAnsi"/>
        </w:rPr>
      </w:pPr>
      <w:r w:rsidRPr="00A60D0F">
        <w:rPr>
          <w:rFonts w:asciiTheme="minorHAnsi" w:hAnsiTheme="minorHAnsi" w:cstheme="minorHAnsi"/>
        </w:rPr>
        <w:t>Hazard Evaluation and Technical Assistance Branch</w:t>
      </w:r>
    </w:p>
    <w:p w:rsidR="00242C73" w:rsidRPr="00A60D0F" w:rsidRDefault="00242C73" w:rsidP="00363892">
      <w:pPr>
        <w:ind w:firstLine="720"/>
        <w:rPr>
          <w:rFonts w:asciiTheme="minorHAnsi" w:hAnsiTheme="minorHAnsi" w:cstheme="minorHAnsi"/>
        </w:rPr>
      </w:pPr>
      <w:r w:rsidRPr="00A60D0F">
        <w:rPr>
          <w:rFonts w:asciiTheme="minorHAnsi" w:hAnsiTheme="minorHAnsi" w:cstheme="minorHAnsi"/>
        </w:rPr>
        <w:t>4676 Columbia Pkwy R-9</w:t>
      </w:r>
    </w:p>
    <w:p w:rsidR="00242C73" w:rsidRPr="00A60D0F" w:rsidRDefault="00242C73" w:rsidP="00363892">
      <w:pPr>
        <w:ind w:firstLine="720"/>
        <w:rPr>
          <w:rFonts w:asciiTheme="minorHAnsi" w:hAnsiTheme="minorHAnsi" w:cstheme="minorHAnsi"/>
        </w:rPr>
      </w:pPr>
      <w:r w:rsidRPr="00A60D0F">
        <w:rPr>
          <w:rFonts w:asciiTheme="minorHAnsi" w:hAnsiTheme="minorHAnsi" w:cstheme="minorHAnsi"/>
        </w:rPr>
        <w:t>Cincinnati OH 45226</w:t>
      </w:r>
    </w:p>
    <w:p w:rsidR="00242C73" w:rsidRPr="00A60D0F" w:rsidRDefault="00363892" w:rsidP="00363892">
      <w:pPr>
        <w:ind w:firstLine="720"/>
        <w:rPr>
          <w:rFonts w:asciiTheme="minorHAnsi" w:hAnsiTheme="minorHAnsi" w:cstheme="minorHAnsi"/>
          <w:lang w:val="fr-FR"/>
        </w:rPr>
      </w:pPr>
      <w:r w:rsidRPr="00A60D0F">
        <w:rPr>
          <w:rFonts w:asciiTheme="minorHAnsi" w:hAnsiTheme="minorHAnsi" w:cstheme="minorHAnsi"/>
          <w:lang w:val="fr-FR"/>
        </w:rPr>
        <w:t xml:space="preserve">Phone: </w:t>
      </w:r>
      <w:r w:rsidR="00242C73" w:rsidRPr="00A60D0F">
        <w:rPr>
          <w:rFonts w:asciiTheme="minorHAnsi" w:hAnsiTheme="minorHAnsi" w:cstheme="minorHAnsi"/>
          <w:lang w:val="fr-FR"/>
        </w:rPr>
        <w:t>513-841-4425</w:t>
      </w:r>
    </w:p>
    <w:p w:rsidR="00242C73" w:rsidRPr="00A60D0F" w:rsidRDefault="00363892" w:rsidP="00363892">
      <w:pPr>
        <w:ind w:firstLine="720"/>
        <w:rPr>
          <w:rFonts w:asciiTheme="minorHAnsi" w:hAnsiTheme="minorHAnsi" w:cstheme="minorHAnsi"/>
          <w:lang w:val="fr-FR"/>
        </w:rPr>
      </w:pPr>
      <w:r w:rsidRPr="00A60D0F">
        <w:rPr>
          <w:rFonts w:asciiTheme="minorHAnsi" w:hAnsiTheme="minorHAnsi" w:cstheme="minorHAnsi"/>
          <w:lang w:val="fr-FR"/>
        </w:rPr>
        <w:t xml:space="preserve">E-mail: </w:t>
      </w:r>
      <w:hyperlink r:id="rId9" w:history="1">
        <w:r w:rsidR="00242C73" w:rsidRPr="00A60D0F">
          <w:rPr>
            <w:rStyle w:val="Hyperlink"/>
            <w:rFonts w:asciiTheme="minorHAnsi" w:hAnsiTheme="minorHAnsi" w:cstheme="minorHAnsi"/>
            <w:lang w:val="fr-FR"/>
          </w:rPr>
          <w:t>atepper@cdc.gov</w:t>
        </w:r>
      </w:hyperlink>
    </w:p>
    <w:p w:rsidR="00B7107A" w:rsidRPr="00A60D0F" w:rsidRDefault="00363892" w:rsidP="00363892">
      <w:pPr>
        <w:ind w:left="720"/>
        <w:rPr>
          <w:rFonts w:asciiTheme="minorHAnsi" w:hAnsiTheme="minorHAnsi" w:cstheme="minorHAnsi"/>
          <w:lang w:val="fr-FR"/>
        </w:rPr>
      </w:pPr>
      <w:r w:rsidRPr="00A60D0F">
        <w:rPr>
          <w:rFonts w:asciiTheme="minorHAnsi" w:hAnsiTheme="minorHAnsi" w:cstheme="minorHAnsi"/>
          <w:lang w:val="fr-FR"/>
        </w:rPr>
        <w:t xml:space="preserve">Fax: </w:t>
      </w:r>
      <w:r w:rsidR="00242C73" w:rsidRPr="00A60D0F">
        <w:rPr>
          <w:rFonts w:asciiTheme="minorHAnsi" w:hAnsiTheme="minorHAnsi" w:cstheme="minorHAnsi"/>
          <w:lang w:val="fr-FR"/>
        </w:rPr>
        <w:t>513.841-4488</w:t>
      </w:r>
    </w:p>
    <w:p w:rsidR="00B7107A" w:rsidRPr="00A60D0F" w:rsidRDefault="00B7107A">
      <w:pPr>
        <w:rPr>
          <w:rFonts w:asciiTheme="minorHAnsi" w:hAnsiTheme="minorHAnsi" w:cstheme="minorHAnsi"/>
          <w:lang w:val="fr-FR"/>
        </w:rPr>
      </w:pPr>
      <w:r w:rsidRPr="00A60D0F">
        <w:rPr>
          <w:rFonts w:asciiTheme="minorHAnsi" w:hAnsiTheme="minorHAnsi" w:cstheme="minorHAnsi"/>
          <w:lang w:val="fr-FR"/>
        </w:rPr>
        <w:br w:type="page"/>
      </w:r>
    </w:p>
    <w:p w:rsidR="0064424A" w:rsidRPr="00A60D0F" w:rsidRDefault="00D7018B" w:rsidP="00CE6BFD">
      <w:pPr>
        <w:rPr>
          <w:rFonts w:asciiTheme="minorHAnsi" w:hAnsiTheme="minorHAnsi" w:cstheme="minorHAnsi"/>
          <w:b/>
        </w:rPr>
      </w:pPr>
      <w:r w:rsidRPr="00A60D0F">
        <w:rPr>
          <w:rFonts w:asciiTheme="minorHAnsi" w:hAnsiTheme="minorHAnsi" w:cstheme="minorHAnsi"/>
          <w:b/>
        </w:rPr>
        <w:lastRenderedPageBreak/>
        <w:t>Section</w:t>
      </w:r>
      <w:r w:rsidR="00CE6BFD" w:rsidRPr="00A60D0F">
        <w:rPr>
          <w:rFonts w:asciiTheme="minorHAnsi" w:hAnsiTheme="minorHAnsi" w:cstheme="minorHAnsi"/>
          <w:b/>
        </w:rPr>
        <w:t xml:space="preserve"> A</w:t>
      </w:r>
      <w:r w:rsidR="00F0026E">
        <w:rPr>
          <w:rFonts w:asciiTheme="minorHAnsi" w:hAnsiTheme="minorHAnsi" w:cstheme="minorHAnsi"/>
          <w:b/>
        </w:rPr>
        <w:t xml:space="preserve">. </w:t>
      </w:r>
      <w:r w:rsidR="0064424A" w:rsidRPr="00A60D0F">
        <w:rPr>
          <w:rFonts w:asciiTheme="minorHAnsi" w:hAnsiTheme="minorHAnsi" w:cstheme="minorHAnsi"/>
          <w:b/>
        </w:rPr>
        <w:t>JUSTIFICATION</w:t>
      </w:r>
    </w:p>
    <w:p w:rsidR="0064424A" w:rsidRPr="00A60D0F" w:rsidRDefault="0064424A" w:rsidP="0064424A">
      <w:pPr>
        <w:rPr>
          <w:rFonts w:asciiTheme="minorHAnsi" w:hAnsiTheme="minorHAnsi" w:cstheme="minorHAnsi"/>
        </w:rPr>
      </w:pPr>
    </w:p>
    <w:p w:rsidR="00A50EFC" w:rsidRPr="00A60D0F" w:rsidRDefault="0064424A" w:rsidP="00043048">
      <w:pPr>
        <w:pStyle w:val="ListParagraph"/>
        <w:numPr>
          <w:ilvl w:val="0"/>
          <w:numId w:val="5"/>
        </w:numPr>
        <w:rPr>
          <w:rFonts w:asciiTheme="minorHAnsi" w:hAnsiTheme="minorHAnsi" w:cstheme="minorHAnsi"/>
          <w:u w:val="single"/>
        </w:rPr>
      </w:pPr>
      <w:r w:rsidRPr="00A60D0F">
        <w:rPr>
          <w:rFonts w:asciiTheme="minorHAnsi" w:hAnsiTheme="minorHAnsi" w:cstheme="minorHAnsi"/>
          <w:u w:val="single"/>
        </w:rPr>
        <w:t>Circumstances Making the Collection of Information Necessary</w:t>
      </w:r>
    </w:p>
    <w:p w:rsidR="00D7018B" w:rsidRPr="00A60D0F" w:rsidRDefault="00D7018B" w:rsidP="00D7018B">
      <w:pPr>
        <w:pStyle w:val="ListParagraph"/>
        <w:ind w:left="630"/>
        <w:rPr>
          <w:rFonts w:asciiTheme="minorHAnsi" w:hAnsiTheme="minorHAnsi" w:cstheme="minorHAnsi"/>
        </w:rPr>
      </w:pPr>
    </w:p>
    <w:p w:rsidR="00A50EFC" w:rsidRPr="00A60D0F" w:rsidRDefault="00D7018B" w:rsidP="00A50EFC">
      <w:pPr>
        <w:rPr>
          <w:rFonts w:asciiTheme="minorHAnsi" w:hAnsiTheme="minorHAnsi" w:cstheme="minorHAnsi"/>
        </w:rPr>
      </w:pPr>
      <w:r w:rsidRPr="00A60D0F">
        <w:rPr>
          <w:rFonts w:asciiTheme="minorHAnsi" w:hAnsiTheme="minorHAnsi" w:cstheme="minorHAnsi"/>
        </w:rPr>
        <w:tab/>
      </w:r>
      <w:r w:rsidRPr="00A60D0F">
        <w:rPr>
          <w:rFonts w:asciiTheme="minorHAnsi" w:hAnsiTheme="minorHAnsi" w:cstheme="minorHAnsi"/>
          <w:b/>
        </w:rPr>
        <w:t>Background</w:t>
      </w:r>
    </w:p>
    <w:p w:rsidR="00D7018B" w:rsidRPr="00A60D0F" w:rsidRDefault="00D7018B" w:rsidP="00D7018B">
      <w:pPr>
        <w:ind w:left="720" w:hanging="720"/>
        <w:rPr>
          <w:rFonts w:asciiTheme="minorHAnsi" w:hAnsiTheme="minorHAnsi" w:cstheme="minorHAnsi"/>
        </w:rPr>
      </w:pPr>
      <w:r w:rsidRPr="00A60D0F">
        <w:rPr>
          <w:rFonts w:asciiTheme="minorHAnsi" w:hAnsiTheme="minorHAnsi" w:cstheme="minorHAnsi"/>
        </w:rPr>
        <w:tab/>
        <w:t>This data collection us</w:t>
      </w:r>
      <w:r w:rsidR="00221926" w:rsidRPr="00A60D0F">
        <w:rPr>
          <w:rFonts w:asciiTheme="minorHAnsi" w:hAnsiTheme="minorHAnsi" w:cstheme="minorHAnsi"/>
        </w:rPr>
        <w:t>es</w:t>
      </w:r>
      <w:r w:rsidRPr="00A60D0F">
        <w:rPr>
          <w:rFonts w:asciiTheme="minorHAnsi" w:hAnsiTheme="minorHAnsi" w:cstheme="minorHAnsi"/>
        </w:rPr>
        <w:t xml:space="preserve"> the Generic Information Collection mechanism of the OSTLTS Survey Center (OSC) – OMB No. 0920-0879</w:t>
      </w:r>
      <w:r w:rsidR="00F0026E">
        <w:rPr>
          <w:rFonts w:asciiTheme="minorHAnsi" w:hAnsiTheme="minorHAnsi" w:cstheme="minorHAnsi"/>
        </w:rPr>
        <w:t xml:space="preserve">. </w:t>
      </w:r>
      <w:r w:rsidRPr="00A60D0F">
        <w:rPr>
          <w:rFonts w:asciiTheme="minorHAnsi" w:hAnsiTheme="minorHAnsi" w:cstheme="minorHAnsi"/>
        </w:rPr>
        <w:t>The respondent universe for this data collection aligns with that of the OSC</w:t>
      </w:r>
      <w:r w:rsidR="00F0026E">
        <w:rPr>
          <w:rFonts w:asciiTheme="minorHAnsi" w:hAnsiTheme="minorHAnsi" w:cstheme="minorHAnsi"/>
        </w:rPr>
        <w:t xml:space="preserve">. </w:t>
      </w:r>
      <w:r w:rsidRPr="00A60D0F">
        <w:rPr>
          <w:rFonts w:asciiTheme="minorHAnsi" w:hAnsiTheme="minorHAnsi" w:cstheme="minorHAnsi"/>
        </w:rPr>
        <w:t>Data will be collected from</w:t>
      </w:r>
      <w:r w:rsidR="00FC3477" w:rsidRPr="00A60D0F">
        <w:rPr>
          <w:rFonts w:asciiTheme="minorHAnsi" w:hAnsiTheme="minorHAnsi" w:cstheme="minorHAnsi"/>
        </w:rPr>
        <w:t xml:space="preserve"> </w:t>
      </w:r>
      <w:r w:rsidR="00514395" w:rsidRPr="00A60D0F">
        <w:rPr>
          <w:rFonts w:asciiTheme="minorHAnsi" w:hAnsiTheme="minorHAnsi" w:cstheme="minorHAnsi"/>
        </w:rPr>
        <w:t>L</w:t>
      </w:r>
      <w:r w:rsidR="00FC3477" w:rsidRPr="00A60D0F">
        <w:rPr>
          <w:rFonts w:asciiTheme="minorHAnsi" w:hAnsiTheme="minorHAnsi" w:cstheme="minorHAnsi"/>
        </w:rPr>
        <w:t xml:space="preserve">ocal </w:t>
      </w:r>
      <w:r w:rsidR="00514395" w:rsidRPr="00A60D0F">
        <w:rPr>
          <w:rFonts w:asciiTheme="minorHAnsi" w:hAnsiTheme="minorHAnsi" w:cstheme="minorHAnsi"/>
        </w:rPr>
        <w:t>H</w:t>
      </w:r>
      <w:r w:rsidR="00FC3477" w:rsidRPr="00A60D0F">
        <w:rPr>
          <w:rFonts w:asciiTheme="minorHAnsi" w:hAnsiTheme="minorHAnsi" w:cstheme="minorHAnsi"/>
        </w:rPr>
        <w:t xml:space="preserve">ealth </w:t>
      </w:r>
      <w:r w:rsidR="00514395" w:rsidRPr="00A60D0F">
        <w:rPr>
          <w:rFonts w:asciiTheme="minorHAnsi" w:hAnsiTheme="minorHAnsi" w:cstheme="minorHAnsi"/>
        </w:rPr>
        <w:t xml:space="preserve">Department </w:t>
      </w:r>
      <w:r w:rsidR="00276DBB" w:rsidRPr="00A60D0F">
        <w:rPr>
          <w:rFonts w:asciiTheme="minorHAnsi" w:hAnsiTheme="minorHAnsi" w:cstheme="minorHAnsi"/>
        </w:rPr>
        <w:t>d</w:t>
      </w:r>
      <w:r w:rsidR="00514395" w:rsidRPr="00A60D0F">
        <w:rPr>
          <w:rFonts w:asciiTheme="minorHAnsi" w:hAnsiTheme="minorHAnsi" w:cstheme="minorHAnsi"/>
        </w:rPr>
        <w:t xml:space="preserve">irectors </w:t>
      </w:r>
      <w:r w:rsidR="00FC3477" w:rsidRPr="00A60D0F">
        <w:rPr>
          <w:rFonts w:asciiTheme="minorHAnsi" w:hAnsiTheme="minorHAnsi" w:cstheme="minorHAnsi"/>
        </w:rPr>
        <w:t>or their designees</w:t>
      </w:r>
      <w:r w:rsidRPr="00A60D0F">
        <w:rPr>
          <w:rFonts w:asciiTheme="minorHAnsi" w:hAnsiTheme="minorHAnsi" w:cstheme="minorHAnsi"/>
        </w:rPr>
        <w:t>.</w:t>
      </w:r>
    </w:p>
    <w:p w:rsidR="00CA0C5A" w:rsidRPr="00A60D0F" w:rsidRDefault="00CA0C5A" w:rsidP="00D7018B">
      <w:pPr>
        <w:ind w:left="720" w:hanging="720"/>
        <w:rPr>
          <w:rFonts w:asciiTheme="minorHAnsi" w:hAnsiTheme="minorHAnsi" w:cstheme="minorHAnsi"/>
        </w:rPr>
      </w:pPr>
    </w:p>
    <w:p w:rsidR="00CA0C5A" w:rsidRPr="00A60D0F" w:rsidRDefault="00CA0C5A" w:rsidP="00CA0C5A">
      <w:pPr>
        <w:ind w:left="720"/>
        <w:rPr>
          <w:rFonts w:asciiTheme="minorHAnsi" w:hAnsiTheme="minorHAnsi" w:cstheme="minorHAnsi"/>
        </w:rPr>
      </w:pPr>
      <w:r w:rsidRPr="00A60D0F">
        <w:rPr>
          <w:rFonts w:asciiTheme="minorHAnsi" w:hAnsiTheme="minorHAnsi" w:cstheme="minorHAnsi"/>
        </w:rPr>
        <w:t>In accordance with its mandates under the Occupational Safety and Health Act of 1970 and the Federal Mine Safety and Health Act of 1977, the Centers for Disease Control and Prevention’s National Institute for Occupational Safety and Health (NIOSH) responds to requests for Health Hazard Evaluations (HHEs) to identify chemical, biological, or physical hazards in workplaces throughout the United States</w:t>
      </w:r>
      <w:r w:rsidR="00F0026E">
        <w:rPr>
          <w:rFonts w:asciiTheme="minorHAnsi" w:hAnsiTheme="minorHAnsi" w:cstheme="minorHAnsi"/>
        </w:rPr>
        <w:t xml:space="preserve">. </w:t>
      </w:r>
      <w:r w:rsidRPr="00A60D0F">
        <w:rPr>
          <w:rFonts w:asciiTheme="minorHAnsi" w:hAnsiTheme="minorHAnsi" w:cstheme="minorHAnsi"/>
        </w:rPr>
        <w:t xml:space="preserve">In recent years, NIOSH has received about 200 requests annually. The NIOSH </w:t>
      </w:r>
      <w:r w:rsidR="006D3CB1" w:rsidRPr="00A60D0F">
        <w:rPr>
          <w:rFonts w:asciiTheme="minorHAnsi" w:hAnsiTheme="minorHAnsi" w:cstheme="minorHAnsi"/>
        </w:rPr>
        <w:t>HHE Program</w:t>
      </w:r>
      <w:r w:rsidRPr="00A60D0F">
        <w:rPr>
          <w:rFonts w:asciiTheme="minorHAnsi" w:hAnsiTheme="minorHAnsi" w:cstheme="minorHAnsi"/>
        </w:rPr>
        <w:t xml:space="preserve"> conducts approximately 80 short-term field evaluations each year to identify potential chemical, biological, or physical hazards in a given workplace</w:t>
      </w:r>
      <w:r w:rsidR="00F0026E">
        <w:rPr>
          <w:rFonts w:asciiTheme="minorHAnsi" w:hAnsiTheme="minorHAnsi" w:cstheme="minorHAnsi"/>
        </w:rPr>
        <w:t xml:space="preserve">. </w:t>
      </w:r>
      <w:r w:rsidRPr="00A60D0F">
        <w:rPr>
          <w:rFonts w:asciiTheme="minorHAnsi" w:hAnsiTheme="minorHAnsi" w:cstheme="minorHAnsi"/>
        </w:rPr>
        <w:t>For the remaining requests, NIOSH responds by letter or telephone</w:t>
      </w:r>
      <w:r w:rsidR="00F0026E">
        <w:rPr>
          <w:rFonts w:asciiTheme="minorHAnsi" w:hAnsiTheme="minorHAnsi" w:cstheme="minorHAnsi"/>
        </w:rPr>
        <w:t xml:space="preserve">. </w:t>
      </w:r>
      <w:r w:rsidRPr="00A60D0F">
        <w:rPr>
          <w:rFonts w:asciiTheme="minorHAnsi" w:hAnsiTheme="minorHAnsi" w:cstheme="minorHAnsi"/>
        </w:rPr>
        <w:t xml:space="preserve">This authority forms the basis for the NIOSH </w:t>
      </w:r>
      <w:r w:rsidR="006D3CB1" w:rsidRPr="00A60D0F">
        <w:rPr>
          <w:rFonts w:asciiTheme="minorHAnsi" w:hAnsiTheme="minorHAnsi" w:cstheme="minorHAnsi"/>
        </w:rPr>
        <w:t>HHE Program</w:t>
      </w:r>
      <w:r w:rsidR="00F0026E">
        <w:rPr>
          <w:rFonts w:asciiTheme="minorHAnsi" w:hAnsiTheme="minorHAnsi" w:cstheme="minorHAnsi"/>
        </w:rPr>
        <w:t xml:space="preserve">. </w:t>
      </w:r>
      <w:r w:rsidRPr="00A60D0F">
        <w:rPr>
          <w:rFonts w:asciiTheme="minorHAnsi" w:hAnsiTheme="minorHAnsi" w:cstheme="minorHAnsi"/>
        </w:rPr>
        <w:t xml:space="preserve">The </w:t>
      </w:r>
      <w:r w:rsidR="006D3CB1" w:rsidRPr="00A60D0F">
        <w:rPr>
          <w:rFonts w:asciiTheme="minorHAnsi" w:hAnsiTheme="minorHAnsi" w:cstheme="minorHAnsi"/>
        </w:rPr>
        <w:t>HHE Program</w:t>
      </w:r>
      <w:r w:rsidRPr="00A60D0F">
        <w:rPr>
          <w:rFonts w:asciiTheme="minorHAnsi" w:hAnsiTheme="minorHAnsi" w:cstheme="minorHAnsi"/>
        </w:rPr>
        <w:t xml:space="preserve"> field investigations operate under ICR 0920-0260 (</w:t>
      </w:r>
      <w:r w:rsidR="00FA4B51" w:rsidRPr="00A60D0F">
        <w:rPr>
          <w:rFonts w:asciiTheme="minorHAnsi" w:hAnsiTheme="minorHAnsi" w:cstheme="minorHAnsi"/>
          <w:b/>
        </w:rPr>
        <w:t xml:space="preserve">Attachment </w:t>
      </w:r>
      <w:r w:rsidRPr="00A60D0F">
        <w:rPr>
          <w:rFonts w:asciiTheme="minorHAnsi" w:hAnsiTheme="minorHAnsi" w:cstheme="minorHAnsi"/>
          <w:b/>
        </w:rPr>
        <w:t>A</w:t>
      </w:r>
      <w:r w:rsidRPr="00A60D0F">
        <w:rPr>
          <w:rFonts w:asciiTheme="minorHAnsi" w:hAnsiTheme="minorHAnsi" w:cstheme="minorHAnsi"/>
        </w:rPr>
        <w:t xml:space="preserve">). This approved information collection covers activities specifically related to the </w:t>
      </w:r>
      <w:r w:rsidR="006D3CB1" w:rsidRPr="00A60D0F">
        <w:rPr>
          <w:rFonts w:asciiTheme="minorHAnsi" w:hAnsiTheme="minorHAnsi" w:cstheme="minorHAnsi"/>
        </w:rPr>
        <w:t>HHE Program</w:t>
      </w:r>
      <w:r w:rsidRPr="00A60D0F">
        <w:rPr>
          <w:rFonts w:asciiTheme="minorHAnsi" w:hAnsiTheme="minorHAnsi" w:cstheme="minorHAnsi"/>
        </w:rPr>
        <w:t xml:space="preserve">’s field investigations. Because it does not explicitly cover other aspects of the </w:t>
      </w:r>
      <w:r w:rsidR="006D3CB1" w:rsidRPr="00A60D0F">
        <w:rPr>
          <w:rFonts w:asciiTheme="minorHAnsi" w:hAnsiTheme="minorHAnsi" w:cstheme="minorHAnsi"/>
        </w:rPr>
        <w:t>HHE Program</w:t>
      </w:r>
      <w:r w:rsidRPr="00A60D0F">
        <w:rPr>
          <w:rFonts w:asciiTheme="minorHAnsi" w:hAnsiTheme="minorHAnsi" w:cstheme="minorHAnsi"/>
        </w:rPr>
        <w:t xml:space="preserve">, such as </w:t>
      </w:r>
      <w:r w:rsidR="00012F07">
        <w:rPr>
          <w:rFonts w:asciiTheme="minorHAnsi" w:hAnsiTheme="minorHAnsi" w:cstheme="minorHAnsi"/>
        </w:rPr>
        <w:t>assessing the effectiveness of outreach materials</w:t>
      </w:r>
      <w:r w:rsidRPr="00A60D0F">
        <w:rPr>
          <w:rFonts w:asciiTheme="minorHAnsi" w:hAnsiTheme="minorHAnsi" w:cstheme="minorHAnsi"/>
        </w:rPr>
        <w:t xml:space="preserve">, the </w:t>
      </w:r>
      <w:r w:rsidR="006D3CB1" w:rsidRPr="00A60D0F">
        <w:rPr>
          <w:rFonts w:asciiTheme="minorHAnsi" w:hAnsiTheme="minorHAnsi" w:cstheme="minorHAnsi"/>
        </w:rPr>
        <w:t>HHE Program</w:t>
      </w:r>
      <w:r w:rsidRPr="00A60D0F">
        <w:rPr>
          <w:rFonts w:asciiTheme="minorHAnsi" w:hAnsiTheme="minorHAnsi" w:cstheme="minorHAnsi"/>
        </w:rPr>
        <w:t xml:space="preserve"> is submitting this request for approval of the proposed </w:t>
      </w:r>
      <w:r w:rsidR="00F028CD" w:rsidRPr="00A60D0F">
        <w:rPr>
          <w:rFonts w:asciiTheme="minorHAnsi" w:hAnsiTheme="minorHAnsi" w:cstheme="minorHAnsi"/>
        </w:rPr>
        <w:t>data collection.</w:t>
      </w:r>
    </w:p>
    <w:p w:rsidR="00CA0C5A" w:rsidRPr="00A60D0F" w:rsidRDefault="00CA0C5A" w:rsidP="00CA0C5A">
      <w:pPr>
        <w:ind w:left="720"/>
        <w:rPr>
          <w:rFonts w:asciiTheme="minorHAnsi" w:hAnsiTheme="minorHAnsi" w:cstheme="minorHAnsi"/>
        </w:rPr>
      </w:pPr>
    </w:p>
    <w:p w:rsidR="000C0EFD" w:rsidRPr="00A60D0F" w:rsidRDefault="00CA0C5A" w:rsidP="00CA0C5A">
      <w:pPr>
        <w:ind w:left="720"/>
        <w:rPr>
          <w:rFonts w:asciiTheme="minorHAnsi" w:hAnsiTheme="minorHAnsi" w:cstheme="minorHAnsi"/>
        </w:rPr>
      </w:pPr>
      <w:r w:rsidRPr="00A60D0F">
        <w:rPr>
          <w:rFonts w:asciiTheme="minorHAnsi" w:hAnsiTheme="minorHAnsi" w:cstheme="minorHAnsi"/>
        </w:rPr>
        <w:t>Since 1970, NIOSH has responded to over 14,000 HHE requests</w:t>
      </w:r>
      <w:r w:rsidR="00F0026E">
        <w:rPr>
          <w:rFonts w:asciiTheme="minorHAnsi" w:hAnsiTheme="minorHAnsi" w:cstheme="minorHAnsi"/>
        </w:rPr>
        <w:t xml:space="preserve">. </w:t>
      </w:r>
      <w:r w:rsidRPr="00A60D0F">
        <w:rPr>
          <w:rFonts w:asciiTheme="minorHAnsi" w:hAnsiTheme="minorHAnsi" w:cstheme="minorHAnsi"/>
        </w:rPr>
        <w:t>The main purpose of an HHE is to help employers and employees identify and eliminate work hazards</w:t>
      </w:r>
      <w:r w:rsidR="00F0026E">
        <w:rPr>
          <w:rFonts w:asciiTheme="minorHAnsi" w:hAnsiTheme="minorHAnsi" w:cstheme="minorHAnsi"/>
        </w:rPr>
        <w:t xml:space="preserve">. </w:t>
      </w:r>
      <w:r w:rsidR="000C0EFD" w:rsidRPr="00A60D0F">
        <w:rPr>
          <w:rFonts w:asciiTheme="minorHAnsi" w:hAnsiTheme="minorHAnsi" w:cstheme="minorHAnsi"/>
        </w:rPr>
        <w:t xml:space="preserve">In response to requests, the </w:t>
      </w:r>
      <w:r w:rsidR="006D3CB1" w:rsidRPr="00A60D0F">
        <w:rPr>
          <w:rFonts w:asciiTheme="minorHAnsi" w:hAnsiTheme="minorHAnsi" w:cstheme="minorHAnsi"/>
        </w:rPr>
        <w:t>HHE Program</w:t>
      </w:r>
      <w:r w:rsidR="000C0EFD" w:rsidRPr="00A60D0F">
        <w:rPr>
          <w:rFonts w:asciiTheme="minorHAnsi" w:hAnsiTheme="minorHAnsi" w:cstheme="minorHAnsi"/>
        </w:rPr>
        <w:t xml:space="preserve"> assembles an interdisciplinary team (e.g., industrial hygienists, engineers, occupational physicians, epidemiologists, psychologists) who </w:t>
      </w:r>
      <w:r w:rsidRPr="00A60D0F">
        <w:rPr>
          <w:rFonts w:asciiTheme="minorHAnsi" w:hAnsiTheme="minorHAnsi" w:cstheme="minorHAnsi"/>
        </w:rPr>
        <w:t xml:space="preserve">carry out </w:t>
      </w:r>
      <w:r w:rsidR="000C0EFD" w:rsidRPr="00A60D0F">
        <w:rPr>
          <w:rFonts w:asciiTheme="minorHAnsi" w:hAnsiTheme="minorHAnsi" w:cstheme="minorHAnsi"/>
        </w:rPr>
        <w:t xml:space="preserve">exposure </w:t>
      </w:r>
      <w:r w:rsidR="006D3CB1" w:rsidRPr="00A60D0F">
        <w:rPr>
          <w:rFonts w:asciiTheme="minorHAnsi" w:hAnsiTheme="minorHAnsi" w:cstheme="minorHAnsi"/>
        </w:rPr>
        <w:t xml:space="preserve">and </w:t>
      </w:r>
      <w:r w:rsidRPr="00A60D0F">
        <w:rPr>
          <w:rFonts w:asciiTheme="minorHAnsi" w:hAnsiTheme="minorHAnsi" w:cstheme="minorHAnsi"/>
        </w:rPr>
        <w:t xml:space="preserve">health </w:t>
      </w:r>
      <w:r w:rsidR="000C0EFD" w:rsidRPr="00A60D0F">
        <w:rPr>
          <w:rFonts w:asciiTheme="minorHAnsi" w:hAnsiTheme="minorHAnsi" w:cstheme="minorHAnsi"/>
        </w:rPr>
        <w:t>assessments</w:t>
      </w:r>
      <w:r w:rsidRPr="00A60D0F">
        <w:rPr>
          <w:rFonts w:asciiTheme="minorHAnsi" w:hAnsiTheme="minorHAnsi" w:cstheme="minorHAnsi"/>
        </w:rPr>
        <w:t xml:space="preserve">. The findings from these assessments are used to formulate recommendations to ameliorate identified hazards and prevent occupational illness and disease. Findings are </w:t>
      </w:r>
      <w:r w:rsidR="006D3CB1" w:rsidRPr="00A60D0F">
        <w:rPr>
          <w:rFonts w:asciiTheme="minorHAnsi" w:hAnsiTheme="minorHAnsi" w:cstheme="minorHAnsi"/>
        </w:rPr>
        <w:t xml:space="preserve">shared with </w:t>
      </w:r>
      <w:r w:rsidRPr="00A60D0F">
        <w:rPr>
          <w:rFonts w:asciiTheme="minorHAnsi" w:hAnsiTheme="minorHAnsi" w:cstheme="minorHAnsi"/>
        </w:rPr>
        <w:t xml:space="preserve">employers, employees, and public health agencies in a written report (an example is provided in </w:t>
      </w:r>
      <w:r w:rsidR="00FA4B51" w:rsidRPr="00A60D0F">
        <w:rPr>
          <w:rFonts w:asciiTheme="minorHAnsi" w:hAnsiTheme="minorHAnsi" w:cstheme="minorHAnsi"/>
          <w:b/>
        </w:rPr>
        <w:t xml:space="preserve">Attachment </w:t>
      </w:r>
      <w:r w:rsidRPr="00A60D0F">
        <w:rPr>
          <w:rFonts w:asciiTheme="minorHAnsi" w:hAnsiTheme="minorHAnsi" w:cstheme="minorHAnsi"/>
          <w:b/>
        </w:rPr>
        <w:t>B</w:t>
      </w:r>
      <w:r w:rsidRPr="00A60D0F">
        <w:rPr>
          <w:rFonts w:asciiTheme="minorHAnsi" w:hAnsiTheme="minorHAnsi" w:cstheme="minorHAnsi"/>
        </w:rPr>
        <w:t xml:space="preserve">). This report is published on the NIOSH website. </w:t>
      </w:r>
    </w:p>
    <w:p w:rsidR="000C0EFD" w:rsidRPr="00A60D0F" w:rsidRDefault="000C0EFD" w:rsidP="00A50EFC">
      <w:pPr>
        <w:ind w:left="720" w:hanging="720"/>
        <w:rPr>
          <w:rFonts w:asciiTheme="minorHAnsi" w:hAnsiTheme="minorHAnsi" w:cstheme="minorHAnsi"/>
        </w:rPr>
      </w:pPr>
    </w:p>
    <w:p w:rsidR="00DA7F9D" w:rsidRPr="00A60D0F" w:rsidRDefault="000C0EFD" w:rsidP="006D3CB1">
      <w:pPr>
        <w:ind w:left="720"/>
        <w:rPr>
          <w:rFonts w:asciiTheme="minorHAnsi" w:hAnsiTheme="minorHAnsi" w:cstheme="minorHAnsi"/>
        </w:rPr>
      </w:pPr>
      <w:r w:rsidRPr="00A60D0F">
        <w:rPr>
          <w:rFonts w:asciiTheme="minorHAnsi" w:hAnsiTheme="minorHAnsi" w:cstheme="minorHAnsi"/>
        </w:rPr>
        <w:t xml:space="preserve">In 2009, the </w:t>
      </w:r>
      <w:r w:rsidR="00CA0C5A" w:rsidRPr="00A60D0F">
        <w:rPr>
          <w:rFonts w:asciiTheme="minorHAnsi" w:hAnsiTheme="minorHAnsi" w:cstheme="minorHAnsi"/>
        </w:rPr>
        <w:t xml:space="preserve">National Academies reviewed the </w:t>
      </w:r>
      <w:r w:rsidR="006D3CB1" w:rsidRPr="00A60D0F">
        <w:rPr>
          <w:rFonts w:asciiTheme="minorHAnsi" w:hAnsiTheme="minorHAnsi" w:cstheme="minorHAnsi"/>
        </w:rPr>
        <w:t>HHE Program</w:t>
      </w:r>
      <w:r w:rsidRPr="00A60D0F">
        <w:rPr>
          <w:rFonts w:asciiTheme="minorHAnsi" w:hAnsiTheme="minorHAnsi" w:cstheme="minorHAnsi"/>
        </w:rPr>
        <w:t xml:space="preserve"> </w:t>
      </w:r>
      <w:r w:rsidR="00CA0C5A" w:rsidRPr="00A60D0F">
        <w:rPr>
          <w:rFonts w:asciiTheme="minorHAnsi" w:hAnsiTheme="minorHAnsi" w:cstheme="minorHAnsi"/>
        </w:rPr>
        <w:t xml:space="preserve">to assess its impact and relevance. </w:t>
      </w:r>
      <w:r w:rsidR="006D3CB1" w:rsidRPr="00A60D0F">
        <w:rPr>
          <w:rFonts w:asciiTheme="minorHAnsi" w:hAnsiTheme="minorHAnsi" w:cstheme="minorHAnsi"/>
        </w:rPr>
        <w:t>On a scale from 5 (best) to 1 (worst), the HHE Program received scores of 5 for relevance and 4 for impact (</w:t>
      </w:r>
      <w:r w:rsidR="00FA4B51" w:rsidRPr="00172EB7">
        <w:rPr>
          <w:rFonts w:asciiTheme="minorHAnsi" w:hAnsiTheme="minorHAnsi" w:cstheme="minorHAnsi"/>
          <w:b/>
        </w:rPr>
        <w:t xml:space="preserve">Attachment </w:t>
      </w:r>
      <w:r w:rsidR="006D3CB1" w:rsidRPr="00172EB7">
        <w:rPr>
          <w:rFonts w:asciiTheme="minorHAnsi" w:hAnsiTheme="minorHAnsi" w:cstheme="minorHAnsi"/>
          <w:b/>
        </w:rPr>
        <w:t>C</w:t>
      </w:r>
      <w:r w:rsidR="006D3CB1" w:rsidRPr="00A60D0F">
        <w:rPr>
          <w:rFonts w:asciiTheme="minorHAnsi" w:hAnsiTheme="minorHAnsi" w:cstheme="minorHAnsi"/>
        </w:rPr>
        <w:t xml:space="preserve">). The </w:t>
      </w:r>
      <w:r w:rsidRPr="00A60D0F">
        <w:rPr>
          <w:rFonts w:asciiTheme="minorHAnsi" w:hAnsiTheme="minorHAnsi" w:cstheme="minorHAnsi"/>
        </w:rPr>
        <w:t xml:space="preserve">review panel </w:t>
      </w:r>
      <w:r w:rsidR="006D3CB1" w:rsidRPr="00A60D0F">
        <w:rPr>
          <w:rFonts w:asciiTheme="minorHAnsi" w:hAnsiTheme="minorHAnsi" w:cstheme="minorHAnsi"/>
        </w:rPr>
        <w:t xml:space="preserve">recommended </w:t>
      </w:r>
      <w:r w:rsidRPr="00A60D0F">
        <w:rPr>
          <w:rFonts w:asciiTheme="minorHAnsi" w:hAnsiTheme="minorHAnsi" w:cstheme="minorHAnsi"/>
        </w:rPr>
        <w:t>expand</w:t>
      </w:r>
      <w:r w:rsidR="006D3CB1" w:rsidRPr="00A60D0F">
        <w:rPr>
          <w:rFonts w:asciiTheme="minorHAnsi" w:hAnsiTheme="minorHAnsi" w:cstheme="minorHAnsi"/>
        </w:rPr>
        <w:t>ing</w:t>
      </w:r>
      <w:r w:rsidRPr="00A60D0F">
        <w:rPr>
          <w:rFonts w:asciiTheme="minorHAnsi" w:hAnsiTheme="minorHAnsi" w:cstheme="minorHAnsi"/>
        </w:rPr>
        <w:t xml:space="preserve"> communication </w:t>
      </w:r>
      <w:r w:rsidR="006D3CB1" w:rsidRPr="00A60D0F">
        <w:rPr>
          <w:rFonts w:asciiTheme="minorHAnsi" w:hAnsiTheme="minorHAnsi" w:cstheme="minorHAnsi"/>
        </w:rPr>
        <w:t xml:space="preserve">with </w:t>
      </w:r>
      <w:r w:rsidRPr="00A60D0F">
        <w:rPr>
          <w:rFonts w:asciiTheme="minorHAnsi" w:hAnsiTheme="minorHAnsi" w:cstheme="minorHAnsi"/>
        </w:rPr>
        <w:t>other public health agencies</w:t>
      </w:r>
      <w:r w:rsidR="00F0026E">
        <w:rPr>
          <w:rFonts w:asciiTheme="minorHAnsi" w:hAnsiTheme="minorHAnsi" w:cstheme="minorHAnsi"/>
        </w:rPr>
        <w:t xml:space="preserve">. </w:t>
      </w:r>
      <w:r w:rsidR="00CA0C5A" w:rsidRPr="00A60D0F">
        <w:rPr>
          <w:rFonts w:asciiTheme="minorHAnsi" w:hAnsiTheme="minorHAnsi" w:cstheme="minorHAnsi"/>
        </w:rPr>
        <w:t>The Health Hazard Evaluation program works collaboratively with other public health entities at the federal, state, and local level to ensure that fundamental public health measures are in place</w:t>
      </w:r>
      <w:r w:rsidR="00F0026E">
        <w:rPr>
          <w:rFonts w:asciiTheme="minorHAnsi" w:hAnsiTheme="minorHAnsi" w:cstheme="minorHAnsi"/>
        </w:rPr>
        <w:t xml:space="preserve">. </w:t>
      </w:r>
      <w:r w:rsidRPr="00A60D0F">
        <w:rPr>
          <w:rFonts w:asciiTheme="minorHAnsi" w:hAnsiTheme="minorHAnsi" w:cstheme="minorHAnsi"/>
        </w:rPr>
        <w:t xml:space="preserve">In 2010, the </w:t>
      </w:r>
      <w:r w:rsidR="006D3CB1" w:rsidRPr="00A60D0F">
        <w:rPr>
          <w:rFonts w:asciiTheme="minorHAnsi" w:hAnsiTheme="minorHAnsi" w:cstheme="minorHAnsi"/>
        </w:rPr>
        <w:t>HHE Program</w:t>
      </w:r>
      <w:r w:rsidRPr="00A60D0F">
        <w:rPr>
          <w:rFonts w:asciiTheme="minorHAnsi" w:hAnsiTheme="minorHAnsi" w:cstheme="minorHAnsi"/>
        </w:rPr>
        <w:t xml:space="preserve"> responded </w:t>
      </w:r>
      <w:r w:rsidR="006D3CB1" w:rsidRPr="00A60D0F">
        <w:rPr>
          <w:rFonts w:asciiTheme="minorHAnsi" w:hAnsiTheme="minorHAnsi" w:cstheme="minorHAnsi"/>
        </w:rPr>
        <w:t xml:space="preserve">to the National Academies review </w:t>
      </w:r>
      <w:r w:rsidRPr="00A60D0F">
        <w:rPr>
          <w:rFonts w:asciiTheme="minorHAnsi" w:hAnsiTheme="minorHAnsi" w:cstheme="minorHAnsi"/>
        </w:rPr>
        <w:t>with its implementation plan</w:t>
      </w:r>
      <w:r w:rsidR="006D3CB1" w:rsidRPr="00A60D0F">
        <w:rPr>
          <w:rFonts w:asciiTheme="minorHAnsi" w:hAnsiTheme="minorHAnsi" w:cstheme="minorHAnsi"/>
        </w:rPr>
        <w:t xml:space="preserve"> (</w:t>
      </w:r>
      <w:r w:rsidR="00FA4B51" w:rsidRPr="00A60D0F">
        <w:rPr>
          <w:rFonts w:asciiTheme="minorHAnsi" w:hAnsiTheme="minorHAnsi" w:cstheme="minorHAnsi"/>
          <w:b/>
        </w:rPr>
        <w:t xml:space="preserve">Attachment </w:t>
      </w:r>
      <w:r w:rsidR="006D3CB1" w:rsidRPr="00172EB7">
        <w:rPr>
          <w:rFonts w:asciiTheme="minorHAnsi" w:hAnsiTheme="minorHAnsi" w:cstheme="minorHAnsi"/>
          <w:b/>
        </w:rPr>
        <w:t>D</w:t>
      </w:r>
      <w:r w:rsidRPr="00A60D0F">
        <w:rPr>
          <w:rFonts w:asciiTheme="minorHAnsi" w:hAnsiTheme="minorHAnsi" w:cstheme="minorHAnsi"/>
        </w:rPr>
        <w:t xml:space="preserve">), which </w:t>
      </w:r>
      <w:r w:rsidR="006D3CB1" w:rsidRPr="00A60D0F">
        <w:rPr>
          <w:rFonts w:asciiTheme="minorHAnsi" w:hAnsiTheme="minorHAnsi" w:cstheme="minorHAnsi"/>
        </w:rPr>
        <w:t>became the driver for subsequent Program strategic plans (</w:t>
      </w:r>
      <w:r w:rsidR="00FA4B51" w:rsidRPr="00A60D0F">
        <w:rPr>
          <w:rFonts w:asciiTheme="minorHAnsi" w:hAnsiTheme="minorHAnsi" w:cstheme="minorHAnsi"/>
          <w:b/>
        </w:rPr>
        <w:t xml:space="preserve">Attachment </w:t>
      </w:r>
      <w:r w:rsidR="006D3CB1" w:rsidRPr="00172EB7">
        <w:rPr>
          <w:rFonts w:asciiTheme="minorHAnsi" w:hAnsiTheme="minorHAnsi" w:cstheme="minorHAnsi"/>
          <w:b/>
        </w:rPr>
        <w:t>E</w:t>
      </w:r>
      <w:r w:rsidR="006D3CB1" w:rsidRPr="00A60D0F">
        <w:rPr>
          <w:rFonts w:asciiTheme="minorHAnsi" w:hAnsiTheme="minorHAnsi" w:cstheme="minorHAnsi"/>
        </w:rPr>
        <w:t xml:space="preserve">). An element in these plans called for enhancing interactions with local health departments. </w:t>
      </w:r>
      <w:r w:rsidRPr="00A60D0F">
        <w:rPr>
          <w:rFonts w:asciiTheme="minorHAnsi" w:hAnsiTheme="minorHAnsi" w:cstheme="minorHAnsi"/>
        </w:rPr>
        <w:t xml:space="preserve">As a result, in March 2011, </w:t>
      </w:r>
      <w:r w:rsidR="006D3CB1" w:rsidRPr="00A60D0F">
        <w:rPr>
          <w:rFonts w:asciiTheme="minorHAnsi" w:hAnsiTheme="minorHAnsi" w:cstheme="minorHAnsi"/>
        </w:rPr>
        <w:t>the HHE Program</w:t>
      </w:r>
      <w:r w:rsidR="007F69B6" w:rsidRPr="00A60D0F">
        <w:rPr>
          <w:rFonts w:asciiTheme="minorHAnsi" w:hAnsiTheme="minorHAnsi" w:cstheme="minorHAnsi"/>
        </w:rPr>
        <w:t xml:space="preserve"> began direct</w:t>
      </w:r>
      <w:r w:rsidR="006440F7" w:rsidRPr="00A60D0F">
        <w:rPr>
          <w:rFonts w:asciiTheme="minorHAnsi" w:hAnsiTheme="minorHAnsi" w:cstheme="minorHAnsi"/>
        </w:rPr>
        <w:t xml:space="preserve">ly notifying </w:t>
      </w:r>
      <w:r w:rsidR="007F69B6" w:rsidRPr="00A60D0F">
        <w:rPr>
          <w:rFonts w:asciiTheme="minorHAnsi" w:hAnsiTheme="minorHAnsi" w:cstheme="minorHAnsi"/>
        </w:rPr>
        <w:t xml:space="preserve">local health departments </w:t>
      </w:r>
      <w:r w:rsidR="00221926" w:rsidRPr="00A60D0F">
        <w:rPr>
          <w:rFonts w:asciiTheme="minorHAnsi" w:hAnsiTheme="minorHAnsi" w:cstheme="minorHAnsi"/>
        </w:rPr>
        <w:t xml:space="preserve">about </w:t>
      </w:r>
      <w:r w:rsidR="007F69B6" w:rsidRPr="00A60D0F">
        <w:rPr>
          <w:rFonts w:asciiTheme="minorHAnsi" w:hAnsiTheme="minorHAnsi" w:cstheme="minorHAnsi"/>
        </w:rPr>
        <w:t>request</w:t>
      </w:r>
      <w:r w:rsidR="00221926" w:rsidRPr="00A60D0F">
        <w:rPr>
          <w:rFonts w:asciiTheme="minorHAnsi" w:hAnsiTheme="minorHAnsi" w:cstheme="minorHAnsi"/>
        </w:rPr>
        <w:t>s for workplaces in</w:t>
      </w:r>
      <w:r w:rsidR="007F69B6" w:rsidRPr="00A60D0F">
        <w:rPr>
          <w:rFonts w:asciiTheme="minorHAnsi" w:hAnsiTheme="minorHAnsi" w:cstheme="minorHAnsi"/>
        </w:rPr>
        <w:t xml:space="preserve"> their area. </w:t>
      </w:r>
    </w:p>
    <w:p w:rsidR="001040AF" w:rsidRPr="00A60D0F" w:rsidRDefault="001040AF" w:rsidP="001040AF">
      <w:pPr>
        <w:rPr>
          <w:rFonts w:asciiTheme="minorHAnsi" w:hAnsiTheme="minorHAnsi" w:cstheme="minorHAnsi"/>
          <w:highlight w:val="green"/>
        </w:rPr>
      </w:pPr>
    </w:p>
    <w:p w:rsidR="00A50EFC" w:rsidRPr="00A60D0F" w:rsidRDefault="001040AF" w:rsidP="001040AF">
      <w:pPr>
        <w:ind w:left="720"/>
        <w:rPr>
          <w:rFonts w:asciiTheme="minorHAnsi" w:hAnsiTheme="minorHAnsi" w:cstheme="minorHAnsi"/>
        </w:rPr>
      </w:pPr>
      <w:r w:rsidRPr="00A60D0F">
        <w:rPr>
          <w:rFonts w:asciiTheme="minorHAnsi" w:hAnsiTheme="minorHAnsi" w:cstheme="minorHAnsi"/>
        </w:rPr>
        <w:t xml:space="preserve">In 2012, to assess the effectiveness of the outreach begun in 2011, we collected information from a small sample of local health officials after obtaining approval through the same </w:t>
      </w:r>
      <w:r w:rsidR="00012F07" w:rsidRPr="00A60D0F">
        <w:rPr>
          <w:rFonts w:asciiTheme="minorHAnsi" w:hAnsiTheme="minorHAnsi" w:cstheme="minorHAnsi"/>
        </w:rPr>
        <w:t xml:space="preserve">Generic Information Collection </w:t>
      </w:r>
      <w:r w:rsidR="00012F07">
        <w:rPr>
          <w:rFonts w:asciiTheme="minorHAnsi" w:hAnsiTheme="minorHAnsi" w:cstheme="minorHAnsi"/>
        </w:rPr>
        <w:t>(</w:t>
      </w:r>
      <w:r w:rsidR="00012F07" w:rsidRPr="00A60D0F">
        <w:rPr>
          <w:rFonts w:asciiTheme="minorHAnsi" w:hAnsiTheme="minorHAnsi" w:cstheme="minorHAnsi"/>
        </w:rPr>
        <w:t>OMB No. 0920-0879</w:t>
      </w:r>
      <w:r w:rsidR="00012F07">
        <w:rPr>
          <w:rFonts w:asciiTheme="minorHAnsi" w:hAnsiTheme="minorHAnsi" w:cstheme="minorHAnsi"/>
        </w:rPr>
        <w:t>).</w:t>
      </w:r>
      <w:r w:rsidRPr="00A60D0F">
        <w:rPr>
          <w:rFonts w:asciiTheme="minorHAnsi" w:hAnsiTheme="minorHAnsi" w:cstheme="minorHAnsi"/>
        </w:rPr>
        <w:t xml:space="preserve"> In that information collection, 84% of respondents said their department made referrals on occupational health issues, yet only one had ever made a referral to the HHE Program. Three-quarters of those said they were not familiar with the HHE Program. This information demonstrated the need to increase awareness </w:t>
      </w:r>
      <w:r w:rsidR="002945F3" w:rsidRPr="00A60D0F">
        <w:rPr>
          <w:rFonts w:asciiTheme="minorHAnsi" w:hAnsiTheme="minorHAnsi" w:cstheme="minorHAnsi"/>
        </w:rPr>
        <w:t xml:space="preserve">of the HHE Program and how it can be helpful to </w:t>
      </w:r>
      <w:r w:rsidRPr="00A60D0F">
        <w:rPr>
          <w:rFonts w:asciiTheme="minorHAnsi" w:hAnsiTheme="minorHAnsi" w:cstheme="minorHAnsi"/>
        </w:rPr>
        <w:t>local health departments</w:t>
      </w:r>
      <w:r w:rsidR="002945F3" w:rsidRPr="00A60D0F">
        <w:rPr>
          <w:rFonts w:asciiTheme="minorHAnsi" w:hAnsiTheme="minorHAnsi" w:cstheme="minorHAnsi"/>
        </w:rPr>
        <w:t xml:space="preserve">. </w:t>
      </w:r>
      <w:r w:rsidR="007F69B6" w:rsidRPr="00A60D0F">
        <w:rPr>
          <w:rFonts w:asciiTheme="minorHAnsi" w:hAnsiTheme="minorHAnsi" w:cstheme="minorHAnsi"/>
        </w:rPr>
        <w:t>The purpose of th</w:t>
      </w:r>
      <w:r w:rsidR="00012F07">
        <w:rPr>
          <w:rFonts w:asciiTheme="minorHAnsi" w:hAnsiTheme="minorHAnsi" w:cstheme="minorHAnsi"/>
        </w:rPr>
        <w:t xml:space="preserve">e current effort </w:t>
      </w:r>
      <w:r w:rsidR="002945F3" w:rsidRPr="00A60D0F">
        <w:rPr>
          <w:rFonts w:asciiTheme="minorHAnsi" w:hAnsiTheme="minorHAnsi" w:cstheme="minorHAnsi"/>
        </w:rPr>
        <w:t xml:space="preserve">is to assess whether a new brochure </w:t>
      </w:r>
      <w:r w:rsidR="00276DBB" w:rsidRPr="00A60D0F">
        <w:rPr>
          <w:rFonts w:asciiTheme="minorHAnsi" w:hAnsiTheme="minorHAnsi" w:cstheme="minorHAnsi"/>
        </w:rPr>
        <w:t>(</w:t>
      </w:r>
      <w:r w:rsidR="00276DBB" w:rsidRPr="006B54D9">
        <w:rPr>
          <w:rFonts w:asciiTheme="minorHAnsi" w:hAnsiTheme="minorHAnsi" w:cstheme="minorHAnsi"/>
          <w:b/>
        </w:rPr>
        <w:t>Attachment F</w:t>
      </w:r>
      <w:r w:rsidR="00276DBB" w:rsidRPr="00A60D0F">
        <w:rPr>
          <w:rFonts w:asciiTheme="minorHAnsi" w:hAnsiTheme="minorHAnsi" w:cstheme="minorHAnsi"/>
        </w:rPr>
        <w:t xml:space="preserve">) </w:t>
      </w:r>
      <w:r w:rsidR="002945F3" w:rsidRPr="00A60D0F">
        <w:rPr>
          <w:rFonts w:asciiTheme="minorHAnsi" w:hAnsiTheme="minorHAnsi" w:cstheme="minorHAnsi"/>
        </w:rPr>
        <w:t>is helpful in informing local health departments about the HHE Program.</w:t>
      </w:r>
    </w:p>
    <w:p w:rsidR="001E59BB" w:rsidRPr="00A60D0F" w:rsidRDefault="001E59BB" w:rsidP="00A50EFC">
      <w:pPr>
        <w:ind w:left="720" w:hanging="720"/>
        <w:rPr>
          <w:rFonts w:asciiTheme="minorHAnsi" w:hAnsiTheme="minorHAnsi" w:cstheme="minorHAnsi"/>
        </w:rPr>
      </w:pPr>
    </w:p>
    <w:p w:rsidR="00492F15" w:rsidRPr="00A60D0F" w:rsidRDefault="00492F15" w:rsidP="006D3CB1">
      <w:pPr>
        <w:ind w:left="720"/>
        <w:rPr>
          <w:rFonts w:asciiTheme="minorHAnsi" w:hAnsiTheme="minorHAnsi" w:cstheme="minorHAnsi"/>
          <w:b/>
        </w:rPr>
      </w:pPr>
      <w:r w:rsidRPr="00A60D0F">
        <w:rPr>
          <w:rFonts w:asciiTheme="minorHAnsi" w:hAnsiTheme="minorHAnsi" w:cstheme="minorHAnsi"/>
          <w:b/>
        </w:rPr>
        <w:t>Privacy Impact Assessment</w:t>
      </w:r>
    </w:p>
    <w:p w:rsidR="00492F15" w:rsidRPr="00A60D0F" w:rsidRDefault="00492F15" w:rsidP="002945F3">
      <w:pPr>
        <w:tabs>
          <w:tab w:val="left" w:pos="1350"/>
        </w:tabs>
        <w:ind w:left="720" w:hanging="720"/>
        <w:rPr>
          <w:rFonts w:asciiTheme="minorHAnsi" w:hAnsiTheme="minorHAnsi" w:cstheme="minorHAnsi"/>
        </w:rPr>
      </w:pPr>
      <w:r w:rsidRPr="00A60D0F">
        <w:rPr>
          <w:rFonts w:asciiTheme="minorHAnsi" w:hAnsiTheme="minorHAnsi" w:cstheme="minorHAnsi"/>
        </w:rPr>
        <w:tab/>
      </w:r>
      <w:r w:rsidRPr="00A60D0F">
        <w:rPr>
          <w:rFonts w:asciiTheme="minorHAnsi" w:hAnsiTheme="minorHAnsi" w:cstheme="minorHAnsi"/>
          <w:u w:val="single"/>
        </w:rPr>
        <w:t>Overview of Data Collection System</w:t>
      </w:r>
      <w:r w:rsidRPr="00A60D0F">
        <w:rPr>
          <w:rFonts w:asciiTheme="minorHAnsi" w:hAnsiTheme="minorHAnsi" w:cstheme="minorHAnsi"/>
        </w:rPr>
        <w:t xml:space="preserve"> – The data </w:t>
      </w:r>
      <w:r w:rsidR="00514395" w:rsidRPr="00A60D0F">
        <w:rPr>
          <w:rFonts w:asciiTheme="minorHAnsi" w:hAnsiTheme="minorHAnsi" w:cstheme="minorHAnsi"/>
        </w:rPr>
        <w:t xml:space="preserve">collection system consists of a </w:t>
      </w:r>
      <w:r w:rsidR="00302CC0" w:rsidRPr="00A60D0F">
        <w:rPr>
          <w:rFonts w:asciiTheme="minorHAnsi" w:hAnsiTheme="minorHAnsi" w:cstheme="minorHAnsi"/>
        </w:rPr>
        <w:t xml:space="preserve">web-based </w:t>
      </w:r>
      <w:r w:rsidR="006B54D9">
        <w:rPr>
          <w:rFonts w:asciiTheme="minorHAnsi" w:hAnsiTheme="minorHAnsi" w:cstheme="minorHAnsi"/>
        </w:rPr>
        <w:t>data collection</w:t>
      </w:r>
      <w:r w:rsidR="00F07909" w:rsidRPr="00A60D0F">
        <w:rPr>
          <w:rFonts w:asciiTheme="minorHAnsi" w:hAnsiTheme="minorHAnsi" w:cstheme="minorHAnsi"/>
        </w:rPr>
        <w:t xml:space="preserve"> </w:t>
      </w:r>
      <w:r w:rsidRPr="00A60D0F">
        <w:rPr>
          <w:rFonts w:asciiTheme="minorHAnsi" w:hAnsiTheme="minorHAnsi" w:cstheme="minorHAnsi"/>
        </w:rPr>
        <w:t>(</w:t>
      </w:r>
      <w:r w:rsidR="00FA4B51" w:rsidRPr="006B54D9">
        <w:rPr>
          <w:rFonts w:asciiTheme="minorHAnsi" w:hAnsiTheme="minorHAnsi" w:cstheme="minorHAnsi"/>
          <w:b/>
        </w:rPr>
        <w:t xml:space="preserve">Attachments </w:t>
      </w:r>
      <w:r w:rsidR="00276DBB" w:rsidRPr="006B54D9">
        <w:rPr>
          <w:rFonts w:asciiTheme="minorHAnsi" w:hAnsiTheme="minorHAnsi" w:cstheme="minorHAnsi"/>
          <w:b/>
        </w:rPr>
        <w:t>G</w:t>
      </w:r>
      <w:r w:rsidR="00FA4B51" w:rsidRPr="006B54D9">
        <w:rPr>
          <w:rFonts w:asciiTheme="minorHAnsi" w:hAnsiTheme="minorHAnsi" w:cstheme="minorHAnsi"/>
          <w:b/>
        </w:rPr>
        <w:t xml:space="preserve"> and </w:t>
      </w:r>
      <w:r w:rsidR="00276DBB" w:rsidRPr="006B54D9">
        <w:rPr>
          <w:rFonts w:asciiTheme="minorHAnsi" w:hAnsiTheme="minorHAnsi" w:cstheme="minorHAnsi"/>
          <w:b/>
        </w:rPr>
        <w:t>H</w:t>
      </w:r>
      <w:r w:rsidR="00F07909" w:rsidRPr="00A60D0F">
        <w:rPr>
          <w:rFonts w:asciiTheme="minorHAnsi" w:hAnsiTheme="minorHAnsi" w:cstheme="minorHAnsi"/>
        </w:rPr>
        <w:t>)</w:t>
      </w:r>
      <w:r w:rsidR="00514395" w:rsidRPr="00A60D0F">
        <w:rPr>
          <w:rFonts w:asciiTheme="minorHAnsi" w:hAnsiTheme="minorHAnsi" w:cstheme="minorHAnsi"/>
        </w:rPr>
        <w:t xml:space="preserve"> designed to elicit information from Local Health Department </w:t>
      </w:r>
      <w:r w:rsidR="00276DBB" w:rsidRPr="00A60D0F">
        <w:rPr>
          <w:rFonts w:asciiTheme="minorHAnsi" w:hAnsiTheme="minorHAnsi" w:cstheme="minorHAnsi"/>
        </w:rPr>
        <w:t>d</w:t>
      </w:r>
      <w:r w:rsidR="00514395" w:rsidRPr="00A60D0F">
        <w:rPr>
          <w:rFonts w:asciiTheme="minorHAnsi" w:hAnsiTheme="minorHAnsi" w:cstheme="minorHAnsi"/>
        </w:rPr>
        <w:t>irectors or their designees</w:t>
      </w:r>
      <w:r w:rsidR="00F07909" w:rsidRPr="00A60D0F">
        <w:rPr>
          <w:rFonts w:asciiTheme="minorHAnsi" w:hAnsiTheme="minorHAnsi" w:cstheme="minorHAnsi"/>
        </w:rPr>
        <w:t>.</w:t>
      </w:r>
      <w:r w:rsidR="00514395" w:rsidRPr="00A60D0F">
        <w:rPr>
          <w:rFonts w:asciiTheme="minorHAnsi" w:hAnsiTheme="minorHAnsi" w:cstheme="minorHAnsi"/>
        </w:rPr>
        <w:t xml:space="preserve"> The data will be collected using </w:t>
      </w:r>
      <w:r w:rsidR="002945F3" w:rsidRPr="00A60D0F">
        <w:rPr>
          <w:rFonts w:asciiTheme="minorHAnsi" w:hAnsiTheme="minorHAnsi" w:cstheme="minorHAnsi"/>
        </w:rPr>
        <w:t xml:space="preserve">the Epi Info ™ Web Survey System developed by the Centers for Disease Control and Prevention. </w:t>
      </w:r>
      <w:r w:rsidR="00514395" w:rsidRPr="00A60D0F">
        <w:rPr>
          <w:rFonts w:asciiTheme="minorHAnsi" w:hAnsiTheme="minorHAnsi" w:cstheme="minorHAnsi"/>
        </w:rPr>
        <w:t>We will send an</w:t>
      </w:r>
      <w:r w:rsidR="00276DBB" w:rsidRPr="00A60D0F">
        <w:rPr>
          <w:rFonts w:asciiTheme="minorHAnsi" w:hAnsiTheme="minorHAnsi" w:cstheme="minorHAnsi"/>
        </w:rPr>
        <w:t xml:space="preserve"> email to potential respondents. The brochure will be attached as a PDF file. The body of the email will include </w:t>
      </w:r>
      <w:r w:rsidR="00514395" w:rsidRPr="00A60D0F">
        <w:rPr>
          <w:rFonts w:asciiTheme="minorHAnsi" w:hAnsiTheme="minorHAnsi" w:cstheme="minorHAnsi"/>
        </w:rPr>
        <w:t xml:space="preserve">a </w:t>
      </w:r>
      <w:r w:rsidR="002945F3" w:rsidRPr="00A60D0F">
        <w:rPr>
          <w:rFonts w:asciiTheme="minorHAnsi" w:hAnsiTheme="minorHAnsi" w:cstheme="minorHAnsi"/>
        </w:rPr>
        <w:t>Universal Resource Locator (URL)</w:t>
      </w:r>
      <w:r w:rsidR="001040AF" w:rsidRPr="00A60D0F">
        <w:rPr>
          <w:rFonts w:asciiTheme="minorHAnsi" w:hAnsiTheme="minorHAnsi" w:cstheme="minorHAnsi"/>
        </w:rPr>
        <w:t xml:space="preserve"> created solely for this information collection</w:t>
      </w:r>
      <w:r w:rsidR="00514395" w:rsidRPr="00A60D0F">
        <w:rPr>
          <w:rFonts w:asciiTheme="minorHAnsi" w:hAnsiTheme="minorHAnsi" w:cstheme="minorHAnsi"/>
        </w:rPr>
        <w:t>. The email will contain instructions for completing the instrument online</w:t>
      </w:r>
      <w:r w:rsidR="00F0026E">
        <w:rPr>
          <w:rFonts w:asciiTheme="minorHAnsi" w:hAnsiTheme="minorHAnsi" w:cstheme="minorHAnsi"/>
        </w:rPr>
        <w:t xml:space="preserve">. </w:t>
      </w:r>
      <w:r w:rsidRPr="00A60D0F">
        <w:rPr>
          <w:rFonts w:asciiTheme="minorHAnsi" w:hAnsiTheme="minorHAnsi" w:cstheme="minorHAnsi"/>
        </w:rPr>
        <w:t xml:space="preserve">The </w:t>
      </w:r>
      <w:r w:rsidR="00A60D0F">
        <w:rPr>
          <w:rFonts w:asciiTheme="minorHAnsi" w:hAnsiTheme="minorHAnsi" w:cstheme="minorHAnsi"/>
        </w:rPr>
        <w:t>data collection instrument</w:t>
      </w:r>
      <w:r w:rsidRPr="00A60D0F">
        <w:rPr>
          <w:rFonts w:asciiTheme="minorHAnsi" w:hAnsiTheme="minorHAnsi" w:cstheme="minorHAnsi"/>
        </w:rPr>
        <w:t xml:space="preserve"> </w:t>
      </w:r>
      <w:r w:rsidR="00CF5DF2" w:rsidRPr="00A60D0F">
        <w:rPr>
          <w:rFonts w:asciiTheme="minorHAnsi" w:hAnsiTheme="minorHAnsi" w:cstheme="minorHAnsi"/>
        </w:rPr>
        <w:t xml:space="preserve">has been </w:t>
      </w:r>
      <w:r w:rsidR="00F07909" w:rsidRPr="00A60D0F">
        <w:rPr>
          <w:rFonts w:asciiTheme="minorHAnsi" w:hAnsiTheme="minorHAnsi" w:cstheme="minorHAnsi"/>
        </w:rPr>
        <w:t xml:space="preserve">pilot tested on </w:t>
      </w:r>
      <w:r w:rsidR="00012F07">
        <w:rPr>
          <w:rFonts w:asciiTheme="minorHAnsi" w:hAnsiTheme="minorHAnsi" w:cstheme="minorHAnsi"/>
        </w:rPr>
        <w:t>six</w:t>
      </w:r>
      <w:r w:rsidR="00CF5DF2" w:rsidRPr="00A60D0F">
        <w:rPr>
          <w:rFonts w:asciiTheme="minorHAnsi" w:hAnsiTheme="minorHAnsi" w:cstheme="minorHAnsi"/>
        </w:rPr>
        <w:t xml:space="preserve"> CDC</w:t>
      </w:r>
      <w:r w:rsidR="00124BDA" w:rsidRPr="00A60D0F">
        <w:rPr>
          <w:rFonts w:asciiTheme="minorHAnsi" w:hAnsiTheme="minorHAnsi" w:cstheme="minorHAnsi"/>
        </w:rPr>
        <w:t>/NIOSH</w:t>
      </w:r>
      <w:r w:rsidR="00CF5DF2" w:rsidRPr="00A60D0F">
        <w:rPr>
          <w:rFonts w:asciiTheme="minorHAnsi" w:hAnsiTheme="minorHAnsi" w:cstheme="minorHAnsi"/>
        </w:rPr>
        <w:t xml:space="preserve"> health professionals. The results were used to </w:t>
      </w:r>
      <w:r w:rsidRPr="00A60D0F">
        <w:rPr>
          <w:rFonts w:asciiTheme="minorHAnsi" w:hAnsiTheme="minorHAnsi" w:cstheme="minorHAnsi"/>
        </w:rPr>
        <w:t xml:space="preserve">refine </w:t>
      </w:r>
      <w:r w:rsidR="00CF5DF2" w:rsidRPr="00A60D0F">
        <w:rPr>
          <w:rFonts w:asciiTheme="minorHAnsi" w:hAnsiTheme="minorHAnsi" w:cstheme="minorHAnsi"/>
        </w:rPr>
        <w:t xml:space="preserve">the </w:t>
      </w:r>
      <w:r w:rsidRPr="00A60D0F">
        <w:rPr>
          <w:rFonts w:asciiTheme="minorHAnsi" w:hAnsiTheme="minorHAnsi" w:cstheme="minorHAnsi"/>
        </w:rPr>
        <w:t xml:space="preserve">questions </w:t>
      </w:r>
      <w:r w:rsidR="00CF5DF2" w:rsidRPr="00A60D0F">
        <w:rPr>
          <w:rFonts w:asciiTheme="minorHAnsi" w:hAnsiTheme="minorHAnsi" w:cstheme="minorHAnsi"/>
        </w:rPr>
        <w:t xml:space="preserve">and </w:t>
      </w:r>
      <w:r w:rsidRPr="00A60D0F">
        <w:rPr>
          <w:rFonts w:asciiTheme="minorHAnsi" w:hAnsiTheme="minorHAnsi" w:cstheme="minorHAnsi"/>
        </w:rPr>
        <w:t xml:space="preserve">establish the estimated </w:t>
      </w:r>
      <w:r w:rsidR="002945F3" w:rsidRPr="00A60D0F">
        <w:rPr>
          <w:rFonts w:asciiTheme="minorHAnsi" w:hAnsiTheme="minorHAnsi" w:cstheme="minorHAnsi"/>
        </w:rPr>
        <w:t xml:space="preserve">completion </w:t>
      </w:r>
      <w:r w:rsidRPr="00A60D0F">
        <w:rPr>
          <w:rFonts w:asciiTheme="minorHAnsi" w:hAnsiTheme="minorHAnsi" w:cstheme="minorHAnsi"/>
        </w:rPr>
        <w:t>time.</w:t>
      </w:r>
      <w:r w:rsidR="002945F3" w:rsidRPr="00A60D0F">
        <w:rPr>
          <w:rFonts w:asciiTheme="minorHAnsi" w:hAnsiTheme="minorHAnsi" w:cstheme="minorHAnsi"/>
        </w:rPr>
        <w:t xml:space="preserve"> The burden includes the time to read the brochure and answer the questions.</w:t>
      </w:r>
    </w:p>
    <w:p w:rsidR="006D3CB1" w:rsidRPr="00A60D0F" w:rsidRDefault="006D3CB1" w:rsidP="00A50EFC">
      <w:pPr>
        <w:ind w:left="720" w:hanging="720"/>
        <w:rPr>
          <w:rFonts w:asciiTheme="minorHAnsi" w:hAnsiTheme="minorHAnsi" w:cstheme="minorHAnsi"/>
        </w:rPr>
      </w:pPr>
    </w:p>
    <w:p w:rsidR="00161353" w:rsidRPr="00A60D0F" w:rsidRDefault="00492F15" w:rsidP="00A50EFC">
      <w:pPr>
        <w:ind w:left="720" w:hanging="720"/>
        <w:rPr>
          <w:rFonts w:asciiTheme="minorHAnsi" w:hAnsiTheme="minorHAnsi" w:cstheme="minorHAnsi"/>
        </w:rPr>
      </w:pPr>
      <w:r w:rsidRPr="00A60D0F">
        <w:rPr>
          <w:rFonts w:asciiTheme="minorHAnsi" w:hAnsiTheme="minorHAnsi" w:cstheme="minorHAnsi"/>
        </w:rPr>
        <w:tab/>
      </w:r>
      <w:r w:rsidRPr="00A60D0F">
        <w:rPr>
          <w:rFonts w:asciiTheme="minorHAnsi" w:hAnsiTheme="minorHAnsi" w:cstheme="minorHAnsi"/>
          <w:u w:val="single"/>
        </w:rPr>
        <w:t>Items of Information to be Collected</w:t>
      </w:r>
      <w:r w:rsidR="00316FB6" w:rsidRPr="00A60D0F">
        <w:rPr>
          <w:rFonts w:asciiTheme="minorHAnsi" w:hAnsiTheme="minorHAnsi" w:cstheme="minorHAnsi"/>
        </w:rPr>
        <w:t xml:space="preserve"> – The </w:t>
      </w:r>
      <w:r w:rsidR="001040AF" w:rsidRPr="00A60D0F">
        <w:rPr>
          <w:rFonts w:asciiTheme="minorHAnsi" w:hAnsiTheme="minorHAnsi" w:cstheme="minorHAnsi"/>
        </w:rPr>
        <w:t>instrument</w:t>
      </w:r>
      <w:r w:rsidR="00316FB6" w:rsidRPr="00A60D0F">
        <w:rPr>
          <w:rFonts w:asciiTheme="minorHAnsi" w:hAnsiTheme="minorHAnsi" w:cstheme="minorHAnsi"/>
        </w:rPr>
        <w:t xml:space="preserve"> consists of </w:t>
      </w:r>
      <w:r w:rsidR="002A3E3E" w:rsidRPr="00A60D0F">
        <w:rPr>
          <w:rFonts w:asciiTheme="minorHAnsi" w:hAnsiTheme="minorHAnsi" w:cstheme="minorHAnsi"/>
        </w:rPr>
        <w:t>24</w:t>
      </w:r>
      <w:r w:rsidR="00AC6695" w:rsidRPr="00A60D0F">
        <w:rPr>
          <w:rFonts w:asciiTheme="minorHAnsi" w:hAnsiTheme="minorHAnsi" w:cstheme="minorHAnsi"/>
        </w:rPr>
        <w:t xml:space="preserve"> items</w:t>
      </w:r>
      <w:r w:rsidR="00183C5E" w:rsidRPr="00A60D0F">
        <w:rPr>
          <w:rFonts w:asciiTheme="minorHAnsi" w:hAnsiTheme="minorHAnsi" w:cstheme="minorHAnsi"/>
        </w:rPr>
        <w:t>. The</w:t>
      </w:r>
      <w:r w:rsidR="00AC6695" w:rsidRPr="00A60D0F">
        <w:rPr>
          <w:rFonts w:asciiTheme="minorHAnsi" w:hAnsiTheme="minorHAnsi" w:cstheme="minorHAnsi"/>
        </w:rPr>
        <w:t xml:space="preserve">se items cover the respondent’s </w:t>
      </w:r>
      <w:r w:rsidR="002A3E3E" w:rsidRPr="00A60D0F">
        <w:rPr>
          <w:rFonts w:asciiTheme="minorHAnsi" w:hAnsiTheme="minorHAnsi" w:cstheme="minorHAnsi"/>
        </w:rPr>
        <w:t xml:space="preserve">knowledge about key features of the HHE Program </w:t>
      </w:r>
      <w:r w:rsidR="00AC6695" w:rsidRPr="00A60D0F">
        <w:rPr>
          <w:rFonts w:asciiTheme="minorHAnsi" w:hAnsiTheme="minorHAnsi" w:cstheme="minorHAnsi"/>
        </w:rPr>
        <w:t>(</w:t>
      </w:r>
      <w:r w:rsidR="002A3E3E" w:rsidRPr="00A60D0F">
        <w:rPr>
          <w:rFonts w:asciiTheme="minorHAnsi" w:hAnsiTheme="minorHAnsi" w:cstheme="minorHAnsi"/>
        </w:rPr>
        <w:t>11</w:t>
      </w:r>
      <w:r w:rsidR="00AC6695" w:rsidRPr="00A60D0F">
        <w:rPr>
          <w:rFonts w:asciiTheme="minorHAnsi" w:hAnsiTheme="minorHAnsi" w:cstheme="minorHAnsi"/>
        </w:rPr>
        <w:t xml:space="preserve"> item</w:t>
      </w:r>
      <w:r w:rsidR="002A3E3E" w:rsidRPr="00A60D0F">
        <w:rPr>
          <w:rFonts w:asciiTheme="minorHAnsi" w:hAnsiTheme="minorHAnsi" w:cstheme="minorHAnsi"/>
        </w:rPr>
        <w:t>s</w:t>
      </w:r>
      <w:r w:rsidR="00AC6695" w:rsidRPr="00A60D0F">
        <w:rPr>
          <w:rFonts w:asciiTheme="minorHAnsi" w:hAnsiTheme="minorHAnsi" w:cstheme="minorHAnsi"/>
        </w:rPr>
        <w:t xml:space="preserve">), </w:t>
      </w:r>
      <w:r w:rsidR="002A3E3E" w:rsidRPr="00A60D0F">
        <w:rPr>
          <w:rFonts w:asciiTheme="minorHAnsi" w:hAnsiTheme="minorHAnsi" w:cstheme="minorHAnsi"/>
        </w:rPr>
        <w:t xml:space="preserve">familiarity with and likelihood of interacting with the HHE program </w:t>
      </w:r>
      <w:r w:rsidR="00AC6695" w:rsidRPr="00A60D0F">
        <w:rPr>
          <w:rFonts w:asciiTheme="minorHAnsi" w:hAnsiTheme="minorHAnsi" w:cstheme="minorHAnsi"/>
        </w:rPr>
        <w:t>(</w:t>
      </w:r>
      <w:r w:rsidR="002A3E3E" w:rsidRPr="00A60D0F">
        <w:rPr>
          <w:rFonts w:asciiTheme="minorHAnsi" w:hAnsiTheme="minorHAnsi" w:cstheme="minorHAnsi"/>
        </w:rPr>
        <w:t>5</w:t>
      </w:r>
      <w:r w:rsidR="00AC6695" w:rsidRPr="00A60D0F">
        <w:rPr>
          <w:rFonts w:asciiTheme="minorHAnsi" w:hAnsiTheme="minorHAnsi" w:cstheme="minorHAnsi"/>
        </w:rPr>
        <w:t xml:space="preserve"> items), </w:t>
      </w:r>
      <w:r w:rsidR="002A3E3E" w:rsidRPr="00A60D0F">
        <w:rPr>
          <w:rFonts w:asciiTheme="minorHAnsi" w:hAnsiTheme="minorHAnsi" w:cstheme="minorHAnsi"/>
        </w:rPr>
        <w:t>relevance of the HHE Program (1 item), opinion about the brochure</w:t>
      </w:r>
      <w:r w:rsidR="00AC6695" w:rsidRPr="00A60D0F">
        <w:rPr>
          <w:rFonts w:asciiTheme="minorHAnsi" w:hAnsiTheme="minorHAnsi" w:cstheme="minorHAnsi"/>
        </w:rPr>
        <w:t xml:space="preserve"> (</w:t>
      </w:r>
      <w:r w:rsidR="002A3E3E" w:rsidRPr="00A60D0F">
        <w:rPr>
          <w:rFonts w:asciiTheme="minorHAnsi" w:hAnsiTheme="minorHAnsi" w:cstheme="minorHAnsi"/>
        </w:rPr>
        <w:t>5</w:t>
      </w:r>
      <w:r w:rsidR="00AC6695" w:rsidRPr="00A60D0F">
        <w:rPr>
          <w:rFonts w:asciiTheme="minorHAnsi" w:hAnsiTheme="minorHAnsi" w:cstheme="minorHAnsi"/>
        </w:rPr>
        <w:t xml:space="preserve"> items)</w:t>
      </w:r>
      <w:r w:rsidR="002A3E3E" w:rsidRPr="00A60D0F">
        <w:rPr>
          <w:rFonts w:asciiTheme="minorHAnsi" w:hAnsiTheme="minorHAnsi" w:cstheme="minorHAnsi"/>
        </w:rPr>
        <w:t>, and unanswered questions about the HHE Program (2 item)</w:t>
      </w:r>
      <w:r w:rsidR="00AC6695" w:rsidRPr="00A60D0F">
        <w:rPr>
          <w:rFonts w:asciiTheme="minorHAnsi" w:hAnsiTheme="minorHAnsi" w:cstheme="minorHAnsi"/>
        </w:rPr>
        <w:t xml:space="preserve">. </w:t>
      </w:r>
      <w:r w:rsidR="002A3E3E" w:rsidRPr="00A60D0F">
        <w:rPr>
          <w:rFonts w:asciiTheme="minorHAnsi" w:hAnsiTheme="minorHAnsi" w:cstheme="minorHAnsi"/>
        </w:rPr>
        <w:t>Twenty-two</w:t>
      </w:r>
      <w:r w:rsidR="00302CC0" w:rsidRPr="00A60D0F">
        <w:rPr>
          <w:rFonts w:asciiTheme="minorHAnsi" w:hAnsiTheme="minorHAnsi" w:cstheme="minorHAnsi"/>
        </w:rPr>
        <w:t xml:space="preserve"> </w:t>
      </w:r>
      <w:r w:rsidR="00AC6695" w:rsidRPr="00A60D0F">
        <w:rPr>
          <w:rFonts w:asciiTheme="minorHAnsi" w:hAnsiTheme="minorHAnsi" w:cstheme="minorHAnsi"/>
        </w:rPr>
        <w:t xml:space="preserve">items </w:t>
      </w:r>
      <w:r w:rsidR="00330094" w:rsidRPr="00A60D0F">
        <w:rPr>
          <w:rFonts w:asciiTheme="minorHAnsi" w:hAnsiTheme="minorHAnsi" w:cstheme="minorHAnsi"/>
        </w:rPr>
        <w:t>require the respondent to cho</w:t>
      </w:r>
      <w:r w:rsidR="00CA10C3" w:rsidRPr="00A60D0F">
        <w:rPr>
          <w:rFonts w:asciiTheme="minorHAnsi" w:hAnsiTheme="minorHAnsi" w:cstheme="minorHAnsi"/>
        </w:rPr>
        <w:t>o</w:t>
      </w:r>
      <w:r w:rsidR="00330094" w:rsidRPr="00A60D0F">
        <w:rPr>
          <w:rFonts w:asciiTheme="minorHAnsi" w:hAnsiTheme="minorHAnsi" w:cstheme="minorHAnsi"/>
        </w:rPr>
        <w:t xml:space="preserve">se from </w:t>
      </w:r>
      <w:r w:rsidR="002A3E3E" w:rsidRPr="00A60D0F">
        <w:rPr>
          <w:rFonts w:asciiTheme="minorHAnsi" w:hAnsiTheme="minorHAnsi" w:cstheme="minorHAnsi"/>
        </w:rPr>
        <w:t xml:space="preserve">two </w:t>
      </w:r>
      <w:r w:rsidR="00F028CD" w:rsidRPr="00A60D0F">
        <w:rPr>
          <w:rFonts w:asciiTheme="minorHAnsi" w:hAnsiTheme="minorHAnsi" w:cstheme="minorHAnsi"/>
        </w:rPr>
        <w:t xml:space="preserve">to five </w:t>
      </w:r>
      <w:r w:rsidR="00330094" w:rsidRPr="00A60D0F">
        <w:rPr>
          <w:rFonts w:asciiTheme="minorHAnsi" w:hAnsiTheme="minorHAnsi" w:cstheme="minorHAnsi"/>
        </w:rPr>
        <w:t>response options</w:t>
      </w:r>
      <w:r w:rsidR="00F73144" w:rsidRPr="00A60D0F">
        <w:rPr>
          <w:rFonts w:asciiTheme="minorHAnsi" w:hAnsiTheme="minorHAnsi" w:cstheme="minorHAnsi"/>
        </w:rPr>
        <w:t xml:space="preserve">. </w:t>
      </w:r>
      <w:r w:rsidR="002A3E3E" w:rsidRPr="00A60D0F">
        <w:rPr>
          <w:rFonts w:asciiTheme="minorHAnsi" w:hAnsiTheme="minorHAnsi" w:cstheme="minorHAnsi"/>
        </w:rPr>
        <w:t>One item requires respondents to check whether each of 24 answers applies. One</w:t>
      </w:r>
      <w:r w:rsidR="00703671" w:rsidRPr="00A60D0F">
        <w:rPr>
          <w:rFonts w:asciiTheme="minorHAnsi" w:hAnsiTheme="minorHAnsi" w:cstheme="minorHAnsi"/>
        </w:rPr>
        <w:t xml:space="preserve"> </w:t>
      </w:r>
      <w:r w:rsidR="002A3E3E" w:rsidRPr="00A60D0F">
        <w:rPr>
          <w:rFonts w:asciiTheme="minorHAnsi" w:hAnsiTheme="minorHAnsi" w:cstheme="minorHAnsi"/>
        </w:rPr>
        <w:t>item</w:t>
      </w:r>
      <w:r w:rsidR="00302CC0" w:rsidRPr="00A60D0F">
        <w:rPr>
          <w:rFonts w:asciiTheme="minorHAnsi" w:hAnsiTheme="minorHAnsi" w:cstheme="minorHAnsi"/>
        </w:rPr>
        <w:t xml:space="preserve"> call</w:t>
      </w:r>
      <w:r w:rsidR="002A3E3E" w:rsidRPr="00A60D0F">
        <w:rPr>
          <w:rFonts w:asciiTheme="minorHAnsi" w:hAnsiTheme="minorHAnsi" w:cstheme="minorHAnsi"/>
        </w:rPr>
        <w:t>s</w:t>
      </w:r>
      <w:r w:rsidR="00302CC0" w:rsidRPr="00A60D0F">
        <w:rPr>
          <w:rFonts w:asciiTheme="minorHAnsi" w:hAnsiTheme="minorHAnsi" w:cstheme="minorHAnsi"/>
        </w:rPr>
        <w:t xml:space="preserve"> for a narrative response </w:t>
      </w:r>
      <w:r w:rsidR="002A3E3E" w:rsidRPr="00A60D0F">
        <w:rPr>
          <w:rFonts w:asciiTheme="minorHAnsi" w:hAnsiTheme="minorHAnsi" w:cstheme="minorHAnsi"/>
        </w:rPr>
        <w:t xml:space="preserve">with a maximum of 2 lines, 100 characters each. </w:t>
      </w:r>
      <w:r w:rsidR="00302CC0" w:rsidRPr="00A60D0F">
        <w:rPr>
          <w:rFonts w:asciiTheme="minorHAnsi" w:hAnsiTheme="minorHAnsi" w:cstheme="minorHAnsi"/>
        </w:rPr>
        <w:t>An effort was made to limit questions requiring narrative responses.</w:t>
      </w:r>
    </w:p>
    <w:p w:rsidR="00A50EFC" w:rsidRPr="00A60D0F" w:rsidRDefault="00A50EFC" w:rsidP="00A50EFC">
      <w:pPr>
        <w:rPr>
          <w:rFonts w:asciiTheme="minorHAnsi" w:hAnsiTheme="minorHAnsi" w:cstheme="minorHAnsi"/>
          <w:u w:val="single"/>
        </w:rPr>
      </w:pPr>
    </w:p>
    <w:p w:rsidR="00500300" w:rsidRPr="001A4E95" w:rsidRDefault="00D80B3D" w:rsidP="001A4E95">
      <w:pPr>
        <w:pStyle w:val="ListParagraph"/>
        <w:numPr>
          <w:ilvl w:val="0"/>
          <w:numId w:val="5"/>
        </w:numPr>
        <w:rPr>
          <w:rFonts w:asciiTheme="minorHAnsi" w:hAnsiTheme="minorHAnsi" w:cstheme="minorHAnsi"/>
          <w:u w:val="single"/>
        </w:rPr>
      </w:pPr>
      <w:r w:rsidRPr="00A60D0F">
        <w:rPr>
          <w:rFonts w:asciiTheme="minorHAnsi" w:hAnsiTheme="minorHAnsi" w:cstheme="minorHAnsi"/>
          <w:u w:val="single"/>
        </w:rPr>
        <w:t>Purpose and Use of Information Collection</w:t>
      </w:r>
    </w:p>
    <w:p w:rsidR="002945F3" w:rsidRPr="00A60D0F" w:rsidRDefault="00741226" w:rsidP="00741226">
      <w:pPr>
        <w:ind w:left="720"/>
        <w:rPr>
          <w:rFonts w:asciiTheme="minorHAnsi" w:hAnsiTheme="minorHAnsi" w:cstheme="minorHAnsi"/>
        </w:rPr>
      </w:pPr>
      <w:r w:rsidRPr="00A60D0F">
        <w:rPr>
          <w:rFonts w:asciiTheme="minorHAnsi" w:hAnsiTheme="minorHAnsi" w:cstheme="minorHAnsi"/>
        </w:rPr>
        <w:t xml:space="preserve">The </w:t>
      </w:r>
      <w:r w:rsidR="00514395" w:rsidRPr="00A60D0F">
        <w:rPr>
          <w:rFonts w:asciiTheme="minorHAnsi" w:hAnsiTheme="minorHAnsi" w:cstheme="minorHAnsi"/>
        </w:rPr>
        <w:t xml:space="preserve">primary </w:t>
      </w:r>
      <w:r w:rsidRPr="00A60D0F">
        <w:rPr>
          <w:rFonts w:asciiTheme="minorHAnsi" w:hAnsiTheme="minorHAnsi" w:cstheme="minorHAnsi"/>
        </w:rPr>
        <w:t xml:space="preserve">purpose of this data collection is </w:t>
      </w:r>
      <w:r w:rsidR="00514395" w:rsidRPr="00A60D0F">
        <w:rPr>
          <w:rFonts w:asciiTheme="minorHAnsi" w:hAnsiTheme="minorHAnsi" w:cstheme="minorHAnsi"/>
        </w:rPr>
        <w:t xml:space="preserve">to </w:t>
      </w:r>
      <w:r w:rsidR="00012F07">
        <w:rPr>
          <w:rFonts w:asciiTheme="minorHAnsi" w:hAnsiTheme="minorHAnsi" w:cstheme="minorHAnsi"/>
        </w:rPr>
        <w:t>assess effectiveness of</w:t>
      </w:r>
      <w:r w:rsidR="00514395" w:rsidRPr="00A60D0F">
        <w:rPr>
          <w:rFonts w:asciiTheme="minorHAnsi" w:hAnsiTheme="minorHAnsi" w:cstheme="minorHAnsi"/>
        </w:rPr>
        <w:t xml:space="preserve"> </w:t>
      </w:r>
      <w:r w:rsidRPr="00A60D0F">
        <w:rPr>
          <w:rFonts w:asciiTheme="minorHAnsi" w:hAnsiTheme="minorHAnsi" w:cstheme="minorHAnsi"/>
        </w:rPr>
        <w:t xml:space="preserve">the </w:t>
      </w:r>
      <w:r w:rsidR="002945F3" w:rsidRPr="00A60D0F">
        <w:rPr>
          <w:rFonts w:asciiTheme="minorHAnsi" w:hAnsiTheme="minorHAnsi" w:cstheme="minorHAnsi"/>
        </w:rPr>
        <w:t>brochure</w:t>
      </w:r>
      <w:r w:rsidR="006A437D">
        <w:rPr>
          <w:rFonts w:asciiTheme="minorHAnsi" w:hAnsiTheme="minorHAnsi" w:cstheme="minorHAnsi"/>
        </w:rPr>
        <w:t xml:space="preserve"> (</w:t>
      </w:r>
      <w:r w:rsidR="006A437D" w:rsidRPr="006A437D">
        <w:rPr>
          <w:rFonts w:asciiTheme="minorHAnsi" w:hAnsiTheme="minorHAnsi" w:cstheme="minorHAnsi"/>
          <w:b/>
        </w:rPr>
        <w:t>Attachment F</w:t>
      </w:r>
      <w:r w:rsidR="006A437D">
        <w:rPr>
          <w:rFonts w:asciiTheme="minorHAnsi" w:hAnsiTheme="minorHAnsi" w:cstheme="minorHAnsi"/>
        </w:rPr>
        <w:t xml:space="preserve">) </w:t>
      </w:r>
      <w:r w:rsidR="002945F3" w:rsidRPr="00A60D0F">
        <w:rPr>
          <w:rFonts w:asciiTheme="minorHAnsi" w:hAnsiTheme="minorHAnsi" w:cstheme="minorHAnsi"/>
        </w:rPr>
        <w:t xml:space="preserve"> “</w:t>
      </w:r>
      <w:r w:rsidR="002A3E3E" w:rsidRPr="00A60D0F">
        <w:rPr>
          <w:rFonts w:asciiTheme="minorHAnsi" w:hAnsiTheme="minorHAnsi" w:cstheme="minorHAnsi"/>
        </w:rPr>
        <w:t>Local Health Departments and the NIOSH Health Hazard Evaluation Program: Working Together.</w:t>
      </w:r>
      <w:r w:rsidR="002945F3" w:rsidRPr="00A60D0F">
        <w:rPr>
          <w:rFonts w:asciiTheme="minorHAnsi" w:hAnsiTheme="minorHAnsi" w:cstheme="minorHAnsi"/>
        </w:rPr>
        <w:t>”</w:t>
      </w:r>
      <w:r w:rsidRPr="00A60D0F">
        <w:rPr>
          <w:rFonts w:asciiTheme="minorHAnsi" w:hAnsiTheme="minorHAnsi" w:cstheme="minorHAnsi"/>
        </w:rPr>
        <w:t xml:space="preserve"> We are requesting approval for clearance to assess </w:t>
      </w:r>
      <w:r w:rsidR="002945F3" w:rsidRPr="00A60D0F">
        <w:rPr>
          <w:rFonts w:asciiTheme="minorHAnsi" w:hAnsiTheme="minorHAnsi" w:cstheme="minorHAnsi"/>
        </w:rPr>
        <w:t xml:space="preserve">the recipients’ </w:t>
      </w:r>
      <w:r w:rsidR="002A3E3E" w:rsidRPr="00A60D0F">
        <w:rPr>
          <w:rFonts w:asciiTheme="minorHAnsi" w:hAnsiTheme="minorHAnsi" w:cstheme="minorHAnsi"/>
        </w:rPr>
        <w:t xml:space="preserve">1) </w:t>
      </w:r>
      <w:r w:rsidR="002945F3" w:rsidRPr="00A60D0F">
        <w:rPr>
          <w:rFonts w:asciiTheme="minorHAnsi" w:hAnsiTheme="minorHAnsi" w:cstheme="minorHAnsi"/>
        </w:rPr>
        <w:t xml:space="preserve">opinions about the brochure </w:t>
      </w:r>
      <w:r w:rsidR="002A3E3E" w:rsidRPr="00A60D0F">
        <w:rPr>
          <w:rFonts w:asciiTheme="minorHAnsi" w:hAnsiTheme="minorHAnsi" w:cstheme="minorHAnsi"/>
        </w:rPr>
        <w:t>2) understanding of the key features of the HHE Program, and 3</w:t>
      </w:r>
      <w:r w:rsidR="002945F3" w:rsidRPr="00A60D0F">
        <w:rPr>
          <w:rFonts w:asciiTheme="minorHAnsi" w:hAnsiTheme="minorHAnsi" w:cstheme="minorHAnsi"/>
        </w:rPr>
        <w:t xml:space="preserve">) </w:t>
      </w:r>
      <w:r w:rsidR="002A3E3E" w:rsidRPr="00A60D0F">
        <w:rPr>
          <w:rFonts w:asciiTheme="minorHAnsi" w:hAnsiTheme="minorHAnsi" w:cstheme="minorHAnsi"/>
        </w:rPr>
        <w:t>changes in knowledge and likely behavior after reading the brochure.</w:t>
      </w:r>
    </w:p>
    <w:p w:rsidR="002945F3" w:rsidRPr="00A60D0F" w:rsidRDefault="002945F3" w:rsidP="00741226">
      <w:pPr>
        <w:ind w:left="720"/>
        <w:rPr>
          <w:rFonts w:asciiTheme="minorHAnsi" w:hAnsiTheme="minorHAnsi" w:cstheme="minorHAnsi"/>
        </w:rPr>
      </w:pPr>
    </w:p>
    <w:p w:rsidR="006D3CB1" w:rsidRPr="00A60D0F" w:rsidRDefault="006D3CB1" w:rsidP="006D3CB1">
      <w:pPr>
        <w:ind w:left="720"/>
        <w:rPr>
          <w:rFonts w:asciiTheme="minorHAnsi" w:hAnsiTheme="minorHAnsi" w:cstheme="minorHAnsi"/>
        </w:rPr>
      </w:pPr>
      <w:r w:rsidRPr="00A60D0F">
        <w:rPr>
          <w:rFonts w:asciiTheme="minorHAnsi" w:hAnsiTheme="minorHAnsi" w:cstheme="minorHAnsi"/>
        </w:rPr>
        <w:t xml:space="preserve">The HHE Program </w:t>
      </w:r>
      <w:r w:rsidR="00012F07">
        <w:rPr>
          <w:rFonts w:asciiTheme="minorHAnsi" w:hAnsiTheme="minorHAnsi" w:cstheme="minorHAnsi"/>
        </w:rPr>
        <w:t xml:space="preserve">to collect </w:t>
      </w:r>
      <w:r w:rsidR="00741226" w:rsidRPr="00A60D0F">
        <w:rPr>
          <w:rFonts w:asciiTheme="minorHAnsi" w:hAnsiTheme="minorHAnsi" w:cstheme="minorHAnsi"/>
        </w:rPr>
        <w:t xml:space="preserve">data </w:t>
      </w:r>
      <w:r w:rsidR="00F028CD" w:rsidRPr="00A60D0F">
        <w:rPr>
          <w:rFonts w:asciiTheme="minorHAnsi" w:hAnsiTheme="minorHAnsi" w:cstheme="minorHAnsi"/>
        </w:rPr>
        <w:t xml:space="preserve">from </w:t>
      </w:r>
      <w:r w:rsidRPr="00A60D0F">
        <w:rPr>
          <w:rFonts w:asciiTheme="minorHAnsi" w:hAnsiTheme="minorHAnsi" w:cstheme="minorHAnsi"/>
        </w:rPr>
        <w:t xml:space="preserve">all </w:t>
      </w:r>
      <w:r w:rsidR="002945F3" w:rsidRPr="00A60D0F">
        <w:rPr>
          <w:rFonts w:asciiTheme="minorHAnsi" w:hAnsiTheme="minorHAnsi" w:cstheme="minorHAnsi"/>
        </w:rPr>
        <w:t xml:space="preserve">511 </w:t>
      </w:r>
      <w:r w:rsidRPr="00A60D0F">
        <w:rPr>
          <w:rFonts w:asciiTheme="minorHAnsi" w:hAnsiTheme="minorHAnsi" w:cstheme="minorHAnsi"/>
        </w:rPr>
        <w:t xml:space="preserve">local health departments </w:t>
      </w:r>
      <w:r w:rsidR="00276DBB" w:rsidRPr="00A60D0F">
        <w:rPr>
          <w:rFonts w:asciiTheme="minorHAnsi" w:hAnsiTheme="minorHAnsi" w:cstheme="minorHAnsi"/>
        </w:rPr>
        <w:t xml:space="preserve">that will receive </w:t>
      </w:r>
      <w:r w:rsidR="002945F3" w:rsidRPr="00A60D0F">
        <w:rPr>
          <w:rFonts w:asciiTheme="minorHAnsi" w:hAnsiTheme="minorHAnsi" w:cstheme="minorHAnsi"/>
        </w:rPr>
        <w:t xml:space="preserve">an electronic version (PDF file) of the brochure by email. </w:t>
      </w:r>
      <w:r w:rsidRPr="00A60D0F">
        <w:rPr>
          <w:rFonts w:asciiTheme="minorHAnsi" w:hAnsiTheme="minorHAnsi" w:cstheme="minorHAnsi"/>
        </w:rPr>
        <w:t xml:space="preserve">The information gathered in this </w:t>
      </w:r>
      <w:r w:rsidR="00F028CD" w:rsidRPr="00A60D0F">
        <w:rPr>
          <w:rFonts w:asciiTheme="minorHAnsi" w:hAnsiTheme="minorHAnsi" w:cstheme="minorHAnsi"/>
        </w:rPr>
        <w:t>data collection</w:t>
      </w:r>
      <w:r w:rsidRPr="00A60D0F">
        <w:rPr>
          <w:rFonts w:asciiTheme="minorHAnsi" w:hAnsiTheme="minorHAnsi" w:cstheme="minorHAnsi"/>
        </w:rPr>
        <w:t xml:space="preserve"> is not available from other data sources or through other means.</w:t>
      </w:r>
    </w:p>
    <w:p w:rsidR="006D3CB1" w:rsidRPr="00A60D0F" w:rsidRDefault="006D3CB1" w:rsidP="00043048">
      <w:pPr>
        <w:ind w:left="720"/>
        <w:rPr>
          <w:rFonts w:asciiTheme="minorHAnsi" w:hAnsiTheme="minorHAnsi" w:cstheme="minorHAnsi"/>
        </w:rPr>
      </w:pPr>
    </w:p>
    <w:p w:rsidR="00BC578F" w:rsidRPr="00A60D0F" w:rsidRDefault="00E94788" w:rsidP="00043048">
      <w:pPr>
        <w:ind w:left="720"/>
        <w:rPr>
          <w:rFonts w:asciiTheme="minorHAnsi" w:hAnsiTheme="minorHAnsi" w:cstheme="minorHAnsi"/>
        </w:rPr>
      </w:pPr>
      <w:r w:rsidRPr="00A60D0F">
        <w:rPr>
          <w:rFonts w:asciiTheme="minorHAnsi" w:hAnsiTheme="minorHAnsi" w:cstheme="minorHAnsi"/>
        </w:rPr>
        <w:lastRenderedPageBreak/>
        <w:t xml:space="preserve">Results of the </w:t>
      </w:r>
      <w:r w:rsidR="00F028CD" w:rsidRPr="00A60D0F">
        <w:rPr>
          <w:rFonts w:asciiTheme="minorHAnsi" w:hAnsiTheme="minorHAnsi" w:cstheme="minorHAnsi"/>
        </w:rPr>
        <w:t>data collection</w:t>
      </w:r>
      <w:r w:rsidRPr="00A60D0F">
        <w:rPr>
          <w:rFonts w:asciiTheme="minorHAnsi" w:hAnsiTheme="minorHAnsi" w:cstheme="minorHAnsi"/>
        </w:rPr>
        <w:t xml:space="preserve"> will </w:t>
      </w:r>
      <w:r w:rsidR="00051BF3" w:rsidRPr="00A60D0F">
        <w:rPr>
          <w:rFonts w:asciiTheme="minorHAnsi" w:hAnsiTheme="minorHAnsi" w:cstheme="minorHAnsi"/>
        </w:rPr>
        <w:t xml:space="preserve">have several uses. The first will be </w:t>
      </w:r>
      <w:r w:rsidRPr="00A60D0F">
        <w:rPr>
          <w:rFonts w:asciiTheme="minorHAnsi" w:hAnsiTheme="minorHAnsi" w:cstheme="minorHAnsi"/>
        </w:rPr>
        <w:t xml:space="preserve">to strengthen relationships between the </w:t>
      </w:r>
      <w:r w:rsidR="006D3CB1" w:rsidRPr="00A60D0F">
        <w:rPr>
          <w:rFonts w:asciiTheme="minorHAnsi" w:hAnsiTheme="minorHAnsi" w:cstheme="minorHAnsi"/>
        </w:rPr>
        <w:t>HHE Program</w:t>
      </w:r>
      <w:r w:rsidR="00CA10C3" w:rsidRPr="00A60D0F">
        <w:rPr>
          <w:rFonts w:asciiTheme="minorHAnsi" w:hAnsiTheme="minorHAnsi" w:cstheme="minorHAnsi"/>
        </w:rPr>
        <w:t xml:space="preserve"> and local health department</w:t>
      </w:r>
      <w:r w:rsidR="00161353" w:rsidRPr="00A60D0F">
        <w:rPr>
          <w:rFonts w:asciiTheme="minorHAnsi" w:hAnsiTheme="minorHAnsi" w:cstheme="minorHAnsi"/>
        </w:rPr>
        <w:t>s</w:t>
      </w:r>
      <w:r w:rsidR="00051BF3" w:rsidRPr="00A60D0F">
        <w:rPr>
          <w:rFonts w:asciiTheme="minorHAnsi" w:hAnsiTheme="minorHAnsi" w:cstheme="minorHAnsi"/>
        </w:rPr>
        <w:t>. The second will be to</w:t>
      </w:r>
      <w:r w:rsidR="00CA10C3" w:rsidRPr="00A60D0F">
        <w:rPr>
          <w:rFonts w:asciiTheme="minorHAnsi" w:hAnsiTheme="minorHAnsi" w:cstheme="minorHAnsi"/>
        </w:rPr>
        <w:t xml:space="preserve"> </w:t>
      </w:r>
      <w:r w:rsidRPr="00A60D0F">
        <w:rPr>
          <w:rFonts w:asciiTheme="minorHAnsi" w:hAnsiTheme="minorHAnsi" w:cstheme="minorHAnsi"/>
        </w:rPr>
        <w:t xml:space="preserve">enhance the impact and effectiveness of the </w:t>
      </w:r>
      <w:r w:rsidR="006D3CB1" w:rsidRPr="00A60D0F">
        <w:rPr>
          <w:rFonts w:asciiTheme="minorHAnsi" w:hAnsiTheme="minorHAnsi" w:cstheme="minorHAnsi"/>
        </w:rPr>
        <w:t>HHE Program</w:t>
      </w:r>
      <w:r w:rsidR="00CA10C3" w:rsidRPr="00A60D0F">
        <w:rPr>
          <w:rFonts w:asciiTheme="minorHAnsi" w:hAnsiTheme="minorHAnsi" w:cstheme="minorHAnsi"/>
        </w:rPr>
        <w:t xml:space="preserve">’s </w:t>
      </w:r>
      <w:r w:rsidRPr="00A60D0F">
        <w:rPr>
          <w:rFonts w:asciiTheme="minorHAnsi" w:hAnsiTheme="minorHAnsi" w:cstheme="minorHAnsi"/>
        </w:rPr>
        <w:t>activities and products</w:t>
      </w:r>
      <w:r w:rsidR="00051BF3" w:rsidRPr="00A60D0F">
        <w:rPr>
          <w:rFonts w:asciiTheme="minorHAnsi" w:hAnsiTheme="minorHAnsi" w:cstheme="minorHAnsi"/>
        </w:rPr>
        <w:t>. The third will be to</w:t>
      </w:r>
      <w:r w:rsidRPr="00A60D0F">
        <w:rPr>
          <w:rFonts w:asciiTheme="minorHAnsi" w:hAnsiTheme="minorHAnsi" w:cstheme="minorHAnsi"/>
        </w:rPr>
        <w:t xml:space="preserve"> strengthen the organizational effectiveness of the </w:t>
      </w:r>
      <w:r w:rsidR="006D3CB1" w:rsidRPr="00A60D0F">
        <w:rPr>
          <w:rFonts w:asciiTheme="minorHAnsi" w:hAnsiTheme="minorHAnsi" w:cstheme="minorHAnsi"/>
        </w:rPr>
        <w:t>HHE Program</w:t>
      </w:r>
      <w:r w:rsidR="00051BF3" w:rsidRPr="00A60D0F">
        <w:rPr>
          <w:rFonts w:asciiTheme="minorHAnsi" w:hAnsiTheme="minorHAnsi" w:cstheme="minorHAnsi"/>
        </w:rPr>
        <w:t xml:space="preserve">. Ultimately, the </w:t>
      </w:r>
      <w:r w:rsidR="00F028CD" w:rsidRPr="00A60D0F">
        <w:rPr>
          <w:rFonts w:asciiTheme="minorHAnsi" w:hAnsiTheme="minorHAnsi" w:cstheme="minorHAnsi"/>
        </w:rPr>
        <w:t>data collection</w:t>
      </w:r>
      <w:r w:rsidR="00051BF3" w:rsidRPr="00A60D0F">
        <w:rPr>
          <w:rFonts w:asciiTheme="minorHAnsi" w:hAnsiTheme="minorHAnsi" w:cstheme="minorHAnsi"/>
        </w:rPr>
        <w:t xml:space="preserve"> </w:t>
      </w:r>
      <w:r w:rsidR="00124BDA" w:rsidRPr="00A60D0F">
        <w:rPr>
          <w:rFonts w:asciiTheme="minorHAnsi" w:hAnsiTheme="minorHAnsi" w:cstheme="minorHAnsi"/>
        </w:rPr>
        <w:t xml:space="preserve">will </w:t>
      </w:r>
      <w:r w:rsidRPr="00A60D0F">
        <w:rPr>
          <w:rFonts w:asciiTheme="minorHAnsi" w:hAnsiTheme="minorHAnsi" w:cstheme="minorHAnsi"/>
        </w:rPr>
        <w:t xml:space="preserve">enhance </w:t>
      </w:r>
      <w:r w:rsidR="00161353" w:rsidRPr="00A60D0F">
        <w:rPr>
          <w:rFonts w:asciiTheme="minorHAnsi" w:hAnsiTheme="minorHAnsi" w:cstheme="minorHAnsi"/>
        </w:rPr>
        <w:t xml:space="preserve">the </w:t>
      </w:r>
      <w:r w:rsidR="006D3CB1" w:rsidRPr="00A60D0F">
        <w:rPr>
          <w:rFonts w:asciiTheme="minorHAnsi" w:hAnsiTheme="minorHAnsi" w:cstheme="minorHAnsi"/>
        </w:rPr>
        <w:t>HHE Program</w:t>
      </w:r>
      <w:r w:rsidR="00161353" w:rsidRPr="00A60D0F">
        <w:rPr>
          <w:rFonts w:asciiTheme="minorHAnsi" w:hAnsiTheme="minorHAnsi" w:cstheme="minorHAnsi"/>
        </w:rPr>
        <w:t>’s</w:t>
      </w:r>
      <w:r w:rsidRPr="00A60D0F">
        <w:rPr>
          <w:rFonts w:asciiTheme="minorHAnsi" w:hAnsiTheme="minorHAnsi" w:cstheme="minorHAnsi"/>
        </w:rPr>
        <w:t xml:space="preserve"> ability to </w:t>
      </w:r>
      <w:r w:rsidR="00161353" w:rsidRPr="00A60D0F">
        <w:rPr>
          <w:rFonts w:asciiTheme="minorHAnsi" w:hAnsiTheme="minorHAnsi" w:cstheme="minorHAnsi"/>
        </w:rPr>
        <w:t xml:space="preserve">help </w:t>
      </w:r>
      <w:r w:rsidR="00CA10C3" w:rsidRPr="00A60D0F">
        <w:rPr>
          <w:rFonts w:asciiTheme="minorHAnsi" w:hAnsiTheme="minorHAnsi" w:cstheme="minorHAnsi"/>
        </w:rPr>
        <w:t xml:space="preserve">ensure safe and healthy work places for all American workers. </w:t>
      </w:r>
    </w:p>
    <w:p w:rsidR="00BC578F" w:rsidRPr="00A60D0F" w:rsidRDefault="00BC578F" w:rsidP="00043048">
      <w:pPr>
        <w:ind w:left="720"/>
        <w:rPr>
          <w:rFonts w:asciiTheme="minorHAnsi" w:hAnsiTheme="minorHAnsi" w:cstheme="minorHAnsi"/>
        </w:rPr>
      </w:pPr>
    </w:p>
    <w:p w:rsidR="00991C45" w:rsidRPr="00A60D0F" w:rsidRDefault="00724E2B"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 xml:space="preserve">The </w:t>
      </w:r>
      <w:r w:rsidR="00BE791D" w:rsidRPr="00A60D0F">
        <w:rPr>
          <w:rFonts w:asciiTheme="minorHAnsi" w:hAnsiTheme="minorHAnsi" w:cstheme="minorHAnsi"/>
          <w:sz w:val="24"/>
          <w:szCs w:val="24"/>
        </w:rPr>
        <w:t xml:space="preserve">scope of data collection </w:t>
      </w:r>
      <w:r w:rsidRPr="00A60D0F">
        <w:rPr>
          <w:rFonts w:asciiTheme="minorHAnsi" w:hAnsiTheme="minorHAnsi" w:cstheme="minorHAnsi"/>
          <w:sz w:val="24"/>
          <w:szCs w:val="24"/>
        </w:rPr>
        <w:t xml:space="preserve">is limited to </w:t>
      </w:r>
      <w:r w:rsidR="00CA10C3" w:rsidRPr="00A60D0F">
        <w:rPr>
          <w:rFonts w:asciiTheme="minorHAnsi" w:hAnsiTheme="minorHAnsi" w:cstheme="minorHAnsi"/>
          <w:sz w:val="24"/>
          <w:szCs w:val="24"/>
        </w:rPr>
        <w:t>experiences and opinions of local government e</w:t>
      </w:r>
      <w:r w:rsidRPr="00A60D0F">
        <w:rPr>
          <w:rFonts w:asciiTheme="minorHAnsi" w:hAnsiTheme="minorHAnsi" w:cstheme="minorHAnsi"/>
          <w:sz w:val="24"/>
          <w:szCs w:val="24"/>
        </w:rPr>
        <w:t>mployees acting in their official capacity</w:t>
      </w:r>
      <w:r w:rsidR="00CA10C3" w:rsidRPr="00A60D0F">
        <w:rPr>
          <w:rFonts w:asciiTheme="minorHAnsi" w:hAnsiTheme="minorHAnsi" w:cstheme="minorHAnsi"/>
          <w:sz w:val="24"/>
          <w:szCs w:val="24"/>
        </w:rPr>
        <w:t xml:space="preserve">. This data </w:t>
      </w:r>
      <w:r w:rsidRPr="00A60D0F">
        <w:rPr>
          <w:rFonts w:asciiTheme="minorHAnsi" w:hAnsiTheme="minorHAnsi" w:cstheme="minorHAnsi"/>
          <w:sz w:val="24"/>
          <w:szCs w:val="24"/>
        </w:rPr>
        <w:t>collection</w:t>
      </w:r>
      <w:r w:rsidR="00BD5152" w:rsidRPr="00A60D0F">
        <w:rPr>
          <w:rFonts w:asciiTheme="minorHAnsi" w:hAnsiTheme="minorHAnsi" w:cstheme="minorHAnsi"/>
          <w:sz w:val="24"/>
          <w:szCs w:val="24"/>
        </w:rPr>
        <w:t xml:space="preserve"> will not</w:t>
      </w:r>
      <w:r w:rsidRPr="00A60D0F">
        <w:rPr>
          <w:rFonts w:asciiTheme="minorHAnsi" w:hAnsiTheme="minorHAnsi" w:cstheme="minorHAnsi"/>
          <w:sz w:val="24"/>
          <w:szCs w:val="24"/>
        </w:rPr>
        <w:t xml:space="preserve"> require IRB review</w:t>
      </w:r>
      <w:r w:rsidR="00F0026E">
        <w:rPr>
          <w:rFonts w:asciiTheme="minorHAnsi" w:hAnsiTheme="minorHAnsi" w:cstheme="minorHAnsi"/>
          <w:sz w:val="24"/>
          <w:szCs w:val="24"/>
        </w:rPr>
        <w:t xml:space="preserve">. </w:t>
      </w:r>
      <w:r w:rsidR="00BD5152" w:rsidRPr="00A60D0F">
        <w:rPr>
          <w:rFonts w:asciiTheme="minorHAnsi" w:hAnsiTheme="minorHAnsi" w:cstheme="minorHAnsi"/>
          <w:sz w:val="24"/>
          <w:szCs w:val="24"/>
        </w:rPr>
        <w:t xml:space="preserve"> </w:t>
      </w:r>
    </w:p>
    <w:p w:rsidR="00413644" w:rsidRPr="00A60D0F" w:rsidRDefault="00051BF3" w:rsidP="00043048">
      <w:pPr>
        <w:spacing w:before="100" w:beforeAutospacing="1" w:after="100" w:afterAutospacing="1"/>
        <w:ind w:left="720"/>
        <w:rPr>
          <w:rFonts w:asciiTheme="minorHAnsi" w:hAnsiTheme="minorHAnsi" w:cstheme="minorHAnsi"/>
        </w:rPr>
      </w:pPr>
      <w:r w:rsidRPr="00A60D0F">
        <w:rPr>
          <w:rFonts w:asciiTheme="minorHAnsi" w:hAnsiTheme="minorHAnsi" w:cstheme="minorHAnsi"/>
        </w:rPr>
        <w:t xml:space="preserve">The </w:t>
      </w:r>
      <w:r w:rsidR="00F028CD" w:rsidRPr="00A60D0F">
        <w:rPr>
          <w:rFonts w:asciiTheme="minorHAnsi" w:hAnsiTheme="minorHAnsi" w:cstheme="minorHAnsi"/>
        </w:rPr>
        <w:t>data collection</w:t>
      </w:r>
      <w:r w:rsidRPr="00A60D0F">
        <w:rPr>
          <w:rFonts w:asciiTheme="minorHAnsi" w:hAnsiTheme="minorHAnsi" w:cstheme="minorHAnsi"/>
        </w:rPr>
        <w:t xml:space="preserve"> </w:t>
      </w:r>
      <w:r w:rsidR="00E94788" w:rsidRPr="00A60D0F">
        <w:rPr>
          <w:rFonts w:asciiTheme="minorHAnsi" w:hAnsiTheme="minorHAnsi" w:cstheme="minorHAnsi"/>
        </w:rPr>
        <w:t xml:space="preserve">will not </w:t>
      </w:r>
      <w:r w:rsidR="00CA1E2D" w:rsidRPr="00A60D0F">
        <w:rPr>
          <w:rFonts w:asciiTheme="minorHAnsi" w:hAnsiTheme="minorHAnsi" w:cstheme="minorHAnsi"/>
        </w:rPr>
        <w:t>yield data that can be generalized</w:t>
      </w:r>
      <w:r w:rsidR="002A3E3E" w:rsidRPr="00A60D0F">
        <w:rPr>
          <w:rFonts w:asciiTheme="minorHAnsi" w:hAnsiTheme="minorHAnsi" w:cstheme="minorHAnsi"/>
        </w:rPr>
        <w:t xml:space="preserve">. </w:t>
      </w:r>
      <w:r w:rsidR="00CA1E2D" w:rsidRPr="00A60D0F">
        <w:rPr>
          <w:rFonts w:asciiTheme="minorHAnsi" w:hAnsiTheme="minorHAnsi" w:cstheme="minorHAnsi"/>
        </w:rPr>
        <w:t xml:space="preserve">CDC expects to use these findings to </w:t>
      </w:r>
      <w:r w:rsidR="002945F3" w:rsidRPr="00A60D0F">
        <w:rPr>
          <w:rFonts w:asciiTheme="minorHAnsi" w:hAnsiTheme="minorHAnsi" w:cstheme="minorHAnsi"/>
        </w:rPr>
        <w:t xml:space="preserve">improve its products and services for </w:t>
      </w:r>
      <w:r w:rsidR="00CA10C3" w:rsidRPr="00A60D0F">
        <w:rPr>
          <w:rFonts w:asciiTheme="minorHAnsi" w:hAnsiTheme="minorHAnsi" w:cstheme="minorHAnsi"/>
        </w:rPr>
        <w:t>local health officials</w:t>
      </w:r>
      <w:r w:rsidR="00012F07">
        <w:rPr>
          <w:rFonts w:asciiTheme="minorHAnsi" w:hAnsiTheme="minorHAnsi" w:cstheme="minorHAnsi"/>
        </w:rPr>
        <w:t xml:space="preserve"> and </w:t>
      </w:r>
      <w:r w:rsidR="00B73372" w:rsidRPr="00A60D0F">
        <w:rPr>
          <w:rFonts w:asciiTheme="minorHAnsi" w:hAnsiTheme="minorHAnsi" w:cstheme="minorHAnsi"/>
        </w:rPr>
        <w:t>employees</w:t>
      </w:r>
      <w:r w:rsidR="00495558" w:rsidRPr="00A60D0F">
        <w:rPr>
          <w:rFonts w:asciiTheme="minorHAnsi" w:hAnsiTheme="minorHAnsi" w:cstheme="minorHAnsi"/>
        </w:rPr>
        <w:t>. T</w:t>
      </w:r>
      <w:r w:rsidR="00CA10C3" w:rsidRPr="00A60D0F">
        <w:rPr>
          <w:rFonts w:asciiTheme="minorHAnsi" w:hAnsiTheme="minorHAnsi" w:cstheme="minorHAnsi"/>
        </w:rPr>
        <w:t xml:space="preserve">his information will serve as an </w:t>
      </w:r>
      <w:r w:rsidR="00CA1E2D" w:rsidRPr="00A60D0F">
        <w:rPr>
          <w:rFonts w:asciiTheme="minorHAnsi" w:hAnsiTheme="minorHAnsi" w:cstheme="minorHAnsi"/>
        </w:rPr>
        <w:t xml:space="preserve">input </w:t>
      </w:r>
      <w:r w:rsidR="00413644" w:rsidRPr="00A60D0F">
        <w:rPr>
          <w:rFonts w:asciiTheme="minorHAnsi" w:hAnsiTheme="minorHAnsi" w:cstheme="minorHAnsi"/>
        </w:rPr>
        <w:t xml:space="preserve">to program management. </w:t>
      </w:r>
    </w:p>
    <w:p w:rsidR="006D3CB1" w:rsidRPr="001A4E95" w:rsidRDefault="003A1D01" w:rsidP="001A4E95">
      <w:pPr>
        <w:pStyle w:val="ListParagraph"/>
        <w:numPr>
          <w:ilvl w:val="0"/>
          <w:numId w:val="5"/>
        </w:numPr>
        <w:spacing w:before="100" w:beforeAutospacing="1" w:after="100" w:afterAutospacing="1"/>
        <w:rPr>
          <w:rFonts w:asciiTheme="minorHAnsi" w:hAnsiTheme="minorHAnsi" w:cstheme="minorHAnsi"/>
        </w:rPr>
      </w:pPr>
      <w:r w:rsidRPr="00A60D0F">
        <w:rPr>
          <w:rFonts w:asciiTheme="minorHAnsi" w:hAnsiTheme="minorHAnsi" w:cstheme="minorHAnsi"/>
          <w:u w:val="single"/>
        </w:rPr>
        <w:t>Use of Improved Information Technology and Burden Reduction</w:t>
      </w:r>
      <w:r w:rsidR="00751300" w:rsidRPr="00A60D0F">
        <w:rPr>
          <w:rFonts w:asciiTheme="minorHAnsi" w:hAnsiTheme="minorHAnsi" w:cstheme="minorHAnsi"/>
          <w:u w:val="single"/>
        </w:rPr>
        <w:t xml:space="preserve"> </w:t>
      </w:r>
    </w:p>
    <w:p w:rsidR="00302CC0" w:rsidRPr="00A60D0F" w:rsidRDefault="00302CC0" w:rsidP="00302CC0">
      <w:pPr>
        <w:pStyle w:val="ListParagraph"/>
        <w:spacing w:before="100" w:beforeAutospacing="1" w:after="100" w:afterAutospacing="1"/>
        <w:rPr>
          <w:rFonts w:asciiTheme="minorHAnsi" w:hAnsiTheme="minorHAnsi" w:cstheme="minorHAnsi"/>
        </w:rPr>
      </w:pPr>
      <w:r w:rsidRPr="00A60D0F">
        <w:rPr>
          <w:rFonts w:asciiTheme="minorHAnsi" w:hAnsiTheme="minorHAnsi" w:cstheme="minorHAnsi"/>
        </w:rPr>
        <w:t xml:space="preserve">These data will be collected using </w:t>
      </w:r>
      <w:r w:rsidR="002945F3" w:rsidRPr="00A60D0F">
        <w:rPr>
          <w:rFonts w:asciiTheme="minorHAnsi" w:hAnsiTheme="minorHAnsi" w:cstheme="minorHAnsi"/>
        </w:rPr>
        <w:t xml:space="preserve">the </w:t>
      </w:r>
      <w:r w:rsidR="003766F0" w:rsidRPr="00A60D0F">
        <w:rPr>
          <w:rFonts w:asciiTheme="minorHAnsi" w:hAnsiTheme="minorHAnsi" w:cstheme="minorHAnsi"/>
        </w:rPr>
        <w:t xml:space="preserve">CDC’s </w:t>
      </w:r>
      <w:r w:rsidR="002945F3" w:rsidRPr="00A60D0F">
        <w:rPr>
          <w:rFonts w:asciiTheme="minorHAnsi" w:hAnsiTheme="minorHAnsi" w:cstheme="minorHAnsi"/>
        </w:rPr>
        <w:t>Epi Info ™ Web Survey System</w:t>
      </w:r>
      <w:r w:rsidR="00F0026E">
        <w:rPr>
          <w:rFonts w:asciiTheme="minorHAnsi" w:hAnsiTheme="minorHAnsi" w:cstheme="minorHAnsi"/>
        </w:rPr>
        <w:t xml:space="preserve">. </w:t>
      </w:r>
      <w:r w:rsidR="001040AF" w:rsidRPr="00A60D0F">
        <w:rPr>
          <w:rFonts w:asciiTheme="minorHAnsi" w:hAnsiTheme="minorHAnsi" w:cstheme="minorHAnsi"/>
        </w:rPr>
        <w:t xml:space="preserve">Web-based data collection </w:t>
      </w:r>
      <w:r w:rsidRPr="00A60D0F">
        <w:rPr>
          <w:rFonts w:asciiTheme="minorHAnsi" w:hAnsiTheme="minorHAnsi" w:cstheme="minorHAnsi"/>
        </w:rPr>
        <w:t>reduce</w:t>
      </w:r>
      <w:r w:rsidR="001040AF" w:rsidRPr="00A60D0F">
        <w:rPr>
          <w:rFonts w:asciiTheme="minorHAnsi" w:hAnsiTheme="minorHAnsi" w:cstheme="minorHAnsi"/>
        </w:rPr>
        <w:t>s</w:t>
      </w:r>
      <w:r w:rsidRPr="00A60D0F">
        <w:rPr>
          <w:rFonts w:asciiTheme="minorHAnsi" w:hAnsiTheme="minorHAnsi" w:cstheme="minorHAnsi"/>
        </w:rPr>
        <w:t xml:space="preserve"> respondent burden by enabling them to easily access the </w:t>
      </w:r>
      <w:r w:rsidR="001040AF" w:rsidRPr="00A60D0F">
        <w:rPr>
          <w:rFonts w:asciiTheme="minorHAnsi" w:hAnsiTheme="minorHAnsi" w:cstheme="minorHAnsi"/>
        </w:rPr>
        <w:t xml:space="preserve">instrument </w:t>
      </w:r>
      <w:r w:rsidRPr="00A60D0F">
        <w:rPr>
          <w:rFonts w:asciiTheme="minorHAnsi" w:hAnsiTheme="minorHAnsi" w:cstheme="minorHAnsi"/>
        </w:rPr>
        <w:t>and complete it at a convenient time and location</w:t>
      </w:r>
      <w:r w:rsidR="00F0026E">
        <w:rPr>
          <w:rFonts w:asciiTheme="minorHAnsi" w:hAnsiTheme="minorHAnsi" w:cstheme="minorHAnsi"/>
        </w:rPr>
        <w:t xml:space="preserve">. </w:t>
      </w:r>
      <w:r w:rsidRPr="00A60D0F">
        <w:rPr>
          <w:rFonts w:asciiTheme="minorHAnsi" w:hAnsiTheme="minorHAnsi" w:cstheme="minorHAnsi"/>
        </w:rPr>
        <w:t>The web</w:t>
      </w:r>
      <w:r w:rsidR="001040AF" w:rsidRPr="00A60D0F">
        <w:rPr>
          <w:rFonts w:asciiTheme="minorHAnsi" w:hAnsiTheme="minorHAnsi" w:cstheme="minorHAnsi"/>
        </w:rPr>
        <w:t>-based instrument</w:t>
      </w:r>
      <w:r w:rsidRPr="00A60D0F">
        <w:rPr>
          <w:rFonts w:asciiTheme="minorHAnsi" w:hAnsiTheme="minorHAnsi" w:cstheme="minorHAnsi"/>
        </w:rPr>
        <w:t xml:space="preserve"> will use easy-to-read response scales </w:t>
      </w:r>
      <w:r w:rsidR="00012F07">
        <w:rPr>
          <w:rFonts w:asciiTheme="minorHAnsi" w:hAnsiTheme="minorHAnsi" w:cstheme="minorHAnsi"/>
        </w:rPr>
        <w:t>and</w:t>
      </w:r>
      <w:r w:rsidRPr="00A60D0F">
        <w:rPr>
          <w:rFonts w:asciiTheme="minorHAnsi" w:hAnsiTheme="minorHAnsi" w:cstheme="minorHAnsi"/>
        </w:rPr>
        <w:t xml:space="preserve"> text boxes. </w:t>
      </w:r>
      <w:r w:rsidR="002945F3" w:rsidRPr="00A60D0F">
        <w:rPr>
          <w:rFonts w:asciiTheme="minorHAnsi" w:hAnsiTheme="minorHAnsi" w:cstheme="minorHAnsi"/>
        </w:rPr>
        <w:t>S</w:t>
      </w:r>
      <w:r w:rsidRPr="00A60D0F">
        <w:rPr>
          <w:rFonts w:asciiTheme="minorHAnsi" w:hAnsiTheme="minorHAnsi" w:cstheme="minorHAnsi"/>
        </w:rPr>
        <w:t xml:space="preserve">kip patterns </w:t>
      </w:r>
      <w:r w:rsidR="00A60D0F">
        <w:rPr>
          <w:rFonts w:asciiTheme="minorHAnsi" w:hAnsiTheme="minorHAnsi" w:cstheme="minorHAnsi"/>
        </w:rPr>
        <w:t xml:space="preserve">for </w:t>
      </w:r>
      <w:r w:rsidRPr="00A60D0F">
        <w:rPr>
          <w:rFonts w:asciiTheme="minorHAnsi" w:hAnsiTheme="minorHAnsi" w:cstheme="minorHAnsi"/>
        </w:rPr>
        <w:t xml:space="preserve">questions that are only appropriate for a proportion of respondents have been programmed into the web-based </w:t>
      </w:r>
      <w:r w:rsidR="001040AF" w:rsidRPr="00A60D0F">
        <w:rPr>
          <w:rFonts w:asciiTheme="minorHAnsi" w:hAnsiTheme="minorHAnsi" w:cstheme="minorHAnsi"/>
        </w:rPr>
        <w:t>instrument</w:t>
      </w:r>
      <w:r w:rsidRPr="00A60D0F">
        <w:rPr>
          <w:rFonts w:asciiTheme="minorHAnsi" w:hAnsiTheme="minorHAnsi" w:cstheme="minorHAnsi"/>
        </w:rPr>
        <w:t xml:space="preserve">. </w:t>
      </w:r>
      <w:r w:rsidR="00514395" w:rsidRPr="00A60D0F">
        <w:rPr>
          <w:rFonts w:asciiTheme="minorHAnsi" w:hAnsiTheme="minorHAnsi" w:cstheme="minorHAnsi"/>
        </w:rPr>
        <w:t>Th</w:t>
      </w:r>
      <w:r w:rsidR="001040AF" w:rsidRPr="00A60D0F">
        <w:rPr>
          <w:rFonts w:asciiTheme="minorHAnsi" w:hAnsiTheme="minorHAnsi" w:cstheme="minorHAnsi"/>
        </w:rPr>
        <w:t xml:space="preserve">is data collection effort is </w:t>
      </w:r>
      <w:r w:rsidR="00514395" w:rsidRPr="00A60D0F">
        <w:rPr>
          <w:rFonts w:asciiTheme="minorHAnsi" w:hAnsiTheme="minorHAnsi" w:cstheme="minorHAnsi"/>
        </w:rPr>
        <w:t xml:space="preserve">designed to </w:t>
      </w:r>
      <w:r w:rsidR="001040AF" w:rsidRPr="00A60D0F">
        <w:rPr>
          <w:rFonts w:asciiTheme="minorHAnsi" w:hAnsiTheme="minorHAnsi" w:cstheme="minorHAnsi"/>
        </w:rPr>
        <w:t xml:space="preserve">gather </w:t>
      </w:r>
      <w:r w:rsidR="00514395" w:rsidRPr="00A60D0F">
        <w:rPr>
          <w:rFonts w:asciiTheme="minorHAnsi" w:hAnsiTheme="minorHAnsi" w:cstheme="minorHAnsi"/>
        </w:rPr>
        <w:t>the minimum information necessary to meet the goals of the project.</w:t>
      </w:r>
    </w:p>
    <w:p w:rsidR="00302CC0" w:rsidRPr="00A60D0F" w:rsidRDefault="00302CC0" w:rsidP="00302CC0">
      <w:pPr>
        <w:pStyle w:val="ListParagraph"/>
        <w:spacing w:before="100" w:beforeAutospacing="1" w:after="100" w:afterAutospacing="1"/>
        <w:rPr>
          <w:rFonts w:asciiTheme="minorHAnsi" w:hAnsiTheme="minorHAnsi" w:cstheme="minorHAnsi"/>
        </w:rPr>
      </w:pPr>
    </w:p>
    <w:p w:rsidR="00302CC0" w:rsidRPr="00A60D0F" w:rsidRDefault="003766F0" w:rsidP="00302CC0">
      <w:pPr>
        <w:pStyle w:val="ListParagraph"/>
        <w:spacing w:before="100" w:beforeAutospacing="1" w:after="100" w:afterAutospacing="1"/>
        <w:rPr>
          <w:rFonts w:asciiTheme="minorHAnsi" w:hAnsiTheme="minorHAnsi" w:cstheme="minorHAnsi"/>
        </w:rPr>
      </w:pPr>
      <w:r w:rsidRPr="00CA5BE0">
        <w:rPr>
          <w:rFonts w:asciiTheme="minorHAnsi" w:hAnsiTheme="minorHAnsi" w:cstheme="minorHAnsi"/>
        </w:rPr>
        <w:t xml:space="preserve">The </w:t>
      </w:r>
      <w:r w:rsidRPr="00A60D0F">
        <w:rPr>
          <w:rFonts w:asciiTheme="minorHAnsi" w:hAnsiTheme="minorHAnsi" w:cstheme="minorHAnsi"/>
        </w:rPr>
        <w:t>CDC’s Epi Info ™ Web Survey System is within the CDC firewall and thus meets all federal security requirements.</w:t>
      </w:r>
      <w:r w:rsidR="00302CC0" w:rsidRPr="00A60D0F">
        <w:rPr>
          <w:rFonts w:asciiTheme="minorHAnsi" w:hAnsiTheme="minorHAnsi" w:cstheme="minorHAnsi"/>
        </w:rPr>
        <w:t xml:space="preserve"> Personally identified information will not be collected.</w:t>
      </w:r>
    </w:p>
    <w:p w:rsidR="00124BDA" w:rsidRPr="00A60D0F" w:rsidRDefault="00124BDA" w:rsidP="00124BDA">
      <w:pPr>
        <w:pStyle w:val="ListParagraph"/>
        <w:rPr>
          <w:rFonts w:asciiTheme="minorHAnsi" w:hAnsiTheme="minorHAnsi" w:cstheme="minorHAnsi"/>
          <w:u w:val="single"/>
        </w:rPr>
      </w:pPr>
    </w:p>
    <w:p w:rsidR="006A163B" w:rsidRPr="001A4E95" w:rsidRDefault="003A1D01" w:rsidP="001A4E95">
      <w:pPr>
        <w:pStyle w:val="ListParagraph"/>
        <w:numPr>
          <w:ilvl w:val="0"/>
          <w:numId w:val="5"/>
        </w:numPr>
        <w:ind w:hanging="450"/>
        <w:rPr>
          <w:rFonts w:asciiTheme="minorHAnsi" w:hAnsiTheme="minorHAnsi" w:cstheme="minorHAnsi"/>
          <w:u w:val="single"/>
        </w:rPr>
      </w:pPr>
      <w:r w:rsidRPr="00A60D0F">
        <w:rPr>
          <w:rFonts w:asciiTheme="minorHAnsi" w:hAnsiTheme="minorHAnsi" w:cstheme="minorHAnsi"/>
          <w:u w:val="single"/>
        </w:rPr>
        <w:t>Efforts to Identify Duplication and Use of Similar Information</w:t>
      </w:r>
      <w:r w:rsidR="006A163B" w:rsidRPr="00A60D0F">
        <w:rPr>
          <w:rFonts w:asciiTheme="minorHAnsi" w:hAnsiTheme="minorHAnsi" w:cstheme="minorHAnsi"/>
          <w:u w:val="single"/>
        </w:rPr>
        <w:t xml:space="preserve"> </w:t>
      </w:r>
    </w:p>
    <w:p w:rsidR="006A163B" w:rsidRPr="00A60D0F" w:rsidRDefault="00413644"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 xml:space="preserve">This data collection is unique to the </w:t>
      </w:r>
      <w:r w:rsidR="006D3CB1" w:rsidRPr="00A60D0F">
        <w:rPr>
          <w:rFonts w:asciiTheme="minorHAnsi" w:hAnsiTheme="minorHAnsi" w:cstheme="minorHAnsi"/>
          <w:sz w:val="24"/>
          <w:szCs w:val="24"/>
        </w:rPr>
        <w:t>HHE Program</w:t>
      </w:r>
      <w:r w:rsidRPr="00A60D0F">
        <w:rPr>
          <w:rFonts w:asciiTheme="minorHAnsi" w:hAnsiTheme="minorHAnsi" w:cstheme="minorHAnsi"/>
          <w:sz w:val="24"/>
          <w:szCs w:val="24"/>
        </w:rPr>
        <w:t xml:space="preserve"> and does not duplicate other efforts. </w:t>
      </w:r>
      <w:r w:rsidR="00276DBB" w:rsidRPr="00A60D0F">
        <w:rPr>
          <w:rFonts w:asciiTheme="minorHAnsi" w:hAnsiTheme="minorHAnsi" w:cstheme="minorHAnsi"/>
          <w:sz w:val="24"/>
          <w:szCs w:val="24"/>
        </w:rPr>
        <w:t xml:space="preserve">In </w:t>
      </w:r>
      <w:r w:rsidR="001040AF" w:rsidRPr="00A60D0F">
        <w:rPr>
          <w:rFonts w:asciiTheme="minorHAnsi" w:hAnsiTheme="minorHAnsi" w:cstheme="minorHAnsi"/>
          <w:sz w:val="24"/>
          <w:szCs w:val="24"/>
        </w:rPr>
        <w:t>the</w:t>
      </w:r>
      <w:r w:rsidR="00276DBB" w:rsidRPr="00A60D0F">
        <w:rPr>
          <w:rFonts w:asciiTheme="minorHAnsi" w:hAnsiTheme="minorHAnsi" w:cstheme="minorHAnsi"/>
          <w:sz w:val="24"/>
          <w:szCs w:val="24"/>
        </w:rPr>
        <w:t xml:space="preserve"> 2012 </w:t>
      </w:r>
      <w:r w:rsidR="001040AF" w:rsidRPr="00A60D0F">
        <w:rPr>
          <w:rFonts w:asciiTheme="minorHAnsi" w:hAnsiTheme="minorHAnsi" w:cstheme="minorHAnsi"/>
          <w:sz w:val="24"/>
          <w:szCs w:val="24"/>
        </w:rPr>
        <w:t xml:space="preserve">data collection approved under this Generic Information Collection mechanism, </w:t>
      </w:r>
      <w:r w:rsidR="00302CC0" w:rsidRPr="00A60D0F">
        <w:rPr>
          <w:rFonts w:asciiTheme="minorHAnsi" w:hAnsiTheme="minorHAnsi" w:cstheme="minorHAnsi"/>
          <w:sz w:val="24"/>
          <w:szCs w:val="24"/>
        </w:rPr>
        <w:t xml:space="preserve">NIOSH </w:t>
      </w:r>
      <w:r w:rsidR="00276DBB" w:rsidRPr="00A60D0F">
        <w:rPr>
          <w:rFonts w:asciiTheme="minorHAnsi" w:hAnsiTheme="minorHAnsi" w:cstheme="minorHAnsi"/>
          <w:sz w:val="24"/>
          <w:szCs w:val="24"/>
        </w:rPr>
        <w:t xml:space="preserve">invited </w:t>
      </w:r>
      <w:r w:rsidR="00281134" w:rsidRPr="00A60D0F">
        <w:rPr>
          <w:rFonts w:asciiTheme="minorHAnsi" w:hAnsiTheme="minorHAnsi" w:cstheme="minorHAnsi"/>
          <w:sz w:val="24"/>
          <w:szCs w:val="24"/>
        </w:rPr>
        <w:t>48</w:t>
      </w:r>
      <w:r w:rsidR="00276DBB" w:rsidRPr="00A60D0F">
        <w:rPr>
          <w:rFonts w:asciiTheme="minorHAnsi" w:hAnsiTheme="minorHAnsi" w:cstheme="minorHAnsi"/>
          <w:sz w:val="24"/>
          <w:szCs w:val="24"/>
        </w:rPr>
        <w:t xml:space="preserve"> </w:t>
      </w:r>
      <w:r w:rsidR="00302CC0" w:rsidRPr="00A60D0F">
        <w:rPr>
          <w:rFonts w:asciiTheme="minorHAnsi" w:hAnsiTheme="minorHAnsi" w:cstheme="minorHAnsi"/>
          <w:sz w:val="24"/>
          <w:szCs w:val="24"/>
        </w:rPr>
        <w:t>local health departments</w:t>
      </w:r>
      <w:r w:rsidR="002945F3" w:rsidRPr="00A60D0F">
        <w:rPr>
          <w:rFonts w:asciiTheme="minorHAnsi" w:hAnsiTheme="minorHAnsi" w:cstheme="minorHAnsi"/>
          <w:sz w:val="24"/>
          <w:szCs w:val="24"/>
        </w:rPr>
        <w:t xml:space="preserve"> </w:t>
      </w:r>
      <w:r w:rsidR="00276DBB" w:rsidRPr="00A60D0F">
        <w:rPr>
          <w:rFonts w:asciiTheme="minorHAnsi" w:hAnsiTheme="minorHAnsi" w:cstheme="minorHAnsi"/>
          <w:sz w:val="24"/>
          <w:szCs w:val="24"/>
        </w:rPr>
        <w:t xml:space="preserve">to participate in a </w:t>
      </w:r>
      <w:r w:rsidR="00A60D0F">
        <w:rPr>
          <w:rFonts w:asciiTheme="minorHAnsi" w:hAnsiTheme="minorHAnsi" w:cstheme="minorHAnsi"/>
          <w:sz w:val="24"/>
          <w:szCs w:val="24"/>
        </w:rPr>
        <w:t>data collection</w:t>
      </w:r>
      <w:r w:rsidR="00276DBB" w:rsidRPr="00A60D0F">
        <w:rPr>
          <w:rFonts w:asciiTheme="minorHAnsi" w:hAnsiTheme="minorHAnsi" w:cstheme="minorHAnsi"/>
          <w:sz w:val="24"/>
          <w:szCs w:val="24"/>
        </w:rPr>
        <w:t xml:space="preserve">; </w:t>
      </w:r>
      <w:r w:rsidR="00281134" w:rsidRPr="00A60D0F">
        <w:rPr>
          <w:rFonts w:asciiTheme="minorHAnsi" w:hAnsiTheme="minorHAnsi" w:cstheme="minorHAnsi"/>
          <w:sz w:val="24"/>
          <w:szCs w:val="24"/>
        </w:rPr>
        <w:t>19</w:t>
      </w:r>
      <w:r w:rsidR="00276DBB" w:rsidRPr="00A60D0F">
        <w:rPr>
          <w:rFonts w:asciiTheme="minorHAnsi" w:hAnsiTheme="minorHAnsi" w:cstheme="minorHAnsi"/>
          <w:sz w:val="24"/>
          <w:szCs w:val="24"/>
        </w:rPr>
        <w:t xml:space="preserve"> responded. </w:t>
      </w:r>
      <w:r w:rsidR="001040AF" w:rsidRPr="00A60D0F">
        <w:rPr>
          <w:rFonts w:asciiTheme="minorHAnsi" w:hAnsiTheme="minorHAnsi" w:cstheme="minorHAnsi"/>
          <w:sz w:val="24"/>
          <w:szCs w:val="24"/>
        </w:rPr>
        <w:t>As noted above, t</w:t>
      </w:r>
      <w:r w:rsidR="00276DBB" w:rsidRPr="00A60D0F">
        <w:rPr>
          <w:rFonts w:asciiTheme="minorHAnsi" w:hAnsiTheme="minorHAnsi" w:cstheme="minorHAnsi"/>
          <w:sz w:val="24"/>
          <w:szCs w:val="24"/>
        </w:rPr>
        <w:t xml:space="preserve">he results </w:t>
      </w:r>
      <w:r w:rsidR="001040AF" w:rsidRPr="00A60D0F">
        <w:rPr>
          <w:rFonts w:asciiTheme="minorHAnsi" w:hAnsiTheme="minorHAnsi" w:cstheme="minorHAnsi"/>
          <w:sz w:val="24"/>
          <w:szCs w:val="24"/>
        </w:rPr>
        <w:t xml:space="preserve">pointed to the need for the new brochure and guided its </w:t>
      </w:r>
      <w:r w:rsidR="00276DBB" w:rsidRPr="00A60D0F">
        <w:rPr>
          <w:rFonts w:asciiTheme="minorHAnsi" w:hAnsiTheme="minorHAnsi" w:cstheme="minorHAnsi"/>
          <w:sz w:val="24"/>
          <w:szCs w:val="24"/>
        </w:rPr>
        <w:t xml:space="preserve">content. </w:t>
      </w:r>
      <w:r w:rsidR="002945F3" w:rsidRPr="00A60D0F">
        <w:rPr>
          <w:rFonts w:asciiTheme="minorHAnsi" w:hAnsiTheme="minorHAnsi" w:cstheme="minorHAnsi"/>
          <w:sz w:val="24"/>
          <w:szCs w:val="24"/>
        </w:rPr>
        <w:t xml:space="preserve">None of the local health departments invited to participate in the prior </w:t>
      </w:r>
      <w:r w:rsidR="001040AF" w:rsidRPr="00A60D0F">
        <w:rPr>
          <w:rFonts w:asciiTheme="minorHAnsi" w:hAnsiTheme="minorHAnsi" w:cstheme="minorHAnsi"/>
          <w:sz w:val="24"/>
          <w:szCs w:val="24"/>
        </w:rPr>
        <w:t>effort</w:t>
      </w:r>
      <w:r w:rsidR="002945F3" w:rsidRPr="00A60D0F">
        <w:rPr>
          <w:rFonts w:asciiTheme="minorHAnsi" w:hAnsiTheme="minorHAnsi" w:cstheme="minorHAnsi"/>
          <w:sz w:val="24"/>
          <w:szCs w:val="24"/>
        </w:rPr>
        <w:t xml:space="preserve"> </w:t>
      </w:r>
      <w:r w:rsidR="00CA5BE0" w:rsidRPr="00A60D0F">
        <w:rPr>
          <w:rFonts w:asciiTheme="minorHAnsi" w:hAnsiTheme="minorHAnsi" w:cstheme="minorHAnsi"/>
          <w:sz w:val="24"/>
          <w:szCs w:val="24"/>
        </w:rPr>
        <w:t>is</w:t>
      </w:r>
      <w:r w:rsidR="002945F3" w:rsidRPr="00A60D0F">
        <w:rPr>
          <w:rFonts w:asciiTheme="minorHAnsi" w:hAnsiTheme="minorHAnsi" w:cstheme="minorHAnsi"/>
          <w:sz w:val="24"/>
          <w:szCs w:val="24"/>
        </w:rPr>
        <w:t xml:space="preserve"> included in the current </w:t>
      </w:r>
      <w:r w:rsidR="001040AF" w:rsidRPr="00A60D0F">
        <w:rPr>
          <w:rFonts w:asciiTheme="minorHAnsi" w:hAnsiTheme="minorHAnsi" w:cstheme="minorHAnsi"/>
          <w:sz w:val="24"/>
          <w:szCs w:val="24"/>
        </w:rPr>
        <w:t>information collection</w:t>
      </w:r>
      <w:r w:rsidR="002945F3" w:rsidRPr="00A60D0F">
        <w:rPr>
          <w:rFonts w:asciiTheme="minorHAnsi" w:hAnsiTheme="minorHAnsi" w:cstheme="minorHAnsi"/>
          <w:sz w:val="24"/>
          <w:szCs w:val="24"/>
        </w:rPr>
        <w:t>.</w:t>
      </w:r>
    </w:p>
    <w:p w:rsidR="001F055A" w:rsidRPr="00A60D0F" w:rsidRDefault="001F055A" w:rsidP="00043048">
      <w:pPr>
        <w:ind w:left="720" w:hanging="450"/>
        <w:rPr>
          <w:rFonts w:asciiTheme="minorHAnsi" w:hAnsiTheme="minorHAnsi" w:cstheme="minorHAnsi"/>
        </w:rPr>
      </w:pPr>
    </w:p>
    <w:p w:rsidR="00052E6A" w:rsidRPr="005F5D1F" w:rsidRDefault="00CA10C3" w:rsidP="005F5D1F">
      <w:pPr>
        <w:pStyle w:val="ListParagraph"/>
        <w:numPr>
          <w:ilvl w:val="0"/>
          <w:numId w:val="5"/>
        </w:numPr>
        <w:ind w:hanging="450"/>
        <w:rPr>
          <w:rFonts w:asciiTheme="minorHAnsi" w:hAnsiTheme="minorHAnsi" w:cstheme="minorHAnsi"/>
          <w:u w:val="single"/>
        </w:rPr>
      </w:pPr>
      <w:r w:rsidRPr="00A60D0F">
        <w:rPr>
          <w:rFonts w:asciiTheme="minorHAnsi" w:hAnsiTheme="minorHAnsi" w:cstheme="minorHAnsi"/>
          <w:u w:val="single"/>
        </w:rPr>
        <w:t>I</w:t>
      </w:r>
      <w:r w:rsidR="003A1D01" w:rsidRPr="00A60D0F">
        <w:rPr>
          <w:rFonts w:asciiTheme="minorHAnsi" w:hAnsiTheme="minorHAnsi" w:cstheme="minorHAnsi"/>
          <w:u w:val="single"/>
        </w:rPr>
        <w:t>mpact on Small Businesses or Other Small Entities</w:t>
      </w:r>
    </w:p>
    <w:p w:rsidR="00052E6A" w:rsidRPr="00A60D0F" w:rsidRDefault="003A1D01"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No small businesses will be involved in this data collection</w:t>
      </w:r>
      <w:r w:rsidR="00C05E7A" w:rsidRPr="00A60D0F">
        <w:rPr>
          <w:rFonts w:asciiTheme="minorHAnsi" w:hAnsiTheme="minorHAnsi" w:cstheme="minorHAnsi"/>
          <w:sz w:val="24"/>
          <w:szCs w:val="24"/>
        </w:rPr>
        <w:t>.</w:t>
      </w:r>
    </w:p>
    <w:p w:rsidR="00CA5BE0" w:rsidRPr="005F5D1F" w:rsidRDefault="00CA5BE0" w:rsidP="005F5D1F">
      <w:pPr>
        <w:rPr>
          <w:rFonts w:asciiTheme="minorHAnsi" w:hAnsiTheme="minorHAnsi" w:cstheme="minorHAnsi"/>
        </w:rPr>
      </w:pPr>
    </w:p>
    <w:p w:rsidR="00052E6A" w:rsidRPr="005F5D1F" w:rsidRDefault="003A1D01" w:rsidP="005F5D1F">
      <w:pPr>
        <w:pStyle w:val="ListParagraph"/>
        <w:numPr>
          <w:ilvl w:val="0"/>
          <w:numId w:val="5"/>
        </w:numPr>
        <w:ind w:hanging="450"/>
        <w:rPr>
          <w:rFonts w:asciiTheme="minorHAnsi" w:hAnsiTheme="minorHAnsi" w:cstheme="minorHAnsi"/>
          <w:u w:val="single"/>
        </w:rPr>
      </w:pPr>
      <w:r w:rsidRPr="00A60D0F">
        <w:rPr>
          <w:rFonts w:asciiTheme="minorHAnsi" w:hAnsiTheme="minorHAnsi" w:cstheme="minorHAnsi"/>
          <w:u w:val="single"/>
        </w:rPr>
        <w:t>Consequences of Collecting the Information Less Frequently</w:t>
      </w:r>
    </w:p>
    <w:p w:rsidR="00726D58" w:rsidRPr="00A60D0F" w:rsidRDefault="00F550BC"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 xml:space="preserve">The purpose </w:t>
      </w:r>
      <w:r w:rsidR="00846AC4" w:rsidRPr="00A60D0F">
        <w:rPr>
          <w:rFonts w:asciiTheme="minorHAnsi" w:hAnsiTheme="minorHAnsi" w:cstheme="minorHAnsi"/>
          <w:sz w:val="24"/>
          <w:szCs w:val="24"/>
        </w:rPr>
        <w:t xml:space="preserve">of </w:t>
      </w:r>
      <w:r w:rsidR="00726D58" w:rsidRPr="00A60D0F">
        <w:rPr>
          <w:rFonts w:asciiTheme="minorHAnsi" w:hAnsiTheme="minorHAnsi" w:cstheme="minorHAnsi"/>
          <w:sz w:val="24"/>
          <w:szCs w:val="24"/>
        </w:rPr>
        <w:t xml:space="preserve">this </w:t>
      </w:r>
      <w:r w:rsidRPr="00A60D0F">
        <w:rPr>
          <w:rFonts w:asciiTheme="minorHAnsi" w:hAnsiTheme="minorHAnsi" w:cstheme="minorHAnsi"/>
          <w:sz w:val="24"/>
          <w:szCs w:val="24"/>
        </w:rPr>
        <w:t>request is to ensure collection of data that is not other</w:t>
      </w:r>
      <w:r w:rsidR="00CA5BE0">
        <w:rPr>
          <w:rFonts w:asciiTheme="minorHAnsi" w:hAnsiTheme="minorHAnsi" w:cstheme="minorHAnsi"/>
          <w:sz w:val="24"/>
          <w:szCs w:val="24"/>
        </w:rPr>
        <w:t>wise available in current, time-</w:t>
      </w:r>
      <w:r w:rsidR="006971ED" w:rsidRPr="00A60D0F">
        <w:rPr>
          <w:rFonts w:asciiTheme="minorHAnsi" w:hAnsiTheme="minorHAnsi" w:cstheme="minorHAnsi"/>
          <w:sz w:val="24"/>
          <w:szCs w:val="24"/>
        </w:rPr>
        <w:t>sensitive</w:t>
      </w:r>
      <w:r w:rsidR="00F73144" w:rsidRPr="00A60D0F">
        <w:rPr>
          <w:rFonts w:asciiTheme="minorHAnsi" w:hAnsiTheme="minorHAnsi" w:cstheme="minorHAnsi"/>
          <w:sz w:val="24"/>
          <w:szCs w:val="24"/>
        </w:rPr>
        <w:t>,</w:t>
      </w:r>
      <w:r w:rsidRPr="00A60D0F">
        <w:rPr>
          <w:rFonts w:asciiTheme="minorHAnsi" w:hAnsiTheme="minorHAnsi" w:cstheme="minorHAnsi"/>
          <w:sz w:val="24"/>
          <w:szCs w:val="24"/>
        </w:rPr>
        <w:t xml:space="preserve"> or </w:t>
      </w:r>
      <w:r w:rsidR="0057570B" w:rsidRPr="00A60D0F">
        <w:rPr>
          <w:rFonts w:asciiTheme="minorHAnsi" w:hAnsiTheme="minorHAnsi" w:cstheme="minorHAnsi"/>
          <w:sz w:val="24"/>
          <w:szCs w:val="24"/>
        </w:rPr>
        <w:t xml:space="preserve">relevant </w:t>
      </w:r>
      <w:r w:rsidRPr="00A60D0F">
        <w:rPr>
          <w:rFonts w:asciiTheme="minorHAnsi" w:hAnsiTheme="minorHAnsi" w:cstheme="minorHAnsi"/>
          <w:sz w:val="24"/>
          <w:szCs w:val="24"/>
        </w:rPr>
        <w:t>format</w:t>
      </w:r>
      <w:r w:rsidR="0057570B" w:rsidRPr="00A60D0F">
        <w:rPr>
          <w:rFonts w:asciiTheme="minorHAnsi" w:hAnsiTheme="minorHAnsi" w:cstheme="minorHAnsi"/>
          <w:sz w:val="24"/>
          <w:szCs w:val="24"/>
        </w:rPr>
        <w:t>s</w:t>
      </w:r>
      <w:r w:rsidRPr="00A60D0F">
        <w:rPr>
          <w:rFonts w:asciiTheme="minorHAnsi" w:hAnsiTheme="minorHAnsi" w:cstheme="minorHAnsi"/>
          <w:sz w:val="24"/>
          <w:szCs w:val="24"/>
        </w:rPr>
        <w:t xml:space="preserve"> to specific </w:t>
      </w:r>
      <w:r w:rsidR="00C63CAB" w:rsidRPr="00A60D0F">
        <w:rPr>
          <w:rFonts w:asciiTheme="minorHAnsi" w:hAnsiTheme="minorHAnsi" w:cstheme="minorHAnsi"/>
          <w:sz w:val="24"/>
          <w:szCs w:val="24"/>
        </w:rPr>
        <w:t xml:space="preserve">or emergent </w:t>
      </w:r>
      <w:r w:rsidRPr="00A60D0F">
        <w:rPr>
          <w:rFonts w:asciiTheme="minorHAnsi" w:hAnsiTheme="minorHAnsi" w:cstheme="minorHAnsi"/>
          <w:sz w:val="24"/>
          <w:szCs w:val="24"/>
        </w:rPr>
        <w:t>priorities of HHS and CDC</w:t>
      </w:r>
      <w:r w:rsidR="00F0026E">
        <w:rPr>
          <w:rFonts w:asciiTheme="minorHAnsi" w:hAnsiTheme="minorHAnsi" w:cstheme="minorHAnsi"/>
          <w:sz w:val="24"/>
          <w:szCs w:val="24"/>
        </w:rPr>
        <w:t xml:space="preserve">. </w:t>
      </w:r>
      <w:r w:rsidR="00C05E7A" w:rsidRPr="00A60D0F">
        <w:rPr>
          <w:rFonts w:asciiTheme="minorHAnsi" w:hAnsiTheme="minorHAnsi" w:cstheme="minorHAnsi"/>
          <w:sz w:val="24"/>
          <w:szCs w:val="24"/>
        </w:rPr>
        <w:t>W</w:t>
      </w:r>
      <w:r w:rsidR="00103F1E" w:rsidRPr="00A60D0F">
        <w:rPr>
          <w:rFonts w:asciiTheme="minorHAnsi" w:hAnsiTheme="minorHAnsi" w:cstheme="minorHAnsi"/>
          <w:sz w:val="24"/>
          <w:szCs w:val="24"/>
        </w:rPr>
        <w:t xml:space="preserve">ithout this data there would be </w:t>
      </w:r>
      <w:r w:rsidR="00C05E7A" w:rsidRPr="00A60D0F">
        <w:rPr>
          <w:rFonts w:asciiTheme="minorHAnsi" w:hAnsiTheme="minorHAnsi" w:cstheme="minorHAnsi"/>
          <w:sz w:val="24"/>
          <w:szCs w:val="24"/>
        </w:rPr>
        <w:t>n</w:t>
      </w:r>
      <w:r w:rsidR="00103F1E" w:rsidRPr="00A60D0F">
        <w:rPr>
          <w:rFonts w:asciiTheme="minorHAnsi" w:hAnsiTheme="minorHAnsi" w:cstheme="minorHAnsi"/>
          <w:sz w:val="24"/>
          <w:szCs w:val="24"/>
        </w:rPr>
        <w:t xml:space="preserve">o timely feedback regarding effectiveness of </w:t>
      </w:r>
      <w:r w:rsidR="00413644" w:rsidRPr="00A60D0F">
        <w:rPr>
          <w:rFonts w:asciiTheme="minorHAnsi" w:hAnsiTheme="minorHAnsi" w:cstheme="minorHAnsi"/>
          <w:sz w:val="24"/>
          <w:szCs w:val="24"/>
        </w:rPr>
        <w:t xml:space="preserve">the </w:t>
      </w:r>
      <w:r w:rsidR="006D3CB1" w:rsidRPr="00A60D0F">
        <w:rPr>
          <w:rFonts w:asciiTheme="minorHAnsi" w:hAnsiTheme="minorHAnsi" w:cstheme="minorHAnsi"/>
          <w:sz w:val="24"/>
          <w:szCs w:val="24"/>
        </w:rPr>
        <w:t>HHE Program</w:t>
      </w:r>
      <w:r w:rsidR="00413644" w:rsidRPr="00A60D0F">
        <w:rPr>
          <w:rFonts w:asciiTheme="minorHAnsi" w:hAnsiTheme="minorHAnsi" w:cstheme="minorHAnsi"/>
          <w:sz w:val="24"/>
          <w:szCs w:val="24"/>
        </w:rPr>
        <w:t xml:space="preserve"> efforts to inform local health departments of </w:t>
      </w:r>
      <w:r w:rsidR="00F73144" w:rsidRPr="00A60D0F">
        <w:rPr>
          <w:rFonts w:asciiTheme="minorHAnsi" w:hAnsiTheme="minorHAnsi" w:cstheme="minorHAnsi"/>
          <w:sz w:val="24"/>
          <w:szCs w:val="24"/>
        </w:rPr>
        <w:t xml:space="preserve">its </w:t>
      </w:r>
      <w:r w:rsidR="00413644" w:rsidRPr="00A60D0F">
        <w:rPr>
          <w:rFonts w:asciiTheme="minorHAnsi" w:hAnsiTheme="minorHAnsi" w:cstheme="minorHAnsi"/>
          <w:sz w:val="24"/>
          <w:szCs w:val="24"/>
        </w:rPr>
        <w:t>activities and services</w:t>
      </w:r>
      <w:r w:rsidR="00103F1E" w:rsidRPr="00A60D0F">
        <w:rPr>
          <w:rFonts w:asciiTheme="minorHAnsi" w:hAnsiTheme="minorHAnsi" w:cstheme="minorHAnsi"/>
          <w:sz w:val="24"/>
          <w:szCs w:val="24"/>
        </w:rPr>
        <w:t xml:space="preserve"> </w:t>
      </w:r>
      <w:r w:rsidR="00C05E7A" w:rsidRPr="00A60D0F">
        <w:rPr>
          <w:rFonts w:asciiTheme="minorHAnsi" w:hAnsiTheme="minorHAnsi" w:cstheme="minorHAnsi"/>
          <w:sz w:val="24"/>
          <w:szCs w:val="24"/>
        </w:rPr>
        <w:t>and l</w:t>
      </w:r>
      <w:r w:rsidR="00413644" w:rsidRPr="00A60D0F">
        <w:rPr>
          <w:rFonts w:asciiTheme="minorHAnsi" w:hAnsiTheme="minorHAnsi" w:cstheme="minorHAnsi"/>
          <w:sz w:val="24"/>
          <w:szCs w:val="24"/>
        </w:rPr>
        <w:t xml:space="preserve">ess effective collaboration between local and </w:t>
      </w:r>
      <w:r w:rsidR="00C05E7A" w:rsidRPr="00A60D0F">
        <w:rPr>
          <w:rFonts w:asciiTheme="minorHAnsi" w:hAnsiTheme="minorHAnsi" w:cstheme="minorHAnsi"/>
          <w:sz w:val="24"/>
          <w:szCs w:val="24"/>
        </w:rPr>
        <w:t>national public health programs.</w:t>
      </w:r>
    </w:p>
    <w:p w:rsidR="00F73144" w:rsidRPr="00A60D0F" w:rsidRDefault="00F73144" w:rsidP="00043048">
      <w:pPr>
        <w:pStyle w:val="CommentText"/>
        <w:ind w:left="720"/>
        <w:rPr>
          <w:rFonts w:asciiTheme="minorHAnsi" w:hAnsiTheme="minorHAnsi" w:cstheme="minorHAnsi"/>
          <w:sz w:val="24"/>
          <w:szCs w:val="24"/>
        </w:rPr>
      </w:pPr>
    </w:p>
    <w:p w:rsidR="0032733C" w:rsidRPr="00A60D0F" w:rsidRDefault="00AC3837"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lastRenderedPageBreak/>
        <w:t>There are no legal obstacles to reduce the burden</w:t>
      </w:r>
      <w:r w:rsidR="00203849" w:rsidRPr="00A60D0F">
        <w:rPr>
          <w:rFonts w:asciiTheme="minorHAnsi" w:hAnsiTheme="minorHAnsi" w:cstheme="minorHAnsi"/>
          <w:sz w:val="24"/>
          <w:szCs w:val="24"/>
        </w:rPr>
        <w:t>.</w:t>
      </w:r>
    </w:p>
    <w:p w:rsidR="00052E6A" w:rsidRPr="00A60D0F" w:rsidRDefault="00052E6A" w:rsidP="00043048">
      <w:pPr>
        <w:ind w:left="720" w:hanging="450"/>
        <w:rPr>
          <w:rFonts w:asciiTheme="minorHAnsi" w:hAnsiTheme="minorHAnsi" w:cstheme="minorHAnsi"/>
        </w:rPr>
      </w:pPr>
    </w:p>
    <w:p w:rsidR="00052E6A" w:rsidRPr="005F5D1F" w:rsidRDefault="003A1D01" w:rsidP="00052E6A">
      <w:pPr>
        <w:pStyle w:val="ListParagraph"/>
        <w:numPr>
          <w:ilvl w:val="0"/>
          <w:numId w:val="5"/>
        </w:numPr>
        <w:ind w:hanging="450"/>
        <w:rPr>
          <w:rFonts w:asciiTheme="minorHAnsi" w:hAnsiTheme="minorHAnsi" w:cstheme="minorHAnsi"/>
          <w:u w:val="single"/>
        </w:rPr>
      </w:pPr>
      <w:r w:rsidRPr="00A60D0F">
        <w:rPr>
          <w:rFonts w:asciiTheme="minorHAnsi" w:hAnsiTheme="minorHAnsi" w:cstheme="minorHAnsi"/>
          <w:u w:val="single"/>
        </w:rPr>
        <w:t>Special Circumstances Relating to the Guidelines of 5 CFR 1320.5</w:t>
      </w:r>
    </w:p>
    <w:p w:rsidR="00495E83" w:rsidRPr="00A60D0F" w:rsidRDefault="003A1D01"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There are no special circumstances with this information collection package</w:t>
      </w:r>
      <w:r w:rsidR="00F0026E">
        <w:rPr>
          <w:rFonts w:asciiTheme="minorHAnsi" w:hAnsiTheme="minorHAnsi" w:cstheme="minorHAnsi"/>
          <w:sz w:val="24"/>
          <w:szCs w:val="24"/>
        </w:rPr>
        <w:t xml:space="preserve">. </w:t>
      </w:r>
      <w:r w:rsidRPr="00A60D0F">
        <w:rPr>
          <w:rFonts w:asciiTheme="minorHAnsi" w:hAnsiTheme="minorHAnsi" w:cstheme="minorHAnsi"/>
          <w:sz w:val="24"/>
          <w:szCs w:val="24"/>
        </w:rPr>
        <w:t>This request fully complies with the guidelines of 5 CFR 1320.5.</w:t>
      </w:r>
    </w:p>
    <w:p w:rsidR="001F055A" w:rsidRPr="00A60D0F" w:rsidRDefault="001F055A" w:rsidP="000F63DA">
      <w:pPr>
        <w:tabs>
          <w:tab w:val="left" w:pos="-1440"/>
          <w:tab w:val="left" w:pos="-720"/>
        </w:tabs>
        <w:autoSpaceDE w:val="0"/>
        <w:autoSpaceDN w:val="0"/>
        <w:adjustRightInd w:val="0"/>
        <w:ind w:right="720"/>
        <w:rPr>
          <w:rFonts w:asciiTheme="minorHAnsi" w:hAnsiTheme="minorHAnsi" w:cstheme="minorHAnsi"/>
        </w:rPr>
      </w:pPr>
    </w:p>
    <w:p w:rsidR="00905426" w:rsidRPr="005F5D1F" w:rsidRDefault="003A1D01" w:rsidP="005F5D1F">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u w:val="single"/>
        </w:rPr>
      </w:pPr>
      <w:r w:rsidRPr="00A60D0F">
        <w:rPr>
          <w:rFonts w:asciiTheme="minorHAnsi" w:hAnsiTheme="minorHAnsi" w:cstheme="minorHAnsi"/>
          <w:u w:val="single"/>
        </w:rPr>
        <w:t xml:space="preserve">Comments in Response to the Federal Register Notice and Efforts to Consult Outside the Agency </w:t>
      </w:r>
    </w:p>
    <w:p w:rsidR="00905426" w:rsidRPr="00A60D0F" w:rsidRDefault="00B83A5F"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This data collection is being conducted using the Generic Information Collection mechanism of the OSTLTS Survey Center (OSC) – OMB No. 0920-0879</w:t>
      </w:r>
      <w:r w:rsidR="00F0026E">
        <w:rPr>
          <w:rFonts w:asciiTheme="minorHAnsi" w:hAnsiTheme="minorHAnsi" w:cstheme="minorHAnsi"/>
          <w:sz w:val="24"/>
          <w:szCs w:val="24"/>
        </w:rPr>
        <w:t xml:space="preserve">. </w:t>
      </w:r>
      <w:r w:rsidRPr="00A60D0F">
        <w:rPr>
          <w:rFonts w:asciiTheme="minorHAnsi" w:hAnsiTheme="minorHAnsi" w:cstheme="minorHAnsi"/>
          <w:sz w:val="24"/>
          <w:szCs w:val="24"/>
        </w:rPr>
        <w:t>A 60-day Federal Register Notice was published in the Federal Register on October 22, 2010, Vol. 75, No. 204; pp.65353-54</w:t>
      </w:r>
      <w:r w:rsidR="00F0026E">
        <w:rPr>
          <w:rFonts w:asciiTheme="minorHAnsi" w:hAnsiTheme="minorHAnsi" w:cstheme="minorHAnsi"/>
          <w:sz w:val="24"/>
          <w:szCs w:val="24"/>
        </w:rPr>
        <w:t xml:space="preserve">. </w:t>
      </w:r>
      <w:r w:rsidRPr="00A60D0F">
        <w:rPr>
          <w:rFonts w:asciiTheme="minorHAnsi" w:hAnsiTheme="minorHAnsi" w:cstheme="minorHAnsi"/>
          <w:sz w:val="24"/>
          <w:szCs w:val="24"/>
        </w:rPr>
        <w:t>Two comments were received from the Association of State and Territorial Health Officials (ASTHO) and the National Association of County and City Health Officials (NACCHO).</w:t>
      </w:r>
    </w:p>
    <w:p w:rsidR="00B83A5F" w:rsidRPr="00A60D0F" w:rsidRDefault="00B83A5F" w:rsidP="00043048">
      <w:pPr>
        <w:pStyle w:val="CommentText"/>
        <w:ind w:left="720"/>
        <w:rPr>
          <w:rFonts w:asciiTheme="minorHAnsi" w:hAnsiTheme="minorHAnsi" w:cstheme="minorHAnsi"/>
          <w:sz w:val="24"/>
          <w:szCs w:val="24"/>
        </w:rPr>
      </w:pPr>
    </w:p>
    <w:p w:rsidR="00B83A5F" w:rsidRPr="00A60D0F" w:rsidRDefault="00B83A5F"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CDC partners with professional STLT organizations, such as the ASTHO, the NACCHO, and the National Association of Local Boards of Health (NALBOH) along with the National Center for Health Statistics (NCHS) to ensure that the collection requests under the individual ICs are not in conflict with collections they have or will have in the field within the same timeframe.</w:t>
      </w:r>
    </w:p>
    <w:p w:rsidR="008F647D" w:rsidRPr="00A60D0F" w:rsidRDefault="008F647D" w:rsidP="008F647D">
      <w:pPr>
        <w:pStyle w:val="ListParagraph"/>
        <w:tabs>
          <w:tab w:val="left" w:pos="-1440"/>
          <w:tab w:val="left" w:pos="-720"/>
        </w:tabs>
        <w:autoSpaceDE w:val="0"/>
        <w:autoSpaceDN w:val="0"/>
        <w:adjustRightInd w:val="0"/>
        <w:ind w:right="720"/>
        <w:rPr>
          <w:rFonts w:asciiTheme="minorHAnsi" w:hAnsiTheme="minorHAnsi" w:cstheme="minorHAnsi"/>
          <w:u w:val="single"/>
        </w:rPr>
      </w:pPr>
    </w:p>
    <w:p w:rsidR="006A3BA1" w:rsidRPr="005F5D1F" w:rsidRDefault="003A1D01" w:rsidP="005F5D1F">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u w:val="single"/>
        </w:rPr>
      </w:pPr>
      <w:r w:rsidRPr="00A60D0F">
        <w:rPr>
          <w:rFonts w:asciiTheme="minorHAnsi" w:hAnsiTheme="minorHAnsi" w:cstheme="minorHAnsi"/>
          <w:u w:val="single"/>
        </w:rPr>
        <w:t>Explanation of Any Payment or Gift to Respondents</w:t>
      </w:r>
    </w:p>
    <w:p w:rsidR="006A3BA1" w:rsidRPr="00A60D0F" w:rsidRDefault="003A1D01"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CDC will not provide payments or gifts to respondents.</w:t>
      </w:r>
    </w:p>
    <w:p w:rsidR="006A3BA1" w:rsidRPr="00A60D0F" w:rsidRDefault="006A3BA1" w:rsidP="006A3BA1">
      <w:pPr>
        <w:pStyle w:val="ListParagraph"/>
        <w:tabs>
          <w:tab w:val="left" w:pos="-1440"/>
          <w:tab w:val="left" w:pos="-720"/>
        </w:tabs>
        <w:autoSpaceDE w:val="0"/>
        <w:autoSpaceDN w:val="0"/>
        <w:adjustRightInd w:val="0"/>
        <w:ind w:right="720"/>
        <w:rPr>
          <w:rFonts w:asciiTheme="minorHAnsi" w:hAnsiTheme="minorHAnsi" w:cstheme="minorHAnsi"/>
        </w:rPr>
      </w:pPr>
    </w:p>
    <w:p w:rsidR="00D3434D" w:rsidRPr="005F5D1F" w:rsidRDefault="003A1D01" w:rsidP="005F5D1F">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u w:val="single"/>
        </w:rPr>
      </w:pPr>
      <w:r w:rsidRPr="00A60D0F">
        <w:rPr>
          <w:rFonts w:asciiTheme="minorHAnsi" w:hAnsiTheme="minorHAnsi" w:cstheme="minorHAnsi"/>
          <w:u w:val="single"/>
        </w:rPr>
        <w:t>Assurance of Confidentiality Provided to Respondents</w:t>
      </w:r>
    </w:p>
    <w:p w:rsidR="00D3434D" w:rsidRPr="00A60D0F" w:rsidRDefault="003A1D01"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The Privacy Act does not apply to this data</w:t>
      </w:r>
      <w:r w:rsidR="00C81543" w:rsidRPr="00A60D0F">
        <w:rPr>
          <w:rFonts w:asciiTheme="minorHAnsi" w:hAnsiTheme="minorHAnsi" w:cstheme="minorHAnsi"/>
          <w:sz w:val="24"/>
          <w:szCs w:val="24"/>
        </w:rPr>
        <w:t xml:space="preserve"> collection</w:t>
      </w:r>
      <w:r w:rsidR="00F0026E">
        <w:rPr>
          <w:rFonts w:asciiTheme="minorHAnsi" w:hAnsiTheme="minorHAnsi" w:cstheme="minorHAnsi"/>
          <w:sz w:val="24"/>
          <w:szCs w:val="24"/>
        </w:rPr>
        <w:t xml:space="preserve">. </w:t>
      </w:r>
      <w:r w:rsidR="00C81543" w:rsidRPr="00A60D0F">
        <w:rPr>
          <w:rFonts w:asciiTheme="minorHAnsi" w:hAnsiTheme="minorHAnsi" w:cstheme="minorHAnsi"/>
          <w:sz w:val="24"/>
          <w:szCs w:val="24"/>
        </w:rPr>
        <w:t>Employees of s</w:t>
      </w:r>
      <w:r w:rsidRPr="00A60D0F">
        <w:rPr>
          <w:rFonts w:asciiTheme="minorHAnsi" w:hAnsiTheme="minorHAnsi" w:cstheme="minorHAnsi"/>
          <w:sz w:val="24"/>
          <w:szCs w:val="24"/>
        </w:rPr>
        <w:t>tate</w:t>
      </w:r>
      <w:r w:rsidR="00C81543" w:rsidRPr="00A60D0F">
        <w:rPr>
          <w:rFonts w:asciiTheme="minorHAnsi" w:hAnsiTheme="minorHAnsi" w:cstheme="minorHAnsi"/>
          <w:sz w:val="24"/>
          <w:szCs w:val="24"/>
        </w:rPr>
        <w:t>, tribal</w:t>
      </w:r>
      <w:r w:rsidR="007F6424" w:rsidRPr="00A60D0F">
        <w:rPr>
          <w:rFonts w:asciiTheme="minorHAnsi" w:hAnsiTheme="minorHAnsi" w:cstheme="minorHAnsi"/>
          <w:sz w:val="24"/>
          <w:szCs w:val="24"/>
        </w:rPr>
        <w:t>, local</w:t>
      </w:r>
      <w:r w:rsidR="00C81543" w:rsidRPr="00A60D0F">
        <w:rPr>
          <w:rFonts w:asciiTheme="minorHAnsi" w:hAnsiTheme="minorHAnsi" w:cstheme="minorHAnsi"/>
          <w:sz w:val="24"/>
          <w:szCs w:val="24"/>
        </w:rPr>
        <w:t>, and territorial public health agencies</w:t>
      </w:r>
      <w:r w:rsidRPr="00A60D0F">
        <w:rPr>
          <w:rFonts w:asciiTheme="minorHAnsi" w:hAnsiTheme="minorHAnsi" w:cstheme="minorHAnsi"/>
          <w:sz w:val="24"/>
          <w:szCs w:val="24"/>
        </w:rPr>
        <w:t xml:space="preserve"> will be speaking from their </w:t>
      </w:r>
      <w:r w:rsidR="00C81543" w:rsidRPr="00A60D0F">
        <w:rPr>
          <w:rFonts w:asciiTheme="minorHAnsi" w:hAnsiTheme="minorHAnsi" w:cstheme="minorHAnsi"/>
          <w:sz w:val="24"/>
          <w:szCs w:val="24"/>
        </w:rPr>
        <w:t xml:space="preserve">official </w:t>
      </w:r>
      <w:r w:rsidRPr="00A60D0F">
        <w:rPr>
          <w:rFonts w:asciiTheme="minorHAnsi" w:hAnsiTheme="minorHAnsi" w:cstheme="minorHAnsi"/>
          <w:sz w:val="24"/>
          <w:szCs w:val="24"/>
        </w:rPr>
        <w:t>roles and will not be asked, nor will they pr</w:t>
      </w:r>
      <w:r w:rsidR="00C81543" w:rsidRPr="00A60D0F">
        <w:rPr>
          <w:rFonts w:asciiTheme="minorHAnsi" w:hAnsiTheme="minorHAnsi" w:cstheme="minorHAnsi"/>
          <w:sz w:val="24"/>
          <w:szCs w:val="24"/>
        </w:rPr>
        <w:t>ovide individually identifiable in</w:t>
      </w:r>
      <w:r w:rsidRPr="00A60D0F">
        <w:rPr>
          <w:rFonts w:asciiTheme="minorHAnsi" w:hAnsiTheme="minorHAnsi" w:cstheme="minorHAnsi"/>
          <w:sz w:val="24"/>
          <w:szCs w:val="24"/>
        </w:rPr>
        <w:t>formation</w:t>
      </w:r>
      <w:r w:rsidR="00F0026E">
        <w:rPr>
          <w:rFonts w:asciiTheme="minorHAnsi" w:hAnsiTheme="minorHAnsi" w:cstheme="minorHAnsi"/>
          <w:sz w:val="24"/>
          <w:szCs w:val="24"/>
        </w:rPr>
        <w:t xml:space="preserve">. </w:t>
      </w:r>
    </w:p>
    <w:p w:rsidR="008F647D" w:rsidRPr="00A60D0F" w:rsidRDefault="008F647D" w:rsidP="00043048">
      <w:pPr>
        <w:pStyle w:val="CommentText"/>
        <w:ind w:left="720"/>
        <w:rPr>
          <w:rFonts w:asciiTheme="minorHAnsi" w:hAnsiTheme="minorHAnsi" w:cstheme="minorHAnsi"/>
          <w:sz w:val="24"/>
          <w:szCs w:val="24"/>
        </w:rPr>
      </w:pPr>
    </w:p>
    <w:p w:rsidR="008F647D" w:rsidRPr="00A60D0F" w:rsidRDefault="003A1D01"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This data collection is not research involving human subjects</w:t>
      </w:r>
      <w:r w:rsidR="00C05E7A" w:rsidRPr="00A60D0F">
        <w:rPr>
          <w:rFonts w:asciiTheme="minorHAnsi" w:hAnsiTheme="minorHAnsi" w:cstheme="minorHAnsi"/>
          <w:sz w:val="24"/>
          <w:szCs w:val="24"/>
        </w:rPr>
        <w:t>.</w:t>
      </w:r>
    </w:p>
    <w:p w:rsidR="00D23031" w:rsidRPr="00A60D0F" w:rsidRDefault="00D23031" w:rsidP="00043048">
      <w:pPr>
        <w:pStyle w:val="CommentText"/>
        <w:ind w:left="720"/>
        <w:rPr>
          <w:rFonts w:asciiTheme="minorHAnsi" w:hAnsiTheme="minorHAnsi" w:cstheme="minorHAnsi"/>
          <w:sz w:val="24"/>
          <w:szCs w:val="24"/>
        </w:rPr>
      </w:pPr>
    </w:p>
    <w:p w:rsidR="000F63DA" w:rsidRPr="005F5D1F" w:rsidRDefault="003A1D01" w:rsidP="005F5D1F">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u w:val="single"/>
        </w:rPr>
      </w:pPr>
      <w:r w:rsidRPr="00A60D0F">
        <w:rPr>
          <w:rFonts w:asciiTheme="minorHAnsi" w:hAnsiTheme="minorHAnsi" w:cstheme="minorHAnsi"/>
          <w:u w:val="single"/>
        </w:rPr>
        <w:t>Justification for Sensitive Questions</w:t>
      </w:r>
    </w:p>
    <w:p w:rsidR="000F63DA" w:rsidRPr="00A60D0F" w:rsidRDefault="003A1D01"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No sensitive information will be collected.</w:t>
      </w:r>
    </w:p>
    <w:p w:rsidR="000F63DA" w:rsidRPr="00A60D0F" w:rsidRDefault="000F63DA" w:rsidP="000F63DA">
      <w:pPr>
        <w:tabs>
          <w:tab w:val="left" w:pos="-1440"/>
          <w:tab w:val="left" w:pos="-720"/>
        </w:tabs>
        <w:autoSpaceDE w:val="0"/>
        <w:autoSpaceDN w:val="0"/>
        <w:adjustRightInd w:val="0"/>
        <w:ind w:right="720"/>
        <w:rPr>
          <w:rFonts w:asciiTheme="minorHAnsi" w:hAnsiTheme="minorHAnsi" w:cstheme="minorHAnsi"/>
        </w:rPr>
      </w:pPr>
    </w:p>
    <w:p w:rsidR="003E7609" w:rsidRPr="005F5D1F" w:rsidRDefault="003A1D01" w:rsidP="005F5D1F">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u w:val="single"/>
        </w:rPr>
      </w:pPr>
      <w:r w:rsidRPr="00A60D0F">
        <w:rPr>
          <w:rFonts w:asciiTheme="minorHAnsi" w:hAnsiTheme="minorHAnsi" w:cstheme="minorHAnsi"/>
          <w:u w:val="single"/>
        </w:rPr>
        <w:t>Estimates of A</w:t>
      </w:r>
      <w:r w:rsidR="0037644A" w:rsidRPr="00A60D0F">
        <w:rPr>
          <w:rFonts w:asciiTheme="minorHAnsi" w:hAnsiTheme="minorHAnsi" w:cstheme="minorHAnsi"/>
          <w:u w:val="single"/>
        </w:rPr>
        <w:t>nnualized Burden Hours</w:t>
      </w:r>
      <w:r w:rsidR="003E7609" w:rsidRPr="00A60D0F">
        <w:rPr>
          <w:rFonts w:asciiTheme="minorHAnsi" w:hAnsiTheme="minorHAnsi" w:cstheme="minorHAnsi"/>
          <w:u w:val="single"/>
        </w:rPr>
        <w:t xml:space="preserve"> and Costs</w:t>
      </w:r>
      <w:r w:rsidR="0037644A" w:rsidRPr="00A60D0F">
        <w:rPr>
          <w:rFonts w:asciiTheme="minorHAnsi" w:hAnsiTheme="minorHAnsi" w:cstheme="minorHAnsi"/>
          <w:u w:val="single"/>
        </w:rPr>
        <w:t xml:space="preserve"> </w:t>
      </w:r>
    </w:p>
    <w:p w:rsidR="00F93F1C" w:rsidRPr="007E3543" w:rsidRDefault="003E7609"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 xml:space="preserve">The estimate for burden hours is based </w:t>
      </w:r>
      <w:r w:rsidR="00012F07">
        <w:rPr>
          <w:rFonts w:asciiTheme="minorHAnsi" w:hAnsiTheme="minorHAnsi" w:cstheme="minorHAnsi"/>
          <w:sz w:val="24"/>
          <w:szCs w:val="24"/>
        </w:rPr>
        <w:t xml:space="preserve">on </w:t>
      </w:r>
      <w:r w:rsidR="00413644" w:rsidRPr="00A60D0F">
        <w:rPr>
          <w:rFonts w:asciiTheme="minorHAnsi" w:hAnsiTheme="minorHAnsi" w:cstheme="minorHAnsi"/>
          <w:sz w:val="24"/>
          <w:szCs w:val="24"/>
        </w:rPr>
        <w:t xml:space="preserve">testing of the </w:t>
      </w:r>
      <w:r w:rsidR="002945F3" w:rsidRPr="00A60D0F">
        <w:rPr>
          <w:rFonts w:asciiTheme="minorHAnsi" w:hAnsiTheme="minorHAnsi" w:cstheme="minorHAnsi"/>
          <w:sz w:val="24"/>
          <w:szCs w:val="24"/>
        </w:rPr>
        <w:t xml:space="preserve">brochure and the </w:t>
      </w:r>
      <w:r w:rsidR="007E3543">
        <w:rPr>
          <w:rFonts w:asciiTheme="minorHAnsi" w:hAnsiTheme="minorHAnsi" w:cstheme="minorHAnsi"/>
          <w:sz w:val="24"/>
          <w:szCs w:val="24"/>
        </w:rPr>
        <w:t xml:space="preserve">data collection instrument </w:t>
      </w:r>
      <w:r w:rsidR="00413644" w:rsidRPr="00A60D0F">
        <w:rPr>
          <w:rFonts w:asciiTheme="minorHAnsi" w:hAnsiTheme="minorHAnsi" w:cstheme="minorHAnsi"/>
          <w:sz w:val="24"/>
          <w:szCs w:val="24"/>
        </w:rPr>
        <w:t xml:space="preserve">on </w:t>
      </w:r>
      <w:r w:rsidR="00A45F91" w:rsidRPr="00A60D0F">
        <w:rPr>
          <w:rFonts w:asciiTheme="minorHAnsi" w:hAnsiTheme="minorHAnsi" w:cstheme="minorHAnsi"/>
          <w:sz w:val="24"/>
          <w:szCs w:val="24"/>
        </w:rPr>
        <w:t xml:space="preserve">CDC health professionals. </w:t>
      </w:r>
      <w:r w:rsidRPr="00A60D0F">
        <w:rPr>
          <w:rFonts w:asciiTheme="minorHAnsi" w:hAnsiTheme="minorHAnsi" w:cstheme="minorHAnsi"/>
          <w:sz w:val="24"/>
          <w:szCs w:val="24"/>
        </w:rPr>
        <w:t xml:space="preserve">In </w:t>
      </w:r>
      <w:r w:rsidR="00413644" w:rsidRPr="00A60D0F">
        <w:rPr>
          <w:rFonts w:asciiTheme="minorHAnsi" w:hAnsiTheme="minorHAnsi" w:cstheme="minorHAnsi"/>
          <w:sz w:val="24"/>
          <w:szCs w:val="24"/>
        </w:rPr>
        <w:t xml:space="preserve">this testing, </w:t>
      </w:r>
      <w:r w:rsidRPr="00A60D0F">
        <w:rPr>
          <w:rFonts w:asciiTheme="minorHAnsi" w:hAnsiTheme="minorHAnsi" w:cstheme="minorHAnsi"/>
          <w:sz w:val="24"/>
          <w:szCs w:val="24"/>
        </w:rPr>
        <w:t xml:space="preserve">the </w:t>
      </w:r>
      <w:r w:rsidR="007E3543">
        <w:rPr>
          <w:rFonts w:asciiTheme="minorHAnsi" w:hAnsiTheme="minorHAnsi" w:cstheme="minorHAnsi"/>
          <w:sz w:val="24"/>
          <w:szCs w:val="24"/>
        </w:rPr>
        <w:t>median</w:t>
      </w:r>
      <w:r w:rsidRPr="00A60D0F">
        <w:rPr>
          <w:rFonts w:asciiTheme="minorHAnsi" w:hAnsiTheme="minorHAnsi" w:cstheme="minorHAnsi"/>
          <w:sz w:val="24"/>
          <w:szCs w:val="24"/>
        </w:rPr>
        <w:t xml:space="preserve"> time to </w:t>
      </w:r>
      <w:r w:rsidR="002945F3" w:rsidRPr="00A60D0F">
        <w:rPr>
          <w:rFonts w:asciiTheme="minorHAnsi" w:hAnsiTheme="minorHAnsi" w:cstheme="minorHAnsi"/>
          <w:sz w:val="24"/>
          <w:szCs w:val="24"/>
        </w:rPr>
        <w:t xml:space="preserve">read the brochure was </w:t>
      </w:r>
      <w:r w:rsidR="00AB0DF4">
        <w:rPr>
          <w:rFonts w:asciiTheme="minorHAnsi" w:hAnsiTheme="minorHAnsi" w:cstheme="minorHAnsi"/>
          <w:sz w:val="24"/>
          <w:szCs w:val="24"/>
        </w:rPr>
        <w:t>5</w:t>
      </w:r>
      <w:r w:rsidR="002945F3" w:rsidRPr="00A60D0F">
        <w:rPr>
          <w:rFonts w:asciiTheme="minorHAnsi" w:hAnsiTheme="minorHAnsi" w:cstheme="minorHAnsi"/>
          <w:sz w:val="24"/>
          <w:szCs w:val="24"/>
        </w:rPr>
        <w:t xml:space="preserve"> minutes and the </w:t>
      </w:r>
      <w:r w:rsidR="007E3543">
        <w:rPr>
          <w:rFonts w:asciiTheme="minorHAnsi" w:hAnsiTheme="minorHAnsi" w:cstheme="minorHAnsi"/>
          <w:sz w:val="24"/>
          <w:szCs w:val="24"/>
        </w:rPr>
        <w:t>median</w:t>
      </w:r>
      <w:r w:rsidR="002945F3" w:rsidRPr="00A60D0F">
        <w:rPr>
          <w:rFonts w:asciiTheme="minorHAnsi" w:hAnsiTheme="minorHAnsi" w:cstheme="minorHAnsi"/>
          <w:sz w:val="24"/>
          <w:szCs w:val="24"/>
        </w:rPr>
        <w:t xml:space="preserve"> time to </w:t>
      </w:r>
      <w:r w:rsidR="00D23031">
        <w:rPr>
          <w:rFonts w:asciiTheme="minorHAnsi" w:hAnsiTheme="minorHAnsi" w:cstheme="minorHAnsi"/>
          <w:sz w:val="24"/>
          <w:szCs w:val="24"/>
        </w:rPr>
        <w:t>answer the questions</w:t>
      </w:r>
      <w:r w:rsidR="00413644" w:rsidRPr="00A60D0F">
        <w:rPr>
          <w:rFonts w:asciiTheme="minorHAnsi" w:hAnsiTheme="minorHAnsi" w:cstheme="minorHAnsi"/>
          <w:sz w:val="24"/>
          <w:szCs w:val="24"/>
        </w:rPr>
        <w:t xml:space="preserve"> </w:t>
      </w:r>
      <w:r w:rsidR="00F375B4" w:rsidRPr="00A60D0F">
        <w:rPr>
          <w:rFonts w:asciiTheme="minorHAnsi" w:hAnsiTheme="minorHAnsi" w:cstheme="minorHAnsi"/>
          <w:sz w:val="24"/>
          <w:szCs w:val="24"/>
        </w:rPr>
        <w:t xml:space="preserve">was </w:t>
      </w:r>
      <w:r w:rsidR="007E3543">
        <w:rPr>
          <w:rFonts w:asciiTheme="minorHAnsi" w:hAnsiTheme="minorHAnsi" w:cstheme="minorHAnsi"/>
          <w:sz w:val="24"/>
          <w:szCs w:val="24"/>
        </w:rPr>
        <w:t>3.5</w:t>
      </w:r>
      <w:r w:rsidR="00AB0DF4">
        <w:rPr>
          <w:rFonts w:asciiTheme="minorHAnsi" w:hAnsiTheme="minorHAnsi" w:cstheme="minorHAnsi"/>
          <w:sz w:val="24"/>
          <w:szCs w:val="24"/>
        </w:rPr>
        <w:t xml:space="preserve"> </w:t>
      </w:r>
      <w:r w:rsidRPr="00A60D0F">
        <w:rPr>
          <w:rFonts w:asciiTheme="minorHAnsi" w:hAnsiTheme="minorHAnsi" w:cstheme="minorHAnsi"/>
          <w:sz w:val="24"/>
          <w:szCs w:val="24"/>
        </w:rPr>
        <w:t>minutes</w:t>
      </w:r>
      <w:r w:rsidR="00F93F1C" w:rsidRPr="00A60D0F">
        <w:rPr>
          <w:rFonts w:asciiTheme="minorHAnsi" w:hAnsiTheme="minorHAnsi" w:cstheme="minorHAnsi"/>
          <w:sz w:val="24"/>
          <w:szCs w:val="24"/>
        </w:rPr>
        <w:t xml:space="preserve">. </w:t>
      </w:r>
      <w:r w:rsidR="007E3543" w:rsidRPr="007E3543">
        <w:rPr>
          <w:rFonts w:asciiTheme="minorHAnsi" w:hAnsiTheme="minorHAnsi" w:cstheme="minorHAnsi"/>
          <w:sz w:val="24"/>
          <w:szCs w:val="24"/>
        </w:rPr>
        <w:t xml:space="preserve">A rounded value of 10 minutes was used to determine the total burden (5 minutes to read </w:t>
      </w:r>
      <w:r w:rsidR="00012F07">
        <w:rPr>
          <w:rFonts w:asciiTheme="minorHAnsi" w:hAnsiTheme="minorHAnsi" w:cstheme="minorHAnsi"/>
          <w:sz w:val="24"/>
          <w:szCs w:val="24"/>
        </w:rPr>
        <w:t xml:space="preserve">the </w:t>
      </w:r>
      <w:r w:rsidR="007E3543" w:rsidRPr="007E3543">
        <w:rPr>
          <w:rFonts w:asciiTheme="minorHAnsi" w:hAnsiTheme="minorHAnsi" w:cstheme="minorHAnsi"/>
          <w:sz w:val="24"/>
          <w:szCs w:val="24"/>
        </w:rPr>
        <w:t>brochure, 5 minutes to respond to questions).</w:t>
      </w:r>
    </w:p>
    <w:p w:rsidR="007E3543" w:rsidRPr="00A60D0F" w:rsidRDefault="007E3543" w:rsidP="00043048">
      <w:pPr>
        <w:pStyle w:val="CommentText"/>
        <w:ind w:left="720"/>
        <w:rPr>
          <w:rFonts w:asciiTheme="minorHAnsi" w:hAnsiTheme="minorHAnsi" w:cstheme="minorHAnsi"/>
          <w:sz w:val="24"/>
          <w:szCs w:val="24"/>
        </w:rPr>
      </w:pPr>
    </w:p>
    <w:p w:rsidR="00671677" w:rsidRPr="00A60D0F" w:rsidRDefault="00671677"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Estimates for the average hourly wage for respondents are based on the Department of Labor (DOL) National Compensation Survey estimate for management occupations – medical and health services managers in state government (</w:t>
      </w:r>
      <w:hyperlink r:id="rId10" w:history="1">
        <w:r w:rsidRPr="00A60D0F">
          <w:rPr>
            <w:sz w:val="24"/>
            <w:szCs w:val="24"/>
          </w:rPr>
          <w:t>http://www.bls.gov/ncs/ocs/sp/nctb1349.pdf</w:t>
        </w:r>
      </w:hyperlink>
      <w:r w:rsidRPr="00A60D0F">
        <w:rPr>
          <w:rFonts w:asciiTheme="minorHAnsi" w:hAnsiTheme="minorHAnsi" w:cstheme="minorHAnsi"/>
          <w:sz w:val="24"/>
          <w:szCs w:val="24"/>
        </w:rPr>
        <w:t>)</w:t>
      </w:r>
      <w:r w:rsidR="00F0026E">
        <w:rPr>
          <w:rFonts w:asciiTheme="minorHAnsi" w:hAnsiTheme="minorHAnsi" w:cstheme="minorHAnsi"/>
          <w:sz w:val="24"/>
          <w:szCs w:val="24"/>
        </w:rPr>
        <w:t xml:space="preserve">. </w:t>
      </w:r>
      <w:r w:rsidR="0055473A" w:rsidRPr="00A60D0F">
        <w:rPr>
          <w:rFonts w:asciiTheme="minorHAnsi" w:hAnsiTheme="minorHAnsi" w:cstheme="minorHAnsi"/>
          <w:sz w:val="24"/>
          <w:szCs w:val="24"/>
        </w:rPr>
        <w:t>B</w:t>
      </w:r>
      <w:r w:rsidRPr="00A60D0F">
        <w:rPr>
          <w:rFonts w:asciiTheme="minorHAnsi" w:hAnsiTheme="minorHAnsi" w:cstheme="minorHAnsi"/>
          <w:sz w:val="24"/>
          <w:szCs w:val="24"/>
        </w:rPr>
        <w:t xml:space="preserve">ased on DOL data, an average hourly wage of $57.11 is estimated for all </w:t>
      </w:r>
      <w:r w:rsidR="00F73144" w:rsidRPr="00A60D0F">
        <w:rPr>
          <w:rFonts w:asciiTheme="minorHAnsi" w:hAnsiTheme="minorHAnsi" w:cstheme="minorHAnsi"/>
          <w:sz w:val="24"/>
          <w:szCs w:val="24"/>
        </w:rPr>
        <w:t>5</w:t>
      </w:r>
      <w:r w:rsidR="002945F3" w:rsidRPr="00A60D0F">
        <w:rPr>
          <w:rFonts w:asciiTheme="minorHAnsi" w:hAnsiTheme="minorHAnsi" w:cstheme="minorHAnsi"/>
          <w:sz w:val="24"/>
          <w:szCs w:val="24"/>
        </w:rPr>
        <w:t>11</w:t>
      </w:r>
      <w:r w:rsidRPr="00A60D0F">
        <w:rPr>
          <w:rFonts w:asciiTheme="minorHAnsi" w:hAnsiTheme="minorHAnsi" w:cstheme="minorHAnsi"/>
          <w:sz w:val="24"/>
          <w:szCs w:val="24"/>
        </w:rPr>
        <w:t xml:space="preserve"> respondents</w:t>
      </w:r>
      <w:r w:rsidR="00F0026E">
        <w:rPr>
          <w:rFonts w:asciiTheme="minorHAnsi" w:hAnsiTheme="minorHAnsi" w:cstheme="minorHAnsi"/>
          <w:sz w:val="24"/>
          <w:szCs w:val="24"/>
        </w:rPr>
        <w:t xml:space="preserve">. </w:t>
      </w:r>
      <w:r w:rsidRPr="00A60D0F">
        <w:rPr>
          <w:rFonts w:asciiTheme="minorHAnsi" w:hAnsiTheme="minorHAnsi" w:cstheme="minorHAnsi"/>
          <w:sz w:val="24"/>
          <w:szCs w:val="24"/>
        </w:rPr>
        <w:t>Table A-12 shows estimated burden and cost information.</w:t>
      </w:r>
    </w:p>
    <w:p w:rsidR="00DD0ACF" w:rsidRPr="00A60D0F" w:rsidRDefault="00DD0ACF" w:rsidP="00DD0ACF">
      <w:pPr>
        <w:ind w:left="360"/>
        <w:rPr>
          <w:rFonts w:asciiTheme="minorHAnsi" w:hAnsiTheme="minorHAnsi" w:cstheme="minorHAns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40"/>
        <w:gridCol w:w="1530"/>
        <w:gridCol w:w="1080"/>
        <w:gridCol w:w="990"/>
        <w:gridCol w:w="900"/>
        <w:gridCol w:w="1350"/>
      </w:tblGrid>
      <w:tr w:rsidR="00214636" w:rsidRPr="00A60D0F" w:rsidTr="00514395">
        <w:tc>
          <w:tcPr>
            <w:tcW w:w="9270" w:type="dxa"/>
            <w:gridSpan w:val="7"/>
          </w:tcPr>
          <w:p w:rsidR="00214636" w:rsidRPr="00A60D0F" w:rsidRDefault="00214636" w:rsidP="00214636">
            <w:pPr>
              <w:rPr>
                <w:rFonts w:asciiTheme="minorHAnsi" w:hAnsiTheme="minorHAnsi" w:cstheme="minorHAnsi"/>
              </w:rPr>
            </w:pPr>
            <w:r w:rsidRPr="00A60D0F">
              <w:rPr>
                <w:rFonts w:asciiTheme="minorHAnsi" w:hAnsiTheme="minorHAnsi" w:cstheme="minorHAnsi"/>
              </w:rPr>
              <w:t>Table A-12: Estimated Annualized Burden Hours and Costs to Respondents</w:t>
            </w:r>
          </w:p>
        </w:tc>
      </w:tr>
      <w:tr w:rsidR="00514395" w:rsidRPr="00A60D0F" w:rsidTr="00514395">
        <w:tc>
          <w:tcPr>
            <w:tcW w:w="1980" w:type="dxa"/>
          </w:tcPr>
          <w:p w:rsidR="00671677" w:rsidRPr="00AB0DF4" w:rsidRDefault="00671677" w:rsidP="00671677">
            <w:pPr>
              <w:jc w:val="center"/>
              <w:rPr>
                <w:rFonts w:asciiTheme="minorHAnsi" w:hAnsiTheme="minorHAnsi" w:cstheme="minorHAnsi"/>
                <w:sz w:val="22"/>
                <w:szCs w:val="22"/>
              </w:rPr>
            </w:pPr>
            <w:r w:rsidRPr="00AB0DF4">
              <w:rPr>
                <w:rFonts w:asciiTheme="minorHAnsi" w:hAnsiTheme="minorHAnsi" w:cstheme="minorHAnsi"/>
                <w:sz w:val="22"/>
                <w:szCs w:val="22"/>
              </w:rPr>
              <w:t>Type of Respondents</w:t>
            </w:r>
          </w:p>
        </w:tc>
        <w:tc>
          <w:tcPr>
            <w:tcW w:w="1440" w:type="dxa"/>
          </w:tcPr>
          <w:p w:rsidR="00671677" w:rsidRPr="00AB0DF4" w:rsidRDefault="00671677" w:rsidP="00671677">
            <w:pPr>
              <w:jc w:val="center"/>
              <w:rPr>
                <w:rFonts w:asciiTheme="minorHAnsi" w:hAnsiTheme="minorHAnsi" w:cstheme="minorHAnsi"/>
                <w:sz w:val="22"/>
                <w:szCs w:val="22"/>
              </w:rPr>
            </w:pPr>
            <w:r w:rsidRPr="00AB0DF4">
              <w:rPr>
                <w:rFonts w:asciiTheme="minorHAnsi" w:hAnsiTheme="minorHAnsi" w:cstheme="minorHAnsi"/>
                <w:sz w:val="22"/>
                <w:szCs w:val="22"/>
              </w:rPr>
              <w:t>Number of Respondents</w:t>
            </w:r>
          </w:p>
        </w:tc>
        <w:tc>
          <w:tcPr>
            <w:tcW w:w="1530" w:type="dxa"/>
          </w:tcPr>
          <w:p w:rsidR="00514395" w:rsidRPr="00AB0DF4" w:rsidRDefault="00514395" w:rsidP="00671677">
            <w:pPr>
              <w:jc w:val="center"/>
              <w:rPr>
                <w:rFonts w:asciiTheme="minorHAnsi" w:hAnsiTheme="minorHAnsi" w:cstheme="minorHAnsi"/>
                <w:sz w:val="22"/>
                <w:szCs w:val="22"/>
              </w:rPr>
            </w:pPr>
            <w:r w:rsidRPr="00AB0DF4">
              <w:rPr>
                <w:rFonts w:asciiTheme="minorHAnsi" w:hAnsiTheme="minorHAnsi" w:cstheme="minorHAnsi"/>
                <w:sz w:val="22"/>
                <w:szCs w:val="22"/>
              </w:rPr>
              <w:t>Number of</w:t>
            </w:r>
            <w:r w:rsidR="00671677" w:rsidRPr="00AB0DF4">
              <w:rPr>
                <w:rFonts w:asciiTheme="minorHAnsi" w:hAnsiTheme="minorHAnsi" w:cstheme="minorHAnsi"/>
                <w:sz w:val="22"/>
                <w:szCs w:val="22"/>
              </w:rPr>
              <w:t xml:space="preserve"> </w:t>
            </w:r>
          </w:p>
          <w:p w:rsidR="00671677" w:rsidRPr="00AB0DF4" w:rsidRDefault="00671677" w:rsidP="00671677">
            <w:pPr>
              <w:jc w:val="center"/>
              <w:rPr>
                <w:rFonts w:asciiTheme="minorHAnsi" w:hAnsiTheme="minorHAnsi" w:cstheme="minorHAnsi"/>
                <w:sz w:val="22"/>
                <w:szCs w:val="22"/>
              </w:rPr>
            </w:pPr>
            <w:r w:rsidRPr="00AB0DF4">
              <w:rPr>
                <w:rFonts w:asciiTheme="minorHAnsi" w:hAnsiTheme="minorHAnsi" w:cstheme="minorHAnsi"/>
                <w:sz w:val="22"/>
                <w:szCs w:val="22"/>
              </w:rPr>
              <w:t>Responses per Respondent</w:t>
            </w:r>
          </w:p>
        </w:tc>
        <w:tc>
          <w:tcPr>
            <w:tcW w:w="1080" w:type="dxa"/>
          </w:tcPr>
          <w:p w:rsidR="00671677" w:rsidRPr="00AB0DF4" w:rsidRDefault="00671677" w:rsidP="00671677">
            <w:pPr>
              <w:jc w:val="center"/>
              <w:rPr>
                <w:rFonts w:asciiTheme="minorHAnsi" w:hAnsiTheme="minorHAnsi" w:cstheme="minorHAnsi"/>
                <w:sz w:val="22"/>
                <w:szCs w:val="22"/>
              </w:rPr>
            </w:pPr>
            <w:r w:rsidRPr="00AB0DF4">
              <w:rPr>
                <w:rFonts w:asciiTheme="minorHAnsi" w:hAnsiTheme="minorHAnsi" w:cstheme="minorHAnsi"/>
                <w:sz w:val="22"/>
                <w:szCs w:val="22"/>
              </w:rPr>
              <w:t>Hours per Response</w:t>
            </w:r>
          </w:p>
        </w:tc>
        <w:tc>
          <w:tcPr>
            <w:tcW w:w="990" w:type="dxa"/>
          </w:tcPr>
          <w:p w:rsidR="00671677" w:rsidRPr="00AB0DF4" w:rsidRDefault="00671677" w:rsidP="00671677">
            <w:pPr>
              <w:jc w:val="center"/>
              <w:rPr>
                <w:rFonts w:asciiTheme="minorHAnsi" w:hAnsiTheme="minorHAnsi" w:cstheme="minorHAnsi"/>
                <w:sz w:val="22"/>
                <w:szCs w:val="22"/>
              </w:rPr>
            </w:pPr>
            <w:r w:rsidRPr="00AB0DF4">
              <w:rPr>
                <w:rFonts w:asciiTheme="minorHAnsi" w:hAnsiTheme="minorHAnsi" w:cstheme="minorHAnsi"/>
                <w:sz w:val="22"/>
                <w:szCs w:val="22"/>
              </w:rPr>
              <w:t>Total Burden Hours</w:t>
            </w:r>
          </w:p>
        </w:tc>
        <w:tc>
          <w:tcPr>
            <w:tcW w:w="900" w:type="dxa"/>
          </w:tcPr>
          <w:p w:rsidR="00671677" w:rsidRPr="00AB0DF4" w:rsidRDefault="00671677" w:rsidP="00671677">
            <w:pPr>
              <w:jc w:val="center"/>
              <w:rPr>
                <w:rFonts w:asciiTheme="minorHAnsi" w:hAnsiTheme="minorHAnsi" w:cstheme="minorHAnsi"/>
                <w:sz w:val="22"/>
                <w:szCs w:val="22"/>
              </w:rPr>
            </w:pPr>
            <w:r w:rsidRPr="00AB0DF4">
              <w:rPr>
                <w:rFonts w:asciiTheme="minorHAnsi" w:hAnsiTheme="minorHAnsi" w:cstheme="minorHAnsi"/>
                <w:sz w:val="22"/>
                <w:szCs w:val="22"/>
              </w:rPr>
              <w:t>Hourly Wage Rate</w:t>
            </w:r>
          </w:p>
        </w:tc>
        <w:tc>
          <w:tcPr>
            <w:tcW w:w="1350" w:type="dxa"/>
          </w:tcPr>
          <w:p w:rsidR="00671677" w:rsidRPr="00AB0DF4" w:rsidRDefault="00671677" w:rsidP="00671677">
            <w:pPr>
              <w:jc w:val="center"/>
              <w:rPr>
                <w:rFonts w:asciiTheme="minorHAnsi" w:hAnsiTheme="minorHAnsi" w:cstheme="minorHAnsi"/>
                <w:sz w:val="22"/>
                <w:szCs w:val="22"/>
              </w:rPr>
            </w:pPr>
            <w:r w:rsidRPr="00AB0DF4">
              <w:rPr>
                <w:rFonts w:asciiTheme="minorHAnsi" w:hAnsiTheme="minorHAnsi" w:cstheme="minorHAnsi"/>
                <w:sz w:val="22"/>
                <w:szCs w:val="22"/>
              </w:rPr>
              <w:t>Total Respondent Cost</w:t>
            </w:r>
          </w:p>
        </w:tc>
      </w:tr>
      <w:tr w:rsidR="00514395" w:rsidRPr="00A60D0F" w:rsidTr="00514395">
        <w:tc>
          <w:tcPr>
            <w:tcW w:w="1980" w:type="dxa"/>
          </w:tcPr>
          <w:p w:rsidR="00671677" w:rsidRPr="00A60D0F" w:rsidRDefault="009B059B" w:rsidP="00514395">
            <w:pPr>
              <w:jc w:val="center"/>
              <w:rPr>
                <w:rFonts w:asciiTheme="minorHAnsi" w:hAnsiTheme="minorHAnsi" w:cstheme="minorHAnsi"/>
              </w:rPr>
            </w:pPr>
            <w:r w:rsidRPr="00A60D0F">
              <w:rPr>
                <w:rFonts w:asciiTheme="minorHAnsi" w:hAnsiTheme="minorHAnsi" w:cstheme="minorHAnsi"/>
              </w:rPr>
              <w:t xml:space="preserve">Local health  </w:t>
            </w:r>
            <w:r w:rsidR="00514395" w:rsidRPr="00A60D0F">
              <w:rPr>
                <w:rFonts w:asciiTheme="minorHAnsi" w:hAnsiTheme="minorHAnsi" w:cstheme="minorHAnsi"/>
              </w:rPr>
              <w:t>department director</w:t>
            </w:r>
            <w:r w:rsidRPr="00A60D0F">
              <w:rPr>
                <w:rFonts w:asciiTheme="minorHAnsi" w:hAnsiTheme="minorHAnsi" w:cstheme="minorHAnsi"/>
              </w:rPr>
              <w:t>/designee</w:t>
            </w:r>
          </w:p>
        </w:tc>
        <w:tc>
          <w:tcPr>
            <w:tcW w:w="1440" w:type="dxa"/>
          </w:tcPr>
          <w:p w:rsidR="00671677" w:rsidRPr="00A60D0F" w:rsidRDefault="002945F3" w:rsidP="00671677">
            <w:pPr>
              <w:jc w:val="center"/>
              <w:rPr>
                <w:rFonts w:asciiTheme="minorHAnsi" w:hAnsiTheme="minorHAnsi" w:cstheme="minorHAnsi"/>
              </w:rPr>
            </w:pPr>
            <w:r w:rsidRPr="00A60D0F">
              <w:rPr>
                <w:rFonts w:asciiTheme="minorHAnsi" w:hAnsiTheme="minorHAnsi" w:cstheme="minorHAnsi"/>
              </w:rPr>
              <w:t>511</w:t>
            </w:r>
          </w:p>
        </w:tc>
        <w:tc>
          <w:tcPr>
            <w:tcW w:w="1530" w:type="dxa"/>
          </w:tcPr>
          <w:p w:rsidR="00671677" w:rsidRPr="00A60D0F" w:rsidRDefault="00671677" w:rsidP="00671677">
            <w:pPr>
              <w:jc w:val="center"/>
              <w:rPr>
                <w:rFonts w:asciiTheme="minorHAnsi" w:hAnsiTheme="minorHAnsi" w:cstheme="minorHAnsi"/>
              </w:rPr>
            </w:pPr>
            <w:r w:rsidRPr="00A60D0F">
              <w:rPr>
                <w:rFonts w:asciiTheme="minorHAnsi" w:hAnsiTheme="minorHAnsi" w:cstheme="minorHAnsi"/>
              </w:rPr>
              <w:t>1</w:t>
            </w:r>
          </w:p>
        </w:tc>
        <w:tc>
          <w:tcPr>
            <w:tcW w:w="1080" w:type="dxa"/>
          </w:tcPr>
          <w:p w:rsidR="00671677" w:rsidRPr="00A60D0F" w:rsidRDefault="00AB0DF4" w:rsidP="00C457E8">
            <w:pPr>
              <w:jc w:val="center"/>
              <w:rPr>
                <w:rFonts w:asciiTheme="minorHAnsi" w:hAnsiTheme="minorHAnsi" w:cstheme="minorHAnsi"/>
              </w:rPr>
            </w:pPr>
            <w:r>
              <w:rPr>
                <w:rFonts w:asciiTheme="minorHAnsi" w:hAnsiTheme="minorHAnsi" w:cstheme="minorHAnsi"/>
              </w:rPr>
              <w:t>10</w:t>
            </w:r>
            <w:r w:rsidR="00671677" w:rsidRPr="00A60D0F">
              <w:rPr>
                <w:rFonts w:asciiTheme="minorHAnsi" w:hAnsiTheme="minorHAnsi" w:cstheme="minorHAnsi"/>
              </w:rPr>
              <w:t>/60</w:t>
            </w:r>
          </w:p>
        </w:tc>
        <w:tc>
          <w:tcPr>
            <w:tcW w:w="990" w:type="dxa"/>
          </w:tcPr>
          <w:p w:rsidR="00671677" w:rsidRPr="00A60D0F" w:rsidRDefault="00AB0DF4" w:rsidP="00310A9A">
            <w:pPr>
              <w:jc w:val="center"/>
              <w:rPr>
                <w:rFonts w:asciiTheme="minorHAnsi" w:hAnsiTheme="minorHAnsi" w:cstheme="minorHAnsi"/>
              </w:rPr>
            </w:pPr>
            <w:r>
              <w:rPr>
                <w:rFonts w:asciiTheme="minorHAnsi" w:hAnsiTheme="minorHAnsi" w:cstheme="minorHAnsi"/>
              </w:rPr>
              <w:t>8</w:t>
            </w:r>
            <w:r w:rsidR="00310A9A">
              <w:rPr>
                <w:rFonts w:asciiTheme="minorHAnsi" w:hAnsiTheme="minorHAnsi" w:cstheme="minorHAnsi"/>
              </w:rPr>
              <w:t>7</w:t>
            </w:r>
          </w:p>
        </w:tc>
        <w:tc>
          <w:tcPr>
            <w:tcW w:w="900" w:type="dxa"/>
          </w:tcPr>
          <w:p w:rsidR="00671677" w:rsidRPr="00A60D0F" w:rsidRDefault="00671677" w:rsidP="00671677">
            <w:pPr>
              <w:jc w:val="center"/>
              <w:rPr>
                <w:rFonts w:asciiTheme="minorHAnsi" w:hAnsiTheme="minorHAnsi" w:cstheme="minorHAnsi"/>
              </w:rPr>
            </w:pPr>
            <w:r w:rsidRPr="00A60D0F">
              <w:rPr>
                <w:rFonts w:asciiTheme="minorHAnsi" w:hAnsiTheme="minorHAnsi" w:cstheme="minorHAnsi"/>
              </w:rPr>
              <w:t>$57.11</w:t>
            </w:r>
          </w:p>
        </w:tc>
        <w:tc>
          <w:tcPr>
            <w:tcW w:w="1350" w:type="dxa"/>
          </w:tcPr>
          <w:p w:rsidR="00671677" w:rsidRPr="00A60D0F" w:rsidRDefault="00671677" w:rsidP="00310A9A">
            <w:pPr>
              <w:jc w:val="center"/>
              <w:rPr>
                <w:rFonts w:asciiTheme="minorHAnsi" w:hAnsiTheme="minorHAnsi" w:cstheme="minorHAnsi"/>
              </w:rPr>
            </w:pPr>
            <w:r w:rsidRPr="00A60D0F">
              <w:rPr>
                <w:rFonts w:asciiTheme="minorHAnsi" w:hAnsiTheme="minorHAnsi" w:cstheme="minorHAnsi"/>
              </w:rPr>
              <w:t>$</w:t>
            </w:r>
            <w:r w:rsidR="00AB0DF4">
              <w:rPr>
                <w:rFonts w:asciiTheme="minorHAnsi" w:hAnsiTheme="minorHAnsi" w:cstheme="minorHAnsi"/>
              </w:rPr>
              <w:t>4,9</w:t>
            </w:r>
            <w:r w:rsidR="00310A9A">
              <w:rPr>
                <w:rFonts w:asciiTheme="minorHAnsi" w:hAnsiTheme="minorHAnsi" w:cstheme="minorHAnsi"/>
              </w:rPr>
              <w:t>68.57</w:t>
            </w:r>
          </w:p>
        </w:tc>
      </w:tr>
      <w:tr w:rsidR="002945F3" w:rsidRPr="00A60D0F" w:rsidTr="00514395">
        <w:tc>
          <w:tcPr>
            <w:tcW w:w="1980" w:type="dxa"/>
          </w:tcPr>
          <w:p w:rsidR="002945F3" w:rsidRPr="00A60D0F" w:rsidRDefault="002945F3" w:rsidP="009B059B">
            <w:pPr>
              <w:jc w:val="right"/>
              <w:rPr>
                <w:rFonts w:asciiTheme="minorHAnsi" w:hAnsiTheme="minorHAnsi" w:cstheme="minorHAnsi"/>
                <w:b/>
              </w:rPr>
            </w:pPr>
            <w:r w:rsidRPr="00A60D0F">
              <w:rPr>
                <w:rFonts w:asciiTheme="minorHAnsi" w:hAnsiTheme="minorHAnsi" w:cstheme="minorHAnsi"/>
                <w:b/>
              </w:rPr>
              <w:t>TOTAL</w:t>
            </w:r>
          </w:p>
        </w:tc>
        <w:tc>
          <w:tcPr>
            <w:tcW w:w="1440" w:type="dxa"/>
          </w:tcPr>
          <w:p w:rsidR="002945F3" w:rsidRPr="00A60D0F" w:rsidRDefault="002945F3" w:rsidP="005F5D1F">
            <w:pPr>
              <w:jc w:val="center"/>
              <w:rPr>
                <w:rFonts w:asciiTheme="minorHAnsi" w:hAnsiTheme="minorHAnsi" w:cstheme="minorHAnsi"/>
                <w:b/>
              </w:rPr>
            </w:pPr>
            <w:r w:rsidRPr="00A60D0F">
              <w:rPr>
                <w:rFonts w:asciiTheme="minorHAnsi" w:hAnsiTheme="minorHAnsi" w:cstheme="minorHAnsi"/>
                <w:b/>
              </w:rPr>
              <w:t>511</w:t>
            </w:r>
          </w:p>
        </w:tc>
        <w:tc>
          <w:tcPr>
            <w:tcW w:w="1530" w:type="dxa"/>
          </w:tcPr>
          <w:p w:rsidR="002945F3" w:rsidRPr="00A60D0F" w:rsidRDefault="002945F3" w:rsidP="005F5D1F">
            <w:pPr>
              <w:jc w:val="center"/>
              <w:rPr>
                <w:rFonts w:asciiTheme="minorHAnsi" w:hAnsiTheme="minorHAnsi" w:cstheme="minorHAnsi"/>
                <w:b/>
              </w:rPr>
            </w:pPr>
            <w:r w:rsidRPr="00A60D0F">
              <w:rPr>
                <w:rFonts w:asciiTheme="minorHAnsi" w:hAnsiTheme="minorHAnsi" w:cstheme="minorHAnsi"/>
                <w:b/>
              </w:rPr>
              <w:t>1</w:t>
            </w:r>
          </w:p>
        </w:tc>
        <w:tc>
          <w:tcPr>
            <w:tcW w:w="1080" w:type="dxa"/>
            <w:shd w:val="clear" w:color="auto" w:fill="D9D9D9" w:themeFill="background1" w:themeFillShade="D9"/>
          </w:tcPr>
          <w:p w:rsidR="002945F3" w:rsidRPr="00A60D0F" w:rsidRDefault="002945F3" w:rsidP="00671677">
            <w:pPr>
              <w:jc w:val="center"/>
              <w:rPr>
                <w:rFonts w:asciiTheme="minorHAnsi" w:hAnsiTheme="minorHAnsi" w:cstheme="minorHAnsi"/>
                <w:b/>
              </w:rPr>
            </w:pPr>
          </w:p>
        </w:tc>
        <w:tc>
          <w:tcPr>
            <w:tcW w:w="990" w:type="dxa"/>
          </w:tcPr>
          <w:p w:rsidR="002945F3" w:rsidRPr="00A60D0F" w:rsidRDefault="002945F3" w:rsidP="00F821B1">
            <w:pPr>
              <w:jc w:val="center"/>
              <w:rPr>
                <w:rFonts w:asciiTheme="minorHAnsi" w:hAnsiTheme="minorHAnsi" w:cstheme="minorHAnsi"/>
                <w:b/>
              </w:rPr>
            </w:pPr>
          </w:p>
        </w:tc>
        <w:tc>
          <w:tcPr>
            <w:tcW w:w="900" w:type="dxa"/>
            <w:shd w:val="clear" w:color="auto" w:fill="D9D9D9" w:themeFill="background1" w:themeFillShade="D9"/>
          </w:tcPr>
          <w:p w:rsidR="002945F3" w:rsidRPr="00A60D0F" w:rsidRDefault="002945F3" w:rsidP="00671677">
            <w:pPr>
              <w:jc w:val="center"/>
              <w:rPr>
                <w:rFonts w:asciiTheme="minorHAnsi" w:hAnsiTheme="minorHAnsi" w:cstheme="minorHAnsi"/>
                <w:b/>
              </w:rPr>
            </w:pPr>
          </w:p>
        </w:tc>
        <w:tc>
          <w:tcPr>
            <w:tcW w:w="1350" w:type="dxa"/>
          </w:tcPr>
          <w:p w:rsidR="002945F3" w:rsidRPr="00A60D0F" w:rsidRDefault="002945F3" w:rsidP="00AB0DF4">
            <w:pPr>
              <w:jc w:val="center"/>
              <w:rPr>
                <w:rFonts w:asciiTheme="minorHAnsi" w:hAnsiTheme="minorHAnsi" w:cstheme="minorHAnsi"/>
                <w:b/>
              </w:rPr>
            </w:pPr>
            <w:r w:rsidRPr="00A60D0F">
              <w:rPr>
                <w:rFonts w:asciiTheme="minorHAnsi" w:hAnsiTheme="minorHAnsi" w:cstheme="minorHAnsi"/>
                <w:b/>
              </w:rPr>
              <w:t>$</w:t>
            </w:r>
            <w:r w:rsidR="00AB0DF4">
              <w:rPr>
                <w:rFonts w:asciiTheme="minorHAnsi" w:hAnsiTheme="minorHAnsi" w:cstheme="minorHAnsi"/>
                <w:b/>
              </w:rPr>
              <w:t>4,9</w:t>
            </w:r>
            <w:r w:rsidR="00310A9A">
              <w:rPr>
                <w:rFonts w:asciiTheme="minorHAnsi" w:hAnsiTheme="minorHAnsi" w:cstheme="minorHAnsi"/>
                <w:b/>
              </w:rPr>
              <w:t>68.57</w:t>
            </w:r>
          </w:p>
        </w:tc>
      </w:tr>
    </w:tbl>
    <w:p w:rsidR="00DD0ACF" w:rsidRPr="00A60D0F" w:rsidRDefault="00DD0ACF" w:rsidP="006A3BA1">
      <w:pPr>
        <w:pStyle w:val="ListParagraph"/>
        <w:tabs>
          <w:tab w:val="left" w:pos="-1440"/>
          <w:tab w:val="left" w:pos="-720"/>
        </w:tabs>
        <w:autoSpaceDE w:val="0"/>
        <w:autoSpaceDN w:val="0"/>
        <w:adjustRightInd w:val="0"/>
        <w:ind w:right="720"/>
        <w:rPr>
          <w:rFonts w:asciiTheme="minorHAnsi" w:hAnsiTheme="minorHAnsi" w:cstheme="minorHAnsi"/>
          <w:u w:val="single"/>
        </w:rPr>
      </w:pPr>
    </w:p>
    <w:p w:rsidR="00EB41F5" w:rsidRPr="00310A9A" w:rsidRDefault="003A1D01" w:rsidP="00310A9A">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u w:val="single"/>
        </w:rPr>
      </w:pPr>
      <w:r w:rsidRPr="00A60D0F">
        <w:rPr>
          <w:rFonts w:asciiTheme="minorHAnsi" w:hAnsiTheme="minorHAnsi" w:cstheme="minorHAnsi"/>
          <w:u w:val="single"/>
        </w:rPr>
        <w:t xml:space="preserve">Estimate of  </w:t>
      </w:r>
      <w:r w:rsidR="00446132" w:rsidRPr="00A60D0F">
        <w:rPr>
          <w:rFonts w:asciiTheme="minorHAnsi" w:hAnsiTheme="minorHAnsi" w:cstheme="minorHAnsi"/>
          <w:u w:val="single"/>
        </w:rPr>
        <w:t xml:space="preserve">Other </w:t>
      </w:r>
      <w:r w:rsidRPr="00A60D0F">
        <w:rPr>
          <w:rFonts w:asciiTheme="minorHAnsi" w:hAnsiTheme="minorHAnsi" w:cstheme="minorHAnsi"/>
          <w:u w:val="single"/>
        </w:rPr>
        <w:t>Total Annual Cost Burden to Respondents or Record Keepers</w:t>
      </w:r>
    </w:p>
    <w:p w:rsidR="00124BDA" w:rsidRPr="00A60D0F" w:rsidRDefault="00EB41F5"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 xml:space="preserve">There </w:t>
      </w:r>
      <w:r w:rsidR="00D13209" w:rsidRPr="00A60D0F">
        <w:rPr>
          <w:rFonts w:asciiTheme="minorHAnsi" w:hAnsiTheme="minorHAnsi" w:cstheme="minorHAnsi"/>
          <w:sz w:val="24"/>
          <w:szCs w:val="24"/>
        </w:rPr>
        <w:t xml:space="preserve">will be no direct </w:t>
      </w:r>
      <w:r w:rsidRPr="00A60D0F">
        <w:rPr>
          <w:rFonts w:asciiTheme="minorHAnsi" w:hAnsiTheme="minorHAnsi" w:cstheme="minorHAnsi"/>
          <w:sz w:val="24"/>
          <w:szCs w:val="24"/>
        </w:rPr>
        <w:t>costs</w:t>
      </w:r>
      <w:r w:rsidR="00D13209" w:rsidRPr="00A60D0F">
        <w:rPr>
          <w:rFonts w:asciiTheme="minorHAnsi" w:hAnsiTheme="minorHAnsi" w:cstheme="minorHAnsi"/>
          <w:sz w:val="24"/>
          <w:szCs w:val="24"/>
        </w:rPr>
        <w:t xml:space="preserve"> to the respondents other than their time to participate in the </w:t>
      </w:r>
      <w:r w:rsidR="00D23031">
        <w:rPr>
          <w:rFonts w:asciiTheme="minorHAnsi" w:hAnsiTheme="minorHAnsi" w:cstheme="minorHAnsi"/>
          <w:sz w:val="24"/>
          <w:szCs w:val="24"/>
        </w:rPr>
        <w:t>data collection</w:t>
      </w:r>
      <w:r w:rsidRPr="00A60D0F">
        <w:rPr>
          <w:rFonts w:asciiTheme="minorHAnsi" w:hAnsiTheme="minorHAnsi" w:cstheme="minorHAnsi"/>
          <w:sz w:val="24"/>
          <w:szCs w:val="24"/>
        </w:rPr>
        <w:t>.</w:t>
      </w:r>
    </w:p>
    <w:p w:rsidR="007C4B95" w:rsidRPr="00A60D0F" w:rsidRDefault="007C4B95" w:rsidP="007C4B95">
      <w:pPr>
        <w:pStyle w:val="ListParagraph"/>
        <w:tabs>
          <w:tab w:val="left" w:pos="-1440"/>
          <w:tab w:val="left" w:pos="-720"/>
        </w:tabs>
        <w:autoSpaceDE w:val="0"/>
        <w:autoSpaceDN w:val="0"/>
        <w:adjustRightInd w:val="0"/>
        <w:ind w:right="720"/>
        <w:rPr>
          <w:rFonts w:asciiTheme="minorHAnsi" w:hAnsiTheme="minorHAnsi" w:cstheme="minorHAnsi"/>
        </w:rPr>
      </w:pPr>
    </w:p>
    <w:p w:rsidR="00514395" w:rsidRPr="00310A9A" w:rsidRDefault="003A1D01" w:rsidP="00310A9A">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rPr>
      </w:pPr>
      <w:r w:rsidRPr="00A60D0F">
        <w:rPr>
          <w:rFonts w:asciiTheme="minorHAnsi" w:hAnsiTheme="minorHAnsi" w:cstheme="minorHAnsi"/>
          <w:u w:val="single"/>
        </w:rPr>
        <w:t>Annualized Cost to the Government</w:t>
      </w:r>
    </w:p>
    <w:p w:rsidR="00AB0DF4" w:rsidRPr="00AB0DF4" w:rsidRDefault="003A1D01" w:rsidP="00310A9A">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There are no equipment or overhead costs</w:t>
      </w:r>
      <w:r w:rsidR="00F0026E">
        <w:rPr>
          <w:rFonts w:asciiTheme="minorHAnsi" w:hAnsiTheme="minorHAnsi" w:cstheme="minorHAnsi"/>
          <w:sz w:val="24"/>
          <w:szCs w:val="24"/>
        </w:rPr>
        <w:t xml:space="preserve">. </w:t>
      </w:r>
      <w:r w:rsidRPr="00A60D0F">
        <w:rPr>
          <w:rFonts w:asciiTheme="minorHAnsi" w:hAnsiTheme="minorHAnsi" w:cstheme="minorHAnsi"/>
          <w:sz w:val="24"/>
          <w:szCs w:val="24"/>
        </w:rPr>
        <w:t xml:space="preserve">The only cost to the federal government </w:t>
      </w:r>
      <w:r w:rsidR="00012F07">
        <w:rPr>
          <w:rFonts w:asciiTheme="minorHAnsi" w:hAnsiTheme="minorHAnsi" w:cstheme="minorHAnsi"/>
          <w:sz w:val="24"/>
          <w:szCs w:val="24"/>
        </w:rPr>
        <w:t>is</w:t>
      </w:r>
      <w:r w:rsidRPr="00A60D0F">
        <w:rPr>
          <w:rFonts w:asciiTheme="minorHAnsi" w:hAnsiTheme="minorHAnsi" w:cstheme="minorHAnsi"/>
          <w:sz w:val="24"/>
          <w:szCs w:val="24"/>
        </w:rPr>
        <w:t xml:space="preserve"> the salary of CDC staff supporting the data collection activities and associated tasks. </w:t>
      </w:r>
      <w:r w:rsidR="00D23031">
        <w:rPr>
          <w:rFonts w:asciiTheme="minorHAnsi" w:hAnsiTheme="minorHAnsi" w:cstheme="minorHAnsi"/>
          <w:sz w:val="24"/>
          <w:szCs w:val="24"/>
        </w:rPr>
        <w:t>The data collection instrument</w:t>
      </w:r>
      <w:r w:rsidR="00DC78EE" w:rsidRPr="00A60D0F">
        <w:rPr>
          <w:rFonts w:asciiTheme="minorHAnsi" w:hAnsiTheme="minorHAnsi" w:cstheme="minorHAnsi"/>
          <w:sz w:val="24"/>
          <w:szCs w:val="24"/>
        </w:rPr>
        <w:t xml:space="preserve"> will be prepared by CDC staff (FTE)</w:t>
      </w:r>
      <w:r w:rsidR="002945F3" w:rsidRPr="00A60D0F">
        <w:rPr>
          <w:rFonts w:asciiTheme="minorHAnsi" w:hAnsiTheme="minorHAnsi" w:cstheme="minorHAnsi"/>
          <w:sz w:val="24"/>
          <w:szCs w:val="24"/>
        </w:rPr>
        <w:t xml:space="preserve"> and a Technical Information Specialist contractor</w:t>
      </w:r>
      <w:r w:rsidR="00F0026E">
        <w:rPr>
          <w:rFonts w:asciiTheme="minorHAnsi" w:hAnsiTheme="minorHAnsi" w:cstheme="minorHAnsi"/>
          <w:sz w:val="24"/>
          <w:szCs w:val="24"/>
        </w:rPr>
        <w:t xml:space="preserve">. </w:t>
      </w:r>
      <w:r w:rsidR="0054091B" w:rsidRPr="00A60D0F">
        <w:rPr>
          <w:rFonts w:asciiTheme="minorHAnsi" w:hAnsiTheme="minorHAnsi" w:cstheme="minorHAnsi"/>
          <w:sz w:val="24"/>
          <w:szCs w:val="24"/>
        </w:rPr>
        <w:t>A</w:t>
      </w:r>
      <w:r w:rsidR="00DC78EE" w:rsidRPr="00A60D0F">
        <w:rPr>
          <w:rFonts w:asciiTheme="minorHAnsi" w:hAnsiTheme="minorHAnsi" w:cstheme="minorHAnsi"/>
          <w:sz w:val="24"/>
          <w:szCs w:val="24"/>
        </w:rPr>
        <w:t xml:space="preserve"> senior level FTE will review and approve the activities</w:t>
      </w:r>
      <w:r w:rsidR="00F0026E">
        <w:rPr>
          <w:rFonts w:asciiTheme="minorHAnsi" w:hAnsiTheme="minorHAnsi" w:cstheme="minorHAnsi"/>
          <w:sz w:val="24"/>
          <w:szCs w:val="24"/>
        </w:rPr>
        <w:t xml:space="preserve">. </w:t>
      </w:r>
      <w:r w:rsidR="002945F3" w:rsidRPr="00A60D0F">
        <w:rPr>
          <w:rFonts w:asciiTheme="minorHAnsi" w:hAnsiTheme="minorHAnsi" w:cstheme="minorHAnsi"/>
          <w:sz w:val="24"/>
          <w:szCs w:val="24"/>
        </w:rPr>
        <w:t xml:space="preserve">The Technical Information contractor </w:t>
      </w:r>
      <w:r w:rsidR="00214636" w:rsidRPr="00A60D0F">
        <w:rPr>
          <w:rFonts w:asciiTheme="minorHAnsi" w:hAnsiTheme="minorHAnsi" w:cstheme="minorHAnsi"/>
          <w:sz w:val="24"/>
          <w:szCs w:val="24"/>
        </w:rPr>
        <w:t xml:space="preserve">will </w:t>
      </w:r>
      <w:r w:rsidR="002945F3" w:rsidRPr="00A60D0F">
        <w:rPr>
          <w:rFonts w:asciiTheme="minorHAnsi" w:hAnsiTheme="minorHAnsi" w:cstheme="minorHAnsi"/>
          <w:sz w:val="24"/>
          <w:szCs w:val="24"/>
        </w:rPr>
        <w:t xml:space="preserve">set up the web-based </w:t>
      </w:r>
      <w:r w:rsidR="00D23031">
        <w:rPr>
          <w:rFonts w:asciiTheme="minorHAnsi" w:hAnsiTheme="minorHAnsi" w:cstheme="minorHAnsi"/>
          <w:sz w:val="24"/>
          <w:szCs w:val="24"/>
        </w:rPr>
        <w:t>instrument</w:t>
      </w:r>
      <w:r w:rsidR="002945F3" w:rsidRPr="00A60D0F">
        <w:rPr>
          <w:rFonts w:asciiTheme="minorHAnsi" w:hAnsiTheme="minorHAnsi" w:cstheme="minorHAnsi"/>
          <w:sz w:val="24"/>
          <w:szCs w:val="24"/>
        </w:rPr>
        <w:t xml:space="preserve">, monitor the responses, and manage and analyze the data. The senior level FTE will prepare a report. </w:t>
      </w:r>
      <w:r w:rsidRPr="00A60D0F">
        <w:rPr>
          <w:rFonts w:asciiTheme="minorHAnsi" w:hAnsiTheme="minorHAnsi" w:cstheme="minorHAnsi"/>
          <w:sz w:val="24"/>
          <w:szCs w:val="24"/>
        </w:rPr>
        <w:t xml:space="preserve">The estimated cost to the federal government is </w:t>
      </w:r>
      <w:r w:rsidR="00F3141D" w:rsidRPr="00AB0DF4">
        <w:rPr>
          <w:rFonts w:asciiTheme="minorHAnsi" w:hAnsiTheme="minorHAnsi" w:cstheme="minorHAnsi"/>
          <w:sz w:val="24"/>
          <w:szCs w:val="24"/>
        </w:rPr>
        <w:t>$</w:t>
      </w:r>
      <w:r w:rsidR="00AB0DF4" w:rsidRPr="00AB0DF4">
        <w:rPr>
          <w:rFonts w:asciiTheme="minorHAnsi" w:hAnsiTheme="minorHAnsi" w:cstheme="minorHAnsi"/>
          <w:sz w:val="24"/>
          <w:szCs w:val="24"/>
        </w:rPr>
        <w:t>9,</w:t>
      </w:r>
      <w:r w:rsidR="00AB0DF4">
        <w:rPr>
          <w:rFonts w:asciiTheme="minorHAnsi" w:hAnsiTheme="minorHAnsi" w:cstheme="minorHAnsi"/>
          <w:sz w:val="24"/>
          <w:szCs w:val="24"/>
        </w:rPr>
        <w:t>599</w:t>
      </w:r>
      <w:r w:rsidR="00F0026E" w:rsidRPr="00AB0DF4">
        <w:rPr>
          <w:rFonts w:asciiTheme="minorHAnsi" w:hAnsiTheme="minorHAnsi" w:cstheme="minorHAnsi"/>
          <w:sz w:val="24"/>
          <w:szCs w:val="24"/>
        </w:rPr>
        <w:t xml:space="preserve">. </w:t>
      </w:r>
      <w:r w:rsidRPr="00AB0DF4">
        <w:rPr>
          <w:rFonts w:asciiTheme="minorHAnsi" w:hAnsiTheme="minorHAnsi" w:cstheme="minorHAnsi"/>
          <w:sz w:val="24"/>
          <w:szCs w:val="24"/>
        </w:rPr>
        <w:t>Table A-1</w:t>
      </w:r>
      <w:r w:rsidR="00F73144" w:rsidRPr="00AB0DF4">
        <w:rPr>
          <w:rFonts w:asciiTheme="minorHAnsi" w:hAnsiTheme="minorHAnsi" w:cstheme="minorHAnsi"/>
          <w:sz w:val="24"/>
          <w:szCs w:val="24"/>
        </w:rPr>
        <w:t>3</w:t>
      </w:r>
      <w:r w:rsidRPr="00AB0DF4">
        <w:rPr>
          <w:rFonts w:asciiTheme="minorHAnsi" w:hAnsiTheme="minorHAnsi" w:cstheme="minorHAnsi"/>
          <w:sz w:val="24"/>
          <w:szCs w:val="24"/>
        </w:rPr>
        <w:t xml:space="preserve"> describes how this cost estimate was calculated.</w:t>
      </w:r>
    </w:p>
    <w:tbl>
      <w:tblPr>
        <w:tblpPr w:leftFromText="180" w:rightFromText="180" w:vertAnchor="text" w:horzAnchor="margin" w:tblpXSpec="center" w:tblpY="418"/>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807"/>
        <w:gridCol w:w="1350"/>
        <w:gridCol w:w="1404"/>
      </w:tblGrid>
      <w:tr w:rsidR="0021758C" w:rsidRPr="00AB0DF4" w:rsidTr="00514395">
        <w:trPr>
          <w:jc w:val="center"/>
        </w:trPr>
        <w:tc>
          <w:tcPr>
            <w:tcW w:w="8892" w:type="dxa"/>
            <w:gridSpan w:val="4"/>
            <w:tcBorders>
              <w:top w:val="nil"/>
              <w:left w:val="nil"/>
              <w:bottom w:val="single" w:sz="4" w:space="0" w:color="auto"/>
              <w:right w:val="nil"/>
            </w:tcBorders>
          </w:tcPr>
          <w:p w:rsidR="0021758C" w:rsidRPr="00AB0DF4" w:rsidRDefault="003A1D01" w:rsidP="009B059B">
            <w:pPr>
              <w:spacing w:before="100" w:beforeAutospacing="1"/>
              <w:rPr>
                <w:rFonts w:asciiTheme="minorHAnsi" w:hAnsiTheme="minorHAnsi" w:cstheme="minorHAnsi"/>
              </w:rPr>
            </w:pPr>
            <w:r w:rsidRPr="00AB0DF4">
              <w:rPr>
                <w:rFonts w:asciiTheme="minorHAnsi" w:hAnsiTheme="minorHAnsi" w:cstheme="minorHAnsi"/>
              </w:rPr>
              <w:t>Table A-1</w:t>
            </w:r>
            <w:r w:rsidR="00214636" w:rsidRPr="00AB0DF4">
              <w:rPr>
                <w:rFonts w:asciiTheme="minorHAnsi" w:hAnsiTheme="minorHAnsi" w:cstheme="minorHAnsi"/>
              </w:rPr>
              <w:t>3</w:t>
            </w:r>
            <w:r w:rsidRPr="00AB0DF4">
              <w:rPr>
                <w:rFonts w:asciiTheme="minorHAnsi" w:hAnsiTheme="minorHAnsi" w:cstheme="minorHAnsi"/>
              </w:rPr>
              <w:t>: Estimated Annualized Cost to the Federal Government</w:t>
            </w:r>
          </w:p>
        </w:tc>
      </w:tr>
      <w:tr w:rsidR="0021758C" w:rsidRPr="00AB0DF4" w:rsidTr="00514395">
        <w:trPr>
          <w:jc w:val="center"/>
        </w:trPr>
        <w:tc>
          <w:tcPr>
            <w:tcW w:w="5380" w:type="dxa"/>
            <w:tcBorders>
              <w:bottom w:val="single" w:sz="4" w:space="0" w:color="auto"/>
            </w:tcBorders>
            <w:shd w:val="clear" w:color="auto" w:fill="E6E6E6"/>
          </w:tcPr>
          <w:p w:rsidR="0021758C" w:rsidRPr="00AB0DF4" w:rsidRDefault="003A1D01" w:rsidP="009B059B">
            <w:pPr>
              <w:spacing w:before="100" w:beforeAutospacing="1"/>
              <w:jc w:val="center"/>
              <w:rPr>
                <w:rFonts w:asciiTheme="minorHAnsi" w:hAnsiTheme="minorHAnsi" w:cstheme="minorHAnsi"/>
                <w:b/>
              </w:rPr>
            </w:pPr>
            <w:bookmarkStart w:id="1" w:name="OLE_LINK3"/>
            <w:bookmarkStart w:id="2" w:name="OLE_LINK4"/>
            <w:r w:rsidRPr="00AB0DF4">
              <w:rPr>
                <w:rFonts w:asciiTheme="minorHAnsi" w:hAnsiTheme="minorHAnsi" w:cstheme="minorHAnsi"/>
                <w:b/>
              </w:rPr>
              <w:t>Staff or Contractor</w:t>
            </w:r>
          </w:p>
        </w:tc>
        <w:tc>
          <w:tcPr>
            <w:tcW w:w="758" w:type="dxa"/>
            <w:tcBorders>
              <w:bottom w:val="single" w:sz="4" w:space="0" w:color="auto"/>
            </w:tcBorders>
            <w:shd w:val="clear" w:color="auto" w:fill="E6E6E6"/>
          </w:tcPr>
          <w:p w:rsidR="0021758C" w:rsidRPr="00AB0DF4" w:rsidRDefault="003A1D01" w:rsidP="009B059B">
            <w:pPr>
              <w:spacing w:before="100" w:beforeAutospacing="1"/>
              <w:jc w:val="center"/>
              <w:rPr>
                <w:rFonts w:asciiTheme="minorHAnsi" w:hAnsiTheme="minorHAnsi" w:cstheme="minorHAnsi"/>
                <w:b/>
              </w:rPr>
            </w:pPr>
            <w:r w:rsidRPr="00AB0DF4">
              <w:rPr>
                <w:rFonts w:asciiTheme="minorHAnsi" w:hAnsiTheme="minorHAnsi" w:cstheme="minorHAnsi"/>
                <w:b/>
              </w:rPr>
              <w:t xml:space="preserve">Hours </w:t>
            </w:r>
          </w:p>
        </w:tc>
        <w:tc>
          <w:tcPr>
            <w:tcW w:w="1350" w:type="dxa"/>
            <w:tcBorders>
              <w:bottom w:val="single" w:sz="4" w:space="0" w:color="auto"/>
            </w:tcBorders>
            <w:shd w:val="clear" w:color="auto" w:fill="E6E6E6"/>
          </w:tcPr>
          <w:p w:rsidR="0021758C" w:rsidRPr="00AB0DF4" w:rsidRDefault="003A1D01" w:rsidP="009B059B">
            <w:pPr>
              <w:spacing w:before="100" w:beforeAutospacing="1"/>
              <w:jc w:val="center"/>
              <w:rPr>
                <w:rFonts w:asciiTheme="minorHAnsi" w:hAnsiTheme="minorHAnsi" w:cstheme="minorHAnsi"/>
                <w:b/>
              </w:rPr>
            </w:pPr>
            <w:r w:rsidRPr="00AB0DF4">
              <w:rPr>
                <w:rFonts w:asciiTheme="minorHAnsi" w:hAnsiTheme="minorHAnsi" w:cstheme="minorHAnsi"/>
                <w:b/>
              </w:rPr>
              <w:t>Average Hourly Rate</w:t>
            </w:r>
          </w:p>
        </w:tc>
        <w:tc>
          <w:tcPr>
            <w:tcW w:w="1404" w:type="dxa"/>
            <w:tcBorders>
              <w:bottom w:val="single" w:sz="4" w:space="0" w:color="auto"/>
              <w:right w:val="single" w:sz="4" w:space="0" w:color="auto"/>
            </w:tcBorders>
            <w:shd w:val="clear" w:color="auto" w:fill="E6E6E6"/>
          </w:tcPr>
          <w:p w:rsidR="0021758C" w:rsidRPr="00AB0DF4" w:rsidRDefault="003A1D01" w:rsidP="009B059B">
            <w:pPr>
              <w:spacing w:before="100" w:beforeAutospacing="1"/>
              <w:jc w:val="center"/>
              <w:rPr>
                <w:rFonts w:asciiTheme="minorHAnsi" w:hAnsiTheme="minorHAnsi" w:cstheme="minorHAnsi"/>
                <w:b/>
              </w:rPr>
            </w:pPr>
            <w:r w:rsidRPr="00AB0DF4">
              <w:rPr>
                <w:rFonts w:asciiTheme="minorHAnsi" w:hAnsiTheme="minorHAnsi" w:cstheme="minorHAnsi"/>
                <w:b/>
              </w:rPr>
              <w:t xml:space="preserve">Average </w:t>
            </w:r>
            <w:r w:rsidR="00A91E2C" w:rsidRPr="00AB0DF4">
              <w:rPr>
                <w:rFonts w:asciiTheme="minorHAnsi" w:hAnsiTheme="minorHAnsi" w:cstheme="minorHAnsi"/>
                <w:b/>
              </w:rPr>
              <w:t xml:space="preserve">Annual </w:t>
            </w:r>
            <w:r w:rsidRPr="00AB0DF4">
              <w:rPr>
                <w:rFonts w:asciiTheme="minorHAnsi" w:hAnsiTheme="minorHAnsi" w:cstheme="minorHAnsi"/>
                <w:b/>
              </w:rPr>
              <w:t>Cost</w:t>
            </w:r>
          </w:p>
        </w:tc>
      </w:tr>
      <w:tr w:rsidR="00224EAB" w:rsidRPr="00AB0DF4" w:rsidTr="00514395">
        <w:trPr>
          <w:jc w:val="center"/>
        </w:trPr>
        <w:tc>
          <w:tcPr>
            <w:tcW w:w="5380" w:type="dxa"/>
          </w:tcPr>
          <w:p w:rsidR="00224EAB" w:rsidRPr="00AB0DF4" w:rsidRDefault="00224EAB" w:rsidP="002945F3">
            <w:pPr>
              <w:spacing w:before="100" w:beforeAutospacing="1"/>
              <w:rPr>
                <w:rFonts w:asciiTheme="minorHAnsi" w:hAnsiTheme="minorHAnsi" w:cstheme="minorHAnsi"/>
                <w:b/>
              </w:rPr>
            </w:pPr>
            <w:r w:rsidRPr="00AB0DF4">
              <w:rPr>
                <w:rFonts w:asciiTheme="minorHAnsi" w:hAnsiTheme="minorHAnsi" w:cstheme="minorHAnsi"/>
                <w:b/>
              </w:rPr>
              <w:t>Health Scientist (GS-1</w:t>
            </w:r>
            <w:r w:rsidR="00A91E2C" w:rsidRPr="00AB0DF4">
              <w:rPr>
                <w:rFonts w:asciiTheme="minorHAnsi" w:hAnsiTheme="minorHAnsi" w:cstheme="minorHAnsi"/>
                <w:b/>
              </w:rPr>
              <w:t>5</w:t>
            </w:r>
            <w:r w:rsidRPr="00AB0DF4">
              <w:rPr>
                <w:rFonts w:asciiTheme="minorHAnsi" w:hAnsiTheme="minorHAnsi" w:cstheme="minorHAnsi"/>
                <w:b/>
              </w:rPr>
              <w:t xml:space="preserve">) </w:t>
            </w:r>
            <w:r w:rsidRPr="00AB0DF4">
              <w:rPr>
                <w:rFonts w:asciiTheme="minorHAnsi" w:hAnsiTheme="minorHAnsi" w:cstheme="minorHAnsi"/>
              </w:rPr>
              <w:t>Lead on development of instrument, pilot testing, review and oversee OMB package preparation, report preparation</w:t>
            </w:r>
          </w:p>
        </w:tc>
        <w:tc>
          <w:tcPr>
            <w:tcW w:w="758" w:type="dxa"/>
          </w:tcPr>
          <w:p w:rsidR="00224EAB" w:rsidRPr="00AB0DF4" w:rsidRDefault="002945F3" w:rsidP="009B059B">
            <w:pPr>
              <w:spacing w:before="100" w:beforeAutospacing="1"/>
              <w:jc w:val="center"/>
              <w:rPr>
                <w:rFonts w:asciiTheme="minorHAnsi" w:hAnsiTheme="minorHAnsi" w:cstheme="minorHAnsi"/>
              </w:rPr>
            </w:pPr>
            <w:r w:rsidRPr="00AB0DF4">
              <w:rPr>
                <w:rFonts w:asciiTheme="minorHAnsi" w:hAnsiTheme="minorHAnsi" w:cstheme="minorHAnsi"/>
              </w:rPr>
              <w:t>80</w:t>
            </w:r>
          </w:p>
        </w:tc>
        <w:tc>
          <w:tcPr>
            <w:tcW w:w="1350" w:type="dxa"/>
          </w:tcPr>
          <w:p w:rsidR="00224EAB" w:rsidRPr="00AB0DF4" w:rsidRDefault="00224EAB" w:rsidP="00A91E2C">
            <w:pPr>
              <w:spacing w:before="100" w:beforeAutospacing="1"/>
              <w:jc w:val="center"/>
              <w:rPr>
                <w:rFonts w:asciiTheme="minorHAnsi" w:hAnsiTheme="minorHAnsi" w:cstheme="minorHAnsi"/>
              </w:rPr>
            </w:pPr>
            <w:r w:rsidRPr="00AB0DF4">
              <w:rPr>
                <w:rFonts w:asciiTheme="minorHAnsi" w:hAnsiTheme="minorHAnsi" w:cstheme="minorHAnsi"/>
              </w:rPr>
              <w:t>$</w:t>
            </w:r>
            <w:r w:rsidR="00A91E2C" w:rsidRPr="00AB0DF4">
              <w:rPr>
                <w:rFonts w:asciiTheme="minorHAnsi" w:hAnsiTheme="minorHAnsi" w:cstheme="minorHAnsi"/>
              </w:rPr>
              <w:t>73.57</w:t>
            </w:r>
          </w:p>
        </w:tc>
        <w:tc>
          <w:tcPr>
            <w:tcW w:w="1404" w:type="dxa"/>
            <w:tcBorders>
              <w:right w:val="single" w:sz="4" w:space="0" w:color="auto"/>
            </w:tcBorders>
          </w:tcPr>
          <w:p w:rsidR="00224EAB" w:rsidRPr="00AB0DF4" w:rsidRDefault="00A91E2C" w:rsidP="00AB0DF4">
            <w:pPr>
              <w:spacing w:before="100" w:beforeAutospacing="1"/>
              <w:jc w:val="center"/>
              <w:rPr>
                <w:rFonts w:asciiTheme="minorHAnsi" w:hAnsiTheme="minorHAnsi" w:cstheme="minorHAnsi"/>
              </w:rPr>
            </w:pPr>
            <w:r w:rsidRPr="00AB0DF4">
              <w:rPr>
                <w:rFonts w:asciiTheme="minorHAnsi" w:hAnsiTheme="minorHAnsi" w:cstheme="minorHAnsi"/>
              </w:rPr>
              <w:t>$</w:t>
            </w:r>
            <w:r w:rsidR="002945F3" w:rsidRPr="00AB0DF4">
              <w:rPr>
                <w:rFonts w:asciiTheme="minorHAnsi" w:hAnsiTheme="minorHAnsi" w:cstheme="minorHAnsi"/>
              </w:rPr>
              <w:t>5</w:t>
            </w:r>
            <w:r w:rsidR="00AB0DF4">
              <w:rPr>
                <w:rFonts w:asciiTheme="minorHAnsi" w:hAnsiTheme="minorHAnsi" w:cstheme="minorHAnsi"/>
              </w:rPr>
              <w:t>,</w:t>
            </w:r>
            <w:r w:rsidR="002945F3" w:rsidRPr="00AB0DF4">
              <w:rPr>
                <w:rFonts w:asciiTheme="minorHAnsi" w:hAnsiTheme="minorHAnsi" w:cstheme="minorHAnsi"/>
              </w:rPr>
              <w:t>88</w:t>
            </w:r>
            <w:r w:rsidR="00AB0DF4">
              <w:rPr>
                <w:rFonts w:asciiTheme="minorHAnsi" w:hAnsiTheme="minorHAnsi" w:cstheme="minorHAnsi"/>
              </w:rPr>
              <w:t>6</w:t>
            </w:r>
          </w:p>
        </w:tc>
      </w:tr>
      <w:tr w:rsidR="0021758C" w:rsidRPr="00AB0DF4" w:rsidTr="00514395">
        <w:trPr>
          <w:jc w:val="center"/>
        </w:trPr>
        <w:tc>
          <w:tcPr>
            <w:tcW w:w="5380" w:type="dxa"/>
          </w:tcPr>
          <w:p w:rsidR="00D13209" w:rsidRPr="00AB0DF4" w:rsidRDefault="009B059B" w:rsidP="002945F3">
            <w:pPr>
              <w:spacing w:before="100" w:beforeAutospacing="1"/>
              <w:rPr>
                <w:rFonts w:asciiTheme="minorHAnsi" w:hAnsiTheme="minorHAnsi" w:cstheme="minorHAnsi"/>
              </w:rPr>
            </w:pPr>
            <w:r w:rsidRPr="00AB0DF4">
              <w:rPr>
                <w:rFonts w:asciiTheme="minorHAnsi" w:hAnsiTheme="minorHAnsi" w:cstheme="minorHAnsi"/>
                <w:b/>
              </w:rPr>
              <w:t>Technical Information Specialist</w:t>
            </w:r>
            <w:r w:rsidR="00D13209" w:rsidRPr="00AB0DF4">
              <w:rPr>
                <w:rFonts w:asciiTheme="minorHAnsi" w:hAnsiTheme="minorHAnsi" w:cstheme="minorHAnsi"/>
                <w:b/>
              </w:rPr>
              <w:t xml:space="preserve"> (GS-1</w:t>
            </w:r>
            <w:r w:rsidRPr="00AB0DF4">
              <w:rPr>
                <w:rFonts w:asciiTheme="minorHAnsi" w:hAnsiTheme="minorHAnsi" w:cstheme="minorHAnsi"/>
                <w:b/>
              </w:rPr>
              <w:t>1</w:t>
            </w:r>
            <w:r w:rsidR="003A1D01" w:rsidRPr="00AB0DF4">
              <w:rPr>
                <w:rFonts w:asciiTheme="minorHAnsi" w:hAnsiTheme="minorHAnsi" w:cstheme="minorHAnsi"/>
                <w:b/>
              </w:rPr>
              <w:t>)</w:t>
            </w:r>
            <w:r w:rsidRPr="00AB0DF4">
              <w:rPr>
                <w:rFonts w:asciiTheme="minorHAnsi" w:hAnsiTheme="minorHAnsi" w:cstheme="minorHAnsi"/>
              </w:rPr>
              <w:t xml:space="preserve">  </w:t>
            </w:r>
            <w:r w:rsidR="002945F3" w:rsidRPr="00AB0DF4">
              <w:rPr>
                <w:rFonts w:asciiTheme="minorHAnsi" w:hAnsiTheme="minorHAnsi" w:cstheme="minorHAnsi"/>
              </w:rPr>
              <w:t xml:space="preserve">Monitor responses, manage data, analyze data. </w:t>
            </w:r>
          </w:p>
        </w:tc>
        <w:tc>
          <w:tcPr>
            <w:tcW w:w="758" w:type="dxa"/>
          </w:tcPr>
          <w:p w:rsidR="0021758C" w:rsidRPr="00AB0DF4" w:rsidRDefault="002945F3" w:rsidP="002945F3">
            <w:pPr>
              <w:spacing w:before="100" w:beforeAutospacing="1"/>
              <w:jc w:val="center"/>
              <w:rPr>
                <w:rFonts w:asciiTheme="minorHAnsi" w:hAnsiTheme="minorHAnsi" w:cstheme="minorHAnsi"/>
              </w:rPr>
            </w:pPr>
            <w:r w:rsidRPr="00AB0DF4">
              <w:rPr>
                <w:rFonts w:asciiTheme="minorHAnsi" w:hAnsiTheme="minorHAnsi" w:cstheme="minorHAnsi"/>
              </w:rPr>
              <w:t>100</w:t>
            </w:r>
          </w:p>
        </w:tc>
        <w:tc>
          <w:tcPr>
            <w:tcW w:w="1350" w:type="dxa"/>
          </w:tcPr>
          <w:p w:rsidR="0021758C" w:rsidRPr="00AB0DF4" w:rsidRDefault="00A91E2C" w:rsidP="009B059B">
            <w:pPr>
              <w:spacing w:before="100" w:beforeAutospacing="1"/>
              <w:jc w:val="center"/>
              <w:rPr>
                <w:rFonts w:asciiTheme="minorHAnsi" w:hAnsiTheme="minorHAnsi" w:cstheme="minorHAnsi"/>
              </w:rPr>
            </w:pPr>
            <w:r w:rsidRPr="00AB0DF4">
              <w:rPr>
                <w:rFonts w:asciiTheme="minorHAnsi" w:hAnsiTheme="minorHAnsi" w:cstheme="minorHAnsi"/>
              </w:rPr>
              <w:t>$37.13</w:t>
            </w:r>
          </w:p>
        </w:tc>
        <w:tc>
          <w:tcPr>
            <w:tcW w:w="1404" w:type="dxa"/>
            <w:tcBorders>
              <w:right w:val="single" w:sz="4" w:space="0" w:color="auto"/>
            </w:tcBorders>
          </w:tcPr>
          <w:p w:rsidR="0021758C" w:rsidRPr="00AB0DF4" w:rsidRDefault="00A91E2C" w:rsidP="00AB0DF4">
            <w:pPr>
              <w:spacing w:before="100" w:beforeAutospacing="1"/>
              <w:jc w:val="center"/>
              <w:rPr>
                <w:rFonts w:asciiTheme="minorHAnsi" w:hAnsiTheme="minorHAnsi" w:cstheme="minorHAnsi"/>
              </w:rPr>
            </w:pPr>
            <w:r w:rsidRPr="00AB0DF4">
              <w:rPr>
                <w:rFonts w:asciiTheme="minorHAnsi" w:hAnsiTheme="minorHAnsi" w:cstheme="minorHAnsi"/>
              </w:rPr>
              <w:t>$</w:t>
            </w:r>
            <w:r w:rsidR="002945F3" w:rsidRPr="00AB0DF4">
              <w:rPr>
                <w:rFonts w:asciiTheme="minorHAnsi" w:hAnsiTheme="minorHAnsi" w:cstheme="minorHAnsi"/>
              </w:rPr>
              <w:t>3</w:t>
            </w:r>
            <w:r w:rsidR="00AB0DF4">
              <w:rPr>
                <w:rFonts w:asciiTheme="minorHAnsi" w:hAnsiTheme="minorHAnsi" w:cstheme="minorHAnsi"/>
              </w:rPr>
              <w:t>,</w:t>
            </w:r>
            <w:r w:rsidR="002945F3" w:rsidRPr="00AB0DF4">
              <w:rPr>
                <w:rFonts w:asciiTheme="minorHAnsi" w:hAnsiTheme="minorHAnsi" w:cstheme="minorHAnsi"/>
              </w:rPr>
              <w:t>713</w:t>
            </w:r>
          </w:p>
        </w:tc>
      </w:tr>
      <w:tr w:rsidR="00301936" w:rsidRPr="00A60D0F" w:rsidTr="00514395">
        <w:trPr>
          <w:jc w:val="center"/>
        </w:trPr>
        <w:tc>
          <w:tcPr>
            <w:tcW w:w="7488" w:type="dxa"/>
            <w:gridSpan w:val="3"/>
          </w:tcPr>
          <w:p w:rsidR="00301936" w:rsidRPr="00AB0DF4" w:rsidRDefault="00301936" w:rsidP="009B059B">
            <w:pPr>
              <w:spacing w:before="100" w:beforeAutospacing="1" w:after="100" w:afterAutospacing="1"/>
              <w:jc w:val="right"/>
              <w:rPr>
                <w:rFonts w:asciiTheme="minorHAnsi" w:hAnsiTheme="minorHAnsi" w:cstheme="minorHAnsi"/>
                <w:b/>
              </w:rPr>
            </w:pPr>
            <w:r w:rsidRPr="00AB0DF4">
              <w:rPr>
                <w:rFonts w:asciiTheme="minorHAnsi" w:hAnsiTheme="minorHAnsi" w:cstheme="minorHAnsi"/>
                <w:b/>
              </w:rPr>
              <w:t xml:space="preserve">Estimated Total Cost of Information Collection </w:t>
            </w:r>
          </w:p>
        </w:tc>
        <w:tc>
          <w:tcPr>
            <w:tcW w:w="1404" w:type="dxa"/>
            <w:tcBorders>
              <w:right w:val="single" w:sz="4" w:space="0" w:color="auto"/>
            </w:tcBorders>
          </w:tcPr>
          <w:p w:rsidR="00301936" w:rsidRPr="00A60D0F" w:rsidRDefault="00A91E2C" w:rsidP="00AB0DF4">
            <w:pPr>
              <w:spacing w:before="100" w:beforeAutospacing="1" w:after="100" w:afterAutospacing="1"/>
              <w:jc w:val="center"/>
              <w:rPr>
                <w:rFonts w:asciiTheme="minorHAnsi" w:hAnsiTheme="minorHAnsi" w:cstheme="minorHAnsi"/>
              </w:rPr>
            </w:pPr>
            <w:r w:rsidRPr="00AB0DF4">
              <w:rPr>
                <w:rFonts w:asciiTheme="minorHAnsi" w:hAnsiTheme="minorHAnsi" w:cstheme="minorHAnsi"/>
              </w:rPr>
              <w:t>$</w:t>
            </w:r>
            <w:r w:rsidR="002945F3" w:rsidRPr="00AB0DF4">
              <w:rPr>
                <w:rFonts w:asciiTheme="minorHAnsi" w:hAnsiTheme="minorHAnsi" w:cstheme="minorHAnsi"/>
              </w:rPr>
              <w:t>9</w:t>
            </w:r>
            <w:r w:rsidR="00AB0DF4">
              <w:rPr>
                <w:rFonts w:asciiTheme="minorHAnsi" w:hAnsiTheme="minorHAnsi" w:cstheme="minorHAnsi"/>
              </w:rPr>
              <w:t>,599</w:t>
            </w:r>
          </w:p>
        </w:tc>
      </w:tr>
      <w:bookmarkEnd w:id="1"/>
      <w:bookmarkEnd w:id="2"/>
    </w:tbl>
    <w:p w:rsidR="00564892" w:rsidRPr="00A60D0F" w:rsidRDefault="00564892" w:rsidP="008F647D">
      <w:pPr>
        <w:tabs>
          <w:tab w:val="left" w:pos="-1440"/>
          <w:tab w:val="left" w:pos="-720"/>
        </w:tabs>
        <w:autoSpaceDE w:val="0"/>
        <w:autoSpaceDN w:val="0"/>
        <w:adjustRightInd w:val="0"/>
        <w:ind w:right="720"/>
        <w:rPr>
          <w:rFonts w:asciiTheme="minorHAnsi" w:hAnsiTheme="minorHAnsi" w:cstheme="minorHAnsi"/>
        </w:rPr>
      </w:pPr>
    </w:p>
    <w:p w:rsidR="00B7107A" w:rsidRPr="00A60D0F" w:rsidRDefault="00B7107A" w:rsidP="00A91E2C">
      <w:pPr>
        <w:tabs>
          <w:tab w:val="left" w:pos="-1440"/>
          <w:tab w:val="left" w:pos="-720"/>
        </w:tabs>
        <w:autoSpaceDE w:val="0"/>
        <w:autoSpaceDN w:val="0"/>
        <w:adjustRightInd w:val="0"/>
        <w:ind w:right="720"/>
        <w:rPr>
          <w:rFonts w:asciiTheme="minorHAnsi" w:hAnsiTheme="minorHAnsi" w:cstheme="minorHAnsi"/>
          <w:u w:val="single"/>
        </w:rPr>
      </w:pPr>
    </w:p>
    <w:p w:rsidR="00514395" w:rsidRPr="00A60D0F" w:rsidRDefault="00514395" w:rsidP="00A91E2C">
      <w:pPr>
        <w:tabs>
          <w:tab w:val="left" w:pos="-1440"/>
          <w:tab w:val="left" w:pos="-720"/>
        </w:tabs>
        <w:autoSpaceDE w:val="0"/>
        <w:autoSpaceDN w:val="0"/>
        <w:adjustRightInd w:val="0"/>
        <w:ind w:right="720"/>
        <w:rPr>
          <w:rFonts w:asciiTheme="minorHAnsi" w:hAnsiTheme="minorHAnsi" w:cstheme="minorHAnsi"/>
          <w:u w:val="single"/>
        </w:rPr>
      </w:pPr>
    </w:p>
    <w:p w:rsidR="00514395" w:rsidRPr="00A60D0F" w:rsidRDefault="00514395" w:rsidP="00A91E2C">
      <w:pPr>
        <w:tabs>
          <w:tab w:val="left" w:pos="-1440"/>
          <w:tab w:val="left" w:pos="-720"/>
        </w:tabs>
        <w:autoSpaceDE w:val="0"/>
        <w:autoSpaceDN w:val="0"/>
        <w:adjustRightInd w:val="0"/>
        <w:ind w:right="720"/>
        <w:rPr>
          <w:rFonts w:asciiTheme="minorHAnsi" w:hAnsiTheme="minorHAnsi" w:cstheme="minorHAnsi"/>
          <w:u w:val="single"/>
        </w:rPr>
      </w:pPr>
    </w:p>
    <w:p w:rsidR="00514395" w:rsidRPr="00A60D0F" w:rsidRDefault="00514395" w:rsidP="00A91E2C">
      <w:pPr>
        <w:tabs>
          <w:tab w:val="left" w:pos="-1440"/>
          <w:tab w:val="left" w:pos="-720"/>
        </w:tabs>
        <w:autoSpaceDE w:val="0"/>
        <w:autoSpaceDN w:val="0"/>
        <w:adjustRightInd w:val="0"/>
        <w:ind w:right="720"/>
        <w:rPr>
          <w:rFonts w:asciiTheme="minorHAnsi" w:hAnsiTheme="minorHAnsi" w:cstheme="minorHAnsi"/>
          <w:u w:val="single"/>
        </w:rPr>
      </w:pPr>
    </w:p>
    <w:p w:rsidR="00514395" w:rsidRPr="00A60D0F" w:rsidRDefault="00514395" w:rsidP="00A91E2C">
      <w:pPr>
        <w:tabs>
          <w:tab w:val="left" w:pos="-1440"/>
          <w:tab w:val="left" w:pos="-720"/>
        </w:tabs>
        <w:autoSpaceDE w:val="0"/>
        <w:autoSpaceDN w:val="0"/>
        <w:adjustRightInd w:val="0"/>
        <w:ind w:right="720"/>
        <w:rPr>
          <w:rFonts w:asciiTheme="minorHAnsi" w:hAnsiTheme="minorHAnsi" w:cstheme="minorHAnsi"/>
          <w:u w:val="single"/>
        </w:rPr>
      </w:pPr>
    </w:p>
    <w:p w:rsidR="00514395" w:rsidRPr="00A60D0F" w:rsidRDefault="00514395" w:rsidP="00A91E2C">
      <w:pPr>
        <w:tabs>
          <w:tab w:val="left" w:pos="-1440"/>
          <w:tab w:val="left" w:pos="-720"/>
        </w:tabs>
        <w:autoSpaceDE w:val="0"/>
        <w:autoSpaceDN w:val="0"/>
        <w:adjustRightInd w:val="0"/>
        <w:ind w:right="720"/>
        <w:rPr>
          <w:rFonts w:asciiTheme="minorHAnsi" w:hAnsiTheme="minorHAnsi" w:cstheme="minorHAnsi"/>
          <w:u w:val="single"/>
        </w:rPr>
      </w:pPr>
    </w:p>
    <w:p w:rsidR="00514395" w:rsidRPr="00A60D0F" w:rsidRDefault="00514395" w:rsidP="00A91E2C">
      <w:pPr>
        <w:tabs>
          <w:tab w:val="left" w:pos="-1440"/>
          <w:tab w:val="left" w:pos="-720"/>
        </w:tabs>
        <w:autoSpaceDE w:val="0"/>
        <w:autoSpaceDN w:val="0"/>
        <w:adjustRightInd w:val="0"/>
        <w:ind w:right="720"/>
        <w:rPr>
          <w:rFonts w:asciiTheme="minorHAnsi" w:hAnsiTheme="minorHAnsi" w:cstheme="minorHAnsi"/>
          <w:u w:val="single"/>
        </w:rPr>
      </w:pPr>
    </w:p>
    <w:p w:rsidR="00514395" w:rsidRPr="00A60D0F" w:rsidRDefault="00514395" w:rsidP="00A91E2C">
      <w:pPr>
        <w:tabs>
          <w:tab w:val="left" w:pos="-1440"/>
          <w:tab w:val="left" w:pos="-720"/>
        </w:tabs>
        <w:autoSpaceDE w:val="0"/>
        <w:autoSpaceDN w:val="0"/>
        <w:adjustRightInd w:val="0"/>
        <w:ind w:right="720"/>
        <w:rPr>
          <w:rFonts w:asciiTheme="minorHAnsi" w:hAnsiTheme="minorHAnsi" w:cstheme="minorHAnsi"/>
          <w:u w:val="single"/>
        </w:rPr>
      </w:pPr>
    </w:p>
    <w:p w:rsidR="00514395" w:rsidRPr="00A60D0F" w:rsidRDefault="00514395" w:rsidP="00A91E2C">
      <w:pPr>
        <w:tabs>
          <w:tab w:val="left" w:pos="-1440"/>
          <w:tab w:val="left" w:pos="-720"/>
        </w:tabs>
        <w:autoSpaceDE w:val="0"/>
        <w:autoSpaceDN w:val="0"/>
        <w:adjustRightInd w:val="0"/>
        <w:ind w:right="720"/>
        <w:rPr>
          <w:rFonts w:asciiTheme="minorHAnsi" w:hAnsiTheme="minorHAnsi" w:cstheme="minorHAnsi"/>
          <w:u w:val="single"/>
        </w:rPr>
      </w:pPr>
    </w:p>
    <w:p w:rsidR="00D23031" w:rsidRPr="00A60D0F" w:rsidRDefault="00D23031" w:rsidP="00A91E2C">
      <w:pPr>
        <w:tabs>
          <w:tab w:val="left" w:pos="-1440"/>
          <w:tab w:val="left" w:pos="-720"/>
        </w:tabs>
        <w:autoSpaceDE w:val="0"/>
        <w:autoSpaceDN w:val="0"/>
        <w:adjustRightInd w:val="0"/>
        <w:ind w:right="720"/>
        <w:rPr>
          <w:rFonts w:asciiTheme="minorHAnsi" w:hAnsiTheme="minorHAnsi" w:cstheme="minorHAnsi"/>
          <w:u w:val="single"/>
        </w:rPr>
      </w:pPr>
    </w:p>
    <w:p w:rsidR="00514395" w:rsidRPr="00A60D0F" w:rsidRDefault="00514395" w:rsidP="00A91E2C">
      <w:pPr>
        <w:tabs>
          <w:tab w:val="left" w:pos="-1440"/>
          <w:tab w:val="left" w:pos="-720"/>
        </w:tabs>
        <w:autoSpaceDE w:val="0"/>
        <w:autoSpaceDN w:val="0"/>
        <w:adjustRightInd w:val="0"/>
        <w:ind w:right="720"/>
        <w:rPr>
          <w:rFonts w:asciiTheme="minorHAnsi" w:hAnsiTheme="minorHAnsi" w:cstheme="minorHAnsi"/>
          <w:u w:val="single"/>
        </w:rPr>
      </w:pPr>
    </w:p>
    <w:p w:rsidR="004F0248" w:rsidRPr="00310A9A" w:rsidRDefault="00413644" w:rsidP="00310A9A">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rPr>
      </w:pPr>
      <w:r w:rsidRPr="00A60D0F">
        <w:rPr>
          <w:rFonts w:asciiTheme="minorHAnsi" w:hAnsiTheme="minorHAnsi" w:cstheme="minorHAnsi"/>
          <w:u w:val="single"/>
        </w:rPr>
        <w:t>Ex</w:t>
      </w:r>
      <w:r w:rsidR="003A1D01" w:rsidRPr="00A60D0F">
        <w:rPr>
          <w:rFonts w:asciiTheme="minorHAnsi" w:hAnsiTheme="minorHAnsi" w:cstheme="minorHAnsi"/>
          <w:u w:val="single"/>
        </w:rPr>
        <w:t>planation for Program Changes or Adjustments</w:t>
      </w:r>
    </w:p>
    <w:p w:rsidR="004F0248" w:rsidRPr="00A60D0F" w:rsidRDefault="003A1D01"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This is a new data collection.</w:t>
      </w:r>
    </w:p>
    <w:p w:rsidR="009B059B" w:rsidRPr="00A60D0F" w:rsidRDefault="009B059B" w:rsidP="009B059B">
      <w:pPr>
        <w:pStyle w:val="ListParagraph"/>
        <w:tabs>
          <w:tab w:val="left" w:pos="-1440"/>
          <w:tab w:val="left" w:pos="-720"/>
        </w:tabs>
        <w:autoSpaceDE w:val="0"/>
        <w:autoSpaceDN w:val="0"/>
        <w:adjustRightInd w:val="0"/>
        <w:ind w:left="630" w:right="720"/>
        <w:outlineLvl w:val="0"/>
        <w:rPr>
          <w:rFonts w:asciiTheme="minorHAnsi" w:hAnsiTheme="minorHAnsi" w:cstheme="minorHAnsi"/>
        </w:rPr>
      </w:pPr>
    </w:p>
    <w:p w:rsidR="006971ED" w:rsidRPr="00310A9A" w:rsidRDefault="003A1D01" w:rsidP="00310A9A">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u w:val="single"/>
        </w:rPr>
      </w:pPr>
      <w:r w:rsidRPr="00A60D0F">
        <w:rPr>
          <w:rFonts w:asciiTheme="minorHAnsi" w:hAnsiTheme="minorHAnsi" w:cstheme="minorHAnsi"/>
          <w:u w:val="single"/>
        </w:rPr>
        <w:t xml:space="preserve">Plans for Tabulation and Publication and Project Time Schedule </w:t>
      </w:r>
    </w:p>
    <w:p w:rsidR="00D23031" w:rsidRDefault="00B7107A" w:rsidP="00842C6A">
      <w:pPr>
        <w:pStyle w:val="CommentText"/>
        <w:tabs>
          <w:tab w:val="left" w:pos="990"/>
        </w:tabs>
        <w:ind w:left="720"/>
        <w:rPr>
          <w:rFonts w:asciiTheme="minorHAnsi" w:hAnsiTheme="minorHAnsi" w:cstheme="minorHAnsi"/>
          <w:sz w:val="24"/>
          <w:szCs w:val="24"/>
        </w:rPr>
      </w:pPr>
      <w:r w:rsidRPr="00A60D0F">
        <w:rPr>
          <w:rFonts w:asciiTheme="minorHAnsi" w:hAnsiTheme="minorHAnsi" w:cstheme="minorHAnsi"/>
          <w:sz w:val="24"/>
          <w:szCs w:val="24"/>
        </w:rPr>
        <w:t>There are no plans to publish the results of this data collection</w:t>
      </w:r>
      <w:r w:rsidR="00F0026E">
        <w:rPr>
          <w:rFonts w:asciiTheme="minorHAnsi" w:hAnsiTheme="minorHAnsi" w:cstheme="minorHAnsi"/>
          <w:sz w:val="24"/>
          <w:szCs w:val="24"/>
        </w:rPr>
        <w:t xml:space="preserve">. </w:t>
      </w:r>
      <w:r w:rsidRPr="00A60D0F">
        <w:rPr>
          <w:rFonts w:asciiTheme="minorHAnsi" w:hAnsiTheme="minorHAnsi" w:cstheme="minorHAnsi"/>
          <w:sz w:val="24"/>
          <w:szCs w:val="24"/>
        </w:rPr>
        <w:t xml:space="preserve">The results will be used </w:t>
      </w:r>
      <w:r w:rsidR="00413644" w:rsidRPr="00A60D0F">
        <w:rPr>
          <w:rFonts w:asciiTheme="minorHAnsi" w:hAnsiTheme="minorHAnsi" w:cstheme="minorHAnsi"/>
          <w:sz w:val="24"/>
          <w:szCs w:val="24"/>
        </w:rPr>
        <w:t xml:space="preserve">by the </w:t>
      </w:r>
      <w:r w:rsidR="006D3CB1" w:rsidRPr="00A60D0F">
        <w:rPr>
          <w:rFonts w:asciiTheme="minorHAnsi" w:hAnsiTheme="minorHAnsi" w:cstheme="minorHAnsi"/>
          <w:sz w:val="24"/>
          <w:szCs w:val="24"/>
        </w:rPr>
        <w:t>HHE Program</w:t>
      </w:r>
      <w:r w:rsidR="00413644" w:rsidRPr="00A60D0F">
        <w:rPr>
          <w:rFonts w:asciiTheme="minorHAnsi" w:hAnsiTheme="minorHAnsi" w:cstheme="minorHAnsi"/>
          <w:sz w:val="24"/>
          <w:szCs w:val="24"/>
        </w:rPr>
        <w:t xml:space="preserve"> to improve the </w:t>
      </w:r>
      <w:r w:rsidRPr="00A60D0F">
        <w:rPr>
          <w:rFonts w:asciiTheme="minorHAnsi" w:hAnsiTheme="minorHAnsi" w:cstheme="minorHAnsi"/>
          <w:sz w:val="24"/>
          <w:szCs w:val="24"/>
        </w:rPr>
        <w:t xml:space="preserve">content and delivery of </w:t>
      </w:r>
      <w:r w:rsidR="007F1DDE" w:rsidRPr="00A60D0F">
        <w:rPr>
          <w:rFonts w:asciiTheme="minorHAnsi" w:hAnsiTheme="minorHAnsi" w:cstheme="minorHAnsi"/>
          <w:sz w:val="24"/>
          <w:szCs w:val="24"/>
        </w:rPr>
        <w:t>its communication products to local health department</w:t>
      </w:r>
      <w:r w:rsidR="009B059B" w:rsidRPr="00A60D0F">
        <w:rPr>
          <w:rFonts w:asciiTheme="minorHAnsi" w:hAnsiTheme="minorHAnsi" w:cstheme="minorHAnsi"/>
          <w:sz w:val="24"/>
          <w:szCs w:val="24"/>
        </w:rPr>
        <w:t>s</w:t>
      </w:r>
      <w:r w:rsidR="007F1DDE" w:rsidRPr="00A60D0F">
        <w:rPr>
          <w:rFonts w:asciiTheme="minorHAnsi" w:hAnsiTheme="minorHAnsi" w:cstheme="minorHAnsi"/>
          <w:sz w:val="24"/>
          <w:szCs w:val="24"/>
        </w:rPr>
        <w:t>. The report</w:t>
      </w:r>
      <w:r w:rsidR="00440577" w:rsidRPr="00A60D0F">
        <w:rPr>
          <w:rFonts w:asciiTheme="minorHAnsi" w:hAnsiTheme="minorHAnsi" w:cstheme="minorHAnsi"/>
          <w:sz w:val="24"/>
          <w:szCs w:val="24"/>
        </w:rPr>
        <w:t xml:space="preserve"> </w:t>
      </w:r>
      <w:r w:rsidR="00264353" w:rsidRPr="00A60D0F">
        <w:rPr>
          <w:rFonts w:asciiTheme="minorHAnsi" w:hAnsiTheme="minorHAnsi" w:cstheme="minorHAnsi"/>
          <w:sz w:val="24"/>
          <w:szCs w:val="24"/>
        </w:rPr>
        <w:t>will be completed within 12</w:t>
      </w:r>
      <w:r w:rsidR="00435EA2" w:rsidRPr="00A60D0F">
        <w:rPr>
          <w:rFonts w:asciiTheme="minorHAnsi" w:hAnsiTheme="minorHAnsi" w:cstheme="minorHAnsi"/>
          <w:sz w:val="24"/>
          <w:szCs w:val="24"/>
        </w:rPr>
        <w:t>0 days following OMB approval</w:t>
      </w:r>
      <w:r w:rsidR="00D23031">
        <w:rPr>
          <w:rFonts w:asciiTheme="minorHAnsi" w:hAnsiTheme="minorHAnsi" w:cstheme="minorHAnsi"/>
          <w:sz w:val="24"/>
          <w:szCs w:val="24"/>
        </w:rPr>
        <w:t xml:space="preserve"> with intermediate milestones shown in the table below</w:t>
      </w:r>
      <w:r w:rsidR="00435EA2" w:rsidRPr="00A60D0F">
        <w:rPr>
          <w:rFonts w:asciiTheme="minorHAnsi" w:hAnsiTheme="minorHAnsi" w:cstheme="minorHAnsi"/>
          <w:sz w:val="24"/>
          <w:szCs w:val="24"/>
        </w:rPr>
        <w:t>.</w:t>
      </w:r>
    </w:p>
    <w:p w:rsidR="00302CC0" w:rsidRDefault="00302CC0" w:rsidP="00842C6A">
      <w:pPr>
        <w:pStyle w:val="CommentText"/>
        <w:tabs>
          <w:tab w:val="left" w:pos="990"/>
        </w:tabs>
        <w:ind w:left="720"/>
        <w:rPr>
          <w:rFonts w:asciiTheme="minorHAnsi" w:hAnsiTheme="minorHAnsi" w:cstheme="minorHAnsi"/>
          <w:sz w:val="24"/>
          <w:szCs w:val="24"/>
        </w:rPr>
      </w:pPr>
    </w:p>
    <w:p w:rsidR="00310A9A" w:rsidRPr="00A60D0F" w:rsidRDefault="00310A9A" w:rsidP="00842C6A">
      <w:pPr>
        <w:pStyle w:val="CommentText"/>
        <w:tabs>
          <w:tab w:val="left" w:pos="990"/>
        </w:tabs>
        <w:ind w:left="720"/>
        <w:rPr>
          <w:rFonts w:asciiTheme="minorHAnsi" w:hAnsiTheme="minorHAnsi" w:cstheme="minorHAnsi"/>
          <w:sz w:val="24"/>
          <w:szCs w:val="24"/>
        </w:rPr>
      </w:pPr>
    </w:p>
    <w:tbl>
      <w:tblPr>
        <w:tblStyle w:val="TableGrid"/>
        <w:tblW w:w="0" w:type="auto"/>
        <w:tblInd w:w="828" w:type="dxa"/>
        <w:tblLook w:val="04A0" w:firstRow="1" w:lastRow="0" w:firstColumn="1" w:lastColumn="0" w:noHBand="0" w:noVBand="1"/>
      </w:tblPr>
      <w:tblGrid>
        <w:gridCol w:w="2790"/>
        <w:gridCol w:w="6390"/>
      </w:tblGrid>
      <w:tr w:rsidR="00302CC0" w:rsidRPr="00A60D0F" w:rsidTr="00302CC0">
        <w:tc>
          <w:tcPr>
            <w:tcW w:w="2790" w:type="dxa"/>
            <w:shd w:val="clear" w:color="auto" w:fill="D9D9D9" w:themeFill="background1" w:themeFillShade="D9"/>
          </w:tcPr>
          <w:p w:rsidR="00302CC0" w:rsidRPr="00D23031" w:rsidRDefault="00302CC0" w:rsidP="00FA4B51">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lastRenderedPageBreak/>
              <w:t>Days following OMB approval</w:t>
            </w:r>
          </w:p>
        </w:tc>
        <w:tc>
          <w:tcPr>
            <w:tcW w:w="6390" w:type="dxa"/>
            <w:shd w:val="clear" w:color="auto" w:fill="D9D9D9" w:themeFill="background1" w:themeFillShade="D9"/>
          </w:tcPr>
          <w:p w:rsidR="00302CC0" w:rsidRPr="00D23031" w:rsidRDefault="00302CC0" w:rsidP="00FA4B51">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Activity</w:t>
            </w:r>
          </w:p>
        </w:tc>
      </w:tr>
      <w:tr w:rsidR="00302CC0" w:rsidRPr="00A60D0F" w:rsidTr="00302CC0">
        <w:tc>
          <w:tcPr>
            <w:tcW w:w="2790" w:type="dxa"/>
          </w:tcPr>
          <w:p w:rsidR="00302CC0" w:rsidRPr="00D23031" w:rsidRDefault="00302CC0" w:rsidP="00FA4B51">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 xml:space="preserve">14 days </w:t>
            </w:r>
          </w:p>
        </w:tc>
        <w:tc>
          <w:tcPr>
            <w:tcW w:w="6390" w:type="dxa"/>
          </w:tcPr>
          <w:p w:rsidR="00302CC0" w:rsidRPr="00D23031" w:rsidRDefault="00302CC0" w:rsidP="00D23031">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 xml:space="preserve">Email </w:t>
            </w:r>
            <w:r w:rsidR="00276DBB" w:rsidRPr="00D23031">
              <w:rPr>
                <w:rFonts w:asciiTheme="minorHAnsi" w:hAnsiTheme="minorHAnsi" w:cs="Arial"/>
              </w:rPr>
              <w:t xml:space="preserve">delivery of brochure and </w:t>
            </w:r>
            <w:r w:rsidR="00D23031" w:rsidRPr="00D23031">
              <w:rPr>
                <w:rFonts w:asciiTheme="minorHAnsi" w:hAnsiTheme="minorHAnsi" w:cs="Arial"/>
              </w:rPr>
              <w:t>participant</w:t>
            </w:r>
            <w:r w:rsidR="00276DBB" w:rsidRPr="00D23031">
              <w:rPr>
                <w:rFonts w:asciiTheme="minorHAnsi" w:hAnsiTheme="minorHAnsi" w:cs="Arial"/>
              </w:rPr>
              <w:t xml:space="preserve"> invitation</w:t>
            </w:r>
            <w:r w:rsidRPr="00D23031">
              <w:rPr>
                <w:rFonts w:asciiTheme="minorHAnsi" w:hAnsiTheme="minorHAnsi" w:cs="Arial"/>
              </w:rPr>
              <w:t>; commence data collection</w:t>
            </w:r>
          </w:p>
        </w:tc>
      </w:tr>
      <w:tr w:rsidR="00302CC0" w:rsidRPr="00A60D0F" w:rsidTr="00302CC0">
        <w:tc>
          <w:tcPr>
            <w:tcW w:w="2790" w:type="dxa"/>
          </w:tcPr>
          <w:p w:rsidR="00302CC0" w:rsidRPr="00D23031" w:rsidRDefault="00CF6E1B" w:rsidP="00FA4B51">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21</w:t>
            </w:r>
            <w:r w:rsidR="00302CC0" w:rsidRPr="00D23031">
              <w:rPr>
                <w:rFonts w:asciiTheme="minorHAnsi" w:hAnsiTheme="minorHAnsi" w:cs="Arial"/>
              </w:rPr>
              <w:t xml:space="preserve"> days </w:t>
            </w:r>
          </w:p>
        </w:tc>
        <w:tc>
          <w:tcPr>
            <w:tcW w:w="6390" w:type="dxa"/>
          </w:tcPr>
          <w:p w:rsidR="00302CC0" w:rsidRPr="00D23031" w:rsidRDefault="00CF6E1B" w:rsidP="00CF6E1B">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First r</w:t>
            </w:r>
            <w:r w:rsidR="00302CC0" w:rsidRPr="00D23031">
              <w:rPr>
                <w:rFonts w:asciiTheme="minorHAnsi" w:hAnsiTheme="minorHAnsi" w:cs="Arial"/>
              </w:rPr>
              <w:t xml:space="preserve">eminder e-mail sent </w:t>
            </w:r>
          </w:p>
        </w:tc>
      </w:tr>
      <w:tr w:rsidR="00302CC0" w:rsidRPr="00A60D0F" w:rsidTr="00302CC0">
        <w:tc>
          <w:tcPr>
            <w:tcW w:w="2790" w:type="dxa"/>
          </w:tcPr>
          <w:p w:rsidR="00302CC0" w:rsidRPr="00D23031" w:rsidRDefault="00CF6E1B" w:rsidP="00FA4B51">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26</w:t>
            </w:r>
            <w:r w:rsidR="00302CC0" w:rsidRPr="00D23031">
              <w:rPr>
                <w:rFonts w:asciiTheme="minorHAnsi" w:hAnsiTheme="minorHAnsi" w:cs="Arial"/>
              </w:rPr>
              <w:t xml:space="preserve"> days</w:t>
            </w:r>
          </w:p>
        </w:tc>
        <w:tc>
          <w:tcPr>
            <w:tcW w:w="6390" w:type="dxa"/>
          </w:tcPr>
          <w:p w:rsidR="00302CC0" w:rsidRPr="00D23031" w:rsidRDefault="00302CC0" w:rsidP="00302CC0">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Last reminder e-mail sent</w:t>
            </w:r>
          </w:p>
        </w:tc>
      </w:tr>
      <w:tr w:rsidR="00302CC0" w:rsidRPr="00A60D0F" w:rsidTr="00302CC0">
        <w:tc>
          <w:tcPr>
            <w:tcW w:w="2790" w:type="dxa"/>
          </w:tcPr>
          <w:p w:rsidR="00302CC0" w:rsidRPr="00D23031" w:rsidRDefault="00CF6E1B" w:rsidP="00302CC0">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29</w:t>
            </w:r>
            <w:r w:rsidR="00302CC0" w:rsidRPr="00D23031">
              <w:rPr>
                <w:rFonts w:asciiTheme="minorHAnsi" w:hAnsiTheme="minorHAnsi" w:cs="Arial"/>
              </w:rPr>
              <w:t xml:space="preserve"> days</w:t>
            </w:r>
          </w:p>
        </w:tc>
        <w:tc>
          <w:tcPr>
            <w:tcW w:w="6390" w:type="dxa"/>
          </w:tcPr>
          <w:p w:rsidR="00302CC0" w:rsidRPr="00D23031" w:rsidRDefault="00302CC0" w:rsidP="00302CC0">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Last day of data collection</w:t>
            </w:r>
          </w:p>
        </w:tc>
      </w:tr>
      <w:tr w:rsidR="00302CC0" w:rsidRPr="00A60D0F" w:rsidTr="00302CC0">
        <w:tc>
          <w:tcPr>
            <w:tcW w:w="2790" w:type="dxa"/>
          </w:tcPr>
          <w:p w:rsidR="00302CC0" w:rsidRPr="00D23031" w:rsidRDefault="00CF6E1B" w:rsidP="00FA4B51">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90</w:t>
            </w:r>
            <w:r w:rsidR="00302CC0" w:rsidRPr="00D23031">
              <w:rPr>
                <w:rFonts w:asciiTheme="minorHAnsi" w:hAnsiTheme="minorHAnsi" w:cs="Arial"/>
              </w:rPr>
              <w:t xml:space="preserve"> days</w:t>
            </w:r>
          </w:p>
        </w:tc>
        <w:tc>
          <w:tcPr>
            <w:tcW w:w="6390" w:type="dxa"/>
          </w:tcPr>
          <w:p w:rsidR="00302CC0" w:rsidRPr="00D23031" w:rsidRDefault="00302CC0" w:rsidP="00302CC0">
            <w:pPr>
              <w:pStyle w:val="ListParagraph"/>
              <w:tabs>
                <w:tab w:val="left" w:pos="-1440"/>
                <w:tab w:val="left" w:pos="-720"/>
              </w:tabs>
              <w:autoSpaceDE w:val="0"/>
              <w:autoSpaceDN w:val="0"/>
              <w:adjustRightInd w:val="0"/>
              <w:ind w:left="0" w:right="720"/>
              <w:rPr>
                <w:rFonts w:asciiTheme="minorHAnsi" w:hAnsiTheme="minorHAnsi" w:cs="Arial"/>
              </w:rPr>
            </w:pPr>
            <w:r w:rsidRPr="00D23031">
              <w:rPr>
                <w:rFonts w:asciiTheme="minorHAnsi" w:hAnsiTheme="minorHAnsi" w:cs="Arial"/>
              </w:rPr>
              <w:t>CDC report completed</w:t>
            </w:r>
          </w:p>
        </w:tc>
      </w:tr>
    </w:tbl>
    <w:p w:rsidR="00A929E6" w:rsidRPr="00A60D0F" w:rsidRDefault="00A929E6" w:rsidP="006A3BA1">
      <w:pPr>
        <w:pStyle w:val="ListParagraph"/>
        <w:tabs>
          <w:tab w:val="left" w:pos="-1440"/>
          <w:tab w:val="left" w:pos="-720"/>
        </w:tabs>
        <w:autoSpaceDE w:val="0"/>
        <w:autoSpaceDN w:val="0"/>
        <w:adjustRightInd w:val="0"/>
        <w:ind w:right="720"/>
        <w:rPr>
          <w:rFonts w:asciiTheme="minorHAnsi" w:hAnsiTheme="minorHAnsi" w:cstheme="minorHAnsi"/>
        </w:rPr>
      </w:pPr>
    </w:p>
    <w:p w:rsidR="007C4B95" w:rsidRPr="00310A9A" w:rsidRDefault="003A1D01" w:rsidP="00310A9A">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u w:val="single"/>
        </w:rPr>
      </w:pPr>
      <w:r w:rsidRPr="00A60D0F">
        <w:rPr>
          <w:rFonts w:asciiTheme="minorHAnsi" w:hAnsiTheme="minorHAnsi" w:cstheme="minorHAnsi"/>
          <w:u w:val="single"/>
        </w:rPr>
        <w:t>Reason(s) Display of OMB Expiration Date is Inappropriate</w:t>
      </w:r>
    </w:p>
    <w:p w:rsidR="007C4B95" w:rsidRPr="00A60D0F" w:rsidRDefault="003A1D01"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CDC does not request exemption from display of the OMB expiration date.</w:t>
      </w:r>
    </w:p>
    <w:p w:rsidR="001F055A" w:rsidRPr="00A60D0F" w:rsidRDefault="001F055A" w:rsidP="001F055A">
      <w:pPr>
        <w:ind w:left="720"/>
        <w:rPr>
          <w:rFonts w:asciiTheme="minorHAnsi" w:hAnsiTheme="minorHAnsi" w:cstheme="minorHAnsi"/>
        </w:rPr>
      </w:pPr>
    </w:p>
    <w:p w:rsidR="007C4B95" w:rsidRPr="00310A9A" w:rsidRDefault="003A1D01" w:rsidP="007C4B95">
      <w:pPr>
        <w:pStyle w:val="ListParagraph"/>
        <w:numPr>
          <w:ilvl w:val="0"/>
          <w:numId w:val="5"/>
        </w:numPr>
        <w:tabs>
          <w:tab w:val="left" w:pos="-1440"/>
          <w:tab w:val="left" w:pos="-720"/>
        </w:tabs>
        <w:autoSpaceDE w:val="0"/>
        <w:autoSpaceDN w:val="0"/>
        <w:adjustRightInd w:val="0"/>
        <w:ind w:right="720"/>
        <w:rPr>
          <w:rFonts w:asciiTheme="minorHAnsi" w:hAnsiTheme="minorHAnsi" w:cstheme="minorHAnsi"/>
          <w:u w:val="single"/>
        </w:rPr>
      </w:pPr>
      <w:r w:rsidRPr="00A60D0F">
        <w:rPr>
          <w:rFonts w:asciiTheme="minorHAnsi" w:hAnsiTheme="minorHAnsi" w:cstheme="minorHAnsi"/>
          <w:u w:val="single"/>
        </w:rPr>
        <w:t>Exceptions to Certification for Paperwork Reduction Act Submissions</w:t>
      </w:r>
    </w:p>
    <w:p w:rsidR="00D7018B" w:rsidRPr="00A60D0F" w:rsidRDefault="003A1D01" w:rsidP="00043048">
      <w:pPr>
        <w:pStyle w:val="CommentText"/>
        <w:ind w:left="720"/>
        <w:rPr>
          <w:rFonts w:asciiTheme="minorHAnsi" w:hAnsiTheme="minorHAnsi" w:cstheme="minorHAnsi"/>
          <w:sz w:val="24"/>
          <w:szCs w:val="24"/>
        </w:rPr>
      </w:pPr>
      <w:r w:rsidRPr="00A60D0F">
        <w:rPr>
          <w:rFonts w:asciiTheme="minorHAnsi" w:hAnsiTheme="minorHAnsi" w:cstheme="minorHAnsi"/>
          <w:sz w:val="24"/>
          <w:szCs w:val="24"/>
        </w:rPr>
        <w:t>There are no exceptions to the certification.</w:t>
      </w:r>
    </w:p>
    <w:p w:rsidR="00A929E6" w:rsidRPr="00A60D0F" w:rsidRDefault="00A929E6">
      <w:pPr>
        <w:rPr>
          <w:rFonts w:asciiTheme="minorHAnsi" w:hAnsiTheme="minorHAnsi" w:cstheme="minorHAnsi"/>
        </w:rPr>
      </w:pPr>
      <w:r w:rsidRPr="00A60D0F">
        <w:rPr>
          <w:rFonts w:asciiTheme="minorHAnsi" w:hAnsiTheme="minorHAnsi" w:cstheme="minorHAnsi"/>
        </w:rPr>
        <w:br w:type="page"/>
      </w:r>
    </w:p>
    <w:p w:rsidR="007C4B95" w:rsidRPr="00A60D0F" w:rsidRDefault="00D7018B" w:rsidP="009B059B">
      <w:pPr>
        <w:ind w:left="360"/>
        <w:outlineLvl w:val="0"/>
        <w:rPr>
          <w:rFonts w:asciiTheme="minorHAnsi" w:hAnsiTheme="minorHAnsi" w:cstheme="minorHAnsi"/>
        </w:rPr>
      </w:pPr>
      <w:r w:rsidRPr="00A60D0F">
        <w:rPr>
          <w:rFonts w:asciiTheme="minorHAnsi" w:hAnsiTheme="minorHAnsi" w:cstheme="minorHAnsi"/>
        </w:rPr>
        <w:lastRenderedPageBreak/>
        <w:t>LIST OF ATTACHMENTS – Section A</w:t>
      </w:r>
    </w:p>
    <w:p w:rsidR="00D7018B" w:rsidRPr="00A60D0F" w:rsidRDefault="00D7018B" w:rsidP="009B059B">
      <w:pPr>
        <w:ind w:left="360"/>
        <w:jc w:val="both"/>
        <w:outlineLvl w:val="0"/>
        <w:rPr>
          <w:rFonts w:asciiTheme="minorHAnsi" w:hAnsiTheme="minorHAnsi" w:cstheme="minorHAnsi"/>
        </w:rPr>
      </w:pPr>
      <w:r w:rsidRPr="00A60D0F">
        <w:rPr>
          <w:rFonts w:asciiTheme="minorHAnsi" w:hAnsiTheme="minorHAnsi" w:cstheme="minorHAnsi"/>
        </w:rPr>
        <w:t>Note: Attachments are included as separate files, as instructed</w:t>
      </w:r>
    </w:p>
    <w:p w:rsidR="00AA0007" w:rsidRPr="00A60D0F" w:rsidRDefault="00AA0007" w:rsidP="009B059B">
      <w:pPr>
        <w:ind w:left="360"/>
        <w:jc w:val="both"/>
        <w:outlineLvl w:val="0"/>
        <w:rPr>
          <w:rFonts w:asciiTheme="minorHAnsi" w:hAnsiTheme="minorHAnsi" w:cstheme="minorHAnsi"/>
        </w:rPr>
      </w:pPr>
    </w:p>
    <w:p w:rsidR="00AA0007" w:rsidRPr="00A60D0F" w:rsidRDefault="00AA0007" w:rsidP="00AA0007">
      <w:pPr>
        <w:pStyle w:val="ListParagraph"/>
        <w:numPr>
          <w:ilvl w:val="0"/>
          <w:numId w:val="47"/>
        </w:numPr>
        <w:jc w:val="both"/>
        <w:outlineLvl w:val="0"/>
        <w:rPr>
          <w:rFonts w:asciiTheme="minorHAnsi" w:hAnsiTheme="minorHAnsi" w:cstheme="minorHAnsi"/>
        </w:rPr>
      </w:pPr>
      <w:r w:rsidRPr="00A60D0F">
        <w:rPr>
          <w:rFonts w:asciiTheme="minorHAnsi" w:hAnsiTheme="minorHAnsi" w:cstheme="minorHAnsi"/>
        </w:rPr>
        <w:t>ICR 0920-0260 Notice of Approval</w:t>
      </w:r>
    </w:p>
    <w:p w:rsidR="00AA0007" w:rsidRPr="00A60D0F" w:rsidRDefault="00AA0007" w:rsidP="00AA0007">
      <w:pPr>
        <w:pStyle w:val="ListParagraph"/>
        <w:numPr>
          <w:ilvl w:val="0"/>
          <w:numId w:val="47"/>
        </w:numPr>
        <w:jc w:val="both"/>
        <w:outlineLvl w:val="0"/>
        <w:rPr>
          <w:rFonts w:asciiTheme="minorHAnsi" w:hAnsiTheme="minorHAnsi" w:cstheme="minorHAnsi"/>
        </w:rPr>
      </w:pPr>
      <w:r w:rsidRPr="00A60D0F">
        <w:rPr>
          <w:rFonts w:asciiTheme="minorHAnsi" w:hAnsiTheme="minorHAnsi" w:cstheme="minorHAnsi"/>
        </w:rPr>
        <w:t>HHE report sample</w:t>
      </w:r>
    </w:p>
    <w:p w:rsidR="00AA0007" w:rsidRPr="00A60D0F" w:rsidRDefault="00AA0007" w:rsidP="00AA0007">
      <w:pPr>
        <w:pStyle w:val="ListParagraph"/>
        <w:numPr>
          <w:ilvl w:val="0"/>
          <w:numId w:val="47"/>
        </w:numPr>
        <w:jc w:val="both"/>
        <w:outlineLvl w:val="0"/>
        <w:rPr>
          <w:rFonts w:asciiTheme="minorHAnsi" w:hAnsiTheme="minorHAnsi" w:cstheme="minorHAnsi"/>
        </w:rPr>
      </w:pPr>
      <w:r w:rsidRPr="00A60D0F">
        <w:rPr>
          <w:rFonts w:asciiTheme="minorHAnsi" w:hAnsiTheme="minorHAnsi" w:cstheme="minorHAnsi"/>
        </w:rPr>
        <w:t>National Academies brief report</w:t>
      </w:r>
    </w:p>
    <w:p w:rsidR="00AA0007" w:rsidRPr="00A60D0F" w:rsidRDefault="00D11329" w:rsidP="00AA0007">
      <w:pPr>
        <w:pStyle w:val="ListParagraph"/>
        <w:numPr>
          <w:ilvl w:val="0"/>
          <w:numId w:val="47"/>
        </w:numPr>
        <w:jc w:val="both"/>
        <w:outlineLvl w:val="0"/>
        <w:rPr>
          <w:rFonts w:asciiTheme="minorHAnsi" w:hAnsiTheme="minorHAnsi" w:cstheme="minorHAnsi"/>
        </w:rPr>
      </w:pPr>
      <w:r w:rsidRPr="00A60D0F">
        <w:rPr>
          <w:rFonts w:asciiTheme="minorHAnsi" w:hAnsiTheme="minorHAnsi" w:cstheme="minorHAnsi"/>
        </w:rPr>
        <w:t>HHE Program i</w:t>
      </w:r>
      <w:r w:rsidR="00AA0007" w:rsidRPr="00A60D0F">
        <w:rPr>
          <w:rFonts w:asciiTheme="minorHAnsi" w:hAnsiTheme="minorHAnsi" w:cstheme="minorHAnsi"/>
        </w:rPr>
        <w:t xml:space="preserve">mplementation </w:t>
      </w:r>
      <w:r w:rsidRPr="00A60D0F">
        <w:rPr>
          <w:rFonts w:asciiTheme="minorHAnsi" w:hAnsiTheme="minorHAnsi" w:cstheme="minorHAnsi"/>
        </w:rPr>
        <w:t>p</w:t>
      </w:r>
      <w:r w:rsidR="00AA0007" w:rsidRPr="00A60D0F">
        <w:rPr>
          <w:rFonts w:asciiTheme="minorHAnsi" w:hAnsiTheme="minorHAnsi" w:cstheme="minorHAnsi"/>
        </w:rPr>
        <w:t>lan</w:t>
      </w:r>
    </w:p>
    <w:p w:rsidR="00AA0007" w:rsidRPr="00A60D0F" w:rsidRDefault="00AA0007" w:rsidP="00AA0007">
      <w:pPr>
        <w:pStyle w:val="ListParagraph"/>
        <w:numPr>
          <w:ilvl w:val="0"/>
          <w:numId w:val="47"/>
        </w:numPr>
        <w:jc w:val="both"/>
        <w:outlineLvl w:val="0"/>
        <w:rPr>
          <w:rFonts w:asciiTheme="minorHAnsi" w:hAnsiTheme="minorHAnsi" w:cstheme="minorHAnsi"/>
        </w:rPr>
      </w:pPr>
      <w:r w:rsidRPr="00A60D0F">
        <w:rPr>
          <w:rFonts w:asciiTheme="minorHAnsi" w:hAnsiTheme="minorHAnsi" w:cstheme="minorHAnsi"/>
        </w:rPr>
        <w:t>HHE Program Fiscal 2012 Strategic Plan</w:t>
      </w:r>
    </w:p>
    <w:p w:rsidR="00AA0007" w:rsidRPr="00A60D0F" w:rsidRDefault="00AA0007" w:rsidP="00AA0007">
      <w:pPr>
        <w:pStyle w:val="ListParagraph"/>
        <w:numPr>
          <w:ilvl w:val="0"/>
          <w:numId w:val="47"/>
        </w:numPr>
        <w:jc w:val="both"/>
        <w:outlineLvl w:val="0"/>
        <w:rPr>
          <w:rFonts w:asciiTheme="minorHAnsi" w:hAnsiTheme="minorHAnsi" w:cstheme="minorHAnsi"/>
        </w:rPr>
      </w:pPr>
      <w:r w:rsidRPr="00A60D0F">
        <w:rPr>
          <w:rFonts w:asciiTheme="minorHAnsi" w:hAnsiTheme="minorHAnsi" w:cstheme="minorHAnsi"/>
        </w:rPr>
        <w:t xml:space="preserve">Data collection instrument, </w:t>
      </w:r>
      <w:r w:rsidR="00CA5BE0">
        <w:rPr>
          <w:rFonts w:asciiTheme="minorHAnsi" w:hAnsiTheme="minorHAnsi" w:cstheme="minorHAnsi"/>
        </w:rPr>
        <w:t xml:space="preserve">web-based instrument </w:t>
      </w:r>
      <w:r w:rsidRPr="00A60D0F">
        <w:rPr>
          <w:rFonts w:asciiTheme="minorHAnsi" w:hAnsiTheme="minorHAnsi" w:cstheme="minorHAnsi"/>
        </w:rPr>
        <w:t>screen shots</w:t>
      </w:r>
    </w:p>
    <w:p w:rsidR="000668ED" w:rsidRDefault="00AA0007" w:rsidP="000668ED">
      <w:pPr>
        <w:pStyle w:val="ListParagraph"/>
        <w:numPr>
          <w:ilvl w:val="0"/>
          <w:numId w:val="47"/>
        </w:numPr>
        <w:rPr>
          <w:rFonts w:asciiTheme="minorHAnsi" w:hAnsiTheme="minorHAnsi" w:cstheme="minorHAnsi"/>
        </w:rPr>
      </w:pPr>
      <w:r w:rsidRPr="000668ED">
        <w:rPr>
          <w:rFonts w:asciiTheme="minorHAnsi" w:hAnsiTheme="minorHAnsi" w:cstheme="minorHAnsi"/>
        </w:rPr>
        <w:t xml:space="preserve">Data collection instrument, Word </w:t>
      </w:r>
      <w:r w:rsidR="000668ED">
        <w:rPr>
          <w:rFonts w:asciiTheme="minorHAnsi" w:hAnsiTheme="minorHAnsi" w:cstheme="minorHAnsi"/>
        </w:rPr>
        <w:t>version</w:t>
      </w:r>
    </w:p>
    <w:p w:rsidR="00E04DF0" w:rsidRPr="000668ED" w:rsidRDefault="000668ED" w:rsidP="000668ED">
      <w:pPr>
        <w:pStyle w:val="ListParagraph"/>
        <w:numPr>
          <w:ilvl w:val="0"/>
          <w:numId w:val="47"/>
        </w:numPr>
        <w:rPr>
          <w:rFonts w:asciiTheme="minorHAnsi" w:hAnsiTheme="minorHAnsi" w:cstheme="minorHAnsi"/>
        </w:rPr>
      </w:pPr>
      <w:r w:rsidRPr="000668ED">
        <w:rPr>
          <w:rFonts w:asciiTheme="minorHAnsi" w:hAnsiTheme="minorHAnsi" w:cstheme="minorHAnsi"/>
        </w:rPr>
        <w:t xml:space="preserve">Data </w:t>
      </w:r>
      <w:r>
        <w:rPr>
          <w:rFonts w:asciiTheme="minorHAnsi" w:hAnsiTheme="minorHAnsi" w:cstheme="minorHAnsi"/>
        </w:rPr>
        <w:t xml:space="preserve">collection instrument, Web </w:t>
      </w:r>
      <w:r w:rsidRPr="000668ED">
        <w:rPr>
          <w:rFonts w:asciiTheme="minorHAnsi" w:hAnsiTheme="minorHAnsi" w:cstheme="minorHAnsi"/>
        </w:rPr>
        <w:t>version</w:t>
      </w:r>
    </w:p>
    <w:p w:rsidR="000668ED" w:rsidRPr="000668ED" w:rsidRDefault="000668ED" w:rsidP="000668ED">
      <w:pPr>
        <w:ind w:left="720"/>
        <w:jc w:val="both"/>
        <w:outlineLvl w:val="0"/>
        <w:rPr>
          <w:rFonts w:asciiTheme="minorHAnsi" w:hAnsiTheme="minorHAnsi" w:cstheme="minorHAnsi"/>
        </w:rPr>
      </w:pPr>
    </w:p>
    <w:p w:rsidR="00D7018B" w:rsidRPr="00A60D0F" w:rsidRDefault="00D7018B" w:rsidP="00440577">
      <w:pPr>
        <w:rPr>
          <w:rFonts w:asciiTheme="minorHAnsi" w:hAnsiTheme="minorHAnsi" w:cstheme="minorHAnsi"/>
          <w:b/>
        </w:rPr>
      </w:pPr>
    </w:p>
    <w:sectPr w:rsidR="00D7018B" w:rsidRPr="00A60D0F" w:rsidSect="005F2890">
      <w:footerReference w:type="default" r:id="rId11"/>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A9A" w:rsidRDefault="00310A9A" w:rsidP="00B47D2B">
      <w:r>
        <w:separator/>
      </w:r>
    </w:p>
  </w:endnote>
  <w:endnote w:type="continuationSeparator" w:id="0">
    <w:p w:rsidR="00310A9A" w:rsidRDefault="00310A9A" w:rsidP="00B4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13250"/>
      <w:docPartObj>
        <w:docPartGallery w:val="Page Numbers (Bottom of Page)"/>
        <w:docPartUnique/>
      </w:docPartObj>
    </w:sdtPr>
    <w:sdtEndPr/>
    <w:sdtContent>
      <w:p w:rsidR="00310A9A" w:rsidRDefault="00310A9A">
        <w:pPr>
          <w:pStyle w:val="Footer"/>
          <w:jc w:val="right"/>
        </w:pPr>
        <w:r>
          <w:fldChar w:fldCharType="begin"/>
        </w:r>
        <w:r>
          <w:instrText xml:space="preserve"> PAGE   \* MERGEFORMAT </w:instrText>
        </w:r>
        <w:r>
          <w:fldChar w:fldCharType="separate"/>
        </w:r>
        <w:r w:rsidR="00516568">
          <w:rPr>
            <w:noProof/>
          </w:rPr>
          <w:t>1</w:t>
        </w:r>
        <w:r>
          <w:rPr>
            <w:noProof/>
          </w:rPr>
          <w:fldChar w:fldCharType="end"/>
        </w:r>
      </w:p>
    </w:sdtContent>
  </w:sdt>
  <w:p w:rsidR="00310A9A" w:rsidRDefault="00310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A9A" w:rsidRDefault="00310A9A" w:rsidP="00B47D2B">
      <w:r>
        <w:separator/>
      </w:r>
    </w:p>
  </w:footnote>
  <w:footnote w:type="continuationSeparator" w:id="0">
    <w:p w:rsidR="00310A9A" w:rsidRDefault="00310A9A" w:rsidP="00B47D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F8819"/>
    <w:multiLevelType w:val="hybridMultilevel"/>
    <w:tmpl w:val="8FBAED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B27C8"/>
    <w:multiLevelType w:val="hybridMultilevel"/>
    <w:tmpl w:val="CB1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4C7327"/>
    <w:multiLevelType w:val="hybridMultilevel"/>
    <w:tmpl w:val="CC7E9504"/>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E26FE"/>
    <w:multiLevelType w:val="hybridMultilevel"/>
    <w:tmpl w:val="3B76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E2E91"/>
    <w:multiLevelType w:val="hybridMultilevel"/>
    <w:tmpl w:val="D0D06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779B8"/>
    <w:multiLevelType w:val="hybridMultilevel"/>
    <w:tmpl w:val="16EE2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A151A"/>
    <w:multiLevelType w:val="hybridMultilevel"/>
    <w:tmpl w:val="733644B6"/>
    <w:lvl w:ilvl="0" w:tplc="2BD6342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30936"/>
    <w:multiLevelType w:val="hybridMultilevel"/>
    <w:tmpl w:val="0DA48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624BC4"/>
    <w:multiLevelType w:val="hybridMultilevel"/>
    <w:tmpl w:val="2D6E31D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D3401F"/>
    <w:multiLevelType w:val="hybridMultilevel"/>
    <w:tmpl w:val="2D3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B31B9"/>
    <w:multiLevelType w:val="hybridMultilevel"/>
    <w:tmpl w:val="9AE248CE"/>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469B4"/>
    <w:multiLevelType w:val="hybridMultilevel"/>
    <w:tmpl w:val="BB482E4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C6568"/>
    <w:multiLevelType w:val="hybridMultilevel"/>
    <w:tmpl w:val="B9D488FC"/>
    <w:lvl w:ilvl="0" w:tplc="10389A8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2E36C1D"/>
    <w:multiLevelType w:val="hybridMultilevel"/>
    <w:tmpl w:val="D4B6DC84"/>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947B13"/>
    <w:multiLevelType w:val="hybridMultilevel"/>
    <w:tmpl w:val="CE58A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D29A4"/>
    <w:multiLevelType w:val="hybridMultilevel"/>
    <w:tmpl w:val="0560ABE8"/>
    <w:lvl w:ilvl="0" w:tplc="D9BC9B6C">
      <w:numFmt w:val="bullet"/>
      <w:lvlText w:val="•"/>
      <w:lvlJc w:val="left"/>
      <w:pPr>
        <w:ind w:left="765" w:hanging="360"/>
      </w:pPr>
      <w:rPr>
        <w:rFonts w:ascii="Arial" w:eastAsia="Calibri"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935644"/>
    <w:multiLevelType w:val="hybridMultilevel"/>
    <w:tmpl w:val="4D703812"/>
    <w:lvl w:ilvl="0" w:tplc="3678212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50F06F3"/>
    <w:multiLevelType w:val="hybridMultilevel"/>
    <w:tmpl w:val="95CACB28"/>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5D77D1"/>
    <w:multiLevelType w:val="hybridMultilevel"/>
    <w:tmpl w:val="55DAE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93F32B8"/>
    <w:multiLevelType w:val="hybridMultilevel"/>
    <w:tmpl w:val="CFA4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627C2"/>
    <w:multiLevelType w:val="hybridMultilevel"/>
    <w:tmpl w:val="D0C6C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045BB3"/>
    <w:multiLevelType w:val="hybridMultilevel"/>
    <w:tmpl w:val="49E0655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9">
    <w:nsid w:val="4E8B5D2C"/>
    <w:multiLevelType w:val="hybridMultilevel"/>
    <w:tmpl w:val="40C42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212B70"/>
    <w:multiLevelType w:val="hybridMultilevel"/>
    <w:tmpl w:val="5D6E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71647D"/>
    <w:multiLevelType w:val="hybridMultilevel"/>
    <w:tmpl w:val="FE50F2EE"/>
    <w:lvl w:ilvl="0" w:tplc="11BA7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A64732"/>
    <w:multiLevelType w:val="hybridMultilevel"/>
    <w:tmpl w:val="9B16485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2B75C65"/>
    <w:multiLevelType w:val="hybridMultilevel"/>
    <w:tmpl w:val="5DF8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A73FFD"/>
    <w:multiLevelType w:val="hybridMultilevel"/>
    <w:tmpl w:val="23C6CB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F623B1"/>
    <w:multiLevelType w:val="hybridMultilevel"/>
    <w:tmpl w:val="F3827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B80147"/>
    <w:multiLevelType w:val="hybridMultilevel"/>
    <w:tmpl w:val="39BE9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E1B4BC8"/>
    <w:multiLevelType w:val="hybridMultilevel"/>
    <w:tmpl w:val="816A1E28"/>
    <w:lvl w:ilvl="0" w:tplc="77321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BE0BB8"/>
    <w:multiLevelType w:val="hybridMultilevel"/>
    <w:tmpl w:val="8456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0C53CA"/>
    <w:multiLevelType w:val="hybridMultilevel"/>
    <w:tmpl w:val="4F444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2F1671"/>
    <w:multiLevelType w:val="hybridMultilevel"/>
    <w:tmpl w:val="4846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8650346"/>
    <w:multiLevelType w:val="hybridMultilevel"/>
    <w:tmpl w:val="87D43580"/>
    <w:lvl w:ilvl="0" w:tplc="FA9E06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961AFF"/>
    <w:multiLevelType w:val="hybridMultilevel"/>
    <w:tmpl w:val="972CF1F4"/>
    <w:lvl w:ilvl="0" w:tplc="87543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853835"/>
    <w:multiLevelType w:val="hybridMultilevel"/>
    <w:tmpl w:val="35741A04"/>
    <w:lvl w:ilvl="0" w:tplc="D9BC9B6C">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DE05655"/>
    <w:multiLevelType w:val="hybridMultilevel"/>
    <w:tmpl w:val="A6BE50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E862CE0"/>
    <w:multiLevelType w:val="hybridMultilevel"/>
    <w:tmpl w:val="901E56A0"/>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33"/>
  </w:num>
  <w:num w:numId="4">
    <w:abstractNumId w:val="29"/>
  </w:num>
  <w:num w:numId="5">
    <w:abstractNumId w:val="36"/>
  </w:num>
  <w:num w:numId="6">
    <w:abstractNumId w:val="31"/>
  </w:num>
  <w:num w:numId="7">
    <w:abstractNumId w:val="3"/>
  </w:num>
  <w:num w:numId="8">
    <w:abstractNumId w:val="22"/>
  </w:num>
  <w:num w:numId="9">
    <w:abstractNumId w:val="8"/>
  </w:num>
  <w:num w:numId="10">
    <w:abstractNumId w:val="41"/>
  </w:num>
  <w:num w:numId="11">
    <w:abstractNumId w:val="27"/>
  </w:num>
  <w:num w:numId="12">
    <w:abstractNumId w:val="32"/>
  </w:num>
  <w:num w:numId="13">
    <w:abstractNumId w:val="40"/>
  </w:num>
  <w:num w:numId="14">
    <w:abstractNumId w:val="10"/>
  </w:num>
  <w:num w:numId="15">
    <w:abstractNumId w:val="25"/>
  </w:num>
  <w:num w:numId="16">
    <w:abstractNumId w:val="24"/>
  </w:num>
  <w:num w:numId="17">
    <w:abstractNumId w:val="44"/>
  </w:num>
  <w:num w:numId="18">
    <w:abstractNumId w:val="4"/>
  </w:num>
  <w:num w:numId="19">
    <w:abstractNumId w:val="21"/>
  </w:num>
  <w:num w:numId="20">
    <w:abstractNumId w:val="13"/>
  </w:num>
  <w:num w:numId="21">
    <w:abstractNumId w:val="14"/>
  </w:num>
  <w:num w:numId="22">
    <w:abstractNumId w:val="15"/>
  </w:num>
  <w:num w:numId="23">
    <w:abstractNumId w:val="11"/>
  </w:num>
  <w:num w:numId="24">
    <w:abstractNumId w:val="20"/>
  </w:num>
  <w:num w:numId="25">
    <w:abstractNumId w:val="46"/>
  </w:num>
  <w:num w:numId="26">
    <w:abstractNumId w:val="18"/>
  </w:num>
  <w:num w:numId="27">
    <w:abstractNumId w:val="0"/>
  </w:num>
  <w:num w:numId="28">
    <w:abstractNumId w:val="9"/>
  </w:num>
  <w:num w:numId="29">
    <w:abstractNumId w:val="5"/>
  </w:num>
  <w:num w:numId="30">
    <w:abstractNumId w:val="43"/>
  </w:num>
  <w:num w:numId="31">
    <w:abstractNumId w:val="23"/>
  </w:num>
  <w:num w:numId="32">
    <w:abstractNumId w:val="30"/>
  </w:num>
  <w:num w:numId="33">
    <w:abstractNumId w:val="12"/>
  </w:num>
  <w:num w:numId="34">
    <w:abstractNumId w:val="28"/>
  </w:num>
  <w:num w:numId="35">
    <w:abstractNumId w:val="26"/>
  </w:num>
  <w:num w:numId="36">
    <w:abstractNumId w:val="2"/>
  </w:num>
  <w:num w:numId="37">
    <w:abstractNumId w:val="38"/>
  </w:num>
  <w:num w:numId="38">
    <w:abstractNumId w:val="37"/>
  </w:num>
  <w:num w:numId="39">
    <w:abstractNumId w:val="17"/>
  </w:num>
  <w:num w:numId="40">
    <w:abstractNumId w:val="39"/>
  </w:num>
  <w:num w:numId="41">
    <w:abstractNumId w:val="34"/>
  </w:num>
  <w:num w:numId="42">
    <w:abstractNumId w:val="19"/>
  </w:num>
  <w:num w:numId="43">
    <w:abstractNumId w:val="1"/>
  </w:num>
  <w:num w:numId="44">
    <w:abstractNumId w:val="42"/>
  </w:num>
  <w:num w:numId="45">
    <w:abstractNumId w:val="16"/>
  </w:num>
  <w:num w:numId="46">
    <w:abstractNumId w:val="35"/>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24A"/>
    <w:rsid w:val="00002392"/>
    <w:rsid w:val="000127B4"/>
    <w:rsid w:val="00012F07"/>
    <w:rsid w:val="00013E4D"/>
    <w:rsid w:val="000225CB"/>
    <w:rsid w:val="00030C89"/>
    <w:rsid w:val="0003114E"/>
    <w:rsid w:val="00035B3A"/>
    <w:rsid w:val="00037046"/>
    <w:rsid w:val="000423A4"/>
    <w:rsid w:val="00042485"/>
    <w:rsid w:val="00043048"/>
    <w:rsid w:val="00043667"/>
    <w:rsid w:val="00046A62"/>
    <w:rsid w:val="00051BF3"/>
    <w:rsid w:val="00052B6E"/>
    <w:rsid w:val="00052E6A"/>
    <w:rsid w:val="000601AE"/>
    <w:rsid w:val="00061668"/>
    <w:rsid w:val="00062A2C"/>
    <w:rsid w:val="00063608"/>
    <w:rsid w:val="000668ED"/>
    <w:rsid w:val="00067F48"/>
    <w:rsid w:val="00080B67"/>
    <w:rsid w:val="000814E5"/>
    <w:rsid w:val="00081CFB"/>
    <w:rsid w:val="0009229D"/>
    <w:rsid w:val="0009259B"/>
    <w:rsid w:val="00096D97"/>
    <w:rsid w:val="000A78FF"/>
    <w:rsid w:val="000B3C12"/>
    <w:rsid w:val="000B447E"/>
    <w:rsid w:val="000C0EFD"/>
    <w:rsid w:val="000C4383"/>
    <w:rsid w:val="000C4E87"/>
    <w:rsid w:val="000D616D"/>
    <w:rsid w:val="000D7C84"/>
    <w:rsid w:val="000E60D8"/>
    <w:rsid w:val="000E6127"/>
    <w:rsid w:val="000E6280"/>
    <w:rsid w:val="000F63DA"/>
    <w:rsid w:val="000F67DC"/>
    <w:rsid w:val="000F7F3A"/>
    <w:rsid w:val="00102A20"/>
    <w:rsid w:val="00103F1E"/>
    <w:rsid w:val="001040AF"/>
    <w:rsid w:val="00116566"/>
    <w:rsid w:val="00116A61"/>
    <w:rsid w:val="001247E2"/>
    <w:rsid w:val="00124BDA"/>
    <w:rsid w:val="00136484"/>
    <w:rsid w:val="001413C1"/>
    <w:rsid w:val="00141E03"/>
    <w:rsid w:val="0015258B"/>
    <w:rsid w:val="00154800"/>
    <w:rsid w:val="00161353"/>
    <w:rsid w:val="001616CA"/>
    <w:rsid w:val="0016194E"/>
    <w:rsid w:val="00161A94"/>
    <w:rsid w:val="00163200"/>
    <w:rsid w:val="001653C8"/>
    <w:rsid w:val="00170DD3"/>
    <w:rsid w:val="00172EB7"/>
    <w:rsid w:val="00182A64"/>
    <w:rsid w:val="00183C5E"/>
    <w:rsid w:val="00187399"/>
    <w:rsid w:val="00187A7F"/>
    <w:rsid w:val="001A4634"/>
    <w:rsid w:val="001A4E95"/>
    <w:rsid w:val="001B0815"/>
    <w:rsid w:val="001B2F4E"/>
    <w:rsid w:val="001B7AFB"/>
    <w:rsid w:val="001C492B"/>
    <w:rsid w:val="001D15F6"/>
    <w:rsid w:val="001E105D"/>
    <w:rsid w:val="001E59BB"/>
    <w:rsid w:val="001E7E60"/>
    <w:rsid w:val="001E7F0E"/>
    <w:rsid w:val="001F055A"/>
    <w:rsid w:val="001F353E"/>
    <w:rsid w:val="00202243"/>
    <w:rsid w:val="00202464"/>
    <w:rsid w:val="00203849"/>
    <w:rsid w:val="00205C0C"/>
    <w:rsid w:val="00210DEC"/>
    <w:rsid w:val="0021102B"/>
    <w:rsid w:val="0021328A"/>
    <w:rsid w:val="00214636"/>
    <w:rsid w:val="0021758C"/>
    <w:rsid w:val="00220230"/>
    <w:rsid w:val="002205C8"/>
    <w:rsid w:val="00221926"/>
    <w:rsid w:val="00221C9C"/>
    <w:rsid w:val="00224EAB"/>
    <w:rsid w:val="002259B7"/>
    <w:rsid w:val="00233ABA"/>
    <w:rsid w:val="00242C73"/>
    <w:rsid w:val="00243C7F"/>
    <w:rsid w:val="002517F6"/>
    <w:rsid w:val="00257973"/>
    <w:rsid w:val="00264353"/>
    <w:rsid w:val="00267F38"/>
    <w:rsid w:val="0027190F"/>
    <w:rsid w:val="0027351B"/>
    <w:rsid w:val="00276DBB"/>
    <w:rsid w:val="00281134"/>
    <w:rsid w:val="00284486"/>
    <w:rsid w:val="002848EC"/>
    <w:rsid w:val="0028786F"/>
    <w:rsid w:val="00291518"/>
    <w:rsid w:val="002945F3"/>
    <w:rsid w:val="00295779"/>
    <w:rsid w:val="002A0AE8"/>
    <w:rsid w:val="002A0B32"/>
    <w:rsid w:val="002A3E3E"/>
    <w:rsid w:val="002A5BEA"/>
    <w:rsid w:val="002A7642"/>
    <w:rsid w:val="002B1C86"/>
    <w:rsid w:val="002B4AB7"/>
    <w:rsid w:val="002B4E78"/>
    <w:rsid w:val="002B6C45"/>
    <w:rsid w:val="002C19D6"/>
    <w:rsid w:val="002C2801"/>
    <w:rsid w:val="002C403E"/>
    <w:rsid w:val="002D1EDB"/>
    <w:rsid w:val="002D4BF0"/>
    <w:rsid w:val="002D676C"/>
    <w:rsid w:val="002D679D"/>
    <w:rsid w:val="002E0193"/>
    <w:rsid w:val="002E4C6B"/>
    <w:rsid w:val="002F3C58"/>
    <w:rsid w:val="002F78FA"/>
    <w:rsid w:val="00301936"/>
    <w:rsid w:val="00302B8C"/>
    <w:rsid w:val="00302CC0"/>
    <w:rsid w:val="00310A9A"/>
    <w:rsid w:val="00310D20"/>
    <w:rsid w:val="00313ECF"/>
    <w:rsid w:val="00313FB4"/>
    <w:rsid w:val="00316FB6"/>
    <w:rsid w:val="00317C59"/>
    <w:rsid w:val="00323021"/>
    <w:rsid w:val="00323C72"/>
    <w:rsid w:val="0032733C"/>
    <w:rsid w:val="00330094"/>
    <w:rsid w:val="00336357"/>
    <w:rsid w:val="00340EB3"/>
    <w:rsid w:val="00344734"/>
    <w:rsid w:val="00347BE6"/>
    <w:rsid w:val="0036347D"/>
    <w:rsid w:val="00363892"/>
    <w:rsid w:val="00365AB1"/>
    <w:rsid w:val="00365ECF"/>
    <w:rsid w:val="00372BE6"/>
    <w:rsid w:val="0037475C"/>
    <w:rsid w:val="0037644A"/>
    <w:rsid w:val="003766F0"/>
    <w:rsid w:val="0038024A"/>
    <w:rsid w:val="00381AE3"/>
    <w:rsid w:val="003827F9"/>
    <w:rsid w:val="00383B94"/>
    <w:rsid w:val="00384ABE"/>
    <w:rsid w:val="00395320"/>
    <w:rsid w:val="00397F14"/>
    <w:rsid w:val="003A1D01"/>
    <w:rsid w:val="003A7D16"/>
    <w:rsid w:val="003B095F"/>
    <w:rsid w:val="003B1743"/>
    <w:rsid w:val="003B4674"/>
    <w:rsid w:val="003B6B43"/>
    <w:rsid w:val="003D4C42"/>
    <w:rsid w:val="003E640C"/>
    <w:rsid w:val="003E7609"/>
    <w:rsid w:val="003E7ACD"/>
    <w:rsid w:val="003F2648"/>
    <w:rsid w:val="003F74A5"/>
    <w:rsid w:val="00413644"/>
    <w:rsid w:val="00420603"/>
    <w:rsid w:val="004315B2"/>
    <w:rsid w:val="0043375E"/>
    <w:rsid w:val="00433E9F"/>
    <w:rsid w:val="00434CC2"/>
    <w:rsid w:val="00435EA2"/>
    <w:rsid w:val="00436F27"/>
    <w:rsid w:val="00440577"/>
    <w:rsid w:val="004405BA"/>
    <w:rsid w:val="004411A5"/>
    <w:rsid w:val="00446132"/>
    <w:rsid w:val="00452AFD"/>
    <w:rsid w:val="00455AC4"/>
    <w:rsid w:val="00457262"/>
    <w:rsid w:val="00463720"/>
    <w:rsid w:val="00474378"/>
    <w:rsid w:val="00477AF4"/>
    <w:rsid w:val="00483B41"/>
    <w:rsid w:val="00484969"/>
    <w:rsid w:val="004863C7"/>
    <w:rsid w:val="00490EE4"/>
    <w:rsid w:val="004916ED"/>
    <w:rsid w:val="00492F15"/>
    <w:rsid w:val="00493E71"/>
    <w:rsid w:val="00495558"/>
    <w:rsid w:val="00495E83"/>
    <w:rsid w:val="004A15DE"/>
    <w:rsid w:val="004A7FBE"/>
    <w:rsid w:val="004C648C"/>
    <w:rsid w:val="004D048D"/>
    <w:rsid w:val="004D075F"/>
    <w:rsid w:val="004D2659"/>
    <w:rsid w:val="004D7A14"/>
    <w:rsid w:val="004E1046"/>
    <w:rsid w:val="004E735D"/>
    <w:rsid w:val="004F0248"/>
    <w:rsid w:val="004F2D9C"/>
    <w:rsid w:val="004F7280"/>
    <w:rsid w:val="00500300"/>
    <w:rsid w:val="0050087C"/>
    <w:rsid w:val="005013AD"/>
    <w:rsid w:val="00501FDD"/>
    <w:rsid w:val="005029E9"/>
    <w:rsid w:val="00503CCB"/>
    <w:rsid w:val="00506D73"/>
    <w:rsid w:val="00507D36"/>
    <w:rsid w:val="005125D0"/>
    <w:rsid w:val="00514395"/>
    <w:rsid w:val="00514B27"/>
    <w:rsid w:val="005162A8"/>
    <w:rsid w:val="00516568"/>
    <w:rsid w:val="0051688C"/>
    <w:rsid w:val="0051691A"/>
    <w:rsid w:val="00524C22"/>
    <w:rsid w:val="0054091B"/>
    <w:rsid w:val="00550BFE"/>
    <w:rsid w:val="00551EA4"/>
    <w:rsid w:val="0055473A"/>
    <w:rsid w:val="00556FCD"/>
    <w:rsid w:val="00557430"/>
    <w:rsid w:val="0056101E"/>
    <w:rsid w:val="00564892"/>
    <w:rsid w:val="005664E4"/>
    <w:rsid w:val="0057040A"/>
    <w:rsid w:val="0057570B"/>
    <w:rsid w:val="00576161"/>
    <w:rsid w:val="005863AF"/>
    <w:rsid w:val="005B157C"/>
    <w:rsid w:val="005B551A"/>
    <w:rsid w:val="005B6F45"/>
    <w:rsid w:val="005C1303"/>
    <w:rsid w:val="005C1840"/>
    <w:rsid w:val="005C1AB3"/>
    <w:rsid w:val="005C3656"/>
    <w:rsid w:val="005C48A9"/>
    <w:rsid w:val="005C52BB"/>
    <w:rsid w:val="005D3B30"/>
    <w:rsid w:val="005E702C"/>
    <w:rsid w:val="005F0AF5"/>
    <w:rsid w:val="005F1361"/>
    <w:rsid w:val="005F2890"/>
    <w:rsid w:val="005F2FF8"/>
    <w:rsid w:val="005F5744"/>
    <w:rsid w:val="005F5D1F"/>
    <w:rsid w:val="00601783"/>
    <w:rsid w:val="00605D3D"/>
    <w:rsid w:val="00610AED"/>
    <w:rsid w:val="0061300F"/>
    <w:rsid w:val="00620CBC"/>
    <w:rsid w:val="00637A85"/>
    <w:rsid w:val="00640B61"/>
    <w:rsid w:val="00643F0A"/>
    <w:rsid w:val="006440F7"/>
    <w:rsid w:val="0064424A"/>
    <w:rsid w:val="00647895"/>
    <w:rsid w:val="00650060"/>
    <w:rsid w:val="006537AB"/>
    <w:rsid w:val="0066443E"/>
    <w:rsid w:val="006715C3"/>
    <w:rsid w:val="00671677"/>
    <w:rsid w:val="00671A1D"/>
    <w:rsid w:val="00673522"/>
    <w:rsid w:val="00676A9A"/>
    <w:rsid w:val="00686B88"/>
    <w:rsid w:val="00686BF1"/>
    <w:rsid w:val="006971ED"/>
    <w:rsid w:val="006A163B"/>
    <w:rsid w:val="006A3BA1"/>
    <w:rsid w:val="006A437D"/>
    <w:rsid w:val="006A4468"/>
    <w:rsid w:val="006A4BC1"/>
    <w:rsid w:val="006B37FB"/>
    <w:rsid w:val="006B50C1"/>
    <w:rsid w:val="006B54D9"/>
    <w:rsid w:val="006C6633"/>
    <w:rsid w:val="006C6B19"/>
    <w:rsid w:val="006D1EA1"/>
    <w:rsid w:val="006D2DBA"/>
    <w:rsid w:val="006D3CB1"/>
    <w:rsid w:val="006F00D5"/>
    <w:rsid w:val="006F0DCF"/>
    <w:rsid w:val="006F2680"/>
    <w:rsid w:val="006F3826"/>
    <w:rsid w:val="00703671"/>
    <w:rsid w:val="00707B8C"/>
    <w:rsid w:val="00712590"/>
    <w:rsid w:val="00712663"/>
    <w:rsid w:val="007156F2"/>
    <w:rsid w:val="007176A9"/>
    <w:rsid w:val="00721656"/>
    <w:rsid w:val="00724C3A"/>
    <w:rsid w:val="00724E2B"/>
    <w:rsid w:val="00726D58"/>
    <w:rsid w:val="00741226"/>
    <w:rsid w:val="00741384"/>
    <w:rsid w:val="00743E75"/>
    <w:rsid w:val="00743F63"/>
    <w:rsid w:val="007469C1"/>
    <w:rsid w:val="007472B3"/>
    <w:rsid w:val="00751300"/>
    <w:rsid w:val="00751D69"/>
    <w:rsid w:val="00755E95"/>
    <w:rsid w:val="00755F43"/>
    <w:rsid w:val="00760706"/>
    <w:rsid w:val="00761340"/>
    <w:rsid w:val="00761D9D"/>
    <w:rsid w:val="00771522"/>
    <w:rsid w:val="00781E95"/>
    <w:rsid w:val="00784D75"/>
    <w:rsid w:val="00785308"/>
    <w:rsid w:val="00792E6D"/>
    <w:rsid w:val="007961AF"/>
    <w:rsid w:val="007B09D0"/>
    <w:rsid w:val="007B4D0F"/>
    <w:rsid w:val="007B59E8"/>
    <w:rsid w:val="007B6BCA"/>
    <w:rsid w:val="007C027E"/>
    <w:rsid w:val="007C4B95"/>
    <w:rsid w:val="007E3543"/>
    <w:rsid w:val="007E48D6"/>
    <w:rsid w:val="007F0E85"/>
    <w:rsid w:val="007F1DDE"/>
    <w:rsid w:val="007F4B38"/>
    <w:rsid w:val="007F6424"/>
    <w:rsid w:val="007F69B6"/>
    <w:rsid w:val="007F7BF8"/>
    <w:rsid w:val="00814B57"/>
    <w:rsid w:val="00816182"/>
    <w:rsid w:val="00822A57"/>
    <w:rsid w:val="00826273"/>
    <w:rsid w:val="008279ED"/>
    <w:rsid w:val="008356B1"/>
    <w:rsid w:val="008420D1"/>
    <w:rsid w:val="00842C6A"/>
    <w:rsid w:val="00843602"/>
    <w:rsid w:val="008438FA"/>
    <w:rsid w:val="00845F51"/>
    <w:rsid w:val="00846AC4"/>
    <w:rsid w:val="00852912"/>
    <w:rsid w:val="00856168"/>
    <w:rsid w:val="00862B31"/>
    <w:rsid w:val="00864322"/>
    <w:rsid w:val="00876A2B"/>
    <w:rsid w:val="008871BB"/>
    <w:rsid w:val="00895D2C"/>
    <w:rsid w:val="00896483"/>
    <w:rsid w:val="0089745B"/>
    <w:rsid w:val="008A32A9"/>
    <w:rsid w:val="008A3E52"/>
    <w:rsid w:val="008B001A"/>
    <w:rsid w:val="008B75CC"/>
    <w:rsid w:val="008E0F03"/>
    <w:rsid w:val="008E44D7"/>
    <w:rsid w:val="008E59B3"/>
    <w:rsid w:val="008F164F"/>
    <w:rsid w:val="008F1DE0"/>
    <w:rsid w:val="008F29D4"/>
    <w:rsid w:val="008F37FE"/>
    <w:rsid w:val="008F4259"/>
    <w:rsid w:val="008F5C72"/>
    <w:rsid w:val="008F647D"/>
    <w:rsid w:val="008F668F"/>
    <w:rsid w:val="008F722F"/>
    <w:rsid w:val="00905426"/>
    <w:rsid w:val="00915570"/>
    <w:rsid w:val="009202EF"/>
    <w:rsid w:val="0093043C"/>
    <w:rsid w:val="00930E42"/>
    <w:rsid w:val="0093127E"/>
    <w:rsid w:val="009411DB"/>
    <w:rsid w:val="00946988"/>
    <w:rsid w:val="00961AF8"/>
    <w:rsid w:val="00963ADB"/>
    <w:rsid w:val="009648D2"/>
    <w:rsid w:val="00964CDC"/>
    <w:rsid w:val="00964FD8"/>
    <w:rsid w:val="0096586E"/>
    <w:rsid w:val="009712BC"/>
    <w:rsid w:val="0098102F"/>
    <w:rsid w:val="00981888"/>
    <w:rsid w:val="00982130"/>
    <w:rsid w:val="00985944"/>
    <w:rsid w:val="0098641E"/>
    <w:rsid w:val="00991C45"/>
    <w:rsid w:val="009934EA"/>
    <w:rsid w:val="009944F0"/>
    <w:rsid w:val="00994DD4"/>
    <w:rsid w:val="00996A3A"/>
    <w:rsid w:val="009A2DEE"/>
    <w:rsid w:val="009A2FCB"/>
    <w:rsid w:val="009A46F4"/>
    <w:rsid w:val="009A4951"/>
    <w:rsid w:val="009A6D3B"/>
    <w:rsid w:val="009B059B"/>
    <w:rsid w:val="009B1914"/>
    <w:rsid w:val="009B6B78"/>
    <w:rsid w:val="009F1757"/>
    <w:rsid w:val="009F2487"/>
    <w:rsid w:val="009F2943"/>
    <w:rsid w:val="009F3626"/>
    <w:rsid w:val="009F5320"/>
    <w:rsid w:val="009F57AD"/>
    <w:rsid w:val="00A05B68"/>
    <w:rsid w:val="00A11B79"/>
    <w:rsid w:val="00A12AF7"/>
    <w:rsid w:val="00A132A6"/>
    <w:rsid w:val="00A14784"/>
    <w:rsid w:val="00A148BB"/>
    <w:rsid w:val="00A227F6"/>
    <w:rsid w:val="00A42463"/>
    <w:rsid w:val="00A4405A"/>
    <w:rsid w:val="00A45F91"/>
    <w:rsid w:val="00A46552"/>
    <w:rsid w:val="00A50EFC"/>
    <w:rsid w:val="00A542E0"/>
    <w:rsid w:val="00A551DC"/>
    <w:rsid w:val="00A55270"/>
    <w:rsid w:val="00A57091"/>
    <w:rsid w:val="00A60D0F"/>
    <w:rsid w:val="00A61B5C"/>
    <w:rsid w:val="00A63F5A"/>
    <w:rsid w:val="00A82121"/>
    <w:rsid w:val="00A8339A"/>
    <w:rsid w:val="00A91E2C"/>
    <w:rsid w:val="00A929E6"/>
    <w:rsid w:val="00A93C95"/>
    <w:rsid w:val="00AA0007"/>
    <w:rsid w:val="00AA0962"/>
    <w:rsid w:val="00AA19C1"/>
    <w:rsid w:val="00AA300E"/>
    <w:rsid w:val="00AB0DF4"/>
    <w:rsid w:val="00AB6131"/>
    <w:rsid w:val="00AB65D6"/>
    <w:rsid w:val="00AB74FF"/>
    <w:rsid w:val="00AC0149"/>
    <w:rsid w:val="00AC0889"/>
    <w:rsid w:val="00AC1ED0"/>
    <w:rsid w:val="00AC3837"/>
    <w:rsid w:val="00AC6695"/>
    <w:rsid w:val="00AC770B"/>
    <w:rsid w:val="00AD1353"/>
    <w:rsid w:val="00AD5614"/>
    <w:rsid w:val="00AE265A"/>
    <w:rsid w:val="00AE5F85"/>
    <w:rsid w:val="00AF3083"/>
    <w:rsid w:val="00AF32ED"/>
    <w:rsid w:val="00AF4270"/>
    <w:rsid w:val="00AF47F4"/>
    <w:rsid w:val="00AF5CF5"/>
    <w:rsid w:val="00B00130"/>
    <w:rsid w:val="00B01BDB"/>
    <w:rsid w:val="00B0729C"/>
    <w:rsid w:val="00B1244F"/>
    <w:rsid w:val="00B12AD0"/>
    <w:rsid w:val="00B14822"/>
    <w:rsid w:val="00B22D43"/>
    <w:rsid w:val="00B359A0"/>
    <w:rsid w:val="00B369E7"/>
    <w:rsid w:val="00B47D2B"/>
    <w:rsid w:val="00B542C3"/>
    <w:rsid w:val="00B5632F"/>
    <w:rsid w:val="00B57938"/>
    <w:rsid w:val="00B7100E"/>
    <w:rsid w:val="00B7107A"/>
    <w:rsid w:val="00B72880"/>
    <w:rsid w:val="00B73372"/>
    <w:rsid w:val="00B8120A"/>
    <w:rsid w:val="00B83A5F"/>
    <w:rsid w:val="00B90298"/>
    <w:rsid w:val="00BA3283"/>
    <w:rsid w:val="00BA5696"/>
    <w:rsid w:val="00BC578F"/>
    <w:rsid w:val="00BD5152"/>
    <w:rsid w:val="00BE45D7"/>
    <w:rsid w:val="00BE5DF7"/>
    <w:rsid w:val="00BE791D"/>
    <w:rsid w:val="00BF4E6B"/>
    <w:rsid w:val="00BF54E4"/>
    <w:rsid w:val="00C05E7A"/>
    <w:rsid w:val="00C0601C"/>
    <w:rsid w:val="00C060F5"/>
    <w:rsid w:val="00C06601"/>
    <w:rsid w:val="00C0745B"/>
    <w:rsid w:val="00C143CD"/>
    <w:rsid w:val="00C14BE7"/>
    <w:rsid w:val="00C26741"/>
    <w:rsid w:val="00C27C10"/>
    <w:rsid w:val="00C43ECB"/>
    <w:rsid w:val="00C457E8"/>
    <w:rsid w:val="00C47B74"/>
    <w:rsid w:val="00C51A00"/>
    <w:rsid w:val="00C63CAB"/>
    <w:rsid w:val="00C656BD"/>
    <w:rsid w:val="00C72D05"/>
    <w:rsid w:val="00C73803"/>
    <w:rsid w:val="00C80A14"/>
    <w:rsid w:val="00C81543"/>
    <w:rsid w:val="00C841CF"/>
    <w:rsid w:val="00C87CD0"/>
    <w:rsid w:val="00C91ACB"/>
    <w:rsid w:val="00C94334"/>
    <w:rsid w:val="00C94758"/>
    <w:rsid w:val="00C97894"/>
    <w:rsid w:val="00CA0C5A"/>
    <w:rsid w:val="00CA10C3"/>
    <w:rsid w:val="00CA1E2D"/>
    <w:rsid w:val="00CA4A73"/>
    <w:rsid w:val="00CA5BE0"/>
    <w:rsid w:val="00CA6100"/>
    <w:rsid w:val="00CA7216"/>
    <w:rsid w:val="00CB3293"/>
    <w:rsid w:val="00CC3026"/>
    <w:rsid w:val="00CC6F74"/>
    <w:rsid w:val="00CD4BFC"/>
    <w:rsid w:val="00CD5966"/>
    <w:rsid w:val="00CD6BD4"/>
    <w:rsid w:val="00CE6BFD"/>
    <w:rsid w:val="00CF5DF2"/>
    <w:rsid w:val="00CF6E1B"/>
    <w:rsid w:val="00D02A0A"/>
    <w:rsid w:val="00D04C0B"/>
    <w:rsid w:val="00D04E46"/>
    <w:rsid w:val="00D11329"/>
    <w:rsid w:val="00D11377"/>
    <w:rsid w:val="00D13209"/>
    <w:rsid w:val="00D23031"/>
    <w:rsid w:val="00D2385A"/>
    <w:rsid w:val="00D31C36"/>
    <w:rsid w:val="00D329D2"/>
    <w:rsid w:val="00D3434D"/>
    <w:rsid w:val="00D44AFC"/>
    <w:rsid w:val="00D54492"/>
    <w:rsid w:val="00D60637"/>
    <w:rsid w:val="00D67806"/>
    <w:rsid w:val="00D7018B"/>
    <w:rsid w:val="00D80B3D"/>
    <w:rsid w:val="00D84708"/>
    <w:rsid w:val="00D84DF6"/>
    <w:rsid w:val="00D87070"/>
    <w:rsid w:val="00D91652"/>
    <w:rsid w:val="00D92DA1"/>
    <w:rsid w:val="00D9409F"/>
    <w:rsid w:val="00D971BB"/>
    <w:rsid w:val="00DA7F9D"/>
    <w:rsid w:val="00DC2170"/>
    <w:rsid w:val="00DC77C0"/>
    <w:rsid w:val="00DC78EE"/>
    <w:rsid w:val="00DD0ACF"/>
    <w:rsid w:val="00DF0B61"/>
    <w:rsid w:val="00DF20B5"/>
    <w:rsid w:val="00DF4118"/>
    <w:rsid w:val="00DF42D4"/>
    <w:rsid w:val="00DF52D3"/>
    <w:rsid w:val="00E00A71"/>
    <w:rsid w:val="00E04DF0"/>
    <w:rsid w:val="00E074BD"/>
    <w:rsid w:val="00E213D2"/>
    <w:rsid w:val="00E266C7"/>
    <w:rsid w:val="00E35A32"/>
    <w:rsid w:val="00E42B29"/>
    <w:rsid w:val="00E47C06"/>
    <w:rsid w:val="00E505FE"/>
    <w:rsid w:val="00E52789"/>
    <w:rsid w:val="00E6310F"/>
    <w:rsid w:val="00E636A4"/>
    <w:rsid w:val="00E65580"/>
    <w:rsid w:val="00E66888"/>
    <w:rsid w:val="00E70C2B"/>
    <w:rsid w:val="00E70DFE"/>
    <w:rsid w:val="00E7650B"/>
    <w:rsid w:val="00E77CD1"/>
    <w:rsid w:val="00E85CF1"/>
    <w:rsid w:val="00E94788"/>
    <w:rsid w:val="00E9501D"/>
    <w:rsid w:val="00E9604F"/>
    <w:rsid w:val="00EA44DC"/>
    <w:rsid w:val="00EB41F5"/>
    <w:rsid w:val="00EB47D5"/>
    <w:rsid w:val="00EC1251"/>
    <w:rsid w:val="00EC167B"/>
    <w:rsid w:val="00EC2D2F"/>
    <w:rsid w:val="00EC4B68"/>
    <w:rsid w:val="00EC6275"/>
    <w:rsid w:val="00ED4876"/>
    <w:rsid w:val="00EE1147"/>
    <w:rsid w:val="00EF00D9"/>
    <w:rsid w:val="00F00151"/>
    <w:rsid w:val="00F0026E"/>
    <w:rsid w:val="00F028CD"/>
    <w:rsid w:val="00F03F91"/>
    <w:rsid w:val="00F07909"/>
    <w:rsid w:val="00F10CC6"/>
    <w:rsid w:val="00F128E3"/>
    <w:rsid w:val="00F14CB0"/>
    <w:rsid w:val="00F255FF"/>
    <w:rsid w:val="00F27AF7"/>
    <w:rsid w:val="00F3141D"/>
    <w:rsid w:val="00F375B4"/>
    <w:rsid w:val="00F375C7"/>
    <w:rsid w:val="00F37D1D"/>
    <w:rsid w:val="00F402ED"/>
    <w:rsid w:val="00F4690F"/>
    <w:rsid w:val="00F503EB"/>
    <w:rsid w:val="00F51E93"/>
    <w:rsid w:val="00F53013"/>
    <w:rsid w:val="00F550BC"/>
    <w:rsid w:val="00F55110"/>
    <w:rsid w:val="00F607F0"/>
    <w:rsid w:val="00F60B36"/>
    <w:rsid w:val="00F629B4"/>
    <w:rsid w:val="00F73144"/>
    <w:rsid w:val="00F800CD"/>
    <w:rsid w:val="00F82137"/>
    <w:rsid w:val="00F821B1"/>
    <w:rsid w:val="00F84962"/>
    <w:rsid w:val="00F85CFE"/>
    <w:rsid w:val="00F874AF"/>
    <w:rsid w:val="00F93F1C"/>
    <w:rsid w:val="00F9713B"/>
    <w:rsid w:val="00FA23C3"/>
    <w:rsid w:val="00FA3C61"/>
    <w:rsid w:val="00FA4B51"/>
    <w:rsid w:val="00FA4EFA"/>
    <w:rsid w:val="00FA5811"/>
    <w:rsid w:val="00FA6457"/>
    <w:rsid w:val="00FB453D"/>
    <w:rsid w:val="00FB65EC"/>
    <w:rsid w:val="00FC18DB"/>
    <w:rsid w:val="00FC2882"/>
    <w:rsid w:val="00FC3477"/>
    <w:rsid w:val="00FC35F9"/>
    <w:rsid w:val="00FC3705"/>
    <w:rsid w:val="00FC435F"/>
    <w:rsid w:val="00FC5DC2"/>
    <w:rsid w:val="00FC5E67"/>
    <w:rsid w:val="00FD0E8D"/>
    <w:rsid w:val="00FD5C07"/>
    <w:rsid w:val="00FE3130"/>
    <w:rsid w:val="00FE512F"/>
    <w:rsid w:val="00FE783E"/>
    <w:rsid w:val="00FF3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rsid w:val="00B47D2B"/>
    <w:pPr>
      <w:tabs>
        <w:tab w:val="center" w:pos="4680"/>
        <w:tab w:val="right" w:pos="9360"/>
      </w:tabs>
    </w:pPr>
  </w:style>
  <w:style w:type="character" w:customStyle="1" w:styleId="HeaderChar">
    <w:name w:val="Header Char"/>
    <w:basedOn w:val="DefaultParagraphFont"/>
    <w:link w:val="Header"/>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rsid w:val="00B47D2B"/>
    <w:pPr>
      <w:tabs>
        <w:tab w:val="center" w:pos="4680"/>
        <w:tab w:val="right" w:pos="9360"/>
      </w:tabs>
    </w:pPr>
  </w:style>
  <w:style w:type="character" w:customStyle="1" w:styleId="HeaderChar">
    <w:name w:val="Header Char"/>
    <w:basedOn w:val="DefaultParagraphFont"/>
    <w:link w:val="Header"/>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47147">
      <w:bodyDiv w:val="1"/>
      <w:marLeft w:val="0"/>
      <w:marRight w:val="0"/>
      <w:marTop w:val="0"/>
      <w:marBottom w:val="0"/>
      <w:divBdr>
        <w:top w:val="none" w:sz="0" w:space="0" w:color="auto"/>
        <w:left w:val="none" w:sz="0" w:space="0" w:color="auto"/>
        <w:bottom w:val="none" w:sz="0" w:space="0" w:color="auto"/>
        <w:right w:val="none" w:sz="0" w:space="0" w:color="auto"/>
      </w:divBdr>
    </w:div>
    <w:div w:id="1194657763">
      <w:bodyDiv w:val="1"/>
      <w:marLeft w:val="0"/>
      <w:marRight w:val="0"/>
      <w:marTop w:val="0"/>
      <w:marBottom w:val="0"/>
      <w:divBdr>
        <w:top w:val="none" w:sz="0" w:space="0" w:color="auto"/>
        <w:left w:val="none" w:sz="0" w:space="0" w:color="auto"/>
        <w:bottom w:val="none" w:sz="0" w:space="0" w:color="auto"/>
        <w:right w:val="none" w:sz="0" w:space="0" w:color="auto"/>
      </w:divBdr>
    </w:div>
    <w:div w:id="1249774237">
      <w:bodyDiv w:val="1"/>
      <w:marLeft w:val="0"/>
      <w:marRight w:val="0"/>
      <w:marTop w:val="0"/>
      <w:marBottom w:val="0"/>
      <w:divBdr>
        <w:top w:val="none" w:sz="0" w:space="0" w:color="auto"/>
        <w:left w:val="none" w:sz="0" w:space="0" w:color="auto"/>
        <w:bottom w:val="none" w:sz="0" w:space="0" w:color="auto"/>
        <w:right w:val="none" w:sz="0" w:space="0" w:color="auto"/>
      </w:divBdr>
    </w:div>
    <w:div w:id="1351105312">
      <w:bodyDiv w:val="1"/>
      <w:marLeft w:val="0"/>
      <w:marRight w:val="0"/>
      <w:marTop w:val="0"/>
      <w:marBottom w:val="0"/>
      <w:divBdr>
        <w:top w:val="none" w:sz="0" w:space="0" w:color="auto"/>
        <w:left w:val="none" w:sz="0" w:space="0" w:color="auto"/>
        <w:bottom w:val="none" w:sz="0" w:space="0" w:color="auto"/>
        <w:right w:val="none" w:sz="0" w:space="0" w:color="auto"/>
      </w:divBdr>
      <w:divsChild>
        <w:div w:id="1654407658">
          <w:marLeft w:val="0"/>
          <w:marRight w:val="0"/>
          <w:marTop w:val="0"/>
          <w:marBottom w:val="0"/>
          <w:divBdr>
            <w:top w:val="none" w:sz="0" w:space="0" w:color="auto"/>
            <w:left w:val="none" w:sz="0" w:space="0" w:color="auto"/>
            <w:bottom w:val="none" w:sz="0" w:space="0" w:color="auto"/>
            <w:right w:val="none" w:sz="0" w:space="0" w:color="auto"/>
          </w:divBdr>
          <w:divsChild>
            <w:div w:id="1888685346">
              <w:marLeft w:val="0"/>
              <w:marRight w:val="0"/>
              <w:marTop w:val="0"/>
              <w:marBottom w:val="0"/>
              <w:divBdr>
                <w:top w:val="none" w:sz="0" w:space="0" w:color="auto"/>
                <w:left w:val="none" w:sz="0" w:space="0" w:color="auto"/>
                <w:bottom w:val="none" w:sz="0" w:space="0" w:color="auto"/>
                <w:right w:val="none" w:sz="0" w:space="0" w:color="auto"/>
              </w:divBdr>
              <w:divsChild>
                <w:div w:id="2054845478">
                  <w:marLeft w:val="0"/>
                  <w:marRight w:val="0"/>
                  <w:marTop w:val="0"/>
                  <w:marBottom w:val="0"/>
                  <w:divBdr>
                    <w:top w:val="none" w:sz="0" w:space="0" w:color="auto"/>
                    <w:left w:val="none" w:sz="0" w:space="0" w:color="auto"/>
                    <w:bottom w:val="none" w:sz="0" w:space="0" w:color="auto"/>
                    <w:right w:val="none" w:sz="0" w:space="0" w:color="auto"/>
                  </w:divBdr>
                  <w:divsChild>
                    <w:div w:id="68315263">
                      <w:marLeft w:val="0"/>
                      <w:marRight w:val="0"/>
                      <w:marTop w:val="0"/>
                      <w:marBottom w:val="0"/>
                      <w:divBdr>
                        <w:top w:val="none" w:sz="0" w:space="0" w:color="auto"/>
                        <w:left w:val="none" w:sz="0" w:space="0" w:color="auto"/>
                        <w:bottom w:val="none" w:sz="0" w:space="0" w:color="auto"/>
                        <w:right w:val="none" w:sz="0" w:space="0" w:color="auto"/>
                      </w:divBdr>
                      <w:divsChild>
                        <w:div w:id="196239530">
                          <w:marLeft w:val="0"/>
                          <w:marRight w:val="0"/>
                          <w:marTop w:val="0"/>
                          <w:marBottom w:val="0"/>
                          <w:divBdr>
                            <w:top w:val="none" w:sz="0" w:space="0" w:color="auto"/>
                            <w:left w:val="none" w:sz="0" w:space="0" w:color="auto"/>
                            <w:bottom w:val="none" w:sz="0" w:space="0" w:color="auto"/>
                            <w:right w:val="none" w:sz="0" w:space="0" w:color="auto"/>
                          </w:divBdr>
                          <w:divsChild>
                            <w:div w:id="1076056537">
                              <w:marLeft w:val="225"/>
                              <w:marRight w:val="225"/>
                              <w:marTop w:val="0"/>
                              <w:marBottom w:val="0"/>
                              <w:divBdr>
                                <w:top w:val="none" w:sz="0" w:space="0" w:color="auto"/>
                                <w:left w:val="none" w:sz="0" w:space="0" w:color="auto"/>
                                <w:bottom w:val="none" w:sz="0" w:space="0" w:color="auto"/>
                                <w:right w:val="none" w:sz="0" w:space="0" w:color="auto"/>
                              </w:divBdr>
                              <w:divsChild>
                                <w:div w:id="1735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506088">
      <w:bodyDiv w:val="1"/>
      <w:marLeft w:val="0"/>
      <w:marRight w:val="0"/>
      <w:marTop w:val="0"/>
      <w:marBottom w:val="0"/>
      <w:divBdr>
        <w:top w:val="none" w:sz="0" w:space="0" w:color="auto"/>
        <w:left w:val="none" w:sz="0" w:space="0" w:color="auto"/>
        <w:bottom w:val="none" w:sz="0" w:space="0" w:color="auto"/>
        <w:right w:val="none" w:sz="0" w:space="0" w:color="auto"/>
      </w:divBdr>
    </w:div>
    <w:div w:id="188613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atepper@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1DA2C-8FC2-4020-B8F9-9180C58E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2012-05-14T19:23:00Z</dcterms:created>
  <dcterms:modified xsi:type="dcterms:W3CDTF">2013-08-25T19:09:00Z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