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9B4A51" w:rsidRDefault="009B4A51" w:rsidP="00F219B0">
      <w:pPr>
        <w:spacing w:after="0"/>
        <w:rPr>
          <w:rFonts w:asciiTheme="majorHAnsi" w:hAnsiTheme="majorHAnsi"/>
          <w:sz w:val="32"/>
        </w:rPr>
      </w:pPr>
    </w:p>
    <w:p w:rsidR="00340CCF" w:rsidRPr="00340CCF" w:rsidRDefault="00340CCF" w:rsidP="00340CCF">
      <w:pPr>
        <w:spacing w:after="0"/>
        <w:jc w:val="center"/>
        <w:rPr>
          <w:rFonts w:asciiTheme="majorHAnsi" w:hAnsiTheme="majorHAnsi"/>
          <w:b/>
          <w:sz w:val="40"/>
        </w:rPr>
      </w:pPr>
      <w:r w:rsidRPr="00340CCF">
        <w:rPr>
          <w:rFonts w:asciiTheme="majorHAnsi" w:hAnsiTheme="majorHAnsi"/>
          <w:b/>
          <w:sz w:val="40"/>
        </w:rPr>
        <w:t xml:space="preserve">Assessment of State/Local STD Clinic Directors Perceptions and Attitudes Regarding </w:t>
      </w:r>
    </w:p>
    <w:p w:rsidR="00340CCF" w:rsidRPr="00340CCF" w:rsidRDefault="00340CCF" w:rsidP="00340CCF">
      <w:pPr>
        <w:spacing w:after="0"/>
        <w:jc w:val="center"/>
        <w:rPr>
          <w:rFonts w:asciiTheme="majorHAnsi" w:hAnsiTheme="majorHAnsi"/>
          <w:b/>
          <w:sz w:val="40"/>
        </w:rPr>
      </w:pPr>
      <w:r w:rsidRPr="00340CCF">
        <w:rPr>
          <w:rFonts w:asciiTheme="majorHAnsi" w:hAnsiTheme="majorHAnsi"/>
          <w:b/>
          <w:sz w:val="40"/>
        </w:rPr>
        <w:t xml:space="preserve">CDC Field Staff </w:t>
      </w:r>
    </w:p>
    <w:p w:rsidR="00AA3192" w:rsidRDefault="00AA3192" w:rsidP="00484011">
      <w:pPr>
        <w:spacing w:after="0"/>
        <w:jc w:val="center"/>
        <w:rPr>
          <w:rFonts w:asciiTheme="majorHAnsi" w:hAnsiTheme="majorHAnsi"/>
          <w:b/>
        </w:rPr>
      </w:pPr>
    </w:p>
    <w:p w:rsidR="00F219B0" w:rsidRDefault="00F219B0" w:rsidP="00484011">
      <w:pPr>
        <w:spacing w:after="0"/>
        <w:jc w:val="center"/>
        <w:rPr>
          <w:rFonts w:asciiTheme="majorHAnsi" w:hAnsiTheme="majorHAnsi"/>
          <w:b/>
        </w:rPr>
      </w:pPr>
    </w:p>
    <w:p w:rsidR="00F219B0" w:rsidRDefault="00F219B0" w:rsidP="00484011">
      <w:pPr>
        <w:spacing w:after="0"/>
        <w:jc w:val="center"/>
        <w:rPr>
          <w:rFonts w:asciiTheme="majorHAnsi" w:hAnsiTheme="majorHAnsi"/>
          <w:b/>
        </w:rPr>
      </w:pPr>
    </w:p>
    <w:p w:rsidR="00716F94" w:rsidRPr="00AA3192" w:rsidRDefault="00484011" w:rsidP="0048401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</w:rPr>
        <w:t>OSTLTS Generic Information C</w:t>
      </w:r>
      <w:r w:rsidR="00230CEF">
        <w:rPr>
          <w:rFonts w:asciiTheme="majorHAnsi" w:hAnsiTheme="majorHAnsi"/>
        </w:rPr>
        <w:t>ollection</w:t>
      </w:r>
      <w:r w:rsidRPr="00AA3192">
        <w:rPr>
          <w:rFonts w:asciiTheme="majorHAnsi" w:hAnsiTheme="majorHAnsi"/>
        </w:rPr>
        <w:t xml:space="preserve"> Request</w:t>
      </w:r>
    </w:p>
    <w:p w:rsidR="00484011" w:rsidRPr="00AA3192" w:rsidRDefault="00484011" w:rsidP="00484011">
      <w:pPr>
        <w:pStyle w:val="Header"/>
        <w:tabs>
          <w:tab w:val="clear" w:pos="4680"/>
        </w:tabs>
        <w:jc w:val="center"/>
      </w:pPr>
      <w:r w:rsidRPr="00AA3192">
        <w:t>OMB No. 0920-0879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484011" w:rsidRDefault="0048401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Default="00187D5A" w:rsidP="00716F94">
      <w:pPr>
        <w:spacing w:after="0"/>
        <w:rPr>
          <w:rFonts w:asciiTheme="majorHAnsi" w:hAnsiTheme="majorHAnsi"/>
          <w:b/>
        </w:rPr>
      </w:pPr>
    </w:p>
    <w:p w:rsidR="009717C3" w:rsidRDefault="009717C3" w:rsidP="009717C3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  <w:b/>
        </w:rPr>
        <w:t>Submitted:</w:t>
      </w:r>
      <w:r w:rsidRPr="00AA3192">
        <w:rPr>
          <w:rFonts w:asciiTheme="majorHAnsi" w:hAnsiTheme="majorHAnsi"/>
        </w:rPr>
        <w:t xml:space="preserve"> </w:t>
      </w:r>
      <w:r w:rsidR="00D86D77">
        <w:rPr>
          <w:rFonts w:asciiTheme="majorHAnsi" w:hAnsiTheme="majorHAnsi"/>
        </w:rPr>
        <w:t>August 2</w:t>
      </w:r>
      <w:r>
        <w:rPr>
          <w:rFonts w:asciiTheme="majorHAnsi" w:hAnsiTheme="majorHAnsi"/>
        </w:rPr>
        <w:t xml:space="preserve">, 2013 </w:t>
      </w:r>
    </w:p>
    <w:p w:rsidR="009717C3" w:rsidRDefault="009717C3" w:rsidP="009717C3">
      <w:pPr>
        <w:spacing w:after="0"/>
        <w:jc w:val="center"/>
        <w:rPr>
          <w:rFonts w:asciiTheme="majorHAnsi" w:hAnsiTheme="majorHAnsi"/>
          <w:b/>
        </w:rPr>
      </w:pPr>
    </w:p>
    <w:p w:rsidR="009717C3" w:rsidRDefault="009717C3" w:rsidP="009717C3">
      <w:pPr>
        <w:spacing w:after="0"/>
        <w:rPr>
          <w:rFonts w:asciiTheme="majorHAnsi" w:hAnsiTheme="majorHAnsi"/>
          <w:b/>
        </w:rPr>
      </w:pPr>
    </w:p>
    <w:p w:rsidR="00F219B0" w:rsidRDefault="00F219B0" w:rsidP="009717C3">
      <w:pPr>
        <w:spacing w:after="0"/>
        <w:rPr>
          <w:rFonts w:asciiTheme="majorHAnsi" w:hAnsiTheme="majorHAnsi"/>
          <w:b/>
        </w:rPr>
      </w:pPr>
    </w:p>
    <w:p w:rsidR="009717C3" w:rsidRDefault="009717C3" w:rsidP="009717C3">
      <w:pPr>
        <w:spacing w:after="0"/>
        <w:rPr>
          <w:rFonts w:asciiTheme="majorHAnsi" w:hAnsiTheme="majorHAnsi"/>
          <w:b/>
        </w:rPr>
      </w:pPr>
    </w:p>
    <w:p w:rsidR="00F219B0" w:rsidRDefault="009717C3" w:rsidP="00D92551">
      <w:pPr>
        <w:spacing w:after="0"/>
        <w:rPr>
          <w:rFonts w:asciiTheme="majorHAnsi" w:hAnsiTheme="majorHAnsi"/>
          <w:b/>
          <w:u w:val="single"/>
        </w:rPr>
      </w:pPr>
      <w:r w:rsidRPr="00667C89">
        <w:rPr>
          <w:rFonts w:asciiTheme="majorHAnsi" w:hAnsiTheme="majorHAnsi"/>
          <w:b/>
          <w:u w:val="single"/>
        </w:rPr>
        <w:t>Program Official/Project Officer</w:t>
      </w:r>
    </w:p>
    <w:p w:rsidR="00D92551" w:rsidRPr="000914F9" w:rsidRDefault="00D92551" w:rsidP="00D92551">
      <w:pPr>
        <w:spacing w:after="0"/>
        <w:rPr>
          <w:rFonts w:asciiTheme="majorHAnsi" w:hAnsiTheme="majorHAnsi"/>
        </w:rPr>
      </w:pPr>
      <w:r w:rsidRPr="000914F9">
        <w:rPr>
          <w:rFonts w:asciiTheme="majorHAnsi" w:hAnsiTheme="majorHAnsi"/>
        </w:rPr>
        <w:t>Bryan Lindsey</w:t>
      </w:r>
      <w:r w:rsidRPr="000914F9">
        <w:rPr>
          <w:rFonts w:asciiTheme="majorHAnsi" w:hAnsiTheme="majorHAnsi"/>
        </w:rPr>
        <w:tab/>
      </w:r>
    </w:p>
    <w:p w:rsidR="00D92551" w:rsidRPr="000914F9" w:rsidRDefault="00D92551" w:rsidP="00D92551">
      <w:pPr>
        <w:spacing w:after="0" w:line="240" w:lineRule="auto"/>
        <w:rPr>
          <w:rFonts w:asciiTheme="majorHAnsi" w:hAnsiTheme="majorHAnsi" w:cs="Times New Roman"/>
          <w:bCs/>
        </w:rPr>
      </w:pPr>
      <w:r w:rsidRPr="000914F9">
        <w:rPr>
          <w:rFonts w:asciiTheme="majorHAnsi" w:hAnsiTheme="majorHAnsi" w:cs="Times New Roman"/>
          <w:bCs/>
        </w:rPr>
        <w:t>Public Health Analyst</w:t>
      </w:r>
    </w:p>
    <w:p w:rsidR="00D92551" w:rsidRPr="000914F9" w:rsidRDefault="00D92551" w:rsidP="00D92551">
      <w:pPr>
        <w:spacing w:after="0" w:line="240" w:lineRule="auto"/>
        <w:rPr>
          <w:rFonts w:asciiTheme="majorHAnsi" w:hAnsiTheme="majorHAnsi" w:cs="Arial"/>
        </w:rPr>
      </w:pPr>
      <w:r w:rsidRPr="000914F9">
        <w:rPr>
          <w:rFonts w:asciiTheme="majorHAnsi" w:hAnsiTheme="majorHAnsi" w:cs="Arial"/>
        </w:rPr>
        <w:t>Division of STD Prevention (DSTDP)</w:t>
      </w:r>
    </w:p>
    <w:p w:rsidR="00D92551" w:rsidRPr="000914F9" w:rsidRDefault="00D92551" w:rsidP="00D92551">
      <w:pPr>
        <w:spacing w:after="0" w:line="240" w:lineRule="auto"/>
        <w:rPr>
          <w:rStyle w:val="Strong"/>
          <w:rFonts w:asciiTheme="majorHAnsi" w:hAnsiTheme="majorHAnsi"/>
        </w:rPr>
      </w:pPr>
      <w:r w:rsidRPr="000914F9">
        <w:rPr>
          <w:rStyle w:val="Strong"/>
          <w:rFonts w:asciiTheme="majorHAnsi" w:hAnsiTheme="majorHAnsi"/>
          <w:b w:val="0"/>
        </w:rPr>
        <w:t>National Center for HIV/AIDS, Viral Hepatitis, STD, and TB Prevention</w:t>
      </w:r>
    </w:p>
    <w:p w:rsidR="00D92551" w:rsidRPr="000914F9" w:rsidRDefault="00D92551" w:rsidP="00D92551">
      <w:pPr>
        <w:spacing w:after="0" w:line="240" w:lineRule="auto"/>
        <w:rPr>
          <w:rStyle w:val="Strong"/>
          <w:rFonts w:asciiTheme="majorHAnsi" w:hAnsiTheme="majorHAnsi"/>
        </w:rPr>
      </w:pPr>
      <w:r w:rsidRPr="000914F9">
        <w:rPr>
          <w:rStyle w:val="Strong"/>
          <w:rFonts w:asciiTheme="majorHAnsi" w:hAnsiTheme="majorHAnsi"/>
          <w:b w:val="0"/>
        </w:rPr>
        <w:t>Centers for Disease Control &amp; Prevention</w:t>
      </w:r>
    </w:p>
    <w:p w:rsidR="00D92551" w:rsidRPr="000914F9" w:rsidRDefault="00D92551" w:rsidP="00D92551">
      <w:pPr>
        <w:spacing w:after="0" w:line="240" w:lineRule="auto"/>
        <w:rPr>
          <w:rStyle w:val="Strong"/>
          <w:rFonts w:asciiTheme="majorHAnsi" w:hAnsiTheme="majorHAnsi"/>
        </w:rPr>
      </w:pPr>
      <w:r w:rsidRPr="000914F9">
        <w:rPr>
          <w:rStyle w:val="Strong"/>
          <w:rFonts w:asciiTheme="majorHAnsi" w:hAnsiTheme="majorHAnsi"/>
          <w:b w:val="0"/>
        </w:rPr>
        <w:t>1600 Clifton Rd., NE MS E227</w:t>
      </w:r>
    </w:p>
    <w:p w:rsidR="00D92551" w:rsidRPr="000914F9" w:rsidRDefault="00D92551" w:rsidP="00D92551">
      <w:pPr>
        <w:spacing w:after="0" w:line="240" w:lineRule="auto"/>
        <w:rPr>
          <w:rStyle w:val="Strong"/>
          <w:rFonts w:asciiTheme="majorHAnsi" w:hAnsiTheme="majorHAnsi"/>
        </w:rPr>
      </w:pPr>
      <w:r w:rsidRPr="000914F9">
        <w:rPr>
          <w:rStyle w:val="Strong"/>
          <w:rFonts w:asciiTheme="majorHAnsi" w:hAnsiTheme="majorHAnsi"/>
          <w:b w:val="0"/>
        </w:rPr>
        <w:t>Atlanta, GA 30329-4027</w:t>
      </w:r>
    </w:p>
    <w:p w:rsidR="00D92551" w:rsidRPr="000914F9" w:rsidRDefault="00D92551" w:rsidP="00D92551">
      <w:pPr>
        <w:spacing w:after="0" w:line="240" w:lineRule="auto"/>
        <w:rPr>
          <w:rStyle w:val="Strong"/>
          <w:rFonts w:asciiTheme="majorHAnsi" w:hAnsiTheme="majorHAnsi"/>
        </w:rPr>
      </w:pPr>
      <w:r w:rsidRPr="000914F9">
        <w:rPr>
          <w:rStyle w:val="Strong"/>
          <w:rFonts w:asciiTheme="majorHAnsi" w:hAnsiTheme="majorHAnsi"/>
          <w:b w:val="0"/>
        </w:rPr>
        <w:t>(404) 639-6299(Office)</w:t>
      </w:r>
    </w:p>
    <w:p w:rsidR="00D92551" w:rsidRPr="000914F9" w:rsidRDefault="00D92551" w:rsidP="00D92551">
      <w:pPr>
        <w:spacing w:after="0" w:line="240" w:lineRule="auto"/>
        <w:rPr>
          <w:rStyle w:val="Strong"/>
          <w:rFonts w:asciiTheme="majorHAnsi" w:hAnsiTheme="majorHAnsi"/>
        </w:rPr>
      </w:pPr>
      <w:r w:rsidRPr="000914F9">
        <w:rPr>
          <w:rStyle w:val="Strong"/>
          <w:rFonts w:asciiTheme="majorHAnsi" w:hAnsiTheme="majorHAnsi"/>
          <w:b w:val="0"/>
        </w:rPr>
        <w:t>(404) 639-5332 (Fax)</w:t>
      </w:r>
    </w:p>
    <w:p w:rsidR="00463243" w:rsidRPr="00F219B0" w:rsidRDefault="00D92551" w:rsidP="00F219B0">
      <w:pPr>
        <w:spacing w:after="0" w:line="240" w:lineRule="auto"/>
        <w:rPr>
          <w:rFonts w:asciiTheme="majorHAnsi" w:hAnsiTheme="majorHAnsi"/>
          <w:b/>
          <w:bCs/>
        </w:rPr>
      </w:pPr>
      <w:r w:rsidRPr="000914F9">
        <w:rPr>
          <w:rStyle w:val="Strong"/>
          <w:rFonts w:asciiTheme="majorHAnsi" w:hAnsiTheme="majorHAnsi"/>
          <w:b w:val="0"/>
        </w:rPr>
        <w:t>Bkl1@cdc.gov</w:t>
      </w:r>
    </w:p>
    <w:p w:rsidR="00B12F51" w:rsidRPr="00F52BCC" w:rsidRDefault="00B12F51" w:rsidP="00B12F51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A75D1C" w:rsidRPr="009759F3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Respondent Universe and Sampling Methods</w:t>
      </w:r>
      <w:r w:rsidR="00A305CE" w:rsidRPr="009759F3">
        <w:rPr>
          <w:rFonts w:asciiTheme="majorHAnsi" w:hAnsiTheme="majorHAnsi"/>
        </w:rPr>
        <w:t xml:space="preserve"> </w:t>
      </w:r>
    </w:p>
    <w:p w:rsidR="00BC4A11" w:rsidRDefault="00BC4A11" w:rsidP="00F219B0">
      <w:pPr>
        <w:pStyle w:val="Header"/>
        <w:tabs>
          <w:tab w:val="clear" w:pos="468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Data will be collected from 59 STD Directors and/or Division of STD Prevention (DSTDP) funded STD program</w:t>
      </w:r>
      <w:r w:rsidR="00A00123">
        <w:rPr>
          <w:rFonts w:asciiTheme="majorHAnsi" w:hAnsiTheme="majorHAnsi"/>
        </w:rPr>
        <w:t>s</w:t>
      </w:r>
      <w:r w:rsidR="008F1EF2">
        <w:rPr>
          <w:rFonts w:asciiTheme="majorHAnsi" w:hAnsiTheme="majorHAnsi"/>
        </w:rPr>
        <w:t xml:space="preserve"> across the United States.  </w:t>
      </w:r>
      <w:r w:rsidR="00D92551" w:rsidRPr="00E869E3">
        <w:rPr>
          <w:rFonts w:asciiTheme="majorHAnsi" w:hAnsiTheme="majorHAnsi"/>
        </w:rPr>
        <w:t>The fifty nine is comprised of the 50 State public health agencies as well as Baltimore MD; Chicago, IL; Philadelphia, PA; Los Angeles, CA; New York City, NY; Washington, DC; San Francisco, CA; US Virgin Islands; and Puerto Rico.</w:t>
      </w:r>
      <w:r w:rsidR="00D92551">
        <w:rPr>
          <w:rFonts w:asciiTheme="majorHAnsi" w:hAnsiTheme="majorHAnsi"/>
        </w:rPr>
        <w:t xml:space="preserve">  </w:t>
      </w:r>
      <w:r w:rsidR="008F1EF2">
        <w:rPr>
          <w:rFonts w:asciiTheme="majorHAnsi" w:hAnsiTheme="majorHAnsi"/>
        </w:rPr>
        <w:t xml:space="preserve">DSTDP </w:t>
      </w:r>
      <w:r w:rsidR="005470DA">
        <w:rPr>
          <w:rFonts w:asciiTheme="majorHAnsi" w:hAnsiTheme="majorHAnsi"/>
        </w:rPr>
        <w:t xml:space="preserve">desires a 100 percent </w:t>
      </w:r>
      <w:r w:rsidR="00A00123">
        <w:rPr>
          <w:rFonts w:asciiTheme="majorHAnsi" w:hAnsiTheme="majorHAnsi"/>
        </w:rPr>
        <w:t>response</w:t>
      </w:r>
      <w:r w:rsidR="005470DA">
        <w:rPr>
          <w:rFonts w:asciiTheme="majorHAnsi" w:hAnsiTheme="majorHAnsi"/>
        </w:rPr>
        <w:t xml:space="preserve"> rate, but understanding the </w:t>
      </w:r>
      <w:r w:rsidR="00A2270D">
        <w:rPr>
          <w:rFonts w:asciiTheme="majorHAnsi" w:hAnsiTheme="majorHAnsi"/>
        </w:rPr>
        <w:t>data collection</w:t>
      </w:r>
      <w:r w:rsidR="005470DA">
        <w:rPr>
          <w:rFonts w:asciiTheme="majorHAnsi" w:hAnsiTheme="majorHAnsi"/>
        </w:rPr>
        <w:t xml:space="preserve"> is voluntarily realistically we expect </w:t>
      </w:r>
      <w:r w:rsidR="00A00123">
        <w:rPr>
          <w:rFonts w:asciiTheme="majorHAnsi" w:hAnsiTheme="majorHAnsi"/>
        </w:rPr>
        <w:t>an</w:t>
      </w:r>
      <w:r w:rsidR="005470DA">
        <w:rPr>
          <w:rFonts w:asciiTheme="majorHAnsi" w:hAnsiTheme="majorHAnsi"/>
        </w:rPr>
        <w:t xml:space="preserve"> 80 percent response</w:t>
      </w:r>
      <w:r w:rsidR="00F219B0">
        <w:rPr>
          <w:rFonts w:asciiTheme="majorHAnsi" w:hAnsiTheme="majorHAnsi"/>
        </w:rPr>
        <w:t xml:space="preserve"> rate</w:t>
      </w:r>
      <w:r w:rsidR="00A00123">
        <w:rPr>
          <w:rFonts w:asciiTheme="majorHAnsi" w:hAnsiTheme="majorHAnsi"/>
        </w:rPr>
        <w:t>, which is 47 of the 59 STD Directors</w:t>
      </w:r>
      <w:r w:rsidR="005470DA">
        <w:rPr>
          <w:rFonts w:asciiTheme="majorHAnsi" w:hAnsiTheme="majorHAnsi"/>
        </w:rPr>
        <w:t xml:space="preserve"> </w:t>
      </w:r>
      <w:r w:rsidR="00A00123">
        <w:rPr>
          <w:rFonts w:asciiTheme="majorHAnsi" w:hAnsiTheme="majorHAnsi"/>
        </w:rPr>
        <w:t>and/or Division of STD Prevention (DSTDP) funded STD programs</w:t>
      </w:r>
      <w:r w:rsidR="005470DA">
        <w:rPr>
          <w:rFonts w:asciiTheme="majorHAnsi" w:hAnsiTheme="majorHAnsi"/>
        </w:rPr>
        <w:t xml:space="preserve">.  </w:t>
      </w:r>
      <w:r>
        <w:rPr>
          <w:rFonts w:asciiTheme="majorHAnsi" w:hAnsiTheme="majorHAnsi"/>
        </w:rPr>
        <w:t xml:space="preserve">  </w:t>
      </w:r>
    </w:p>
    <w:p w:rsidR="00A75D1C" w:rsidRDefault="00A75D1C" w:rsidP="00F52BCC">
      <w:pPr>
        <w:pStyle w:val="ListParagraph"/>
        <w:spacing w:after="0"/>
        <w:rPr>
          <w:rFonts w:asciiTheme="majorHAnsi" w:hAnsiTheme="majorHAnsi"/>
        </w:rPr>
      </w:pPr>
    </w:p>
    <w:p w:rsidR="003635BE" w:rsidRDefault="003635BE" w:rsidP="003635B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Table B</w:t>
      </w:r>
      <w:r w:rsidRPr="00241B17">
        <w:rPr>
          <w:rFonts w:asciiTheme="majorHAnsi" w:hAnsiTheme="majorHAnsi"/>
          <w:b/>
          <w:u w:val="single"/>
        </w:rPr>
        <w:t>-1</w:t>
      </w:r>
      <w:r w:rsidRPr="00241B17">
        <w:rPr>
          <w:rFonts w:asciiTheme="majorHAnsi" w:hAnsiTheme="majorHAnsi"/>
          <w:b/>
        </w:rPr>
        <w:t>:</w:t>
      </w:r>
      <w:r w:rsidRPr="008E06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Potential Respondent Universe</w:t>
      </w:r>
    </w:p>
    <w:p w:rsidR="003635BE" w:rsidRDefault="003635BE" w:rsidP="00F52BCC">
      <w:pPr>
        <w:pStyle w:val="ListParagraph"/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6F6856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N</w:t>
            </w:r>
          </w:p>
        </w:tc>
      </w:tr>
      <w:tr w:rsidR="00BC5BB2" w:rsidRPr="006F6856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965016" w:rsidP="00F219B0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State/Local </w:t>
            </w:r>
            <w:r w:rsidR="00F219B0">
              <w:rPr>
                <w:rFonts w:asciiTheme="majorHAnsi" w:hAnsiTheme="majorHAnsi"/>
                <w:sz w:val="20"/>
              </w:rPr>
              <w:t>Health Department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F219B0" w:rsidP="00A00123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STD Directors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965016" w:rsidP="003F22DF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59</w:t>
            </w:r>
          </w:p>
        </w:tc>
      </w:tr>
      <w:tr w:rsidR="00053A92" w:rsidRPr="006F6856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A75D1C" w:rsidRDefault="00053A92" w:rsidP="00344F07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  <w:sz w:val="20"/>
              </w:rPr>
            </w:pPr>
            <w:r w:rsidRPr="00A75D1C">
              <w:rPr>
                <w:rFonts w:asciiTheme="majorHAnsi" w:hAnsiTheme="majorHAnsi"/>
                <w:b/>
                <w:sz w:val="20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3A92" w:rsidRPr="00A75D1C" w:rsidRDefault="00A00123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59</w:t>
            </w:r>
          </w:p>
        </w:tc>
      </w:tr>
    </w:tbl>
    <w:p w:rsidR="00BC5BB2" w:rsidRDefault="00BC5BB2" w:rsidP="00F52BCC">
      <w:pPr>
        <w:pStyle w:val="ListParagraph"/>
        <w:spacing w:after="0"/>
        <w:rPr>
          <w:rFonts w:asciiTheme="majorHAnsi" w:hAnsiTheme="majorHAnsi"/>
        </w:rPr>
      </w:pPr>
    </w:p>
    <w:p w:rsidR="00F52BCC" w:rsidRDefault="00F52BCC" w:rsidP="00F52BCC">
      <w:pPr>
        <w:pStyle w:val="ListParagraph"/>
        <w:spacing w:after="0"/>
        <w:rPr>
          <w:rFonts w:asciiTheme="majorHAnsi" w:hAnsiTheme="majorHAnsi"/>
        </w:rPr>
      </w:pPr>
    </w:p>
    <w:p w:rsidR="00287E2F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</w:rPr>
        <w:t xml:space="preserve">Procedures for </w:t>
      </w:r>
      <w:r w:rsidR="009759F3" w:rsidRPr="009759F3">
        <w:rPr>
          <w:rFonts w:asciiTheme="majorHAnsi" w:hAnsiTheme="majorHAnsi"/>
          <w:b/>
        </w:rPr>
        <w:t xml:space="preserve">the </w:t>
      </w:r>
      <w:r w:rsidRPr="009759F3">
        <w:rPr>
          <w:rFonts w:asciiTheme="majorHAnsi" w:hAnsiTheme="majorHAnsi"/>
          <w:b/>
        </w:rPr>
        <w:t>Collecti</w:t>
      </w:r>
      <w:r w:rsidR="009759F3" w:rsidRPr="009759F3">
        <w:rPr>
          <w:rFonts w:asciiTheme="majorHAnsi" w:hAnsiTheme="majorHAnsi"/>
          <w:b/>
        </w:rPr>
        <w:t>on</w:t>
      </w:r>
      <w:r w:rsidRPr="009759F3">
        <w:rPr>
          <w:rFonts w:asciiTheme="majorHAnsi" w:hAnsiTheme="majorHAnsi"/>
          <w:b/>
        </w:rPr>
        <w:t xml:space="preserve"> of Information</w:t>
      </w:r>
      <w:r w:rsidR="00F725B5" w:rsidRPr="009759F3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</w:rPr>
        <w:t xml:space="preserve">  </w:t>
      </w:r>
    </w:p>
    <w:p w:rsidR="00D92551" w:rsidRDefault="00BC4A11" w:rsidP="00F219B0">
      <w:pPr>
        <w:pStyle w:val="Header"/>
        <w:tabs>
          <w:tab w:val="clear" w:pos="4680"/>
        </w:tabs>
        <w:spacing w:line="276" w:lineRule="auto"/>
        <w:rPr>
          <w:rFonts w:asciiTheme="majorHAnsi" w:hAnsiTheme="majorHAnsi"/>
        </w:rPr>
      </w:pPr>
      <w:r w:rsidRPr="00BC4A11">
        <w:rPr>
          <w:rFonts w:asciiTheme="majorHAnsi" w:hAnsiTheme="majorHAnsi"/>
        </w:rPr>
        <w:t xml:space="preserve">Data will be collected through a one-time web-based </w:t>
      </w:r>
      <w:r w:rsidR="00A2270D">
        <w:rPr>
          <w:rFonts w:asciiTheme="majorHAnsi" w:hAnsiTheme="majorHAnsi"/>
        </w:rPr>
        <w:t>data collection</w:t>
      </w:r>
      <w:r w:rsidR="005470DA">
        <w:rPr>
          <w:rFonts w:asciiTheme="majorHAnsi" w:hAnsiTheme="majorHAnsi"/>
        </w:rPr>
        <w:t xml:space="preserve">.  Participants, </w:t>
      </w:r>
      <w:r w:rsidR="008922B7">
        <w:rPr>
          <w:rFonts w:asciiTheme="majorHAnsi" w:hAnsiTheme="majorHAnsi"/>
        </w:rPr>
        <w:t>STD Directors and DSTDP funded STD program</w:t>
      </w:r>
      <w:r w:rsidR="005470DA">
        <w:rPr>
          <w:rFonts w:asciiTheme="majorHAnsi" w:hAnsiTheme="majorHAnsi"/>
        </w:rPr>
        <w:t xml:space="preserve">s will be identified by an internal roster maintained by DSTDP.  Emails will be sent to </w:t>
      </w:r>
      <w:r w:rsidRPr="00BC4A11">
        <w:rPr>
          <w:rFonts w:asciiTheme="majorHAnsi" w:hAnsiTheme="majorHAnsi"/>
        </w:rPr>
        <w:t>our list of STD Directors and DSTDP funded STD programs</w:t>
      </w:r>
      <w:r w:rsidR="005470DA">
        <w:rPr>
          <w:rFonts w:asciiTheme="majorHAnsi" w:hAnsiTheme="majorHAnsi"/>
        </w:rPr>
        <w:t xml:space="preserve"> requesting participation</w:t>
      </w:r>
      <w:r w:rsidRPr="00BC4A11">
        <w:rPr>
          <w:rFonts w:asciiTheme="majorHAnsi" w:hAnsiTheme="majorHAnsi"/>
        </w:rPr>
        <w:t xml:space="preserve">. </w:t>
      </w:r>
      <w:r w:rsidR="00B72F91">
        <w:rPr>
          <w:rFonts w:asciiTheme="majorHAnsi" w:hAnsiTheme="majorHAnsi"/>
          <w:b/>
        </w:rPr>
        <w:t>(</w:t>
      </w:r>
      <w:proofErr w:type="gramStart"/>
      <w:r w:rsidR="00B72F91">
        <w:rPr>
          <w:rFonts w:asciiTheme="majorHAnsi" w:hAnsiTheme="majorHAnsi"/>
          <w:b/>
        </w:rPr>
        <w:t>see</w:t>
      </w:r>
      <w:proofErr w:type="gramEnd"/>
      <w:r w:rsidR="00B72F91">
        <w:rPr>
          <w:rFonts w:asciiTheme="majorHAnsi" w:hAnsiTheme="majorHAnsi"/>
          <w:b/>
        </w:rPr>
        <w:t xml:space="preserve"> Attachment D</w:t>
      </w:r>
      <w:r w:rsidRPr="00BC4A11">
        <w:rPr>
          <w:rFonts w:asciiTheme="majorHAnsi" w:hAnsiTheme="majorHAnsi"/>
          <w:b/>
        </w:rPr>
        <w:t xml:space="preserve"> – </w:t>
      </w:r>
      <w:r w:rsidR="00A2270D">
        <w:rPr>
          <w:rFonts w:asciiTheme="majorHAnsi" w:hAnsiTheme="majorHAnsi"/>
          <w:b/>
        </w:rPr>
        <w:t>Data collection</w:t>
      </w:r>
      <w:r w:rsidRPr="00BC4A11">
        <w:rPr>
          <w:rFonts w:asciiTheme="majorHAnsi" w:hAnsiTheme="majorHAnsi"/>
          <w:b/>
        </w:rPr>
        <w:t xml:space="preserve"> Notification Email).</w:t>
      </w:r>
      <w:r w:rsidRPr="00BC4A11">
        <w:rPr>
          <w:rFonts w:asciiTheme="majorHAnsi" w:hAnsiTheme="majorHAnsi"/>
        </w:rPr>
        <w:t xml:space="preserve">  This e-mail will contain instructions for participati</w:t>
      </w:r>
      <w:r w:rsidR="00D92551">
        <w:rPr>
          <w:rFonts w:asciiTheme="majorHAnsi" w:hAnsiTheme="majorHAnsi"/>
        </w:rPr>
        <w:t>on</w:t>
      </w:r>
      <w:r w:rsidRPr="00BC4A11">
        <w:rPr>
          <w:rFonts w:asciiTheme="majorHAnsi" w:hAnsiTheme="majorHAnsi"/>
        </w:rPr>
        <w:t xml:space="preserve"> and a link to the online </w:t>
      </w:r>
      <w:r w:rsidR="00A2270D">
        <w:rPr>
          <w:rFonts w:asciiTheme="majorHAnsi" w:hAnsiTheme="majorHAnsi"/>
        </w:rPr>
        <w:t>data collection</w:t>
      </w:r>
      <w:r w:rsidRPr="00BC4A11">
        <w:rPr>
          <w:rFonts w:asciiTheme="majorHAnsi" w:hAnsiTheme="majorHAnsi"/>
        </w:rPr>
        <w:t xml:space="preserve">.  Eligible respondents include all </w:t>
      </w:r>
      <w:r>
        <w:rPr>
          <w:rFonts w:asciiTheme="majorHAnsi" w:hAnsiTheme="majorHAnsi"/>
        </w:rPr>
        <w:t>DSTDP-funded STD programs</w:t>
      </w:r>
      <w:r w:rsidRPr="00BC4A11">
        <w:rPr>
          <w:rFonts w:asciiTheme="majorHAnsi" w:hAnsiTheme="majorHAnsi"/>
        </w:rPr>
        <w:t>.</w:t>
      </w:r>
    </w:p>
    <w:p w:rsidR="00FC330B" w:rsidRDefault="00FC330B" w:rsidP="00F219B0">
      <w:pPr>
        <w:pStyle w:val="Header"/>
        <w:tabs>
          <w:tab w:val="clear" w:pos="4680"/>
        </w:tabs>
        <w:spacing w:line="276" w:lineRule="auto"/>
        <w:rPr>
          <w:rFonts w:asciiTheme="majorHAnsi" w:hAnsiTheme="majorHAnsi"/>
        </w:rPr>
      </w:pPr>
    </w:p>
    <w:p w:rsidR="00FC330B" w:rsidRDefault="00FC330B" w:rsidP="00F219B0">
      <w:pPr>
        <w:pStyle w:val="Header"/>
        <w:tabs>
          <w:tab w:val="clear" w:pos="4680"/>
        </w:tabs>
        <w:spacing w:line="276" w:lineRule="auto"/>
        <w:rPr>
          <w:rFonts w:asciiTheme="majorHAnsi" w:hAnsiTheme="majorHAnsi"/>
        </w:rPr>
      </w:pPr>
      <w:r w:rsidRPr="00BF5F0F">
        <w:rPr>
          <w:rFonts w:asciiTheme="majorHAnsi" w:hAnsiTheme="majorHAnsi"/>
        </w:rPr>
        <w:t xml:space="preserve">The </w:t>
      </w:r>
      <w:r w:rsidR="00A2270D">
        <w:rPr>
          <w:rFonts w:asciiTheme="majorHAnsi" w:hAnsiTheme="majorHAnsi"/>
        </w:rPr>
        <w:t>data collection</w:t>
      </w:r>
      <w:r w:rsidRPr="00BF5F0F">
        <w:rPr>
          <w:rFonts w:asciiTheme="majorHAnsi" w:hAnsiTheme="majorHAnsi"/>
        </w:rPr>
        <w:t xml:space="preserve"> will remain open for </w:t>
      </w:r>
      <w:r>
        <w:rPr>
          <w:rFonts w:asciiTheme="majorHAnsi" w:hAnsiTheme="majorHAnsi"/>
        </w:rPr>
        <w:t>10</w:t>
      </w:r>
      <w:r w:rsidRPr="00BF5F0F">
        <w:rPr>
          <w:rFonts w:asciiTheme="majorHAnsi" w:hAnsiTheme="majorHAnsi"/>
        </w:rPr>
        <w:t xml:space="preserve"> business days to allow ample time for respondents to complete the </w:t>
      </w:r>
      <w:r w:rsidR="00A2270D">
        <w:rPr>
          <w:rFonts w:asciiTheme="majorHAnsi" w:hAnsiTheme="majorHAnsi"/>
        </w:rPr>
        <w:t>data collection</w:t>
      </w:r>
      <w:r w:rsidRPr="00BF5F0F">
        <w:rPr>
          <w:rFonts w:asciiTheme="majorHAnsi" w:hAnsiTheme="majorHAnsi"/>
        </w:rPr>
        <w:t xml:space="preserve">. </w:t>
      </w:r>
      <w:r w:rsidR="00F219B0">
        <w:rPr>
          <w:rFonts w:asciiTheme="majorHAnsi" w:hAnsiTheme="majorHAnsi"/>
        </w:rPr>
        <w:t>A r</w:t>
      </w:r>
      <w:r w:rsidRPr="00BF5F0F">
        <w:rPr>
          <w:rFonts w:asciiTheme="majorHAnsi" w:hAnsiTheme="majorHAnsi"/>
        </w:rPr>
        <w:t xml:space="preserve">eminder will be emailed on day </w:t>
      </w:r>
      <w:r>
        <w:rPr>
          <w:rFonts w:asciiTheme="majorHAnsi" w:hAnsiTheme="majorHAnsi"/>
        </w:rPr>
        <w:t>8</w:t>
      </w:r>
      <w:r w:rsidRPr="00BF5F0F">
        <w:rPr>
          <w:rFonts w:asciiTheme="majorHAnsi" w:hAnsiTheme="majorHAnsi"/>
        </w:rPr>
        <w:t xml:space="preserve"> of the </w:t>
      </w:r>
      <w:r w:rsidR="00A2270D">
        <w:rPr>
          <w:rFonts w:asciiTheme="majorHAnsi" w:hAnsiTheme="majorHAnsi"/>
        </w:rPr>
        <w:t>data collection</w:t>
      </w:r>
      <w:r w:rsidRPr="00BF5F0F">
        <w:rPr>
          <w:rFonts w:asciiTheme="majorHAnsi" w:hAnsiTheme="majorHAnsi"/>
        </w:rPr>
        <w:t xml:space="preserve">. Reminders will </w:t>
      </w:r>
      <w:r>
        <w:rPr>
          <w:rFonts w:asciiTheme="majorHAnsi" w:hAnsiTheme="majorHAnsi"/>
        </w:rPr>
        <w:t>be sent to all since we aren’t collecting identifying information</w:t>
      </w:r>
      <w:r w:rsidR="008922B7">
        <w:rPr>
          <w:rFonts w:asciiTheme="majorHAnsi" w:hAnsiTheme="majorHAnsi"/>
        </w:rPr>
        <w:t xml:space="preserve"> making it </w:t>
      </w:r>
      <w:r>
        <w:rPr>
          <w:rFonts w:asciiTheme="majorHAnsi" w:hAnsiTheme="majorHAnsi"/>
        </w:rPr>
        <w:t xml:space="preserve">difficult to assess who are the </w:t>
      </w:r>
      <w:r w:rsidRPr="00BF5F0F">
        <w:rPr>
          <w:rFonts w:asciiTheme="majorHAnsi" w:hAnsiTheme="majorHAnsi"/>
        </w:rPr>
        <w:t xml:space="preserve">non-respondents </w:t>
      </w:r>
      <w:r w:rsidR="00CA1FBB">
        <w:rPr>
          <w:rFonts w:asciiTheme="majorHAnsi" w:hAnsiTheme="majorHAnsi"/>
          <w:b/>
        </w:rPr>
        <w:t xml:space="preserve">(see Attachment </w:t>
      </w:r>
      <w:r w:rsidR="0098282C">
        <w:rPr>
          <w:rFonts w:asciiTheme="majorHAnsi" w:hAnsiTheme="majorHAnsi"/>
          <w:b/>
        </w:rPr>
        <w:t>E</w:t>
      </w:r>
      <w:r w:rsidRPr="005470DA">
        <w:rPr>
          <w:rFonts w:asciiTheme="majorHAnsi" w:hAnsiTheme="majorHAnsi"/>
          <w:b/>
        </w:rPr>
        <w:t xml:space="preserve"> – Reminder Email).</w:t>
      </w:r>
    </w:p>
    <w:p w:rsidR="008922B7" w:rsidRDefault="008922B7" w:rsidP="008922B7">
      <w:pPr>
        <w:pStyle w:val="Header"/>
        <w:tabs>
          <w:tab w:val="clear" w:pos="4680"/>
        </w:tabs>
        <w:spacing w:line="276" w:lineRule="auto"/>
        <w:ind w:left="810"/>
        <w:rPr>
          <w:rFonts w:asciiTheme="majorHAnsi" w:hAnsiTheme="majorHAnsi"/>
        </w:rPr>
      </w:pPr>
    </w:p>
    <w:p w:rsidR="00FC330B" w:rsidRPr="00CD35EA" w:rsidRDefault="00FC330B" w:rsidP="00F219B0">
      <w:pPr>
        <w:pStyle w:val="Header"/>
        <w:tabs>
          <w:tab w:val="clear" w:pos="468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will be collected and maintained by the </w:t>
      </w:r>
      <w:r w:rsidR="008922B7">
        <w:rPr>
          <w:rFonts w:asciiTheme="majorHAnsi" w:hAnsiTheme="majorHAnsi"/>
        </w:rPr>
        <w:t xml:space="preserve">DSTDP Field Services Branch </w:t>
      </w:r>
      <w:r>
        <w:rPr>
          <w:rFonts w:asciiTheme="majorHAnsi" w:hAnsiTheme="majorHAnsi"/>
        </w:rPr>
        <w:t xml:space="preserve">as respondents submit their </w:t>
      </w:r>
      <w:r w:rsidR="00D92551">
        <w:rPr>
          <w:rFonts w:asciiTheme="majorHAnsi" w:hAnsiTheme="majorHAnsi"/>
        </w:rPr>
        <w:t xml:space="preserve">responses.  </w:t>
      </w:r>
      <w:r>
        <w:rPr>
          <w:rFonts w:asciiTheme="majorHAnsi" w:hAnsiTheme="majorHAnsi"/>
        </w:rPr>
        <w:t>Data will be transferred to Excel for conducting basic descriptive analys</w:t>
      </w:r>
      <w:r w:rsidR="00EE2431">
        <w:rPr>
          <w:rFonts w:asciiTheme="majorHAnsi" w:hAnsiTheme="majorHAnsi"/>
        </w:rPr>
        <w:t>is</w:t>
      </w:r>
      <w:r>
        <w:rPr>
          <w:rFonts w:asciiTheme="majorHAnsi" w:hAnsiTheme="majorHAnsi"/>
        </w:rPr>
        <w:t xml:space="preserve"> and producing data charts and tables for reporting.</w:t>
      </w:r>
    </w:p>
    <w:p w:rsidR="002F2069" w:rsidRPr="009759F3" w:rsidRDefault="00A305CE" w:rsidP="009759F3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F219B0" w:rsidRPr="00F219B0" w:rsidRDefault="00287E2F" w:rsidP="009717C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t>Methods to Maximize Response Rates</w:t>
      </w:r>
      <w:r w:rsidR="00F725B5">
        <w:rPr>
          <w:rFonts w:asciiTheme="majorHAnsi" w:hAnsiTheme="majorHAnsi"/>
          <w:b/>
        </w:rPr>
        <w:t xml:space="preserve"> </w:t>
      </w:r>
      <w:r w:rsidRPr="00D26A64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  <w:bCs/>
        </w:rPr>
        <w:t>Deal with Nonresponse</w:t>
      </w:r>
      <w:r w:rsidR="00A00123">
        <w:rPr>
          <w:rFonts w:asciiTheme="majorHAnsi" w:hAnsiTheme="majorHAnsi"/>
          <w:b/>
          <w:bCs/>
        </w:rPr>
        <w:t xml:space="preserve"> </w:t>
      </w:r>
    </w:p>
    <w:p w:rsidR="009717C3" w:rsidRPr="00F219B0" w:rsidRDefault="009717C3" w:rsidP="00F219B0">
      <w:pPr>
        <w:spacing w:after="0"/>
        <w:rPr>
          <w:rFonts w:asciiTheme="majorHAnsi" w:hAnsiTheme="majorHAnsi"/>
          <w:b/>
        </w:rPr>
      </w:pPr>
      <w:r w:rsidRPr="00F219B0">
        <w:rPr>
          <w:rFonts w:asciiTheme="majorHAnsi" w:hAnsiTheme="majorHAnsi"/>
        </w:rPr>
        <w:t xml:space="preserve">A reminder email will be sent to the </w:t>
      </w:r>
      <w:r w:rsidR="008922B7" w:rsidRPr="00F219B0">
        <w:rPr>
          <w:rFonts w:asciiTheme="majorHAnsi" w:hAnsiTheme="majorHAnsi"/>
        </w:rPr>
        <w:t xml:space="preserve">list of STD Directors and DSTDP funded STD programs </w:t>
      </w:r>
      <w:r w:rsidR="00F8256E" w:rsidRPr="00F219B0">
        <w:rPr>
          <w:rFonts w:asciiTheme="majorHAnsi" w:hAnsiTheme="majorHAnsi"/>
        </w:rPr>
        <w:t xml:space="preserve">on day 8, which is </w:t>
      </w:r>
      <w:r w:rsidRPr="00F219B0">
        <w:rPr>
          <w:rFonts w:asciiTheme="majorHAnsi" w:hAnsiTheme="majorHAnsi"/>
        </w:rPr>
        <w:t xml:space="preserve">two days </w:t>
      </w:r>
      <w:r w:rsidR="008922B7" w:rsidRPr="00F219B0">
        <w:rPr>
          <w:rFonts w:asciiTheme="majorHAnsi" w:hAnsiTheme="majorHAnsi"/>
        </w:rPr>
        <w:t xml:space="preserve">prior to the close of the </w:t>
      </w:r>
      <w:r w:rsidR="00A2270D" w:rsidRPr="00F219B0">
        <w:rPr>
          <w:rFonts w:asciiTheme="majorHAnsi" w:hAnsiTheme="majorHAnsi"/>
        </w:rPr>
        <w:t>data collection</w:t>
      </w:r>
      <w:r w:rsidR="008922B7" w:rsidRPr="00F219B0">
        <w:rPr>
          <w:rFonts w:asciiTheme="majorHAnsi" w:hAnsiTheme="majorHAnsi"/>
        </w:rPr>
        <w:t xml:space="preserve"> </w:t>
      </w:r>
      <w:r w:rsidR="00A00123" w:rsidRPr="00F219B0">
        <w:rPr>
          <w:rFonts w:asciiTheme="majorHAnsi" w:hAnsiTheme="majorHAnsi"/>
        </w:rPr>
        <w:t xml:space="preserve">to </w:t>
      </w:r>
      <w:r w:rsidRPr="00F219B0">
        <w:rPr>
          <w:rFonts w:asciiTheme="majorHAnsi" w:hAnsiTheme="majorHAnsi"/>
        </w:rPr>
        <w:t xml:space="preserve">increase response rates.  We plan to leave the </w:t>
      </w:r>
      <w:r w:rsidR="00A2270D" w:rsidRPr="00F219B0">
        <w:rPr>
          <w:rFonts w:asciiTheme="majorHAnsi" w:hAnsiTheme="majorHAnsi"/>
        </w:rPr>
        <w:t>data collection</w:t>
      </w:r>
      <w:r w:rsidRPr="00F219B0">
        <w:rPr>
          <w:rFonts w:asciiTheme="majorHAnsi" w:hAnsiTheme="majorHAnsi"/>
        </w:rPr>
        <w:t xml:space="preserve"> open for a week with a few days padding to allow for an extension of the deadline in case response rate is low. The maximum time that the </w:t>
      </w:r>
      <w:r w:rsidR="00A2270D" w:rsidRPr="00F219B0">
        <w:rPr>
          <w:rFonts w:asciiTheme="majorHAnsi" w:hAnsiTheme="majorHAnsi"/>
        </w:rPr>
        <w:t>data collection</w:t>
      </w:r>
      <w:r w:rsidRPr="00F219B0">
        <w:rPr>
          <w:rFonts w:asciiTheme="majorHAnsi" w:hAnsiTheme="majorHAnsi"/>
        </w:rPr>
        <w:t xml:space="preserve"> will be open is 10 </w:t>
      </w:r>
      <w:r w:rsidRPr="00F219B0">
        <w:rPr>
          <w:rFonts w:asciiTheme="majorHAnsi" w:hAnsiTheme="majorHAnsi"/>
        </w:rPr>
        <w:lastRenderedPageBreak/>
        <w:t>business days. Higher response rates will yield more reliable information; however, no scientific inferences will be made.</w:t>
      </w:r>
    </w:p>
    <w:p w:rsidR="00FC330B" w:rsidRPr="00FC330B" w:rsidRDefault="00FC330B" w:rsidP="00FC330B">
      <w:pPr>
        <w:pStyle w:val="ListParagraph"/>
        <w:spacing w:after="0"/>
        <w:rPr>
          <w:rFonts w:asciiTheme="majorHAnsi" w:hAnsiTheme="majorHAnsi"/>
          <w:b/>
        </w:rPr>
      </w:pPr>
    </w:p>
    <w:p w:rsidR="00D941A2" w:rsidRPr="00D941A2" w:rsidRDefault="00287E2F" w:rsidP="008922B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5F3FEF">
        <w:rPr>
          <w:rFonts w:asciiTheme="majorHAnsi" w:hAnsiTheme="majorHAnsi"/>
          <w:b/>
        </w:rPr>
        <w:t xml:space="preserve">Test of Procedures </w:t>
      </w:r>
      <w:r w:rsidR="009759F3" w:rsidRPr="009759F3">
        <w:rPr>
          <w:rFonts w:asciiTheme="majorHAnsi" w:hAnsiTheme="majorHAnsi"/>
          <w:b/>
          <w:bCs/>
        </w:rPr>
        <w:t xml:space="preserve">or Methods to be </w:t>
      </w:r>
      <w:r w:rsidR="008922B7" w:rsidRPr="009759F3">
        <w:rPr>
          <w:rFonts w:asciiTheme="majorHAnsi" w:hAnsiTheme="majorHAnsi"/>
          <w:b/>
          <w:bCs/>
        </w:rPr>
        <w:t>Undertaken</w:t>
      </w:r>
      <w:r w:rsidR="008922B7">
        <w:rPr>
          <w:rFonts w:asciiTheme="majorHAnsi" w:hAnsiTheme="majorHAnsi"/>
          <w:b/>
          <w:bCs/>
        </w:rPr>
        <w:t xml:space="preserve"> </w:t>
      </w:r>
    </w:p>
    <w:p w:rsidR="008922B7" w:rsidRPr="00D941A2" w:rsidRDefault="00F8256E" w:rsidP="00D941A2">
      <w:pPr>
        <w:spacing w:after="0"/>
        <w:rPr>
          <w:rFonts w:asciiTheme="majorHAnsi" w:hAnsiTheme="majorHAnsi"/>
          <w:b/>
        </w:rPr>
      </w:pPr>
      <w:r w:rsidRPr="00D941A2">
        <w:rPr>
          <w:rFonts w:asciiTheme="majorHAnsi" w:hAnsiTheme="majorHAnsi"/>
          <w:bCs/>
        </w:rPr>
        <w:t>Eight (</w:t>
      </w:r>
      <w:r w:rsidR="00B156F0" w:rsidRPr="00D941A2">
        <w:rPr>
          <w:rFonts w:asciiTheme="majorHAnsi" w:hAnsiTheme="majorHAnsi"/>
          <w:bCs/>
        </w:rPr>
        <w:t>8</w:t>
      </w:r>
      <w:r w:rsidRPr="00D941A2">
        <w:rPr>
          <w:rFonts w:asciiTheme="majorHAnsi" w:hAnsiTheme="majorHAnsi"/>
          <w:bCs/>
        </w:rPr>
        <w:t>)</w:t>
      </w:r>
      <w:r w:rsidR="00B156F0" w:rsidRPr="00D941A2">
        <w:rPr>
          <w:rFonts w:asciiTheme="majorHAnsi" w:hAnsiTheme="majorHAnsi"/>
          <w:bCs/>
        </w:rPr>
        <w:t xml:space="preserve"> CDC public health professionals </w:t>
      </w:r>
      <w:r w:rsidRPr="00D941A2">
        <w:rPr>
          <w:rFonts w:asciiTheme="majorHAnsi" w:hAnsiTheme="majorHAnsi"/>
          <w:bCs/>
        </w:rPr>
        <w:t>assessed</w:t>
      </w:r>
      <w:r w:rsidR="00B156F0" w:rsidRPr="00D941A2">
        <w:rPr>
          <w:rFonts w:asciiTheme="majorHAnsi" w:hAnsiTheme="majorHAnsi"/>
          <w:bCs/>
        </w:rPr>
        <w:t xml:space="preserve"> the web-based version of the questionnaire</w:t>
      </w:r>
      <w:r w:rsidR="008922B7" w:rsidRPr="00D941A2">
        <w:rPr>
          <w:rFonts w:asciiTheme="majorHAnsi" w:hAnsiTheme="majorHAnsi"/>
        </w:rPr>
        <w:t xml:space="preserve">. </w:t>
      </w:r>
      <w:r w:rsidR="00A2270D" w:rsidRPr="00D941A2">
        <w:rPr>
          <w:rFonts w:asciiTheme="majorHAnsi" w:hAnsiTheme="majorHAnsi"/>
        </w:rPr>
        <w:t xml:space="preserve">At </w:t>
      </w:r>
      <w:r w:rsidR="00A179B9" w:rsidRPr="00D941A2">
        <w:rPr>
          <w:rFonts w:asciiTheme="majorHAnsi" w:hAnsiTheme="majorHAnsi"/>
        </w:rPr>
        <w:t>minimum</w:t>
      </w:r>
      <w:r w:rsidR="00A2270D" w:rsidRPr="00D941A2">
        <w:rPr>
          <w:rFonts w:asciiTheme="majorHAnsi" w:hAnsiTheme="majorHAnsi"/>
        </w:rPr>
        <w:t xml:space="preserve"> it took 25 </w:t>
      </w:r>
      <w:r w:rsidR="00A179B9" w:rsidRPr="00D941A2">
        <w:rPr>
          <w:rFonts w:asciiTheme="majorHAnsi" w:hAnsiTheme="majorHAnsi"/>
        </w:rPr>
        <w:t xml:space="preserve">minutes to complete the questionnaire and </w:t>
      </w:r>
      <w:r w:rsidR="00A2270D" w:rsidRPr="00D941A2">
        <w:rPr>
          <w:rFonts w:asciiTheme="majorHAnsi" w:hAnsiTheme="majorHAnsi"/>
        </w:rPr>
        <w:t xml:space="preserve">at maximum </w:t>
      </w:r>
      <w:r w:rsidR="008F1EF2" w:rsidRPr="00D941A2">
        <w:rPr>
          <w:rFonts w:asciiTheme="majorHAnsi" w:hAnsiTheme="majorHAnsi"/>
        </w:rPr>
        <w:t>30 minutes</w:t>
      </w:r>
      <w:r w:rsidRPr="00D941A2">
        <w:rPr>
          <w:rFonts w:asciiTheme="majorHAnsi" w:hAnsiTheme="majorHAnsi"/>
        </w:rPr>
        <w:t xml:space="preserve">.  </w:t>
      </w:r>
      <w:r w:rsidR="008922B7" w:rsidRPr="00D941A2">
        <w:rPr>
          <w:rFonts w:asciiTheme="majorHAnsi" w:hAnsiTheme="majorHAnsi"/>
        </w:rPr>
        <w:t xml:space="preserve">Feedback from this group was used to refine questions as needed, ensure accurate programming and skip patterns and establish the estimated time required to complete the </w:t>
      </w:r>
      <w:r w:rsidR="00A2270D" w:rsidRPr="00D941A2">
        <w:rPr>
          <w:rFonts w:asciiTheme="majorHAnsi" w:hAnsiTheme="majorHAnsi"/>
        </w:rPr>
        <w:t>data collection</w:t>
      </w:r>
      <w:r w:rsidR="008922B7" w:rsidRPr="00D941A2">
        <w:rPr>
          <w:rFonts w:asciiTheme="majorHAnsi" w:hAnsiTheme="majorHAnsi"/>
        </w:rPr>
        <w:t>.</w:t>
      </w:r>
    </w:p>
    <w:p w:rsidR="00F52BCC" w:rsidRDefault="00F52BCC" w:rsidP="00F52BCC">
      <w:pPr>
        <w:pStyle w:val="ListParagraph"/>
        <w:spacing w:after="0"/>
        <w:rPr>
          <w:rFonts w:asciiTheme="majorHAnsi" w:hAnsiTheme="majorHAnsi"/>
        </w:rPr>
      </w:pPr>
    </w:p>
    <w:p w:rsidR="009759F3" w:rsidRPr="00463243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463243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:rsidR="005470DA" w:rsidRPr="00463243" w:rsidRDefault="005470DA" w:rsidP="005470DA">
      <w:pPr>
        <w:spacing w:after="0"/>
        <w:ind w:left="720"/>
        <w:rPr>
          <w:rFonts w:asciiTheme="majorHAnsi" w:hAnsiTheme="majorHAnsi"/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37"/>
      </w:tblGrid>
      <w:tr w:rsidR="00463243" w:rsidRPr="00463243" w:rsidTr="00463243">
        <w:tc>
          <w:tcPr>
            <w:tcW w:w="4788" w:type="dxa"/>
          </w:tcPr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Norm Fikes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Branch Chief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Field Services Branch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 xml:space="preserve">Division of STD Prevention 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Centers for Disease Control and Prevention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(404) 639-6186</w:t>
            </w:r>
          </w:p>
          <w:p w:rsidR="00463243" w:rsidRPr="00463243" w:rsidRDefault="00D253E5" w:rsidP="00463243">
            <w:pPr>
              <w:ind w:left="720"/>
              <w:rPr>
                <w:rFonts w:asciiTheme="majorHAnsi" w:hAnsiTheme="majorHAnsi"/>
                <w:bCs/>
              </w:rPr>
            </w:pPr>
            <w:hyperlink r:id="rId9" w:history="1">
              <w:r w:rsidR="00463243" w:rsidRPr="00463243">
                <w:rPr>
                  <w:rStyle w:val="Hyperlink"/>
                  <w:rFonts w:asciiTheme="majorHAnsi" w:hAnsiTheme="majorHAnsi"/>
                  <w:bCs/>
                </w:rPr>
                <w:t>Nff1@cdc.gov</w:t>
              </w:r>
            </w:hyperlink>
          </w:p>
          <w:p w:rsidR="00463243" w:rsidRPr="00463243" w:rsidRDefault="00463243" w:rsidP="005470DA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4788" w:type="dxa"/>
          </w:tcPr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Dan Newman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Epidemiologist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 xml:space="preserve">Division of STD Prevention 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Centers for Disease Control and Prevention</w:t>
            </w:r>
          </w:p>
          <w:p w:rsidR="00463243" w:rsidRPr="00463243" w:rsidRDefault="00463243" w:rsidP="00463243">
            <w:pPr>
              <w:ind w:left="720"/>
              <w:rPr>
                <w:rFonts w:asciiTheme="majorHAnsi" w:hAnsiTheme="majorHAnsi"/>
                <w:bCs/>
              </w:rPr>
            </w:pPr>
            <w:r w:rsidRPr="00463243">
              <w:rPr>
                <w:rFonts w:asciiTheme="majorHAnsi" w:hAnsiTheme="majorHAnsi"/>
                <w:bCs/>
              </w:rPr>
              <w:t>(404) 639-6179</w:t>
            </w:r>
          </w:p>
          <w:p w:rsidR="00463243" w:rsidRPr="00347D41" w:rsidRDefault="00463243" w:rsidP="00463243">
            <w:pPr>
              <w:ind w:left="720"/>
              <w:rPr>
                <w:rStyle w:val="Hyperlink"/>
                <w:rFonts w:asciiTheme="majorHAnsi" w:hAnsiTheme="majorHAnsi"/>
                <w:bCs/>
              </w:rPr>
            </w:pPr>
            <w:r w:rsidRPr="00347D41">
              <w:rPr>
                <w:rStyle w:val="Hyperlink"/>
                <w:rFonts w:asciiTheme="majorHAnsi" w:hAnsiTheme="majorHAnsi"/>
                <w:bCs/>
              </w:rPr>
              <w:t>Dcn7@cdc.gov</w:t>
            </w:r>
          </w:p>
          <w:p w:rsidR="00463243" w:rsidRPr="00463243" w:rsidRDefault="00463243" w:rsidP="005470DA">
            <w:pPr>
              <w:rPr>
                <w:rFonts w:asciiTheme="majorHAnsi" w:hAnsiTheme="majorHAnsi"/>
                <w:bCs/>
              </w:rPr>
            </w:pPr>
          </w:p>
        </w:tc>
      </w:tr>
    </w:tbl>
    <w:p w:rsidR="00A00123" w:rsidRPr="00463243" w:rsidRDefault="00A00123" w:rsidP="005470DA">
      <w:pPr>
        <w:spacing w:after="0"/>
        <w:ind w:left="720"/>
        <w:rPr>
          <w:rFonts w:asciiTheme="majorHAnsi" w:hAnsiTheme="majorHAnsi"/>
          <w:bCs/>
        </w:rPr>
      </w:pPr>
    </w:p>
    <w:p w:rsidR="00A36419" w:rsidRPr="00463243" w:rsidRDefault="00A36419" w:rsidP="00A36419">
      <w:pPr>
        <w:spacing w:after="0"/>
        <w:rPr>
          <w:rFonts w:asciiTheme="majorHAnsi" w:hAnsiTheme="majorHAnsi"/>
          <w:b/>
          <w:sz w:val="28"/>
        </w:rPr>
      </w:pPr>
      <w:r w:rsidRPr="00463243">
        <w:rPr>
          <w:rFonts w:asciiTheme="majorHAnsi" w:hAnsiTheme="majorHAnsi"/>
          <w:b/>
          <w:sz w:val="28"/>
        </w:rPr>
        <w:t>LIST OF ATTACHMENTS</w:t>
      </w:r>
      <w:r w:rsidR="00E24C20" w:rsidRPr="00463243">
        <w:rPr>
          <w:rFonts w:asciiTheme="majorHAnsi" w:hAnsiTheme="majorHAnsi"/>
          <w:b/>
          <w:sz w:val="28"/>
        </w:rPr>
        <w:t xml:space="preserve"> – Section B</w:t>
      </w:r>
    </w:p>
    <w:p w:rsidR="006B5E55" w:rsidRPr="00463243" w:rsidRDefault="006B5E55" w:rsidP="006B5E55">
      <w:pPr>
        <w:spacing w:after="0"/>
        <w:rPr>
          <w:rFonts w:asciiTheme="majorHAnsi" w:hAnsiTheme="majorHAnsi"/>
          <w:sz w:val="20"/>
        </w:rPr>
      </w:pPr>
      <w:r w:rsidRPr="00463243">
        <w:rPr>
          <w:rFonts w:asciiTheme="majorHAnsi" w:hAnsiTheme="majorHAnsi"/>
          <w:sz w:val="20"/>
        </w:rPr>
        <w:t>Note: Attachments are included as separate files as instructed.</w:t>
      </w:r>
    </w:p>
    <w:p w:rsidR="00505F65" w:rsidRPr="00463243" w:rsidRDefault="00505F65" w:rsidP="006B5E55">
      <w:pPr>
        <w:spacing w:after="0"/>
        <w:rPr>
          <w:rFonts w:asciiTheme="majorHAnsi" w:hAnsiTheme="majorHAnsi"/>
          <w:sz w:val="20"/>
        </w:rPr>
      </w:pPr>
    </w:p>
    <w:p w:rsidR="00EE2431" w:rsidRPr="00463243" w:rsidRDefault="00B72F91" w:rsidP="004775F5">
      <w:pPr>
        <w:pStyle w:val="ListParagraph"/>
        <w:numPr>
          <w:ilvl w:val="0"/>
          <w:numId w:val="27"/>
        </w:numPr>
        <w:tabs>
          <w:tab w:val="left" w:pos="720"/>
        </w:tabs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D</w:t>
      </w:r>
      <w:r w:rsidR="00EE2431" w:rsidRPr="00463243">
        <w:rPr>
          <w:rFonts w:asciiTheme="majorHAnsi" w:hAnsiTheme="majorHAnsi"/>
          <w:b/>
        </w:rPr>
        <w:t xml:space="preserve">- </w:t>
      </w:r>
      <w:r w:rsidR="00D86D77">
        <w:rPr>
          <w:rFonts w:asciiTheme="majorHAnsi" w:hAnsiTheme="majorHAnsi"/>
          <w:b/>
        </w:rPr>
        <w:t>Notification Email</w:t>
      </w:r>
      <w:bookmarkStart w:id="0" w:name="_GoBack"/>
      <w:bookmarkEnd w:id="0"/>
    </w:p>
    <w:p w:rsidR="000E6577" w:rsidRPr="00463243" w:rsidRDefault="00B72F91" w:rsidP="004775F5">
      <w:pPr>
        <w:pStyle w:val="ListParagraph"/>
        <w:numPr>
          <w:ilvl w:val="0"/>
          <w:numId w:val="27"/>
        </w:numPr>
        <w:tabs>
          <w:tab w:val="left" w:pos="720"/>
        </w:tabs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E</w:t>
      </w:r>
      <w:r w:rsidR="00EE2431" w:rsidRPr="00463243">
        <w:rPr>
          <w:rFonts w:asciiTheme="majorHAnsi" w:hAnsiTheme="majorHAnsi"/>
          <w:b/>
        </w:rPr>
        <w:t xml:space="preserve">- Reminder Email </w:t>
      </w:r>
    </w:p>
    <w:sectPr w:rsidR="000E6577" w:rsidRPr="00463243" w:rsidSect="003E5D5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E5" w:rsidRDefault="00D253E5" w:rsidP="00716F94">
      <w:pPr>
        <w:spacing w:after="0" w:line="240" w:lineRule="auto"/>
      </w:pPr>
      <w:r>
        <w:separator/>
      </w:r>
    </w:p>
  </w:endnote>
  <w:endnote w:type="continuationSeparator" w:id="0">
    <w:p w:rsidR="00D253E5" w:rsidRDefault="00D253E5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0122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7A04" w:rsidRDefault="00597A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6D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6D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17C3" w:rsidRDefault="00971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E5" w:rsidRDefault="00D253E5" w:rsidP="00716F94">
      <w:pPr>
        <w:spacing w:after="0" w:line="240" w:lineRule="auto"/>
      </w:pPr>
      <w:r>
        <w:separator/>
      </w:r>
    </w:p>
  </w:footnote>
  <w:footnote w:type="continuationSeparator" w:id="0">
    <w:p w:rsidR="00D253E5" w:rsidRDefault="00D253E5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7C3" w:rsidRPr="00716F94" w:rsidRDefault="009717C3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DA3048"/>
    <w:multiLevelType w:val="hybridMultilevel"/>
    <w:tmpl w:val="12ACA688"/>
    <w:lvl w:ilvl="0" w:tplc="68CCD2D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82A9B"/>
    <w:multiLevelType w:val="hybridMultilevel"/>
    <w:tmpl w:val="9E7C9132"/>
    <w:lvl w:ilvl="0" w:tplc="88FA5A68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5C7"/>
    <w:multiLevelType w:val="hybridMultilevel"/>
    <w:tmpl w:val="9E7C9132"/>
    <w:lvl w:ilvl="0" w:tplc="88FA5A68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8525500"/>
    <w:multiLevelType w:val="hybridMultilevel"/>
    <w:tmpl w:val="30F80032"/>
    <w:lvl w:ilvl="0" w:tplc="FCC0DEC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D022A4"/>
    <w:multiLevelType w:val="hybridMultilevel"/>
    <w:tmpl w:val="3384C136"/>
    <w:lvl w:ilvl="0" w:tplc="CBC8741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433A5F"/>
    <w:multiLevelType w:val="hybridMultilevel"/>
    <w:tmpl w:val="0E38FEE4"/>
    <w:lvl w:ilvl="0" w:tplc="1C705E48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4"/>
  </w:num>
  <w:num w:numId="4">
    <w:abstractNumId w:val="10"/>
  </w:num>
  <w:num w:numId="5">
    <w:abstractNumId w:val="1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7"/>
  </w:num>
  <w:num w:numId="11">
    <w:abstractNumId w:val="2"/>
  </w:num>
  <w:num w:numId="12">
    <w:abstractNumId w:val="23"/>
  </w:num>
  <w:num w:numId="13">
    <w:abstractNumId w:val="6"/>
  </w:num>
  <w:num w:numId="14">
    <w:abstractNumId w:val="3"/>
  </w:num>
  <w:num w:numId="15">
    <w:abstractNumId w:val="18"/>
  </w:num>
  <w:num w:numId="16">
    <w:abstractNumId w:val="26"/>
  </w:num>
  <w:num w:numId="17">
    <w:abstractNumId w:val="8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15"/>
  </w:num>
  <w:num w:numId="23">
    <w:abstractNumId w:val="19"/>
  </w:num>
  <w:num w:numId="24">
    <w:abstractNumId w:val="2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34CFC"/>
    <w:rsid w:val="000474FB"/>
    <w:rsid w:val="00053A92"/>
    <w:rsid w:val="0005605E"/>
    <w:rsid w:val="00057F36"/>
    <w:rsid w:val="000851FD"/>
    <w:rsid w:val="000A1F30"/>
    <w:rsid w:val="000A2563"/>
    <w:rsid w:val="000E6577"/>
    <w:rsid w:val="000E7A19"/>
    <w:rsid w:val="00104A1B"/>
    <w:rsid w:val="001177DD"/>
    <w:rsid w:val="001308EB"/>
    <w:rsid w:val="001363B7"/>
    <w:rsid w:val="001412D4"/>
    <w:rsid w:val="00144F64"/>
    <w:rsid w:val="00151567"/>
    <w:rsid w:val="00163E17"/>
    <w:rsid w:val="00166F9E"/>
    <w:rsid w:val="00187D5A"/>
    <w:rsid w:val="001972D7"/>
    <w:rsid w:val="001A28F6"/>
    <w:rsid w:val="001B2831"/>
    <w:rsid w:val="001C0493"/>
    <w:rsid w:val="001C28AD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13548"/>
    <w:rsid w:val="00230CEF"/>
    <w:rsid w:val="00241B17"/>
    <w:rsid w:val="00241C81"/>
    <w:rsid w:val="00257A1C"/>
    <w:rsid w:val="0027234C"/>
    <w:rsid w:val="00272E03"/>
    <w:rsid w:val="00281795"/>
    <w:rsid w:val="002850E3"/>
    <w:rsid w:val="002856BF"/>
    <w:rsid w:val="00287E2F"/>
    <w:rsid w:val="002A1948"/>
    <w:rsid w:val="002C0877"/>
    <w:rsid w:val="002C2AE2"/>
    <w:rsid w:val="002D0DCE"/>
    <w:rsid w:val="002E2B10"/>
    <w:rsid w:val="002F1502"/>
    <w:rsid w:val="002F169D"/>
    <w:rsid w:val="002F2069"/>
    <w:rsid w:val="002F6F92"/>
    <w:rsid w:val="003041AD"/>
    <w:rsid w:val="0031279F"/>
    <w:rsid w:val="00336D96"/>
    <w:rsid w:val="00340CCF"/>
    <w:rsid w:val="00344F07"/>
    <w:rsid w:val="003469C8"/>
    <w:rsid w:val="00347B40"/>
    <w:rsid w:val="00347D41"/>
    <w:rsid w:val="00355EA4"/>
    <w:rsid w:val="003635BE"/>
    <w:rsid w:val="00366B5E"/>
    <w:rsid w:val="00372844"/>
    <w:rsid w:val="003C31C9"/>
    <w:rsid w:val="003C4961"/>
    <w:rsid w:val="003C7C5D"/>
    <w:rsid w:val="003D0AD2"/>
    <w:rsid w:val="003E4E7D"/>
    <w:rsid w:val="003E5D57"/>
    <w:rsid w:val="003F22DF"/>
    <w:rsid w:val="003F5913"/>
    <w:rsid w:val="004024F8"/>
    <w:rsid w:val="0041159A"/>
    <w:rsid w:val="00414136"/>
    <w:rsid w:val="004220BD"/>
    <w:rsid w:val="004305A8"/>
    <w:rsid w:val="004360F1"/>
    <w:rsid w:val="00443CA0"/>
    <w:rsid w:val="00450E14"/>
    <w:rsid w:val="00461952"/>
    <w:rsid w:val="00462C65"/>
    <w:rsid w:val="00463243"/>
    <w:rsid w:val="00467B14"/>
    <w:rsid w:val="00474EDA"/>
    <w:rsid w:val="0047536D"/>
    <w:rsid w:val="004775F5"/>
    <w:rsid w:val="004824FA"/>
    <w:rsid w:val="00484011"/>
    <w:rsid w:val="004841F1"/>
    <w:rsid w:val="004A1E3A"/>
    <w:rsid w:val="004C4AEA"/>
    <w:rsid w:val="004E003C"/>
    <w:rsid w:val="004E16EB"/>
    <w:rsid w:val="004E6665"/>
    <w:rsid w:val="004F634E"/>
    <w:rsid w:val="004F67A8"/>
    <w:rsid w:val="00505F65"/>
    <w:rsid w:val="0051777E"/>
    <w:rsid w:val="00521A12"/>
    <w:rsid w:val="00522A50"/>
    <w:rsid w:val="00527225"/>
    <w:rsid w:val="00535206"/>
    <w:rsid w:val="0053557D"/>
    <w:rsid w:val="005463DE"/>
    <w:rsid w:val="00546DC2"/>
    <w:rsid w:val="005470DA"/>
    <w:rsid w:val="005542E8"/>
    <w:rsid w:val="00556630"/>
    <w:rsid w:val="0055686D"/>
    <w:rsid w:val="005800EE"/>
    <w:rsid w:val="005869D6"/>
    <w:rsid w:val="00597A04"/>
    <w:rsid w:val="005A33F6"/>
    <w:rsid w:val="005A36F7"/>
    <w:rsid w:val="005A59E5"/>
    <w:rsid w:val="005B7440"/>
    <w:rsid w:val="005C6E9D"/>
    <w:rsid w:val="005E2150"/>
    <w:rsid w:val="005E2995"/>
    <w:rsid w:val="005F3FEF"/>
    <w:rsid w:val="00601392"/>
    <w:rsid w:val="00607F7C"/>
    <w:rsid w:val="00610267"/>
    <w:rsid w:val="006102DA"/>
    <w:rsid w:val="00621F93"/>
    <w:rsid w:val="006315A3"/>
    <w:rsid w:val="00637CC1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F94"/>
    <w:rsid w:val="00746DC5"/>
    <w:rsid w:val="00760E12"/>
    <w:rsid w:val="00763CF3"/>
    <w:rsid w:val="00772293"/>
    <w:rsid w:val="00783C75"/>
    <w:rsid w:val="00784619"/>
    <w:rsid w:val="0078627B"/>
    <w:rsid w:val="00790CD5"/>
    <w:rsid w:val="00792A66"/>
    <w:rsid w:val="00792EC1"/>
    <w:rsid w:val="00794E32"/>
    <w:rsid w:val="007B305A"/>
    <w:rsid w:val="00800993"/>
    <w:rsid w:val="00815C7D"/>
    <w:rsid w:val="00817941"/>
    <w:rsid w:val="008261AB"/>
    <w:rsid w:val="00835CA7"/>
    <w:rsid w:val="008370D4"/>
    <w:rsid w:val="008414AD"/>
    <w:rsid w:val="008428D9"/>
    <w:rsid w:val="00884DB9"/>
    <w:rsid w:val="008922B7"/>
    <w:rsid w:val="0089676F"/>
    <w:rsid w:val="008B6036"/>
    <w:rsid w:val="008C67D2"/>
    <w:rsid w:val="008E0683"/>
    <w:rsid w:val="008F1EF2"/>
    <w:rsid w:val="00902DD9"/>
    <w:rsid w:val="00911486"/>
    <w:rsid w:val="009129CA"/>
    <w:rsid w:val="009150ED"/>
    <w:rsid w:val="009206B6"/>
    <w:rsid w:val="009263C1"/>
    <w:rsid w:val="00931C02"/>
    <w:rsid w:val="009409BD"/>
    <w:rsid w:val="00941B4F"/>
    <w:rsid w:val="00957324"/>
    <w:rsid w:val="00963CE3"/>
    <w:rsid w:val="00964F18"/>
    <w:rsid w:val="00965016"/>
    <w:rsid w:val="009717C3"/>
    <w:rsid w:val="00974424"/>
    <w:rsid w:val="009759F3"/>
    <w:rsid w:val="0098282C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A00123"/>
    <w:rsid w:val="00A11B0C"/>
    <w:rsid w:val="00A179B9"/>
    <w:rsid w:val="00A2270D"/>
    <w:rsid w:val="00A305CE"/>
    <w:rsid w:val="00A33B35"/>
    <w:rsid w:val="00A36419"/>
    <w:rsid w:val="00A578C2"/>
    <w:rsid w:val="00A720CA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F0CF4"/>
    <w:rsid w:val="00AF2252"/>
    <w:rsid w:val="00B02603"/>
    <w:rsid w:val="00B10ED5"/>
    <w:rsid w:val="00B1129F"/>
    <w:rsid w:val="00B11D61"/>
    <w:rsid w:val="00B12F51"/>
    <w:rsid w:val="00B156F0"/>
    <w:rsid w:val="00B2751E"/>
    <w:rsid w:val="00B3650C"/>
    <w:rsid w:val="00B64BFA"/>
    <w:rsid w:val="00B72F91"/>
    <w:rsid w:val="00B85DE4"/>
    <w:rsid w:val="00B91A31"/>
    <w:rsid w:val="00BA6DB4"/>
    <w:rsid w:val="00BC3F3C"/>
    <w:rsid w:val="00BC4A11"/>
    <w:rsid w:val="00BC5BB2"/>
    <w:rsid w:val="00BE3162"/>
    <w:rsid w:val="00BE35D7"/>
    <w:rsid w:val="00BF3F54"/>
    <w:rsid w:val="00C00697"/>
    <w:rsid w:val="00C032C7"/>
    <w:rsid w:val="00C0376C"/>
    <w:rsid w:val="00C0422B"/>
    <w:rsid w:val="00C06D77"/>
    <w:rsid w:val="00C14BA6"/>
    <w:rsid w:val="00C25419"/>
    <w:rsid w:val="00C347E7"/>
    <w:rsid w:val="00C3485C"/>
    <w:rsid w:val="00CA1FBB"/>
    <w:rsid w:val="00CA2004"/>
    <w:rsid w:val="00CA6C33"/>
    <w:rsid w:val="00CB334D"/>
    <w:rsid w:val="00CB56D5"/>
    <w:rsid w:val="00CD0771"/>
    <w:rsid w:val="00CD1EA8"/>
    <w:rsid w:val="00CF5ABD"/>
    <w:rsid w:val="00CF63CE"/>
    <w:rsid w:val="00D05F20"/>
    <w:rsid w:val="00D067C1"/>
    <w:rsid w:val="00D13B13"/>
    <w:rsid w:val="00D16E78"/>
    <w:rsid w:val="00D201D3"/>
    <w:rsid w:val="00D253E5"/>
    <w:rsid w:val="00D26A64"/>
    <w:rsid w:val="00D4221A"/>
    <w:rsid w:val="00D52B9A"/>
    <w:rsid w:val="00D5367E"/>
    <w:rsid w:val="00D62232"/>
    <w:rsid w:val="00D7285C"/>
    <w:rsid w:val="00D861ED"/>
    <w:rsid w:val="00D86D77"/>
    <w:rsid w:val="00D873E0"/>
    <w:rsid w:val="00D92551"/>
    <w:rsid w:val="00D92BA0"/>
    <w:rsid w:val="00D941A2"/>
    <w:rsid w:val="00D94F8B"/>
    <w:rsid w:val="00DA05FC"/>
    <w:rsid w:val="00DA4EA9"/>
    <w:rsid w:val="00DA5988"/>
    <w:rsid w:val="00DC317C"/>
    <w:rsid w:val="00DC4FF2"/>
    <w:rsid w:val="00DC79CC"/>
    <w:rsid w:val="00E134F4"/>
    <w:rsid w:val="00E23568"/>
    <w:rsid w:val="00E245B5"/>
    <w:rsid w:val="00E24C20"/>
    <w:rsid w:val="00E33E1B"/>
    <w:rsid w:val="00E34D3E"/>
    <w:rsid w:val="00E36E78"/>
    <w:rsid w:val="00E41F2D"/>
    <w:rsid w:val="00E81C5E"/>
    <w:rsid w:val="00E83B3C"/>
    <w:rsid w:val="00E8736B"/>
    <w:rsid w:val="00E90275"/>
    <w:rsid w:val="00E925D4"/>
    <w:rsid w:val="00E97226"/>
    <w:rsid w:val="00EB63B3"/>
    <w:rsid w:val="00ED6878"/>
    <w:rsid w:val="00EE1878"/>
    <w:rsid w:val="00EE2431"/>
    <w:rsid w:val="00EF0EC8"/>
    <w:rsid w:val="00EF33CD"/>
    <w:rsid w:val="00F219B0"/>
    <w:rsid w:val="00F300CB"/>
    <w:rsid w:val="00F42C3A"/>
    <w:rsid w:val="00F52BCC"/>
    <w:rsid w:val="00F5313F"/>
    <w:rsid w:val="00F57581"/>
    <w:rsid w:val="00F725B5"/>
    <w:rsid w:val="00F81A48"/>
    <w:rsid w:val="00F8256E"/>
    <w:rsid w:val="00FC330B"/>
    <w:rsid w:val="00FD17C9"/>
    <w:rsid w:val="00FD1EF0"/>
    <w:rsid w:val="00FD2A5B"/>
    <w:rsid w:val="00FE6A5C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Revision">
    <w:name w:val="Revision"/>
    <w:hidden/>
    <w:rsid w:val="009828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Revision">
    <w:name w:val="Revision"/>
    <w:hidden/>
    <w:rsid w:val="00982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ff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65BD-982E-494D-B79D-02A4DC33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2</cp:revision>
  <cp:lastPrinted>2013-07-15T20:48:00Z</cp:lastPrinted>
  <dcterms:created xsi:type="dcterms:W3CDTF">2013-08-02T11:49:00Z</dcterms:created>
  <dcterms:modified xsi:type="dcterms:W3CDTF">2013-08-02T11:49:00Z</dcterms:modified>
</cp:coreProperties>
</file>