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F677C6" w:rsidRPr="00201EED" w:rsidRDefault="00214DD0" w:rsidP="00F677C6">
      <w:pPr>
        <w:spacing w:after="0"/>
        <w:jc w:val="center"/>
        <w:rPr>
          <w:rFonts w:asciiTheme="majorHAnsi" w:hAnsiTheme="majorHAnsi"/>
          <w:b/>
          <w:sz w:val="40"/>
          <w:szCs w:val="40"/>
        </w:rPr>
      </w:pPr>
      <w:r>
        <w:rPr>
          <w:rFonts w:asciiTheme="majorHAnsi" w:hAnsiTheme="majorHAnsi"/>
          <w:b/>
          <w:sz w:val="40"/>
        </w:rPr>
        <w:t xml:space="preserve">Assessment of </w:t>
      </w:r>
      <w:r w:rsidR="00F677C6" w:rsidRPr="000578F0">
        <w:rPr>
          <w:rFonts w:asciiTheme="majorHAnsi" w:hAnsiTheme="majorHAnsi"/>
          <w:b/>
          <w:sz w:val="40"/>
        </w:rPr>
        <w:t>Public Health</w:t>
      </w:r>
      <w:r>
        <w:rPr>
          <w:rFonts w:asciiTheme="majorHAnsi" w:hAnsiTheme="majorHAnsi"/>
          <w:b/>
          <w:sz w:val="40"/>
        </w:rPr>
        <w:t xml:space="preserve"> Veterinarians</w:t>
      </w:r>
      <w:r w:rsidR="0029021A">
        <w:rPr>
          <w:rFonts w:asciiTheme="majorHAnsi" w:hAnsiTheme="majorHAnsi"/>
          <w:b/>
          <w:sz w:val="40"/>
        </w:rPr>
        <w:t xml:space="preserve"> Regarding the </w:t>
      </w:r>
      <w:r w:rsidR="00F677C6" w:rsidRPr="000578F0">
        <w:rPr>
          <w:rFonts w:asciiTheme="majorHAnsi" w:hAnsiTheme="majorHAnsi"/>
          <w:b/>
          <w:sz w:val="40"/>
        </w:rPr>
        <w:t>Sale, Display, and Exh</w:t>
      </w:r>
      <w:r w:rsidR="00F677C6">
        <w:rPr>
          <w:rFonts w:asciiTheme="majorHAnsi" w:hAnsiTheme="majorHAnsi"/>
          <w:b/>
          <w:sz w:val="40"/>
        </w:rPr>
        <w:t>ibition of “Exotic” Animals</w:t>
      </w:r>
    </w:p>
    <w:p w:rsidR="009B4A51" w:rsidRDefault="009B4A51" w:rsidP="009B4A51">
      <w:pPr>
        <w:spacing w:after="0"/>
        <w:jc w:val="center"/>
        <w:rPr>
          <w:rFonts w:asciiTheme="majorHAnsi" w:hAnsiTheme="majorHAnsi"/>
          <w:sz w:val="32"/>
        </w:rPr>
      </w:pPr>
    </w:p>
    <w:p w:rsidR="00AA3192" w:rsidRDefault="00AA3192" w:rsidP="00484011">
      <w:pPr>
        <w:spacing w:after="0"/>
        <w:jc w:val="center"/>
        <w:rPr>
          <w:rFonts w:asciiTheme="majorHAnsi" w:hAnsiTheme="majorHAnsi"/>
          <w:b/>
        </w:rPr>
      </w:pPr>
    </w:p>
    <w:p w:rsidR="00716F94" w:rsidRPr="00AA3192" w:rsidRDefault="00484011" w:rsidP="00484011">
      <w:pPr>
        <w:spacing w:after="0"/>
        <w:jc w:val="center"/>
        <w:rPr>
          <w:rFonts w:asciiTheme="majorHAnsi" w:hAnsiTheme="majorHAnsi"/>
        </w:rPr>
      </w:pPr>
      <w:r w:rsidRPr="00AA3192">
        <w:rPr>
          <w:rFonts w:asciiTheme="majorHAnsi" w:hAnsiTheme="majorHAnsi"/>
        </w:rPr>
        <w:t>OSTL</w:t>
      </w:r>
      <w:r w:rsidR="00316F00">
        <w:rPr>
          <w:rFonts w:asciiTheme="majorHAnsi" w:hAnsiTheme="majorHAnsi"/>
        </w:rPr>
        <w:t>TS Generic Information Collection</w:t>
      </w:r>
      <w:r w:rsidRPr="00AA3192">
        <w:rPr>
          <w:rFonts w:asciiTheme="majorHAnsi" w:hAnsiTheme="majorHAnsi"/>
        </w:rPr>
        <w:t xml:space="preserve"> Request</w:t>
      </w:r>
    </w:p>
    <w:p w:rsidR="00484011" w:rsidRPr="00AA3192" w:rsidRDefault="00484011" w:rsidP="00484011">
      <w:pPr>
        <w:pStyle w:val="Header"/>
        <w:tabs>
          <w:tab w:val="clear" w:pos="4680"/>
        </w:tabs>
        <w:jc w:val="center"/>
      </w:pPr>
      <w:r w:rsidRPr="00AA3192">
        <w:t>OMB No. 0920-0879</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Supporting Statement – Section A</w:t>
      </w:r>
    </w:p>
    <w:p w:rsidR="009B4A51" w:rsidRDefault="009B4A51" w:rsidP="00716F94">
      <w:pPr>
        <w:spacing w:after="0"/>
        <w:rPr>
          <w:rFonts w:asciiTheme="majorHAnsi" w:hAnsiTheme="majorHAnsi"/>
          <w:b/>
        </w:rPr>
      </w:pPr>
    </w:p>
    <w:p w:rsidR="00484011" w:rsidRDefault="00484011"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187D5A" w:rsidRDefault="00187D5A" w:rsidP="00716F94">
      <w:pPr>
        <w:spacing w:after="0"/>
        <w:rPr>
          <w:rFonts w:asciiTheme="majorHAnsi" w:hAnsiTheme="majorHAnsi"/>
          <w:b/>
        </w:rPr>
      </w:pPr>
    </w:p>
    <w:p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Pr="00AA3192">
        <w:rPr>
          <w:rFonts w:asciiTheme="majorHAnsi" w:hAnsiTheme="majorHAnsi"/>
        </w:rPr>
        <w:t xml:space="preserve"> </w:t>
      </w:r>
      <w:r w:rsidR="00686BC8">
        <w:rPr>
          <w:rFonts w:asciiTheme="majorHAnsi" w:hAnsiTheme="majorHAnsi"/>
        </w:rPr>
        <w:t xml:space="preserve">April </w:t>
      </w:r>
      <w:r w:rsidR="00B07E41">
        <w:rPr>
          <w:rFonts w:asciiTheme="majorHAnsi" w:hAnsiTheme="majorHAnsi"/>
        </w:rPr>
        <w:t>10</w:t>
      </w:r>
      <w:r w:rsidR="009A7DF1">
        <w:rPr>
          <w:rFonts w:asciiTheme="majorHAnsi" w:hAnsiTheme="majorHAnsi"/>
        </w:rPr>
        <w:t>, 2013</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321B51" w:rsidRPr="00E43AA9" w:rsidRDefault="00716F94" w:rsidP="000B0962">
      <w:pPr>
        <w:spacing w:after="0"/>
      </w:pPr>
      <w:r w:rsidRPr="00667C89">
        <w:rPr>
          <w:rFonts w:asciiTheme="majorHAnsi" w:hAnsiTheme="majorHAnsi"/>
          <w:b/>
          <w:u w:val="single"/>
        </w:rPr>
        <w:t>P</w:t>
      </w:r>
      <w:r w:rsidR="00667C89" w:rsidRPr="00667C89">
        <w:rPr>
          <w:rFonts w:asciiTheme="majorHAnsi" w:hAnsiTheme="majorHAnsi"/>
          <w:b/>
          <w:u w:val="single"/>
        </w:rPr>
        <w:t>rogram Official/Project Officer</w:t>
      </w:r>
      <w:r w:rsidR="000B0962">
        <w:tab/>
      </w:r>
    </w:p>
    <w:p w:rsidR="00F677C6" w:rsidRPr="00201EED" w:rsidRDefault="00F677C6" w:rsidP="00F677C6">
      <w:pPr>
        <w:spacing w:after="0" w:line="240" w:lineRule="auto"/>
        <w:rPr>
          <w:rFonts w:ascii="Times New Roman" w:hAnsi="Times New Roman" w:cs="Times New Roman"/>
          <w:bCs/>
        </w:rPr>
      </w:pPr>
      <w:r w:rsidRPr="00201EED">
        <w:rPr>
          <w:rFonts w:ascii="Times New Roman" w:hAnsi="Times New Roman" w:cs="Times New Roman"/>
          <w:bCs/>
        </w:rPr>
        <w:t>Jennifer G. Wright, DVM, MPH</w:t>
      </w:r>
    </w:p>
    <w:p w:rsidR="00F677C6" w:rsidRPr="00201EED" w:rsidRDefault="00F677C6" w:rsidP="00F677C6">
      <w:pPr>
        <w:spacing w:after="0" w:line="240" w:lineRule="auto"/>
        <w:rPr>
          <w:rFonts w:ascii="Times New Roman" w:hAnsi="Times New Roman" w:cs="Times New Roman"/>
        </w:rPr>
      </w:pPr>
      <w:r>
        <w:rPr>
          <w:rFonts w:ascii="Times New Roman" w:hAnsi="Times New Roman" w:cs="Times New Roman"/>
        </w:rPr>
        <w:t>HPPI T</w:t>
      </w:r>
      <w:r w:rsidRPr="00201EED">
        <w:rPr>
          <w:rFonts w:ascii="Times New Roman" w:hAnsi="Times New Roman" w:cs="Times New Roman"/>
        </w:rPr>
        <w:t>eam Lead; NCEZID Deputy ADES</w:t>
      </w:r>
    </w:p>
    <w:p w:rsidR="00F677C6" w:rsidRPr="00201EED" w:rsidRDefault="00F677C6" w:rsidP="00F677C6">
      <w:pPr>
        <w:spacing w:after="0" w:line="240" w:lineRule="auto"/>
        <w:rPr>
          <w:rFonts w:ascii="Times New Roman" w:hAnsi="Times New Roman" w:cs="Times New Roman"/>
        </w:rPr>
      </w:pPr>
      <w:r w:rsidRPr="00201EED">
        <w:rPr>
          <w:rFonts w:ascii="Times New Roman" w:hAnsi="Times New Roman" w:cs="Times New Roman"/>
        </w:rPr>
        <w:t>Outbreak Response and Prevention Branch, DFWED, NCEZID</w:t>
      </w:r>
    </w:p>
    <w:p w:rsidR="00F677C6" w:rsidRPr="00201EED" w:rsidRDefault="00F677C6" w:rsidP="00F677C6">
      <w:pPr>
        <w:spacing w:after="0" w:line="240" w:lineRule="auto"/>
        <w:rPr>
          <w:rFonts w:ascii="Times New Roman" w:hAnsi="Times New Roman" w:cs="Times New Roman"/>
        </w:rPr>
      </w:pPr>
      <w:r w:rsidRPr="00201EED">
        <w:rPr>
          <w:rFonts w:ascii="Times New Roman" w:hAnsi="Times New Roman" w:cs="Times New Roman"/>
        </w:rPr>
        <w:t>1600 Clifton Road, NE; MS A-38; Atlanta, GA, 30033</w:t>
      </w:r>
    </w:p>
    <w:p w:rsidR="00F677C6" w:rsidRPr="00201EED" w:rsidRDefault="00F677C6" w:rsidP="00F677C6">
      <w:pPr>
        <w:spacing w:after="0" w:line="240" w:lineRule="auto"/>
        <w:rPr>
          <w:rFonts w:ascii="Times New Roman" w:hAnsi="Times New Roman" w:cs="Times New Roman"/>
        </w:rPr>
      </w:pPr>
      <w:r w:rsidRPr="00201EED">
        <w:rPr>
          <w:rFonts w:ascii="Times New Roman" w:hAnsi="Times New Roman" w:cs="Times New Roman"/>
        </w:rPr>
        <w:t>404-639-4749</w:t>
      </w:r>
    </w:p>
    <w:p w:rsidR="00F677C6" w:rsidRPr="00201EED" w:rsidRDefault="00F677C6" w:rsidP="00F677C6">
      <w:pPr>
        <w:spacing w:after="0" w:line="240" w:lineRule="auto"/>
        <w:rPr>
          <w:rFonts w:ascii="Times New Roman" w:hAnsi="Times New Roman" w:cs="Times New Roman"/>
        </w:rPr>
      </w:pPr>
      <w:r w:rsidRPr="00201EED">
        <w:rPr>
          <w:rFonts w:ascii="Times New Roman" w:hAnsi="Times New Roman" w:cs="Times New Roman"/>
        </w:rPr>
        <w:t>404-679-5073</w:t>
      </w:r>
    </w:p>
    <w:p w:rsidR="00F677C6" w:rsidRPr="00201EED" w:rsidRDefault="00F677C6" w:rsidP="00F677C6">
      <w:pPr>
        <w:spacing w:after="0" w:line="240" w:lineRule="auto"/>
        <w:rPr>
          <w:rFonts w:ascii="Times New Roman" w:hAnsi="Times New Roman" w:cs="Times New Roman"/>
        </w:rPr>
      </w:pPr>
      <w:r w:rsidRPr="00201EED">
        <w:rPr>
          <w:rFonts w:ascii="Times New Roman" w:hAnsi="Times New Roman" w:cs="Times New Roman"/>
        </w:rPr>
        <w:t>jgwright@cdc.gov</w:t>
      </w:r>
    </w:p>
    <w:p w:rsidR="00CD1EA8" w:rsidRPr="00F52BCC" w:rsidRDefault="00CD1EA8" w:rsidP="00716F94">
      <w:pPr>
        <w:spacing w:after="0"/>
        <w:rPr>
          <w:rFonts w:asciiTheme="majorHAnsi" w:hAnsiTheme="majorHAnsi"/>
          <w:b/>
          <w:sz w:val="28"/>
        </w:rPr>
      </w:pPr>
      <w:r w:rsidRPr="00F52BCC">
        <w:rPr>
          <w:rFonts w:asciiTheme="majorHAnsi" w:hAnsiTheme="majorHAnsi"/>
          <w:b/>
          <w:sz w:val="28"/>
        </w:rPr>
        <w:lastRenderedPageBreak/>
        <w:t>Section A</w:t>
      </w:r>
      <w:r w:rsidR="00B12F51" w:rsidRPr="00F52BCC">
        <w:rPr>
          <w:rFonts w:asciiTheme="majorHAnsi" w:hAnsiTheme="majorHAnsi"/>
          <w:b/>
          <w:sz w:val="28"/>
        </w:rPr>
        <w:t xml:space="preserve"> – Justification</w:t>
      </w:r>
    </w:p>
    <w:p w:rsidR="00B12F51" w:rsidRDefault="00B12F51" w:rsidP="00716F94">
      <w:pPr>
        <w:spacing w:after="0"/>
        <w:rPr>
          <w:rFonts w:asciiTheme="majorHAnsi" w:hAnsiTheme="majorHAnsi"/>
          <w:b/>
        </w:rPr>
      </w:pPr>
    </w:p>
    <w:p w:rsidR="00CD1EA8" w:rsidRPr="00D13B13" w:rsidRDefault="00B12F51" w:rsidP="00612A1A">
      <w:pPr>
        <w:pStyle w:val="ListParagraph"/>
        <w:numPr>
          <w:ilvl w:val="0"/>
          <w:numId w:val="2"/>
        </w:numPr>
        <w:spacing w:after="0"/>
        <w:ind w:left="360"/>
        <w:rPr>
          <w:rFonts w:asciiTheme="majorHAnsi" w:hAnsiTheme="majorHAnsi"/>
          <w:b/>
        </w:rPr>
      </w:pPr>
      <w:r w:rsidRPr="00D13B13">
        <w:rPr>
          <w:rFonts w:asciiTheme="majorHAnsi" w:hAnsiTheme="majorHAnsi"/>
          <w:b/>
        </w:rPr>
        <w:t>Circumstances Making the Collection of Information Necessary</w:t>
      </w:r>
    </w:p>
    <w:p w:rsidR="00E33E1B" w:rsidRDefault="00E33E1B" w:rsidP="00612A1A">
      <w:pPr>
        <w:spacing w:after="0"/>
        <w:ind w:left="270"/>
        <w:rPr>
          <w:rFonts w:asciiTheme="majorHAnsi" w:hAnsiTheme="majorHAnsi"/>
          <w:b/>
        </w:rPr>
      </w:pPr>
      <w:r>
        <w:rPr>
          <w:rFonts w:asciiTheme="majorHAnsi" w:hAnsiTheme="majorHAnsi"/>
          <w:b/>
        </w:rPr>
        <w:t>Background</w:t>
      </w:r>
    </w:p>
    <w:p w:rsidR="00F677C6" w:rsidRPr="00D74BA7" w:rsidRDefault="00F677C6" w:rsidP="00612A1A">
      <w:pPr>
        <w:pStyle w:val="Header"/>
        <w:ind w:left="270"/>
        <w:rPr>
          <w:rFonts w:asciiTheme="majorHAnsi" w:hAnsiTheme="majorHAnsi"/>
        </w:rPr>
      </w:pPr>
      <w:r w:rsidRPr="00D74BA7">
        <w:rPr>
          <w:rFonts w:asciiTheme="majorHAnsi" w:hAnsiTheme="majorHAnsi"/>
        </w:rPr>
        <w:t>This data collection is being conducted using the Generic Information Collection mechanism of the OSTLTS Survey Center (OSC) – OMB No. 0920-0879. The respondent universe for this data collection aligns with that of the OSC. Data will be collected from state and local public health veterinarians acting in their official capacities.</w:t>
      </w:r>
    </w:p>
    <w:p w:rsidR="00F677C6" w:rsidRPr="00D74BA7" w:rsidRDefault="00F677C6" w:rsidP="00612A1A">
      <w:pPr>
        <w:pStyle w:val="Header"/>
        <w:ind w:left="270"/>
        <w:rPr>
          <w:rFonts w:asciiTheme="majorHAnsi" w:hAnsiTheme="majorHAnsi"/>
        </w:rPr>
      </w:pPr>
    </w:p>
    <w:p w:rsidR="00F677C6" w:rsidRDefault="00F677C6" w:rsidP="00612A1A">
      <w:pPr>
        <w:pStyle w:val="Header"/>
        <w:tabs>
          <w:tab w:val="clear" w:pos="4680"/>
        </w:tabs>
        <w:spacing w:line="276" w:lineRule="auto"/>
        <w:ind w:left="270"/>
        <w:rPr>
          <w:rFonts w:asciiTheme="majorHAnsi" w:hAnsiTheme="majorHAnsi"/>
        </w:rPr>
      </w:pPr>
      <w:r w:rsidRPr="00D74BA7">
        <w:rPr>
          <w:rFonts w:asciiTheme="majorHAnsi" w:hAnsiTheme="majorHAnsi"/>
        </w:rPr>
        <w:t>This data collection is authorized by Section 301 of the Public Health Service Act (42 U.S.C. 241).</w:t>
      </w:r>
    </w:p>
    <w:p w:rsidR="00F677C6" w:rsidRDefault="00F677C6" w:rsidP="00612A1A">
      <w:pPr>
        <w:pStyle w:val="Header"/>
        <w:tabs>
          <w:tab w:val="clear" w:pos="4680"/>
        </w:tabs>
        <w:spacing w:line="276" w:lineRule="auto"/>
        <w:ind w:left="270"/>
        <w:rPr>
          <w:rFonts w:asciiTheme="majorHAnsi" w:hAnsiTheme="majorHAnsi"/>
        </w:rPr>
      </w:pPr>
    </w:p>
    <w:p w:rsidR="00F677C6" w:rsidRDefault="00F677C6" w:rsidP="00612A1A">
      <w:pPr>
        <w:pStyle w:val="Header"/>
        <w:tabs>
          <w:tab w:val="clear" w:pos="4680"/>
        </w:tabs>
        <w:ind w:left="270"/>
        <w:contextualSpacing/>
        <w:rPr>
          <w:rFonts w:asciiTheme="majorHAnsi" w:hAnsiTheme="majorHAnsi"/>
        </w:rPr>
      </w:pPr>
      <w:r>
        <w:rPr>
          <w:rFonts w:asciiTheme="majorHAnsi" w:hAnsiTheme="majorHAnsi"/>
        </w:rPr>
        <w:t xml:space="preserve">Although pets provide many benefits to humans, they can pass disease to their human companions.  </w:t>
      </w:r>
      <w:proofErr w:type="spellStart"/>
      <w:r>
        <w:rPr>
          <w:rFonts w:asciiTheme="majorHAnsi" w:hAnsiTheme="majorHAnsi"/>
        </w:rPr>
        <w:t>Zoonoses</w:t>
      </w:r>
      <w:proofErr w:type="spellEnd"/>
      <w:r>
        <w:rPr>
          <w:rFonts w:asciiTheme="majorHAnsi" w:hAnsiTheme="majorHAnsi"/>
        </w:rPr>
        <w:t xml:space="preserve"> are diseases passed from animal to human and include bacterial infections such as </w:t>
      </w:r>
      <w:r w:rsidRPr="00235A39">
        <w:rPr>
          <w:rFonts w:asciiTheme="majorHAnsi" w:hAnsiTheme="majorHAnsi"/>
          <w:i/>
        </w:rPr>
        <w:t>Escherichia coli</w:t>
      </w:r>
      <w:r>
        <w:rPr>
          <w:rFonts w:asciiTheme="majorHAnsi" w:hAnsiTheme="majorHAnsi"/>
        </w:rPr>
        <w:t xml:space="preserve"> and </w:t>
      </w:r>
      <w:r w:rsidRPr="00235A39">
        <w:rPr>
          <w:rFonts w:asciiTheme="majorHAnsi" w:hAnsiTheme="majorHAnsi"/>
          <w:i/>
        </w:rPr>
        <w:t>Salmonella</w:t>
      </w:r>
      <w:r>
        <w:rPr>
          <w:rFonts w:asciiTheme="majorHAnsi" w:hAnsiTheme="majorHAnsi"/>
        </w:rPr>
        <w:t xml:space="preserve">, parasites such as </w:t>
      </w:r>
      <w:r w:rsidRPr="00281DE5">
        <w:rPr>
          <w:rFonts w:asciiTheme="majorHAnsi" w:hAnsiTheme="majorHAnsi"/>
          <w:i/>
        </w:rPr>
        <w:t>Giardia</w:t>
      </w:r>
      <w:r>
        <w:rPr>
          <w:rFonts w:asciiTheme="majorHAnsi" w:hAnsiTheme="majorHAnsi"/>
        </w:rPr>
        <w:t xml:space="preserve"> </w:t>
      </w:r>
      <w:proofErr w:type="spellStart"/>
      <w:r w:rsidRPr="00281DE5">
        <w:rPr>
          <w:rFonts w:asciiTheme="majorHAnsi" w:hAnsiTheme="majorHAnsi"/>
          <w:i/>
        </w:rPr>
        <w:t>lamblia</w:t>
      </w:r>
      <w:proofErr w:type="spellEnd"/>
      <w:r>
        <w:rPr>
          <w:rFonts w:asciiTheme="majorHAnsi" w:hAnsiTheme="majorHAnsi"/>
        </w:rPr>
        <w:t xml:space="preserve"> and </w:t>
      </w:r>
      <w:r w:rsidRPr="00281DE5">
        <w:rPr>
          <w:rFonts w:asciiTheme="majorHAnsi" w:hAnsiTheme="majorHAnsi"/>
          <w:i/>
        </w:rPr>
        <w:t>Cryptosporidium</w:t>
      </w:r>
      <w:r>
        <w:rPr>
          <w:rFonts w:asciiTheme="majorHAnsi" w:hAnsiTheme="majorHAnsi"/>
        </w:rPr>
        <w:t xml:space="preserve"> </w:t>
      </w:r>
      <w:proofErr w:type="spellStart"/>
      <w:r>
        <w:rPr>
          <w:rFonts w:asciiTheme="majorHAnsi" w:hAnsiTheme="majorHAnsi"/>
        </w:rPr>
        <w:t>spp</w:t>
      </w:r>
      <w:proofErr w:type="spellEnd"/>
      <w:r>
        <w:rPr>
          <w:rFonts w:asciiTheme="majorHAnsi" w:hAnsiTheme="majorHAnsi"/>
        </w:rPr>
        <w:t xml:space="preserve">, and viruses such Lymphocytic </w:t>
      </w:r>
      <w:proofErr w:type="spellStart"/>
      <w:r>
        <w:rPr>
          <w:rFonts w:asciiTheme="majorHAnsi" w:hAnsiTheme="majorHAnsi"/>
        </w:rPr>
        <w:t>Choriomeningitis</w:t>
      </w:r>
      <w:proofErr w:type="spellEnd"/>
      <w:r>
        <w:rPr>
          <w:rFonts w:asciiTheme="majorHAnsi" w:hAnsiTheme="majorHAnsi"/>
        </w:rPr>
        <w:t xml:space="preserve"> (LCMV).</w:t>
      </w:r>
      <w:r w:rsidRPr="00235A39">
        <w:rPr>
          <w:rFonts w:asciiTheme="majorHAnsi" w:hAnsiTheme="majorHAnsi"/>
          <w:vertAlign w:val="superscript"/>
        </w:rPr>
        <w:t>1</w:t>
      </w:r>
      <w:r>
        <w:rPr>
          <w:rFonts w:asciiTheme="majorHAnsi" w:hAnsiTheme="majorHAnsi"/>
        </w:rPr>
        <w:t xml:space="preserve"> </w:t>
      </w:r>
    </w:p>
    <w:p w:rsidR="00F677C6" w:rsidRDefault="00F677C6" w:rsidP="00612A1A">
      <w:pPr>
        <w:pStyle w:val="Header"/>
        <w:tabs>
          <w:tab w:val="clear" w:pos="4680"/>
        </w:tabs>
        <w:ind w:left="270"/>
        <w:contextualSpacing/>
        <w:rPr>
          <w:rFonts w:asciiTheme="majorHAnsi" w:hAnsiTheme="majorHAnsi"/>
        </w:rPr>
      </w:pPr>
    </w:p>
    <w:p w:rsidR="00F677C6" w:rsidRDefault="00F677C6" w:rsidP="00612A1A">
      <w:pPr>
        <w:pStyle w:val="Header"/>
        <w:tabs>
          <w:tab w:val="clear" w:pos="4680"/>
        </w:tabs>
        <w:ind w:left="270"/>
        <w:contextualSpacing/>
        <w:rPr>
          <w:rFonts w:asciiTheme="majorHAnsi" w:hAnsiTheme="majorHAnsi"/>
        </w:rPr>
      </w:pPr>
      <w:r>
        <w:rPr>
          <w:rFonts w:asciiTheme="majorHAnsi" w:hAnsiTheme="majorHAnsi"/>
        </w:rPr>
        <w:t xml:space="preserve">It is estimated that 1.2 million persons are infected with </w:t>
      </w:r>
      <w:r w:rsidRPr="004D3513">
        <w:rPr>
          <w:rFonts w:asciiTheme="majorHAnsi" w:hAnsiTheme="majorHAnsi"/>
          <w:i/>
        </w:rPr>
        <w:t>Salmonella</w:t>
      </w:r>
      <w:r>
        <w:rPr>
          <w:rFonts w:asciiTheme="majorHAnsi" w:hAnsiTheme="majorHAnsi"/>
        </w:rPr>
        <w:t xml:space="preserve"> each year in the U.S.</w:t>
      </w:r>
      <w:r w:rsidRPr="00235A39">
        <w:rPr>
          <w:rFonts w:asciiTheme="majorHAnsi" w:hAnsiTheme="majorHAnsi"/>
          <w:vertAlign w:val="superscript"/>
        </w:rPr>
        <w:t>2</w:t>
      </w:r>
      <w:r>
        <w:rPr>
          <w:rFonts w:asciiTheme="majorHAnsi" w:hAnsiTheme="majorHAnsi"/>
        </w:rPr>
        <w:t xml:space="preserve">  </w:t>
      </w:r>
      <w:r w:rsidRPr="00201EED">
        <w:rPr>
          <w:rFonts w:asciiTheme="majorHAnsi" w:hAnsiTheme="majorHAnsi"/>
        </w:rPr>
        <w:t xml:space="preserve">Clinical signs of salmonellosis include diarrhea, fever, and abdominal cramps beginning 12 to 72 hours after infection. The </w:t>
      </w:r>
      <w:r>
        <w:rPr>
          <w:rFonts w:asciiTheme="majorHAnsi" w:hAnsiTheme="majorHAnsi"/>
        </w:rPr>
        <w:t>illness</w:t>
      </w:r>
      <w:r w:rsidRPr="00201EED">
        <w:rPr>
          <w:rFonts w:asciiTheme="majorHAnsi" w:hAnsiTheme="majorHAnsi"/>
        </w:rPr>
        <w:t xml:space="preserve"> usually lasts 4 to 7 days, and most people recover without treatment. However, in some people the diarrhea may be so severe that the patient needs to be hospitalized. In rare cases, </w:t>
      </w:r>
      <w:r w:rsidRPr="00604AA5">
        <w:rPr>
          <w:rFonts w:asciiTheme="majorHAnsi" w:hAnsiTheme="majorHAnsi"/>
          <w:i/>
        </w:rPr>
        <w:t>Salmonella</w:t>
      </w:r>
      <w:r w:rsidRPr="00201EED">
        <w:rPr>
          <w:rFonts w:asciiTheme="majorHAnsi" w:hAnsiTheme="majorHAnsi"/>
        </w:rPr>
        <w:t xml:space="preserve"> may spread from the intestines to the blood stream, and then to other body sites causing death unless the person is treated promptly with antibiotics. The elderly, infants, and those with impaired immune systems are more likel</w:t>
      </w:r>
      <w:r>
        <w:rPr>
          <w:rFonts w:asciiTheme="majorHAnsi" w:hAnsiTheme="majorHAnsi"/>
        </w:rPr>
        <w:t>y to have severe illness.</w:t>
      </w:r>
      <w:r>
        <w:rPr>
          <w:rFonts w:asciiTheme="majorHAnsi" w:hAnsiTheme="majorHAnsi"/>
          <w:vertAlign w:val="superscript"/>
        </w:rPr>
        <w:t>3</w:t>
      </w:r>
      <w:r>
        <w:rPr>
          <w:rFonts w:asciiTheme="majorHAnsi" w:hAnsiTheme="majorHAnsi"/>
        </w:rPr>
        <w:t xml:space="preserve"> </w:t>
      </w:r>
    </w:p>
    <w:p w:rsidR="00F677C6" w:rsidRDefault="00F677C6" w:rsidP="00612A1A">
      <w:pPr>
        <w:pStyle w:val="Header"/>
        <w:tabs>
          <w:tab w:val="clear" w:pos="4680"/>
        </w:tabs>
        <w:ind w:left="270"/>
        <w:contextualSpacing/>
        <w:rPr>
          <w:rFonts w:asciiTheme="majorHAnsi" w:hAnsiTheme="majorHAnsi"/>
        </w:rPr>
      </w:pPr>
    </w:p>
    <w:p w:rsidR="00F677C6" w:rsidRDefault="00F677C6" w:rsidP="00612A1A">
      <w:pPr>
        <w:pStyle w:val="Header"/>
        <w:ind w:left="270"/>
        <w:contextualSpacing/>
        <w:rPr>
          <w:rFonts w:asciiTheme="majorHAnsi" w:hAnsiTheme="majorHAnsi"/>
        </w:rPr>
      </w:pPr>
      <w:r w:rsidRPr="00201EED">
        <w:rPr>
          <w:rFonts w:asciiTheme="majorHAnsi" w:hAnsiTheme="majorHAnsi"/>
        </w:rPr>
        <w:t xml:space="preserve">Humans may be exposed to </w:t>
      </w:r>
      <w:r w:rsidRPr="00604AA5">
        <w:rPr>
          <w:rFonts w:asciiTheme="majorHAnsi" w:hAnsiTheme="majorHAnsi"/>
          <w:i/>
        </w:rPr>
        <w:t>Salmonella</w:t>
      </w:r>
      <w:r w:rsidRPr="00201EED">
        <w:rPr>
          <w:rFonts w:asciiTheme="majorHAnsi" w:hAnsiTheme="majorHAnsi"/>
        </w:rPr>
        <w:t xml:space="preserve"> from a variety of sources, the</w:t>
      </w:r>
      <w:r>
        <w:rPr>
          <w:rFonts w:asciiTheme="majorHAnsi" w:hAnsiTheme="majorHAnsi"/>
        </w:rPr>
        <w:t xml:space="preserve"> most common being through food</w:t>
      </w:r>
      <w:r w:rsidRPr="00235A39">
        <w:rPr>
          <w:rFonts w:asciiTheme="majorHAnsi" w:hAnsiTheme="majorHAnsi"/>
          <w:vertAlign w:val="superscript"/>
        </w:rPr>
        <w:t>2</w:t>
      </w:r>
      <w:r>
        <w:rPr>
          <w:rFonts w:asciiTheme="majorHAnsi" w:hAnsiTheme="majorHAnsi"/>
        </w:rPr>
        <w:t>; however, it has been estimated that 11% of human salmonellosis is attributable to animal contact.</w:t>
      </w:r>
      <w:r w:rsidRPr="00235A39">
        <w:rPr>
          <w:rFonts w:asciiTheme="majorHAnsi" w:hAnsiTheme="majorHAnsi"/>
          <w:vertAlign w:val="superscript"/>
        </w:rPr>
        <w:t>4</w:t>
      </w:r>
      <w:r>
        <w:rPr>
          <w:rFonts w:asciiTheme="majorHAnsi" w:hAnsiTheme="majorHAnsi"/>
        </w:rPr>
        <w:t xml:space="preserve">  </w:t>
      </w:r>
      <w:r w:rsidR="001A4FF7" w:rsidRPr="002354F1">
        <w:rPr>
          <w:rFonts w:asciiTheme="majorHAnsi" w:hAnsiTheme="majorHAnsi"/>
          <w:i/>
        </w:rPr>
        <w:t>E. coli</w:t>
      </w:r>
      <w:r w:rsidR="001A4FF7" w:rsidRPr="002354F1">
        <w:rPr>
          <w:rFonts w:asciiTheme="majorHAnsi" w:hAnsiTheme="majorHAnsi"/>
        </w:rPr>
        <w:t xml:space="preserve"> infection</w:t>
      </w:r>
      <w:r w:rsidR="001A4FF7">
        <w:rPr>
          <w:rFonts w:asciiTheme="majorHAnsi" w:hAnsiTheme="majorHAnsi"/>
        </w:rPr>
        <w:t xml:space="preserve">s are also acquired through animal contact, most often during visits to pettings zoos.  </w:t>
      </w:r>
      <w:r w:rsidRPr="00201EED">
        <w:rPr>
          <w:rFonts w:asciiTheme="majorHAnsi" w:hAnsiTheme="majorHAnsi"/>
        </w:rPr>
        <w:t xml:space="preserve">A wide variety of animals can carry </w:t>
      </w:r>
      <w:r w:rsidRPr="000912ED">
        <w:rPr>
          <w:rFonts w:asciiTheme="majorHAnsi" w:hAnsiTheme="majorHAnsi"/>
          <w:i/>
        </w:rPr>
        <w:t>Salmonella</w:t>
      </w:r>
      <w:r>
        <w:rPr>
          <w:rFonts w:asciiTheme="majorHAnsi" w:hAnsiTheme="majorHAnsi"/>
        </w:rPr>
        <w:t xml:space="preserve"> bacteria</w:t>
      </w:r>
      <w:r w:rsidRPr="00201EED">
        <w:rPr>
          <w:rFonts w:asciiTheme="majorHAnsi" w:hAnsiTheme="majorHAnsi"/>
        </w:rPr>
        <w:t>, shed</w:t>
      </w:r>
      <w:r>
        <w:rPr>
          <w:rFonts w:asciiTheme="majorHAnsi" w:hAnsiTheme="majorHAnsi"/>
        </w:rPr>
        <w:t xml:space="preserve">ding the bacteria in their feces thereby </w:t>
      </w:r>
      <w:r w:rsidRPr="00201EED">
        <w:rPr>
          <w:rFonts w:asciiTheme="majorHAnsi" w:hAnsiTheme="majorHAnsi"/>
        </w:rPr>
        <w:t>contaminat</w:t>
      </w:r>
      <w:r>
        <w:rPr>
          <w:rFonts w:asciiTheme="majorHAnsi" w:hAnsiTheme="majorHAnsi"/>
        </w:rPr>
        <w:t>ing</w:t>
      </w:r>
      <w:r w:rsidRPr="00201EED">
        <w:rPr>
          <w:rFonts w:asciiTheme="majorHAnsi" w:hAnsiTheme="majorHAnsi"/>
        </w:rPr>
        <w:t xml:space="preserve"> their habitats </w:t>
      </w:r>
      <w:r>
        <w:rPr>
          <w:rFonts w:asciiTheme="majorHAnsi" w:hAnsiTheme="majorHAnsi"/>
        </w:rPr>
        <w:t>(e</w:t>
      </w:r>
      <w:r w:rsidRPr="00201EED">
        <w:rPr>
          <w:rFonts w:asciiTheme="majorHAnsi" w:hAnsiTheme="majorHAnsi"/>
        </w:rPr>
        <w:t>.g. tank water, cage bedding</w:t>
      </w:r>
      <w:r>
        <w:rPr>
          <w:rFonts w:asciiTheme="majorHAnsi" w:hAnsiTheme="majorHAnsi"/>
        </w:rPr>
        <w:t>)</w:t>
      </w:r>
      <w:r w:rsidRPr="00201EED">
        <w:rPr>
          <w:rFonts w:asciiTheme="majorHAnsi" w:hAnsiTheme="majorHAnsi"/>
        </w:rPr>
        <w:t>. These animals include</w:t>
      </w:r>
      <w:r>
        <w:rPr>
          <w:rFonts w:asciiTheme="majorHAnsi" w:hAnsiTheme="majorHAnsi"/>
        </w:rPr>
        <w:t xml:space="preserve">, but are not limited to </w:t>
      </w:r>
      <w:r w:rsidRPr="00201EED">
        <w:rPr>
          <w:rFonts w:asciiTheme="majorHAnsi" w:hAnsiTheme="majorHAnsi"/>
        </w:rPr>
        <w:t>reptiles (lizards, snakes and turtles</w:t>
      </w:r>
      <w:r>
        <w:rPr>
          <w:rFonts w:asciiTheme="majorHAnsi" w:hAnsiTheme="majorHAnsi"/>
        </w:rPr>
        <w:t>)</w:t>
      </w:r>
      <w:r w:rsidRPr="007103B6">
        <w:rPr>
          <w:rFonts w:asciiTheme="majorHAnsi" w:hAnsiTheme="majorHAnsi"/>
          <w:vertAlign w:val="superscript"/>
        </w:rPr>
        <w:t>5—18</w:t>
      </w:r>
      <w:r>
        <w:rPr>
          <w:rFonts w:asciiTheme="majorHAnsi" w:hAnsiTheme="majorHAnsi"/>
        </w:rPr>
        <w:t xml:space="preserve">; </w:t>
      </w:r>
      <w:r w:rsidRPr="00201EED">
        <w:rPr>
          <w:rFonts w:asciiTheme="majorHAnsi" w:hAnsiTheme="majorHAnsi"/>
        </w:rPr>
        <w:t>amphibians (toads and frogs</w:t>
      </w:r>
      <w:r>
        <w:rPr>
          <w:rFonts w:asciiTheme="majorHAnsi" w:hAnsiTheme="majorHAnsi"/>
        </w:rPr>
        <w:t>)</w:t>
      </w:r>
      <w:r w:rsidRPr="007103B6">
        <w:rPr>
          <w:rFonts w:asciiTheme="majorHAnsi" w:hAnsiTheme="majorHAnsi"/>
          <w:vertAlign w:val="superscript"/>
        </w:rPr>
        <w:t>13, 19- 23</w:t>
      </w:r>
      <w:r>
        <w:rPr>
          <w:rFonts w:asciiTheme="majorHAnsi" w:hAnsiTheme="majorHAnsi"/>
        </w:rPr>
        <w:t>; live poultry</w:t>
      </w:r>
      <w:r w:rsidRPr="00201EED">
        <w:rPr>
          <w:rFonts w:asciiTheme="majorHAnsi" w:hAnsiTheme="majorHAnsi"/>
        </w:rPr>
        <w:t xml:space="preserve"> (chickens, chicks, ducks, ducklings, turkeys, and various pet bird </w:t>
      </w:r>
      <w:r>
        <w:rPr>
          <w:rFonts w:asciiTheme="majorHAnsi" w:hAnsiTheme="majorHAnsi"/>
        </w:rPr>
        <w:t>species)</w:t>
      </w:r>
      <w:r w:rsidRPr="007103B6">
        <w:rPr>
          <w:rFonts w:asciiTheme="majorHAnsi" w:hAnsiTheme="majorHAnsi"/>
          <w:vertAlign w:val="superscript"/>
        </w:rPr>
        <w:t>24-34</w:t>
      </w:r>
      <w:r>
        <w:rPr>
          <w:rFonts w:asciiTheme="majorHAnsi" w:hAnsiTheme="majorHAnsi"/>
        </w:rPr>
        <w:t xml:space="preserve">  dogs</w:t>
      </w:r>
      <w:r w:rsidRPr="007103B6">
        <w:rPr>
          <w:rFonts w:asciiTheme="majorHAnsi" w:hAnsiTheme="majorHAnsi"/>
          <w:vertAlign w:val="superscript"/>
        </w:rPr>
        <w:t>35</w:t>
      </w:r>
      <w:r w:rsidRPr="00281DE5">
        <w:rPr>
          <w:rFonts w:asciiTheme="majorHAnsi" w:hAnsiTheme="majorHAnsi"/>
        </w:rPr>
        <w:t xml:space="preserve">; </w:t>
      </w:r>
      <w:r>
        <w:rPr>
          <w:rFonts w:asciiTheme="majorHAnsi" w:hAnsiTheme="majorHAnsi"/>
        </w:rPr>
        <w:t xml:space="preserve"> cats </w:t>
      </w:r>
      <w:r w:rsidRPr="007103B6">
        <w:rPr>
          <w:rFonts w:asciiTheme="majorHAnsi" w:hAnsiTheme="majorHAnsi"/>
          <w:vertAlign w:val="superscript"/>
        </w:rPr>
        <w:t>35,36</w:t>
      </w:r>
      <w:r>
        <w:rPr>
          <w:rFonts w:asciiTheme="majorHAnsi" w:hAnsiTheme="majorHAnsi"/>
        </w:rPr>
        <w:t xml:space="preserve">; </w:t>
      </w:r>
      <w:r w:rsidRPr="00201EED">
        <w:rPr>
          <w:rFonts w:asciiTheme="majorHAnsi" w:hAnsiTheme="majorHAnsi"/>
        </w:rPr>
        <w:t>rodents</w:t>
      </w:r>
      <w:r>
        <w:rPr>
          <w:rFonts w:asciiTheme="majorHAnsi" w:hAnsiTheme="majorHAnsi"/>
        </w:rPr>
        <w:t>,</w:t>
      </w:r>
      <w:r w:rsidRPr="00201EED">
        <w:rPr>
          <w:rFonts w:asciiTheme="majorHAnsi" w:hAnsiTheme="majorHAnsi"/>
        </w:rPr>
        <w:t xml:space="preserve"> including pets and those used as live or frozen reptile feed (mice, rat</w:t>
      </w:r>
      <w:r>
        <w:rPr>
          <w:rFonts w:asciiTheme="majorHAnsi" w:hAnsiTheme="majorHAnsi"/>
        </w:rPr>
        <w:t>s, and hamsters)</w:t>
      </w:r>
      <w:r w:rsidRPr="00281DE5">
        <w:rPr>
          <w:rFonts w:asciiTheme="majorHAnsi" w:hAnsiTheme="majorHAnsi"/>
          <w:vertAlign w:val="superscript"/>
        </w:rPr>
        <w:t>37-41</w:t>
      </w:r>
      <w:r>
        <w:rPr>
          <w:rFonts w:asciiTheme="majorHAnsi" w:hAnsiTheme="majorHAnsi"/>
        </w:rPr>
        <w:t xml:space="preserve">; </w:t>
      </w:r>
      <w:r w:rsidRPr="00201EED">
        <w:rPr>
          <w:rFonts w:asciiTheme="majorHAnsi" w:hAnsiTheme="majorHAnsi"/>
        </w:rPr>
        <w:t>and farm animals (horses, cattle, sheep, g</w:t>
      </w:r>
      <w:r>
        <w:rPr>
          <w:rFonts w:asciiTheme="majorHAnsi" w:hAnsiTheme="majorHAnsi"/>
        </w:rPr>
        <w:t>oats, and pigs.</w:t>
      </w:r>
      <w:r w:rsidRPr="00281DE5">
        <w:rPr>
          <w:rFonts w:asciiTheme="majorHAnsi" w:hAnsiTheme="majorHAnsi"/>
          <w:vertAlign w:val="superscript"/>
        </w:rPr>
        <w:t>42-46</w:t>
      </w:r>
      <w:r w:rsidRPr="00201EED">
        <w:rPr>
          <w:rFonts w:asciiTheme="majorHAnsi" w:hAnsiTheme="majorHAnsi"/>
        </w:rPr>
        <w:t xml:space="preserve"> </w:t>
      </w:r>
      <w:r>
        <w:rPr>
          <w:rFonts w:asciiTheme="majorHAnsi" w:hAnsiTheme="majorHAnsi"/>
        </w:rPr>
        <w:t xml:space="preserve"> Exposure may occur in private settings such as homes, or in public settings such as pet stores, schools, summer camps, feed stores, or petting zoos.  During 2011-2013 over 300 people were infected with </w:t>
      </w:r>
      <w:r w:rsidRPr="00277722">
        <w:rPr>
          <w:rFonts w:asciiTheme="majorHAnsi" w:hAnsiTheme="majorHAnsi"/>
          <w:i/>
        </w:rPr>
        <w:t>Salmonella</w:t>
      </w:r>
      <w:r>
        <w:rPr>
          <w:rFonts w:asciiTheme="majorHAnsi" w:hAnsiTheme="majorHAnsi"/>
        </w:rPr>
        <w:t xml:space="preserve"> due to illegally acquired turtles with a s</w:t>
      </w:r>
      <w:r w:rsidR="001A4FF7">
        <w:rPr>
          <w:rFonts w:asciiTheme="majorHAnsi" w:hAnsiTheme="majorHAnsi"/>
        </w:rPr>
        <w:t>hell length less than 4 inches. S</w:t>
      </w:r>
      <w:r>
        <w:rPr>
          <w:rFonts w:asciiTheme="majorHAnsi" w:hAnsiTheme="majorHAnsi"/>
        </w:rPr>
        <w:t>ince the 1990s</w:t>
      </w:r>
      <w:r w:rsidR="001A4FF7">
        <w:rPr>
          <w:rFonts w:asciiTheme="majorHAnsi" w:hAnsiTheme="majorHAnsi"/>
        </w:rPr>
        <w:t>,</w:t>
      </w:r>
      <w:r>
        <w:rPr>
          <w:rFonts w:asciiTheme="majorHAnsi" w:hAnsiTheme="majorHAnsi"/>
        </w:rPr>
        <w:t xml:space="preserve"> 1367 people </w:t>
      </w:r>
      <w:r w:rsidR="001A4FF7">
        <w:rPr>
          <w:rFonts w:asciiTheme="majorHAnsi" w:hAnsiTheme="majorHAnsi"/>
        </w:rPr>
        <w:t xml:space="preserve">have been </w:t>
      </w:r>
      <w:r>
        <w:rPr>
          <w:rFonts w:asciiTheme="majorHAnsi" w:hAnsiTheme="majorHAnsi"/>
        </w:rPr>
        <w:t xml:space="preserve">infected with </w:t>
      </w:r>
      <w:r w:rsidRPr="00277722">
        <w:rPr>
          <w:rFonts w:asciiTheme="majorHAnsi" w:hAnsiTheme="majorHAnsi"/>
          <w:i/>
        </w:rPr>
        <w:t>Salmonella</w:t>
      </w:r>
      <w:r>
        <w:rPr>
          <w:rFonts w:asciiTheme="majorHAnsi" w:hAnsiTheme="majorHAnsi"/>
        </w:rPr>
        <w:t xml:space="preserve"> </w:t>
      </w:r>
      <w:r w:rsidRPr="002354F1">
        <w:rPr>
          <w:rFonts w:asciiTheme="majorHAnsi" w:hAnsiTheme="majorHAnsi"/>
        </w:rPr>
        <w:t xml:space="preserve">due to live poultry exposure.  During 2012 greater than 60 people were infected with </w:t>
      </w:r>
      <w:r w:rsidRPr="002354F1">
        <w:rPr>
          <w:rFonts w:asciiTheme="majorHAnsi" w:hAnsiTheme="majorHAnsi"/>
          <w:i/>
        </w:rPr>
        <w:t>E. coli</w:t>
      </w:r>
      <w:r w:rsidRPr="002354F1">
        <w:rPr>
          <w:rFonts w:asciiTheme="majorHAnsi" w:hAnsiTheme="majorHAnsi"/>
        </w:rPr>
        <w:t xml:space="preserve"> O157:H7 at the North Carolina state fair; one child died as a result of his </w:t>
      </w:r>
      <w:r w:rsidRPr="002354F1">
        <w:rPr>
          <w:rFonts w:asciiTheme="majorHAnsi" w:hAnsiTheme="majorHAnsi"/>
          <w:i/>
        </w:rPr>
        <w:t>E. coli</w:t>
      </w:r>
      <w:r w:rsidRPr="002354F1">
        <w:rPr>
          <w:rFonts w:asciiTheme="majorHAnsi" w:hAnsiTheme="majorHAnsi"/>
        </w:rPr>
        <w:t xml:space="preserve"> infection. </w:t>
      </w:r>
    </w:p>
    <w:p w:rsidR="00F677C6" w:rsidRDefault="00F677C6" w:rsidP="00612A1A">
      <w:pPr>
        <w:pStyle w:val="Header"/>
        <w:ind w:left="270"/>
        <w:contextualSpacing/>
        <w:rPr>
          <w:rFonts w:asciiTheme="majorHAnsi" w:hAnsiTheme="majorHAnsi"/>
        </w:rPr>
      </w:pPr>
    </w:p>
    <w:p w:rsidR="00F677C6" w:rsidRDefault="00F677C6" w:rsidP="00612A1A">
      <w:pPr>
        <w:spacing w:line="240" w:lineRule="auto"/>
        <w:ind w:left="270"/>
        <w:contextualSpacing/>
        <w:rPr>
          <w:rFonts w:asciiTheme="majorHAnsi" w:hAnsiTheme="majorHAnsi"/>
        </w:rPr>
      </w:pPr>
      <w:r w:rsidRPr="00325B29">
        <w:rPr>
          <w:rFonts w:asciiTheme="majorHAnsi" w:hAnsiTheme="majorHAnsi"/>
        </w:rPr>
        <w:t xml:space="preserve">Reptiles and amphibians are popular pets with many families. </w:t>
      </w:r>
      <w:r w:rsidRPr="00BD7767">
        <w:rPr>
          <w:rFonts w:asciiTheme="majorHAnsi" w:hAnsiTheme="majorHAnsi"/>
        </w:rPr>
        <w:t>Turtles, frogs, iguanas, snakes, geckos, horned toads, salamanders, and chameleons are colorful, quiet, and often kept as pets.  Reptiles and amphibians</w:t>
      </w:r>
      <w:r>
        <w:rPr>
          <w:rFonts w:asciiTheme="majorHAnsi" w:hAnsiTheme="majorHAnsi"/>
        </w:rPr>
        <w:t xml:space="preserve"> can carry and shed</w:t>
      </w:r>
      <w:r w:rsidRPr="00BD7767">
        <w:rPr>
          <w:rFonts w:asciiTheme="majorHAnsi" w:hAnsiTheme="majorHAnsi"/>
        </w:rPr>
        <w:t xml:space="preserve"> </w:t>
      </w:r>
      <w:r w:rsidRPr="00BD7767">
        <w:rPr>
          <w:rFonts w:asciiTheme="majorHAnsi" w:hAnsiTheme="majorHAnsi"/>
          <w:i/>
        </w:rPr>
        <w:t>Salmonella</w:t>
      </w:r>
      <w:r w:rsidRPr="00BD7767">
        <w:rPr>
          <w:rFonts w:asciiTheme="majorHAnsi" w:hAnsiTheme="majorHAnsi"/>
        </w:rPr>
        <w:t xml:space="preserve"> </w:t>
      </w:r>
      <w:r>
        <w:rPr>
          <w:rFonts w:asciiTheme="majorHAnsi" w:hAnsiTheme="majorHAnsi"/>
        </w:rPr>
        <w:t>bacteria</w:t>
      </w:r>
      <w:r w:rsidRPr="00BD7767">
        <w:rPr>
          <w:rFonts w:asciiTheme="majorHAnsi" w:hAnsiTheme="majorHAnsi"/>
        </w:rPr>
        <w:t xml:space="preserve"> even when t</w:t>
      </w:r>
      <w:r>
        <w:rPr>
          <w:rFonts w:asciiTheme="majorHAnsi" w:hAnsiTheme="majorHAnsi"/>
        </w:rPr>
        <w:t>hey appear healthy and clean</w:t>
      </w:r>
      <w:r w:rsidRPr="00BD7767">
        <w:rPr>
          <w:rFonts w:asciiTheme="majorHAnsi" w:hAnsiTheme="majorHAnsi"/>
        </w:rPr>
        <w:t>.</w:t>
      </w:r>
      <w:r w:rsidRPr="0049341F">
        <w:rPr>
          <w:rFonts w:asciiTheme="majorHAnsi" w:hAnsiTheme="majorHAnsi"/>
          <w:vertAlign w:val="superscript"/>
        </w:rPr>
        <w:t>47</w:t>
      </w:r>
      <w:r w:rsidRPr="00BD7767">
        <w:rPr>
          <w:rFonts w:asciiTheme="majorHAnsi" w:hAnsiTheme="majorHAnsi"/>
        </w:rPr>
        <w:t xml:space="preserve">  </w:t>
      </w:r>
      <w:r w:rsidRPr="00C85607">
        <w:rPr>
          <w:rFonts w:asciiTheme="majorHAnsi" w:hAnsiTheme="majorHAnsi"/>
        </w:rPr>
        <w:t xml:space="preserve">Studies conducted during 1996--1997 determined that approximately 74,000 </w:t>
      </w:r>
      <w:r w:rsidRPr="00BD7767">
        <w:rPr>
          <w:rFonts w:asciiTheme="majorHAnsi" w:hAnsiTheme="majorHAnsi"/>
          <w:i/>
        </w:rPr>
        <w:t>Salmonella</w:t>
      </w:r>
      <w:r w:rsidRPr="00C85607">
        <w:rPr>
          <w:rFonts w:asciiTheme="majorHAnsi" w:hAnsiTheme="majorHAnsi"/>
        </w:rPr>
        <w:t xml:space="preserve"> infections each year in the United States resulted from r</w:t>
      </w:r>
      <w:r>
        <w:rPr>
          <w:rFonts w:asciiTheme="majorHAnsi" w:hAnsiTheme="majorHAnsi"/>
        </w:rPr>
        <w:t xml:space="preserve">eptile and amphibian </w:t>
      </w:r>
      <w:r w:rsidRPr="00277722">
        <w:rPr>
          <w:rFonts w:asciiTheme="majorHAnsi" w:hAnsiTheme="majorHAnsi"/>
        </w:rPr>
        <w:t>exposure</w:t>
      </w:r>
      <w:r>
        <w:rPr>
          <w:rFonts w:asciiTheme="majorHAnsi" w:hAnsiTheme="majorHAnsi"/>
        </w:rPr>
        <w:t>.</w:t>
      </w:r>
      <w:r w:rsidRPr="00277722">
        <w:rPr>
          <w:rFonts w:asciiTheme="majorHAnsi" w:hAnsiTheme="majorHAnsi"/>
          <w:vertAlign w:val="superscript"/>
        </w:rPr>
        <w:t>13</w:t>
      </w:r>
      <w:r w:rsidRPr="00C85607">
        <w:rPr>
          <w:rFonts w:asciiTheme="majorHAnsi" w:hAnsiTheme="majorHAnsi"/>
        </w:rPr>
        <w:t xml:space="preserve"> </w:t>
      </w:r>
      <w:r>
        <w:rPr>
          <w:rFonts w:asciiTheme="majorHAnsi" w:hAnsiTheme="majorHAnsi"/>
        </w:rPr>
        <w:t>Past investigations include illness in children linked to snakes, iguanas, and bearded dragons.</w:t>
      </w:r>
      <w:r w:rsidRPr="001417CE">
        <w:rPr>
          <w:rFonts w:asciiTheme="majorHAnsi" w:hAnsiTheme="majorHAnsi"/>
          <w:vertAlign w:val="superscript"/>
        </w:rPr>
        <w:t>5-11, 14, 17, 18</w:t>
      </w:r>
      <w:r>
        <w:rPr>
          <w:rFonts w:asciiTheme="majorHAnsi" w:hAnsiTheme="majorHAnsi"/>
        </w:rPr>
        <w:t xml:space="preserve"> </w:t>
      </w:r>
      <w:r w:rsidR="001A4FF7">
        <w:rPr>
          <w:rFonts w:asciiTheme="majorHAnsi" w:hAnsiTheme="majorHAnsi"/>
        </w:rPr>
        <w:t>L</w:t>
      </w:r>
      <w:r w:rsidR="001A4FF7" w:rsidRPr="00C446C9">
        <w:rPr>
          <w:rFonts w:asciiTheme="majorHAnsi" w:hAnsiTheme="majorHAnsi"/>
        </w:rPr>
        <w:t xml:space="preserve">ive or frozen rodents, which can also be infected with </w:t>
      </w:r>
      <w:r w:rsidR="001A4FF7" w:rsidRPr="00C446C9">
        <w:rPr>
          <w:rFonts w:asciiTheme="majorHAnsi" w:hAnsiTheme="majorHAnsi"/>
          <w:i/>
        </w:rPr>
        <w:t>Salmonella</w:t>
      </w:r>
      <w:r w:rsidR="001A4FF7">
        <w:rPr>
          <w:rFonts w:asciiTheme="majorHAnsi" w:hAnsiTheme="majorHAnsi"/>
          <w:i/>
        </w:rPr>
        <w:t xml:space="preserve">, </w:t>
      </w:r>
      <w:r w:rsidR="001A4FF7" w:rsidRPr="001A4FF7">
        <w:rPr>
          <w:rFonts w:asciiTheme="majorHAnsi" w:hAnsiTheme="majorHAnsi"/>
        </w:rPr>
        <w:t xml:space="preserve">are </w:t>
      </w:r>
      <w:r w:rsidR="001A4FF7">
        <w:rPr>
          <w:rFonts w:asciiTheme="majorHAnsi" w:hAnsiTheme="majorHAnsi"/>
        </w:rPr>
        <w:t>frequently</w:t>
      </w:r>
      <w:r w:rsidR="001A4FF7" w:rsidRPr="00C446C9">
        <w:rPr>
          <w:rFonts w:asciiTheme="majorHAnsi" w:hAnsiTheme="majorHAnsi"/>
        </w:rPr>
        <w:t xml:space="preserve"> fed</w:t>
      </w:r>
      <w:r w:rsidR="001A4FF7">
        <w:rPr>
          <w:rFonts w:asciiTheme="majorHAnsi" w:hAnsiTheme="majorHAnsi"/>
        </w:rPr>
        <w:t xml:space="preserve"> to carnivorous snakes and amphibians.</w:t>
      </w:r>
      <w:r w:rsidR="001A4FF7" w:rsidRPr="00281DE5">
        <w:rPr>
          <w:rFonts w:asciiTheme="majorHAnsi" w:hAnsiTheme="majorHAnsi"/>
          <w:vertAlign w:val="superscript"/>
        </w:rPr>
        <w:t>37-41</w:t>
      </w:r>
      <w:r w:rsidR="001A4FF7">
        <w:rPr>
          <w:rFonts w:asciiTheme="majorHAnsi" w:hAnsiTheme="majorHAnsi"/>
        </w:rPr>
        <w:t xml:space="preserve">   Backyard poultry flocks are also </w:t>
      </w:r>
      <w:r w:rsidR="001A4FF7">
        <w:rPr>
          <w:rFonts w:asciiTheme="majorHAnsi" w:hAnsiTheme="majorHAnsi"/>
        </w:rPr>
        <w:lastRenderedPageBreak/>
        <w:t>becoming more popular, and the number of human infections linked to contact with these birds has increased.</w:t>
      </w:r>
      <w:r w:rsidR="001A4FF7" w:rsidRPr="007103B6">
        <w:rPr>
          <w:rFonts w:asciiTheme="majorHAnsi" w:hAnsiTheme="majorHAnsi"/>
          <w:vertAlign w:val="superscript"/>
        </w:rPr>
        <w:t>24-34</w:t>
      </w:r>
      <w:r w:rsidR="001A4FF7">
        <w:rPr>
          <w:rFonts w:asciiTheme="majorHAnsi" w:hAnsiTheme="majorHAnsi"/>
        </w:rPr>
        <w:t xml:space="preserve">    </w:t>
      </w:r>
    </w:p>
    <w:p w:rsidR="00F677C6" w:rsidRPr="001A28F6" w:rsidRDefault="00F677C6" w:rsidP="00612A1A">
      <w:pPr>
        <w:spacing w:after="0"/>
        <w:ind w:left="270"/>
        <w:rPr>
          <w:rFonts w:asciiTheme="majorHAnsi" w:hAnsiTheme="majorHAnsi"/>
        </w:rPr>
      </w:pPr>
    </w:p>
    <w:p w:rsidR="00D47237" w:rsidRPr="00F301FA" w:rsidRDefault="00D47237" w:rsidP="00612A1A">
      <w:pPr>
        <w:pStyle w:val="Header"/>
        <w:ind w:left="270"/>
        <w:rPr>
          <w:rFonts w:asciiTheme="majorHAnsi" w:hAnsiTheme="majorHAnsi"/>
        </w:rPr>
      </w:pPr>
      <w:r w:rsidRPr="00C446C9">
        <w:rPr>
          <w:rFonts w:asciiTheme="majorHAnsi" w:hAnsiTheme="majorHAnsi"/>
        </w:rPr>
        <w:t>Between 1996 and 2010, approximately 150 human infectious disease outbreaks involving animals in public se</w:t>
      </w:r>
      <w:r>
        <w:rPr>
          <w:rFonts w:asciiTheme="majorHAnsi" w:hAnsiTheme="majorHAnsi"/>
        </w:rPr>
        <w:t>ttings were reported to CDC.</w:t>
      </w:r>
      <w:r w:rsidR="009A7DF1">
        <w:rPr>
          <w:rFonts w:asciiTheme="majorHAnsi" w:hAnsiTheme="majorHAnsi"/>
          <w:vertAlign w:val="superscript"/>
        </w:rPr>
        <w:t>48</w:t>
      </w:r>
      <w:r>
        <w:rPr>
          <w:rFonts w:asciiTheme="majorHAnsi" w:hAnsiTheme="majorHAnsi"/>
        </w:rPr>
        <w:t xml:space="preserve"> Venues which allow the public to have direct or indirect contact with animals result in millions of human-animal interactions each year.  These venues may include, but are not limited to, events such as state or county fairs, petting zoos (permanent or traveling), swap meets and exotic animal expositions, pet or feed stores, zoological parks, and educational farms open to the public.  Past outbreaks of human enteric illness associated with animal settings include </w:t>
      </w:r>
      <w:r w:rsidRPr="00F301FA">
        <w:rPr>
          <w:rFonts w:asciiTheme="majorHAnsi" w:hAnsiTheme="majorHAnsi"/>
          <w:i/>
        </w:rPr>
        <w:t>Escherichia coli</w:t>
      </w:r>
      <w:r>
        <w:rPr>
          <w:rFonts w:asciiTheme="majorHAnsi" w:hAnsiTheme="majorHAnsi"/>
        </w:rPr>
        <w:t xml:space="preserve"> O157:</w:t>
      </w:r>
      <w:r w:rsidRPr="0069649D">
        <w:rPr>
          <w:rFonts w:asciiTheme="majorHAnsi" w:hAnsiTheme="majorHAnsi"/>
        </w:rPr>
        <w:t>H7</w:t>
      </w:r>
      <w:r w:rsidRPr="0069649D">
        <w:rPr>
          <w:rFonts w:asciiTheme="majorHAnsi" w:hAnsiTheme="majorHAnsi"/>
          <w:vertAlign w:val="superscript"/>
        </w:rPr>
        <w:t>4</w:t>
      </w:r>
      <w:r w:rsidR="009A7DF1">
        <w:rPr>
          <w:rFonts w:asciiTheme="majorHAnsi" w:hAnsiTheme="majorHAnsi"/>
          <w:vertAlign w:val="superscript"/>
        </w:rPr>
        <w:t>9-53</w:t>
      </w:r>
      <w:r>
        <w:rPr>
          <w:rFonts w:asciiTheme="majorHAnsi" w:hAnsiTheme="majorHAnsi"/>
        </w:rPr>
        <w:t xml:space="preserve">, </w:t>
      </w:r>
      <w:r w:rsidRPr="00F301FA">
        <w:rPr>
          <w:rFonts w:asciiTheme="majorHAnsi" w:hAnsiTheme="majorHAnsi"/>
          <w:i/>
        </w:rPr>
        <w:t>Salmonella</w:t>
      </w:r>
      <w:r w:rsidR="009A7DF1">
        <w:rPr>
          <w:rFonts w:asciiTheme="majorHAnsi" w:hAnsiTheme="majorHAnsi"/>
          <w:vertAlign w:val="superscript"/>
        </w:rPr>
        <w:t>54</w:t>
      </w:r>
      <w:r>
        <w:rPr>
          <w:rFonts w:asciiTheme="majorHAnsi" w:hAnsiTheme="majorHAnsi"/>
        </w:rPr>
        <w:t xml:space="preserve">, and </w:t>
      </w:r>
      <w:r w:rsidRPr="00F301FA">
        <w:rPr>
          <w:rFonts w:asciiTheme="majorHAnsi" w:hAnsiTheme="majorHAnsi"/>
          <w:i/>
        </w:rPr>
        <w:t>Cryptosporidium</w:t>
      </w:r>
      <w:r w:rsidR="009A7DF1">
        <w:rPr>
          <w:rFonts w:asciiTheme="majorHAnsi" w:hAnsiTheme="majorHAnsi"/>
          <w:vertAlign w:val="superscript"/>
        </w:rPr>
        <w:t>55</w:t>
      </w:r>
      <w:r>
        <w:rPr>
          <w:rFonts w:asciiTheme="majorHAnsi" w:hAnsiTheme="majorHAnsi"/>
        </w:rPr>
        <w:t>. Some states, such as North Carolina</w:t>
      </w:r>
      <w:r w:rsidR="009A7DF1">
        <w:rPr>
          <w:rFonts w:asciiTheme="majorHAnsi" w:hAnsiTheme="majorHAnsi"/>
          <w:vertAlign w:val="superscript"/>
        </w:rPr>
        <w:t>56</w:t>
      </w:r>
      <w:r>
        <w:rPr>
          <w:rFonts w:asciiTheme="majorHAnsi" w:hAnsiTheme="majorHAnsi"/>
        </w:rPr>
        <w:t xml:space="preserve"> have enacted laws designed to reduce the public risk of exposure to animal diseases in public settings.  </w:t>
      </w:r>
    </w:p>
    <w:p w:rsidR="00D47237" w:rsidRDefault="00D47237" w:rsidP="00612A1A">
      <w:pPr>
        <w:pStyle w:val="Header"/>
        <w:tabs>
          <w:tab w:val="clear" w:pos="4680"/>
        </w:tabs>
        <w:spacing w:line="276" w:lineRule="auto"/>
        <w:ind w:left="270"/>
        <w:rPr>
          <w:rFonts w:asciiTheme="majorHAnsi" w:hAnsiTheme="majorHAnsi"/>
        </w:rPr>
      </w:pPr>
    </w:p>
    <w:p w:rsidR="00D47237" w:rsidRDefault="00D47237" w:rsidP="00612A1A">
      <w:pPr>
        <w:pStyle w:val="Header"/>
        <w:tabs>
          <w:tab w:val="clear" w:pos="4680"/>
        </w:tabs>
        <w:ind w:left="270"/>
        <w:rPr>
          <w:rFonts w:asciiTheme="majorHAnsi" w:hAnsiTheme="majorHAnsi"/>
        </w:rPr>
      </w:pPr>
      <w:r w:rsidRPr="00543EFA">
        <w:rPr>
          <w:rFonts w:asciiTheme="majorHAnsi" w:hAnsiTheme="majorHAnsi"/>
        </w:rPr>
        <w:t>While federal laws do exist prohibiting the sale</w:t>
      </w:r>
      <w:r>
        <w:rPr>
          <w:rFonts w:asciiTheme="majorHAnsi" w:hAnsiTheme="majorHAnsi"/>
        </w:rPr>
        <w:t>, importation,</w:t>
      </w:r>
      <w:r w:rsidRPr="00543EFA">
        <w:rPr>
          <w:rFonts w:asciiTheme="majorHAnsi" w:hAnsiTheme="majorHAnsi"/>
        </w:rPr>
        <w:t xml:space="preserve"> and transportation of certain</w:t>
      </w:r>
      <w:r>
        <w:rPr>
          <w:rFonts w:asciiTheme="majorHAnsi" w:hAnsiTheme="majorHAnsi"/>
        </w:rPr>
        <w:t xml:space="preserve"> animals, more often than not these laws are for the protection of native species, not human health.</w:t>
      </w:r>
      <w:r w:rsidR="009A7DF1">
        <w:rPr>
          <w:rFonts w:asciiTheme="majorHAnsi" w:hAnsiTheme="majorHAnsi"/>
          <w:vertAlign w:val="superscript"/>
        </w:rPr>
        <w:t>56-58</w:t>
      </w:r>
      <w:r>
        <w:rPr>
          <w:rFonts w:asciiTheme="majorHAnsi" w:hAnsiTheme="majorHAnsi"/>
        </w:rPr>
        <w:t xml:space="preserve"> </w:t>
      </w:r>
      <w:r w:rsidR="00F41568">
        <w:rPr>
          <w:rFonts w:asciiTheme="majorHAnsi" w:hAnsiTheme="majorHAnsi"/>
        </w:rPr>
        <w:t>State laws vary regar</w:t>
      </w:r>
      <w:r w:rsidR="00F41568" w:rsidRPr="00543EFA">
        <w:rPr>
          <w:rFonts w:asciiTheme="majorHAnsi" w:hAnsiTheme="majorHAnsi"/>
        </w:rPr>
        <w:t xml:space="preserve">ding </w:t>
      </w:r>
      <w:r w:rsidR="00F41568">
        <w:rPr>
          <w:rFonts w:asciiTheme="majorHAnsi" w:hAnsiTheme="majorHAnsi"/>
        </w:rPr>
        <w:t>the</w:t>
      </w:r>
      <w:r w:rsidR="00F41568" w:rsidRPr="00543EFA">
        <w:rPr>
          <w:rFonts w:asciiTheme="majorHAnsi" w:hAnsiTheme="majorHAnsi"/>
        </w:rPr>
        <w:t xml:space="preserve"> types of “exotic” animals</w:t>
      </w:r>
      <w:r w:rsidR="00F41568">
        <w:rPr>
          <w:rFonts w:asciiTheme="majorHAnsi" w:hAnsiTheme="majorHAnsi"/>
        </w:rPr>
        <w:t xml:space="preserve"> that</w:t>
      </w:r>
      <w:r w:rsidR="00F41568" w:rsidRPr="00543EFA">
        <w:rPr>
          <w:rFonts w:asciiTheme="majorHAnsi" w:hAnsiTheme="majorHAnsi"/>
        </w:rPr>
        <w:t xml:space="preserve"> can be sold, transported, or kept as pets.  </w:t>
      </w:r>
      <w:r w:rsidR="00F41568">
        <w:rPr>
          <w:rFonts w:asciiTheme="majorHAnsi" w:hAnsiTheme="majorHAnsi"/>
        </w:rPr>
        <w:t>In 1975 t</w:t>
      </w:r>
      <w:r>
        <w:rPr>
          <w:rFonts w:asciiTheme="majorHAnsi" w:hAnsiTheme="majorHAnsi"/>
        </w:rPr>
        <w:t xml:space="preserve">he FDA </w:t>
      </w:r>
      <w:r w:rsidR="009A7DF1">
        <w:rPr>
          <w:rFonts w:asciiTheme="majorHAnsi" w:hAnsiTheme="majorHAnsi"/>
        </w:rPr>
        <w:t>enacted a ban to prevent the sale of turtles with a carapace (shell length) of less than 4”</w:t>
      </w:r>
      <w:r w:rsidR="00F41568">
        <w:rPr>
          <w:rFonts w:asciiTheme="majorHAnsi" w:hAnsiTheme="majorHAnsi"/>
        </w:rPr>
        <w:t xml:space="preserve">; this </w:t>
      </w:r>
      <w:r>
        <w:rPr>
          <w:rFonts w:asciiTheme="majorHAnsi" w:hAnsiTheme="majorHAnsi"/>
        </w:rPr>
        <w:t>is the only ban placed on the sale of a previously popular species kept as a pet in order to protect human health.</w:t>
      </w:r>
      <w:r w:rsidR="009A7DF1" w:rsidRPr="009A7DF1">
        <w:rPr>
          <w:rFonts w:asciiTheme="majorHAnsi" w:hAnsiTheme="majorHAnsi"/>
          <w:vertAlign w:val="superscript"/>
        </w:rPr>
        <w:t>59</w:t>
      </w:r>
      <w:r w:rsidRPr="00543EFA">
        <w:rPr>
          <w:rFonts w:asciiTheme="majorHAnsi" w:hAnsiTheme="majorHAnsi"/>
        </w:rPr>
        <w:t xml:space="preserve"> </w:t>
      </w:r>
      <w:r>
        <w:rPr>
          <w:rFonts w:asciiTheme="majorHAnsi" w:hAnsiTheme="majorHAnsi"/>
        </w:rPr>
        <w:t xml:space="preserve">  </w:t>
      </w:r>
      <w:r w:rsidR="002474CF">
        <w:rPr>
          <w:rFonts w:asciiTheme="majorHAnsi" w:hAnsiTheme="majorHAnsi"/>
        </w:rPr>
        <w:t>This law is repeatedly violated however, and this assessment will provid</w:t>
      </w:r>
      <w:r w:rsidR="001A4FF7">
        <w:rPr>
          <w:rFonts w:asciiTheme="majorHAnsi" w:hAnsiTheme="majorHAnsi"/>
        </w:rPr>
        <w:t>e a better understanding state and l</w:t>
      </w:r>
      <w:r w:rsidR="002474CF">
        <w:rPr>
          <w:rFonts w:asciiTheme="majorHAnsi" w:hAnsiTheme="majorHAnsi"/>
        </w:rPr>
        <w:t xml:space="preserve">ocal abilities to prevent the sale of small turtles, independent of the FDA ban. </w:t>
      </w:r>
      <w:r w:rsidR="00F41568">
        <w:rPr>
          <w:rFonts w:asciiTheme="majorHAnsi" w:hAnsiTheme="majorHAnsi"/>
        </w:rPr>
        <w:t xml:space="preserve"> </w:t>
      </w:r>
      <w:r w:rsidR="0029021A" w:rsidRPr="0029021A">
        <w:rPr>
          <w:rFonts w:asciiTheme="majorHAnsi" w:hAnsiTheme="majorHAnsi"/>
          <w:b/>
        </w:rPr>
        <w:t>(Attachment A: References</w:t>
      </w:r>
      <w:r w:rsidR="0029021A">
        <w:rPr>
          <w:rFonts w:asciiTheme="majorHAnsi" w:hAnsiTheme="majorHAnsi"/>
        </w:rPr>
        <w:t>)</w:t>
      </w:r>
    </w:p>
    <w:p w:rsidR="00D47237" w:rsidRDefault="00D47237" w:rsidP="00612A1A">
      <w:pPr>
        <w:pStyle w:val="Header"/>
        <w:tabs>
          <w:tab w:val="clear" w:pos="4680"/>
        </w:tabs>
        <w:spacing w:line="276" w:lineRule="auto"/>
        <w:ind w:left="270"/>
        <w:rPr>
          <w:rFonts w:asciiTheme="majorHAnsi" w:hAnsiTheme="majorHAnsi"/>
        </w:rPr>
      </w:pPr>
    </w:p>
    <w:p w:rsidR="00F41568" w:rsidRDefault="00D47237" w:rsidP="00612A1A">
      <w:pPr>
        <w:pStyle w:val="ListParagraph"/>
        <w:spacing w:after="0" w:line="240" w:lineRule="auto"/>
        <w:ind w:left="270"/>
        <w:rPr>
          <w:rFonts w:asciiTheme="majorHAnsi" w:hAnsiTheme="majorHAnsi"/>
        </w:rPr>
      </w:pPr>
      <w:r>
        <w:rPr>
          <w:rFonts w:asciiTheme="majorHAnsi" w:hAnsiTheme="majorHAnsi"/>
        </w:rPr>
        <w:t xml:space="preserve">CDC continues to </w:t>
      </w:r>
      <w:r w:rsidR="00214DD0">
        <w:rPr>
          <w:rFonts w:asciiTheme="majorHAnsi" w:hAnsiTheme="majorHAnsi"/>
        </w:rPr>
        <w:t xml:space="preserve">conduct investigations into </w:t>
      </w:r>
      <w:r>
        <w:rPr>
          <w:rFonts w:asciiTheme="majorHAnsi" w:hAnsiTheme="majorHAnsi"/>
        </w:rPr>
        <w:t xml:space="preserve">outbreaks of salmonellosis linked to reptiles, small turtles and live poultry, and recently investigated outbreaks involving captive frogs and both live and frozen rodents used as reptile feed. </w:t>
      </w:r>
      <w:r w:rsidR="00F41568">
        <w:rPr>
          <w:rFonts w:asciiTheme="majorHAnsi" w:hAnsiTheme="majorHAnsi"/>
        </w:rPr>
        <w:t>During 2012 greater than 50% of the enteric bacterial outbreaks investigated by CDC were zoonotic in nature. It is therefore</w:t>
      </w:r>
      <w:r w:rsidR="00214DD0">
        <w:rPr>
          <w:rFonts w:asciiTheme="majorHAnsi" w:hAnsiTheme="majorHAnsi"/>
        </w:rPr>
        <w:t xml:space="preserve"> </w:t>
      </w:r>
      <w:r>
        <w:rPr>
          <w:rFonts w:asciiTheme="majorHAnsi" w:hAnsiTheme="majorHAnsi"/>
        </w:rPr>
        <w:t>i</w:t>
      </w:r>
      <w:r w:rsidR="00F82B2E">
        <w:rPr>
          <w:rFonts w:asciiTheme="majorHAnsi" w:hAnsiTheme="majorHAnsi"/>
        </w:rPr>
        <w:t xml:space="preserve">mportant to assess </w:t>
      </w:r>
      <w:r w:rsidR="00214DD0">
        <w:rPr>
          <w:rFonts w:asciiTheme="majorHAnsi" w:hAnsiTheme="majorHAnsi"/>
        </w:rPr>
        <w:t xml:space="preserve">the state and local </w:t>
      </w:r>
      <w:r>
        <w:rPr>
          <w:rFonts w:asciiTheme="majorHAnsi" w:hAnsiTheme="majorHAnsi"/>
        </w:rPr>
        <w:t xml:space="preserve">regulations </w:t>
      </w:r>
      <w:r w:rsidR="00F82B2E">
        <w:rPr>
          <w:rFonts w:asciiTheme="majorHAnsi" w:hAnsiTheme="majorHAnsi"/>
        </w:rPr>
        <w:t xml:space="preserve">and policies regarding </w:t>
      </w:r>
      <w:r>
        <w:rPr>
          <w:rFonts w:asciiTheme="majorHAnsi" w:hAnsiTheme="majorHAnsi"/>
        </w:rPr>
        <w:t xml:space="preserve">the sale, display or exhibition of these “exotic” animals.  </w:t>
      </w:r>
      <w:r w:rsidR="00F41568">
        <w:rPr>
          <w:rFonts w:asciiTheme="majorHAnsi" w:hAnsiTheme="majorHAnsi"/>
        </w:rPr>
        <w:t xml:space="preserve">The data collected </w:t>
      </w:r>
      <w:r w:rsidR="00F41568" w:rsidRPr="00C050BE">
        <w:rPr>
          <w:rFonts w:asciiTheme="majorHAnsi" w:hAnsiTheme="majorHAnsi"/>
        </w:rPr>
        <w:t xml:space="preserve">under this assessment will assist CDC </w:t>
      </w:r>
      <w:r w:rsidR="00F41568">
        <w:rPr>
          <w:rFonts w:asciiTheme="majorHAnsi" w:hAnsiTheme="majorHAnsi"/>
        </w:rPr>
        <w:t xml:space="preserve">in </w:t>
      </w:r>
      <w:r w:rsidR="00F41568" w:rsidRPr="00C050BE">
        <w:rPr>
          <w:rFonts w:asciiTheme="majorHAnsi" w:hAnsiTheme="majorHAnsi"/>
        </w:rPr>
        <w:t xml:space="preserve">better understanding </w:t>
      </w:r>
      <w:r w:rsidR="00F41568">
        <w:rPr>
          <w:rFonts w:asciiTheme="majorHAnsi" w:hAnsiTheme="majorHAnsi"/>
        </w:rPr>
        <w:t>state and local health department’s</w:t>
      </w:r>
      <w:r w:rsidR="00F41568" w:rsidRPr="00C050BE">
        <w:rPr>
          <w:rFonts w:asciiTheme="majorHAnsi" w:hAnsiTheme="majorHAnsi"/>
        </w:rPr>
        <w:t xml:space="preserve"> abilities to</w:t>
      </w:r>
      <w:r w:rsidR="00F41568">
        <w:rPr>
          <w:rFonts w:asciiTheme="majorHAnsi" w:hAnsiTheme="majorHAnsi"/>
        </w:rPr>
        <w:t>:</w:t>
      </w:r>
      <w:r w:rsidR="00F41568" w:rsidRPr="00C050BE">
        <w:rPr>
          <w:rFonts w:asciiTheme="majorHAnsi" w:hAnsiTheme="majorHAnsi"/>
        </w:rPr>
        <w:t xml:space="preserve"> confiscate animals during an outbreak of human illness associated with the animal, </w:t>
      </w:r>
      <w:r w:rsidR="00F41568">
        <w:rPr>
          <w:rFonts w:asciiTheme="majorHAnsi" w:hAnsiTheme="majorHAnsi"/>
        </w:rPr>
        <w:t>provide education to</w:t>
      </w:r>
      <w:r w:rsidR="00F41568" w:rsidRPr="00C050BE">
        <w:rPr>
          <w:rFonts w:asciiTheme="majorHAnsi" w:hAnsiTheme="majorHAnsi"/>
        </w:rPr>
        <w:t xml:space="preserve"> consumers, and regulate animal entrance to certain facilities such as daycares and nursing homes.  All information gathered from this data collection will be useful to CDC and other federal agencies </w:t>
      </w:r>
      <w:r w:rsidR="00F41568">
        <w:rPr>
          <w:rFonts w:asciiTheme="majorHAnsi" w:hAnsiTheme="majorHAnsi"/>
        </w:rPr>
        <w:t xml:space="preserve">during </w:t>
      </w:r>
      <w:r w:rsidR="00F41568" w:rsidRPr="00C050BE">
        <w:rPr>
          <w:rFonts w:asciiTheme="majorHAnsi" w:hAnsiTheme="majorHAnsi"/>
        </w:rPr>
        <w:t>investigat</w:t>
      </w:r>
      <w:r w:rsidR="00F41568">
        <w:rPr>
          <w:rFonts w:asciiTheme="majorHAnsi" w:hAnsiTheme="majorHAnsi"/>
        </w:rPr>
        <w:t>ions</w:t>
      </w:r>
      <w:r w:rsidR="00F41568" w:rsidRPr="00C050BE">
        <w:rPr>
          <w:rFonts w:asciiTheme="majorHAnsi" w:hAnsiTheme="majorHAnsi"/>
        </w:rPr>
        <w:t xml:space="preserve"> of animal-related human illness.  </w:t>
      </w:r>
    </w:p>
    <w:p w:rsidR="004F67A8" w:rsidRPr="001A28F6" w:rsidRDefault="004F67A8" w:rsidP="00612A1A">
      <w:pPr>
        <w:spacing w:after="0"/>
        <w:ind w:left="270"/>
        <w:rPr>
          <w:rFonts w:asciiTheme="majorHAnsi" w:hAnsiTheme="majorHAnsi"/>
        </w:rPr>
      </w:pPr>
    </w:p>
    <w:p w:rsidR="006102DA" w:rsidRPr="001A28F6" w:rsidRDefault="006102DA" w:rsidP="00612A1A">
      <w:pPr>
        <w:spacing w:after="0"/>
        <w:ind w:left="270"/>
        <w:rPr>
          <w:rFonts w:asciiTheme="majorHAnsi" w:hAnsiTheme="majorHAnsi"/>
          <w:b/>
        </w:rPr>
      </w:pPr>
      <w:r w:rsidRPr="001A28F6">
        <w:rPr>
          <w:rFonts w:asciiTheme="majorHAnsi" w:hAnsiTheme="majorHAnsi"/>
          <w:b/>
        </w:rPr>
        <w:t>Privacy Impact Assessment</w:t>
      </w:r>
    </w:p>
    <w:p w:rsidR="00D47237" w:rsidRDefault="00D47237" w:rsidP="00612A1A">
      <w:pPr>
        <w:spacing w:after="0" w:line="240" w:lineRule="auto"/>
        <w:ind w:left="270"/>
        <w:rPr>
          <w:rFonts w:asciiTheme="majorHAnsi" w:hAnsiTheme="majorHAnsi"/>
        </w:rPr>
      </w:pPr>
      <w:r w:rsidRPr="001A28F6">
        <w:rPr>
          <w:rFonts w:asciiTheme="majorHAnsi" w:hAnsiTheme="majorHAnsi"/>
          <w:u w:val="single"/>
        </w:rPr>
        <w:t>Overview of the Data Collection System</w:t>
      </w:r>
      <w:r w:rsidRPr="001A28F6">
        <w:rPr>
          <w:rFonts w:asciiTheme="majorHAnsi" w:hAnsiTheme="majorHAnsi"/>
        </w:rPr>
        <w:t xml:space="preserve"> – The data collection system consists of a</w:t>
      </w:r>
      <w:r>
        <w:rPr>
          <w:rFonts w:asciiTheme="majorHAnsi" w:hAnsiTheme="majorHAnsi"/>
        </w:rPr>
        <w:t xml:space="preserve">n instrument built through the </w:t>
      </w:r>
      <w:r w:rsidRPr="00B07E41">
        <w:rPr>
          <w:rFonts w:asciiTheme="majorHAnsi" w:hAnsiTheme="majorHAnsi"/>
        </w:rPr>
        <w:t>MR Interview platform</w:t>
      </w:r>
      <w:r>
        <w:rPr>
          <w:rFonts w:asciiTheme="majorHAnsi" w:hAnsiTheme="majorHAnsi"/>
        </w:rPr>
        <w:t>.</w:t>
      </w:r>
      <w:r w:rsidR="000F3298" w:rsidRPr="000F3298">
        <w:t xml:space="preserve"> </w:t>
      </w:r>
      <w:r w:rsidR="000F3298">
        <w:rPr>
          <w:rFonts w:asciiTheme="majorHAnsi" w:hAnsiTheme="majorHAnsi"/>
        </w:rPr>
        <w:t>MR Interview is</w:t>
      </w:r>
      <w:r w:rsidR="000F3298" w:rsidRPr="000F3298">
        <w:rPr>
          <w:rFonts w:asciiTheme="majorHAnsi" w:hAnsiTheme="majorHAnsi"/>
        </w:rPr>
        <w:t xml:space="preserve"> a component of IBM SPSS Data Collection suite of tools that allow users to develop surveys/data collection instruments for use on-line and manage the data post data collection.  It allows for very complex data collection efforts (complex branching, etc</w:t>
      </w:r>
      <w:r w:rsidR="000F3298">
        <w:rPr>
          <w:rFonts w:asciiTheme="majorHAnsi" w:hAnsiTheme="majorHAnsi"/>
        </w:rPr>
        <w:t xml:space="preserve">.). </w:t>
      </w:r>
      <w:r>
        <w:rPr>
          <w:rFonts w:asciiTheme="majorHAnsi" w:hAnsiTheme="majorHAnsi"/>
        </w:rPr>
        <w:t>A link to the instrument will be sent to each potential respondent, along with an introductory email and instructions to contact CDC should they not be the appropriate person to respond to the instrument.  Sending a link personalized to each potential respondent will allow the respondent to stop and save their responses should they need to tend to other duti</w:t>
      </w:r>
      <w:r w:rsidR="00F41568">
        <w:rPr>
          <w:rFonts w:asciiTheme="majorHAnsi" w:hAnsiTheme="majorHAnsi"/>
        </w:rPr>
        <w:t xml:space="preserve">es or research their answers </w:t>
      </w:r>
      <w:r w:rsidRPr="001A28F6">
        <w:rPr>
          <w:rFonts w:asciiTheme="majorHAnsi" w:hAnsiTheme="majorHAnsi"/>
        </w:rPr>
        <w:t>(</w:t>
      </w:r>
      <w:r w:rsidRPr="008229E4">
        <w:rPr>
          <w:rFonts w:asciiTheme="majorHAnsi" w:hAnsiTheme="majorHAnsi"/>
          <w:b/>
        </w:rPr>
        <w:t>see Attachment</w:t>
      </w:r>
      <w:r w:rsidR="0029021A">
        <w:rPr>
          <w:rFonts w:asciiTheme="majorHAnsi" w:hAnsiTheme="majorHAnsi"/>
          <w:b/>
        </w:rPr>
        <w:t xml:space="preserve"> B</w:t>
      </w:r>
      <w:r w:rsidR="00F41568">
        <w:rPr>
          <w:rFonts w:asciiTheme="majorHAnsi" w:hAnsiTheme="majorHAnsi"/>
          <w:b/>
        </w:rPr>
        <w:t xml:space="preserve"> –</w:t>
      </w:r>
      <w:r w:rsidR="0029021A">
        <w:rPr>
          <w:rFonts w:asciiTheme="majorHAnsi" w:hAnsiTheme="majorHAnsi"/>
          <w:b/>
        </w:rPr>
        <w:t xml:space="preserve">Data Collection </w:t>
      </w:r>
      <w:r w:rsidR="00F41568">
        <w:rPr>
          <w:rFonts w:asciiTheme="majorHAnsi" w:hAnsiTheme="majorHAnsi"/>
          <w:b/>
        </w:rPr>
        <w:t xml:space="preserve">Instrument: word version </w:t>
      </w:r>
      <w:r w:rsidRPr="008229E4">
        <w:rPr>
          <w:rFonts w:asciiTheme="majorHAnsi" w:hAnsiTheme="majorHAnsi"/>
          <w:b/>
        </w:rPr>
        <w:t>and Attachment</w:t>
      </w:r>
      <w:r w:rsidR="0029021A">
        <w:rPr>
          <w:rFonts w:asciiTheme="majorHAnsi" w:hAnsiTheme="majorHAnsi"/>
          <w:b/>
        </w:rPr>
        <w:t xml:space="preserve"> C</w:t>
      </w:r>
      <w:r>
        <w:rPr>
          <w:rFonts w:asciiTheme="majorHAnsi" w:hAnsiTheme="majorHAnsi"/>
          <w:b/>
        </w:rPr>
        <w:t xml:space="preserve"> </w:t>
      </w:r>
      <w:r w:rsidR="00F41568">
        <w:rPr>
          <w:rFonts w:asciiTheme="majorHAnsi" w:hAnsiTheme="majorHAnsi"/>
          <w:b/>
        </w:rPr>
        <w:t>–</w:t>
      </w:r>
      <w:r>
        <w:rPr>
          <w:rFonts w:asciiTheme="majorHAnsi" w:hAnsiTheme="majorHAnsi"/>
          <w:b/>
        </w:rPr>
        <w:t xml:space="preserve"> </w:t>
      </w:r>
      <w:r w:rsidR="0029021A">
        <w:rPr>
          <w:rFonts w:asciiTheme="majorHAnsi" w:hAnsiTheme="majorHAnsi"/>
          <w:b/>
        </w:rPr>
        <w:t>Data Collection</w:t>
      </w:r>
      <w:r w:rsidR="00F41568">
        <w:rPr>
          <w:rFonts w:asciiTheme="majorHAnsi" w:hAnsiTheme="majorHAnsi"/>
          <w:b/>
        </w:rPr>
        <w:t xml:space="preserve"> Instrument: </w:t>
      </w:r>
      <w:r w:rsidR="003C000D">
        <w:rPr>
          <w:rFonts w:asciiTheme="majorHAnsi" w:hAnsiTheme="majorHAnsi"/>
          <w:b/>
        </w:rPr>
        <w:t>Screen</w:t>
      </w:r>
      <w:r w:rsidR="00B07E41">
        <w:rPr>
          <w:rFonts w:asciiTheme="majorHAnsi" w:hAnsiTheme="majorHAnsi"/>
          <w:b/>
        </w:rPr>
        <w:t>s</w:t>
      </w:r>
      <w:r w:rsidR="003C000D">
        <w:rPr>
          <w:rFonts w:asciiTheme="majorHAnsi" w:hAnsiTheme="majorHAnsi"/>
          <w:b/>
        </w:rPr>
        <w:t>hots</w:t>
      </w:r>
      <w:r>
        <w:rPr>
          <w:rFonts w:asciiTheme="majorHAnsi" w:hAnsiTheme="majorHAnsi"/>
          <w:b/>
        </w:rPr>
        <w:t xml:space="preserve">).   </w:t>
      </w:r>
      <w:r w:rsidRPr="002419C6">
        <w:rPr>
          <w:rFonts w:asciiTheme="majorHAnsi" w:hAnsiTheme="majorHAnsi"/>
        </w:rPr>
        <w:t xml:space="preserve"> </w:t>
      </w:r>
    </w:p>
    <w:p w:rsidR="00D47237" w:rsidRDefault="00D47237" w:rsidP="00F41568">
      <w:pPr>
        <w:spacing w:after="0" w:line="240" w:lineRule="auto"/>
        <w:ind w:left="720"/>
        <w:rPr>
          <w:rFonts w:asciiTheme="majorHAnsi" w:hAnsiTheme="majorHAnsi"/>
        </w:rPr>
      </w:pPr>
    </w:p>
    <w:p w:rsidR="00D47237" w:rsidRDefault="00BB0277" w:rsidP="00612A1A">
      <w:pPr>
        <w:spacing w:after="0" w:line="240" w:lineRule="auto"/>
        <w:ind w:left="270"/>
        <w:rPr>
          <w:rFonts w:asciiTheme="majorHAnsi" w:hAnsiTheme="majorHAnsi"/>
        </w:rPr>
      </w:pPr>
      <w:r>
        <w:rPr>
          <w:rFonts w:asciiTheme="majorHAnsi" w:hAnsiTheme="majorHAnsi"/>
        </w:rPr>
        <w:t>S</w:t>
      </w:r>
      <w:r w:rsidR="00D47237">
        <w:rPr>
          <w:rFonts w:asciiTheme="majorHAnsi" w:hAnsiTheme="majorHAnsi"/>
        </w:rPr>
        <w:t xml:space="preserve">tate and local </w:t>
      </w:r>
      <w:r>
        <w:rPr>
          <w:rFonts w:asciiTheme="majorHAnsi" w:hAnsiTheme="majorHAnsi"/>
        </w:rPr>
        <w:t xml:space="preserve">(county-level) public </w:t>
      </w:r>
      <w:r w:rsidR="00D47237">
        <w:rPr>
          <w:rFonts w:asciiTheme="majorHAnsi" w:hAnsiTheme="majorHAnsi"/>
        </w:rPr>
        <w:t xml:space="preserve">health department veterinarians (i.e., state public </w:t>
      </w:r>
      <w:r w:rsidR="002C73FE">
        <w:rPr>
          <w:rFonts w:asciiTheme="majorHAnsi" w:hAnsiTheme="majorHAnsi"/>
        </w:rPr>
        <w:t xml:space="preserve">health veterinarians, or SPHV) </w:t>
      </w:r>
      <w:r>
        <w:rPr>
          <w:rFonts w:asciiTheme="majorHAnsi" w:hAnsiTheme="majorHAnsi"/>
        </w:rPr>
        <w:t xml:space="preserve">will be queried regarding </w:t>
      </w:r>
      <w:r w:rsidR="00D47237">
        <w:rPr>
          <w:rFonts w:asciiTheme="majorHAnsi" w:hAnsiTheme="majorHAnsi"/>
        </w:rPr>
        <w:t>regulations concerning the sale, display</w:t>
      </w:r>
      <w:r w:rsidR="009C1322">
        <w:rPr>
          <w:rFonts w:asciiTheme="majorHAnsi" w:hAnsiTheme="majorHAnsi"/>
        </w:rPr>
        <w:t>,</w:t>
      </w:r>
      <w:r w:rsidR="00D47237">
        <w:rPr>
          <w:rFonts w:asciiTheme="majorHAnsi" w:hAnsiTheme="majorHAnsi"/>
        </w:rPr>
        <w:t xml:space="preserve"> or exhibition of </w:t>
      </w:r>
      <w:r>
        <w:rPr>
          <w:rFonts w:asciiTheme="majorHAnsi" w:hAnsiTheme="majorHAnsi"/>
        </w:rPr>
        <w:t xml:space="preserve">certain animals </w:t>
      </w:r>
      <w:r w:rsidR="00D47237">
        <w:rPr>
          <w:rFonts w:asciiTheme="majorHAnsi" w:hAnsiTheme="majorHAnsi"/>
        </w:rPr>
        <w:t xml:space="preserve">in their jurisdiction.  </w:t>
      </w:r>
      <w:r w:rsidR="002474CF">
        <w:rPr>
          <w:rFonts w:asciiTheme="majorHAnsi" w:hAnsiTheme="majorHAnsi"/>
        </w:rPr>
        <w:t xml:space="preserve">Targeted respondents include public health </w:t>
      </w:r>
      <w:r w:rsidR="002474CF">
        <w:rPr>
          <w:rFonts w:asciiTheme="majorHAnsi" w:hAnsiTheme="majorHAnsi"/>
        </w:rPr>
        <w:lastRenderedPageBreak/>
        <w:t xml:space="preserve">veterinarians from </w:t>
      </w:r>
      <w:r w:rsidR="00CA2988" w:rsidRPr="002474CF">
        <w:rPr>
          <w:rFonts w:ascii="Georgia" w:hAnsi="Georgia"/>
          <w:color w:val="000000"/>
        </w:rPr>
        <w:t>al</w:t>
      </w:r>
      <w:r w:rsidR="002474CF" w:rsidRPr="002474CF">
        <w:rPr>
          <w:rFonts w:ascii="Georgia" w:hAnsi="Georgia"/>
          <w:color w:val="000000"/>
        </w:rPr>
        <w:t xml:space="preserve">l 50 state health departments, 7 </w:t>
      </w:r>
      <w:r w:rsidR="00CA2988" w:rsidRPr="002474CF">
        <w:rPr>
          <w:rFonts w:ascii="Georgia" w:hAnsi="Georgia"/>
          <w:color w:val="000000"/>
        </w:rPr>
        <w:t xml:space="preserve">local health departments (Los Angeles County, Philadelphia, New </w:t>
      </w:r>
      <w:r w:rsidR="002474CF" w:rsidRPr="002474CF">
        <w:rPr>
          <w:rFonts w:ascii="Georgia" w:hAnsi="Georgia"/>
          <w:color w:val="000000"/>
        </w:rPr>
        <w:t>York City, Chicago, Houston,</w:t>
      </w:r>
      <w:r w:rsidR="00CA2988" w:rsidRPr="002474CF">
        <w:rPr>
          <w:rFonts w:ascii="Georgia" w:hAnsi="Georgia"/>
          <w:color w:val="000000"/>
        </w:rPr>
        <w:t xml:space="preserve"> the District of Columbia</w:t>
      </w:r>
      <w:r w:rsidR="002474CF" w:rsidRPr="002474CF">
        <w:rPr>
          <w:rFonts w:ascii="Georgia" w:hAnsi="Georgia"/>
          <w:color w:val="000000"/>
        </w:rPr>
        <w:t xml:space="preserve"> and Seattle-King County</w:t>
      </w:r>
      <w:r w:rsidR="00CA2988" w:rsidRPr="002474CF">
        <w:rPr>
          <w:rFonts w:ascii="Georgia" w:hAnsi="Georgia"/>
          <w:color w:val="000000"/>
        </w:rPr>
        <w:t xml:space="preserve">), </w:t>
      </w:r>
      <w:r w:rsidR="002474CF">
        <w:rPr>
          <w:rFonts w:ascii="Georgia" w:hAnsi="Georgia"/>
          <w:color w:val="000000"/>
        </w:rPr>
        <w:t xml:space="preserve">as well as Puerto Rico and the 8 Texas health regions. </w:t>
      </w:r>
    </w:p>
    <w:p w:rsidR="007A5D72" w:rsidRDefault="007A5D72" w:rsidP="00612A1A">
      <w:pPr>
        <w:spacing w:after="0"/>
        <w:ind w:left="270"/>
        <w:rPr>
          <w:rFonts w:asciiTheme="majorHAnsi" w:hAnsiTheme="majorHAnsi"/>
        </w:rPr>
      </w:pPr>
    </w:p>
    <w:p w:rsidR="00D47237" w:rsidRPr="00DB39A3" w:rsidRDefault="00D47237" w:rsidP="00612A1A">
      <w:pPr>
        <w:spacing w:after="0" w:line="240" w:lineRule="auto"/>
        <w:ind w:left="270"/>
        <w:rPr>
          <w:rFonts w:asciiTheme="majorHAnsi" w:hAnsiTheme="majorHAnsi"/>
        </w:rPr>
      </w:pPr>
      <w:r>
        <w:rPr>
          <w:rFonts w:asciiTheme="majorHAnsi" w:hAnsiTheme="majorHAnsi"/>
        </w:rPr>
        <w:t xml:space="preserve">The data collection instrument will be administered via the internet and the data returned to CDC </w:t>
      </w:r>
      <w:r w:rsidRPr="005E5615">
        <w:rPr>
          <w:rFonts w:asciiTheme="majorHAnsi" w:hAnsiTheme="majorHAnsi"/>
        </w:rPr>
        <w:t>as a SAS file</w:t>
      </w:r>
      <w:r>
        <w:rPr>
          <w:rFonts w:asciiTheme="majorHAnsi" w:hAnsiTheme="majorHAnsi"/>
        </w:rPr>
        <w:t xml:space="preserve">. The instrument was pilot tested by 5 </w:t>
      </w:r>
      <w:r w:rsidRPr="00FE6A5C">
        <w:rPr>
          <w:rFonts w:asciiTheme="majorHAnsi" w:hAnsiTheme="majorHAnsi"/>
        </w:rPr>
        <w:t xml:space="preserve">public health professionals. </w:t>
      </w:r>
      <w:r>
        <w:rPr>
          <w:rFonts w:asciiTheme="majorHAnsi" w:hAnsiTheme="majorHAnsi"/>
        </w:rPr>
        <w:t>Feedback from this group was used to refine questions as needed, ensure accurate programming and skip patterns, and establish the estimated time required to complete the instrument.</w:t>
      </w:r>
    </w:p>
    <w:p w:rsidR="00D47237" w:rsidRDefault="00D47237" w:rsidP="00612A1A">
      <w:pPr>
        <w:spacing w:after="0" w:line="240" w:lineRule="auto"/>
        <w:ind w:left="270"/>
        <w:rPr>
          <w:rFonts w:asciiTheme="majorHAnsi" w:hAnsiTheme="majorHAnsi"/>
          <w:u w:val="single"/>
        </w:rPr>
      </w:pPr>
    </w:p>
    <w:p w:rsidR="00D47237" w:rsidRPr="00256C80" w:rsidRDefault="00D47237" w:rsidP="00612A1A">
      <w:pPr>
        <w:spacing w:after="0" w:line="240" w:lineRule="auto"/>
        <w:ind w:left="270"/>
        <w:rPr>
          <w:rFonts w:asciiTheme="majorHAnsi" w:hAnsiTheme="majorHAnsi"/>
        </w:rPr>
      </w:pPr>
      <w:r w:rsidRPr="00A96AF7">
        <w:rPr>
          <w:rFonts w:asciiTheme="majorHAnsi" w:hAnsiTheme="majorHAnsi"/>
          <w:u w:val="single"/>
        </w:rPr>
        <w:t>Items of Information to be Collected</w:t>
      </w:r>
      <w:r w:rsidRPr="00D5367E">
        <w:rPr>
          <w:rFonts w:asciiTheme="majorHAnsi" w:hAnsiTheme="majorHAnsi"/>
        </w:rPr>
        <w:t xml:space="preserve"> –</w:t>
      </w:r>
      <w:r>
        <w:rPr>
          <w:rFonts w:asciiTheme="majorHAnsi" w:hAnsiTheme="majorHAnsi"/>
        </w:rPr>
        <w:t xml:space="preserve"> There are a total of </w:t>
      </w:r>
      <w:r w:rsidR="00A96AF7">
        <w:rPr>
          <w:rFonts w:asciiTheme="majorHAnsi" w:hAnsiTheme="majorHAnsi"/>
        </w:rPr>
        <w:t>4</w:t>
      </w:r>
      <w:r w:rsidR="00D3379D">
        <w:rPr>
          <w:rFonts w:asciiTheme="majorHAnsi" w:hAnsiTheme="majorHAnsi"/>
        </w:rPr>
        <w:t>4</w:t>
      </w:r>
      <w:r>
        <w:rPr>
          <w:rFonts w:asciiTheme="majorHAnsi" w:hAnsiTheme="majorHAnsi"/>
        </w:rPr>
        <w:t xml:space="preserve"> potential questions on the instrument. Skip patterns are built into the instrument to allow tailoring so that </w:t>
      </w:r>
      <w:r w:rsidRPr="00AF688F">
        <w:rPr>
          <w:rFonts w:asciiTheme="majorHAnsi" w:hAnsiTheme="majorHAnsi"/>
        </w:rPr>
        <w:t>respondents are only asked certain questions based on their answers to previous questions.  There are 1</w:t>
      </w:r>
      <w:r w:rsidR="00AF688F" w:rsidRPr="00AF688F">
        <w:rPr>
          <w:rFonts w:asciiTheme="majorHAnsi" w:hAnsiTheme="majorHAnsi"/>
        </w:rPr>
        <w:t>4</w:t>
      </w:r>
      <w:r w:rsidRPr="00AF688F">
        <w:rPr>
          <w:rFonts w:asciiTheme="majorHAnsi" w:hAnsiTheme="majorHAnsi"/>
        </w:rPr>
        <w:t xml:space="preserve"> core questions that will be asked of all respondents.  There are an additional 2</w:t>
      </w:r>
      <w:r w:rsidR="00AF688F" w:rsidRPr="00AF688F">
        <w:rPr>
          <w:rFonts w:asciiTheme="majorHAnsi" w:hAnsiTheme="majorHAnsi"/>
        </w:rPr>
        <w:t>9</w:t>
      </w:r>
      <w:r w:rsidRPr="00AF688F">
        <w:rPr>
          <w:rFonts w:asciiTheme="majorHAnsi" w:hAnsiTheme="majorHAnsi"/>
        </w:rPr>
        <w:t xml:space="preserve"> sub-questions that may or may not be asked, based on</w:t>
      </w:r>
      <w:r w:rsidR="00AF688F">
        <w:rPr>
          <w:rFonts w:asciiTheme="majorHAnsi" w:hAnsiTheme="majorHAnsi"/>
        </w:rPr>
        <w:t xml:space="preserve"> respondent answers to the core questions</w:t>
      </w:r>
      <w:r w:rsidR="0029021A">
        <w:rPr>
          <w:rFonts w:asciiTheme="majorHAnsi" w:hAnsiTheme="majorHAnsi"/>
        </w:rPr>
        <w:t xml:space="preserve">. </w:t>
      </w:r>
      <w:r w:rsidRPr="00F1699C">
        <w:rPr>
          <w:rFonts w:asciiTheme="majorHAnsi" w:hAnsiTheme="majorHAnsi"/>
        </w:rPr>
        <w:t xml:space="preserve">There </w:t>
      </w:r>
      <w:r w:rsidRPr="00256C80">
        <w:rPr>
          <w:rFonts w:asciiTheme="majorHAnsi" w:hAnsiTheme="majorHAnsi"/>
        </w:rPr>
        <w:t>are 1</w:t>
      </w:r>
      <w:r w:rsidR="00D3379D" w:rsidRPr="00256C80">
        <w:rPr>
          <w:rFonts w:asciiTheme="majorHAnsi" w:hAnsiTheme="majorHAnsi"/>
        </w:rPr>
        <w:t>5</w:t>
      </w:r>
      <w:r w:rsidRPr="00256C80">
        <w:rPr>
          <w:rFonts w:asciiTheme="majorHAnsi" w:hAnsiTheme="majorHAnsi"/>
        </w:rPr>
        <w:t xml:space="preserve"> questions which utilize </w:t>
      </w:r>
      <w:proofErr w:type="spellStart"/>
      <w:r w:rsidRPr="00256C80">
        <w:rPr>
          <w:rFonts w:asciiTheme="majorHAnsi" w:hAnsiTheme="majorHAnsi"/>
        </w:rPr>
        <w:t>Likert</w:t>
      </w:r>
      <w:proofErr w:type="spellEnd"/>
      <w:r w:rsidRPr="00256C80">
        <w:rPr>
          <w:rFonts w:asciiTheme="majorHAnsi" w:hAnsiTheme="majorHAnsi"/>
        </w:rPr>
        <w:t xml:space="preserve"> type </w:t>
      </w:r>
      <w:r w:rsidR="00D3379D" w:rsidRPr="00256C80">
        <w:rPr>
          <w:rFonts w:asciiTheme="majorHAnsi" w:hAnsiTheme="majorHAnsi"/>
        </w:rPr>
        <w:t>responses, 6 yes/no questions, 13</w:t>
      </w:r>
      <w:r w:rsidRPr="00256C80">
        <w:rPr>
          <w:rFonts w:asciiTheme="majorHAnsi" w:hAnsiTheme="majorHAnsi"/>
        </w:rPr>
        <w:t xml:space="preserve"> open-ended questions asking for further details to prior responses (e.g., to provide </w:t>
      </w:r>
      <w:r w:rsidR="0029021A" w:rsidRPr="00256C80">
        <w:rPr>
          <w:rFonts w:asciiTheme="majorHAnsi" w:hAnsiTheme="majorHAnsi"/>
        </w:rPr>
        <w:t>web links</w:t>
      </w:r>
      <w:r w:rsidRPr="00256C80">
        <w:rPr>
          <w:rFonts w:asciiTheme="majorHAnsi" w:hAnsiTheme="majorHAnsi"/>
        </w:rPr>
        <w:t xml:space="preserve"> to regulations or to be</w:t>
      </w:r>
      <w:r w:rsidR="00D3379D" w:rsidRPr="00256C80">
        <w:rPr>
          <w:rFonts w:asciiTheme="majorHAnsi" w:hAnsiTheme="majorHAnsi"/>
        </w:rPr>
        <w:t>tter detail regulations), and 10</w:t>
      </w:r>
      <w:r w:rsidRPr="00256C80">
        <w:rPr>
          <w:rFonts w:asciiTheme="majorHAnsi" w:hAnsiTheme="majorHAnsi"/>
        </w:rPr>
        <w:t xml:space="preserve"> check-box questions.  </w:t>
      </w:r>
    </w:p>
    <w:p w:rsidR="00D47237" w:rsidRPr="00256C80" w:rsidRDefault="00D47237" w:rsidP="00612A1A">
      <w:pPr>
        <w:spacing w:after="0" w:line="240" w:lineRule="auto"/>
        <w:ind w:left="270"/>
        <w:rPr>
          <w:rFonts w:asciiTheme="majorHAnsi" w:hAnsiTheme="majorHAnsi"/>
        </w:rPr>
      </w:pPr>
    </w:p>
    <w:p w:rsidR="00D47237" w:rsidRDefault="00D47237" w:rsidP="00612A1A">
      <w:pPr>
        <w:spacing w:after="0" w:line="240" w:lineRule="auto"/>
        <w:ind w:left="270"/>
        <w:rPr>
          <w:rFonts w:asciiTheme="majorHAnsi" w:hAnsiTheme="majorHAnsi"/>
        </w:rPr>
      </w:pPr>
      <w:r w:rsidRPr="006102DA">
        <w:rPr>
          <w:rFonts w:asciiTheme="majorHAnsi" w:hAnsiTheme="majorHAnsi"/>
          <w:u w:val="single"/>
        </w:rPr>
        <w:t xml:space="preserve">Identification of Website(s) and Website Content Directed at Children Under 13 Years of </w:t>
      </w:r>
      <w:r w:rsidRPr="005869D6">
        <w:rPr>
          <w:rFonts w:asciiTheme="majorHAnsi" w:hAnsiTheme="majorHAnsi"/>
          <w:u w:val="single"/>
        </w:rPr>
        <w:t>Age</w:t>
      </w:r>
      <w:r w:rsidRPr="005869D6">
        <w:rPr>
          <w:rFonts w:asciiTheme="majorHAnsi" w:hAnsiTheme="majorHAnsi"/>
        </w:rPr>
        <w:t xml:space="preserve"> – The data </w:t>
      </w:r>
      <w:r>
        <w:rPr>
          <w:rFonts w:asciiTheme="majorHAnsi" w:hAnsiTheme="majorHAnsi"/>
        </w:rPr>
        <w:t xml:space="preserve">collection system involves </w:t>
      </w:r>
      <w:r w:rsidRPr="00F1699C">
        <w:rPr>
          <w:rFonts w:asciiTheme="majorHAnsi" w:hAnsiTheme="majorHAnsi"/>
        </w:rPr>
        <w:t xml:space="preserve">using a web-based </w:t>
      </w:r>
      <w:r>
        <w:rPr>
          <w:rFonts w:asciiTheme="majorHAnsi" w:hAnsiTheme="majorHAnsi"/>
        </w:rPr>
        <w:t>instrument</w:t>
      </w:r>
      <w:r w:rsidRPr="00F1699C">
        <w:rPr>
          <w:rFonts w:asciiTheme="majorHAnsi" w:hAnsiTheme="majorHAnsi"/>
        </w:rPr>
        <w:t>.</w:t>
      </w:r>
      <w:r>
        <w:rPr>
          <w:rFonts w:asciiTheme="majorHAnsi" w:hAnsiTheme="majorHAnsi"/>
        </w:rPr>
        <w:t xml:space="preserve"> Respondents will be sent a link directing them to the online </w:t>
      </w:r>
      <w:r w:rsidR="009C1322">
        <w:rPr>
          <w:rFonts w:asciiTheme="majorHAnsi" w:hAnsiTheme="majorHAnsi"/>
        </w:rPr>
        <w:t xml:space="preserve">assessment </w:t>
      </w:r>
      <w:r>
        <w:rPr>
          <w:rFonts w:asciiTheme="majorHAnsi" w:hAnsiTheme="majorHAnsi"/>
        </w:rPr>
        <w:t>(i.e., not a website). No website content will be directed at children.</w:t>
      </w:r>
    </w:p>
    <w:p w:rsidR="00F52BCC" w:rsidRPr="00F52BCC" w:rsidRDefault="00F52BCC" w:rsidP="00612A1A">
      <w:pPr>
        <w:spacing w:after="0" w:line="240" w:lineRule="auto"/>
        <w:rPr>
          <w:rFonts w:asciiTheme="majorHAnsi" w:hAnsiTheme="majorHAnsi"/>
        </w:rPr>
      </w:pPr>
    </w:p>
    <w:p w:rsidR="00B12F51" w:rsidRPr="00014361" w:rsidRDefault="00B12F51" w:rsidP="00612A1A">
      <w:pPr>
        <w:pStyle w:val="ListParagraph"/>
        <w:numPr>
          <w:ilvl w:val="0"/>
          <w:numId w:val="2"/>
        </w:numPr>
        <w:spacing w:after="0" w:line="240" w:lineRule="auto"/>
        <w:ind w:left="360"/>
        <w:rPr>
          <w:rFonts w:asciiTheme="majorHAnsi" w:hAnsiTheme="majorHAnsi"/>
          <w:b/>
        </w:rPr>
      </w:pPr>
      <w:r w:rsidRPr="00014361">
        <w:rPr>
          <w:rFonts w:asciiTheme="majorHAnsi" w:hAnsiTheme="majorHAnsi"/>
          <w:b/>
        </w:rPr>
        <w:t>Purpose and Use of the Information Collection</w:t>
      </w:r>
    </w:p>
    <w:p w:rsidR="00D47237" w:rsidRDefault="002474CE" w:rsidP="00612A1A">
      <w:pPr>
        <w:pStyle w:val="ListParagraph"/>
        <w:spacing w:after="0" w:line="240" w:lineRule="auto"/>
        <w:ind w:left="270"/>
        <w:rPr>
          <w:rFonts w:asciiTheme="majorHAnsi" w:hAnsiTheme="majorHAnsi"/>
        </w:rPr>
      </w:pPr>
      <w:r>
        <w:rPr>
          <w:rFonts w:asciiTheme="majorHAnsi" w:hAnsiTheme="majorHAnsi"/>
        </w:rPr>
        <w:t xml:space="preserve">The data collected </w:t>
      </w:r>
      <w:r w:rsidR="00D47237" w:rsidRPr="00C050BE">
        <w:rPr>
          <w:rFonts w:asciiTheme="majorHAnsi" w:hAnsiTheme="majorHAnsi"/>
        </w:rPr>
        <w:t xml:space="preserve">under this assessment will assist CDC </w:t>
      </w:r>
      <w:r w:rsidR="007A5D72">
        <w:rPr>
          <w:rFonts w:asciiTheme="majorHAnsi" w:hAnsiTheme="majorHAnsi"/>
        </w:rPr>
        <w:t xml:space="preserve">in </w:t>
      </w:r>
      <w:r w:rsidR="00D47237" w:rsidRPr="00C050BE">
        <w:rPr>
          <w:rFonts w:asciiTheme="majorHAnsi" w:hAnsiTheme="majorHAnsi"/>
        </w:rPr>
        <w:t xml:space="preserve">better understanding </w:t>
      </w:r>
      <w:r w:rsidR="007A5D72">
        <w:rPr>
          <w:rFonts w:asciiTheme="majorHAnsi" w:hAnsiTheme="majorHAnsi"/>
        </w:rPr>
        <w:t>state and local health department’s</w:t>
      </w:r>
      <w:r w:rsidR="00D47237" w:rsidRPr="00C050BE">
        <w:rPr>
          <w:rFonts w:asciiTheme="majorHAnsi" w:hAnsiTheme="majorHAnsi"/>
        </w:rPr>
        <w:t xml:space="preserve"> abilities to</w:t>
      </w:r>
      <w:r w:rsidR="007A5D72">
        <w:rPr>
          <w:rFonts w:asciiTheme="majorHAnsi" w:hAnsiTheme="majorHAnsi"/>
        </w:rPr>
        <w:t>:</w:t>
      </w:r>
      <w:r w:rsidR="00D47237" w:rsidRPr="00C050BE">
        <w:rPr>
          <w:rFonts w:asciiTheme="majorHAnsi" w:hAnsiTheme="majorHAnsi"/>
        </w:rPr>
        <w:t xml:space="preserve"> confiscate animals during an outbreak of human illness associated with the animal, </w:t>
      </w:r>
      <w:r w:rsidR="007A5D72">
        <w:rPr>
          <w:rFonts w:asciiTheme="majorHAnsi" w:hAnsiTheme="majorHAnsi"/>
        </w:rPr>
        <w:t>provide education to</w:t>
      </w:r>
      <w:r w:rsidR="00D47237" w:rsidRPr="00C050BE">
        <w:rPr>
          <w:rFonts w:asciiTheme="majorHAnsi" w:hAnsiTheme="majorHAnsi"/>
        </w:rPr>
        <w:t xml:space="preserve"> consumers, and regulate animal entrance to certain facilities such as daycares and nursing homes.  All information gathered from this data collection will be useful to CDC and other federal agencies </w:t>
      </w:r>
      <w:r w:rsidR="007A5D72">
        <w:rPr>
          <w:rFonts w:asciiTheme="majorHAnsi" w:hAnsiTheme="majorHAnsi"/>
        </w:rPr>
        <w:t xml:space="preserve">during </w:t>
      </w:r>
      <w:r w:rsidR="00D47237" w:rsidRPr="00C050BE">
        <w:rPr>
          <w:rFonts w:asciiTheme="majorHAnsi" w:hAnsiTheme="majorHAnsi"/>
        </w:rPr>
        <w:t>investigat</w:t>
      </w:r>
      <w:r w:rsidR="007A5D72">
        <w:rPr>
          <w:rFonts w:asciiTheme="majorHAnsi" w:hAnsiTheme="majorHAnsi"/>
        </w:rPr>
        <w:t>ions</w:t>
      </w:r>
      <w:r w:rsidR="00D47237" w:rsidRPr="00C050BE">
        <w:rPr>
          <w:rFonts w:asciiTheme="majorHAnsi" w:hAnsiTheme="majorHAnsi"/>
        </w:rPr>
        <w:t xml:space="preserve"> of animal-related human illness.  </w:t>
      </w:r>
    </w:p>
    <w:p w:rsidR="00D47237" w:rsidRDefault="00D47237" w:rsidP="00612A1A">
      <w:pPr>
        <w:pStyle w:val="ListParagraph"/>
        <w:spacing w:after="0" w:line="240" w:lineRule="auto"/>
        <w:ind w:left="270"/>
        <w:rPr>
          <w:rFonts w:asciiTheme="majorHAnsi" w:hAnsiTheme="majorHAnsi"/>
        </w:rPr>
      </w:pPr>
    </w:p>
    <w:p w:rsidR="00D47237" w:rsidRPr="000867F1" w:rsidRDefault="00D47237" w:rsidP="00612A1A">
      <w:pPr>
        <w:spacing w:line="240" w:lineRule="auto"/>
        <w:ind w:left="270"/>
        <w:rPr>
          <w:rFonts w:asciiTheme="majorHAnsi" w:hAnsiTheme="majorHAnsi"/>
        </w:rPr>
      </w:pPr>
      <w:r w:rsidRPr="000867F1">
        <w:rPr>
          <w:rFonts w:asciiTheme="majorHAnsi" w:hAnsiTheme="majorHAnsi"/>
        </w:rPr>
        <w:t>A final report/manuscript will be prepared and cleared</w:t>
      </w:r>
      <w:r w:rsidR="007A5D72">
        <w:rPr>
          <w:rFonts w:asciiTheme="majorHAnsi" w:hAnsiTheme="majorHAnsi"/>
        </w:rPr>
        <w:t xml:space="preserve">. </w:t>
      </w:r>
      <w:r w:rsidRPr="000867F1">
        <w:rPr>
          <w:rFonts w:asciiTheme="majorHAnsi" w:hAnsiTheme="majorHAnsi"/>
        </w:rPr>
        <w:t xml:space="preserve"> </w:t>
      </w:r>
      <w:r w:rsidR="0050688E">
        <w:rPr>
          <w:rFonts w:asciiTheme="majorHAnsi" w:hAnsiTheme="majorHAnsi"/>
        </w:rPr>
        <w:t>D</w:t>
      </w:r>
      <w:r w:rsidRPr="000867F1">
        <w:rPr>
          <w:rFonts w:asciiTheme="majorHAnsi" w:hAnsiTheme="majorHAnsi"/>
        </w:rPr>
        <w:t>ata</w:t>
      </w:r>
      <w:r w:rsidR="0050688E">
        <w:rPr>
          <w:rFonts w:asciiTheme="majorHAnsi" w:hAnsiTheme="majorHAnsi"/>
        </w:rPr>
        <w:t xml:space="preserve"> will be presented to external partners via meetings such as CSTE (Council of State and Territorial Epidemiologists) and the AVMA Convention (American Veterinary Medical Association)</w:t>
      </w:r>
      <w:r w:rsidRPr="000867F1">
        <w:rPr>
          <w:rFonts w:asciiTheme="majorHAnsi" w:hAnsiTheme="majorHAnsi"/>
        </w:rPr>
        <w:t xml:space="preserve">.   </w:t>
      </w:r>
    </w:p>
    <w:p w:rsidR="00D47237" w:rsidRDefault="00D47237" w:rsidP="00612A1A">
      <w:pPr>
        <w:spacing w:after="0" w:line="240" w:lineRule="auto"/>
        <w:ind w:left="270"/>
        <w:rPr>
          <w:rFonts w:asciiTheme="majorHAnsi" w:hAnsiTheme="majorHAnsi"/>
        </w:rPr>
      </w:pPr>
      <w:r>
        <w:rPr>
          <w:rFonts w:asciiTheme="majorHAnsi" w:hAnsiTheme="majorHAnsi"/>
          <w:u w:val="single"/>
        </w:rPr>
        <w:t xml:space="preserve">Privacy Impact Assessment </w:t>
      </w:r>
    </w:p>
    <w:p w:rsidR="00D47237" w:rsidRDefault="00D47237" w:rsidP="00612A1A">
      <w:pPr>
        <w:pStyle w:val="ListParagraph"/>
        <w:spacing w:after="0" w:line="240" w:lineRule="auto"/>
        <w:ind w:left="270"/>
        <w:rPr>
          <w:rFonts w:asciiTheme="majorHAnsi" w:hAnsiTheme="majorHAnsi"/>
        </w:rPr>
      </w:pPr>
      <w:r>
        <w:rPr>
          <w:rFonts w:asciiTheme="majorHAnsi" w:hAnsiTheme="majorHAnsi"/>
        </w:rPr>
        <w:t xml:space="preserve"> Potential respondents will</w:t>
      </w:r>
      <w:r w:rsidRPr="00DF220A">
        <w:rPr>
          <w:rFonts w:asciiTheme="majorHAnsi" w:hAnsiTheme="majorHAnsi"/>
        </w:rPr>
        <w:t xml:space="preserve"> receive the </w:t>
      </w:r>
      <w:r w:rsidR="009C1322">
        <w:rPr>
          <w:rFonts w:asciiTheme="majorHAnsi" w:hAnsiTheme="majorHAnsi"/>
        </w:rPr>
        <w:t xml:space="preserve">assessment </w:t>
      </w:r>
      <w:r w:rsidRPr="00DF220A">
        <w:rPr>
          <w:rFonts w:asciiTheme="majorHAnsi" w:hAnsiTheme="majorHAnsi"/>
        </w:rPr>
        <w:t xml:space="preserve">based </w:t>
      </w:r>
      <w:r>
        <w:rPr>
          <w:rFonts w:asciiTheme="majorHAnsi" w:hAnsiTheme="majorHAnsi"/>
        </w:rPr>
        <w:t xml:space="preserve">on their job title, therefore the potential </w:t>
      </w:r>
      <w:r w:rsidRPr="00DF220A">
        <w:rPr>
          <w:rFonts w:asciiTheme="majorHAnsi" w:hAnsiTheme="majorHAnsi"/>
        </w:rPr>
        <w:t>respondent pool</w:t>
      </w:r>
      <w:r>
        <w:rPr>
          <w:rFonts w:asciiTheme="majorHAnsi" w:hAnsiTheme="majorHAnsi"/>
        </w:rPr>
        <w:t xml:space="preserve"> is known</w:t>
      </w:r>
      <w:r w:rsidRPr="00DF220A">
        <w:rPr>
          <w:rFonts w:asciiTheme="majorHAnsi" w:hAnsiTheme="majorHAnsi"/>
        </w:rPr>
        <w:t>.</w:t>
      </w:r>
      <w:r>
        <w:rPr>
          <w:rFonts w:asciiTheme="majorHAnsi" w:hAnsiTheme="majorHAnsi"/>
        </w:rPr>
        <w:t xml:space="preserve"> </w:t>
      </w:r>
      <w:r w:rsidRPr="00DF220A">
        <w:rPr>
          <w:rFonts w:asciiTheme="majorHAnsi" w:hAnsiTheme="majorHAnsi"/>
        </w:rPr>
        <w:t xml:space="preserve"> </w:t>
      </w:r>
      <w:r w:rsidRPr="00FE1BF6">
        <w:rPr>
          <w:rFonts w:asciiTheme="majorHAnsi" w:hAnsiTheme="majorHAnsi"/>
        </w:rPr>
        <w:t xml:space="preserve">Employees of state and </w:t>
      </w:r>
      <w:r>
        <w:rPr>
          <w:rFonts w:asciiTheme="majorHAnsi" w:hAnsiTheme="majorHAnsi"/>
        </w:rPr>
        <w:t xml:space="preserve">local </w:t>
      </w:r>
      <w:r w:rsidR="007A5D72">
        <w:rPr>
          <w:rFonts w:asciiTheme="majorHAnsi" w:hAnsiTheme="majorHAnsi"/>
        </w:rPr>
        <w:t xml:space="preserve">public health </w:t>
      </w:r>
      <w:r>
        <w:rPr>
          <w:rFonts w:asciiTheme="majorHAnsi" w:hAnsiTheme="majorHAnsi"/>
        </w:rPr>
        <w:t>a</w:t>
      </w:r>
      <w:r w:rsidRPr="00FE1BF6">
        <w:rPr>
          <w:rFonts w:asciiTheme="majorHAnsi" w:hAnsiTheme="majorHAnsi"/>
        </w:rPr>
        <w:t>gencies will be speaking from their official roles</w:t>
      </w:r>
      <w:r>
        <w:rPr>
          <w:rFonts w:asciiTheme="majorHAnsi" w:hAnsiTheme="majorHAnsi"/>
        </w:rPr>
        <w:t xml:space="preserve">. </w:t>
      </w:r>
      <w:r w:rsidRPr="00DF220A">
        <w:rPr>
          <w:rFonts w:asciiTheme="majorHAnsi" w:hAnsiTheme="majorHAnsi"/>
        </w:rPr>
        <w:t xml:space="preserve"> </w:t>
      </w:r>
      <w:r>
        <w:rPr>
          <w:rFonts w:asciiTheme="majorHAnsi" w:hAnsiTheme="majorHAnsi"/>
        </w:rPr>
        <w:t>R</w:t>
      </w:r>
      <w:r w:rsidRPr="00A0434C">
        <w:rPr>
          <w:rFonts w:asciiTheme="majorHAnsi" w:hAnsiTheme="majorHAnsi"/>
        </w:rPr>
        <w:t>espondent</w:t>
      </w:r>
      <w:r>
        <w:rPr>
          <w:rFonts w:asciiTheme="majorHAnsi" w:hAnsiTheme="majorHAnsi"/>
        </w:rPr>
        <w:t>s are asked</w:t>
      </w:r>
      <w:r w:rsidRPr="00A0434C">
        <w:rPr>
          <w:rFonts w:asciiTheme="majorHAnsi" w:hAnsiTheme="majorHAnsi"/>
        </w:rPr>
        <w:t xml:space="preserve"> provide their </w:t>
      </w:r>
      <w:r w:rsidR="007A5D72">
        <w:rPr>
          <w:rFonts w:asciiTheme="majorHAnsi" w:hAnsiTheme="majorHAnsi"/>
        </w:rPr>
        <w:t>st</w:t>
      </w:r>
      <w:r w:rsidRPr="00A0434C">
        <w:rPr>
          <w:rFonts w:asciiTheme="majorHAnsi" w:hAnsiTheme="majorHAnsi"/>
        </w:rPr>
        <w:t xml:space="preserve">ate/locality </w:t>
      </w:r>
      <w:r>
        <w:rPr>
          <w:rFonts w:asciiTheme="majorHAnsi" w:hAnsiTheme="majorHAnsi"/>
        </w:rPr>
        <w:t>because i</w:t>
      </w:r>
      <w:r w:rsidRPr="00DF220A">
        <w:rPr>
          <w:rFonts w:asciiTheme="majorHAnsi" w:hAnsiTheme="majorHAnsi"/>
        </w:rPr>
        <w:t xml:space="preserve">t is important to </w:t>
      </w:r>
      <w:r>
        <w:rPr>
          <w:rFonts w:asciiTheme="majorHAnsi" w:hAnsiTheme="majorHAnsi"/>
        </w:rPr>
        <w:t>CDC</w:t>
      </w:r>
      <w:r w:rsidRPr="00DF220A">
        <w:rPr>
          <w:rFonts w:asciiTheme="majorHAnsi" w:hAnsiTheme="majorHAnsi"/>
        </w:rPr>
        <w:t xml:space="preserve"> know which jurisdictions have which laws and regulations</w:t>
      </w:r>
      <w:r w:rsidRPr="00C050BE">
        <w:t xml:space="preserve"> </w:t>
      </w:r>
      <w:r w:rsidR="007A5D72">
        <w:rPr>
          <w:rFonts w:asciiTheme="majorHAnsi" w:hAnsiTheme="majorHAnsi"/>
        </w:rPr>
        <w:t xml:space="preserve">during outbreak investigations. </w:t>
      </w:r>
      <w:r>
        <w:rPr>
          <w:rFonts w:asciiTheme="majorHAnsi" w:hAnsiTheme="majorHAnsi"/>
        </w:rPr>
        <w:t xml:space="preserve"> However, any </w:t>
      </w:r>
      <w:r w:rsidRPr="00DF220A">
        <w:rPr>
          <w:rFonts w:asciiTheme="majorHAnsi" w:hAnsiTheme="majorHAnsi"/>
        </w:rPr>
        <w:t>reporting of data outside of CDC will only</w:t>
      </w:r>
      <w:r>
        <w:rPr>
          <w:rFonts w:asciiTheme="majorHAnsi" w:hAnsiTheme="majorHAnsi"/>
        </w:rPr>
        <w:t xml:space="preserve"> contain</w:t>
      </w:r>
      <w:r w:rsidRPr="00DF220A">
        <w:rPr>
          <w:rFonts w:asciiTheme="majorHAnsi" w:hAnsiTheme="majorHAnsi"/>
        </w:rPr>
        <w:t xml:space="preserve"> an aggregate of all responses. </w:t>
      </w:r>
    </w:p>
    <w:p w:rsidR="0029021A" w:rsidRDefault="0029021A" w:rsidP="00612A1A">
      <w:pPr>
        <w:pStyle w:val="ListParagraph"/>
        <w:spacing w:after="0" w:line="240" w:lineRule="auto"/>
        <w:ind w:left="270"/>
        <w:rPr>
          <w:rFonts w:asciiTheme="majorHAnsi" w:hAnsiTheme="majorHAnsi"/>
        </w:rPr>
      </w:pPr>
    </w:p>
    <w:p w:rsidR="00B47055" w:rsidRPr="00B47055" w:rsidRDefault="00B47055" w:rsidP="00612A1A">
      <w:pPr>
        <w:pStyle w:val="ListParagraph"/>
        <w:numPr>
          <w:ilvl w:val="0"/>
          <w:numId w:val="2"/>
        </w:numPr>
        <w:spacing w:after="0" w:line="240" w:lineRule="auto"/>
        <w:ind w:left="360"/>
        <w:rPr>
          <w:rFonts w:asciiTheme="majorHAnsi" w:hAnsiTheme="majorHAnsi"/>
          <w:b/>
        </w:rPr>
      </w:pPr>
      <w:r w:rsidRPr="00B47055">
        <w:rPr>
          <w:rFonts w:asciiTheme="majorHAnsi" w:hAnsiTheme="majorHAnsi"/>
          <w:b/>
          <w:bCs/>
        </w:rPr>
        <w:t>Use of Improved Information Technology and Burden Reduction</w:t>
      </w:r>
    </w:p>
    <w:p w:rsidR="0050688E" w:rsidRDefault="0050688E" w:rsidP="00612A1A">
      <w:pPr>
        <w:pStyle w:val="ListParagraph"/>
        <w:spacing w:after="0" w:line="240" w:lineRule="auto"/>
        <w:ind w:left="270"/>
        <w:rPr>
          <w:rFonts w:asciiTheme="majorHAnsi" w:hAnsiTheme="majorHAnsi"/>
        </w:rPr>
      </w:pPr>
      <w:r>
        <w:rPr>
          <w:rFonts w:asciiTheme="majorHAnsi" w:hAnsiTheme="majorHAnsi"/>
        </w:rPr>
        <w:t>Data will be collec</w:t>
      </w:r>
      <w:r w:rsidR="006A4FDB">
        <w:rPr>
          <w:rFonts w:asciiTheme="majorHAnsi" w:hAnsiTheme="majorHAnsi"/>
        </w:rPr>
        <w:t xml:space="preserve">ted via a web-based instrument, </w:t>
      </w:r>
      <w:r>
        <w:rPr>
          <w:rFonts w:asciiTheme="majorHAnsi" w:hAnsiTheme="majorHAnsi"/>
        </w:rPr>
        <w:t xml:space="preserve">allowing respondents to complete and submit their responses electronically. This method was chosen to reduce the overall burden on respondents. By utilizing an online system and reactive skip-patterns the instrument was designed to collect the maximum information utilizing the minimum number of  questions (i.e., limited </w:t>
      </w:r>
      <w:r w:rsidRPr="00AF688F">
        <w:rPr>
          <w:rFonts w:asciiTheme="majorHAnsi" w:hAnsiTheme="majorHAnsi"/>
        </w:rPr>
        <w:t>to 1</w:t>
      </w:r>
      <w:r w:rsidR="00256C80" w:rsidRPr="00AF688F">
        <w:rPr>
          <w:rFonts w:asciiTheme="majorHAnsi" w:hAnsiTheme="majorHAnsi"/>
        </w:rPr>
        <w:t>4</w:t>
      </w:r>
      <w:r w:rsidRPr="00AF688F">
        <w:rPr>
          <w:rFonts w:asciiTheme="majorHAnsi" w:hAnsiTheme="majorHAnsi"/>
        </w:rPr>
        <w:t xml:space="preserve"> core and 2</w:t>
      </w:r>
      <w:r w:rsidR="00AF688F" w:rsidRPr="00AF688F">
        <w:rPr>
          <w:rFonts w:asciiTheme="majorHAnsi" w:hAnsiTheme="majorHAnsi"/>
        </w:rPr>
        <w:t>9</w:t>
      </w:r>
      <w:r>
        <w:rPr>
          <w:rFonts w:asciiTheme="majorHAnsi" w:hAnsiTheme="majorHAnsi"/>
        </w:rPr>
        <w:t xml:space="preserve"> sub-questions).  </w:t>
      </w:r>
    </w:p>
    <w:p w:rsidR="0050688E" w:rsidRDefault="0050688E" w:rsidP="00612A1A">
      <w:pPr>
        <w:pStyle w:val="ListParagraph"/>
        <w:spacing w:after="0" w:line="240" w:lineRule="auto"/>
        <w:ind w:left="270"/>
        <w:rPr>
          <w:rFonts w:asciiTheme="majorHAnsi" w:hAnsiTheme="majorHAnsi"/>
        </w:rPr>
      </w:pPr>
    </w:p>
    <w:p w:rsidR="00E12BDE" w:rsidRDefault="00E12BDE" w:rsidP="00612A1A">
      <w:pPr>
        <w:pStyle w:val="ListParagraph"/>
        <w:spacing w:after="0" w:line="240" w:lineRule="auto"/>
        <w:ind w:left="270"/>
        <w:rPr>
          <w:rFonts w:asciiTheme="majorHAnsi" w:hAnsiTheme="majorHAnsi"/>
        </w:rPr>
      </w:pPr>
    </w:p>
    <w:p w:rsidR="00E12BDE" w:rsidRDefault="00E12BDE" w:rsidP="00612A1A">
      <w:pPr>
        <w:pStyle w:val="ListParagraph"/>
        <w:spacing w:after="0" w:line="240" w:lineRule="auto"/>
        <w:ind w:left="270"/>
        <w:rPr>
          <w:rFonts w:asciiTheme="majorHAnsi" w:hAnsiTheme="majorHAnsi"/>
        </w:rPr>
      </w:pPr>
    </w:p>
    <w:p w:rsidR="00FE7B9C" w:rsidRPr="00FE7B9C" w:rsidRDefault="00FE7B9C" w:rsidP="00612A1A">
      <w:pPr>
        <w:pStyle w:val="ListParagraph"/>
        <w:spacing w:line="240" w:lineRule="auto"/>
        <w:ind w:left="270"/>
        <w:rPr>
          <w:rFonts w:asciiTheme="majorHAnsi" w:hAnsiTheme="majorHAnsi"/>
        </w:rPr>
      </w:pPr>
      <w:r>
        <w:rPr>
          <w:rFonts w:asciiTheme="majorHAnsi" w:hAnsiTheme="majorHAnsi"/>
        </w:rPr>
        <w:t>D</w:t>
      </w:r>
      <w:r w:rsidRPr="00FE7B9C">
        <w:rPr>
          <w:rFonts w:asciiTheme="majorHAnsi" w:hAnsiTheme="majorHAnsi"/>
        </w:rPr>
        <w:t>ata</w:t>
      </w:r>
      <w:r>
        <w:rPr>
          <w:rFonts w:asciiTheme="majorHAnsi" w:hAnsiTheme="majorHAnsi"/>
        </w:rPr>
        <w:t xml:space="preserve"> will be</w:t>
      </w:r>
      <w:r w:rsidRPr="00FE7B9C">
        <w:rPr>
          <w:rFonts w:asciiTheme="majorHAnsi" w:hAnsiTheme="majorHAnsi"/>
        </w:rPr>
        <w:t xml:space="preserve"> collected using the IBM SPSS Data</w:t>
      </w:r>
      <w:r w:rsidR="0029021A">
        <w:rPr>
          <w:rFonts w:asciiTheme="majorHAnsi" w:hAnsiTheme="majorHAnsi"/>
        </w:rPr>
        <w:t xml:space="preserve"> </w:t>
      </w:r>
      <w:r w:rsidRPr="00FE7B9C">
        <w:rPr>
          <w:rFonts w:asciiTheme="majorHAnsi" w:hAnsiTheme="majorHAnsi"/>
        </w:rPr>
        <w:t>Collection (</w:t>
      </w:r>
      <w:proofErr w:type="spellStart"/>
      <w:r w:rsidRPr="00FE7B9C">
        <w:rPr>
          <w:rFonts w:asciiTheme="majorHAnsi" w:hAnsiTheme="majorHAnsi"/>
        </w:rPr>
        <w:t>mrInterview</w:t>
      </w:r>
      <w:proofErr w:type="spellEnd"/>
      <w:r w:rsidRPr="00FE7B9C">
        <w:rPr>
          <w:rFonts w:asciiTheme="majorHAnsi" w:hAnsiTheme="majorHAnsi"/>
        </w:rPr>
        <w:t xml:space="preserve"> system), Version 5.6</w:t>
      </w:r>
      <w:r>
        <w:rPr>
          <w:rFonts w:asciiTheme="majorHAnsi" w:hAnsiTheme="majorHAnsi"/>
        </w:rPr>
        <w:t xml:space="preserve">. Invitation emails will be </w:t>
      </w:r>
      <w:r w:rsidRPr="00FE7B9C">
        <w:rPr>
          <w:rFonts w:asciiTheme="majorHAnsi" w:hAnsiTheme="majorHAnsi"/>
        </w:rPr>
        <w:t>distributed to potential respondents via email.  Each email contains a unique Uniform Resource Locator (URL) that is specifically tailored to each potential respondent.  Upon clicking the URL, respondents access the IBM SPSS Data</w:t>
      </w:r>
      <w:r w:rsidR="0029021A">
        <w:rPr>
          <w:rFonts w:asciiTheme="majorHAnsi" w:hAnsiTheme="majorHAnsi"/>
        </w:rPr>
        <w:t xml:space="preserve"> </w:t>
      </w:r>
      <w:r w:rsidRPr="00FE7B9C">
        <w:rPr>
          <w:rFonts w:asciiTheme="majorHAnsi" w:hAnsiTheme="majorHAnsi"/>
        </w:rPr>
        <w:t xml:space="preserve">Collection system and a customized </w:t>
      </w:r>
      <w:r>
        <w:rPr>
          <w:rFonts w:asciiTheme="majorHAnsi" w:hAnsiTheme="majorHAnsi"/>
        </w:rPr>
        <w:t xml:space="preserve">assessment instrument </w:t>
      </w:r>
      <w:r w:rsidRPr="00FE7B9C">
        <w:rPr>
          <w:rFonts w:asciiTheme="majorHAnsi" w:hAnsiTheme="majorHAnsi"/>
        </w:rPr>
        <w:t>via a secure internet connection through their web browser.  Established connections are secured with the Transport-Layer-Security protocol (TLS 1.0), and all communication between CDC systems and client computers are secured with a FIPS 140-2 approved encryption algorithm [e.g. Advanced Encryption System (AES) 256].  Data is entered by respondents directly into web-based forms served up by a series of servers which are virtually and physically secured onsite at the US Centers for Disease Control and Prevention in Atlanta, GA.  For security reasons, the exact security infrastructure of the system cannot be disclosed to third parties.  Once entered, data is stored in a tightly controlled Enterprise SQL Server 2005 database, maintained by the CDC’s Information Technology Services Office (ITSO).  All systems employed in the collection and transit of data to and from CDC and respondent computers in this study are redundantly configured to ensure continued operation in the event of a single outage or server failure.  In addition, all systems employed in this study have been reviewed by and received a Certification and Accreditation C&amp;A) an Authority to Operate (ATO) letter from the CDC’s Office of the Chief Information Security Officer (OCISO).</w:t>
      </w:r>
    </w:p>
    <w:p w:rsidR="00E8736B" w:rsidRDefault="00E8736B" w:rsidP="00612A1A">
      <w:pPr>
        <w:pStyle w:val="ListParagraph"/>
        <w:spacing w:after="0" w:line="240" w:lineRule="auto"/>
        <w:ind w:left="270"/>
        <w:rPr>
          <w:rFonts w:asciiTheme="majorHAnsi" w:hAnsiTheme="majorHAnsi"/>
        </w:rPr>
      </w:pPr>
    </w:p>
    <w:p w:rsidR="00B47055" w:rsidRPr="00B47055" w:rsidRDefault="00B47055" w:rsidP="00612A1A">
      <w:pPr>
        <w:pStyle w:val="ListParagraph"/>
        <w:numPr>
          <w:ilvl w:val="0"/>
          <w:numId w:val="2"/>
        </w:numPr>
        <w:spacing w:after="0" w:line="240" w:lineRule="auto"/>
        <w:ind w:left="360"/>
        <w:rPr>
          <w:rFonts w:asciiTheme="majorHAnsi" w:hAnsiTheme="majorHAnsi"/>
          <w:b/>
        </w:rPr>
      </w:pPr>
      <w:r w:rsidRPr="00B47055">
        <w:rPr>
          <w:rFonts w:asciiTheme="majorHAnsi" w:hAnsiTheme="majorHAnsi"/>
          <w:b/>
          <w:bCs/>
        </w:rPr>
        <w:t>Efforts to Identify Duplication and Use of Similar Information</w:t>
      </w:r>
    </w:p>
    <w:p w:rsidR="0050688E" w:rsidRPr="0050688E" w:rsidRDefault="0050688E" w:rsidP="00612A1A">
      <w:pPr>
        <w:pStyle w:val="ListParagraph"/>
        <w:spacing w:after="0" w:line="240" w:lineRule="auto"/>
        <w:ind w:left="270"/>
        <w:rPr>
          <w:rFonts w:asciiTheme="majorHAnsi" w:hAnsiTheme="majorHAnsi"/>
        </w:rPr>
      </w:pPr>
      <w:r w:rsidRPr="0050688E">
        <w:rPr>
          <w:rFonts w:asciiTheme="majorHAnsi" w:hAnsiTheme="majorHAnsi"/>
        </w:rPr>
        <w:t xml:space="preserve">A literature search did not identify any recent </w:t>
      </w:r>
      <w:r w:rsidR="007A5D72">
        <w:rPr>
          <w:rFonts w:asciiTheme="majorHAnsi" w:hAnsiTheme="majorHAnsi"/>
        </w:rPr>
        <w:t xml:space="preserve">data collections </w:t>
      </w:r>
      <w:r w:rsidRPr="0050688E">
        <w:rPr>
          <w:rFonts w:asciiTheme="majorHAnsi" w:hAnsiTheme="majorHAnsi"/>
        </w:rPr>
        <w:t xml:space="preserve">or publications addressing this information.  Attempts to catalogue this information via web searches for each state/locality’s laws have not been successful as laws change and websites are frequently outdated.  </w:t>
      </w:r>
      <w:r w:rsidR="007A5D72" w:rsidRPr="007A5D72">
        <w:rPr>
          <w:rFonts w:asciiTheme="majorHAnsi" w:hAnsiTheme="majorHAnsi"/>
        </w:rPr>
        <w:t>Partners such as The Council of State and Territorial Epidemiologists (CSTE) do not have this information.</w:t>
      </w:r>
    </w:p>
    <w:p w:rsidR="0050688E" w:rsidRPr="0050688E" w:rsidRDefault="0050688E" w:rsidP="00612A1A">
      <w:pPr>
        <w:pStyle w:val="ListParagraph"/>
        <w:spacing w:after="0" w:line="240" w:lineRule="auto"/>
        <w:ind w:left="270"/>
        <w:rPr>
          <w:rFonts w:asciiTheme="majorHAnsi" w:hAnsiTheme="majorHAnsi"/>
        </w:rPr>
      </w:pPr>
    </w:p>
    <w:p w:rsidR="00B12F51" w:rsidRPr="00B47055" w:rsidRDefault="00B47055" w:rsidP="00612A1A">
      <w:pPr>
        <w:pStyle w:val="ListParagraph"/>
        <w:numPr>
          <w:ilvl w:val="0"/>
          <w:numId w:val="2"/>
        </w:numPr>
        <w:spacing w:after="0" w:line="240" w:lineRule="auto"/>
        <w:ind w:left="360"/>
        <w:rPr>
          <w:rFonts w:asciiTheme="majorHAnsi" w:hAnsiTheme="majorHAnsi"/>
          <w:b/>
        </w:rPr>
      </w:pPr>
      <w:r w:rsidRPr="00B47055">
        <w:rPr>
          <w:rFonts w:asciiTheme="majorHAnsi" w:hAnsiTheme="majorHAnsi"/>
          <w:b/>
          <w:bCs/>
        </w:rPr>
        <w:t>Impact on Small Businesses or Other Small Entities</w:t>
      </w:r>
    </w:p>
    <w:p w:rsidR="0053557D" w:rsidRDefault="00D26A64" w:rsidP="00612A1A">
      <w:pPr>
        <w:pStyle w:val="ListParagraph"/>
        <w:spacing w:after="0" w:line="240" w:lineRule="auto"/>
        <w:ind w:left="270"/>
        <w:rPr>
          <w:rFonts w:asciiTheme="majorHAnsi" w:hAnsiTheme="majorHAnsi"/>
        </w:rPr>
      </w:pPr>
      <w:r>
        <w:rPr>
          <w:rFonts w:asciiTheme="majorHAnsi" w:hAnsiTheme="majorHAnsi"/>
        </w:rPr>
        <w:t>N</w:t>
      </w:r>
      <w:r w:rsidR="00AF2252">
        <w:rPr>
          <w:rFonts w:asciiTheme="majorHAnsi" w:hAnsiTheme="majorHAnsi"/>
        </w:rPr>
        <w:t>o small businesses will be involved in this data collection</w:t>
      </w:r>
      <w:r>
        <w:rPr>
          <w:rFonts w:asciiTheme="majorHAnsi" w:hAnsiTheme="majorHAnsi"/>
        </w:rPr>
        <w:t>.</w:t>
      </w:r>
    </w:p>
    <w:p w:rsidR="0050688E" w:rsidRPr="00D95FBF" w:rsidRDefault="0050688E" w:rsidP="00612A1A">
      <w:pPr>
        <w:pStyle w:val="ListParagraph"/>
        <w:spacing w:after="0" w:line="240" w:lineRule="auto"/>
        <w:ind w:left="270"/>
      </w:pPr>
    </w:p>
    <w:p w:rsidR="00B12F51" w:rsidRPr="00B47055" w:rsidRDefault="00B47055" w:rsidP="00612A1A">
      <w:pPr>
        <w:pStyle w:val="ListParagraph"/>
        <w:numPr>
          <w:ilvl w:val="0"/>
          <w:numId w:val="2"/>
        </w:numPr>
        <w:spacing w:after="0" w:line="240" w:lineRule="auto"/>
        <w:ind w:left="360"/>
        <w:rPr>
          <w:rFonts w:asciiTheme="majorHAnsi" w:hAnsiTheme="majorHAnsi"/>
          <w:b/>
        </w:rPr>
      </w:pPr>
      <w:r w:rsidRPr="00B47055">
        <w:rPr>
          <w:rFonts w:asciiTheme="majorHAnsi" w:hAnsiTheme="majorHAnsi"/>
          <w:b/>
          <w:bCs/>
        </w:rPr>
        <w:t>Consequences of Collecting the Information Less Frequently</w:t>
      </w:r>
      <w:r w:rsidRPr="00B47055">
        <w:rPr>
          <w:rFonts w:asciiTheme="majorHAnsi" w:hAnsiTheme="majorHAnsi"/>
          <w:b/>
        </w:rPr>
        <w:t xml:space="preserve"> </w:t>
      </w:r>
      <w:r w:rsidR="00D95FBF" w:rsidRPr="00B47055">
        <w:rPr>
          <w:rFonts w:asciiTheme="majorHAnsi" w:hAnsiTheme="majorHAnsi"/>
          <w:b/>
        </w:rPr>
        <w:t xml:space="preserve">   </w:t>
      </w:r>
    </w:p>
    <w:p w:rsidR="00607F7C" w:rsidRDefault="00607F7C" w:rsidP="00612A1A">
      <w:pPr>
        <w:pStyle w:val="ListParagraph"/>
        <w:spacing w:after="0" w:line="240" w:lineRule="auto"/>
        <w:ind w:left="270"/>
        <w:rPr>
          <w:rFonts w:asciiTheme="majorHAnsi" w:hAnsiTheme="majorHAnsi"/>
        </w:rPr>
      </w:pPr>
      <w:r>
        <w:rPr>
          <w:rFonts w:asciiTheme="majorHAnsi" w:hAnsiTheme="majorHAnsi"/>
        </w:rPr>
        <w:t xml:space="preserve">This request is for </w:t>
      </w:r>
      <w:r w:rsidR="00667C89">
        <w:rPr>
          <w:rFonts w:asciiTheme="majorHAnsi" w:hAnsiTheme="majorHAnsi"/>
        </w:rPr>
        <w:t xml:space="preserve">a </w:t>
      </w:r>
      <w:r w:rsidR="00BC5BB2">
        <w:rPr>
          <w:rFonts w:asciiTheme="majorHAnsi" w:hAnsiTheme="majorHAnsi"/>
        </w:rPr>
        <w:t>one time data collection.</w:t>
      </w:r>
      <w:r w:rsidR="0053557D">
        <w:rPr>
          <w:rFonts w:asciiTheme="majorHAnsi" w:hAnsiTheme="majorHAnsi"/>
        </w:rPr>
        <w:t xml:space="preserve">  </w:t>
      </w:r>
      <w:r w:rsidRPr="0053557D">
        <w:rPr>
          <w:rFonts w:asciiTheme="majorHAnsi" w:hAnsiTheme="majorHAnsi"/>
        </w:rPr>
        <w:t>There are no legal obstacles to reduce the burden.</w:t>
      </w:r>
    </w:p>
    <w:p w:rsidR="0050688E" w:rsidRPr="0050688E" w:rsidRDefault="0050688E" w:rsidP="00612A1A">
      <w:pPr>
        <w:numPr>
          <w:ilvl w:val="0"/>
          <w:numId w:val="24"/>
        </w:numPr>
        <w:spacing w:after="0" w:line="240" w:lineRule="auto"/>
        <w:ind w:left="990"/>
        <w:contextualSpacing/>
        <w:rPr>
          <w:rFonts w:asciiTheme="majorHAnsi" w:hAnsiTheme="majorHAnsi"/>
        </w:rPr>
      </w:pPr>
      <w:r w:rsidRPr="0050688E">
        <w:rPr>
          <w:rFonts w:asciiTheme="majorHAnsi" w:hAnsiTheme="majorHAnsi"/>
        </w:rPr>
        <w:t>Current regulations will not be fully cataloged and understood</w:t>
      </w:r>
    </w:p>
    <w:p w:rsidR="0050688E" w:rsidRDefault="0050688E" w:rsidP="00612A1A">
      <w:pPr>
        <w:numPr>
          <w:ilvl w:val="0"/>
          <w:numId w:val="24"/>
        </w:numPr>
        <w:spacing w:after="0" w:line="240" w:lineRule="auto"/>
        <w:ind w:left="990"/>
        <w:contextualSpacing/>
        <w:rPr>
          <w:rFonts w:asciiTheme="majorHAnsi" w:hAnsiTheme="majorHAnsi"/>
        </w:rPr>
      </w:pPr>
      <w:r w:rsidRPr="0050688E">
        <w:rPr>
          <w:rFonts w:asciiTheme="majorHAnsi" w:hAnsiTheme="majorHAnsi"/>
        </w:rPr>
        <w:t xml:space="preserve">CDC and federal partners will not understand the difficulties faced by our state and local </w:t>
      </w:r>
      <w:r w:rsidR="007A5D72">
        <w:rPr>
          <w:rFonts w:asciiTheme="majorHAnsi" w:hAnsiTheme="majorHAnsi"/>
        </w:rPr>
        <w:t xml:space="preserve">public health </w:t>
      </w:r>
      <w:r w:rsidRPr="0050688E">
        <w:rPr>
          <w:rFonts w:asciiTheme="majorHAnsi" w:hAnsiTheme="majorHAnsi"/>
        </w:rPr>
        <w:t>partners when attempting to control animal-related outbreaks in humans.</w:t>
      </w:r>
    </w:p>
    <w:p w:rsidR="0050688E" w:rsidRPr="007A5D72" w:rsidRDefault="007A5D72" w:rsidP="00612A1A">
      <w:pPr>
        <w:numPr>
          <w:ilvl w:val="0"/>
          <w:numId w:val="24"/>
        </w:numPr>
        <w:spacing w:after="0" w:line="240" w:lineRule="auto"/>
        <w:ind w:left="990"/>
        <w:contextualSpacing/>
        <w:rPr>
          <w:rFonts w:asciiTheme="majorHAnsi" w:hAnsiTheme="majorHAnsi"/>
        </w:rPr>
      </w:pPr>
      <w:r w:rsidRPr="007A5D72">
        <w:rPr>
          <w:rFonts w:asciiTheme="majorHAnsi" w:hAnsiTheme="majorHAnsi"/>
        </w:rPr>
        <w:t xml:space="preserve">Not understanding the state and local laws, as well as which agency holds the authorities in each locality, can hinder timely and comprehensive outbreak investigations.  By better understanding which agency regulates animal sale and display, CDC can more quickly involve the appropriate authorities during an investigation. </w:t>
      </w:r>
    </w:p>
    <w:p w:rsidR="00BF11A1" w:rsidRPr="00C768E5" w:rsidRDefault="00BF11A1" w:rsidP="00612A1A">
      <w:pPr>
        <w:spacing w:after="0" w:line="240" w:lineRule="auto"/>
        <w:rPr>
          <w:rFonts w:asciiTheme="majorHAnsi" w:hAnsiTheme="majorHAnsi"/>
        </w:rPr>
      </w:pPr>
    </w:p>
    <w:p w:rsidR="00B12F51" w:rsidRPr="00B47055" w:rsidRDefault="00B47055" w:rsidP="00612A1A">
      <w:pPr>
        <w:pStyle w:val="ListParagraph"/>
        <w:numPr>
          <w:ilvl w:val="0"/>
          <w:numId w:val="2"/>
        </w:numPr>
        <w:spacing w:after="0" w:line="240" w:lineRule="auto"/>
        <w:ind w:left="360"/>
        <w:rPr>
          <w:rFonts w:asciiTheme="majorHAnsi" w:hAnsiTheme="majorHAnsi"/>
          <w:b/>
        </w:rPr>
      </w:pPr>
      <w:r w:rsidRPr="00B47055">
        <w:rPr>
          <w:rFonts w:asciiTheme="majorHAnsi" w:hAnsiTheme="majorHAnsi"/>
          <w:b/>
          <w:bCs/>
        </w:rPr>
        <w:t>Special Circumstances Relating to the Guidelines of 5 CFR 1320.5</w:t>
      </w:r>
    </w:p>
    <w:p w:rsidR="00F52BCC" w:rsidRDefault="00A809AA" w:rsidP="00612A1A">
      <w:pPr>
        <w:pStyle w:val="ListParagraph"/>
        <w:spacing w:after="0" w:line="240" w:lineRule="auto"/>
        <w:ind w:left="270"/>
        <w:rPr>
          <w:rFonts w:asciiTheme="majorHAnsi" w:hAnsiTheme="majorHAnsi"/>
        </w:rPr>
      </w:pPr>
      <w:r>
        <w:rPr>
          <w:rFonts w:asciiTheme="majorHAnsi" w:hAnsiTheme="majorHAnsi"/>
        </w:rPr>
        <w:t xml:space="preserve">There are no special circumstances with this information collection package. </w:t>
      </w:r>
      <w:r w:rsidR="00835CA7">
        <w:rPr>
          <w:rFonts w:asciiTheme="majorHAnsi" w:hAnsiTheme="majorHAnsi"/>
        </w:rPr>
        <w:t>This request fully complies with the regulation 5 CFR 1320.5</w:t>
      </w:r>
      <w:r w:rsidR="00D95FBF">
        <w:rPr>
          <w:rFonts w:asciiTheme="majorHAnsi" w:hAnsiTheme="majorHAnsi"/>
        </w:rPr>
        <w:t xml:space="preserve"> and will be voluntary</w:t>
      </w:r>
      <w:r w:rsidR="00835CA7">
        <w:rPr>
          <w:rFonts w:asciiTheme="majorHAnsi" w:hAnsiTheme="majorHAnsi"/>
        </w:rPr>
        <w:t>.</w:t>
      </w:r>
    </w:p>
    <w:p w:rsidR="00F52BCC" w:rsidRDefault="00F52BCC" w:rsidP="00612A1A">
      <w:pPr>
        <w:pStyle w:val="ListParagraph"/>
        <w:spacing w:after="0" w:line="240" w:lineRule="auto"/>
        <w:ind w:left="270"/>
        <w:rPr>
          <w:rFonts w:asciiTheme="majorHAnsi" w:hAnsiTheme="majorHAnsi"/>
        </w:rPr>
      </w:pPr>
    </w:p>
    <w:p w:rsidR="00B12F51" w:rsidRPr="0088467A" w:rsidRDefault="0088467A" w:rsidP="00612A1A">
      <w:pPr>
        <w:pStyle w:val="ListParagraph"/>
        <w:numPr>
          <w:ilvl w:val="0"/>
          <w:numId w:val="2"/>
        </w:numPr>
        <w:spacing w:after="0" w:line="240" w:lineRule="auto"/>
        <w:ind w:left="360"/>
        <w:rPr>
          <w:rFonts w:asciiTheme="majorHAnsi" w:hAnsiTheme="majorHAnsi"/>
          <w:b/>
          <w:bCs/>
        </w:rPr>
      </w:pPr>
      <w:r w:rsidRPr="0088467A">
        <w:rPr>
          <w:rFonts w:asciiTheme="majorHAnsi" w:hAnsiTheme="majorHAnsi"/>
          <w:b/>
          <w:bCs/>
        </w:rPr>
        <w:t>Comments in Response to the Federal Register Notice and Efforts to Consult Outside the Agency</w:t>
      </w:r>
    </w:p>
    <w:p w:rsidR="00A809AA" w:rsidRPr="00A809AA" w:rsidRDefault="00C768E5" w:rsidP="00612A1A">
      <w:pPr>
        <w:pStyle w:val="ListParagraph"/>
        <w:autoSpaceDE w:val="0"/>
        <w:autoSpaceDN w:val="0"/>
        <w:adjustRightInd w:val="0"/>
        <w:spacing w:line="240" w:lineRule="auto"/>
        <w:ind w:left="270" w:right="720"/>
        <w:rPr>
          <w:rFonts w:asciiTheme="majorHAnsi" w:hAnsiTheme="majorHAnsi"/>
        </w:rPr>
      </w:pPr>
      <w:r>
        <w:rPr>
          <w:rFonts w:asciiTheme="majorHAnsi" w:hAnsiTheme="majorHAnsi"/>
        </w:rPr>
        <w:t xml:space="preserve">This data collection is being conducted using the Generic Information Collection mechanism of the OSTLTS Survey Center (OSC) – OMB No. 0920-0879. </w:t>
      </w:r>
      <w:r w:rsidR="00BE738E">
        <w:rPr>
          <w:rFonts w:asciiTheme="majorHAnsi" w:hAnsiTheme="majorHAnsi"/>
        </w:rPr>
        <w:t xml:space="preserve">This data collection is being conducted using the Generic Information Collection mechanism of the OSTLTS Survey Center (OSC) – OMB No. 0920-0879. </w:t>
      </w:r>
      <w:r w:rsidR="00A809AA" w:rsidRPr="00A809AA">
        <w:rPr>
          <w:rFonts w:asciiTheme="majorHAnsi" w:hAnsiTheme="majorHAnsi"/>
        </w:rPr>
        <w:t xml:space="preserve">A 60-day Federal Register Notice </w:t>
      </w:r>
      <w:r w:rsidR="00A809AA" w:rsidRPr="00A809AA">
        <w:rPr>
          <w:rFonts w:asciiTheme="majorHAnsi" w:hAnsiTheme="majorHAnsi"/>
        </w:rPr>
        <w:lastRenderedPageBreak/>
        <w:t xml:space="preserve">was published in the Federal Register on October 22, 2010, Vol. 75, No. </w:t>
      </w:r>
      <w:r w:rsidR="00D861ED" w:rsidRPr="00A809AA">
        <w:rPr>
          <w:rFonts w:asciiTheme="majorHAnsi" w:hAnsiTheme="majorHAnsi"/>
        </w:rPr>
        <w:t>204;</w:t>
      </w:r>
      <w:r w:rsidR="00A809AA" w:rsidRPr="00A809AA">
        <w:rPr>
          <w:rFonts w:asciiTheme="majorHAnsi" w:hAnsiTheme="majorHAnsi"/>
        </w:rPr>
        <w:t xml:space="preserve"> pp. 65353-54.  Two comments were received from the Association of State and Territorial Health Officials (ASTHO)</w:t>
      </w:r>
      <w:r w:rsidR="00667C89" w:rsidRPr="00A809AA">
        <w:rPr>
          <w:rFonts w:asciiTheme="majorHAnsi" w:hAnsiTheme="majorHAnsi"/>
        </w:rPr>
        <w:t>, and the</w:t>
      </w:r>
      <w:r w:rsidR="00A809AA" w:rsidRPr="00A809AA">
        <w:rPr>
          <w:rFonts w:asciiTheme="majorHAnsi" w:hAnsiTheme="majorHAnsi"/>
        </w:rPr>
        <w:t xml:space="preserve"> National Association of County and City Health Officials (NACCHO)</w:t>
      </w:r>
      <w:r w:rsidR="00783C75">
        <w:rPr>
          <w:rFonts w:asciiTheme="majorHAnsi" w:hAnsiTheme="majorHAnsi"/>
        </w:rPr>
        <w:t>.</w:t>
      </w:r>
    </w:p>
    <w:p w:rsidR="00A809AA" w:rsidRPr="00A809AA" w:rsidRDefault="00A809AA" w:rsidP="00612A1A">
      <w:pPr>
        <w:pStyle w:val="ListParagraph"/>
        <w:autoSpaceDE w:val="0"/>
        <w:autoSpaceDN w:val="0"/>
        <w:adjustRightInd w:val="0"/>
        <w:spacing w:line="240" w:lineRule="auto"/>
        <w:ind w:left="270" w:right="720"/>
        <w:rPr>
          <w:rFonts w:asciiTheme="majorHAnsi" w:hAnsiTheme="majorHAnsi"/>
        </w:rPr>
      </w:pPr>
    </w:p>
    <w:p w:rsidR="00A809AA" w:rsidRPr="00A809AA" w:rsidRDefault="00A809AA" w:rsidP="00612A1A">
      <w:pPr>
        <w:pStyle w:val="ListParagraph"/>
        <w:autoSpaceDE w:val="0"/>
        <w:autoSpaceDN w:val="0"/>
        <w:adjustRightInd w:val="0"/>
        <w:spacing w:line="240" w:lineRule="auto"/>
        <w:ind w:left="270" w:right="720"/>
        <w:rPr>
          <w:rFonts w:asciiTheme="majorHAnsi" w:hAnsiTheme="majorHAnsi"/>
        </w:rPr>
      </w:pPr>
      <w:r w:rsidRPr="00A809AA">
        <w:rPr>
          <w:rFonts w:asciiTheme="majorHAnsi" w:hAnsiTheme="majorHAnsi"/>
        </w:rPr>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00F52BCC" w:rsidRPr="00A809AA" w:rsidRDefault="00F52BCC" w:rsidP="00612A1A">
      <w:pPr>
        <w:pStyle w:val="ListParagraph"/>
        <w:spacing w:after="0" w:line="240" w:lineRule="auto"/>
        <w:ind w:left="270"/>
        <w:rPr>
          <w:rFonts w:asciiTheme="majorHAnsi" w:hAnsiTheme="majorHAnsi"/>
        </w:rPr>
      </w:pPr>
    </w:p>
    <w:p w:rsidR="00B12F51" w:rsidRPr="0088467A" w:rsidRDefault="0088467A" w:rsidP="00612A1A">
      <w:pPr>
        <w:pStyle w:val="ListParagraph"/>
        <w:numPr>
          <w:ilvl w:val="0"/>
          <w:numId w:val="2"/>
        </w:numPr>
        <w:spacing w:after="0" w:line="240" w:lineRule="auto"/>
        <w:ind w:left="360"/>
        <w:rPr>
          <w:rFonts w:asciiTheme="majorHAnsi" w:hAnsiTheme="majorHAnsi"/>
          <w:b/>
        </w:rPr>
      </w:pPr>
      <w:r w:rsidRPr="0088467A">
        <w:rPr>
          <w:rFonts w:asciiTheme="majorHAnsi" w:hAnsiTheme="majorHAnsi"/>
          <w:b/>
          <w:bCs/>
        </w:rPr>
        <w:t>Explanation of Any Payment or Gift to Respondents</w:t>
      </w:r>
    </w:p>
    <w:p w:rsidR="00F52BCC" w:rsidRDefault="00A809AA" w:rsidP="00612A1A">
      <w:pPr>
        <w:pStyle w:val="ListParagraph"/>
        <w:spacing w:after="0" w:line="240" w:lineRule="auto"/>
        <w:ind w:left="270"/>
        <w:rPr>
          <w:rFonts w:asciiTheme="majorHAnsi" w:hAnsiTheme="majorHAnsi"/>
        </w:rPr>
      </w:pPr>
      <w:r>
        <w:rPr>
          <w:rFonts w:asciiTheme="majorHAnsi" w:hAnsiTheme="majorHAnsi"/>
        </w:rPr>
        <w:t>CDC will not provide p</w:t>
      </w:r>
      <w:r w:rsidR="00D26A64">
        <w:rPr>
          <w:rFonts w:asciiTheme="majorHAnsi" w:hAnsiTheme="majorHAnsi"/>
        </w:rPr>
        <w:t>ayments or gifts to respondents.</w:t>
      </w:r>
    </w:p>
    <w:p w:rsidR="00F52BCC" w:rsidRDefault="00F52BCC" w:rsidP="00612A1A">
      <w:pPr>
        <w:pStyle w:val="ListParagraph"/>
        <w:spacing w:after="0" w:line="240" w:lineRule="auto"/>
        <w:ind w:left="270"/>
        <w:rPr>
          <w:rFonts w:asciiTheme="majorHAnsi" w:hAnsiTheme="majorHAnsi"/>
        </w:rPr>
      </w:pPr>
    </w:p>
    <w:p w:rsidR="00B12F51" w:rsidRPr="00D16E78" w:rsidRDefault="0088467A" w:rsidP="00612A1A">
      <w:pPr>
        <w:pStyle w:val="ListParagraph"/>
        <w:numPr>
          <w:ilvl w:val="0"/>
          <w:numId w:val="2"/>
        </w:numPr>
        <w:spacing w:after="0" w:line="240" w:lineRule="auto"/>
        <w:ind w:left="360"/>
        <w:rPr>
          <w:rFonts w:asciiTheme="majorHAnsi" w:hAnsiTheme="majorHAnsi"/>
          <w:b/>
        </w:rPr>
      </w:pPr>
      <w:r>
        <w:rPr>
          <w:rFonts w:asciiTheme="majorHAnsi" w:hAnsiTheme="majorHAnsi"/>
          <w:b/>
        </w:rPr>
        <w:t xml:space="preserve"> </w:t>
      </w:r>
      <w:r w:rsidRPr="0088467A">
        <w:rPr>
          <w:rFonts w:asciiTheme="majorHAnsi" w:hAnsiTheme="majorHAnsi"/>
          <w:b/>
          <w:bCs/>
        </w:rPr>
        <w:t>Assurance of Confidentiality Provided to Respondents</w:t>
      </w:r>
    </w:p>
    <w:p w:rsidR="003C31C9" w:rsidRPr="003C31C9" w:rsidRDefault="003C31C9" w:rsidP="00612A1A">
      <w:pPr>
        <w:pStyle w:val="ListParagraph"/>
        <w:autoSpaceDE w:val="0"/>
        <w:autoSpaceDN w:val="0"/>
        <w:adjustRightInd w:val="0"/>
        <w:spacing w:line="240" w:lineRule="auto"/>
        <w:ind w:left="270" w:right="720"/>
        <w:rPr>
          <w:rFonts w:asciiTheme="majorHAnsi" w:hAnsiTheme="majorHAnsi"/>
        </w:rPr>
      </w:pPr>
      <w:r w:rsidRPr="003C31C9">
        <w:rPr>
          <w:rFonts w:asciiTheme="majorHAnsi" w:hAnsiTheme="majorHAnsi"/>
        </w:rPr>
        <w:t>The Privacy Act does not apply to this data collection.  Employees of state</w:t>
      </w:r>
      <w:r w:rsidR="005542E8">
        <w:rPr>
          <w:rFonts w:asciiTheme="majorHAnsi" w:hAnsiTheme="majorHAnsi"/>
        </w:rPr>
        <w:t xml:space="preserve"> and</w:t>
      </w:r>
      <w:r w:rsidRPr="003C31C9">
        <w:rPr>
          <w:rFonts w:asciiTheme="majorHAnsi" w:hAnsiTheme="majorHAnsi"/>
        </w:rPr>
        <w:t xml:space="preserve"> local</w:t>
      </w:r>
      <w:r w:rsidR="005542E8">
        <w:rPr>
          <w:rFonts w:asciiTheme="majorHAnsi" w:hAnsiTheme="majorHAnsi"/>
        </w:rPr>
        <w:t xml:space="preserve"> </w:t>
      </w:r>
      <w:r w:rsidRPr="003C31C9">
        <w:rPr>
          <w:rFonts w:asciiTheme="majorHAnsi" w:hAnsiTheme="majorHAnsi"/>
        </w:rPr>
        <w:t xml:space="preserve">public health agencies will be speaking from their official roles and will not be asked, nor will they provide individually identifiable information.  </w:t>
      </w:r>
    </w:p>
    <w:p w:rsidR="003C31C9" w:rsidRPr="003C31C9" w:rsidRDefault="003C31C9" w:rsidP="00612A1A">
      <w:pPr>
        <w:pStyle w:val="ListParagraph"/>
        <w:autoSpaceDE w:val="0"/>
        <w:autoSpaceDN w:val="0"/>
        <w:adjustRightInd w:val="0"/>
        <w:spacing w:line="240" w:lineRule="auto"/>
        <w:ind w:left="270" w:right="720"/>
        <w:rPr>
          <w:rFonts w:asciiTheme="majorHAnsi" w:hAnsiTheme="majorHAnsi"/>
        </w:rPr>
      </w:pPr>
    </w:p>
    <w:p w:rsidR="003C31C9" w:rsidRPr="003C31C9" w:rsidRDefault="003C31C9" w:rsidP="00612A1A">
      <w:pPr>
        <w:pStyle w:val="ListParagraph"/>
        <w:autoSpaceDE w:val="0"/>
        <w:autoSpaceDN w:val="0"/>
        <w:adjustRightInd w:val="0"/>
        <w:spacing w:line="240" w:lineRule="auto"/>
        <w:ind w:left="270" w:right="720"/>
        <w:outlineLvl w:val="0"/>
        <w:rPr>
          <w:rFonts w:asciiTheme="majorHAnsi" w:hAnsiTheme="majorHAnsi"/>
        </w:rPr>
      </w:pPr>
      <w:r w:rsidRPr="003C31C9">
        <w:rPr>
          <w:rFonts w:asciiTheme="majorHAnsi" w:hAnsiTheme="majorHAnsi"/>
        </w:rPr>
        <w:t>This data collection is not research involving human subjects.</w:t>
      </w:r>
    </w:p>
    <w:p w:rsidR="00F52BCC" w:rsidRPr="003C31C9" w:rsidRDefault="00F52BCC" w:rsidP="00612A1A">
      <w:pPr>
        <w:pStyle w:val="ListParagraph"/>
        <w:spacing w:after="0" w:line="240" w:lineRule="auto"/>
        <w:ind w:left="270"/>
        <w:rPr>
          <w:rFonts w:asciiTheme="majorHAnsi" w:hAnsiTheme="majorHAnsi"/>
        </w:rPr>
      </w:pPr>
    </w:p>
    <w:p w:rsidR="00B12F51" w:rsidRPr="0088467A" w:rsidRDefault="0088467A" w:rsidP="00612A1A">
      <w:pPr>
        <w:pStyle w:val="ListParagraph"/>
        <w:numPr>
          <w:ilvl w:val="0"/>
          <w:numId w:val="2"/>
        </w:numPr>
        <w:spacing w:after="0" w:line="240" w:lineRule="auto"/>
        <w:ind w:left="360"/>
        <w:rPr>
          <w:rFonts w:asciiTheme="majorHAnsi" w:hAnsiTheme="majorHAnsi"/>
          <w:b/>
        </w:rPr>
      </w:pPr>
      <w:r w:rsidRPr="0088467A">
        <w:rPr>
          <w:rFonts w:asciiTheme="majorHAnsi" w:hAnsiTheme="majorHAnsi"/>
          <w:b/>
          <w:bCs/>
        </w:rPr>
        <w:t>Justification for Sensitive Questions</w:t>
      </w:r>
    </w:p>
    <w:p w:rsidR="00F52BCC" w:rsidRDefault="003C31C9" w:rsidP="00612A1A">
      <w:pPr>
        <w:pStyle w:val="ListParagraph"/>
        <w:spacing w:after="0" w:line="240" w:lineRule="auto"/>
        <w:ind w:left="270"/>
        <w:rPr>
          <w:rFonts w:asciiTheme="majorHAnsi" w:hAnsiTheme="majorHAnsi"/>
        </w:rPr>
      </w:pPr>
      <w:r>
        <w:rPr>
          <w:rFonts w:asciiTheme="majorHAnsi" w:hAnsiTheme="majorHAnsi"/>
        </w:rPr>
        <w:t>No information will be collected</w:t>
      </w:r>
      <w:r w:rsidR="00616090">
        <w:rPr>
          <w:rFonts w:asciiTheme="majorHAnsi" w:hAnsiTheme="majorHAnsi"/>
        </w:rPr>
        <w:t xml:space="preserve"> that are of personal or sensitive nature</w:t>
      </w:r>
      <w:r w:rsidR="00D26A64">
        <w:rPr>
          <w:rFonts w:asciiTheme="majorHAnsi" w:hAnsiTheme="majorHAnsi"/>
        </w:rPr>
        <w:t>.</w:t>
      </w:r>
    </w:p>
    <w:p w:rsidR="00616090" w:rsidRPr="0088467A" w:rsidRDefault="00616090" w:rsidP="00612A1A">
      <w:pPr>
        <w:spacing w:after="0" w:line="240" w:lineRule="auto"/>
        <w:rPr>
          <w:rFonts w:asciiTheme="majorHAnsi" w:hAnsiTheme="majorHAnsi"/>
        </w:rPr>
      </w:pPr>
    </w:p>
    <w:p w:rsidR="00B64BFA" w:rsidRPr="0088467A" w:rsidRDefault="0088467A" w:rsidP="00612A1A">
      <w:pPr>
        <w:pStyle w:val="ListParagraph"/>
        <w:numPr>
          <w:ilvl w:val="0"/>
          <w:numId w:val="2"/>
        </w:numPr>
        <w:spacing w:after="0" w:line="240" w:lineRule="auto"/>
        <w:ind w:left="360"/>
        <w:rPr>
          <w:rFonts w:asciiTheme="majorHAnsi" w:hAnsiTheme="majorHAnsi"/>
          <w:b/>
        </w:rPr>
      </w:pPr>
      <w:r w:rsidRPr="0088467A">
        <w:rPr>
          <w:rFonts w:asciiTheme="majorHAnsi" w:hAnsiTheme="majorHAnsi"/>
          <w:b/>
          <w:bCs/>
        </w:rPr>
        <w:t>Estimates of Annualized Burden Hours and Costs</w:t>
      </w:r>
    </w:p>
    <w:p w:rsidR="009A286D" w:rsidRPr="009A286D" w:rsidRDefault="009A286D" w:rsidP="00612A1A">
      <w:pPr>
        <w:autoSpaceDE w:val="0"/>
        <w:autoSpaceDN w:val="0"/>
        <w:adjustRightInd w:val="0"/>
        <w:spacing w:line="240" w:lineRule="auto"/>
        <w:ind w:left="270"/>
        <w:contextualSpacing/>
        <w:rPr>
          <w:rFonts w:asciiTheme="majorHAnsi" w:hAnsiTheme="majorHAnsi"/>
          <w:color w:val="000000"/>
        </w:rPr>
      </w:pPr>
      <w:r w:rsidRPr="009A286D">
        <w:rPr>
          <w:rFonts w:asciiTheme="majorHAnsi" w:hAnsiTheme="majorHAnsi"/>
          <w:color w:val="000000"/>
        </w:rPr>
        <w:t>The estimate for burden hours is based on a pilot test of the instrument by 5</w:t>
      </w:r>
      <w:r w:rsidRPr="009A286D">
        <w:rPr>
          <w:rFonts w:asciiTheme="majorHAnsi" w:hAnsiTheme="majorHAnsi"/>
        </w:rPr>
        <w:t xml:space="preserve"> public health professionals. </w:t>
      </w:r>
      <w:r w:rsidR="009C1322">
        <w:rPr>
          <w:rFonts w:asciiTheme="majorHAnsi" w:hAnsiTheme="majorHAnsi"/>
        </w:rPr>
        <w:t>T</w:t>
      </w:r>
      <w:r w:rsidRPr="009A286D">
        <w:rPr>
          <w:rFonts w:asciiTheme="majorHAnsi" w:hAnsiTheme="majorHAnsi"/>
        </w:rPr>
        <w:t xml:space="preserve">he average time to complete the </w:t>
      </w:r>
      <w:r w:rsidR="009C1322">
        <w:rPr>
          <w:rFonts w:asciiTheme="majorHAnsi" w:hAnsiTheme="majorHAnsi"/>
        </w:rPr>
        <w:t>instrument,</w:t>
      </w:r>
      <w:r w:rsidRPr="009A286D">
        <w:rPr>
          <w:rFonts w:asciiTheme="majorHAnsi" w:hAnsiTheme="majorHAnsi"/>
        </w:rPr>
        <w:t xml:space="preserve"> including time for reviewing instructions, gathering needed information</w:t>
      </w:r>
      <w:r w:rsidR="009C1322">
        <w:rPr>
          <w:rFonts w:asciiTheme="majorHAnsi" w:hAnsiTheme="majorHAnsi"/>
        </w:rPr>
        <w:t>, and completing the assessment,</w:t>
      </w:r>
      <w:r w:rsidRPr="009A286D">
        <w:rPr>
          <w:rFonts w:asciiTheme="majorHAnsi" w:hAnsiTheme="majorHAnsi"/>
        </w:rPr>
        <w:t xml:space="preserve"> was </w:t>
      </w:r>
      <w:r w:rsidR="0029021A">
        <w:rPr>
          <w:rFonts w:asciiTheme="majorHAnsi" w:hAnsiTheme="majorHAnsi"/>
        </w:rPr>
        <w:t>15</w:t>
      </w:r>
      <w:r w:rsidRPr="009A286D">
        <w:rPr>
          <w:rFonts w:asciiTheme="majorHAnsi" w:hAnsiTheme="majorHAnsi"/>
        </w:rPr>
        <w:t xml:space="preserve"> minutes</w:t>
      </w:r>
      <w:r w:rsidR="009C1322">
        <w:rPr>
          <w:rFonts w:asciiTheme="majorHAnsi" w:hAnsiTheme="majorHAnsi"/>
        </w:rPr>
        <w:t xml:space="preserve"> (</w:t>
      </w:r>
      <w:r w:rsidRPr="009A286D">
        <w:rPr>
          <w:rFonts w:asciiTheme="majorHAnsi" w:hAnsiTheme="majorHAnsi"/>
        </w:rPr>
        <w:t>range 10 to 17 minutes</w:t>
      </w:r>
      <w:r w:rsidR="009C1322">
        <w:rPr>
          <w:rFonts w:asciiTheme="majorHAnsi" w:hAnsiTheme="majorHAnsi"/>
        </w:rPr>
        <w:t>)</w:t>
      </w:r>
      <w:r w:rsidRPr="009A286D">
        <w:rPr>
          <w:rFonts w:asciiTheme="majorHAnsi" w:hAnsiTheme="majorHAnsi"/>
        </w:rPr>
        <w:t>. For the purposes of estimatin</w:t>
      </w:r>
      <w:r w:rsidR="002C73FE">
        <w:rPr>
          <w:rFonts w:asciiTheme="majorHAnsi" w:hAnsiTheme="majorHAnsi"/>
        </w:rPr>
        <w:t>g burden hours, the upper time limit</w:t>
      </w:r>
      <w:r>
        <w:rPr>
          <w:rFonts w:asciiTheme="majorHAnsi" w:hAnsiTheme="majorHAnsi"/>
        </w:rPr>
        <w:t xml:space="preserve"> from the pilot test </w:t>
      </w:r>
      <w:r w:rsidRPr="009A286D">
        <w:rPr>
          <w:rFonts w:asciiTheme="majorHAnsi" w:hAnsiTheme="majorHAnsi"/>
        </w:rPr>
        <w:t xml:space="preserve">(i.e., </w:t>
      </w:r>
      <w:r>
        <w:rPr>
          <w:rFonts w:asciiTheme="majorHAnsi" w:hAnsiTheme="majorHAnsi"/>
        </w:rPr>
        <w:t>17</w:t>
      </w:r>
      <w:r w:rsidR="002C73FE">
        <w:rPr>
          <w:rFonts w:asciiTheme="majorHAnsi" w:hAnsiTheme="majorHAnsi"/>
        </w:rPr>
        <w:t xml:space="preserve"> minutes) was</w:t>
      </w:r>
      <w:r w:rsidRPr="009A286D">
        <w:rPr>
          <w:rFonts w:asciiTheme="majorHAnsi" w:hAnsiTheme="majorHAnsi"/>
        </w:rPr>
        <w:t xml:space="preserve"> used.</w:t>
      </w:r>
    </w:p>
    <w:p w:rsidR="009A286D" w:rsidRPr="009A286D" w:rsidRDefault="009A286D" w:rsidP="00612A1A">
      <w:pPr>
        <w:autoSpaceDE w:val="0"/>
        <w:autoSpaceDN w:val="0"/>
        <w:adjustRightInd w:val="0"/>
        <w:spacing w:line="240" w:lineRule="auto"/>
        <w:ind w:left="270"/>
        <w:contextualSpacing/>
        <w:rPr>
          <w:rFonts w:asciiTheme="majorHAnsi" w:hAnsiTheme="majorHAnsi"/>
          <w:color w:val="000000"/>
        </w:rPr>
      </w:pPr>
    </w:p>
    <w:p w:rsidR="009A286D" w:rsidRPr="009A286D" w:rsidRDefault="009A286D" w:rsidP="00612A1A">
      <w:pPr>
        <w:autoSpaceDE w:val="0"/>
        <w:autoSpaceDN w:val="0"/>
        <w:adjustRightInd w:val="0"/>
        <w:spacing w:line="240" w:lineRule="auto"/>
        <w:ind w:left="270"/>
        <w:contextualSpacing/>
        <w:rPr>
          <w:rFonts w:asciiTheme="majorHAnsi" w:hAnsiTheme="majorHAnsi"/>
          <w:color w:val="000000"/>
        </w:rPr>
      </w:pPr>
      <w:r w:rsidRPr="009A286D">
        <w:rPr>
          <w:rFonts w:asciiTheme="majorHAnsi" w:hAnsiTheme="majorHAnsi"/>
          <w:color w:val="000000"/>
        </w:rPr>
        <w:t>We were unable to locate estimates for the average hourly wage for our veterinary respondents through the Department of Labor (DOL) National Compensation Survey (</w:t>
      </w:r>
      <w:hyperlink r:id="rId9" w:history="1">
        <w:r w:rsidRPr="009A286D">
          <w:rPr>
            <w:rFonts w:asciiTheme="majorHAnsi" w:hAnsiTheme="majorHAnsi"/>
            <w:color w:val="0000FF" w:themeColor="hyperlink"/>
            <w:u w:val="single"/>
          </w:rPr>
          <w:t>http://www.bls.gov/ncs/ocs/sp/nctb1349.pdf</w:t>
        </w:r>
      </w:hyperlink>
      <w:r w:rsidRPr="009A286D">
        <w:rPr>
          <w:rFonts w:asciiTheme="majorHAnsi" w:hAnsiTheme="majorHAnsi"/>
          <w:color w:val="000000"/>
        </w:rPr>
        <w:t>).  Instead we utilized the American Veterinary Medical Association’s (AVMA) Report on Veterinary Compensation from 2011 and pulled the information via the AVMA online “Salary Calculator”.  We selected “State or Local Government”, 10-14 years experience and were provided with a yearly salary ranging from $85,000 to $115,000 with a 50</w:t>
      </w:r>
      <w:r w:rsidRPr="009A286D">
        <w:rPr>
          <w:rFonts w:asciiTheme="majorHAnsi" w:hAnsiTheme="majorHAnsi"/>
          <w:color w:val="000000"/>
          <w:vertAlign w:val="superscript"/>
        </w:rPr>
        <w:t>th</w:t>
      </w:r>
      <w:r w:rsidRPr="009A286D">
        <w:rPr>
          <w:rFonts w:asciiTheme="majorHAnsi" w:hAnsiTheme="majorHAnsi"/>
          <w:color w:val="000000"/>
        </w:rPr>
        <w:t xml:space="preserve"> percentile salary of $97,000.   Utilizing the 50</w:t>
      </w:r>
      <w:r w:rsidRPr="009A286D">
        <w:rPr>
          <w:rFonts w:asciiTheme="majorHAnsi" w:hAnsiTheme="majorHAnsi"/>
          <w:color w:val="000000"/>
          <w:vertAlign w:val="superscript"/>
        </w:rPr>
        <w:t>th</w:t>
      </w:r>
      <w:r w:rsidRPr="009A286D">
        <w:rPr>
          <w:rFonts w:asciiTheme="majorHAnsi" w:hAnsiTheme="majorHAnsi"/>
          <w:color w:val="000000"/>
        </w:rPr>
        <w:t xml:space="preserve"> percentile salary with 40 hours per work week, we determined an hourly wage of $46.63. </w:t>
      </w:r>
    </w:p>
    <w:p w:rsidR="009A286D" w:rsidRDefault="009A286D" w:rsidP="00F41568">
      <w:pPr>
        <w:pStyle w:val="ListParagraph"/>
        <w:autoSpaceDE w:val="0"/>
        <w:autoSpaceDN w:val="0"/>
        <w:adjustRightInd w:val="0"/>
        <w:spacing w:line="240" w:lineRule="auto"/>
        <w:rPr>
          <w:rFonts w:asciiTheme="majorHAnsi" w:hAnsiTheme="majorHAnsi"/>
          <w:color w:val="000000"/>
        </w:rPr>
      </w:pPr>
    </w:p>
    <w:p w:rsidR="00612A1A" w:rsidRDefault="00612A1A" w:rsidP="00F41568">
      <w:pPr>
        <w:pStyle w:val="ListParagraph"/>
        <w:autoSpaceDE w:val="0"/>
        <w:autoSpaceDN w:val="0"/>
        <w:adjustRightInd w:val="0"/>
        <w:spacing w:line="240" w:lineRule="auto"/>
        <w:rPr>
          <w:rFonts w:asciiTheme="majorHAnsi" w:hAnsiTheme="majorHAnsi"/>
          <w:color w:val="000000"/>
        </w:rPr>
      </w:pPr>
    </w:p>
    <w:p w:rsidR="00612A1A" w:rsidRDefault="00612A1A" w:rsidP="00F41568">
      <w:pPr>
        <w:pStyle w:val="ListParagraph"/>
        <w:autoSpaceDE w:val="0"/>
        <w:autoSpaceDN w:val="0"/>
        <w:adjustRightInd w:val="0"/>
        <w:spacing w:line="240" w:lineRule="auto"/>
        <w:rPr>
          <w:rFonts w:asciiTheme="majorHAnsi" w:hAnsiTheme="majorHAnsi"/>
          <w:color w:val="000000"/>
        </w:rPr>
      </w:pPr>
    </w:p>
    <w:p w:rsidR="00612A1A" w:rsidRDefault="00612A1A" w:rsidP="00F41568">
      <w:pPr>
        <w:pStyle w:val="ListParagraph"/>
        <w:autoSpaceDE w:val="0"/>
        <w:autoSpaceDN w:val="0"/>
        <w:adjustRightInd w:val="0"/>
        <w:spacing w:line="240" w:lineRule="auto"/>
        <w:rPr>
          <w:rFonts w:asciiTheme="majorHAnsi" w:hAnsiTheme="majorHAnsi"/>
          <w:color w:val="000000"/>
        </w:rPr>
      </w:pPr>
    </w:p>
    <w:p w:rsidR="00612A1A" w:rsidRDefault="00612A1A" w:rsidP="00F41568">
      <w:pPr>
        <w:pStyle w:val="ListParagraph"/>
        <w:autoSpaceDE w:val="0"/>
        <w:autoSpaceDN w:val="0"/>
        <w:adjustRightInd w:val="0"/>
        <w:spacing w:line="240" w:lineRule="auto"/>
        <w:rPr>
          <w:rFonts w:asciiTheme="majorHAnsi" w:hAnsiTheme="majorHAnsi"/>
          <w:color w:val="000000"/>
        </w:rPr>
      </w:pPr>
    </w:p>
    <w:p w:rsidR="00612A1A" w:rsidRDefault="00612A1A" w:rsidP="00F41568">
      <w:pPr>
        <w:pStyle w:val="ListParagraph"/>
        <w:autoSpaceDE w:val="0"/>
        <w:autoSpaceDN w:val="0"/>
        <w:adjustRightInd w:val="0"/>
        <w:spacing w:line="240" w:lineRule="auto"/>
        <w:rPr>
          <w:rFonts w:asciiTheme="majorHAnsi" w:hAnsiTheme="majorHAnsi"/>
          <w:color w:val="000000"/>
        </w:rPr>
      </w:pPr>
    </w:p>
    <w:p w:rsidR="00612A1A" w:rsidRDefault="00612A1A" w:rsidP="00F41568">
      <w:pPr>
        <w:pStyle w:val="ListParagraph"/>
        <w:autoSpaceDE w:val="0"/>
        <w:autoSpaceDN w:val="0"/>
        <w:adjustRightInd w:val="0"/>
        <w:spacing w:line="240" w:lineRule="auto"/>
        <w:rPr>
          <w:rFonts w:asciiTheme="majorHAnsi" w:hAnsiTheme="majorHAnsi"/>
          <w:color w:val="000000"/>
        </w:rPr>
      </w:pPr>
    </w:p>
    <w:p w:rsidR="00612A1A" w:rsidRDefault="00612A1A" w:rsidP="00F41568">
      <w:pPr>
        <w:pStyle w:val="ListParagraph"/>
        <w:autoSpaceDE w:val="0"/>
        <w:autoSpaceDN w:val="0"/>
        <w:adjustRightInd w:val="0"/>
        <w:spacing w:line="240" w:lineRule="auto"/>
        <w:rPr>
          <w:rFonts w:asciiTheme="majorHAnsi" w:hAnsiTheme="majorHAnsi"/>
          <w:color w:val="000000"/>
        </w:rPr>
      </w:pPr>
    </w:p>
    <w:p w:rsidR="00612A1A" w:rsidRDefault="00612A1A" w:rsidP="00F41568">
      <w:pPr>
        <w:pStyle w:val="ListParagraph"/>
        <w:autoSpaceDE w:val="0"/>
        <w:autoSpaceDN w:val="0"/>
        <w:adjustRightInd w:val="0"/>
        <w:spacing w:line="240" w:lineRule="auto"/>
        <w:rPr>
          <w:rFonts w:asciiTheme="majorHAnsi" w:hAnsiTheme="majorHAnsi"/>
          <w:color w:val="000000"/>
        </w:rPr>
      </w:pPr>
    </w:p>
    <w:p w:rsidR="00612A1A" w:rsidRDefault="00612A1A" w:rsidP="00F41568">
      <w:pPr>
        <w:pStyle w:val="ListParagraph"/>
        <w:autoSpaceDE w:val="0"/>
        <w:autoSpaceDN w:val="0"/>
        <w:adjustRightInd w:val="0"/>
        <w:spacing w:line="240" w:lineRule="auto"/>
        <w:rPr>
          <w:rFonts w:asciiTheme="majorHAnsi" w:hAnsiTheme="majorHAnsi"/>
          <w:color w:val="000000"/>
        </w:rPr>
      </w:pPr>
    </w:p>
    <w:p w:rsidR="005A59E5" w:rsidRDefault="005A59E5" w:rsidP="00F41568">
      <w:pPr>
        <w:pStyle w:val="ListParagraph"/>
        <w:autoSpaceDE w:val="0"/>
        <w:autoSpaceDN w:val="0"/>
        <w:adjustRightInd w:val="0"/>
        <w:spacing w:line="240" w:lineRule="auto"/>
        <w:ind w:left="0" w:right="720"/>
        <w:rPr>
          <w:rFonts w:asciiTheme="majorHAnsi" w:hAnsiTheme="majorHAnsi"/>
        </w:rPr>
      </w:pPr>
      <w:r w:rsidRPr="008E0683">
        <w:rPr>
          <w:rFonts w:asciiTheme="majorHAnsi" w:hAnsiTheme="majorHAnsi"/>
          <w:b/>
          <w:u w:val="single"/>
        </w:rPr>
        <w:t>Table A-12</w:t>
      </w:r>
      <w:r w:rsidRPr="008E0683">
        <w:rPr>
          <w:rFonts w:asciiTheme="majorHAnsi" w:hAnsiTheme="majorHAnsi"/>
          <w:b/>
        </w:rPr>
        <w:t>:</w:t>
      </w:r>
      <w:r w:rsidRPr="003C31C9">
        <w:rPr>
          <w:rFonts w:asciiTheme="majorHAnsi" w:hAnsiTheme="majorHAnsi"/>
        </w:rPr>
        <w:t xml:space="preserve"> </w:t>
      </w:r>
      <w:r>
        <w:rPr>
          <w:rFonts w:asciiTheme="majorHAnsi" w:hAnsiTheme="majorHAnsi"/>
        </w:rPr>
        <w:t>Estimated</w:t>
      </w:r>
      <w:r w:rsidRPr="003C31C9">
        <w:rPr>
          <w:rFonts w:asciiTheme="majorHAnsi" w:hAnsiTheme="majorHAnsi"/>
        </w:rPr>
        <w:t xml:space="preserve"> </w:t>
      </w:r>
      <w:r>
        <w:rPr>
          <w:rFonts w:asciiTheme="majorHAnsi" w:hAnsiTheme="majorHAnsi"/>
        </w:rPr>
        <w:t>A</w:t>
      </w:r>
      <w:r w:rsidRPr="003C31C9">
        <w:rPr>
          <w:rFonts w:asciiTheme="majorHAnsi" w:hAnsiTheme="majorHAnsi"/>
        </w:rPr>
        <w:t xml:space="preserve">nnualized </w:t>
      </w:r>
      <w:r>
        <w:rPr>
          <w:rFonts w:asciiTheme="majorHAnsi" w:hAnsiTheme="majorHAnsi"/>
        </w:rPr>
        <w:t>Burden Hours and Costs to Respondents</w:t>
      </w:r>
      <w:r w:rsidRPr="003C31C9">
        <w:rPr>
          <w:rFonts w:asciiTheme="majorHAnsi" w:hAnsiTheme="majorHAnsi"/>
        </w:rPr>
        <w:t xml:space="preserve"> </w:t>
      </w:r>
      <w:r w:rsidR="009A286D">
        <w:rPr>
          <w:rFonts w:asciiTheme="majorHAnsi" w:hAnsiTheme="majorHAnsi"/>
        </w:rPr>
        <w:t>– Animal Law</w:t>
      </w:r>
      <w:r>
        <w:rPr>
          <w:rFonts w:asciiTheme="majorHAnsi" w:hAnsiTheme="majorHAnsi"/>
        </w:rPr>
        <w:t xml:space="preserve"> </w:t>
      </w:r>
      <w:r w:rsidR="009C1322">
        <w:rPr>
          <w:rFonts w:asciiTheme="majorHAnsi" w:hAnsiTheme="majorHAnsi"/>
        </w:rPr>
        <w:t>Assessment</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0A1F30" w:rsidRPr="006F6856" w:rsidTr="00C0376C">
        <w:trPr>
          <w:trHeight w:val="1493"/>
        </w:trPr>
        <w:tc>
          <w:tcPr>
            <w:tcW w:w="1620" w:type="dxa"/>
            <w:tcBorders>
              <w:bottom w:val="single" w:sz="12" w:space="0" w:color="000000"/>
            </w:tcBorders>
            <w:shd w:val="clear" w:color="auto" w:fill="D9D9D9" w:themeFill="background1" w:themeFillShade="D9"/>
            <w:vAlign w:val="center"/>
          </w:tcPr>
          <w:p w:rsidR="000A1F30" w:rsidRPr="006F6856" w:rsidRDefault="000A1F30" w:rsidP="00F41568">
            <w:pPr>
              <w:spacing w:line="240" w:lineRule="auto"/>
              <w:jc w:val="center"/>
              <w:rPr>
                <w:rFonts w:asciiTheme="majorHAnsi" w:hAnsiTheme="majorHAnsi"/>
                <w:b/>
                <w:sz w:val="20"/>
              </w:rPr>
            </w:pPr>
            <w:r w:rsidRPr="006F6856">
              <w:rPr>
                <w:rFonts w:asciiTheme="majorHAnsi" w:hAnsiTheme="majorHAnsi"/>
                <w:b/>
                <w:sz w:val="20"/>
              </w:rPr>
              <w:t>Type of Respondent</w:t>
            </w:r>
          </w:p>
        </w:tc>
        <w:tc>
          <w:tcPr>
            <w:tcW w:w="1440" w:type="dxa"/>
            <w:tcBorders>
              <w:bottom w:val="single" w:sz="12" w:space="0" w:color="000000"/>
            </w:tcBorders>
            <w:shd w:val="clear" w:color="auto" w:fill="D9D9D9" w:themeFill="background1" w:themeFillShade="D9"/>
            <w:vAlign w:val="center"/>
          </w:tcPr>
          <w:p w:rsidR="000A1F30" w:rsidRPr="006F6856" w:rsidRDefault="000A1F30" w:rsidP="00F41568">
            <w:pPr>
              <w:spacing w:line="240" w:lineRule="auto"/>
              <w:jc w:val="center"/>
              <w:rPr>
                <w:rFonts w:asciiTheme="majorHAnsi" w:hAnsiTheme="majorHAnsi"/>
                <w:b/>
                <w:sz w:val="20"/>
              </w:rPr>
            </w:pPr>
            <w:r w:rsidRPr="006F6856">
              <w:rPr>
                <w:rFonts w:asciiTheme="majorHAnsi" w:hAnsiTheme="majorHAnsi"/>
                <w:b/>
                <w:sz w:val="20"/>
              </w:rPr>
              <w:t>No. of Respondents</w:t>
            </w:r>
          </w:p>
        </w:tc>
        <w:tc>
          <w:tcPr>
            <w:tcW w:w="1800" w:type="dxa"/>
            <w:tcBorders>
              <w:bottom w:val="single" w:sz="12" w:space="0" w:color="000000"/>
            </w:tcBorders>
            <w:shd w:val="clear" w:color="auto" w:fill="D9D9D9" w:themeFill="background1" w:themeFillShade="D9"/>
            <w:vAlign w:val="center"/>
          </w:tcPr>
          <w:p w:rsidR="000A1F30" w:rsidRPr="006F6856" w:rsidRDefault="000A1F30" w:rsidP="00F41568">
            <w:pPr>
              <w:spacing w:line="240" w:lineRule="auto"/>
              <w:jc w:val="center"/>
              <w:rPr>
                <w:rFonts w:asciiTheme="majorHAnsi" w:hAnsiTheme="majorHAnsi"/>
                <w:b/>
                <w:sz w:val="20"/>
              </w:rPr>
            </w:pPr>
            <w:r w:rsidRPr="006F6856">
              <w:rPr>
                <w:rFonts w:asciiTheme="majorHAnsi" w:hAnsiTheme="majorHAnsi"/>
                <w:b/>
                <w:sz w:val="20"/>
              </w:rPr>
              <w:t xml:space="preserve">No. of </w:t>
            </w:r>
            <w:r>
              <w:rPr>
                <w:rFonts w:asciiTheme="majorHAnsi" w:hAnsiTheme="majorHAnsi"/>
                <w:b/>
                <w:sz w:val="20"/>
              </w:rPr>
              <w:t xml:space="preserve">Responses </w:t>
            </w:r>
            <w:r w:rsidRPr="006F6856">
              <w:rPr>
                <w:rFonts w:asciiTheme="majorHAnsi" w:hAnsiTheme="majorHAnsi"/>
                <w:b/>
                <w:sz w:val="20"/>
              </w:rPr>
              <w:t>per Respondent</w:t>
            </w:r>
          </w:p>
        </w:tc>
        <w:tc>
          <w:tcPr>
            <w:tcW w:w="1260" w:type="dxa"/>
            <w:tcBorders>
              <w:bottom w:val="single" w:sz="12" w:space="0" w:color="000000"/>
            </w:tcBorders>
            <w:shd w:val="clear" w:color="auto" w:fill="D9D9D9" w:themeFill="background1" w:themeFillShade="D9"/>
            <w:vAlign w:val="center"/>
          </w:tcPr>
          <w:p w:rsidR="000A1F30" w:rsidRPr="00817941" w:rsidRDefault="000A1F30" w:rsidP="00F41568">
            <w:pPr>
              <w:spacing w:line="240" w:lineRule="auto"/>
              <w:jc w:val="center"/>
              <w:rPr>
                <w:rFonts w:asciiTheme="majorHAnsi" w:hAnsiTheme="majorHAnsi"/>
                <w:b/>
                <w:sz w:val="20"/>
              </w:rPr>
            </w:pPr>
            <w:r w:rsidRPr="00817941">
              <w:rPr>
                <w:rFonts w:asciiTheme="majorHAnsi" w:hAnsiTheme="majorHAnsi"/>
                <w:b/>
                <w:sz w:val="20"/>
              </w:rPr>
              <w:t>Average Burden per Response (in hours)</w:t>
            </w:r>
          </w:p>
        </w:tc>
        <w:tc>
          <w:tcPr>
            <w:tcW w:w="1080" w:type="dxa"/>
            <w:tcBorders>
              <w:bottom w:val="single" w:sz="12" w:space="0" w:color="000000"/>
            </w:tcBorders>
            <w:shd w:val="clear" w:color="auto" w:fill="D9D9D9" w:themeFill="background1" w:themeFillShade="D9"/>
            <w:vAlign w:val="center"/>
          </w:tcPr>
          <w:p w:rsidR="000A1F30" w:rsidRPr="00817941" w:rsidRDefault="000A1F30" w:rsidP="00F41568">
            <w:pPr>
              <w:spacing w:line="240" w:lineRule="auto"/>
              <w:jc w:val="center"/>
              <w:rPr>
                <w:rFonts w:asciiTheme="majorHAnsi" w:hAnsiTheme="majorHAnsi"/>
                <w:b/>
                <w:sz w:val="20"/>
              </w:rPr>
            </w:pPr>
            <w:r w:rsidRPr="00817941">
              <w:rPr>
                <w:rFonts w:asciiTheme="majorHAnsi" w:hAnsiTheme="majorHAnsi"/>
                <w:b/>
                <w:sz w:val="20"/>
              </w:rPr>
              <w:t>Total Burden Hours</w:t>
            </w:r>
          </w:p>
        </w:tc>
        <w:tc>
          <w:tcPr>
            <w:tcW w:w="990" w:type="dxa"/>
            <w:tcBorders>
              <w:bottom w:val="single" w:sz="12" w:space="0" w:color="000000"/>
            </w:tcBorders>
            <w:shd w:val="clear" w:color="auto" w:fill="D9D9D9" w:themeFill="background1" w:themeFillShade="D9"/>
            <w:vAlign w:val="center"/>
          </w:tcPr>
          <w:p w:rsidR="000A1F30" w:rsidRPr="00817941" w:rsidRDefault="000A1F30" w:rsidP="00F41568">
            <w:pPr>
              <w:spacing w:line="240" w:lineRule="auto"/>
              <w:jc w:val="center"/>
              <w:rPr>
                <w:rFonts w:asciiTheme="majorHAnsi" w:hAnsiTheme="majorHAnsi"/>
                <w:b/>
                <w:sz w:val="20"/>
              </w:rPr>
            </w:pPr>
            <w:r w:rsidRPr="00817941">
              <w:rPr>
                <w:rFonts w:asciiTheme="majorHAnsi" w:hAnsiTheme="majorHAnsi"/>
                <w:b/>
                <w:sz w:val="20"/>
              </w:rPr>
              <w:t>Hourly Wage Rate</w:t>
            </w:r>
          </w:p>
        </w:tc>
        <w:tc>
          <w:tcPr>
            <w:tcW w:w="1368" w:type="dxa"/>
            <w:tcBorders>
              <w:bottom w:val="single" w:sz="12" w:space="0" w:color="000000"/>
            </w:tcBorders>
            <w:shd w:val="clear" w:color="auto" w:fill="D9D9D9" w:themeFill="background1" w:themeFillShade="D9"/>
            <w:vAlign w:val="center"/>
          </w:tcPr>
          <w:p w:rsidR="000A1F30" w:rsidRPr="00817941" w:rsidRDefault="000A1F30" w:rsidP="00F41568">
            <w:pPr>
              <w:spacing w:line="240" w:lineRule="auto"/>
              <w:jc w:val="center"/>
              <w:rPr>
                <w:rFonts w:asciiTheme="majorHAnsi" w:hAnsiTheme="majorHAnsi"/>
                <w:b/>
                <w:sz w:val="20"/>
              </w:rPr>
            </w:pPr>
            <w:r w:rsidRPr="00817941">
              <w:rPr>
                <w:rFonts w:asciiTheme="majorHAnsi" w:hAnsiTheme="majorHAnsi"/>
                <w:b/>
                <w:sz w:val="20"/>
              </w:rPr>
              <w:t>Total Respondent Costs</w:t>
            </w:r>
          </w:p>
        </w:tc>
      </w:tr>
      <w:tr w:rsidR="009A286D" w:rsidRPr="006F6856" w:rsidTr="00C0376C">
        <w:tc>
          <w:tcPr>
            <w:tcW w:w="1620" w:type="dxa"/>
            <w:tcBorders>
              <w:top w:val="single" w:sz="12" w:space="0" w:color="000000"/>
            </w:tcBorders>
            <w:vAlign w:val="center"/>
          </w:tcPr>
          <w:p w:rsidR="009A286D" w:rsidRPr="006F6856" w:rsidRDefault="00BB0277" w:rsidP="00F41568">
            <w:pPr>
              <w:spacing w:line="240" w:lineRule="auto"/>
              <w:rPr>
                <w:rFonts w:asciiTheme="majorHAnsi" w:hAnsiTheme="majorHAnsi"/>
                <w:sz w:val="20"/>
              </w:rPr>
            </w:pPr>
            <w:r>
              <w:rPr>
                <w:rFonts w:asciiTheme="majorHAnsi" w:hAnsiTheme="majorHAnsi"/>
                <w:sz w:val="20"/>
              </w:rPr>
              <w:t xml:space="preserve">State </w:t>
            </w:r>
            <w:r w:rsidR="009A286D">
              <w:rPr>
                <w:rFonts w:asciiTheme="majorHAnsi" w:hAnsiTheme="majorHAnsi"/>
                <w:sz w:val="20"/>
              </w:rPr>
              <w:t>Public Health Veterinarian</w:t>
            </w:r>
          </w:p>
        </w:tc>
        <w:tc>
          <w:tcPr>
            <w:tcW w:w="1440" w:type="dxa"/>
            <w:tcBorders>
              <w:top w:val="single" w:sz="12" w:space="0" w:color="000000"/>
            </w:tcBorders>
            <w:vAlign w:val="center"/>
          </w:tcPr>
          <w:p w:rsidR="009A286D" w:rsidRPr="006F6856" w:rsidRDefault="00BB0277" w:rsidP="00F41568">
            <w:pPr>
              <w:spacing w:line="240" w:lineRule="auto"/>
              <w:jc w:val="center"/>
              <w:rPr>
                <w:rFonts w:asciiTheme="majorHAnsi" w:hAnsiTheme="majorHAnsi"/>
                <w:sz w:val="20"/>
              </w:rPr>
            </w:pPr>
            <w:r>
              <w:rPr>
                <w:rFonts w:asciiTheme="majorHAnsi" w:hAnsiTheme="majorHAnsi"/>
                <w:sz w:val="20"/>
              </w:rPr>
              <w:t>50</w:t>
            </w:r>
          </w:p>
        </w:tc>
        <w:tc>
          <w:tcPr>
            <w:tcW w:w="1800" w:type="dxa"/>
            <w:tcBorders>
              <w:top w:val="single" w:sz="12" w:space="0" w:color="000000"/>
            </w:tcBorders>
            <w:vAlign w:val="center"/>
          </w:tcPr>
          <w:p w:rsidR="009A286D" w:rsidRPr="006F6856" w:rsidRDefault="009A286D" w:rsidP="00F41568">
            <w:pPr>
              <w:spacing w:line="240" w:lineRule="auto"/>
              <w:jc w:val="center"/>
              <w:rPr>
                <w:rFonts w:asciiTheme="majorHAnsi" w:hAnsiTheme="majorHAnsi"/>
                <w:sz w:val="20"/>
              </w:rPr>
            </w:pPr>
            <w:r>
              <w:rPr>
                <w:rFonts w:asciiTheme="majorHAnsi" w:hAnsiTheme="majorHAnsi"/>
                <w:sz w:val="20"/>
              </w:rPr>
              <w:t>1</w:t>
            </w:r>
          </w:p>
        </w:tc>
        <w:tc>
          <w:tcPr>
            <w:tcW w:w="1260" w:type="dxa"/>
            <w:tcBorders>
              <w:top w:val="single" w:sz="12" w:space="0" w:color="000000"/>
            </w:tcBorders>
            <w:vAlign w:val="center"/>
          </w:tcPr>
          <w:p w:rsidR="009A286D" w:rsidRPr="00817941" w:rsidRDefault="009A286D" w:rsidP="00F41568">
            <w:pPr>
              <w:spacing w:line="240" w:lineRule="auto"/>
              <w:jc w:val="center"/>
              <w:rPr>
                <w:rFonts w:asciiTheme="majorHAnsi" w:hAnsiTheme="majorHAnsi"/>
                <w:sz w:val="20"/>
              </w:rPr>
            </w:pPr>
            <w:r>
              <w:rPr>
                <w:rFonts w:asciiTheme="majorHAnsi" w:hAnsiTheme="majorHAnsi"/>
                <w:sz w:val="20"/>
              </w:rPr>
              <w:t>17/60</w:t>
            </w:r>
          </w:p>
        </w:tc>
        <w:tc>
          <w:tcPr>
            <w:tcW w:w="1080" w:type="dxa"/>
            <w:tcBorders>
              <w:top w:val="single" w:sz="12" w:space="0" w:color="000000"/>
            </w:tcBorders>
            <w:vAlign w:val="center"/>
          </w:tcPr>
          <w:p w:rsidR="009A286D" w:rsidRPr="002C73FE" w:rsidRDefault="00BB0277" w:rsidP="00F41568">
            <w:pPr>
              <w:spacing w:line="240" w:lineRule="auto"/>
              <w:jc w:val="center"/>
              <w:rPr>
                <w:rFonts w:asciiTheme="majorHAnsi" w:hAnsiTheme="majorHAnsi"/>
                <w:sz w:val="20"/>
              </w:rPr>
            </w:pPr>
            <w:r>
              <w:rPr>
                <w:rFonts w:asciiTheme="majorHAnsi" w:hAnsiTheme="majorHAnsi"/>
                <w:sz w:val="20"/>
              </w:rPr>
              <w:t>14</w:t>
            </w:r>
          </w:p>
        </w:tc>
        <w:tc>
          <w:tcPr>
            <w:tcW w:w="990" w:type="dxa"/>
            <w:tcBorders>
              <w:top w:val="single" w:sz="12" w:space="0" w:color="000000"/>
            </w:tcBorders>
            <w:vAlign w:val="center"/>
          </w:tcPr>
          <w:p w:rsidR="009A286D" w:rsidRPr="002C73FE" w:rsidRDefault="002C73FE" w:rsidP="00F41568">
            <w:pPr>
              <w:spacing w:line="240" w:lineRule="auto"/>
              <w:jc w:val="center"/>
              <w:rPr>
                <w:rFonts w:asciiTheme="majorHAnsi" w:hAnsiTheme="majorHAnsi"/>
                <w:sz w:val="20"/>
              </w:rPr>
            </w:pPr>
            <w:r>
              <w:rPr>
                <w:rFonts w:asciiTheme="majorHAnsi" w:hAnsiTheme="majorHAnsi"/>
                <w:sz w:val="20"/>
              </w:rPr>
              <w:t>$</w:t>
            </w:r>
            <w:r w:rsidR="009A286D" w:rsidRPr="002C73FE">
              <w:rPr>
                <w:rFonts w:asciiTheme="majorHAnsi" w:hAnsiTheme="majorHAnsi"/>
                <w:sz w:val="20"/>
              </w:rPr>
              <w:t xml:space="preserve">46.63 </w:t>
            </w:r>
          </w:p>
        </w:tc>
        <w:tc>
          <w:tcPr>
            <w:tcW w:w="1368" w:type="dxa"/>
            <w:tcBorders>
              <w:top w:val="single" w:sz="12" w:space="0" w:color="000000"/>
            </w:tcBorders>
            <w:vAlign w:val="center"/>
          </w:tcPr>
          <w:p w:rsidR="009A286D" w:rsidRPr="00FE7B9C" w:rsidRDefault="002C73FE" w:rsidP="00F41568">
            <w:pPr>
              <w:spacing w:line="240" w:lineRule="auto"/>
              <w:jc w:val="center"/>
              <w:rPr>
                <w:rFonts w:asciiTheme="majorHAnsi" w:hAnsiTheme="majorHAnsi"/>
                <w:sz w:val="20"/>
                <w:highlight w:val="yellow"/>
              </w:rPr>
            </w:pPr>
            <w:r>
              <w:rPr>
                <w:rFonts w:asciiTheme="majorHAnsi" w:hAnsiTheme="majorHAnsi"/>
                <w:sz w:val="20"/>
              </w:rPr>
              <w:t>$</w:t>
            </w:r>
            <w:r w:rsidR="00BB0277">
              <w:rPr>
                <w:rFonts w:asciiTheme="majorHAnsi" w:hAnsiTheme="majorHAnsi"/>
                <w:sz w:val="20"/>
              </w:rPr>
              <w:t>6</w:t>
            </w:r>
            <w:r w:rsidR="00F41568">
              <w:rPr>
                <w:rFonts w:asciiTheme="majorHAnsi" w:hAnsiTheme="majorHAnsi"/>
                <w:sz w:val="20"/>
              </w:rPr>
              <w:t>52.82</w:t>
            </w:r>
          </w:p>
        </w:tc>
      </w:tr>
      <w:tr w:rsidR="00BB0277" w:rsidRPr="006F6856" w:rsidTr="00C0376C">
        <w:tc>
          <w:tcPr>
            <w:tcW w:w="1620" w:type="dxa"/>
            <w:tcBorders>
              <w:top w:val="single" w:sz="12" w:space="0" w:color="000000"/>
            </w:tcBorders>
            <w:vAlign w:val="center"/>
          </w:tcPr>
          <w:p w:rsidR="00BB0277" w:rsidRDefault="00BB0277" w:rsidP="00F41568">
            <w:pPr>
              <w:spacing w:line="240" w:lineRule="auto"/>
              <w:rPr>
                <w:rFonts w:asciiTheme="majorHAnsi" w:hAnsiTheme="majorHAnsi"/>
                <w:sz w:val="20"/>
              </w:rPr>
            </w:pPr>
            <w:r>
              <w:rPr>
                <w:rFonts w:asciiTheme="majorHAnsi" w:hAnsiTheme="majorHAnsi"/>
                <w:sz w:val="20"/>
              </w:rPr>
              <w:t>Local Public Health Veterinarian</w:t>
            </w:r>
          </w:p>
        </w:tc>
        <w:tc>
          <w:tcPr>
            <w:tcW w:w="1440" w:type="dxa"/>
            <w:tcBorders>
              <w:top w:val="single" w:sz="12" w:space="0" w:color="000000"/>
            </w:tcBorders>
            <w:vAlign w:val="center"/>
          </w:tcPr>
          <w:p w:rsidR="00BB0277" w:rsidRDefault="00F41568" w:rsidP="00F41568">
            <w:pPr>
              <w:spacing w:line="240" w:lineRule="auto"/>
              <w:jc w:val="center"/>
              <w:rPr>
                <w:rFonts w:asciiTheme="majorHAnsi" w:hAnsiTheme="majorHAnsi"/>
                <w:sz w:val="20"/>
              </w:rPr>
            </w:pPr>
            <w:r>
              <w:rPr>
                <w:rFonts w:asciiTheme="majorHAnsi" w:hAnsiTheme="majorHAnsi"/>
                <w:sz w:val="20"/>
              </w:rPr>
              <w:t>16</w:t>
            </w:r>
          </w:p>
        </w:tc>
        <w:tc>
          <w:tcPr>
            <w:tcW w:w="1800" w:type="dxa"/>
            <w:tcBorders>
              <w:top w:val="single" w:sz="12" w:space="0" w:color="000000"/>
            </w:tcBorders>
            <w:vAlign w:val="center"/>
          </w:tcPr>
          <w:p w:rsidR="00BB0277" w:rsidRDefault="00BB0277" w:rsidP="00F41568">
            <w:pPr>
              <w:spacing w:line="240" w:lineRule="auto"/>
              <w:jc w:val="center"/>
              <w:rPr>
                <w:rFonts w:asciiTheme="majorHAnsi" w:hAnsiTheme="majorHAnsi"/>
                <w:sz w:val="20"/>
              </w:rPr>
            </w:pPr>
            <w:r>
              <w:rPr>
                <w:rFonts w:asciiTheme="majorHAnsi" w:hAnsiTheme="majorHAnsi"/>
                <w:sz w:val="20"/>
              </w:rPr>
              <w:t>1</w:t>
            </w:r>
          </w:p>
        </w:tc>
        <w:tc>
          <w:tcPr>
            <w:tcW w:w="1260" w:type="dxa"/>
            <w:tcBorders>
              <w:top w:val="single" w:sz="12" w:space="0" w:color="000000"/>
            </w:tcBorders>
            <w:vAlign w:val="center"/>
          </w:tcPr>
          <w:p w:rsidR="00BB0277" w:rsidRPr="00817941" w:rsidRDefault="00BB0277" w:rsidP="00F41568">
            <w:pPr>
              <w:spacing w:line="240" w:lineRule="auto"/>
              <w:jc w:val="center"/>
              <w:rPr>
                <w:rFonts w:asciiTheme="majorHAnsi" w:hAnsiTheme="majorHAnsi"/>
                <w:sz w:val="20"/>
              </w:rPr>
            </w:pPr>
            <w:r>
              <w:rPr>
                <w:rFonts w:asciiTheme="majorHAnsi" w:hAnsiTheme="majorHAnsi"/>
                <w:sz w:val="20"/>
              </w:rPr>
              <w:t>17/60</w:t>
            </w:r>
          </w:p>
        </w:tc>
        <w:tc>
          <w:tcPr>
            <w:tcW w:w="1080" w:type="dxa"/>
            <w:tcBorders>
              <w:top w:val="single" w:sz="12" w:space="0" w:color="000000"/>
            </w:tcBorders>
            <w:vAlign w:val="center"/>
          </w:tcPr>
          <w:p w:rsidR="00BB0277" w:rsidRPr="002C73FE" w:rsidRDefault="00F41568" w:rsidP="00F41568">
            <w:pPr>
              <w:spacing w:line="240" w:lineRule="auto"/>
              <w:jc w:val="center"/>
              <w:rPr>
                <w:rFonts w:asciiTheme="majorHAnsi" w:hAnsiTheme="majorHAnsi"/>
                <w:sz w:val="20"/>
              </w:rPr>
            </w:pPr>
            <w:r>
              <w:rPr>
                <w:rFonts w:asciiTheme="majorHAnsi" w:hAnsiTheme="majorHAnsi"/>
                <w:sz w:val="20"/>
              </w:rPr>
              <w:t>5</w:t>
            </w:r>
          </w:p>
        </w:tc>
        <w:tc>
          <w:tcPr>
            <w:tcW w:w="990" w:type="dxa"/>
            <w:tcBorders>
              <w:top w:val="single" w:sz="12" w:space="0" w:color="000000"/>
            </w:tcBorders>
            <w:vAlign w:val="center"/>
          </w:tcPr>
          <w:p w:rsidR="00BB0277" w:rsidRPr="002C73FE" w:rsidRDefault="00BB0277" w:rsidP="00F41568">
            <w:pPr>
              <w:spacing w:line="240" w:lineRule="auto"/>
              <w:jc w:val="center"/>
              <w:rPr>
                <w:rFonts w:asciiTheme="majorHAnsi" w:hAnsiTheme="majorHAnsi"/>
                <w:sz w:val="20"/>
              </w:rPr>
            </w:pPr>
            <w:r>
              <w:rPr>
                <w:rFonts w:asciiTheme="majorHAnsi" w:hAnsiTheme="majorHAnsi"/>
                <w:sz w:val="20"/>
              </w:rPr>
              <w:t>$</w:t>
            </w:r>
            <w:r w:rsidRPr="002C73FE">
              <w:rPr>
                <w:rFonts w:asciiTheme="majorHAnsi" w:hAnsiTheme="majorHAnsi"/>
                <w:sz w:val="20"/>
              </w:rPr>
              <w:t xml:space="preserve">46.63 </w:t>
            </w:r>
          </w:p>
        </w:tc>
        <w:tc>
          <w:tcPr>
            <w:tcW w:w="1368" w:type="dxa"/>
            <w:tcBorders>
              <w:top w:val="single" w:sz="12" w:space="0" w:color="000000"/>
            </w:tcBorders>
            <w:vAlign w:val="center"/>
          </w:tcPr>
          <w:p w:rsidR="00BB0277" w:rsidRPr="00FE7B9C" w:rsidRDefault="00BB0277" w:rsidP="00F41568">
            <w:pPr>
              <w:spacing w:line="240" w:lineRule="auto"/>
              <w:jc w:val="center"/>
              <w:rPr>
                <w:rFonts w:asciiTheme="majorHAnsi" w:hAnsiTheme="majorHAnsi"/>
                <w:sz w:val="20"/>
                <w:highlight w:val="yellow"/>
              </w:rPr>
            </w:pPr>
            <w:r>
              <w:rPr>
                <w:rFonts w:asciiTheme="majorHAnsi" w:hAnsiTheme="majorHAnsi"/>
                <w:sz w:val="20"/>
              </w:rPr>
              <w:t>$</w:t>
            </w:r>
            <w:r w:rsidRPr="00BB0277">
              <w:rPr>
                <w:rFonts w:asciiTheme="majorHAnsi" w:hAnsiTheme="majorHAnsi"/>
                <w:sz w:val="20"/>
              </w:rPr>
              <w:t>2</w:t>
            </w:r>
            <w:r w:rsidR="00F41568">
              <w:rPr>
                <w:rFonts w:asciiTheme="majorHAnsi" w:hAnsiTheme="majorHAnsi"/>
                <w:sz w:val="20"/>
              </w:rPr>
              <w:t>33.15</w:t>
            </w:r>
          </w:p>
        </w:tc>
      </w:tr>
      <w:tr w:rsidR="009A286D" w:rsidRPr="006F6856" w:rsidTr="00C0376C">
        <w:trPr>
          <w:trHeight w:hRule="exact" w:val="432"/>
        </w:trPr>
        <w:tc>
          <w:tcPr>
            <w:tcW w:w="1620" w:type="dxa"/>
            <w:vAlign w:val="center"/>
          </w:tcPr>
          <w:p w:rsidR="009A286D" w:rsidRPr="00C0376C" w:rsidRDefault="009A286D" w:rsidP="00F41568">
            <w:pPr>
              <w:spacing w:after="0" w:line="240" w:lineRule="auto"/>
              <w:jc w:val="right"/>
              <w:rPr>
                <w:rFonts w:asciiTheme="majorHAnsi" w:hAnsiTheme="majorHAnsi"/>
                <w:b/>
                <w:sz w:val="20"/>
              </w:rPr>
            </w:pPr>
            <w:r>
              <w:rPr>
                <w:rFonts w:asciiTheme="majorHAnsi" w:hAnsiTheme="majorHAnsi"/>
                <w:b/>
                <w:sz w:val="20"/>
              </w:rPr>
              <w:t>TOTALS</w:t>
            </w:r>
          </w:p>
        </w:tc>
        <w:tc>
          <w:tcPr>
            <w:tcW w:w="1440" w:type="dxa"/>
            <w:vAlign w:val="center"/>
          </w:tcPr>
          <w:p w:rsidR="009A286D" w:rsidRPr="00817941" w:rsidRDefault="00F41568" w:rsidP="00F41568">
            <w:pPr>
              <w:spacing w:after="0" w:line="240" w:lineRule="auto"/>
              <w:jc w:val="center"/>
              <w:rPr>
                <w:rFonts w:asciiTheme="majorHAnsi" w:hAnsiTheme="majorHAnsi"/>
                <w:b/>
                <w:sz w:val="20"/>
              </w:rPr>
            </w:pPr>
            <w:r>
              <w:rPr>
                <w:rFonts w:asciiTheme="majorHAnsi" w:hAnsiTheme="majorHAnsi"/>
                <w:b/>
                <w:sz w:val="20"/>
              </w:rPr>
              <w:t>66</w:t>
            </w:r>
          </w:p>
        </w:tc>
        <w:tc>
          <w:tcPr>
            <w:tcW w:w="1800" w:type="dxa"/>
            <w:shd w:val="clear" w:color="auto" w:fill="auto"/>
            <w:vAlign w:val="center"/>
          </w:tcPr>
          <w:p w:rsidR="009A286D" w:rsidRPr="00817941" w:rsidRDefault="009A286D" w:rsidP="00F41568">
            <w:pPr>
              <w:spacing w:after="0" w:line="240" w:lineRule="auto"/>
              <w:jc w:val="center"/>
              <w:rPr>
                <w:rFonts w:asciiTheme="majorHAnsi" w:hAnsiTheme="majorHAnsi"/>
                <w:b/>
                <w:sz w:val="20"/>
              </w:rPr>
            </w:pPr>
            <w:r>
              <w:rPr>
                <w:rFonts w:asciiTheme="majorHAnsi" w:hAnsiTheme="majorHAnsi"/>
                <w:b/>
                <w:sz w:val="20"/>
              </w:rPr>
              <w:t xml:space="preserve"> 1</w:t>
            </w:r>
          </w:p>
        </w:tc>
        <w:tc>
          <w:tcPr>
            <w:tcW w:w="1260" w:type="dxa"/>
            <w:shd w:val="clear" w:color="auto" w:fill="D9D9D9" w:themeFill="background1" w:themeFillShade="D9"/>
            <w:vAlign w:val="center"/>
          </w:tcPr>
          <w:p w:rsidR="009A286D" w:rsidRPr="00817941" w:rsidRDefault="009A286D" w:rsidP="00F41568">
            <w:pPr>
              <w:spacing w:after="0" w:line="240" w:lineRule="auto"/>
              <w:jc w:val="center"/>
              <w:rPr>
                <w:rFonts w:asciiTheme="majorHAnsi" w:hAnsiTheme="majorHAnsi"/>
                <w:b/>
                <w:sz w:val="20"/>
              </w:rPr>
            </w:pPr>
            <w:r>
              <w:rPr>
                <w:rFonts w:asciiTheme="majorHAnsi" w:hAnsiTheme="majorHAnsi"/>
                <w:b/>
                <w:sz w:val="20"/>
              </w:rPr>
              <w:t>17/60</w:t>
            </w:r>
          </w:p>
        </w:tc>
        <w:tc>
          <w:tcPr>
            <w:tcW w:w="1080" w:type="dxa"/>
            <w:vAlign w:val="center"/>
          </w:tcPr>
          <w:p w:rsidR="009A286D" w:rsidRPr="002C73FE" w:rsidRDefault="00F41568" w:rsidP="00F41568">
            <w:pPr>
              <w:spacing w:after="0" w:line="240" w:lineRule="auto"/>
              <w:jc w:val="center"/>
              <w:rPr>
                <w:rFonts w:asciiTheme="majorHAnsi" w:hAnsiTheme="majorHAnsi"/>
                <w:b/>
                <w:sz w:val="20"/>
              </w:rPr>
            </w:pPr>
            <w:r>
              <w:rPr>
                <w:rFonts w:asciiTheme="majorHAnsi" w:hAnsiTheme="majorHAnsi"/>
                <w:b/>
                <w:sz w:val="20"/>
              </w:rPr>
              <w:t>19</w:t>
            </w:r>
            <w:r w:rsidR="009A286D" w:rsidRPr="002C73FE">
              <w:rPr>
                <w:rFonts w:asciiTheme="majorHAnsi" w:hAnsiTheme="majorHAnsi"/>
                <w:b/>
                <w:sz w:val="20"/>
              </w:rPr>
              <w:t xml:space="preserve"> </w:t>
            </w:r>
          </w:p>
        </w:tc>
        <w:tc>
          <w:tcPr>
            <w:tcW w:w="990" w:type="dxa"/>
            <w:shd w:val="clear" w:color="auto" w:fill="D9D9D9" w:themeFill="background1" w:themeFillShade="D9"/>
            <w:vAlign w:val="center"/>
          </w:tcPr>
          <w:p w:rsidR="009A286D" w:rsidRPr="002C73FE" w:rsidRDefault="002C73FE" w:rsidP="00F41568">
            <w:pPr>
              <w:spacing w:after="0" w:line="240" w:lineRule="auto"/>
              <w:jc w:val="center"/>
              <w:rPr>
                <w:rFonts w:asciiTheme="majorHAnsi" w:hAnsiTheme="majorHAnsi"/>
                <w:b/>
                <w:sz w:val="20"/>
              </w:rPr>
            </w:pPr>
            <w:r>
              <w:rPr>
                <w:rFonts w:asciiTheme="majorHAnsi" w:hAnsiTheme="majorHAnsi"/>
                <w:b/>
                <w:sz w:val="20"/>
              </w:rPr>
              <w:t>$</w:t>
            </w:r>
            <w:r w:rsidR="009A286D" w:rsidRPr="002C73FE">
              <w:rPr>
                <w:rFonts w:asciiTheme="majorHAnsi" w:hAnsiTheme="majorHAnsi"/>
                <w:b/>
                <w:sz w:val="20"/>
              </w:rPr>
              <w:t>46.63</w:t>
            </w:r>
          </w:p>
        </w:tc>
        <w:tc>
          <w:tcPr>
            <w:tcW w:w="1368" w:type="dxa"/>
            <w:vAlign w:val="center"/>
          </w:tcPr>
          <w:p w:rsidR="009A286D" w:rsidRPr="00FE7B9C" w:rsidRDefault="002C73FE" w:rsidP="00F41568">
            <w:pPr>
              <w:spacing w:after="0" w:line="240" w:lineRule="auto"/>
              <w:jc w:val="center"/>
              <w:rPr>
                <w:rFonts w:asciiTheme="majorHAnsi" w:hAnsiTheme="majorHAnsi"/>
                <w:b/>
                <w:sz w:val="20"/>
                <w:highlight w:val="yellow"/>
              </w:rPr>
            </w:pPr>
            <w:r>
              <w:rPr>
                <w:rFonts w:asciiTheme="majorHAnsi" w:hAnsiTheme="majorHAnsi"/>
                <w:b/>
                <w:sz w:val="20"/>
              </w:rPr>
              <w:t>$</w:t>
            </w:r>
            <w:r w:rsidR="00F41568">
              <w:rPr>
                <w:rFonts w:asciiTheme="majorHAnsi" w:hAnsiTheme="majorHAnsi"/>
                <w:b/>
                <w:sz w:val="20"/>
              </w:rPr>
              <w:t>885.97</w:t>
            </w:r>
          </w:p>
        </w:tc>
      </w:tr>
    </w:tbl>
    <w:p w:rsidR="003C31C9" w:rsidRDefault="003C31C9" w:rsidP="00F41568">
      <w:pPr>
        <w:pStyle w:val="Default"/>
        <w:ind w:left="720"/>
        <w:rPr>
          <w:rFonts w:asciiTheme="majorHAnsi" w:hAnsiTheme="majorHAnsi" w:cs="Times New Roman"/>
          <w:sz w:val="22"/>
          <w:szCs w:val="22"/>
        </w:rPr>
      </w:pPr>
    </w:p>
    <w:p w:rsidR="002F1502" w:rsidRDefault="002F1502" w:rsidP="008E0683">
      <w:pPr>
        <w:pStyle w:val="ListParagraph"/>
        <w:autoSpaceDE w:val="0"/>
        <w:autoSpaceDN w:val="0"/>
        <w:adjustRightInd w:val="0"/>
        <w:ind w:right="720"/>
        <w:rPr>
          <w:rFonts w:asciiTheme="majorHAnsi" w:hAnsiTheme="majorHAnsi"/>
          <w:u w:val="single"/>
        </w:rPr>
      </w:pPr>
    </w:p>
    <w:p w:rsidR="00B12F51" w:rsidRPr="0088467A" w:rsidRDefault="0088467A" w:rsidP="002B1BFF">
      <w:pPr>
        <w:pStyle w:val="ListParagraph"/>
        <w:numPr>
          <w:ilvl w:val="0"/>
          <w:numId w:val="2"/>
        </w:numPr>
        <w:spacing w:after="0"/>
        <w:ind w:left="360"/>
        <w:rPr>
          <w:rFonts w:asciiTheme="majorHAnsi" w:hAnsiTheme="majorHAnsi"/>
          <w:b/>
          <w:bCs/>
        </w:rPr>
      </w:pPr>
      <w:r w:rsidRPr="0088467A">
        <w:rPr>
          <w:rFonts w:asciiTheme="majorHAnsi" w:hAnsiTheme="majorHAnsi"/>
          <w:b/>
          <w:bCs/>
        </w:rPr>
        <w:t>Estimates of Other Total Annual Cost Burden to Respondents or Record Keepers</w:t>
      </w:r>
    </w:p>
    <w:p w:rsidR="003C31C9" w:rsidRDefault="003C31C9" w:rsidP="002B1BFF">
      <w:pPr>
        <w:pStyle w:val="CM89"/>
        <w:spacing w:line="228" w:lineRule="atLeast"/>
        <w:ind w:left="270"/>
        <w:rPr>
          <w:rFonts w:asciiTheme="majorHAnsi" w:hAnsiTheme="majorHAnsi" w:cs="Times New Roman"/>
          <w:color w:val="000000"/>
          <w:sz w:val="22"/>
        </w:rPr>
      </w:pPr>
      <w:r w:rsidRPr="003C31C9">
        <w:rPr>
          <w:rFonts w:asciiTheme="majorHAnsi" w:hAnsiTheme="majorHAnsi" w:cs="Times New Roman"/>
          <w:color w:val="000000"/>
          <w:sz w:val="22"/>
        </w:rPr>
        <w:t>There will be no direct costs to the respondents other than their time</w:t>
      </w:r>
      <w:r>
        <w:rPr>
          <w:rFonts w:asciiTheme="majorHAnsi" w:hAnsiTheme="majorHAnsi" w:cs="Times New Roman"/>
          <w:color w:val="000000"/>
          <w:sz w:val="22"/>
        </w:rPr>
        <w:t xml:space="preserve"> to participate in each </w:t>
      </w:r>
      <w:r w:rsidR="009C1322">
        <w:rPr>
          <w:rFonts w:asciiTheme="majorHAnsi" w:hAnsiTheme="majorHAnsi" w:cs="Times New Roman"/>
          <w:color w:val="000000"/>
          <w:sz w:val="22"/>
        </w:rPr>
        <w:t>assessment</w:t>
      </w:r>
      <w:r>
        <w:rPr>
          <w:rFonts w:asciiTheme="majorHAnsi" w:hAnsiTheme="majorHAnsi" w:cs="Times New Roman"/>
          <w:color w:val="000000"/>
          <w:sz w:val="22"/>
        </w:rPr>
        <w:t>.</w:t>
      </w:r>
    </w:p>
    <w:p w:rsidR="002B1BFF" w:rsidRPr="002B1BFF" w:rsidRDefault="002B1BFF" w:rsidP="002B1BFF">
      <w:pPr>
        <w:pStyle w:val="ListParagraph"/>
        <w:spacing w:after="0"/>
        <w:ind w:left="360"/>
        <w:rPr>
          <w:rFonts w:asciiTheme="majorHAnsi" w:hAnsiTheme="majorHAnsi"/>
          <w:b/>
        </w:rPr>
      </w:pPr>
    </w:p>
    <w:p w:rsidR="00B12F51" w:rsidRPr="0088467A" w:rsidRDefault="0088467A" w:rsidP="002B1BFF">
      <w:pPr>
        <w:pStyle w:val="ListParagraph"/>
        <w:numPr>
          <w:ilvl w:val="0"/>
          <w:numId w:val="2"/>
        </w:numPr>
        <w:spacing w:after="0"/>
        <w:ind w:left="360"/>
        <w:rPr>
          <w:rFonts w:asciiTheme="majorHAnsi" w:hAnsiTheme="majorHAnsi"/>
          <w:b/>
        </w:rPr>
      </w:pPr>
      <w:r w:rsidRPr="0088467A">
        <w:rPr>
          <w:rFonts w:asciiTheme="majorHAnsi" w:hAnsiTheme="majorHAnsi"/>
          <w:b/>
          <w:bCs/>
        </w:rPr>
        <w:t>Annualized Cost to the Government</w:t>
      </w:r>
      <w:r w:rsidR="00D75750">
        <w:rPr>
          <w:rFonts w:asciiTheme="majorHAnsi" w:hAnsiTheme="majorHAnsi"/>
          <w:b/>
          <w:bCs/>
        </w:rPr>
        <w:t xml:space="preserve"> </w:t>
      </w:r>
    </w:p>
    <w:p w:rsidR="003C31C9" w:rsidRPr="00D75750" w:rsidRDefault="00321B51" w:rsidP="002B1BFF">
      <w:pPr>
        <w:pStyle w:val="ListParagraph"/>
        <w:autoSpaceDE w:val="0"/>
        <w:autoSpaceDN w:val="0"/>
        <w:adjustRightInd w:val="0"/>
        <w:ind w:left="270" w:right="720"/>
        <w:rPr>
          <w:rFonts w:asciiTheme="majorHAnsi" w:hAnsiTheme="majorHAnsi"/>
        </w:rPr>
      </w:pPr>
      <w:r>
        <w:rPr>
          <w:rFonts w:asciiTheme="majorHAnsi" w:hAnsiTheme="majorHAnsi"/>
          <w:color w:val="000000"/>
        </w:rPr>
        <w:t xml:space="preserve"> </w:t>
      </w:r>
      <w:r w:rsidR="008E0683" w:rsidRPr="00241B17">
        <w:rPr>
          <w:rFonts w:asciiTheme="majorHAnsi" w:hAnsiTheme="majorHAnsi"/>
          <w:b/>
          <w:u w:val="single"/>
        </w:rPr>
        <w:t>Table A-14</w:t>
      </w:r>
      <w:r w:rsidR="008E0683" w:rsidRPr="00241B17">
        <w:rPr>
          <w:rFonts w:asciiTheme="majorHAnsi" w:hAnsiTheme="majorHAnsi"/>
          <w:b/>
        </w:rPr>
        <w:t>:</w:t>
      </w:r>
      <w:r w:rsidR="008E0683" w:rsidRPr="008E0683">
        <w:rPr>
          <w:rFonts w:asciiTheme="majorHAnsi" w:hAnsiTheme="majorHAnsi"/>
        </w:rPr>
        <w:t xml:space="preserve"> Estimated Annualized Cost to the Federal Government</w:t>
      </w:r>
    </w:p>
    <w:tbl>
      <w:tblPr>
        <w:tblStyle w:val="TableGrid"/>
        <w:tblW w:w="0" w:type="auto"/>
        <w:tblLook w:val="04A0" w:firstRow="1" w:lastRow="0" w:firstColumn="1" w:lastColumn="0" w:noHBand="0" w:noVBand="1"/>
      </w:tblPr>
      <w:tblGrid>
        <w:gridCol w:w="4518"/>
        <w:gridCol w:w="1980"/>
        <w:gridCol w:w="1620"/>
        <w:gridCol w:w="1458"/>
      </w:tblGrid>
      <w:tr w:rsidR="004841F1" w:rsidRPr="004841F1" w:rsidTr="006C4DA7">
        <w:trPr>
          <w:trHeight w:val="593"/>
        </w:trPr>
        <w:tc>
          <w:tcPr>
            <w:tcW w:w="4518"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sidRPr="004841F1">
              <w:rPr>
                <w:rFonts w:asciiTheme="majorHAnsi" w:hAnsiTheme="majorHAnsi"/>
                <w:b/>
                <w:sz w:val="20"/>
              </w:rPr>
              <w:t>Staff (FTE)</w:t>
            </w:r>
            <w:r w:rsidR="007A0D73">
              <w:rPr>
                <w:rFonts w:asciiTheme="majorHAnsi" w:hAnsiTheme="majorHAnsi"/>
                <w:b/>
                <w:sz w:val="20"/>
              </w:rPr>
              <w:t xml:space="preserve"> </w:t>
            </w:r>
          </w:p>
        </w:tc>
        <w:tc>
          <w:tcPr>
            <w:tcW w:w="1980"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Hours per Collection</w:t>
            </w:r>
          </w:p>
        </w:tc>
        <w:tc>
          <w:tcPr>
            <w:tcW w:w="1620"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Hourly Rate</w:t>
            </w:r>
          </w:p>
        </w:tc>
        <w:tc>
          <w:tcPr>
            <w:tcW w:w="1458"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Cost</w:t>
            </w:r>
          </w:p>
        </w:tc>
      </w:tr>
      <w:tr w:rsidR="009A286D" w:rsidRPr="004841F1" w:rsidTr="006C4DA7">
        <w:tc>
          <w:tcPr>
            <w:tcW w:w="4518" w:type="dxa"/>
            <w:tcBorders>
              <w:top w:val="single" w:sz="12" w:space="0" w:color="auto"/>
            </w:tcBorders>
          </w:tcPr>
          <w:p w:rsidR="009A286D" w:rsidRDefault="009A286D" w:rsidP="009A7DF1">
            <w:pPr>
              <w:rPr>
                <w:rFonts w:asciiTheme="majorHAnsi" w:hAnsiTheme="majorHAnsi"/>
                <w:sz w:val="20"/>
              </w:rPr>
            </w:pPr>
            <w:r>
              <w:rPr>
                <w:rFonts w:asciiTheme="majorHAnsi" w:hAnsiTheme="majorHAnsi"/>
                <w:sz w:val="20"/>
              </w:rPr>
              <w:t>CC O-5/GS-13, veterinary officer</w:t>
            </w:r>
          </w:p>
          <w:p w:rsidR="009A286D" w:rsidRPr="004841F1" w:rsidRDefault="009A286D" w:rsidP="009A7DF1">
            <w:pPr>
              <w:rPr>
                <w:rFonts w:asciiTheme="majorHAnsi" w:hAnsiTheme="majorHAnsi"/>
                <w:sz w:val="20"/>
              </w:rPr>
            </w:pPr>
            <w:r>
              <w:rPr>
                <w:rFonts w:asciiTheme="majorHAnsi" w:hAnsiTheme="majorHAnsi"/>
                <w:sz w:val="20"/>
              </w:rPr>
              <w:t xml:space="preserve">Provide questions for instrument; </w:t>
            </w:r>
            <w:r w:rsidRPr="002B39BC">
              <w:rPr>
                <w:rFonts w:asciiTheme="majorHAnsi" w:hAnsiTheme="majorHAnsi"/>
                <w:sz w:val="20"/>
              </w:rPr>
              <w:t>present results to conferences and via a manuscript</w:t>
            </w:r>
          </w:p>
        </w:tc>
        <w:tc>
          <w:tcPr>
            <w:tcW w:w="1980" w:type="dxa"/>
            <w:tcBorders>
              <w:top w:val="single" w:sz="12" w:space="0" w:color="auto"/>
            </w:tcBorders>
          </w:tcPr>
          <w:p w:rsidR="009A286D" w:rsidRPr="004841F1" w:rsidRDefault="009A286D" w:rsidP="009A7DF1">
            <w:pPr>
              <w:jc w:val="center"/>
              <w:rPr>
                <w:rFonts w:asciiTheme="majorHAnsi" w:hAnsiTheme="majorHAnsi"/>
                <w:sz w:val="20"/>
              </w:rPr>
            </w:pPr>
            <w:r>
              <w:rPr>
                <w:rFonts w:asciiTheme="majorHAnsi" w:hAnsiTheme="majorHAnsi"/>
                <w:sz w:val="20"/>
              </w:rPr>
              <w:t>30</w:t>
            </w:r>
          </w:p>
        </w:tc>
        <w:tc>
          <w:tcPr>
            <w:tcW w:w="1620" w:type="dxa"/>
            <w:tcBorders>
              <w:top w:val="single" w:sz="12" w:space="0" w:color="auto"/>
            </w:tcBorders>
          </w:tcPr>
          <w:p w:rsidR="009A286D" w:rsidRPr="004841F1" w:rsidRDefault="002C73FE" w:rsidP="009A7DF1">
            <w:pPr>
              <w:jc w:val="center"/>
              <w:rPr>
                <w:rFonts w:asciiTheme="majorHAnsi" w:hAnsiTheme="majorHAnsi"/>
                <w:sz w:val="20"/>
              </w:rPr>
            </w:pPr>
            <w:r>
              <w:rPr>
                <w:rFonts w:asciiTheme="majorHAnsi" w:hAnsiTheme="majorHAnsi"/>
                <w:sz w:val="20"/>
              </w:rPr>
              <w:t>$</w:t>
            </w:r>
            <w:r w:rsidR="009A286D">
              <w:rPr>
                <w:rFonts w:asciiTheme="majorHAnsi" w:hAnsiTheme="majorHAnsi"/>
                <w:sz w:val="20"/>
              </w:rPr>
              <w:t>36.37</w:t>
            </w:r>
          </w:p>
        </w:tc>
        <w:tc>
          <w:tcPr>
            <w:tcW w:w="1458" w:type="dxa"/>
            <w:tcBorders>
              <w:top w:val="single" w:sz="12" w:space="0" w:color="auto"/>
            </w:tcBorders>
          </w:tcPr>
          <w:p w:rsidR="009A286D" w:rsidRPr="004841F1" w:rsidRDefault="002C73FE" w:rsidP="009A7DF1">
            <w:pPr>
              <w:jc w:val="center"/>
              <w:rPr>
                <w:rFonts w:asciiTheme="majorHAnsi" w:hAnsiTheme="majorHAnsi"/>
                <w:sz w:val="20"/>
              </w:rPr>
            </w:pPr>
            <w:r>
              <w:rPr>
                <w:rFonts w:asciiTheme="majorHAnsi" w:hAnsiTheme="majorHAnsi"/>
                <w:sz w:val="20"/>
              </w:rPr>
              <w:t>$</w:t>
            </w:r>
            <w:r w:rsidR="009A286D">
              <w:rPr>
                <w:rFonts w:asciiTheme="majorHAnsi" w:hAnsiTheme="majorHAnsi"/>
                <w:sz w:val="20"/>
              </w:rPr>
              <w:t>1091.1</w:t>
            </w:r>
          </w:p>
        </w:tc>
      </w:tr>
      <w:tr w:rsidR="009A286D" w:rsidRPr="004841F1" w:rsidTr="00FE7B9C">
        <w:trPr>
          <w:trHeight w:val="1223"/>
        </w:trPr>
        <w:tc>
          <w:tcPr>
            <w:tcW w:w="4518" w:type="dxa"/>
          </w:tcPr>
          <w:p w:rsidR="009A286D" w:rsidRPr="00A72652" w:rsidRDefault="009A286D" w:rsidP="009A7DF1">
            <w:pPr>
              <w:rPr>
                <w:rFonts w:asciiTheme="majorHAnsi" w:hAnsiTheme="majorHAnsi"/>
                <w:sz w:val="20"/>
              </w:rPr>
            </w:pPr>
            <w:r>
              <w:rPr>
                <w:rFonts w:asciiTheme="majorHAnsi" w:hAnsiTheme="majorHAnsi"/>
                <w:sz w:val="20"/>
              </w:rPr>
              <w:t xml:space="preserve">CC O-6/GS-15 veterinary officer design instrument, work with OMB for approvals, serve as point of contact for questions, conduct analysis, present results to conferences and via a manuscript </w:t>
            </w:r>
          </w:p>
        </w:tc>
        <w:tc>
          <w:tcPr>
            <w:tcW w:w="1980" w:type="dxa"/>
          </w:tcPr>
          <w:p w:rsidR="009A286D" w:rsidRPr="00A72652" w:rsidRDefault="009A286D" w:rsidP="009A7DF1">
            <w:pPr>
              <w:jc w:val="center"/>
              <w:rPr>
                <w:rFonts w:asciiTheme="majorHAnsi" w:hAnsiTheme="majorHAnsi"/>
                <w:sz w:val="20"/>
              </w:rPr>
            </w:pPr>
            <w:r>
              <w:rPr>
                <w:rFonts w:asciiTheme="majorHAnsi" w:hAnsiTheme="majorHAnsi"/>
                <w:sz w:val="20"/>
              </w:rPr>
              <w:t>120</w:t>
            </w:r>
          </w:p>
        </w:tc>
        <w:tc>
          <w:tcPr>
            <w:tcW w:w="1620" w:type="dxa"/>
          </w:tcPr>
          <w:p w:rsidR="009A286D" w:rsidRPr="00A72652" w:rsidRDefault="002C73FE" w:rsidP="009A7DF1">
            <w:pPr>
              <w:jc w:val="center"/>
              <w:rPr>
                <w:rFonts w:asciiTheme="majorHAnsi" w:hAnsiTheme="majorHAnsi"/>
                <w:sz w:val="20"/>
              </w:rPr>
            </w:pPr>
            <w:r>
              <w:rPr>
                <w:rFonts w:asciiTheme="majorHAnsi" w:hAnsiTheme="majorHAnsi"/>
                <w:sz w:val="20"/>
              </w:rPr>
              <w:t>$</w:t>
            </w:r>
            <w:r w:rsidR="009A286D">
              <w:rPr>
                <w:rFonts w:asciiTheme="majorHAnsi" w:hAnsiTheme="majorHAnsi"/>
                <w:sz w:val="20"/>
              </w:rPr>
              <w:t>43.54</w:t>
            </w:r>
          </w:p>
        </w:tc>
        <w:tc>
          <w:tcPr>
            <w:tcW w:w="1458" w:type="dxa"/>
          </w:tcPr>
          <w:p w:rsidR="009A286D" w:rsidRPr="00A72652" w:rsidRDefault="002C73FE" w:rsidP="009A7DF1">
            <w:pPr>
              <w:jc w:val="center"/>
              <w:rPr>
                <w:rFonts w:asciiTheme="majorHAnsi" w:hAnsiTheme="majorHAnsi"/>
                <w:sz w:val="20"/>
              </w:rPr>
            </w:pPr>
            <w:r>
              <w:rPr>
                <w:rFonts w:asciiTheme="majorHAnsi" w:hAnsiTheme="majorHAnsi"/>
                <w:sz w:val="20"/>
              </w:rPr>
              <w:t>$</w:t>
            </w:r>
            <w:r w:rsidR="009A286D">
              <w:rPr>
                <w:rFonts w:asciiTheme="majorHAnsi" w:hAnsiTheme="majorHAnsi"/>
                <w:sz w:val="20"/>
              </w:rPr>
              <w:t>5224.8</w:t>
            </w:r>
          </w:p>
        </w:tc>
      </w:tr>
      <w:tr w:rsidR="009A286D" w:rsidRPr="004841F1" w:rsidTr="006C4DA7">
        <w:trPr>
          <w:trHeight w:val="332"/>
        </w:trPr>
        <w:tc>
          <w:tcPr>
            <w:tcW w:w="8118" w:type="dxa"/>
            <w:gridSpan w:val="3"/>
            <w:vAlign w:val="center"/>
          </w:tcPr>
          <w:p w:rsidR="009A286D" w:rsidRPr="007B305A" w:rsidRDefault="009A286D" w:rsidP="006B4DDC">
            <w:pPr>
              <w:jc w:val="right"/>
              <w:rPr>
                <w:rFonts w:asciiTheme="majorHAnsi" w:hAnsiTheme="majorHAnsi"/>
                <w:b/>
                <w:sz w:val="20"/>
              </w:rPr>
            </w:pPr>
            <w:r w:rsidRPr="007B305A">
              <w:rPr>
                <w:rFonts w:asciiTheme="majorHAnsi" w:hAnsiTheme="majorHAnsi"/>
                <w:b/>
                <w:sz w:val="20"/>
              </w:rPr>
              <w:t>Estimated Total Cost of Information Collection</w:t>
            </w:r>
          </w:p>
        </w:tc>
        <w:tc>
          <w:tcPr>
            <w:tcW w:w="1458" w:type="dxa"/>
            <w:vAlign w:val="center"/>
          </w:tcPr>
          <w:p w:rsidR="009A286D" w:rsidRPr="007B305A" w:rsidRDefault="002C73FE" w:rsidP="006315A3">
            <w:pPr>
              <w:jc w:val="center"/>
              <w:rPr>
                <w:rFonts w:asciiTheme="majorHAnsi" w:hAnsiTheme="majorHAnsi"/>
                <w:b/>
                <w:sz w:val="20"/>
              </w:rPr>
            </w:pPr>
            <w:r>
              <w:rPr>
                <w:rFonts w:asciiTheme="majorHAnsi" w:hAnsiTheme="majorHAnsi"/>
                <w:b/>
                <w:sz w:val="20"/>
              </w:rPr>
              <w:t>$</w:t>
            </w:r>
            <w:r w:rsidRPr="00FE7B9C">
              <w:rPr>
                <w:rFonts w:asciiTheme="majorHAnsi" w:hAnsiTheme="majorHAnsi"/>
                <w:b/>
                <w:sz w:val="20"/>
              </w:rPr>
              <w:t xml:space="preserve">6315.90 </w:t>
            </w:r>
            <w:r w:rsidR="009A286D">
              <w:rPr>
                <w:rFonts w:asciiTheme="majorHAnsi" w:hAnsiTheme="majorHAnsi"/>
                <w:b/>
                <w:sz w:val="20"/>
              </w:rPr>
              <w:t xml:space="preserve"> </w:t>
            </w:r>
          </w:p>
        </w:tc>
      </w:tr>
    </w:tbl>
    <w:p w:rsidR="004841F1" w:rsidRDefault="004841F1" w:rsidP="00241B17">
      <w:pPr>
        <w:spacing w:after="0"/>
        <w:rPr>
          <w:rFonts w:asciiTheme="majorHAnsi" w:hAnsiTheme="majorHAnsi"/>
        </w:rPr>
      </w:pPr>
    </w:p>
    <w:p w:rsidR="00B12F51" w:rsidRPr="00D75750" w:rsidRDefault="00D75750" w:rsidP="002B1BFF">
      <w:pPr>
        <w:pStyle w:val="ListParagraph"/>
        <w:numPr>
          <w:ilvl w:val="0"/>
          <w:numId w:val="2"/>
        </w:numPr>
        <w:spacing w:after="0"/>
        <w:ind w:left="360"/>
        <w:rPr>
          <w:rFonts w:asciiTheme="majorHAnsi" w:hAnsiTheme="majorHAnsi"/>
          <w:b/>
        </w:rPr>
      </w:pPr>
      <w:r w:rsidRPr="00D75750">
        <w:rPr>
          <w:rFonts w:asciiTheme="majorHAnsi" w:hAnsiTheme="majorHAnsi"/>
          <w:b/>
          <w:bCs/>
        </w:rPr>
        <w:t>Explanation for Program Changes or Adjustments</w:t>
      </w:r>
    </w:p>
    <w:p w:rsidR="00F52BCC" w:rsidRDefault="003C7C5D" w:rsidP="002B1BFF">
      <w:pPr>
        <w:pStyle w:val="ListParagraph"/>
        <w:spacing w:after="0"/>
        <w:ind w:left="270"/>
        <w:rPr>
          <w:rFonts w:asciiTheme="majorHAnsi" w:hAnsiTheme="majorHAnsi"/>
        </w:rPr>
      </w:pPr>
      <w:r>
        <w:rPr>
          <w:rFonts w:asciiTheme="majorHAnsi" w:hAnsiTheme="majorHAnsi"/>
        </w:rPr>
        <w:t>This is a new data collection.</w:t>
      </w:r>
    </w:p>
    <w:p w:rsidR="002B1BFF" w:rsidRDefault="002B1BFF" w:rsidP="002B1BFF">
      <w:pPr>
        <w:pStyle w:val="ListParagraph"/>
        <w:spacing w:after="0"/>
        <w:ind w:left="270"/>
        <w:rPr>
          <w:rFonts w:asciiTheme="majorHAnsi" w:hAnsiTheme="majorHAnsi"/>
        </w:rPr>
      </w:pPr>
    </w:p>
    <w:p w:rsidR="00B12F51" w:rsidRPr="00EF33CD" w:rsidRDefault="00616090" w:rsidP="002B1BFF">
      <w:pPr>
        <w:pStyle w:val="ListParagraph"/>
        <w:numPr>
          <w:ilvl w:val="0"/>
          <w:numId w:val="2"/>
        </w:numPr>
        <w:spacing w:after="0"/>
        <w:ind w:left="360"/>
        <w:rPr>
          <w:rFonts w:asciiTheme="majorHAnsi" w:hAnsiTheme="majorHAnsi"/>
          <w:b/>
        </w:rPr>
      </w:pPr>
      <w:r>
        <w:rPr>
          <w:rFonts w:asciiTheme="majorHAnsi" w:hAnsiTheme="majorHAnsi"/>
          <w:b/>
        </w:rPr>
        <w:t>Plan</w:t>
      </w:r>
      <w:r w:rsidR="00D75750">
        <w:rPr>
          <w:rFonts w:asciiTheme="majorHAnsi" w:hAnsiTheme="majorHAnsi"/>
          <w:b/>
        </w:rPr>
        <w:t>s</w:t>
      </w:r>
      <w:r w:rsidR="00D75750" w:rsidRPr="00D75750">
        <w:rPr>
          <w:rFonts w:asciiTheme="majorHAnsi" w:hAnsiTheme="majorHAnsi"/>
          <w:b/>
          <w:bCs/>
        </w:rPr>
        <w:t xml:space="preserve"> for Tabulation and Publication and Project Time Schedule</w:t>
      </w:r>
    </w:p>
    <w:p w:rsidR="009A286D" w:rsidRPr="009A286D" w:rsidRDefault="009A286D" w:rsidP="002B1BFF">
      <w:pPr>
        <w:spacing w:after="0"/>
        <w:ind w:left="270"/>
        <w:rPr>
          <w:rFonts w:asciiTheme="majorHAnsi" w:hAnsiTheme="majorHAnsi"/>
        </w:rPr>
      </w:pPr>
      <w:r w:rsidRPr="009A286D">
        <w:rPr>
          <w:rFonts w:asciiTheme="majorHAnsi" w:hAnsiTheme="majorHAnsi"/>
        </w:rPr>
        <w:t xml:space="preserve">The data will be collated and verified for completeness and clarity of response. We will analyze results for each question asked, both check-box and open ended. A final report/manuscript will be prepared and cleared through NCEZID.  We will present data to external partners, to include </w:t>
      </w:r>
      <w:r w:rsidRPr="009A286D">
        <w:rPr>
          <w:rFonts w:asciiTheme="majorHAnsi" w:hAnsiTheme="majorHAnsi"/>
        </w:rPr>
        <w:lastRenderedPageBreak/>
        <w:t xml:space="preserve">FDA and USDA, as requested.   We will present data to state partners through meetings such as CSTE. </w:t>
      </w:r>
    </w:p>
    <w:p w:rsidR="009A286D" w:rsidRPr="009A286D" w:rsidRDefault="009A286D" w:rsidP="009A286D">
      <w:pPr>
        <w:spacing w:after="0"/>
        <w:ind w:left="720"/>
        <w:contextualSpacing/>
        <w:rPr>
          <w:rFonts w:asciiTheme="majorHAnsi" w:hAnsiTheme="majorHAnsi"/>
        </w:rPr>
      </w:pPr>
    </w:p>
    <w:p w:rsidR="009A286D" w:rsidRPr="009A286D" w:rsidRDefault="009A286D" w:rsidP="009A286D">
      <w:pPr>
        <w:spacing w:after="0"/>
        <w:ind w:firstLine="720"/>
        <w:rPr>
          <w:rFonts w:asciiTheme="majorHAnsi" w:hAnsiTheme="majorHAnsi"/>
          <w:sz w:val="24"/>
          <w:u w:val="single"/>
        </w:rPr>
      </w:pPr>
      <w:r w:rsidRPr="009A286D">
        <w:rPr>
          <w:rFonts w:asciiTheme="majorHAnsi" w:hAnsiTheme="majorHAnsi"/>
          <w:sz w:val="24"/>
          <w:u w:val="single"/>
        </w:rPr>
        <w:t>Project Time Schedule</w:t>
      </w:r>
    </w:p>
    <w:tbl>
      <w:tblPr>
        <w:tblStyle w:val="TableGrid1"/>
        <w:tblW w:w="10080" w:type="dxa"/>
        <w:tblInd w:w="378" w:type="dxa"/>
        <w:tblLook w:val="04A0" w:firstRow="1" w:lastRow="0" w:firstColumn="1" w:lastColumn="0" w:noHBand="0" w:noVBand="1"/>
      </w:tblPr>
      <w:tblGrid>
        <w:gridCol w:w="5310"/>
        <w:gridCol w:w="4770"/>
      </w:tblGrid>
      <w:tr w:rsidR="009A286D" w:rsidRPr="009A286D" w:rsidTr="009A7DF1">
        <w:tc>
          <w:tcPr>
            <w:tcW w:w="5310" w:type="dxa"/>
          </w:tcPr>
          <w:p w:rsidR="009A286D" w:rsidRPr="009A286D" w:rsidRDefault="009A286D" w:rsidP="009A286D">
            <w:pPr>
              <w:tabs>
                <w:tab w:val="right" w:leader="dot" w:pos="9360"/>
              </w:tabs>
              <w:contextualSpacing/>
              <w:rPr>
                <w:rFonts w:asciiTheme="majorHAnsi" w:hAnsiTheme="majorHAnsi"/>
                <w:b/>
              </w:rPr>
            </w:pPr>
            <w:r w:rsidRPr="009A286D">
              <w:rPr>
                <w:rFonts w:asciiTheme="majorHAnsi" w:hAnsiTheme="majorHAnsi"/>
                <w:b/>
              </w:rPr>
              <w:t>Action</w:t>
            </w:r>
          </w:p>
        </w:tc>
        <w:tc>
          <w:tcPr>
            <w:tcW w:w="4770" w:type="dxa"/>
          </w:tcPr>
          <w:p w:rsidR="009A286D" w:rsidRPr="009A286D" w:rsidRDefault="009A286D" w:rsidP="009A286D">
            <w:pPr>
              <w:tabs>
                <w:tab w:val="right" w:leader="dot" w:pos="9360"/>
              </w:tabs>
              <w:contextualSpacing/>
              <w:rPr>
                <w:rFonts w:asciiTheme="majorHAnsi" w:hAnsiTheme="majorHAnsi"/>
                <w:b/>
              </w:rPr>
            </w:pPr>
            <w:r w:rsidRPr="009A286D">
              <w:rPr>
                <w:rFonts w:asciiTheme="majorHAnsi" w:hAnsiTheme="majorHAnsi"/>
                <w:b/>
              </w:rPr>
              <w:t>Timeline</w:t>
            </w:r>
          </w:p>
        </w:tc>
      </w:tr>
      <w:tr w:rsidR="009A286D" w:rsidRPr="009A286D" w:rsidTr="009A7DF1">
        <w:tc>
          <w:tcPr>
            <w:tcW w:w="5310" w:type="dxa"/>
          </w:tcPr>
          <w:p w:rsidR="009A286D" w:rsidRPr="009A286D" w:rsidRDefault="009A286D" w:rsidP="009A286D">
            <w:pPr>
              <w:tabs>
                <w:tab w:val="right" w:leader="dot" w:pos="9360"/>
              </w:tabs>
              <w:contextualSpacing/>
              <w:rPr>
                <w:rFonts w:asciiTheme="majorHAnsi" w:hAnsiTheme="majorHAnsi"/>
              </w:rPr>
            </w:pPr>
            <w:r w:rsidRPr="009A286D">
              <w:rPr>
                <w:rFonts w:asciiTheme="majorHAnsi" w:hAnsiTheme="majorHAnsi"/>
              </w:rPr>
              <w:t>Data collection</w:t>
            </w:r>
          </w:p>
        </w:tc>
        <w:tc>
          <w:tcPr>
            <w:tcW w:w="4770" w:type="dxa"/>
          </w:tcPr>
          <w:p w:rsidR="009A286D" w:rsidRPr="009A286D" w:rsidRDefault="009A286D" w:rsidP="009A286D">
            <w:pPr>
              <w:tabs>
                <w:tab w:val="right" w:leader="dot" w:pos="9360"/>
              </w:tabs>
              <w:contextualSpacing/>
              <w:rPr>
                <w:rFonts w:asciiTheme="majorHAnsi" w:hAnsiTheme="majorHAnsi"/>
              </w:rPr>
            </w:pPr>
            <w:r w:rsidRPr="009A286D">
              <w:rPr>
                <w:rFonts w:asciiTheme="majorHAnsi" w:hAnsiTheme="majorHAnsi"/>
              </w:rPr>
              <w:t>1 month to complete</w:t>
            </w:r>
          </w:p>
        </w:tc>
      </w:tr>
      <w:tr w:rsidR="009A286D" w:rsidRPr="009A286D" w:rsidTr="009A7DF1">
        <w:tc>
          <w:tcPr>
            <w:tcW w:w="5310" w:type="dxa"/>
          </w:tcPr>
          <w:p w:rsidR="009A286D" w:rsidRPr="009A286D" w:rsidRDefault="009A286D" w:rsidP="009A286D">
            <w:pPr>
              <w:tabs>
                <w:tab w:val="right" w:leader="dot" w:pos="9360"/>
              </w:tabs>
              <w:contextualSpacing/>
              <w:rPr>
                <w:rFonts w:asciiTheme="majorHAnsi" w:hAnsiTheme="majorHAnsi"/>
              </w:rPr>
            </w:pPr>
            <w:r w:rsidRPr="009A286D">
              <w:rPr>
                <w:rFonts w:asciiTheme="majorHAnsi" w:hAnsiTheme="majorHAnsi"/>
              </w:rPr>
              <w:t>Reminders sent</w:t>
            </w:r>
          </w:p>
        </w:tc>
        <w:tc>
          <w:tcPr>
            <w:tcW w:w="4770" w:type="dxa"/>
          </w:tcPr>
          <w:p w:rsidR="009A286D" w:rsidRPr="009A286D" w:rsidRDefault="009C1322" w:rsidP="009C1322">
            <w:pPr>
              <w:tabs>
                <w:tab w:val="right" w:leader="dot" w:pos="9360"/>
              </w:tabs>
              <w:contextualSpacing/>
              <w:rPr>
                <w:rFonts w:asciiTheme="majorHAnsi" w:hAnsiTheme="majorHAnsi"/>
              </w:rPr>
            </w:pPr>
            <w:r>
              <w:rPr>
                <w:rFonts w:asciiTheme="majorHAnsi" w:hAnsiTheme="majorHAnsi"/>
              </w:rPr>
              <w:t>2 weeks after</w:t>
            </w:r>
            <w:r w:rsidR="009A286D" w:rsidRPr="009A286D">
              <w:rPr>
                <w:rFonts w:asciiTheme="majorHAnsi" w:hAnsiTheme="majorHAnsi"/>
              </w:rPr>
              <w:t xml:space="preserve"> launch; 1 week prior to close </w:t>
            </w:r>
          </w:p>
        </w:tc>
      </w:tr>
      <w:tr w:rsidR="009A286D" w:rsidRPr="009A286D" w:rsidTr="009A7DF1">
        <w:tc>
          <w:tcPr>
            <w:tcW w:w="5310" w:type="dxa"/>
          </w:tcPr>
          <w:p w:rsidR="009A286D" w:rsidRPr="009A286D" w:rsidRDefault="009A286D" w:rsidP="009A286D">
            <w:pPr>
              <w:tabs>
                <w:tab w:val="right" w:leader="dot" w:pos="9360"/>
              </w:tabs>
              <w:contextualSpacing/>
              <w:rPr>
                <w:rFonts w:asciiTheme="majorHAnsi" w:hAnsiTheme="majorHAnsi"/>
              </w:rPr>
            </w:pPr>
            <w:r w:rsidRPr="009A286D">
              <w:rPr>
                <w:rFonts w:asciiTheme="majorHAnsi" w:hAnsiTheme="majorHAnsi"/>
              </w:rPr>
              <w:t>Data validation and cleaning</w:t>
            </w:r>
          </w:p>
        </w:tc>
        <w:tc>
          <w:tcPr>
            <w:tcW w:w="4770" w:type="dxa"/>
          </w:tcPr>
          <w:p w:rsidR="009A286D" w:rsidRPr="009A286D" w:rsidRDefault="009A286D" w:rsidP="009A286D">
            <w:pPr>
              <w:tabs>
                <w:tab w:val="right" w:leader="dot" w:pos="9360"/>
              </w:tabs>
              <w:contextualSpacing/>
              <w:rPr>
                <w:rFonts w:asciiTheme="majorHAnsi" w:hAnsiTheme="majorHAnsi"/>
              </w:rPr>
            </w:pPr>
            <w:r w:rsidRPr="009A286D">
              <w:rPr>
                <w:rFonts w:asciiTheme="majorHAnsi" w:hAnsiTheme="majorHAnsi"/>
              </w:rPr>
              <w:t>2-4 months</w:t>
            </w:r>
          </w:p>
        </w:tc>
      </w:tr>
      <w:tr w:rsidR="009A286D" w:rsidRPr="009A286D" w:rsidTr="009A7DF1">
        <w:tc>
          <w:tcPr>
            <w:tcW w:w="5310" w:type="dxa"/>
          </w:tcPr>
          <w:p w:rsidR="009A286D" w:rsidRPr="009A286D" w:rsidRDefault="009A286D" w:rsidP="009A286D">
            <w:pPr>
              <w:tabs>
                <w:tab w:val="right" w:leader="dot" w:pos="9360"/>
              </w:tabs>
              <w:contextualSpacing/>
              <w:rPr>
                <w:rFonts w:asciiTheme="majorHAnsi" w:hAnsiTheme="majorHAnsi"/>
              </w:rPr>
            </w:pPr>
            <w:r w:rsidRPr="009A286D">
              <w:rPr>
                <w:rFonts w:asciiTheme="majorHAnsi" w:hAnsiTheme="majorHAnsi"/>
              </w:rPr>
              <w:t>Data analysis</w:t>
            </w:r>
          </w:p>
        </w:tc>
        <w:tc>
          <w:tcPr>
            <w:tcW w:w="4770" w:type="dxa"/>
          </w:tcPr>
          <w:p w:rsidR="009A286D" w:rsidRPr="009A286D" w:rsidRDefault="009A286D" w:rsidP="009A286D">
            <w:pPr>
              <w:tabs>
                <w:tab w:val="right" w:leader="dot" w:pos="9360"/>
              </w:tabs>
              <w:contextualSpacing/>
              <w:rPr>
                <w:rFonts w:asciiTheme="majorHAnsi" w:hAnsiTheme="majorHAnsi"/>
              </w:rPr>
            </w:pPr>
            <w:r w:rsidRPr="009A286D">
              <w:rPr>
                <w:rFonts w:asciiTheme="majorHAnsi" w:hAnsiTheme="majorHAnsi"/>
              </w:rPr>
              <w:t>2-4 months</w:t>
            </w:r>
          </w:p>
        </w:tc>
      </w:tr>
      <w:tr w:rsidR="009A286D" w:rsidRPr="009A286D" w:rsidTr="009A7DF1">
        <w:tc>
          <w:tcPr>
            <w:tcW w:w="5310" w:type="dxa"/>
          </w:tcPr>
          <w:p w:rsidR="009A286D" w:rsidRPr="009A286D" w:rsidRDefault="009A286D" w:rsidP="009A286D">
            <w:pPr>
              <w:tabs>
                <w:tab w:val="right" w:leader="dot" w:pos="9360"/>
              </w:tabs>
              <w:contextualSpacing/>
              <w:rPr>
                <w:rFonts w:asciiTheme="majorHAnsi" w:hAnsiTheme="majorHAnsi"/>
              </w:rPr>
            </w:pPr>
            <w:r w:rsidRPr="009A286D">
              <w:rPr>
                <w:rFonts w:asciiTheme="majorHAnsi" w:hAnsiTheme="majorHAnsi"/>
              </w:rPr>
              <w:t>Report generated and shared</w:t>
            </w:r>
          </w:p>
        </w:tc>
        <w:tc>
          <w:tcPr>
            <w:tcW w:w="4770" w:type="dxa"/>
          </w:tcPr>
          <w:p w:rsidR="009A286D" w:rsidRPr="009A286D" w:rsidRDefault="009A286D" w:rsidP="009A286D">
            <w:pPr>
              <w:tabs>
                <w:tab w:val="right" w:leader="dot" w:pos="9360"/>
              </w:tabs>
              <w:contextualSpacing/>
              <w:rPr>
                <w:rFonts w:asciiTheme="majorHAnsi" w:hAnsiTheme="majorHAnsi"/>
              </w:rPr>
            </w:pPr>
            <w:r w:rsidRPr="009A286D">
              <w:rPr>
                <w:rFonts w:asciiTheme="majorHAnsi" w:hAnsiTheme="majorHAnsi"/>
              </w:rPr>
              <w:t>3-6 months</w:t>
            </w:r>
          </w:p>
        </w:tc>
      </w:tr>
      <w:tr w:rsidR="009A286D" w:rsidRPr="009A286D" w:rsidTr="009A7DF1">
        <w:tc>
          <w:tcPr>
            <w:tcW w:w="5310" w:type="dxa"/>
          </w:tcPr>
          <w:p w:rsidR="009A286D" w:rsidRPr="009A286D" w:rsidRDefault="009A286D" w:rsidP="009A286D">
            <w:pPr>
              <w:tabs>
                <w:tab w:val="right" w:leader="dot" w:pos="9360"/>
              </w:tabs>
              <w:contextualSpacing/>
              <w:rPr>
                <w:rFonts w:asciiTheme="majorHAnsi" w:hAnsiTheme="majorHAnsi"/>
              </w:rPr>
            </w:pPr>
            <w:r w:rsidRPr="009A286D">
              <w:rPr>
                <w:rFonts w:asciiTheme="majorHAnsi" w:hAnsiTheme="majorHAnsi"/>
              </w:rPr>
              <w:t>Data presented at relevant conferences (CSTE, AVMA)</w:t>
            </w:r>
          </w:p>
        </w:tc>
        <w:tc>
          <w:tcPr>
            <w:tcW w:w="4770" w:type="dxa"/>
          </w:tcPr>
          <w:p w:rsidR="009A286D" w:rsidRPr="009A286D" w:rsidRDefault="009A286D" w:rsidP="009A286D">
            <w:pPr>
              <w:tabs>
                <w:tab w:val="right" w:leader="dot" w:pos="9360"/>
              </w:tabs>
              <w:contextualSpacing/>
              <w:rPr>
                <w:rFonts w:asciiTheme="majorHAnsi" w:hAnsiTheme="majorHAnsi"/>
              </w:rPr>
            </w:pPr>
            <w:r w:rsidRPr="009A286D">
              <w:rPr>
                <w:rFonts w:asciiTheme="majorHAnsi" w:hAnsiTheme="majorHAnsi"/>
              </w:rPr>
              <w:t>Up to 12 months (dependent on conference dates)</w:t>
            </w:r>
          </w:p>
        </w:tc>
      </w:tr>
    </w:tbl>
    <w:p w:rsidR="000A71DF" w:rsidRPr="000A71DF" w:rsidRDefault="000A71DF" w:rsidP="007A0D73">
      <w:pPr>
        <w:pStyle w:val="ListParagraph"/>
        <w:tabs>
          <w:tab w:val="right" w:leader="dot" w:pos="9360"/>
        </w:tabs>
        <w:spacing w:after="0"/>
        <w:ind w:left="1440"/>
        <w:rPr>
          <w:rFonts w:asciiTheme="majorHAnsi" w:hAnsiTheme="majorHAnsi"/>
        </w:rPr>
      </w:pPr>
    </w:p>
    <w:p w:rsidR="00B12F51" w:rsidRPr="00D75750" w:rsidRDefault="00D75750" w:rsidP="00D75750">
      <w:pPr>
        <w:pStyle w:val="ListParagraph"/>
        <w:numPr>
          <w:ilvl w:val="0"/>
          <w:numId w:val="2"/>
        </w:numPr>
        <w:spacing w:after="0"/>
        <w:rPr>
          <w:rFonts w:asciiTheme="majorHAnsi" w:hAnsiTheme="majorHAnsi"/>
          <w:b/>
        </w:rPr>
      </w:pPr>
      <w:r w:rsidRPr="00D75750">
        <w:rPr>
          <w:rFonts w:asciiTheme="majorHAnsi" w:hAnsiTheme="majorHAnsi"/>
          <w:b/>
          <w:bCs/>
        </w:rPr>
        <w:t xml:space="preserve">Reason(s) Display of OMB Expiration </w:t>
      </w:r>
      <w:r>
        <w:rPr>
          <w:rFonts w:asciiTheme="majorHAnsi" w:hAnsiTheme="majorHAnsi"/>
          <w:b/>
        </w:rPr>
        <w:t xml:space="preserve">Date </w:t>
      </w:r>
      <w:r w:rsidRPr="00D75750">
        <w:rPr>
          <w:rFonts w:asciiTheme="majorHAnsi" w:hAnsiTheme="majorHAnsi"/>
          <w:b/>
          <w:bCs/>
        </w:rPr>
        <w:t>is Inappropriate</w:t>
      </w:r>
    </w:p>
    <w:p w:rsidR="00F52BCC" w:rsidRDefault="00180D45" w:rsidP="00F52BCC">
      <w:pPr>
        <w:pStyle w:val="ListParagraph"/>
        <w:spacing w:after="0"/>
        <w:rPr>
          <w:rFonts w:asciiTheme="majorHAnsi" w:hAnsiTheme="majorHAnsi"/>
        </w:rPr>
      </w:pPr>
      <w:r>
        <w:rPr>
          <w:rFonts w:asciiTheme="majorHAnsi" w:hAnsiTheme="majorHAnsi"/>
        </w:rPr>
        <w:t>We are requesting no exemption.</w:t>
      </w:r>
    </w:p>
    <w:p w:rsidR="00F52BCC" w:rsidRDefault="00F52BCC" w:rsidP="00F52BCC">
      <w:pPr>
        <w:pStyle w:val="ListParagraph"/>
        <w:spacing w:after="0"/>
        <w:rPr>
          <w:rFonts w:asciiTheme="majorHAnsi" w:hAnsiTheme="majorHAnsi"/>
        </w:rPr>
      </w:pPr>
    </w:p>
    <w:p w:rsidR="00B12F51" w:rsidRPr="00D26A64" w:rsidRDefault="00B12F51" w:rsidP="00D75750">
      <w:pPr>
        <w:pStyle w:val="ListParagraph"/>
        <w:numPr>
          <w:ilvl w:val="0"/>
          <w:numId w:val="2"/>
        </w:numPr>
        <w:spacing w:after="0"/>
        <w:rPr>
          <w:rFonts w:asciiTheme="majorHAnsi" w:hAnsiTheme="majorHAnsi"/>
          <w:b/>
        </w:rPr>
      </w:pPr>
      <w:r w:rsidRPr="00D26A64">
        <w:rPr>
          <w:rFonts w:asciiTheme="majorHAnsi" w:hAnsiTheme="majorHAnsi"/>
          <w:b/>
        </w:rPr>
        <w:t>Exceptions to Certification for Paperwork Reduction Act Submissions</w:t>
      </w:r>
    </w:p>
    <w:p w:rsidR="00F52BCC" w:rsidRDefault="0031279F" w:rsidP="00F52BCC">
      <w:pPr>
        <w:pStyle w:val="ListParagraph"/>
        <w:spacing w:after="0"/>
        <w:rPr>
          <w:rFonts w:asciiTheme="majorHAnsi" w:hAnsiTheme="majorHAnsi"/>
        </w:rPr>
      </w:pPr>
      <w:r>
        <w:rPr>
          <w:rFonts w:asciiTheme="majorHAnsi" w:hAnsiTheme="majorHAnsi"/>
        </w:rPr>
        <w:t>There are no exceptions to the certification.</w:t>
      </w:r>
      <w:r w:rsidR="00180D45">
        <w:rPr>
          <w:rFonts w:asciiTheme="majorHAnsi" w:hAnsiTheme="majorHAnsi"/>
        </w:rPr>
        <w:t xml:space="preserve">  These activities comply with the requirements in 5 CFR 1320.9.</w:t>
      </w:r>
    </w:p>
    <w:p w:rsidR="002B1BFF" w:rsidRDefault="002B1BFF" w:rsidP="002B1BFF">
      <w:pPr>
        <w:rPr>
          <w:rFonts w:asciiTheme="majorHAnsi" w:hAnsiTheme="majorHAnsi"/>
          <w:b/>
          <w:sz w:val="28"/>
        </w:rPr>
      </w:pPr>
    </w:p>
    <w:p w:rsidR="00A36419" w:rsidRDefault="00A36419" w:rsidP="002B1BFF">
      <w:pPr>
        <w:rPr>
          <w:rFonts w:asciiTheme="majorHAnsi" w:hAnsiTheme="majorHAnsi"/>
          <w:b/>
          <w:sz w:val="28"/>
        </w:rPr>
      </w:pPr>
      <w:r>
        <w:rPr>
          <w:rFonts w:asciiTheme="majorHAnsi" w:hAnsiTheme="majorHAnsi"/>
          <w:b/>
          <w:sz w:val="28"/>
        </w:rPr>
        <w:t>LIST OF ATTACHMENTS</w:t>
      </w:r>
      <w:r w:rsidR="00A33E90">
        <w:rPr>
          <w:rFonts w:asciiTheme="majorHAnsi" w:hAnsiTheme="majorHAnsi"/>
          <w:b/>
          <w:sz w:val="28"/>
        </w:rPr>
        <w:t xml:space="preserve"> – Section A</w:t>
      </w:r>
    </w:p>
    <w:p w:rsidR="006B5E55" w:rsidRPr="00CD1EA8" w:rsidRDefault="006B5E55" w:rsidP="006B5E55">
      <w:pPr>
        <w:spacing w:after="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Attachments are included as separate files as instructed.</w:t>
      </w:r>
    </w:p>
    <w:p w:rsidR="00A36419" w:rsidRPr="00A36419" w:rsidRDefault="00A36419" w:rsidP="00A36419">
      <w:pPr>
        <w:spacing w:after="0" w:line="360" w:lineRule="auto"/>
        <w:rPr>
          <w:rFonts w:asciiTheme="majorHAnsi" w:hAnsiTheme="majorHAnsi"/>
          <w:b/>
        </w:rPr>
      </w:pPr>
    </w:p>
    <w:p w:rsidR="002B1BFF" w:rsidRPr="009A286D" w:rsidRDefault="002B1BFF" w:rsidP="002B1BFF">
      <w:pPr>
        <w:spacing w:after="0" w:line="240" w:lineRule="auto"/>
        <w:rPr>
          <w:rFonts w:asciiTheme="majorHAnsi" w:hAnsiTheme="majorHAnsi"/>
          <w:b/>
        </w:rPr>
      </w:pPr>
      <w:r>
        <w:rPr>
          <w:rFonts w:asciiTheme="majorHAnsi" w:hAnsiTheme="majorHAnsi"/>
          <w:b/>
        </w:rPr>
        <w:t>Attachment A</w:t>
      </w:r>
      <w:r w:rsidRPr="009A286D">
        <w:rPr>
          <w:rFonts w:asciiTheme="majorHAnsi" w:hAnsiTheme="majorHAnsi"/>
          <w:b/>
        </w:rPr>
        <w:t xml:space="preserve"> – References </w:t>
      </w:r>
    </w:p>
    <w:p w:rsidR="009A286D" w:rsidRPr="009A286D" w:rsidRDefault="002B1BFF" w:rsidP="002B1BFF">
      <w:pPr>
        <w:spacing w:after="0" w:line="240" w:lineRule="auto"/>
        <w:rPr>
          <w:rFonts w:asciiTheme="majorHAnsi" w:hAnsiTheme="majorHAnsi"/>
          <w:b/>
        </w:rPr>
      </w:pPr>
      <w:r>
        <w:rPr>
          <w:rFonts w:asciiTheme="majorHAnsi" w:hAnsiTheme="majorHAnsi"/>
          <w:b/>
        </w:rPr>
        <w:t>Attachment B</w:t>
      </w:r>
      <w:r w:rsidR="009A286D" w:rsidRPr="009A286D">
        <w:rPr>
          <w:rFonts w:asciiTheme="majorHAnsi" w:hAnsiTheme="majorHAnsi"/>
          <w:b/>
        </w:rPr>
        <w:t xml:space="preserve"> –</w:t>
      </w:r>
      <w:r w:rsidR="00F41568">
        <w:rPr>
          <w:rFonts w:asciiTheme="majorHAnsi" w:hAnsiTheme="majorHAnsi"/>
          <w:b/>
        </w:rPr>
        <w:t>Instrument: word version</w:t>
      </w:r>
    </w:p>
    <w:p w:rsidR="009A286D" w:rsidRPr="009A286D" w:rsidRDefault="002B1BFF" w:rsidP="002B1BFF">
      <w:pPr>
        <w:spacing w:after="0" w:line="240" w:lineRule="auto"/>
        <w:rPr>
          <w:rFonts w:asciiTheme="majorHAnsi" w:hAnsiTheme="majorHAnsi"/>
          <w:b/>
        </w:rPr>
      </w:pPr>
      <w:r>
        <w:rPr>
          <w:rFonts w:asciiTheme="majorHAnsi" w:hAnsiTheme="majorHAnsi"/>
          <w:b/>
        </w:rPr>
        <w:t>Attachment C</w:t>
      </w:r>
      <w:r w:rsidR="009A286D" w:rsidRPr="009A286D">
        <w:rPr>
          <w:rFonts w:asciiTheme="majorHAnsi" w:hAnsiTheme="majorHAnsi"/>
          <w:b/>
        </w:rPr>
        <w:t xml:space="preserve"> –</w:t>
      </w:r>
      <w:r w:rsidR="00F82B2E">
        <w:rPr>
          <w:rFonts w:asciiTheme="majorHAnsi" w:hAnsiTheme="majorHAnsi"/>
          <w:b/>
        </w:rPr>
        <w:t xml:space="preserve">Instrument: </w:t>
      </w:r>
      <w:r w:rsidR="000F3298">
        <w:rPr>
          <w:rFonts w:asciiTheme="majorHAnsi" w:hAnsiTheme="majorHAnsi"/>
          <w:b/>
        </w:rPr>
        <w:t>Screenshot</w:t>
      </w:r>
      <w:bookmarkStart w:id="0" w:name="_GoBack"/>
      <w:bookmarkEnd w:id="0"/>
    </w:p>
    <w:p w:rsidR="000E6577" w:rsidRPr="000E6577" w:rsidRDefault="000E6577" w:rsidP="000E6577">
      <w:pPr>
        <w:spacing w:line="360" w:lineRule="auto"/>
        <w:rPr>
          <w:rFonts w:asciiTheme="majorHAnsi" w:hAnsiTheme="majorHAnsi"/>
          <w:b/>
        </w:rPr>
      </w:pPr>
    </w:p>
    <w:sectPr w:rsidR="000E6577" w:rsidRPr="000E6577" w:rsidSect="00385BB5">
      <w:headerReference w:type="default"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596" w:rsidRDefault="00BE1596" w:rsidP="00716F94">
      <w:pPr>
        <w:spacing w:after="0" w:line="240" w:lineRule="auto"/>
      </w:pPr>
      <w:r>
        <w:separator/>
      </w:r>
    </w:p>
  </w:endnote>
  <w:endnote w:type="continuationSeparator" w:id="0">
    <w:p w:rsidR="00BE1596" w:rsidRDefault="00BE1596"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F41568" w:rsidRDefault="00F41568">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0F3298">
              <w:rPr>
                <w:b/>
                <w:noProof/>
              </w:rPr>
              <w:t>8</w:t>
            </w:r>
            <w:r>
              <w:rPr>
                <w:b/>
                <w:sz w:val="24"/>
                <w:szCs w:val="24"/>
              </w:rPr>
              <w:fldChar w:fldCharType="end"/>
            </w:r>
            <w:r>
              <w:t xml:space="preserve"> of </w:t>
            </w:r>
            <w:r>
              <w:rPr>
                <w:b/>
                <w:szCs w:val="24"/>
              </w:rPr>
              <w:t>8</w:t>
            </w:r>
          </w:p>
        </w:sdtContent>
      </w:sdt>
    </w:sdtContent>
  </w:sdt>
  <w:p w:rsidR="00F41568" w:rsidRDefault="00F415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596" w:rsidRDefault="00BE1596" w:rsidP="00716F94">
      <w:pPr>
        <w:spacing w:after="0" w:line="240" w:lineRule="auto"/>
      </w:pPr>
      <w:r>
        <w:separator/>
      </w:r>
    </w:p>
  </w:footnote>
  <w:footnote w:type="continuationSeparator" w:id="0">
    <w:p w:rsidR="00BE1596" w:rsidRDefault="00BE1596"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568" w:rsidRPr="00716F94" w:rsidRDefault="00F41568"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7C239C"/>
    <w:multiLevelType w:val="hybridMultilevel"/>
    <w:tmpl w:val="8918F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4">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22"/>
  </w:num>
  <w:num w:numId="4">
    <w:abstractNumId w:val="9"/>
  </w:num>
  <w:num w:numId="5">
    <w:abstractNumId w:val="13"/>
  </w:num>
  <w:num w:numId="6">
    <w:abstractNumId w:val="7"/>
  </w:num>
  <w:num w:numId="7">
    <w:abstractNumId w:val="0"/>
  </w:num>
  <w:num w:numId="8">
    <w:abstractNumId w:val="4"/>
  </w:num>
  <w:num w:numId="9">
    <w:abstractNumId w:val="8"/>
  </w:num>
  <w:num w:numId="10">
    <w:abstractNumId w:val="16"/>
  </w:num>
  <w:num w:numId="11">
    <w:abstractNumId w:val="2"/>
  </w:num>
  <w:num w:numId="12">
    <w:abstractNumId w:val="21"/>
  </w:num>
  <w:num w:numId="13">
    <w:abstractNumId w:val="6"/>
  </w:num>
  <w:num w:numId="14">
    <w:abstractNumId w:val="3"/>
  </w:num>
  <w:num w:numId="15">
    <w:abstractNumId w:val="18"/>
  </w:num>
  <w:num w:numId="16">
    <w:abstractNumId w:val="19"/>
  </w:num>
  <w:num w:numId="17">
    <w:abstractNumId w:val="20"/>
  </w:num>
  <w:num w:numId="18">
    <w:abstractNumId w:val="10"/>
  </w:num>
  <w:num w:numId="19">
    <w:abstractNumId w:val="23"/>
  </w:num>
  <w:num w:numId="20">
    <w:abstractNumId w:val="15"/>
  </w:num>
  <w:num w:numId="21">
    <w:abstractNumId w:val="17"/>
  </w:num>
  <w:num w:numId="22">
    <w:abstractNumId w:val="14"/>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1A98"/>
    <w:rsid w:val="00011F8D"/>
    <w:rsid w:val="000130B4"/>
    <w:rsid w:val="00014361"/>
    <w:rsid w:val="000474FB"/>
    <w:rsid w:val="00053A92"/>
    <w:rsid w:val="00054839"/>
    <w:rsid w:val="00057F36"/>
    <w:rsid w:val="000A1F30"/>
    <w:rsid w:val="000A71DF"/>
    <w:rsid w:val="000B0962"/>
    <w:rsid w:val="000B2CBC"/>
    <w:rsid w:val="000E6577"/>
    <w:rsid w:val="000E7A19"/>
    <w:rsid w:val="000F3298"/>
    <w:rsid w:val="00104A1B"/>
    <w:rsid w:val="001177DD"/>
    <w:rsid w:val="0013392E"/>
    <w:rsid w:val="00135334"/>
    <w:rsid w:val="001412D4"/>
    <w:rsid w:val="00144F64"/>
    <w:rsid w:val="00145D62"/>
    <w:rsid w:val="00151567"/>
    <w:rsid w:val="00163E17"/>
    <w:rsid w:val="00166F9E"/>
    <w:rsid w:val="00167880"/>
    <w:rsid w:val="00180D45"/>
    <w:rsid w:val="00187870"/>
    <w:rsid w:val="00187D5A"/>
    <w:rsid w:val="001972D7"/>
    <w:rsid w:val="001A28F6"/>
    <w:rsid w:val="001A4FF7"/>
    <w:rsid w:val="001B2831"/>
    <w:rsid w:val="001B4065"/>
    <w:rsid w:val="001C0493"/>
    <w:rsid w:val="001C28AD"/>
    <w:rsid w:val="001D7FCB"/>
    <w:rsid w:val="001E2B99"/>
    <w:rsid w:val="001E69B6"/>
    <w:rsid w:val="001F4DBB"/>
    <w:rsid w:val="00202D07"/>
    <w:rsid w:val="0020312D"/>
    <w:rsid w:val="00206E33"/>
    <w:rsid w:val="00210519"/>
    <w:rsid w:val="00214DD0"/>
    <w:rsid w:val="00227259"/>
    <w:rsid w:val="00241B17"/>
    <w:rsid w:val="00241C81"/>
    <w:rsid w:val="002474CE"/>
    <w:rsid w:val="002474CF"/>
    <w:rsid w:val="00256C80"/>
    <w:rsid w:val="00257A1C"/>
    <w:rsid w:val="0027234C"/>
    <w:rsid w:val="00281795"/>
    <w:rsid w:val="002850E3"/>
    <w:rsid w:val="00287E2F"/>
    <w:rsid w:val="0029021A"/>
    <w:rsid w:val="002A1948"/>
    <w:rsid w:val="002B1BFF"/>
    <w:rsid w:val="002C0877"/>
    <w:rsid w:val="002C2AE2"/>
    <w:rsid w:val="002C73FE"/>
    <w:rsid w:val="002D0DCE"/>
    <w:rsid w:val="002E2B10"/>
    <w:rsid w:val="002E73B0"/>
    <w:rsid w:val="002F1502"/>
    <w:rsid w:val="002F2069"/>
    <w:rsid w:val="002F71A2"/>
    <w:rsid w:val="003014B8"/>
    <w:rsid w:val="003041AD"/>
    <w:rsid w:val="0031279F"/>
    <w:rsid w:val="00316F00"/>
    <w:rsid w:val="00321B51"/>
    <w:rsid w:val="00332994"/>
    <w:rsid w:val="00336D96"/>
    <w:rsid w:val="00344F07"/>
    <w:rsid w:val="003469C8"/>
    <w:rsid w:val="00350C8C"/>
    <w:rsid w:val="00355EA4"/>
    <w:rsid w:val="003635BE"/>
    <w:rsid w:val="00366B5E"/>
    <w:rsid w:val="00385BB5"/>
    <w:rsid w:val="00386BC2"/>
    <w:rsid w:val="003B125E"/>
    <w:rsid w:val="003C000D"/>
    <w:rsid w:val="003C31C9"/>
    <w:rsid w:val="003C4961"/>
    <w:rsid w:val="003C7C5D"/>
    <w:rsid w:val="003D0AD2"/>
    <w:rsid w:val="003F5913"/>
    <w:rsid w:val="004024F8"/>
    <w:rsid w:val="00405696"/>
    <w:rsid w:val="0041159A"/>
    <w:rsid w:val="004305A8"/>
    <w:rsid w:val="004353D5"/>
    <w:rsid w:val="00443CA0"/>
    <w:rsid w:val="0044535F"/>
    <w:rsid w:val="00450E14"/>
    <w:rsid w:val="00462C65"/>
    <w:rsid w:val="004674E7"/>
    <w:rsid w:val="00467B14"/>
    <w:rsid w:val="00474EDA"/>
    <w:rsid w:val="004824FA"/>
    <w:rsid w:val="00484011"/>
    <w:rsid w:val="004841F1"/>
    <w:rsid w:val="004A1E3A"/>
    <w:rsid w:val="004B46D6"/>
    <w:rsid w:val="004C0BF6"/>
    <w:rsid w:val="004C4464"/>
    <w:rsid w:val="004C4AEA"/>
    <w:rsid w:val="004D0430"/>
    <w:rsid w:val="004D1DAA"/>
    <w:rsid w:val="004D4EB1"/>
    <w:rsid w:val="004E003C"/>
    <w:rsid w:val="004E16EB"/>
    <w:rsid w:val="004E6665"/>
    <w:rsid w:val="004F634E"/>
    <w:rsid w:val="004F67A8"/>
    <w:rsid w:val="00502FAE"/>
    <w:rsid w:val="0050688E"/>
    <w:rsid w:val="0051582C"/>
    <w:rsid w:val="00522A50"/>
    <w:rsid w:val="00527225"/>
    <w:rsid w:val="0053557D"/>
    <w:rsid w:val="005410E3"/>
    <w:rsid w:val="005463DE"/>
    <w:rsid w:val="00546DC2"/>
    <w:rsid w:val="005528BE"/>
    <w:rsid w:val="005542E8"/>
    <w:rsid w:val="00556630"/>
    <w:rsid w:val="0055686D"/>
    <w:rsid w:val="005800EE"/>
    <w:rsid w:val="005869D6"/>
    <w:rsid w:val="0059331E"/>
    <w:rsid w:val="005A33F6"/>
    <w:rsid w:val="005A59E5"/>
    <w:rsid w:val="005B7440"/>
    <w:rsid w:val="005E2150"/>
    <w:rsid w:val="005E2995"/>
    <w:rsid w:val="005F3FEF"/>
    <w:rsid w:val="00600C4F"/>
    <w:rsid w:val="00607F7C"/>
    <w:rsid w:val="006102DA"/>
    <w:rsid w:val="00612A1A"/>
    <w:rsid w:val="00616090"/>
    <w:rsid w:val="006315A3"/>
    <w:rsid w:val="006579A2"/>
    <w:rsid w:val="00667C89"/>
    <w:rsid w:val="006711EE"/>
    <w:rsid w:val="006809BB"/>
    <w:rsid w:val="006809FD"/>
    <w:rsid w:val="00686BC8"/>
    <w:rsid w:val="00691D1F"/>
    <w:rsid w:val="00697BAE"/>
    <w:rsid w:val="006A4FDB"/>
    <w:rsid w:val="006B4DDC"/>
    <w:rsid w:val="006B5E55"/>
    <w:rsid w:val="006C4DA7"/>
    <w:rsid w:val="006D25A1"/>
    <w:rsid w:val="006E14E9"/>
    <w:rsid w:val="006F09A2"/>
    <w:rsid w:val="006F6856"/>
    <w:rsid w:val="007145D0"/>
    <w:rsid w:val="00716F94"/>
    <w:rsid w:val="00760E12"/>
    <w:rsid w:val="00763CF3"/>
    <w:rsid w:val="00772293"/>
    <w:rsid w:val="00776981"/>
    <w:rsid w:val="00781AE3"/>
    <w:rsid w:val="00783C75"/>
    <w:rsid w:val="00784619"/>
    <w:rsid w:val="0078627B"/>
    <w:rsid w:val="0078765B"/>
    <w:rsid w:val="00794E32"/>
    <w:rsid w:val="007A0D73"/>
    <w:rsid w:val="007A5D72"/>
    <w:rsid w:val="007B305A"/>
    <w:rsid w:val="007E575D"/>
    <w:rsid w:val="007E6AEF"/>
    <w:rsid w:val="00815C7D"/>
    <w:rsid w:val="00817941"/>
    <w:rsid w:val="008229E4"/>
    <w:rsid w:val="00823547"/>
    <w:rsid w:val="008261AB"/>
    <w:rsid w:val="008269AB"/>
    <w:rsid w:val="00834C91"/>
    <w:rsid w:val="00835CA7"/>
    <w:rsid w:val="008370D4"/>
    <w:rsid w:val="008414AD"/>
    <w:rsid w:val="008428D9"/>
    <w:rsid w:val="0088467A"/>
    <w:rsid w:val="00884DB9"/>
    <w:rsid w:val="008A5019"/>
    <w:rsid w:val="008C67D2"/>
    <w:rsid w:val="008E0683"/>
    <w:rsid w:val="00902DD9"/>
    <w:rsid w:val="00911486"/>
    <w:rsid w:val="009129CA"/>
    <w:rsid w:val="009206B6"/>
    <w:rsid w:val="009252DC"/>
    <w:rsid w:val="009263C1"/>
    <w:rsid w:val="00941B4F"/>
    <w:rsid w:val="009518C0"/>
    <w:rsid w:val="00963CE3"/>
    <w:rsid w:val="00964F18"/>
    <w:rsid w:val="00974424"/>
    <w:rsid w:val="00987F76"/>
    <w:rsid w:val="00993088"/>
    <w:rsid w:val="0099664F"/>
    <w:rsid w:val="00997D5D"/>
    <w:rsid w:val="009A0447"/>
    <w:rsid w:val="009A286D"/>
    <w:rsid w:val="009A2CE5"/>
    <w:rsid w:val="009A7DF1"/>
    <w:rsid w:val="009B4A51"/>
    <w:rsid w:val="009C1322"/>
    <w:rsid w:val="009C28B1"/>
    <w:rsid w:val="009C61AD"/>
    <w:rsid w:val="009D373D"/>
    <w:rsid w:val="009D7B2C"/>
    <w:rsid w:val="009E0801"/>
    <w:rsid w:val="009E1D05"/>
    <w:rsid w:val="009F7DE0"/>
    <w:rsid w:val="00A11B0C"/>
    <w:rsid w:val="00A33B35"/>
    <w:rsid w:val="00A33E90"/>
    <w:rsid w:val="00A36419"/>
    <w:rsid w:val="00A44921"/>
    <w:rsid w:val="00A578C2"/>
    <w:rsid w:val="00A72652"/>
    <w:rsid w:val="00A75D1C"/>
    <w:rsid w:val="00A809AA"/>
    <w:rsid w:val="00A849B3"/>
    <w:rsid w:val="00A8510D"/>
    <w:rsid w:val="00A86AF3"/>
    <w:rsid w:val="00A90AFF"/>
    <w:rsid w:val="00A90BDC"/>
    <w:rsid w:val="00A95477"/>
    <w:rsid w:val="00A96AF7"/>
    <w:rsid w:val="00A975A9"/>
    <w:rsid w:val="00AA3192"/>
    <w:rsid w:val="00AB0486"/>
    <w:rsid w:val="00AB251E"/>
    <w:rsid w:val="00AB3608"/>
    <w:rsid w:val="00AC5C48"/>
    <w:rsid w:val="00AC63E3"/>
    <w:rsid w:val="00AD5813"/>
    <w:rsid w:val="00AF0CF4"/>
    <w:rsid w:val="00AF2252"/>
    <w:rsid w:val="00AF688F"/>
    <w:rsid w:val="00B00B12"/>
    <w:rsid w:val="00B07E41"/>
    <w:rsid w:val="00B1129F"/>
    <w:rsid w:val="00B11D61"/>
    <w:rsid w:val="00B12F51"/>
    <w:rsid w:val="00B2751E"/>
    <w:rsid w:val="00B3650C"/>
    <w:rsid w:val="00B414B3"/>
    <w:rsid w:val="00B47055"/>
    <w:rsid w:val="00B64BFA"/>
    <w:rsid w:val="00B71E63"/>
    <w:rsid w:val="00B85DE4"/>
    <w:rsid w:val="00B87AAD"/>
    <w:rsid w:val="00B91A31"/>
    <w:rsid w:val="00BA6C28"/>
    <w:rsid w:val="00BA6DB4"/>
    <w:rsid w:val="00BB0277"/>
    <w:rsid w:val="00BC3F3C"/>
    <w:rsid w:val="00BC5BB2"/>
    <w:rsid w:val="00BE1596"/>
    <w:rsid w:val="00BE738E"/>
    <w:rsid w:val="00BF11A1"/>
    <w:rsid w:val="00BF3F54"/>
    <w:rsid w:val="00C00697"/>
    <w:rsid w:val="00C0376C"/>
    <w:rsid w:val="00C06D77"/>
    <w:rsid w:val="00C14BA6"/>
    <w:rsid w:val="00C3485C"/>
    <w:rsid w:val="00C544A4"/>
    <w:rsid w:val="00C768E5"/>
    <w:rsid w:val="00CA2004"/>
    <w:rsid w:val="00CA2988"/>
    <w:rsid w:val="00CA5B99"/>
    <w:rsid w:val="00CB334D"/>
    <w:rsid w:val="00CB56D5"/>
    <w:rsid w:val="00CD1EA8"/>
    <w:rsid w:val="00CF5ABD"/>
    <w:rsid w:val="00CF63CE"/>
    <w:rsid w:val="00D067C1"/>
    <w:rsid w:val="00D13B13"/>
    <w:rsid w:val="00D16E78"/>
    <w:rsid w:val="00D201D3"/>
    <w:rsid w:val="00D26A64"/>
    <w:rsid w:val="00D3379D"/>
    <w:rsid w:val="00D47237"/>
    <w:rsid w:val="00D52B9A"/>
    <w:rsid w:val="00D52C9F"/>
    <w:rsid w:val="00D5367E"/>
    <w:rsid w:val="00D53B1E"/>
    <w:rsid w:val="00D75750"/>
    <w:rsid w:val="00D84EF0"/>
    <w:rsid w:val="00D861ED"/>
    <w:rsid w:val="00D873E0"/>
    <w:rsid w:val="00D94F8B"/>
    <w:rsid w:val="00D95FBF"/>
    <w:rsid w:val="00DA5988"/>
    <w:rsid w:val="00DB7F78"/>
    <w:rsid w:val="00DC317C"/>
    <w:rsid w:val="00DC4FF2"/>
    <w:rsid w:val="00DC79CC"/>
    <w:rsid w:val="00E10D39"/>
    <w:rsid w:val="00E12BDE"/>
    <w:rsid w:val="00E134AE"/>
    <w:rsid w:val="00E134F4"/>
    <w:rsid w:val="00E162E0"/>
    <w:rsid w:val="00E23568"/>
    <w:rsid w:val="00E245B5"/>
    <w:rsid w:val="00E33E1B"/>
    <w:rsid w:val="00E34D3E"/>
    <w:rsid w:val="00E720E9"/>
    <w:rsid w:val="00E81C5E"/>
    <w:rsid w:val="00E83B3C"/>
    <w:rsid w:val="00E8736B"/>
    <w:rsid w:val="00E90275"/>
    <w:rsid w:val="00E925D4"/>
    <w:rsid w:val="00E97226"/>
    <w:rsid w:val="00EA2B44"/>
    <w:rsid w:val="00EA33EF"/>
    <w:rsid w:val="00EC4FFD"/>
    <w:rsid w:val="00EC5EFC"/>
    <w:rsid w:val="00EF33CD"/>
    <w:rsid w:val="00EF4150"/>
    <w:rsid w:val="00F12924"/>
    <w:rsid w:val="00F20C9B"/>
    <w:rsid w:val="00F300CB"/>
    <w:rsid w:val="00F41568"/>
    <w:rsid w:val="00F42C3A"/>
    <w:rsid w:val="00F52BCC"/>
    <w:rsid w:val="00F5313F"/>
    <w:rsid w:val="00F63C5F"/>
    <w:rsid w:val="00F677C6"/>
    <w:rsid w:val="00F81A48"/>
    <w:rsid w:val="00F82B2E"/>
    <w:rsid w:val="00FB62BC"/>
    <w:rsid w:val="00FD17C9"/>
    <w:rsid w:val="00FD2A5B"/>
    <w:rsid w:val="00FE6A5C"/>
    <w:rsid w:val="00FE7B9C"/>
    <w:rsid w:val="00FF5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table" w:customStyle="1" w:styleId="TableGrid1">
    <w:name w:val="Table Grid1"/>
    <w:basedOn w:val="TableNormal"/>
    <w:next w:val="TableGrid"/>
    <w:uiPriority w:val="59"/>
    <w:rsid w:val="009A2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table" w:customStyle="1" w:styleId="TableGrid1">
    <w:name w:val="Table Grid1"/>
    <w:basedOn w:val="TableNormal"/>
    <w:next w:val="TableGrid"/>
    <w:uiPriority w:val="59"/>
    <w:rsid w:val="009A2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10503">
      <w:bodyDiv w:val="1"/>
      <w:marLeft w:val="0"/>
      <w:marRight w:val="0"/>
      <w:marTop w:val="0"/>
      <w:marBottom w:val="0"/>
      <w:divBdr>
        <w:top w:val="none" w:sz="0" w:space="0" w:color="auto"/>
        <w:left w:val="none" w:sz="0" w:space="0" w:color="auto"/>
        <w:bottom w:val="none" w:sz="0" w:space="0" w:color="auto"/>
        <w:right w:val="none" w:sz="0" w:space="0" w:color="auto"/>
      </w:divBdr>
    </w:div>
    <w:div w:id="933974371">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ncs/ocs/sp/nctb134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016AF-1385-41F4-B87E-F06AAAEC6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3021</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Rasulnia, Bobby (CDC/OSTLTS/DPHPI)</cp:lastModifiedBy>
  <cp:revision>4</cp:revision>
  <cp:lastPrinted>2013-03-27T20:44:00Z</cp:lastPrinted>
  <dcterms:created xsi:type="dcterms:W3CDTF">2013-04-10T18:53:00Z</dcterms:created>
  <dcterms:modified xsi:type="dcterms:W3CDTF">2013-04-10T18:58:00Z</dcterms:modified>
</cp:coreProperties>
</file>