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631365" w:rsidRPr="009B4A51" w:rsidRDefault="00631365" w:rsidP="00631365">
      <w:pPr>
        <w:spacing w:after="0"/>
        <w:jc w:val="center"/>
        <w:rPr>
          <w:rFonts w:asciiTheme="majorHAnsi" w:hAnsiTheme="majorHAnsi"/>
          <w:b/>
          <w:sz w:val="40"/>
        </w:rPr>
      </w:pPr>
      <w:r>
        <w:rPr>
          <w:rFonts w:asciiTheme="majorHAnsi" w:hAnsiTheme="majorHAnsi"/>
          <w:b/>
          <w:sz w:val="40"/>
        </w:rPr>
        <w:t xml:space="preserve">Assessment </w:t>
      </w:r>
      <w:r w:rsidRPr="00792DDA">
        <w:rPr>
          <w:rFonts w:asciiTheme="majorHAnsi" w:hAnsiTheme="majorHAnsi"/>
          <w:b/>
          <w:sz w:val="40"/>
        </w:rPr>
        <w:t>of Performance Management and Improvement Practices</w:t>
      </w:r>
      <w:r>
        <w:rPr>
          <w:rFonts w:asciiTheme="majorHAnsi" w:hAnsiTheme="majorHAnsi"/>
          <w:b/>
          <w:sz w:val="40"/>
        </w:rPr>
        <w:t xml:space="preserve"> </w:t>
      </w:r>
      <w:r w:rsidR="002E0221">
        <w:rPr>
          <w:rFonts w:asciiTheme="majorHAnsi" w:hAnsiTheme="majorHAnsi"/>
          <w:b/>
          <w:sz w:val="40"/>
        </w:rPr>
        <w:t>in</w:t>
      </w:r>
      <w:r>
        <w:rPr>
          <w:rFonts w:asciiTheme="majorHAnsi" w:hAnsiTheme="majorHAnsi"/>
          <w:b/>
          <w:sz w:val="40"/>
        </w:rPr>
        <w:t xml:space="preserve"> States, Tribes, Locals and Territories </w:t>
      </w:r>
    </w:p>
    <w:p w:rsidR="00631365" w:rsidRDefault="00631365" w:rsidP="00631365">
      <w:pPr>
        <w:spacing w:after="0"/>
        <w:jc w:val="center"/>
        <w:rPr>
          <w:rFonts w:asciiTheme="majorHAnsi" w:hAnsiTheme="majorHAnsi"/>
          <w:b/>
        </w:rPr>
      </w:pPr>
    </w:p>
    <w:p w:rsidR="00631365" w:rsidRPr="00AA3192" w:rsidRDefault="00631365" w:rsidP="00631365">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631365" w:rsidRPr="00AA3192" w:rsidRDefault="00631365" w:rsidP="00631365">
      <w:pPr>
        <w:pStyle w:val="Header"/>
        <w:tabs>
          <w:tab w:val="clear" w:pos="4680"/>
        </w:tabs>
        <w:jc w:val="center"/>
      </w:pPr>
      <w:r w:rsidRPr="00AA3192">
        <w:t>OMB No. 0920-0879</w:t>
      </w: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Pr="00AA3192" w:rsidRDefault="00631365" w:rsidP="00631365">
      <w:pPr>
        <w:spacing w:after="0"/>
        <w:jc w:val="center"/>
        <w:rPr>
          <w:rFonts w:asciiTheme="majorHAnsi" w:hAnsiTheme="majorHAnsi"/>
          <w:sz w:val="32"/>
        </w:rPr>
      </w:pPr>
      <w:r w:rsidRPr="00AA3192">
        <w:rPr>
          <w:rFonts w:asciiTheme="majorHAnsi" w:hAnsiTheme="majorHAnsi"/>
          <w:b/>
          <w:sz w:val="32"/>
        </w:rPr>
        <w:t>Supporting Statement – Section A</w:t>
      </w: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Default="00631365" w:rsidP="00631365">
      <w:pPr>
        <w:spacing w:after="0"/>
        <w:rPr>
          <w:rFonts w:asciiTheme="majorHAnsi" w:hAnsiTheme="majorHAnsi"/>
          <w:b/>
        </w:rPr>
      </w:pPr>
    </w:p>
    <w:p w:rsidR="00631365" w:rsidRPr="009B4A51" w:rsidRDefault="00631365" w:rsidP="00631365">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Pr>
          <w:rFonts w:asciiTheme="majorHAnsi" w:hAnsiTheme="majorHAnsi"/>
        </w:rPr>
        <w:t>October 3, 2012</w:t>
      </w:r>
    </w:p>
    <w:p w:rsidR="00AA3192" w:rsidRDefault="00AA3192" w:rsidP="00716F94">
      <w:pPr>
        <w:spacing w:after="0"/>
        <w:rPr>
          <w:rFonts w:asciiTheme="majorHAnsi" w:hAnsiTheme="majorHAnsi"/>
          <w:b/>
        </w:rPr>
      </w:pPr>
    </w:p>
    <w:p w:rsidR="00631365" w:rsidRDefault="00631365" w:rsidP="00716F94">
      <w:pPr>
        <w:spacing w:after="0"/>
        <w:rPr>
          <w:rFonts w:asciiTheme="majorHAnsi" w:hAnsiTheme="majorHAnsi"/>
          <w:b/>
        </w:rPr>
      </w:pPr>
    </w:p>
    <w:p w:rsidR="00631365" w:rsidRDefault="00631365"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2E0221" w:rsidRDefault="00E056F2" w:rsidP="000B0962">
      <w:pPr>
        <w:spacing w:after="0" w:line="240" w:lineRule="auto"/>
        <w:rPr>
          <w:rFonts w:asciiTheme="majorHAnsi" w:hAnsiTheme="majorHAnsi" w:cs="Times New Roman"/>
          <w:bCs/>
        </w:rPr>
      </w:pPr>
      <w:r w:rsidRPr="002E0221">
        <w:rPr>
          <w:rFonts w:asciiTheme="majorHAnsi" w:hAnsiTheme="majorHAnsi" w:cs="Times New Roman"/>
          <w:bCs/>
        </w:rPr>
        <w:t>Anita McLees</w:t>
      </w:r>
    </w:p>
    <w:p w:rsidR="00181F43" w:rsidRPr="002E0221" w:rsidRDefault="00E056F2" w:rsidP="000B0962">
      <w:pPr>
        <w:spacing w:after="0" w:line="240" w:lineRule="auto"/>
        <w:rPr>
          <w:rFonts w:asciiTheme="majorHAnsi" w:hAnsiTheme="majorHAnsi" w:cs="Times New Roman"/>
        </w:rPr>
      </w:pPr>
      <w:r w:rsidRPr="002E0221">
        <w:rPr>
          <w:rFonts w:asciiTheme="majorHAnsi" w:hAnsiTheme="majorHAnsi" w:cs="Times New Roman"/>
        </w:rPr>
        <w:t xml:space="preserve">Health Scientist </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Applied Systems Research and Evaluation Branch</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Division of Public Health Performance Improvement</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Office of State, Tribal, Local and Territorial Support</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Centers for Disease Control</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1825 Century Center MS E-70</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Tel: 404-498-0316</w:t>
      </w:r>
    </w:p>
    <w:p w:rsidR="00181F43" w:rsidRPr="002E0221" w:rsidRDefault="00181F43" w:rsidP="000B0962">
      <w:pPr>
        <w:spacing w:after="0" w:line="240" w:lineRule="auto"/>
        <w:rPr>
          <w:rFonts w:asciiTheme="majorHAnsi" w:hAnsiTheme="majorHAnsi" w:cs="Times New Roman"/>
        </w:rPr>
      </w:pPr>
      <w:r w:rsidRPr="002E0221">
        <w:rPr>
          <w:rFonts w:asciiTheme="majorHAnsi" w:hAnsiTheme="majorHAnsi" w:cs="Times New Roman"/>
        </w:rPr>
        <w:t xml:space="preserve">Email: </w:t>
      </w:r>
      <w:hyperlink r:id="rId9" w:history="1">
        <w:r w:rsidRPr="002E0221">
          <w:rPr>
            <w:rStyle w:val="Hyperlink"/>
            <w:rFonts w:asciiTheme="majorHAnsi" w:hAnsiTheme="majorHAnsi" w:cs="Times New Roman"/>
            <w:color w:val="auto"/>
          </w:rPr>
          <w:t>zdu5@cdc.gov</w:t>
        </w:r>
      </w:hyperlink>
    </w:p>
    <w:p w:rsidR="000B0962" w:rsidRDefault="000B0962" w:rsidP="00716F94">
      <w:pPr>
        <w:spacing w:after="0"/>
        <w:rPr>
          <w:rFonts w:asciiTheme="majorHAnsi" w:hAnsiTheme="majorHAnsi"/>
        </w:rPr>
      </w:pPr>
    </w:p>
    <w:p w:rsidR="000B0962" w:rsidRDefault="000B0962" w:rsidP="00716F94">
      <w:pPr>
        <w:spacing w:after="0"/>
        <w:rPr>
          <w:rFonts w:asciiTheme="majorHAnsi" w:hAnsiTheme="majorHAnsi"/>
        </w:rPr>
      </w:pPr>
    </w:p>
    <w:p w:rsidR="002E0221" w:rsidRDefault="002E0221" w:rsidP="00716F94">
      <w:pPr>
        <w:spacing w:after="0"/>
        <w:rPr>
          <w:rFonts w:asciiTheme="majorHAnsi" w:hAnsiTheme="majorHAnsi"/>
          <w:b/>
          <w:sz w:val="28"/>
        </w:rPr>
      </w:pPr>
    </w:p>
    <w:p w:rsidR="002E0221" w:rsidRDefault="002E0221" w:rsidP="00716F94">
      <w:pPr>
        <w:spacing w:after="0"/>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350C8C" w:rsidRPr="001A28F6" w:rsidRDefault="004F67A8" w:rsidP="00927018">
      <w:pPr>
        <w:pStyle w:val="Header"/>
        <w:tabs>
          <w:tab w:val="clear" w:pos="4680"/>
        </w:tabs>
        <w:spacing w:line="276" w:lineRule="auto"/>
        <w:ind w:left="720"/>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C72706">
        <w:rPr>
          <w:rFonts w:asciiTheme="majorHAnsi" w:hAnsiTheme="majorHAnsi"/>
        </w:rPr>
        <w:t xml:space="preserve"> </w:t>
      </w:r>
      <w:r w:rsidR="00C72706" w:rsidRPr="00785569">
        <w:rPr>
          <w:rFonts w:asciiTheme="majorHAnsi" w:hAnsiTheme="majorHAnsi"/>
          <w:i/>
        </w:rPr>
        <w:t>Performance Improvement Managers</w:t>
      </w:r>
      <w:r w:rsidR="009252DC">
        <w:rPr>
          <w:rFonts w:asciiTheme="majorHAnsi" w:hAnsiTheme="majorHAnsi"/>
        </w:rPr>
        <w:t xml:space="preserve"> acting in their official capacities</w:t>
      </w:r>
      <w:r w:rsidR="00314F57">
        <w:rPr>
          <w:rFonts w:asciiTheme="majorHAnsi" w:hAnsiTheme="majorHAnsi"/>
        </w:rPr>
        <w:t xml:space="preserve"> at S</w:t>
      </w:r>
      <w:r w:rsidR="00D06705">
        <w:rPr>
          <w:rFonts w:asciiTheme="majorHAnsi" w:hAnsiTheme="majorHAnsi"/>
        </w:rPr>
        <w:t xml:space="preserve">tate, </w:t>
      </w:r>
      <w:r w:rsidR="00314F57">
        <w:rPr>
          <w:rFonts w:asciiTheme="majorHAnsi" w:hAnsiTheme="majorHAnsi"/>
        </w:rPr>
        <w:t>T</w:t>
      </w:r>
      <w:r w:rsidR="00D06705">
        <w:rPr>
          <w:rFonts w:asciiTheme="majorHAnsi" w:hAnsiTheme="majorHAnsi"/>
        </w:rPr>
        <w:t xml:space="preserve">ribal, </w:t>
      </w:r>
      <w:r w:rsidR="00314F57">
        <w:rPr>
          <w:rFonts w:asciiTheme="majorHAnsi" w:hAnsiTheme="majorHAnsi"/>
        </w:rPr>
        <w:t>L</w:t>
      </w:r>
      <w:r w:rsidR="00D06705">
        <w:rPr>
          <w:rFonts w:asciiTheme="majorHAnsi" w:hAnsiTheme="majorHAnsi"/>
        </w:rPr>
        <w:t xml:space="preserve">ocal, or </w:t>
      </w:r>
      <w:r w:rsidR="00314F57">
        <w:rPr>
          <w:rFonts w:asciiTheme="majorHAnsi" w:hAnsiTheme="majorHAnsi"/>
        </w:rPr>
        <w:t>T</w:t>
      </w:r>
      <w:r w:rsidR="00D06705">
        <w:rPr>
          <w:rFonts w:asciiTheme="majorHAnsi" w:hAnsiTheme="majorHAnsi"/>
        </w:rPr>
        <w:t xml:space="preserve">erritorial </w:t>
      </w:r>
      <w:r w:rsidR="00062428">
        <w:rPr>
          <w:rFonts w:asciiTheme="majorHAnsi" w:hAnsiTheme="majorHAnsi"/>
        </w:rPr>
        <w:t xml:space="preserve">(STLT) </w:t>
      </w:r>
      <w:r w:rsidR="00D06705">
        <w:rPr>
          <w:rFonts w:asciiTheme="majorHAnsi" w:hAnsiTheme="majorHAnsi"/>
        </w:rPr>
        <w:t xml:space="preserve">health </w:t>
      </w:r>
      <w:r w:rsidR="00062428">
        <w:rPr>
          <w:rFonts w:asciiTheme="majorHAnsi" w:hAnsiTheme="majorHAnsi"/>
        </w:rPr>
        <w:t>agencies</w:t>
      </w:r>
      <w:r w:rsidR="009252DC">
        <w:rPr>
          <w:rFonts w:asciiTheme="majorHAnsi" w:hAnsiTheme="majorHAnsi"/>
        </w:rPr>
        <w:t>.</w:t>
      </w:r>
      <w:r w:rsidR="00785569">
        <w:rPr>
          <w:rFonts w:asciiTheme="majorHAnsi" w:hAnsiTheme="majorHAnsi"/>
        </w:rPr>
        <w:t xml:space="preserve">  </w:t>
      </w:r>
      <w:r w:rsidR="00350C8C">
        <w:rPr>
          <w:rFonts w:asciiTheme="majorHAnsi" w:hAnsiTheme="majorHAnsi"/>
        </w:rPr>
        <w:t xml:space="preserve">This data collection is authorized by Section 301 of the Public Health Service Act (42 U.S.C. </w:t>
      </w:r>
      <w:r w:rsidR="00350C8C" w:rsidRPr="001A28F6">
        <w:rPr>
          <w:rFonts w:asciiTheme="majorHAnsi" w:hAnsiTheme="majorHAnsi"/>
        </w:rPr>
        <w:t>241).</w:t>
      </w:r>
      <w:r w:rsidR="00314F57">
        <w:rPr>
          <w:rFonts w:asciiTheme="majorHAnsi" w:hAnsiTheme="majorHAnsi"/>
        </w:rPr>
        <w:t xml:space="preserve">  </w:t>
      </w:r>
    </w:p>
    <w:p w:rsidR="00C72706" w:rsidRDefault="00C72706" w:rsidP="00927018">
      <w:pPr>
        <w:spacing w:after="0"/>
        <w:rPr>
          <w:rFonts w:asciiTheme="majorHAnsi" w:hAnsiTheme="majorHAnsi"/>
        </w:rPr>
      </w:pPr>
    </w:p>
    <w:p w:rsidR="008005C2" w:rsidRDefault="00631365" w:rsidP="008005C2">
      <w:pPr>
        <w:pStyle w:val="ListParagraph"/>
        <w:spacing w:after="0"/>
        <w:rPr>
          <w:rFonts w:asciiTheme="majorHAnsi" w:hAnsiTheme="majorHAnsi"/>
        </w:rPr>
      </w:pPr>
      <w:r w:rsidRPr="00A425F9">
        <w:rPr>
          <w:rFonts w:asciiTheme="majorHAnsi" w:hAnsiTheme="majorHAnsi"/>
        </w:rPr>
        <w:t xml:space="preserve">The Centers for Disease Control and Prevention’s (CDC) National Public Health Improvement Initiative (NPHII) is a five-year Cooperative Agreement funded through the Prevention and Public Health Fund of the Affordable Care Act. NPHII is designed to strengthen the nation’s health by optimizing agency resource utilization and improving program performance and quality of program services. For the first year of NPHII (FY2010), CDC’s Office for State, Tribal, Local and Territorial Support (OSTLTS) awarded $42.5 million to seventy-six STLT health agencies. All 76 STLT awardees received funds to hire a Performance Improvement Manager and initiate performance management activities. Of the 76 STLT awardees, nineteen received larger awards to focus on one or more of four key areas: health promotion and disease prevention, public health policy and public health law, health IT and communications infrastructure, and workforce and systems development </w:t>
      </w:r>
      <w:r w:rsidRPr="00A425F9">
        <w:rPr>
          <w:rFonts w:asciiTheme="majorHAnsi" w:hAnsiTheme="majorHAnsi"/>
          <w:b/>
        </w:rPr>
        <w:t>(Attachment A – Original NPHII Funding Opportunity Announcement)</w:t>
      </w:r>
      <w:r w:rsidRPr="00A425F9">
        <w:rPr>
          <w:rFonts w:asciiTheme="majorHAnsi" w:hAnsiTheme="majorHAnsi"/>
        </w:rPr>
        <w:t xml:space="preserve">.  In FY2011, OSTLTS awarded $33.5M dollars to seventy-four of these original 76 STLT agencies for the second year of NPHII, including </w:t>
      </w:r>
      <w:r w:rsidRPr="00A425F9">
        <w:rPr>
          <w:rFonts w:asciiTheme="majorHAnsi" w:hAnsiTheme="majorHAnsi" w:cstheme="minorHAnsi"/>
        </w:rPr>
        <w:t xml:space="preserve">48 state health departments and the District of Columbia, 9 local health departments, 8 territory and </w:t>
      </w:r>
      <w:r>
        <w:rPr>
          <w:rFonts w:asciiTheme="majorHAnsi" w:hAnsiTheme="majorHAnsi" w:cstheme="minorHAnsi"/>
        </w:rPr>
        <w:t>P</w:t>
      </w:r>
      <w:r w:rsidRPr="00A425F9">
        <w:rPr>
          <w:rFonts w:asciiTheme="majorHAnsi" w:hAnsiTheme="majorHAnsi" w:cstheme="minorHAnsi"/>
        </w:rPr>
        <w:t xml:space="preserve">acific </w:t>
      </w:r>
      <w:r>
        <w:rPr>
          <w:rFonts w:asciiTheme="majorHAnsi" w:hAnsiTheme="majorHAnsi" w:cstheme="minorHAnsi"/>
        </w:rPr>
        <w:t>I</w:t>
      </w:r>
      <w:r w:rsidRPr="00A425F9">
        <w:rPr>
          <w:rFonts w:asciiTheme="majorHAnsi" w:hAnsiTheme="majorHAnsi" w:cstheme="minorHAnsi"/>
        </w:rPr>
        <w:t>sland health departments, and 8 American Indian/Alaska Native Tribes/Organizations</w:t>
      </w:r>
      <w:r w:rsidR="00170CAF">
        <w:rPr>
          <w:rFonts w:asciiTheme="majorHAnsi" w:hAnsiTheme="majorHAnsi" w:cstheme="minorHAnsi"/>
        </w:rPr>
        <w:t xml:space="preserve">.  </w:t>
      </w:r>
      <w:r w:rsidR="00170CAF">
        <w:rPr>
          <w:rFonts w:asciiTheme="majorHAnsi" w:hAnsiTheme="majorHAnsi"/>
        </w:rPr>
        <w:t xml:space="preserve">South Dakota and Virgin Islands did not reapply for funding for the second year of NPHII </w:t>
      </w:r>
      <w:r w:rsidRPr="00A425F9">
        <w:rPr>
          <w:rFonts w:asciiTheme="majorHAnsi" w:hAnsiTheme="majorHAnsi" w:cstheme="minorHAnsi"/>
          <w:b/>
        </w:rPr>
        <w:t xml:space="preserve">(Attachment B – Map and Listing of </w:t>
      </w:r>
      <w:r>
        <w:rPr>
          <w:rFonts w:asciiTheme="majorHAnsi" w:hAnsiTheme="majorHAnsi" w:cstheme="minorHAnsi"/>
          <w:b/>
        </w:rPr>
        <w:t xml:space="preserve">FY 2011 </w:t>
      </w:r>
      <w:r w:rsidRPr="00A425F9">
        <w:rPr>
          <w:rFonts w:asciiTheme="majorHAnsi" w:hAnsiTheme="majorHAnsi" w:cstheme="minorHAnsi"/>
          <w:b/>
        </w:rPr>
        <w:t>NPHII Awardees)</w:t>
      </w:r>
      <w:r>
        <w:rPr>
          <w:rFonts w:asciiTheme="majorHAnsi" w:hAnsiTheme="majorHAnsi" w:cstheme="minorHAnsi"/>
        </w:rPr>
        <w:t xml:space="preserve">.  </w:t>
      </w:r>
      <w:r w:rsidRPr="00A425F9">
        <w:rPr>
          <w:rFonts w:asciiTheme="majorHAnsi" w:hAnsiTheme="majorHAnsi"/>
        </w:rPr>
        <w:t xml:space="preserve">For this second year, NPHII focused more specifically on promoting performance management, quality improvement, and accreditation readiness activities to advance the goal of improving the efficiency and effectiveness of services and programs in STLT </w:t>
      </w:r>
      <w:r w:rsidR="00170CAF">
        <w:rPr>
          <w:rFonts w:asciiTheme="majorHAnsi" w:hAnsiTheme="majorHAnsi"/>
        </w:rPr>
        <w:t xml:space="preserve">awardee organizations.  </w:t>
      </w:r>
      <w:r w:rsidRPr="00A425F9">
        <w:rPr>
          <w:rFonts w:asciiTheme="majorHAnsi" w:hAnsiTheme="majorHAnsi"/>
        </w:rPr>
        <w:t xml:space="preserve">In September 2012 (FY2012), an additional </w:t>
      </w:r>
      <w:r w:rsidR="002E0221">
        <w:rPr>
          <w:rFonts w:asciiTheme="majorHAnsi" w:hAnsiTheme="majorHAnsi"/>
        </w:rPr>
        <w:t xml:space="preserve">$33.5M dollars </w:t>
      </w:r>
      <w:r w:rsidRPr="00A425F9">
        <w:rPr>
          <w:rFonts w:asciiTheme="majorHAnsi" w:hAnsiTheme="majorHAnsi"/>
        </w:rPr>
        <w:t>was awarded to seventy-three STLT agencies to continue work in these same areas</w:t>
      </w:r>
      <w:r w:rsidR="002E0221">
        <w:rPr>
          <w:rFonts w:asciiTheme="majorHAnsi" w:hAnsiTheme="majorHAnsi"/>
        </w:rPr>
        <w:t xml:space="preserve">.  South East Alaska Regional Health Consortium decided not to apply for </w:t>
      </w:r>
      <w:r w:rsidR="00170CAF">
        <w:rPr>
          <w:rFonts w:asciiTheme="majorHAnsi" w:hAnsiTheme="majorHAnsi"/>
        </w:rPr>
        <w:t>FY 2012</w:t>
      </w:r>
      <w:r w:rsidR="002E0221">
        <w:rPr>
          <w:rFonts w:asciiTheme="majorHAnsi" w:hAnsiTheme="majorHAnsi"/>
        </w:rPr>
        <w:t xml:space="preserve"> NPHII funding</w:t>
      </w:r>
      <w:r w:rsidR="00170CAF">
        <w:rPr>
          <w:rFonts w:asciiTheme="majorHAnsi" w:hAnsiTheme="majorHAnsi"/>
        </w:rPr>
        <w:t xml:space="preserve">, and will not be included in the respondent population for the Year 3 data collection </w:t>
      </w:r>
      <w:r w:rsidRPr="00A425F9">
        <w:rPr>
          <w:rFonts w:asciiTheme="majorHAnsi" w:hAnsiTheme="majorHAnsi"/>
          <w:b/>
        </w:rPr>
        <w:t>(Attachment C - Continuation guidance for Year 2 of NPHII, Attachment D - Continuation guidance for Year 3 of NPHII).</w:t>
      </w:r>
      <w:r>
        <w:rPr>
          <w:rFonts w:asciiTheme="majorHAnsi" w:hAnsiTheme="majorHAnsi"/>
        </w:rPr>
        <w:t xml:space="preserve">  </w:t>
      </w:r>
    </w:p>
    <w:p w:rsidR="008005C2" w:rsidRDefault="008005C2" w:rsidP="008005C2">
      <w:pPr>
        <w:pStyle w:val="ListParagraph"/>
        <w:spacing w:after="0"/>
        <w:rPr>
          <w:rFonts w:asciiTheme="majorHAnsi" w:hAnsiTheme="majorHAnsi"/>
        </w:rPr>
      </w:pPr>
    </w:p>
    <w:p w:rsidR="005E3070" w:rsidRPr="005E3070" w:rsidRDefault="00274535" w:rsidP="008005C2">
      <w:pPr>
        <w:pStyle w:val="ListParagraph"/>
        <w:spacing w:after="0"/>
        <w:rPr>
          <w:rFonts w:asciiTheme="majorHAnsi" w:hAnsiTheme="majorHAnsi"/>
        </w:rPr>
      </w:pPr>
      <w:r>
        <w:rPr>
          <w:rFonts w:asciiTheme="majorHAnsi" w:hAnsiTheme="majorHAnsi"/>
        </w:rPr>
        <w:t xml:space="preserve">As referenced above, </w:t>
      </w:r>
      <w:r w:rsidR="006A1A2C">
        <w:rPr>
          <w:rFonts w:asciiTheme="majorHAnsi" w:hAnsiTheme="majorHAnsi"/>
        </w:rPr>
        <w:t xml:space="preserve">NPHII seeks to optimize the value of America’s investment in public health by </w:t>
      </w:r>
      <w:r w:rsidR="00C72706" w:rsidRPr="00666392">
        <w:rPr>
          <w:rFonts w:asciiTheme="majorHAnsi" w:hAnsiTheme="majorHAnsi"/>
        </w:rPr>
        <w:t>systematically increas</w:t>
      </w:r>
      <w:r w:rsidR="006A1A2C">
        <w:rPr>
          <w:rFonts w:asciiTheme="majorHAnsi" w:hAnsiTheme="majorHAnsi"/>
        </w:rPr>
        <w:t xml:space="preserve">ing </w:t>
      </w:r>
      <w:r w:rsidR="00C72706" w:rsidRPr="00666392">
        <w:rPr>
          <w:rFonts w:asciiTheme="majorHAnsi" w:hAnsiTheme="majorHAnsi"/>
        </w:rPr>
        <w:t>the performance management capacity of public health departments and improv</w:t>
      </w:r>
      <w:r w:rsidR="006A1A2C">
        <w:rPr>
          <w:rFonts w:asciiTheme="majorHAnsi" w:hAnsiTheme="majorHAnsi"/>
        </w:rPr>
        <w:t>ing</w:t>
      </w:r>
      <w:r w:rsidR="00C72706" w:rsidRPr="00666392">
        <w:rPr>
          <w:rFonts w:asciiTheme="majorHAnsi" w:hAnsiTheme="majorHAnsi"/>
        </w:rPr>
        <w:t xml:space="preserve"> their ability to meet public health goals. </w:t>
      </w:r>
      <w:r w:rsidR="00062428">
        <w:rPr>
          <w:rFonts w:asciiTheme="majorHAnsi" w:hAnsiTheme="majorHAnsi"/>
        </w:rPr>
        <w:t xml:space="preserve"> </w:t>
      </w:r>
      <w:r w:rsidR="005E3070" w:rsidRPr="005E3070">
        <w:rPr>
          <w:rFonts w:asciiTheme="majorHAnsi" w:hAnsiTheme="majorHAnsi"/>
          <w:bCs/>
        </w:rPr>
        <w:t xml:space="preserve">Its focus on performance </w:t>
      </w:r>
      <w:r w:rsidR="00EA3074">
        <w:rPr>
          <w:rFonts w:asciiTheme="majorHAnsi" w:hAnsiTheme="majorHAnsi"/>
          <w:bCs/>
        </w:rPr>
        <w:t xml:space="preserve">management and quality </w:t>
      </w:r>
      <w:r w:rsidR="0096725B">
        <w:rPr>
          <w:rFonts w:asciiTheme="majorHAnsi" w:hAnsiTheme="majorHAnsi"/>
          <w:bCs/>
        </w:rPr>
        <w:t xml:space="preserve">improvement is directed at STLT </w:t>
      </w:r>
      <w:r w:rsidR="005E3070" w:rsidRPr="005E3070">
        <w:rPr>
          <w:rFonts w:asciiTheme="majorHAnsi" w:hAnsiTheme="majorHAnsi"/>
          <w:bCs/>
        </w:rPr>
        <w:t xml:space="preserve">public health </w:t>
      </w:r>
      <w:r w:rsidR="0096725B">
        <w:rPr>
          <w:rFonts w:asciiTheme="majorHAnsi" w:hAnsiTheme="majorHAnsi"/>
          <w:bCs/>
        </w:rPr>
        <w:lastRenderedPageBreak/>
        <w:t>agencies d</w:t>
      </w:r>
      <w:r w:rsidR="005E3070" w:rsidRPr="005E3070">
        <w:rPr>
          <w:rFonts w:asciiTheme="majorHAnsi" w:hAnsiTheme="majorHAnsi"/>
          <w:bCs/>
        </w:rPr>
        <w:t xml:space="preserve">edicated to advancing </w:t>
      </w:r>
      <w:r w:rsidR="00EA3074">
        <w:rPr>
          <w:rFonts w:asciiTheme="majorHAnsi" w:hAnsiTheme="majorHAnsi"/>
          <w:bCs/>
        </w:rPr>
        <w:t>the efficiency and effectiveness of services and programs</w:t>
      </w:r>
      <w:r w:rsidR="005E3070" w:rsidRPr="005E3070">
        <w:rPr>
          <w:rFonts w:asciiTheme="majorHAnsi" w:hAnsiTheme="majorHAnsi"/>
          <w:bCs/>
        </w:rPr>
        <w:t xml:space="preserve">.  Increasing the effectiveness and efficiencies of </w:t>
      </w:r>
      <w:r w:rsidR="00403554">
        <w:rPr>
          <w:rFonts w:asciiTheme="majorHAnsi" w:hAnsiTheme="majorHAnsi"/>
          <w:bCs/>
        </w:rPr>
        <w:t>these STLT</w:t>
      </w:r>
      <w:r w:rsidR="00EA3074">
        <w:rPr>
          <w:rFonts w:asciiTheme="majorHAnsi" w:hAnsiTheme="majorHAnsi"/>
          <w:bCs/>
        </w:rPr>
        <w:t xml:space="preserve"> agencie</w:t>
      </w:r>
      <w:r w:rsidR="005E3070" w:rsidRPr="005E3070">
        <w:rPr>
          <w:rFonts w:asciiTheme="majorHAnsi" w:hAnsiTheme="majorHAnsi"/>
          <w:bCs/>
        </w:rPr>
        <w:t xml:space="preserve">s </w:t>
      </w:r>
      <w:r w:rsidR="00EA3074">
        <w:rPr>
          <w:rFonts w:asciiTheme="majorHAnsi" w:hAnsiTheme="majorHAnsi"/>
          <w:bCs/>
        </w:rPr>
        <w:t xml:space="preserve">is intended to mitigate the impact of decreases in the public health workforce over the past several years and thereby introduce practices to </w:t>
      </w:r>
      <w:r w:rsidR="005E3070" w:rsidRPr="005E3070">
        <w:rPr>
          <w:rFonts w:asciiTheme="majorHAnsi" w:hAnsiTheme="majorHAnsi"/>
          <w:bCs/>
        </w:rPr>
        <w:t>help keep Americans healthy and productive.</w:t>
      </w:r>
    </w:p>
    <w:p w:rsidR="006B7834" w:rsidRPr="0003719B" w:rsidRDefault="00855D97" w:rsidP="0024248C">
      <w:pPr>
        <w:ind w:left="720"/>
        <w:rPr>
          <w:rFonts w:asciiTheme="majorHAnsi" w:hAnsiTheme="majorHAnsi"/>
        </w:rPr>
      </w:pPr>
      <w:r>
        <w:rPr>
          <w:rFonts w:asciiTheme="majorHAnsi" w:hAnsiTheme="majorHAnsi"/>
        </w:rPr>
        <w:t>Though NPHII is a five-year cooperative agreement, the evolving nature of the public health envi</w:t>
      </w:r>
      <w:r w:rsidR="00890256">
        <w:rPr>
          <w:rFonts w:asciiTheme="majorHAnsi" w:hAnsiTheme="majorHAnsi"/>
        </w:rPr>
        <w:t>ronment and its impact on changes to</w:t>
      </w:r>
      <w:r w:rsidR="00767C5F">
        <w:rPr>
          <w:rFonts w:asciiTheme="majorHAnsi" w:hAnsiTheme="majorHAnsi"/>
        </w:rPr>
        <w:t xml:space="preserve"> </w:t>
      </w:r>
      <w:r w:rsidR="007D315B">
        <w:rPr>
          <w:rFonts w:asciiTheme="majorHAnsi" w:hAnsiTheme="majorHAnsi"/>
        </w:rPr>
        <w:t xml:space="preserve">the </w:t>
      </w:r>
      <w:r w:rsidR="00EA3074">
        <w:rPr>
          <w:rFonts w:asciiTheme="majorHAnsi" w:hAnsiTheme="majorHAnsi"/>
        </w:rPr>
        <w:t>cooperative agreement</w:t>
      </w:r>
      <w:r>
        <w:rPr>
          <w:rFonts w:asciiTheme="majorHAnsi" w:hAnsiTheme="majorHAnsi"/>
        </w:rPr>
        <w:t xml:space="preserve"> requirements </w:t>
      </w:r>
      <w:r w:rsidR="00767C5F">
        <w:rPr>
          <w:rFonts w:asciiTheme="majorHAnsi" w:hAnsiTheme="majorHAnsi"/>
        </w:rPr>
        <w:t>ha</w:t>
      </w:r>
      <w:r w:rsidR="00EA3074">
        <w:rPr>
          <w:rFonts w:asciiTheme="majorHAnsi" w:hAnsiTheme="majorHAnsi"/>
        </w:rPr>
        <w:t>ve</w:t>
      </w:r>
      <w:r w:rsidR="00767C5F">
        <w:rPr>
          <w:rFonts w:asciiTheme="majorHAnsi" w:hAnsiTheme="majorHAnsi"/>
        </w:rPr>
        <w:t xml:space="preserve"> led </w:t>
      </w:r>
      <w:r w:rsidR="00AE52B0">
        <w:rPr>
          <w:rFonts w:asciiTheme="majorHAnsi" w:hAnsiTheme="majorHAnsi"/>
        </w:rPr>
        <w:t xml:space="preserve">to </w:t>
      </w:r>
      <w:r w:rsidR="00EA3074">
        <w:rPr>
          <w:rFonts w:asciiTheme="majorHAnsi" w:hAnsiTheme="majorHAnsi"/>
        </w:rPr>
        <w:t>the fine-tuning</w:t>
      </w:r>
      <w:r w:rsidR="00AE52B0">
        <w:rPr>
          <w:rFonts w:asciiTheme="majorHAnsi" w:hAnsiTheme="majorHAnsi"/>
        </w:rPr>
        <w:t xml:space="preserve"> of NPHII’s </w:t>
      </w:r>
      <w:r w:rsidR="00EA3074">
        <w:rPr>
          <w:rFonts w:asciiTheme="majorHAnsi" w:hAnsiTheme="majorHAnsi"/>
        </w:rPr>
        <w:t>strategies</w:t>
      </w:r>
      <w:r w:rsidR="00AE52B0">
        <w:rPr>
          <w:rFonts w:asciiTheme="majorHAnsi" w:hAnsiTheme="majorHAnsi"/>
        </w:rPr>
        <w:t xml:space="preserve"> after the first year of the program</w:t>
      </w:r>
      <w:r w:rsidR="007D315B">
        <w:rPr>
          <w:rFonts w:asciiTheme="majorHAnsi" w:hAnsiTheme="majorHAnsi"/>
        </w:rPr>
        <w:t xml:space="preserve">.  </w:t>
      </w:r>
      <w:r w:rsidR="0024248C">
        <w:rPr>
          <w:rFonts w:asciiTheme="majorHAnsi" w:hAnsiTheme="majorHAnsi"/>
        </w:rPr>
        <w:t xml:space="preserve">The shift between </w:t>
      </w:r>
      <w:r w:rsidR="000154F2">
        <w:rPr>
          <w:rFonts w:asciiTheme="majorHAnsi" w:hAnsiTheme="majorHAnsi"/>
        </w:rPr>
        <w:t>Y</w:t>
      </w:r>
      <w:r w:rsidR="00170CAF">
        <w:rPr>
          <w:rFonts w:asciiTheme="majorHAnsi" w:hAnsiTheme="majorHAnsi"/>
        </w:rPr>
        <w:t>ear</w:t>
      </w:r>
      <w:r w:rsidR="0024248C">
        <w:rPr>
          <w:rFonts w:asciiTheme="majorHAnsi" w:hAnsiTheme="majorHAnsi"/>
        </w:rPr>
        <w:t xml:space="preserve"> </w:t>
      </w:r>
      <w:r w:rsidR="000154F2">
        <w:rPr>
          <w:rFonts w:asciiTheme="majorHAnsi" w:hAnsiTheme="majorHAnsi"/>
        </w:rPr>
        <w:t>O</w:t>
      </w:r>
      <w:r w:rsidR="0024248C">
        <w:rPr>
          <w:rFonts w:asciiTheme="majorHAnsi" w:hAnsiTheme="majorHAnsi"/>
        </w:rPr>
        <w:t xml:space="preserve">ne and </w:t>
      </w:r>
      <w:r w:rsidR="000154F2">
        <w:rPr>
          <w:rFonts w:asciiTheme="majorHAnsi" w:hAnsiTheme="majorHAnsi"/>
        </w:rPr>
        <w:t>Year T</w:t>
      </w:r>
      <w:r w:rsidR="0024248C">
        <w:rPr>
          <w:rFonts w:asciiTheme="majorHAnsi" w:hAnsiTheme="majorHAnsi"/>
        </w:rPr>
        <w:t xml:space="preserve">wo </w:t>
      </w:r>
      <w:r w:rsidR="000154F2">
        <w:rPr>
          <w:rFonts w:asciiTheme="majorHAnsi" w:hAnsiTheme="majorHAnsi"/>
        </w:rPr>
        <w:t xml:space="preserve">of NPHII </w:t>
      </w:r>
      <w:r w:rsidR="0024248C">
        <w:rPr>
          <w:rFonts w:asciiTheme="majorHAnsi" w:hAnsiTheme="majorHAnsi"/>
        </w:rPr>
        <w:t>to</w:t>
      </w:r>
      <w:r w:rsidR="000154F2">
        <w:rPr>
          <w:rFonts w:asciiTheme="majorHAnsi" w:hAnsiTheme="majorHAnsi"/>
        </w:rPr>
        <w:t>wards</w:t>
      </w:r>
      <w:r w:rsidR="0024248C">
        <w:rPr>
          <w:rFonts w:asciiTheme="majorHAnsi" w:hAnsiTheme="majorHAnsi"/>
        </w:rPr>
        <w:t xml:space="preserve"> a greater emphasis on accreditation readiness, performance management, and quality improvement as mechanisms to achieve greater efficiency and effectiveness of services and programs is reflective of the launch </w:t>
      </w:r>
      <w:r w:rsidR="0003719B">
        <w:rPr>
          <w:rFonts w:asciiTheme="majorHAnsi" w:hAnsiTheme="majorHAnsi"/>
        </w:rPr>
        <w:t>of a voluntary national public health accreditation program i</w:t>
      </w:r>
      <w:r w:rsidR="007D315B">
        <w:rPr>
          <w:rFonts w:asciiTheme="majorHAnsi" w:hAnsiTheme="majorHAnsi"/>
        </w:rPr>
        <w:t>n 2011</w:t>
      </w:r>
      <w:r w:rsidR="0003719B">
        <w:rPr>
          <w:rFonts w:asciiTheme="majorHAnsi" w:hAnsiTheme="majorHAnsi"/>
        </w:rPr>
        <w:t xml:space="preserve"> by</w:t>
      </w:r>
      <w:r w:rsidR="007D315B">
        <w:rPr>
          <w:rFonts w:asciiTheme="majorHAnsi" w:hAnsiTheme="majorHAnsi"/>
        </w:rPr>
        <w:t xml:space="preserve"> the Public Health Accreditation Board (PHAB) </w:t>
      </w:r>
      <w:r w:rsidR="008005C2" w:rsidRPr="002934B3">
        <w:rPr>
          <w:rFonts w:asciiTheme="majorHAnsi" w:hAnsiTheme="majorHAnsi"/>
          <w:b/>
        </w:rPr>
        <w:t>(</w:t>
      </w:r>
      <w:r w:rsidR="008005C2">
        <w:rPr>
          <w:rFonts w:asciiTheme="majorHAnsi" w:hAnsiTheme="majorHAnsi"/>
          <w:b/>
        </w:rPr>
        <w:t>Attachment E –</w:t>
      </w:r>
      <w:r w:rsidR="006A67E6">
        <w:rPr>
          <w:rFonts w:asciiTheme="majorHAnsi" w:hAnsiTheme="majorHAnsi"/>
          <w:b/>
        </w:rPr>
        <w:t xml:space="preserve"> PHAB Standards and Measures</w:t>
      </w:r>
      <w:r w:rsidR="006A67E6" w:rsidRPr="002934B3">
        <w:rPr>
          <w:rFonts w:asciiTheme="majorHAnsi" w:hAnsiTheme="majorHAnsi"/>
          <w:b/>
        </w:rPr>
        <w:t>)</w:t>
      </w:r>
      <w:r w:rsidR="008005C2">
        <w:rPr>
          <w:rFonts w:asciiTheme="majorHAnsi" w:hAnsiTheme="majorHAnsi"/>
          <w:b/>
        </w:rPr>
        <w:t xml:space="preserve"> </w:t>
      </w:r>
      <w:r w:rsidR="0003719B">
        <w:rPr>
          <w:rFonts w:asciiTheme="majorHAnsi" w:hAnsiTheme="majorHAnsi"/>
        </w:rPr>
        <w:t xml:space="preserve">and an increased understanding of the benefits of </w:t>
      </w:r>
      <w:r w:rsidR="007F0899">
        <w:rPr>
          <w:rFonts w:asciiTheme="majorHAnsi" w:hAnsiTheme="majorHAnsi"/>
        </w:rPr>
        <w:t xml:space="preserve">quality improvement on the efficiency and effectiveness of </w:t>
      </w:r>
      <w:r w:rsidR="00890256">
        <w:rPr>
          <w:rFonts w:asciiTheme="majorHAnsi" w:hAnsiTheme="majorHAnsi"/>
        </w:rPr>
        <w:t xml:space="preserve">STLTs’ </w:t>
      </w:r>
      <w:r w:rsidR="007F0899">
        <w:rPr>
          <w:rFonts w:asciiTheme="majorHAnsi" w:hAnsiTheme="majorHAnsi"/>
        </w:rPr>
        <w:t>daily operations</w:t>
      </w:r>
      <w:r w:rsidR="0024248C">
        <w:rPr>
          <w:rFonts w:asciiTheme="majorHAnsi" w:hAnsiTheme="majorHAnsi"/>
        </w:rPr>
        <w:t xml:space="preserve">. </w:t>
      </w:r>
      <w:r w:rsidR="00170CAF">
        <w:rPr>
          <w:rFonts w:asciiTheme="majorHAnsi" w:hAnsiTheme="majorHAnsi"/>
        </w:rPr>
        <w:t xml:space="preserve">Years 2 </w:t>
      </w:r>
      <w:r w:rsidR="00CA1B22">
        <w:rPr>
          <w:rFonts w:asciiTheme="majorHAnsi" w:hAnsiTheme="majorHAnsi"/>
        </w:rPr>
        <w:t xml:space="preserve">and </w:t>
      </w:r>
      <w:r w:rsidR="00170CAF">
        <w:rPr>
          <w:rFonts w:asciiTheme="majorHAnsi" w:hAnsiTheme="majorHAnsi"/>
        </w:rPr>
        <w:t>3</w:t>
      </w:r>
      <w:r w:rsidR="00CA1B22">
        <w:rPr>
          <w:rFonts w:asciiTheme="majorHAnsi" w:hAnsiTheme="majorHAnsi"/>
        </w:rPr>
        <w:t xml:space="preserve"> Continuation Guidance </w:t>
      </w:r>
      <w:r w:rsidR="0024248C">
        <w:rPr>
          <w:rFonts w:asciiTheme="majorHAnsi" w:hAnsiTheme="majorHAnsi"/>
        </w:rPr>
        <w:t xml:space="preserve">documents </w:t>
      </w:r>
      <w:r w:rsidR="00CA1B22">
        <w:rPr>
          <w:rFonts w:asciiTheme="majorHAnsi" w:hAnsiTheme="majorHAnsi"/>
        </w:rPr>
        <w:t xml:space="preserve">for NPHII </w:t>
      </w:r>
      <w:r w:rsidR="00CA1B22" w:rsidRPr="002934B3">
        <w:rPr>
          <w:rFonts w:asciiTheme="majorHAnsi" w:hAnsiTheme="majorHAnsi"/>
          <w:b/>
        </w:rPr>
        <w:t>(</w:t>
      </w:r>
      <w:r w:rsidR="00CA1B22" w:rsidRPr="006D1D4E">
        <w:rPr>
          <w:rFonts w:asciiTheme="majorHAnsi" w:hAnsiTheme="majorHAnsi"/>
          <w:b/>
        </w:rPr>
        <w:t>Attachment</w:t>
      </w:r>
      <w:r w:rsidR="00F863F9" w:rsidRPr="006D1D4E">
        <w:rPr>
          <w:rFonts w:asciiTheme="majorHAnsi" w:hAnsiTheme="majorHAnsi"/>
          <w:b/>
        </w:rPr>
        <w:t>s</w:t>
      </w:r>
      <w:r w:rsidR="00CA1B22" w:rsidRPr="006D1D4E">
        <w:rPr>
          <w:rFonts w:asciiTheme="majorHAnsi" w:hAnsiTheme="majorHAnsi"/>
          <w:b/>
        </w:rPr>
        <w:t xml:space="preserve"> </w:t>
      </w:r>
      <w:r w:rsidR="006D1D4E">
        <w:rPr>
          <w:rFonts w:asciiTheme="majorHAnsi" w:hAnsiTheme="majorHAnsi"/>
          <w:b/>
        </w:rPr>
        <w:t>C</w:t>
      </w:r>
      <w:r w:rsidR="008005C2">
        <w:rPr>
          <w:rFonts w:asciiTheme="majorHAnsi" w:hAnsiTheme="majorHAnsi"/>
          <w:b/>
        </w:rPr>
        <w:t xml:space="preserve"> </w:t>
      </w:r>
      <w:r w:rsidR="006D1D4E">
        <w:rPr>
          <w:rFonts w:asciiTheme="majorHAnsi" w:hAnsiTheme="majorHAnsi"/>
          <w:b/>
        </w:rPr>
        <w:t>&amp;</w:t>
      </w:r>
      <w:r w:rsidR="008005C2">
        <w:rPr>
          <w:rFonts w:asciiTheme="majorHAnsi" w:hAnsiTheme="majorHAnsi"/>
          <w:b/>
        </w:rPr>
        <w:t xml:space="preserve"> </w:t>
      </w:r>
      <w:r w:rsidR="006D1D4E">
        <w:rPr>
          <w:rFonts w:asciiTheme="majorHAnsi" w:hAnsiTheme="majorHAnsi"/>
          <w:b/>
        </w:rPr>
        <w:t>D</w:t>
      </w:r>
      <w:r w:rsidR="00890256" w:rsidRPr="002934B3">
        <w:rPr>
          <w:rFonts w:asciiTheme="majorHAnsi" w:hAnsiTheme="majorHAnsi"/>
          <w:b/>
        </w:rPr>
        <w:t>)</w:t>
      </w:r>
      <w:r w:rsidR="00CA1B22">
        <w:rPr>
          <w:rFonts w:asciiTheme="majorHAnsi" w:hAnsiTheme="majorHAnsi"/>
        </w:rPr>
        <w:t xml:space="preserve"> </w:t>
      </w:r>
      <w:r w:rsidR="000154F2">
        <w:rPr>
          <w:rFonts w:asciiTheme="majorHAnsi" w:hAnsiTheme="majorHAnsi"/>
        </w:rPr>
        <w:t>re</w:t>
      </w:r>
      <w:r w:rsidR="006C033B">
        <w:rPr>
          <w:rFonts w:asciiTheme="majorHAnsi" w:hAnsiTheme="majorHAnsi"/>
        </w:rPr>
        <w:t>flect this refinement in their</w:t>
      </w:r>
      <w:r w:rsidR="000154F2">
        <w:rPr>
          <w:rFonts w:asciiTheme="majorHAnsi" w:hAnsiTheme="majorHAnsi"/>
        </w:rPr>
        <w:t xml:space="preserve"> </w:t>
      </w:r>
      <w:r w:rsidR="00CA1B22">
        <w:rPr>
          <w:rFonts w:asciiTheme="majorHAnsi" w:hAnsiTheme="majorHAnsi"/>
        </w:rPr>
        <w:t>primary objectives:</w:t>
      </w:r>
      <w:r w:rsidR="007F0899">
        <w:rPr>
          <w:rFonts w:asciiTheme="majorHAnsi" w:hAnsiTheme="majorHAnsi"/>
        </w:rPr>
        <w:t xml:space="preserve">          </w:t>
      </w:r>
      <w:r w:rsidR="00E03280">
        <w:rPr>
          <w:rFonts w:asciiTheme="majorHAnsi" w:hAnsiTheme="majorHAnsi"/>
        </w:rPr>
        <w:t xml:space="preserve">        </w:t>
      </w:r>
      <w:r w:rsidR="007D315B">
        <w:rPr>
          <w:rFonts w:asciiTheme="majorHAnsi" w:hAnsiTheme="majorHAnsi"/>
        </w:rPr>
        <w:t xml:space="preserve">    </w:t>
      </w:r>
      <w:r w:rsidR="00767C5F">
        <w:rPr>
          <w:rFonts w:asciiTheme="majorHAnsi" w:hAnsiTheme="majorHAnsi"/>
        </w:rPr>
        <w:t xml:space="preserve"> </w:t>
      </w:r>
    </w:p>
    <w:p w:rsidR="00927018" w:rsidRDefault="00062428" w:rsidP="00C72706">
      <w:pPr>
        <w:pStyle w:val="ListParagraph"/>
        <w:numPr>
          <w:ilvl w:val="0"/>
          <w:numId w:val="28"/>
        </w:numPr>
        <w:spacing w:after="0"/>
        <w:rPr>
          <w:rFonts w:asciiTheme="majorHAnsi" w:hAnsiTheme="majorHAnsi"/>
        </w:rPr>
      </w:pPr>
      <w:r>
        <w:rPr>
          <w:rFonts w:asciiTheme="majorHAnsi" w:hAnsiTheme="majorHAnsi"/>
        </w:rPr>
        <w:t>Increase STLT</w:t>
      </w:r>
      <w:r w:rsidR="007F0899">
        <w:rPr>
          <w:rFonts w:asciiTheme="majorHAnsi" w:hAnsiTheme="majorHAnsi"/>
        </w:rPr>
        <w:t xml:space="preserve">s’ </w:t>
      </w:r>
      <w:r>
        <w:rPr>
          <w:rFonts w:asciiTheme="majorHAnsi" w:hAnsiTheme="majorHAnsi"/>
        </w:rPr>
        <w:t xml:space="preserve">readiness to achieve </w:t>
      </w:r>
      <w:r w:rsidR="00EE586B">
        <w:rPr>
          <w:rFonts w:asciiTheme="majorHAnsi" w:hAnsiTheme="majorHAnsi"/>
        </w:rPr>
        <w:t xml:space="preserve">voluntary </w:t>
      </w:r>
      <w:r>
        <w:rPr>
          <w:rFonts w:asciiTheme="majorHAnsi" w:hAnsiTheme="majorHAnsi"/>
        </w:rPr>
        <w:t xml:space="preserve">public health accreditation through the </w:t>
      </w:r>
      <w:r w:rsidR="00EE586B">
        <w:rPr>
          <w:rFonts w:asciiTheme="majorHAnsi" w:hAnsiTheme="majorHAnsi"/>
        </w:rPr>
        <w:t>PHAB</w:t>
      </w:r>
    </w:p>
    <w:p w:rsidR="007B74EE" w:rsidRPr="00927018" w:rsidRDefault="007B74EE" w:rsidP="00C72706">
      <w:pPr>
        <w:pStyle w:val="ListParagraph"/>
        <w:numPr>
          <w:ilvl w:val="0"/>
          <w:numId w:val="28"/>
        </w:numPr>
        <w:spacing w:after="0"/>
        <w:rPr>
          <w:rFonts w:asciiTheme="majorHAnsi" w:hAnsiTheme="majorHAnsi"/>
        </w:rPr>
      </w:pPr>
      <w:r w:rsidRPr="00927018">
        <w:rPr>
          <w:rFonts w:asciiTheme="majorHAnsi" w:hAnsiTheme="majorHAnsi"/>
        </w:rPr>
        <w:t>Improve STLT health agencies’ ability to more efficiently and effectively implement programs and deliver services</w:t>
      </w:r>
      <w:r w:rsidR="00EC0C94" w:rsidRPr="00927018">
        <w:rPr>
          <w:rFonts w:asciiTheme="majorHAnsi" w:hAnsiTheme="majorHAnsi"/>
        </w:rPr>
        <w:t xml:space="preserve"> through implementation of performance management and quality improvement activities</w:t>
      </w:r>
    </w:p>
    <w:p w:rsidR="00346E66" w:rsidRDefault="00346E66" w:rsidP="00927018">
      <w:pPr>
        <w:spacing w:after="0"/>
        <w:ind w:left="720"/>
        <w:rPr>
          <w:rFonts w:asciiTheme="majorHAnsi" w:hAnsiTheme="majorHAnsi"/>
        </w:rPr>
      </w:pPr>
    </w:p>
    <w:p w:rsidR="00F50C9E" w:rsidRPr="00666392" w:rsidRDefault="00CA1B22" w:rsidP="00563552">
      <w:pPr>
        <w:ind w:left="720"/>
        <w:rPr>
          <w:rFonts w:asciiTheme="majorHAnsi" w:hAnsiTheme="majorHAnsi" w:cstheme="minorHAnsi"/>
        </w:rPr>
      </w:pPr>
      <w:r>
        <w:rPr>
          <w:rFonts w:asciiTheme="majorHAnsi" w:hAnsiTheme="majorHAnsi"/>
        </w:rPr>
        <w:t xml:space="preserve">To </w:t>
      </w:r>
      <w:r w:rsidR="003905C3">
        <w:rPr>
          <w:rFonts w:asciiTheme="majorHAnsi" w:hAnsiTheme="majorHAnsi"/>
        </w:rPr>
        <w:t xml:space="preserve">evaluate </w:t>
      </w:r>
      <w:r>
        <w:rPr>
          <w:rFonts w:asciiTheme="majorHAnsi" w:hAnsiTheme="majorHAnsi"/>
        </w:rPr>
        <w:t>progress</w:t>
      </w:r>
      <w:r w:rsidR="003905C3">
        <w:rPr>
          <w:rFonts w:asciiTheme="majorHAnsi" w:hAnsiTheme="majorHAnsi"/>
        </w:rPr>
        <w:t xml:space="preserve"> made towards intended outcomes of NPHII</w:t>
      </w:r>
      <w:r>
        <w:rPr>
          <w:rFonts w:asciiTheme="majorHAnsi" w:hAnsiTheme="majorHAnsi"/>
        </w:rPr>
        <w:t xml:space="preserve">, </w:t>
      </w:r>
      <w:r w:rsidR="006C6CFA">
        <w:rPr>
          <w:rFonts w:asciiTheme="majorHAnsi" w:hAnsiTheme="majorHAnsi" w:cstheme="minorHAnsi"/>
        </w:rPr>
        <w:t>CDC funded the</w:t>
      </w:r>
      <w:r w:rsidR="00E056F2" w:rsidRPr="00666392">
        <w:rPr>
          <w:rFonts w:asciiTheme="majorHAnsi" w:hAnsiTheme="majorHAnsi" w:cstheme="minorHAnsi"/>
        </w:rPr>
        <w:t xml:space="preserve"> National Network of Public Health Institutes (NNPHI) </w:t>
      </w:r>
      <w:r w:rsidR="006C6CFA">
        <w:rPr>
          <w:rFonts w:asciiTheme="majorHAnsi" w:hAnsiTheme="majorHAnsi" w:cstheme="minorHAnsi"/>
        </w:rPr>
        <w:t>through a Cooperative Agreement to</w:t>
      </w:r>
      <w:r w:rsidR="006C6CFA" w:rsidRPr="00666392">
        <w:rPr>
          <w:rFonts w:asciiTheme="majorHAnsi" w:hAnsiTheme="majorHAnsi" w:cstheme="minorHAnsi"/>
        </w:rPr>
        <w:t xml:space="preserve"> </w:t>
      </w:r>
      <w:r w:rsidR="00E056F2" w:rsidRPr="00666392">
        <w:rPr>
          <w:rFonts w:asciiTheme="majorHAnsi" w:hAnsiTheme="majorHAnsi" w:cstheme="minorHAnsi"/>
        </w:rPr>
        <w:t>collaborat</w:t>
      </w:r>
      <w:r w:rsidR="006C6CFA">
        <w:rPr>
          <w:rFonts w:asciiTheme="majorHAnsi" w:hAnsiTheme="majorHAnsi" w:cstheme="minorHAnsi"/>
        </w:rPr>
        <w:t xml:space="preserve">e </w:t>
      </w:r>
      <w:r w:rsidR="00E056F2" w:rsidRPr="00666392">
        <w:rPr>
          <w:rFonts w:asciiTheme="majorHAnsi" w:hAnsiTheme="majorHAnsi" w:cstheme="minorHAnsi"/>
        </w:rPr>
        <w:t xml:space="preserve">with CDC </w:t>
      </w:r>
      <w:r w:rsidR="006C6CFA">
        <w:rPr>
          <w:rFonts w:asciiTheme="majorHAnsi" w:hAnsiTheme="majorHAnsi" w:cstheme="minorHAnsi"/>
        </w:rPr>
        <w:t xml:space="preserve">to </w:t>
      </w:r>
      <w:r w:rsidR="006C6CFA" w:rsidRPr="00666392">
        <w:rPr>
          <w:rFonts w:asciiTheme="majorHAnsi" w:hAnsiTheme="majorHAnsi" w:cstheme="minorHAnsi"/>
        </w:rPr>
        <w:t>implemen</w:t>
      </w:r>
      <w:r w:rsidR="006C6CFA">
        <w:rPr>
          <w:rFonts w:asciiTheme="majorHAnsi" w:hAnsiTheme="majorHAnsi" w:cstheme="minorHAnsi"/>
        </w:rPr>
        <w:t>t</w:t>
      </w:r>
      <w:r w:rsidR="006C6CFA" w:rsidRPr="00666392">
        <w:rPr>
          <w:rFonts w:asciiTheme="majorHAnsi" w:hAnsiTheme="majorHAnsi" w:cstheme="minorHAnsi"/>
        </w:rPr>
        <w:t xml:space="preserve"> </w:t>
      </w:r>
      <w:r w:rsidR="006C6CFA">
        <w:rPr>
          <w:rFonts w:asciiTheme="majorHAnsi" w:hAnsiTheme="majorHAnsi" w:cstheme="minorHAnsi"/>
        </w:rPr>
        <w:t>a formative</w:t>
      </w:r>
      <w:r w:rsidR="006C6CFA" w:rsidRPr="00666392">
        <w:rPr>
          <w:rFonts w:asciiTheme="majorHAnsi" w:hAnsiTheme="majorHAnsi" w:cstheme="minorHAnsi"/>
        </w:rPr>
        <w:t xml:space="preserve"> </w:t>
      </w:r>
      <w:r w:rsidR="00E056F2" w:rsidRPr="00666392">
        <w:rPr>
          <w:rFonts w:asciiTheme="majorHAnsi" w:hAnsiTheme="majorHAnsi" w:cstheme="minorHAnsi"/>
        </w:rPr>
        <w:t>evaluation</w:t>
      </w:r>
      <w:r w:rsidR="006C6CFA">
        <w:rPr>
          <w:rFonts w:asciiTheme="majorHAnsi" w:hAnsiTheme="majorHAnsi" w:cstheme="minorHAnsi"/>
        </w:rPr>
        <w:t xml:space="preserve"> of NPHII</w:t>
      </w:r>
      <w:r w:rsidR="007F0049">
        <w:rPr>
          <w:rFonts w:asciiTheme="majorHAnsi" w:hAnsiTheme="majorHAnsi" w:cstheme="minorHAnsi"/>
        </w:rPr>
        <w:t xml:space="preserve">.  As the </w:t>
      </w:r>
      <w:r w:rsidR="002543EA">
        <w:rPr>
          <w:rFonts w:asciiTheme="majorHAnsi" w:hAnsiTheme="majorHAnsi" w:cstheme="minorHAnsi"/>
        </w:rPr>
        <w:t xml:space="preserve">concentration of the </w:t>
      </w:r>
      <w:r w:rsidR="007F0049">
        <w:rPr>
          <w:rFonts w:asciiTheme="majorHAnsi" w:hAnsiTheme="majorHAnsi" w:cstheme="minorHAnsi"/>
        </w:rPr>
        <w:t xml:space="preserve">NPHII program </w:t>
      </w:r>
      <w:r w:rsidR="00AE3C63">
        <w:rPr>
          <w:rFonts w:asciiTheme="majorHAnsi" w:hAnsiTheme="majorHAnsi" w:cstheme="minorHAnsi"/>
        </w:rPr>
        <w:t>was clarified</w:t>
      </w:r>
      <w:r w:rsidR="00295050">
        <w:rPr>
          <w:rFonts w:asciiTheme="majorHAnsi" w:hAnsiTheme="majorHAnsi" w:cstheme="minorHAnsi"/>
        </w:rPr>
        <w:t xml:space="preserve"> </w:t>
      </w:r>
      <w:r w:rsidR="007F0049">
        <w:rPr>
          <w:rFonts w:asciiTheme="majorHAnsi" w:hAnsiTheme="majorHAnsi" w:cstheme="minorHAnsi"/>
        </w:rPr>
        <w:t>in Year</w:t>
      </w:r>
      <w:r w:rsidR="00AE3C63">
        <w:rPr>
          <w:rFonts w:asciiTheme="majorHAnsi" w:hAnsiTheme="majorHAnsi" w:cstheme="minorHAnsi"/>
        </w:rPr>
        <w:t>s</w:t>
      </w:r>
      <w:r w:rsidR="00170CAF">
        <w:rPr>
          <w:rFonts w:asciiTheme="majorHAnsi" w:hAnsiTheme="majorHAnsi" w:cstheme="minorHAnsi"/>
        </w:rPr>
        <w:t xml:space="preserve"> 2</w:t>
      </w:r>
      <w:r w:rsidR="007F0049">
        <w:rPr>
          <w:rFonts w:asciiTheme="majorHAnsi" w:hAnsiTheme="majorHAnsi" w:cstheme="minorHAnsi"/>
        </w:rPr>
        <w:t xml:space="preserve"> and </w:t>
      </w:r>
      <w:r w:rsidR="00170CAF">
        <w:rPr>
          <w:rFonts w:asciiTheme="majorHAnsi" w:hAnsiTheme="majorHAnsi" w:cstheme="minorHAnsi"/>
        </w:rPr>
        <w:t xml:space="preserve">3 </w:t>
      </w:r>
      <w:r w:rsidR="003905C3">
        <w:rPr>
          <w:rFonts w:asciiTheme="majorHAnsi" w:hAnsiTheme="majorHAnsi" w:cstheme="minorHAnsi"/>
        </w:rPr>
        <w:t>per the description above,</w:t>
      </w:r>
      <w:r w:rsidR="007F0049">
        <w:rPr>
          <w:rFonts w:asciiTheme="majorHAnsi" w:hAnsiTheme="majorHAnsi" w:cstheme="minorHAnsi"/>
        </w:rPr>
        <w:t xml:space="preserve"> the evaluation </w:t>
      </w:r>
      <w:r w:rsidR="00AE3C63">
        <w:rPr>
          <w:rFonts w:asciiTheme="majorHAnsi" w:hAnsiTheme="majorHAnsi" w:cstheme="minorHAnsi"/>
        </w:rPr>
        <w:t xml:space="preserve">questions and approaches </w:t>
      </w:r>
      <w:r w:rsidR="003905C3">
        <w:rPr>
          <w:rFonts w:asciiTheme="majorHAnsi" w:hAnsiTheme="majorHAnsi" w:cstheme="minorHAnsi"/>
        </w:rPr>
        <w:t xml:space="preserve">were also </w:t>
      </w:r>
      <w:r w:rsidR="007F0049">
        <w:rPr>
          <w:rFonts w:asciiTheme="majorHAnsi" w:hAnsiTheme="majorHAnsi" w:cstheme="minorHAnsi"/>
        </w:rPr>
        <w:t xml:space="preserve">refined to reflect the </w:t>
      </w:r>
      <w:r w:rsidR="00B43179">
        <w:rPr>
          <w:rFonts w:asciiTheme="majorHAnsi" w:hAnsiTheme="majorHAnsi" w:cstheme="minorHAnsi"/>
        </w:rPr>
        <w:t>more specific</w:t>
      </w:r>
      <w:r w:rsidR="007F0049">
        <w:rPr>
          <w:rFonts w:asciiTheme="majorHAnsi" w:hAnsiTheme="majorHAnsi" w:cstheme="minorHAnsi"/>
        </w:rPr>
        <w:t xml:space="preserve"> focus and requirements of the NPHII </w:t>
      </w:r>
      <w:r w:rsidR="00E07543">
        <w:rPr>
          <w:rFonts w:asciiTheme="majorHAnsi" w:hAnsiTheme="majorHAnsi" w:cstheme="minorHAnsi"/>
        </w:rPr>
        <w:t>program</w:t>
      </w:r>
      <w:r w:rsidR="007F0049">
        <w:rPr>
          <w:rFonts w:asciiTheme="majorHAnsi" w:hAnsiTheme="majorHAnsi" w:cstheme="minorHAnsi"/>
        </w:rPr>
        <w:t xml:space="preserve">.  NNPHI worked with their expert consultants and CDC to revise the NPHII logic model </w:t>
      </w:r>
      <w:r w:rsidR="005B329A" w:rsidRPr="002934B3">
        <w:rPr>
          <w:rFonts w:asciiTheme="majorHAnsi" w:hAnsiTheme="majorHAnsi" w:cstheme="minorHAnsi"/>
          <w:b/>
        </w:rPr>
        <w:t>(</w:t>
      </w:r>
      <w:r w:rsidR="00F863F9" w:rsidRPr="008D1098">
        <w:rPr>
          <w:rFonts w:asciiTheme="majorHAnsi" w:hAnsiTheme="majorHAnsi" w:cstheme="minorHAnsi"/>
          <w:b/>
        </w:rPr>
        <w:t xml:space="preserve">Attachment </w:t>
      </w:r>
      <w:r w:rsidR="008005C2">
        <w:rPr>
          <w:rFonts w:asciiTheme="majorHAnsi" w:hAnsiTheme="majorHAnsi" w:cstheme="minorHAnsi"/>
          <w:b/>
        </w:rPr>
        <w:t>F</w:t>
      </w:r>
      <w:r w:rsidR="008D1098">
        <w:rPr>
          <w:rFonts w:asciiTheme="majorHAnsi" w:hAnsiTheme="majorHAnsi" w:cstheme="minorHAnsi"/>
          <w:b/>
        </w:rPr>
        <w:t xml:space="preserve"> – Logic Model for NPHII Evaluation</w:t>
      </w:r>
      <w:r w:rsidR="005B329A" w:rsidRPr="002934B3">
        <w:rPr>
          <w:rFonts w:asciiTheme="majorHAnsi" w:hAnsiTheme="majorHAnsi" w:cstheme="minorHAnsi"/>
          <w:b/>
        </w:rPr>
        <w:t>)</w:t>
      </w:r>
      <w:r w:rsidR="005B329A">
        <w:rPr>
          <w:rFonts w:asciiTheme="majorHAnsi" w:hAnsiTheme="majorHAnsi" w:cstheme="minorHAnsi"/>
        </w:rPr>
        <w:t xml:space="preserve"> and evaluation questions </w:t>
      </w:r>
      <w:r w:rsidR="005B329A" w:rsidRPr="002934B3">
        <w:rPr>
          <w:rFonts w:asciiTheme="majorHAnsi" w:hAnsiTheme="majorHAnsi" w:cstheme="minorHAnsi"/>
          <w:b/>
        </w:rPr>
        <w:t>(</w:t>
      </w:r>
      <w:r w:rsidR="00F863F9" w:rsidRPr="008D1098">
        <w:rPr>
          <w:rFonts w:asciiTheme="majorHAnsi" w:hAnsiTheme="majorHAnsi" w:cstheme="minorHAnsi"/>
          <w:b/>
        </w:rPr>
        <w:t xml:space="preserve">Attachment </w:t>
      </w:r>
      <w:r w:rsidR="008005C2">
        <w:rPr>
          <w:rFonts w:asciiTheme="majorHAnsi" w:hAnsiTheme="majorHAnsi" w:cstheme="minorHAnsi"/>
          <w:b/>
        </w:rPr>
        <w:t>G</w:t>
      </w:r>
      <w:r w:rsidR="008D1098">
        <w:rPr>
          <w:rFonts w:asciiTheme="majorHAnsi" w:hAnsiTheme="majorHAnsi" w:cstheme="minorHAnsi"/>
          <w:b/>
        </w:rPr>
        <w:t xml:space="preserve"> – NPHII Evaluation Questions</w:t>
      </w:r>
      <w:r w:rsidR="005B329A" w:rsidRPr="002934B3">
        <w:rPr>
          <w:rFonts w:asciiTheme="majorHAnsi" w:hAnsiTheme="majorHAnsi" w:cstheme="minorHAnsi"/>
          <w:b/>
        </w:rPr>
        <w:t>)</w:t>
      </w:r>
      <w:r w:rsidR="005B329A">
        <w:rPr>
          <w:rFonts w:asciiTheme="majorHAnsi" w:hAnsiTheme="majorHAnsi" w:cstheme="minorHAnsi"/>
        </w:rPr>
        <w:t xml:space="preserve"> </w:t>
      </w:r>
      <w:r w:rsidR="00E056F2" w:rsidRPr="00666392">
        <w:rPr>
          <w:rFonts w:asciiTheme="majorHAnsi" w:hAnsiTheme="majorHAnsi" w:cstheme="minorHAnsi"/>
        </w:rPr>
        <w:t xml:space="preserve">to examine the NPHII investment and its </w:t>
      </w:r>
      <w:r w:rsidR="00E056F2" w:rsidRPr="00927018">
        <w:rPr>
          <w:rFonts w:asciiTheme="majorHAnsi" w:hAnsiTheme="majorHAnsi" w:cstheme="minorHAnsi"/>
        </w:rPr>
        <w:t>initial</w:t>
      </w:r>
      <w:r w:rsidR="00E056F2" w:rsidRPr="00666392">
        <w:rPr>
          <w:rFonts w:asciiTheme="majorHAnsi" w:hAnsiTheme="majorHAnsi" w:cstheme="minorHAnsi"/>
        </w:rPr>
        <w:t xml:space="preserve"> impact on</w:t>
      </w:r>
      <w:r w:rsidR="00EE586B">
        <w:rPr>
          <w:rFonts w:asciiTheme="majorHAnsi" w:hAnsiTheme="majorHAnsi" w:cstheme="minorHAnsi"/>
        </w:rPr>
        <w:t>:</w:t>
      </w:r>
    </w:p>
    <w:p w:rsidR="00E056F2" w:rsidRPr="00666392" w:rsidRDefault="00E056F2" w:rsidP="00E056F2">
      <w:pPr>
        <w:pStyle w:val="ListParagraph"/>
        <w:numPr>
          <w:ilvl w:val="0"/>
          <w:numId w:val="23"/>
        </w:numPr>
        <w:spacing w:after="0"/>
        <w:rPr>
          <w:rFonts w:asciiTheme="majorHAnsi" w:hAnsiTheme="majorHAnsi"/>
        </w:rPr>
      </w:pPr>
      <w:r w:rsidRPr="00666392">
        <w:rPr>
          <w:rFonts w:asciiTheme="majorHAnsi" w:hAnsiTheme="majorHAnsi"/>
        </w:rPr>
        <w:t xml:space="preserve">Efficiency and </w:t>
      </w:r>
      <w:r w:rsidR="00EE586B">
        <w:rPr>
          <w:rFonts w:asciiTheme="majorHAnsi" w:hAnsiTheme="majorHAnsi"/>
        </w:rPr>
        <w:t>e</w:t>
      </w:r>
      <w:r w:rsidRPr="00666392">
        <w:rPr>
          <w:rFonts w:asciiTheme="majorHAnsi" w:hAnsiTheme="majorHAnsi"/>
        </w:rPr>
        <w:t>ffectiveness</w:t>
      </w:r>
      <w:r w:rsidR="00A01F8E">
        <w:rPr>
          <w:rFonts w:asciiTheme="majorHAnsi" w:hAnsiTheme="majorHAnsi"/>
        </w:rPr>
        <w:t xml:space="preserve"> of processes, services, and/or programs</w:t>
      </w:r>
    </w:p>
    <w:p w:rsidR="00E056F2" w:rsidRPr="00666392" w:rsidRDefault="00E056F2" w:rsidP="00E056F2">
      <w:pPr>
        <w:pStyle w:val="ListParagraph"/>
        <w:numPr>
          <w:ilvl w:val="0"/>
          <w:numId w:val="23"/>
        </w:numPr>
        <w:spacing w:after="0"/>
        <w:contextualSpacing w:val="0"/>
        <w:rPr>
          <w:rFonts w:asciiTheme="majorHAnsi" w:hAnsiTheme="majorHAnsi"/>
        </w:rPr>
      </w:pPr>
      <w:r w:rsidRPr="00666392">
        <w:rPr>
          <w:rFonts w:asciiTheme="majorHAnsi" w:hAnsiTheme="majorHAnsi"/>
        </w:rPr>
        <w:t xml:space="preserve">Organizational </w:t>
      </w:r>
      <w:r w:rsidR="00EE586B">
        <w:rPr>
          <w:rFonts w:asciiTheme="majorHAnsi" w:hAnsiTheme="majorHAnsi"/>
        </w:rPr>
        <w:t>f</w:t>
      </w:r>
      <w:r w:rsidRPr="00666392">
        <w:rPr>
          <w:rFonts w:asciiTheme="majorHAnsi" w:hAnsiTheme="majorHAnsi"/>
        </w:rPr>
        <w:t>oundation</w:t>
      </w:r>
      <w:r w:rsidR="004D2A2F">
        <w:rPr>
          <w:rFonts w:asciiTheme="majorHAnsi" w:hAnsiTheme="majorHAnsi"/>
        </w:rPr>
        <w:t xml:space="preserve">, </w:t>
      </w:r>
      <w:r w:rsidR="003905C3">
        <w:rPr>
          <w:rFonts w:asciiTheme="majorHAnsi" w:hAnsiTheme="majorHAnsi"/>
        </w:rPr>
        <w:t xml:space="preserve">including </w:t>
      </w:r>
      <w:r w:rsidR="004D2A2F">
        <w:rPr>
          <w:rFonts w:asciiTheme="majorHAnsi" w:hAnsiTheme="majorHAnsi"/>
        </w:rPr>
        <w:t>the development of the capacity to systematically conduct performance management and quality improvement activities and the development of a culture or environment that supports this type of work</w:t>
      </w:r>
    </w:p>
    <w:p w:rsidR="00E056F2" w:rsidRPr="00666392" w:rsidRDefault="00E056F2" w:rsidP="00E056F2">
      <w:pPr>
        <w:pStyle w:val="ListParagraph"/>
        <w:numPr>
          <w:ilvl w:val="0"/>
          <w:numId w:val="23"/>
        </w:numPr>
        <w:spacing w:after="0"/>
        <w:contextualSpacing w:val="0"/>
        <w:rPr>
          <w:rFonts w:asciiTheme="majorHAnsi" w:hAnsiTheme="majorHAnsi"/>
        </w:rPr>
      </w:pPr>
      <w:r w:rsidRPr="00666392">
        <w:rPr>
          <w:rFonts w:asciiTheme="majorHAnsi" w:hAnsiTheme="majorHAnsi"/>
        </w:rPr>
        <w:t xml:space="preserve">Accreditation </w:t>
      </w:r>
      <w:r w:rsidR="00EE586B">
        <w:rPr>
          <w:rFonts w:asciiTheme="majorHAnsi" w:hAnsiTheme="majorHAnsi"/>
        </w:rPr>
        <w:t>r</w:t>
      </w:r>
      <w:r w:rsidRPr="00666392">
        <w:rPr>
          <w:rFonts w:asciiTheme="majorHAnsi" w:hAnsiTheme="majorHAnsi"/>
        </w:rPr>
        <w:t>eadiness</w:t>
      </w:r>
      <w:r w:rsidR="00F37CA8">
        <w:rPr>
          <w:rFonts w:asciiTheme="majorHAnsi" w:hAnsiTheme="majorHAnsi"/>
        </w:rPr>
        <w:t xml:space="preserve">, including completion of key pre-requisites and addressing gaps associated with national public health standards developed by </w:t>
      </w:r>
      <w:r w:rsidR="00EE586B">
        <w:rPr>
          <w:rFonts w:asciiTheme="majorHAnsi" w:hAnsiTheme="majorHAnsi"/>
        </w:rPr>
        <w:t>the PHAB</w:t>
      </w:r>
    </w:p>
    <w:p w:rsidR="00E056F2" w:rsidRPr="00666392" w:rsidRDefault="00E056F2" w:rsidP="00E056F2">
      <w:pPr>
        <w:pStyle w:val="ListParagraph"/>
        <w:numPr>
          <w:ilvl w:val="0"/>
          <w:numId w:val="23"/>
        </w:numPr>
        <w:spacing w:after="0"/>
        <w:contextualSpacing w:val="0"/>
        <w:rPr>
          <w:rFonts w:asciiTheme="majorHAnsi" w:hAnsiTheme="majorHAnsi"/>
        </w:rPr>
      </w:pPr>
      <w:r w:rsidRPr="00666392">
        <w:rPr>
          <w:rFonts w:asciiTheme="majorHAnsi" w:hAnsiTheme="majorHAnsi"/>
        </w:rPr>
        <w:t>Progress to</w:t>
      </w:r>
      <w:r w:rsidR="00333743">
        <w:rPr>
          <w:rFonts w:asciiTheme="majorHAnsi" w:hAnsiTheme="majorHAnsi"/>
        </w:rPr>
        <w:t>wards</w:t>
      </w:r>
      <w:r w:rsidRPr="00666392">
        <w:rPr>
          <w:rFonts w:asciiTheme="majorHAnsi" w:hAnsiTheme="majorHAnsi"/>
        </w:rPr>
        <w:t xml:space="preserve"> </w:t>
      </w:r>
      <w:r w:rsidR="00EE586B">
        <w:rPr>
          <w:rFonts w:asciiTheme="majorHAnsi" w:hAnsiTheme="majorHAnsi"/>
        </w:rPr>
        <w:t>a</w:t>
      </w:r>
      <w:r w:rsidRPr="00666392">
        <w:rPr>
          <w:rFonts w:asciiTheme="majorHAnsi" w:hAnsiTheme="majorHAnsi"/>
        </w:rPr>
        <w:t xml:space="preserve">chieving </w:t>
      </w:r>
      <w:r w:rsidR="00116C81">
        <w:rPr>
          <w:rFonts w:asciiTheme="majorHAnsi" w:hAnsiTheme="majorHAnsi"/>
        </w:rPr>
        <w:t>NPHII Cooperative Agreement</w:t>
      </w:r>
      <w:r w:rsidR="00116C81" w:rsidRPr="00666392">
        <w:rPr>
          <w:rFonts w:asciiTheme="majorHAnsi" w:hAnsiTheme="majorHAnsi"/>
        </w:rPr>
        <w:t xml:space="preserve"> </w:t>
      </w:r>
      <w:r w:rsidR="00EE586B">
        <w:rPr>
          <w:rFonts w:asciiTheme="majorHAnsi" w:hAnsiTheme="majorHAnsi"/>
        </w:rPr>
        <w:t>g</w:t>
      </w:r>
      <w:r w:rsidRPr="00666392">
        <w:rPr>
          <w:rFonts w:asciiTheme="majorHAnsi" w:hAnsiTheme="majorHAnsi"/>
        </w:rPr>
        <w:t>oals</w:t>
      </w:r>
      <w:r w:rsidR="00116C81">
        <w:rPr>
          <w:rFonts w:asciiTheme="majorHAnsi" w:hAnsiTheme="majorHAnsi"/>
        </w:rPr>
        <w:t xml:space="preserve"> as outlined in </w:t>
      </w:r>
      <w:r w:rsidR="00295050">
        <w:rPr>
          <w:rFonts w:asciiTheme="majorHAnsi" w:hAnsiTheme="majorHAnsi"/>
        </w:rPr>
        <w:t>STLT</w:t>
      </w:r>
      <w:r w:rsidR="00116C81">
        <w:rPr>
          <w:rFonts w:asciiTheme="majorHAnsi" w:hAnsiTheme="majorHAnsi"/>
        </w:rPr>
        <w:t>s’ work plans</w:t>
      </w:r>
    </w:p>
    <w:p w:rsidR="00E056F2" w:rsidRPr="00666392" w:rsidRDefault="00E056F2" w:rsidP="00E056F2">
      <w:pPr>
        <w:spacing w:after="0"/>
        <w:rPr>
          <w:rFonts w:asciiTheme="majorHAnsi" w:hAnsiTheme="majorHAnsi" w:cstheme="minorHAnsi"/>
        </w:rPr>
      </w:pPr>
    </w:p>
    <w:p w:rsidR="00825BBE" w:rsidRDefault="00825BBE" w:rsidP="005B329A">
      <w:pPr>
        <w:spacing w:after="0"/>
        <w:ind w:left="720"/>
        <w:rPr>
          <w:rFonts w:asciiTheme="majorHAnsi" w:hAnsiTheme="majorHAnsi" w:cstheme="minorHAnsi"/>
        </w:rPr>
      </w:pPr>
    </w:p>
    <w:p w:rsidR="005B329A" w:rsidRPr="00666392" w:rsidRDefault="00C43C8B" w:rsidP="005B329A">
      <w:pPr>
        <w:spacing w:after="0"/>
        <w:ind w:left="720"/>
        <w:rPr>
          <w:rFonts w:asciiTheme="majorHAnsi" w:hAnsiTheme="majorHAnsi" w:cstheme="minorHAnsi"/>
        </w:rPr>
      </w:pPr>
      <w:r w:rsidRPr="00666392">
        <w:rPr>
          <w:rFonts w:asciiTheme="majorHAnsi" w:hAnsiTheme="majorHAnsi" w:cstheme="minorHAnsi"/>
        </w:rPr>
        <w:lastRenderedPageBreak/>
        <w:t xml:space="preserve">The </w:t>
      </w:r>
      <w:r w:rsidR="006641B2">
        <w:rPr>
          <w:rFonts w:asciiTheme="majorHAnsi" w:hAnsiTheme="majorHAnsi" w:cstheme="minorHAnsi"/>
        </w:rPr>
        <w:t>NPHII</w:t>
      </w:r>
      <w:r w:rsidRPr="00666392">
        <w:rPr>
          <w:rFonts w:asciiTheme="majorHAnsi" w:hAnsiTheme="majorHAnsi" w:cstheme="minorHAnsi"/>
        </w:rPr>
        <w:t xml:space="preserve"> </w:t>
      </w:r>
      <w:r w:rsidR="005B329A">
        <w:rPr>
          <w:rFonts w:asciiTheme="majorHAnsi" w:hAnsiTheme="majorHAnsi" w:cstheme="minorHAnsi"/>
        </w:rPr>
        <w:t xml:space="preserve">Annual </w:t>
      </w:r>
      <w:r w:rsidRPr="00666392">
        <w:rPr>
          <w:rFonts w:asciiTheme="majorHAnsi" w:hAnsiTheme="majorHAnsi" w:cstheme="minorHAnsi"/>
        </w:rPr>
        <w:t>Assessment</w:t>
      </w:r>
      <w:r w:rsidR="00BB6315">
        <w:rPr>
          <w:rFonts w:asciiTheme="majorHAnsi" w:hAnsiTheme="majorHAnsi" w:cstheme="minorHAnsi"/>
        </w:rPr>
        <w:t xml:space="preserve"> </w:t>
      </w:r>
      <w:r w:rsidR="00BB6315" w:rsidRPr="00BB6315">
        <w:rPr>
          <w:rFonts w:asciiTheme="majorHAnsi" w:hAnsiTheme="majorHAnsi" w:cstheme="minorHAnsi"/>
        </w:rPr>
        <w:t>of Performance Management and Improvement Practices</w:t>
      </w:r>
      <w:r w:rsidR="00BB6315">
        <w:rPr>
          <w:rFonts w:asciiTheme="majorHAnsi" w:hAnsiTheme="majorHAnsi" w:cstheme="minorHAnsi"/>
        </w:rPr>
        <w:t xml:space="preserve"> (hereafter referred to as NPHII Annual Assessment)</w:t>
      </w:r>
      <w:r w:rsidR="00BB6315" w:rsidRPr="00BB6315">
        <w:rPr>
          <w:rFonts w:asciiTheme="majorHAnsi" w:hAnsiTheme="majorHAnsi" w:cstheme="minorHAnsi"/>
        </w:rPr>
        <w:t xml:space="preserve"> </w:t>
      </w:r>
      <w:r w:rsidR="00BB6315">
        <w:rPr>
          <w:rFonts w:asciiTheme="majorHAnsi" w:hAnsiTheme="majorHAnsi" w:cstheme="minorHAnsi"/>
        </w:rPr>
        <w:t>is</w:t>
      </w:r>
      <w:r w:rsidR="00397010" w:rsidRPr="00666392">
        <w:rPr>
          <w:rFonts w:asciiTheme="majorHAnsi" w:hAnsiTheme="majorHAnsi" w:cstheme="minorHAnsi"/>
        </w:rPr>
        <w:t xml:space="preserve"> </w:t>
      </w:r>
      <w:r w:rsidRPr="00666392">
        <w:rPr>
          <w:rFonts w:asciiTheme="majorHAnsi" w:hAnsiTheme="majorHAnsi" w:cstheme="minorHAnsi"/>
        </w:rPr>
        <w:t xml:space="preserve">intended to capture </w:t>
      </w:r>
      <w:r w:rsidR="00295050">
        <w:rPr>
          <w:rFonts w:asciiTheme="majorHAnsi" w:hAnsiTheme="majorHAnsi" w:cstheme="minorHAnsi"/>
        </w:rPr>
        <w:t>STLTs</w:t>
      </w:r>
      <w:r w:rsidRPr="00666392">
        <w:rPr>
          <w:rFonts w:asciiTheme="majorHAnsi" w:hAnsiTheme="majorHAnsi" w:cstheme="minorHAnsi"/>
        </w:rPr>
        <w:t xml:space="preserve"> progress </w:t>
      </w:r>
      <w:r w:rsidR="00EA011F">
        <w:rPr>
          <w:rFonts w:asciiTheme="majorHAnsi" w:hAnsiTheme="majorHAnsi" w:cstheme="minorHAnsi"/>
        </w:rPr>
        <w:t>towards</w:t>
      </w:r>
      <w:r w:rsidRPr="00666392">
        <w:rPr>
          <w:rFonts w:asciiTheme="majorHAnsi" w:hAnsiTheme="majorHAnsi" w:cstheme="minorHAnsi"/>
        </w:rPr>
        <w:t xml:space="preserve"> </w:t>
      </w:r>
      <w:r w:rsidR="00600782">
        <w:rPr>
          <w:rFonts w:asciiTheme="majorHAnsi" w:hAnsiTheme="majorHAnsi" w:cstheme="minorHAnsi"/>
        </w:rPr>
        <w:t xml:space="preserve">achieving </w:t>
      </w:r>
      <w:r w:rsidRPr="00666392">
        <w:rPr>
          <w:rFonts w:asciiTheme="majorHAnsi" w:hAnsiTheme="majorHAnsi" w:cstheme="minorHAnsi"/>
        </w:rPr>
        <w:t xml:space="preserve">NPHII goals in </w:t>
      </w:r>
      <w:r w:rsidR="00233F53">
        <w:rPr>
          <w:rFonts w:asciiTheme="majorHAnsi" w:hAnsiTheme="majorHAnsi" w:cstheme="minorHAnsi"/>
        </w:rPr>
        <w:t xml:space="preserve">the </w:t>
      </w:r>
      <w:r w:rsidRPr="00666392">
        <w:rPr>
          <w:rFonts w:asciiTheme="majorHAnsi" w:hAnsiTheme="majorHAnsi" w:cstheme="minorHAnsi"/>
        </w:rPr>
        <w:t>areas of accreditation</w:t>
      </w:r>
      <w:r w:rsidR="006641B2">
        <w:rPr>
          <w:rFonts w:asciiTheme="majorHAnsi" w:hAnsiTheme="majorHAnsi" w:cstheme="minorHAnsi"/>
        </w:rPr>
        <w:t xml:space="preserve"> readiness</w:t>
      </w:r>
      <w:r w:rsidRPr="00666392">
        <w:rPr>
          <w:rFonts w:asciiTheme="majorHAnsi" w:hAnsiTheme="majorHAnsi" w:cstheme="minorHAnsi"/>
        </w:rPr>
        <w:t xml:space="preserve">, </w:t>
      </w:r>
      <w:r w:rsidR="00EA011F">
        <w:rPr>
          <w:rFonts w:asciiTheme="majorHAnsi" w:hAnsiTheme="majorHAnsi" w:cstheme="minorHAnsi"/>
        </w:rPr>
        <w:t xml:space="preserve">performance management </w:t>
      </w:r>
      <w:r w:rsidR="006B7834">
        <w:rPr>
          <w:rFonts w:asciiTheme="majorHAnsi" w:hAnsiTheme="majorHAnsi" w:cstheme="minorHAnsi"/>
        </w:rPr>
        <w:t xml:space="preserve">and </w:t>
      </w:r>
      <w:r w:rsidRPr="00666392">
        <w:rPr>
          <w:rFonts w:asciiTheme="majorHAnsi" w:hAnsiTheme="majorHAnsi" w:cstheme="minorHAnsi"/>
        </w:rPr>
        <w:t xml:space="preserve">quality </w:t>
      </w:r>
      <w:r w:rsidR="006B7834">
        <w:rPr>
          <w:rFonts w:asciiTheme="majorHAnsi" w:hAnsiTheme="majorHAnsi" w:cstheme="minorHAnsi"/>
        </w:rPr>
        <w:t xml:space="preserve">improvement, </w:t>
      </w:r>
      <w:r w:rsidR="00233F53">
        <w:rPr>
          <w:rFonts w:asciiTheme="majorHAnsi" w:hAnsiTheme="majorHAnsi" w:cstheme="minorHAnsi"/>
        </w:rPr>
        <w:t>and the extent to which their STLT agency’s</w:t>
      </w:r>
      <w:r w:rsidR="00B82450">
        <w:rPr>
          <w:rFonts w:asciiTheme="majorHAnsi" w:hAnsiTheme="majorHAnsi" w:cstheme="minorHAnsi"/>
        </w:rPr>
        <w:t xml:space="preserve"> environment </w:t>
      </w:r>
      <w:r w:rsidR="001831A5">
        <w:rPr>
          <w:rFonts w:asciiTheme="majorHAnsi" w:hAnsiTheme="majorHAnsi" w:cstheme="minorHAnsi"/>
        </w:rPr>
        <w:t xml:space="preserve">is </w:t>
      </w:r>
      <w:r w:rsidR="00B82450">
        <w:rPr>
          <w:rFonts w:asciiTheme="majorHAnsi" w:hAnsiTheme="majorHAnsi" w:cstheme="minorHAnsi"/>
        </w:rPr>
        <w:t xml:space="preserve">conducive to </w:t>
      </w:r>
      <w:r w:rsidR="006B7834">
        <w:rPr>
          <w:rFonts w:asciiTheme="majorHAnsi" w:hAnsiTheme="majorHAnsi" w:cstheme="minorHAnsi"/>
        </w:rPr>
        <w:t>achieving these goals</w:t>
      </w:r>
      <w:r w:rsidR="006641B2">
        <w:rPr>
          <w:rFonts w:asciiTheme="majorHAnsi" w:hAnsiTheme="majorHAnsi" w:cstheme="minorHAnsi"/>
        </w:rPr>
        <w:t>.</w:t>
      </w:r>
      <w:r w:rsidR="00736B68">
        <w:rPr>
          <w:rFonts w:asciiTheme="majorHAnsi" w:hAnsiTheme="majorHAnsi" w:cstheme="minorHAnsi"/>
        </w:rPr>
        <w:t xml:space="preserve"> T</w:t>
      </w:r>
      <w:r w:rsidR="00E07543">
        <w:rPr>
          <w:rFonts w:asciiTheme="majorHAnsi" w:hAnsiTheme="majorHAnsi" w:cstheme="minorHAnsi"/>
        </w:rPr>
        <w:t>h</w:t>
      </w:r>
      <w:r w:rsidR="00736B68">
        <w:rPr>
          <w:rFonts w:asciiTheme="majorHAnsi" w:hAnsiTheme="majorHAnsi" w:cstheme="minorHAnsi"/>
        </w:rPr>
        <w:t>e</w:t>
      </w:r>
      <w:r w:rsidR="00E07543">
        <w:rPr>
          <w:rFonts w:asciiTheme="majorHAnsi" w:hAnsiTheme="majorHAnsi" w:cstheme="minorHAnsi"/>
        </w:rPr>
        <w:t xml:space="preserve"> </w:t>
      </w:r>
      <w:r w:rsidR="00736B68">
        <w:rPr>
          <w:rFonts w:asciiTheme="majorHAnsi" w:hAnsiTheme="majorHAnsi" w:cstheme="minorHAnsi"/>
        </w:rPr>
        <w:t xml:space="preserve">NPHII Annual Assessment </w:t>
      </w:r>
      <w:r w:rsidR="00E07543">
        <w:rPr>
          <w:rFonts w:asciiTheme="majorHAnsi" w:hAnsiTheme="majorHAnsi" w:cstheme="minorHAnsi"/>
        </w:rPr>
        <w:t xml:space="preserve">data collection tool </w:t>
      </w:r>
      <w:r w:rsidR="005B329A">
        <w:rPr>
          <w:rFonts w:asciiTheme="majorHAnsi" w:hAnsiTheme="majorHAnsi" w:cstheme="minorHAnsi"/>
        </w:rPr>
        <w:t xml:space="preserve">will </w:t>
      </w:r>
      <w:r w:rsidR="00736B68">
        <w:rPr>
          <w:rFonts w:asciiTheme="majorHAnsi" w:hAnsiTheme="majorHAnsi" w:cstheme="minorHAnsi"/>
        </w:rPr>
        <w:t xml:space="preserve">be used to </w:t>
      </w:r>
      <w:r w:rsidR="005B329A">
        <w:rPr>
          <w:rFonts w:asciiTheme="majorHAnsi" w:hAnsiTheme="majorHAnsi" w:cstheme="minorHAnsi"/>
        </w:rPr>
        <w:t xml:space="preserve">collect information from all 74 NPHII </w:t>
      </w:r>
      <w:r w:rsidR="00295050">
        <w:rPr>
          <w:rFonts w:asciiTheme="majorHAnsi" w:hAnsiTheme="majorHAnsi" w:cstheme="minorHAnsi"/>
        </w:rPr>
        <w:t xml:space="preserve">STLTs </w:t>
      </w:r>
      <w:r w:rsidR="005B329A">
        <w:rPr>
          <w:rFonts w:asciiTheme="majorHAnsi" w:hAnsiTheme="majorHAnsi" w:cstheme="minorHAnsi"/>
        </w:rPr>
        <w:t xml:space="preserve">as to their activities in these key areas of the Cooperative Agreement </w:t>
      </w:r>
      <w:r w:rsidR="00284561">
        <w:rPr>
          <w:rFonts w:asciiTheme="majorHAnsi" w:hAnsiTheme="majorHAnsi" w:cstheme="minorHAnsi"/>
        </w:rPr>
        <w:t>dur</w:t>
      </w:r>
      <w:r w:rsidR="00736B68">
        <w:rPr>
          <w:rFonts w:asciiTheme="majorHAnsi" w:hAnsiTheme="majorHAnsi" w:cstheme="minorHAnsi"/>
        </w:rPr>
        <w:t>ing</w:t>
      </w:r>
      <w:r w:rsidR="005B329A">
        <w:rPr>
          <w:rFonts w:asciiTheme="majorHAnsi" w:hAnsiTheme="majorHAnsi" w:cstheme="minorHAnsi"/>
        </w:rPr>
        <w:t xml:space="preserve"> the second </w:t>
      </w:r>
      <w:r w:rsidR="00170CAF">
        <w:rPr>
          <w:rFonts w:asciiTheme="majorHAnsi" w:hAnsiTheme="majorHAnsi" w:cstheme="minorHAnsi"/>
        </w:rPr>
        <w:t xml:space="preserve">year </w:t>
      </w:r>
      <w:r w:rsidR="005B329A">
        <w:rPr>
          <w:rFonts w:asciiTheme="majorHAnsi" w:hAnsiTheme="majorHAnsi" w:cstheme="minorHAnsi"/>
        </w:rPr>
        <w:t xml:space="preserve">(September 30, 2011 – September 29, 2012) and </w:t>
      </w:r>
      <w:r w:rsidR="00170CAF">
        <w:rPr>
          <w:rFonts w:asciiTheme="majorHAnsi" w:hAnsiTheme="majorHAnsi" w:cstheme="minorHAnsi"/>
        </w:rPr>
        <w:t xml:space="preserve">from </w:t>
      </w:r>
      <w:r w:rsidR="00565782">
        <w:rPr>
          <w:rFonts w:asciiTheme="majorHAnsi" w:hAnsiTheme="majorHAnsi" w:cstheme="minorHAnsi"/>
        </w:rPr>
        <w:t xml:space="preserve">the </w:t>
      </w:r>
      <w:r w:rsidR="00170CAF">
        <w:rPr>
          <w:rFonts w:asciiTheme="majorHAnsi" w:hAnsiTheme="majorHAnsi" w:cstheme="minorHAnsi"/>
        </w:rPr>
        <w:t>73 NPHII</w:t>
      </w:r>
      <w:r w:rsidR="00565782">
        <w:rPr>
          <w:rFonts w:asciiTheme="majorHAnsi" w:hAnsiTheme="majorHAnsi" w:cstheme="minorHAnsi"/>
        </w:rPr>
        <w:t>-funded</w:t>
      </w:r>
      <w:r w:rsidR="00170CAF">
        <w:rPr>
          <w:rFonts w:asciiTheme="majorHAnsi" w:hAnsiTheme="majorHAnsi" w:cstheme="minorHAnsi"/>
        </w:rPr>
        <w:t xml:space="preserve"> STLTs during the </w:t>
      </w:r>
      <w:r w:rsidR="005B329A">
        <w:rPr>
          <w:rFonts w:asciiTheme="majorHAnsi" w:hAnsiTheme="majorHAnsi" w:cstheme="minorHAnsi"/>
        </w:rPr>
        <w:t xml:space="preserve">third year of funding (September </w:t>
      </w:r>
      <w:r w:rsidR="00736B68">
        <w:rPr>
          <w:rFonts w:asciiTheme="majorHAnsi" w:hAnsiTheme="majorHAnsi" w:cstheme="minorHAnsi"/>
        </w:rPr>
        <w:t xml:space="preserve">30, </w:t>
      </w:r>
      <w:r w:rsidR="005B329A">
        <w:rPr>
          <w:rFonts w:asciiTheme="majorHAnsi" w:hAnsiTheme="majorHAnsi" w:cstheme="minorHAnsi"/>
        </w:rPr>
        <w:t xml:space="preserve">2012-September </w:t>
      </w:r>
      <w:r w:rsidR="00736B68">
        <w:rPr>
          <w:rFonts w:asciiTheme="majorHAnsi" w:hAnsiTheme="majorHAnsi" w:cstheme="minorHAnsi"/>
        </w:rPr>
        <w:t xml:space="preserve">29, </w:t>
      </w:r>
      <w:r w:rsidR="005B329A">
        <w:rPr>
          <w:rFonts w:asciiTheme="majorHAnsi" w:hAnsiTheme="majorHAnsi" w:cstheme="minorHAnsi"/>
        </w:rPr>
        <w:t>2013)</w:t>
      </w:r>
      <w:r w:rsidR="005B329A" w:rsidRPr="00666392">
        <w:rPr>
          <w:rFonts w:asciiTheme="majorHAnsi" w:hAnsiTheme="majorHAnsi" w:cstheme="minorHAnsi"/>
        </w:rPr>
        <w:t xml:space="preserve">.  </w:t>
      </w:r>
    </w:p>
    <w:p w:rsidR="00E056F2" w:rsidRDefault="00E056F2" w:rsidP="00F52BCC">
      <w:pPr>
        <w:spacing w:after="0"/>
        <w:ind w:left="720"/>
        <w:rPr>
          <w:rFonts w:asciiTheme="majorHAnsi" w:hAnsiTheme="majorHAnsi"/>
        </w:rPr>
      </w:pPr>
    </w:p>
    <w:p w:rsidR="006102DA" w:rsidRPr="001A28F6" w:rsidRDefault="006102DA" w:rsidP="00F52BCC">
      <w:pPr>
        <w:spacing w:after="0"/>
        <w:ind w:left="720"/>
        <w:rPr>
          <w:rFonts w:asciiTheme="majorHAnsi" w:hAnsiTheme="majorHAnsi"/>
          <w:b/>
        </w:rPr>
      </w:pPr>
      <w:r w:rsidRPr="001A28F6">
        <w:rPr>
          <w:rFonts w:asciiTheme="majorHAnsi" w:hAnsiTheme="majorHAnsi"/>
          <w:b/>
        </w:rPr>
        <w:t>Privacy Impact Assessment</w:t>
      </w:r>
    </w:p>
    <w:p w:rsidR="004024F8" w:rsidRDefault="006102DA" w:rsidP="004024F8">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The data collection system</w:t>
      </w:r>
      <w:r w:rsidR="00284561">
        <w:rPr>
          <w:rFonts w:asciiTheme="majorHAnsi" w:hAnsiTheme="majorHAnsi"/>
        </w:rPr>
        <w:t xml:space="preserve"> to be used for both assessments</w:t>
      </w:r>
      <w:r w:rsidR="00B1129F" w:rsidRPr="001A28F6">
        <w:rPr>
          <w:rFonts w:asciiTheme="majorHAnsi" w:hAnsiTheme="majorHAnsi"/>
        </w:rPr>
        <w:t xml:space="preserve">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D5367E" w:rsidRPr="001A28F6">
        <w:rPr>
          <w:rFonts w:asciiTheme="majorHAnsi" w:hAnsiTheme="majorHAnsi"/>
        </w:rPr>
        <w:t>questionnaire</w:t>
      </w:r>
      <w:r w:rsidR="00E23568" w:rsidRPr="001A28F6">
        <w:rPr>
          <w:rFonts w:asciiTheme="majorHAnsi" w:hAnsiTheme="majorHAnsi"/>
        </w:rPr>
        <w:t xml:space="preserve"> </w:t>
      </w:r>
      <w:r w:rsidR="00E23568" w:rsidRPr="00C610A0">
        <w:rPr>
          <w:rFonts w:asciiTheme="majorHAnsi" w:hAnsiTheme="majorHAnsi"/>
          <w:b/>
        </w:rPr>
        <w:t xml:space="preserve">(Attachment </w:t>
      </w:r>
      <w:r w:rsidR="006A67E6">
        <w:rPr>
          <w:rFonts w:asciiTheme="majorHAnsi" w:hAnsiTheme="majorHAnsi"/>
          <w:b/>
        </w:rPr>
        <w:t>H</w:t>
      </w:r>
      <w:r w:rsidR="00EF5F66" w:rsidRPr="00C610A0">
        <w:rPr>
          <w:rFonts w:asciiTheme="majorHAnsi" w:hAnsiTheme="majorHAnsi"/>
          <w:b/>
        </w:rPr>
        <w:t xml:space="preserve"> </w:t>
      </w:r>
      <w:r w:rsidR="008229E4" w:rsidRPr="00C610A0">
        <w:rPr>
          <w:rFonts w:asciiTheme="majorHAnsi" w:hAnsiTheme="majorHAnsi"/>
          <w:b/>
        </w:rPr>
        <w:t xml:space="preserve">– </w:t>
      </w:r>
      <w:r w:rsidR="00C610A0" w:rsidRPr="00C610A0">
        <w:rPr>
          <w:rFonts w:asciiTheme="majorHAnsi" w:hAnsiTheme="majorHAnsi"/>
          <w:b/>
        </w:rPr>
        <w:t xml:space="preserve">NPHII Assessment Screen Shots; </w:t>
      </w:r>
      <w:r w:rsidR="008229E4" w:rsidRPr="00C610A0">
        <w:rPr>
          <w:rFonts w:asciiTheme="majorHAnsi" w:hAnsiTheme="majorHAnsi"/>
          <w:b/>
        </w:rPr>
        <w:t>Attachment</w:t>
      </w:r>
      <w:r w:rsidR="00C43C8B" w:rsidRPr="00C610A0">
        <w:rPr>
          <w:rFonts w:asciiTheme="majorHAnsi" w:hAnsiTheme="majorHAnsi"/>
          <w:b/>
        </w:rPr>
        <w:t xml:space="preserve"> </w:t>
      </w:r>
      <w:r w:rsidR="006A67E6">
        <w:rPr>
          <w:rFonts w:asciiTheme="majorHAnsi" w:hAnsiTheme="majorHAnsi"/>
          <w:b/>
        </w:rPr>
        <w:t>I</w:t>
      </w:r>
      <w:r w:rsidR="00EF5F66" w:rsidRPr="00C610A0">
        <w:rPr>
          <w:rFonts w:asciiTheme="majorHAnsi" w:hAnsiTheme="majorHAnsi"/>
          <w:b/>
        </w:rPr>
        <w:t xml:space="preserve"> </w:t>
      </w:r>
      <w:r w:rsidR="008229E4" w:rsidRPr="00C610A0">
        <w:rPr>
          <w:rFonts w:asciiTheme="majorHAnsi" w:hAnsiTheme="majorHAnsi"/>
          <w:b/>
        </w:rPr>
        <w:t>–</w:t>
      </w:r>
      <w:r w:rsidR="00C610A0" w:rsidRPr="00C610A0">
        <w:rPr>
          <w:rFonts w:asciiTheme="majorHAnsi" w:hAnsiTheme="majorHAnsi"/>
          <w:b/>
        </w:rPr>
        <w:t xml:space="preserve">NPHII Assessment </w:t>
      </w:r>
      <w:r w:rsidR="008229E4" w:rsidRPr="00C610A0">
        <w:rPr>
          <w:rFonts w:asciiTheme="majorHAnsi" w:hAnsiTheme="majorHAnsi"/>
          <w:b/>
        </w:rPr>
        <w:t>W</w:t>
      </w:r>
      <w:r w:rsidR="00304B61" w:rsidRPr="00C610A0">
        <w:rPr>
          <w:rFonts w:asciiTheme="majorHAnsi" w:hAnsiTheme="majorHAnsi"/>
          <w:b/>
        </w:rPr>
        <w:t>ord</w:t>
      </w:r>
      <w:r w:rsidR="008229E4" w:rsidRPr="00C610A0">
        <w:rPr>
          <w:rFonts w:asciiTheme="majorHAnsi" w:hAnsiTheme="majorHAnsi"/>
          <w:b/>
        </w:rPr>
        <w:t xml:space="preserve"> </w:t>
      </w:r>
      <w:r w:rsidR="00304B61" w:rsidRPr="00C610A0">
        <w:rPr>
          <w:rFonts w:asciiTheme="majorHAnsi" w:hAnsiTheme="majorHAnsi"/>
          <w:b/>
        </w:rPr>
        <w:t>V</w:t>
      </w:r>
      <w:r w:rsidR="008229E4" w:rsidRPr="00C610A0">
        <w:rPr>
          <w:rFonts w:asciiTheme="majorHAnsi" w:hAnsiTheme="majorHAnsi"/>
          <w:b/>
        </w:rPr>
        <w:t>ersion</w:t>
      </w:r>
      <w:r w:rsidR="00E23568" w:rsidRPr="00170CAF">
        <w:rPr>
          <w:rFonts w:asciiTheme="majorHAnsi" w:hAnsiTheme="majorHAnsi"/>
          <w:b/>
        </w:rPr>
        <w:t>)</w:t>
      </w:r>
      <w:r w:rsidR="00E07543">
        <w:rPr>
          <w:rFonts w:asciiTheme="majorHAnsi" w:hAnsiTheme="majorHAnsi"/>
        </w:rPr>
        <w:t xml:space="preserve"> to be administered to all </w:t>
      </w:r>
      <w:r w:rsidR="00D8735C">
        <w:rPr>
          <w:rFonts w:asciiTheme="majorHAnsi" w:hAnsiTheme="majorHAnsi"/>
        </w:rPr>
        <w:t xml:space="preserve">74 NPHII </w:t>
      </w:r>
      <w:r w:rsidR="00295050">
        <w:rPr>
          <w:rFonts w:asciiTheme="majorHAnsi" w:hAnsiTheme="majorHAnsi"/>
        </w:rPr>
        <w:t>STLT</w:t>
      </w:r>
      <w:r w:rsidR="00C43C8B">
        <w:rPr>
          <w:rFonts w:asciiTheme="majorHAnsi" w:hAnsiTheme="majorHAnsi"/>
        </w:rPr>
        <w:t>s</w:t>
      </w:r>
      <w:r w:rsidR="00170CAF">
        <w:rPr>
          <w:rFonts w:asciiTheme="majorHAnsi" w:hAnsiTheme="majorHAnsi"/>
        </w:rPr>
        <w:t xml:space="preserve"> </w:t>
      </w:r>
      <w:r w:rsidR="002934B3">
        <w:rPr>
          <w:rFonts w:asciiTheme="majorHAnsi" w:hAnsiTheme="majorHAnsi"/>
        </w:rPr>
        <w:t>(Year 2 NPHII activities) and 73 NPHII STLTs (Year 3 NPHII activities)</w:t>
      </w:r>
      <w:r w:rsidR="00D8735C">
        <w:rPr>
          <w:rFonts w:asciiTheme="majorHAnsi" w:hAnsiTheme="majorHAnsi"/>
        </w:rPr>
        <w:t xml:space="preserve">. </w:t>
      </w:r>
      <w:r w:rsidR="00C43C8B">
        <w:rPr>
          <w:rFonts w:asciiTheme="majorHAnsi" w:hAnsiTheme="majorHAnsi"/>
        </w:rPr>
        <w:t xml:space="preserve"> </w:t>
      </w:r>
      <w:r w:rsidR="00D8735C">
        <w:rPr>
          <w:rFonts w:asciiTheme="majorHAnsi" w:hAnsiTheme="majorHAnsi"/>
        </w:rPr>
        <w:t xml:space="preserve">The primary respondent for the assessment is the </w:t>
      </w:r>
      <w:r w:rsidR="00E07543">
        <w:rPr>
          <w:rFonts w:asciiTheme="majorHAnsi" w:hAnsiTheme="majorHAnsi"/>
        </w:rPr>
        <w:t>STLT</w:t>
      </w:r>
      <w:r w:rsidR="00D8735C">
        <w:rPr>
          <w:rFonts w:asciiTheme="majorHAnsi" w:hAnsiTheme="majorHAnsi"/>
        </w:rPr>
        <w:t xml:space="preserve">’s Performance Improvement Manager (PIM). Each </w:t>
      </w:r>
      <w:r w:rsidR="00E07543">
        <w:rPr>
          <w:rFonts w:asciiTheme="majorHAnsi" w:hAnsiTheme="majorHAnsi"/>
        </w:rPr>
        <w:t>STLT</w:t>
      </w:r>
      <w:r w:rsidR="00D8735C">
        <w:rPr>
          <w:rFonts w:asciiTheme="majorHAnsi" w:hAnsiTheme="majorHAnsi"/>
        </w:rPr>
        <w:t xml:space="preserve"> </w:t>
      </w:r>
      <w:r w:rsidR="00E07543">
        <w:rPr>
          <w:rFonts w:asciiTheme="majorHAnsi" w:hAnsiTheme="majorHAnsi"/>
        </w:rPr>
        <w:t xml:space="preserve">participating in NPHII </w:t>
      </w:r>
      <w:r w:rsidR="00D8735C">
        <w:rPr>
          <w:rFonts w:asciiTheme="majorHAnsi" w:hAnsiTheme="majorHAnsi"/>
        </w:rPr>
        <w:t>was expected to hire or appoint a PIM as a requirement of funding in order to oversee and manage performance management / quality improvement activities across their agency. If the P</w:t>
      </w:r>
      <w:r w:rsidR="00E07543">
        <w:rPr>
          <w:rFonts w:asciiTheme="majorHAnsi" w:hAnsiTheme="majorHAnsi"/>
        </w:rPr>
        <w:t>IM is unable to respond to the data collection tool</w:t>
      </w:r>
      <w:r w:rsidR="00D8735C">
        <w:rPr>
          <w:rFonts w:asciiTheme="majorHAnsi" w:hAnsiTheme="majorHAnsi"/>
        </w:rPr>
        <w:t xml:space="preserve">, the NPHII </w:t>
      </w:r>
      <w:r w:rsidR="00295050">
        <w:rPr>
          <w:rFonts w:asciiTheme="majorHAnsi" w:hAnsiTheme="majorHAnsi"/>
        </w:rPr>
        <w:t>principal</w:t>
      </w:r>
      <w:r w:rsidR="00D8735C">
        <w:rPr>
          <w:rFonts w:asciiTheme="majorHAnsi" w:hAnsiTheme="majorHAnsi"/>
        </w:rPr>
        <w:t xml:space="preserve"> </w:t>
      </w:r>
      <w:r w:rsidR="00295050">
        <w:rPr>
          <w:rFonts w:asciiTheme="majorHAnsi" w:hAnsiTheme="majorHAnsi"/>
        </w:rPr>
        <w:t>i</w:t>
      </w:r>
      <w:r w:rsidR="00D8735C">
        <w:rPr>
          <w:rFonts w:asciiTheme="majorHAnsi" w:hAnsiTheme="majorHAnsi"/>
        </w:rPr>
        <w:t>nvestigator is to respond.  As mentioned above, these individuals will report progress that their agency has made towards achieving NPHII goals in the areas of accreditation readiness</w:t>
      </w:r>
      <w:r w:rsidR="00284561">
        <w:rPr>
          <w:rFonts w:asciiTheme="majorHAnsi" w:hAnsiTheme="majorHAnsi"/>
        </w:rPr>
        <w:t>,</w:t>
      </w:r>
      <w:r w:rsidR="00927018">
        <w:rPr>
          <w:rFonts w:asciiTheme="majorHAnsi" w:hAnsiTheme="majorHAnsi"/>
        </w:rPr>
        <w:t xml:space="preserve"> </w:t>
      </w:r>
      <w:r w:rsidR="00EF5F66">
        <w:rPr>
          <w:rFonts w:asciiTheme="majorHAnsi" w:hAnsiTheme="majorHAnsi"/>
        </w:rPr>
        <w:t>performance management</w:t>
      </w:r>
      <w:r w:rsidR="00284561">
        <w:rPr>
          <w:rFonts w:asciiTheme="majorHAnsi" w:hAnsiTheme="majorHAnsi"/>
        </w:rPr>
        <w:t>,</w:t>
      </w:r>
      <w:r w:rsidR="00EF5F66">
        <w:rPr>
          <w:rFonts w:asciiTheme="majorHAnsi" w:hAnsiTheme="majorHAnsi"/>
        </w:rPr>
        <w:t xml:space="preserve"> and </w:t>
      </w:r>
      <w:r w:rsidR="00D8735C">
        <w:rPr>
          <w:rFonts w:asciiTheme="majorHAnsi" w:hAnsiTheme="majorHAnsi"/>
        </w:rPr>
        <w:t xml:space="preserve">quality improvement.  The data collection instrument will be administered as a web-based </w:t>
      </w:r>
      <w:r w:rsidR="002D0046">
        <w:rPr>
          <w:rFonts w:asciiTheme="majorHAnsi" w:hAnsiTheme="majorHAnsi"/>
        </w:rPr>
        <w:t>tool</w:t>
      </w:r>
      <w:r w:rsidR="00B27E48">
        <w:rPr>
          <w:rFonts w:asciiTheme="majorHAnsi" w:hAnsiTheme="majorHAnsi"/>
        </w:rPr>
        <w:t xml:space="preserve">, with a </w:t>
      </w:r>
      <w:r w:rsidR="00EF5F66">
        <w:rPr>
          <w:rFonts w:asciiTheme="majorHAnsi" w:hAnsiTheme="majorHAnsi"/>
        </w:rPr>
        <w:t xml:space="preserve">PDF </w:t>
      </w:r>
      <w:r w:rsidR="00B27E48">
        <w:rPr>
          <w:rFonts w:asciiTheme="majorHAnsi" w:hAnsiTheme="majorHAnsi"/>
        </w:rPr>
        <w:t xml:space="preserve">copy of the instrument made available to </w:t>
      </w:r>
      <w:r w:rsidR="00295050">
        <w:rPr>
          <w:rFonts w:asciiTheme="majorHAnsi" w:hAnsiTheme="majorHAnsi"/>
        </w:rPr>
        <w:t>STLTs</w:t>
      </w:r>
      <w:r w:rsidR="00284561">
        <w:rPr>
          <w:rFonts w:asciiTheme="majorHAnsi" w:hAnsiTheme="majorHAnsi"/>
        </w:rPr>
        <w:t xml:space="preserve"> prior to the data collection period</w:t>
      </w:r>
      <w:r w:rsidR="00D8735C">
        <w:rPr>
          <w:rFonts w:asciiTheme="majorHAnsi" w:hAnsiTheme="majorHAnsi"/>
        </w:rPr>
        <w:t xml:space="preserve">. </w:t>
      </w:r>
      <w:r w:rsidR="004024F8">
        <w:rPr>
          <w:rFonts w:asciiTheme="majorHAnsi" w:hAnsiTheme="majorHAnsi"/>
        </w:rPr>
        <w:t xml:space="preserve"> </w:t>
      </w:r>
      <w:r w:rsidR="00E8736B" w:rsidRPr="00563552">
        <w:rPr>
          <w:rFonts w:asciiTheme="majorHAnsi" w:hAnsiTheme="majorHAnsi"/>
        </w:rPr>
        <w:t xml:space="preserve">The </w:t>
      </w:r>
      <w:r w:rsidR="002D0046">
        <w:rPr>
          <w:rFonts w:asciiTheme="majorHAnsi" w:hAnsiTheme="majorHAnsi"/>
        </w:rPr>
        <w:t>data collection tool</w:t>
      </w:r>
      <w:r w:rsidR="00E8736B" w:rsidRPr="00563552">
        <w:rPr>
          <w:rFonts w:asciiTheme="majorHAnsi" w:hAnsiTheme="majorHAnsi"/>
        </w:rPr>
        <w:t xml:space="preserve"> was pilot tested</w:t>
      </w:r>
      <w:r w:rsidR="004024F8" w:rsidRPr="00563552">
        <w:rPr>
          <w:rFonts w:asciiTheme="majorHAnsi" w:hAnsiTheme="majorHAnsi"/>
        </w:rPr>
        <w:t xml:space="preserve"> </w:t>
      </w:r>
      <w:r w:rsidR="002C0877" w:rsidRPr="00563552">
        <w:rPr>
          <w:rFonts w:asciiTheme="majorHAnsi" w:hAnsiTheme="majorHAnsi"/>
        </w:rPr>
        <w:t>by</w:t>
      </w:r>
      <w:r w:rsidR="004024F8" w:rsidRPr="00563552">
        <w:rPr>
          <w:rFonts w:asciiTheme="majorHAnsi" w:hAnsiTheme="majorHAnsi"/>
        </w:rPr>
        <w:t xml:space="preserve"> </w:t>
      </w:r>
      <w:r w:rsidR="002128BE">
        <w:rPr>
          <w:rFonts w:asciiTheme="majorHAnsi" w:hAnsiTheme="majorHAnsi"/>
        </w:rPr>
        <w:t>three</w:t>
      </w:r>
      <w:r w:rsidR="004024F8" w:rsidRPr="00563552">
        <w:rPr>
          <w:rFonts w:asciiTheme="majorHAnsi" w:hAnsiTheme="majorHAnsi"/>
        </w:rPr>
        <w:t xml:space="preserve"> public health pr</w:t>
      </w:r>
      <w:r w:rsidR="002C0877" w:rsidRPr="00563552">
        <w:rPr>
          <w:rFonts w:asciiTheme="majorHAnsi" w:hAnsiTheme="majorHAnsi"/>
        </w:rPr>
        <w:t xml:space="preserve">ofessionals.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skip patterns and establish the estimated time required to complete the </w:t>
      </w:r>
      <w:r w:rsidR="002D0046">
        <w:rPr>
          <w:rFonts w:asciiTheme="majorHAnsi" w:hAnsiTheme="majorHAnsi"/>
        </w:rPr>
        <w:t>data collection tool</w:t>
      </w:r>
      <w:r w:rsidR="004024F8">
        <w:rPr>
          <w:rFonts w:asciiTheme="majorHAnsi" w:hAnsiTheme="majorHAnsi"/>
        </w:rPr>
        <w:t>.</w:t>
      </w:r>
    </w:p>
    <w:p w:rsidR="00F90671" w:rsidRDefault="00F90671" w:rsidP="004024F8">
      <w:pPr>
        <w:spacing w:after="0"/>
        <w:ind w:left="720"/>
        <w:rPr>
          <w:rFonts w:asciiTheme="majorHAnsi" w:hAnsiTheme="majorHAnsi"/>
        </w:rPr>
      </w:pPr>
    </w:p>
    <w:p w:rsidR="002934B3" w:rsidRPr="00666392" w:rsidRDefault="00F90671" w:rsidP="002934B3">
      <w:pPr>
        <w:spacing w:after="0"/>
        <w:ind w:left="720"/>
        <w:rPr>
          <w:rFonts w:asciiTheme="majorHAnsi" w:hAnsiTheme="majorHAnsi" w:cstheme="minorHAnsi"/>
        </w:rPr>
      </w:pPr>
      <w:r>
        <w:rPr>
          <w:rFonts w:asciiTheme="majorHAnsi" w:hAnsiTheme="majorHAnsi" w:cstheme="minorHAnsi"/>
        </w:rPr>
        <w:t xml:space="preserve">The </w:t>
      </w:r>
      <w:r w:rsidR="00E07543">
        <w:rPr>
          <w:rFonts w:asciiTheme="majorHAnsi" w:hAnsiTheme="majorHAnsi" w:cstheme="minorHAnsi"/>
        </w:rPr>
        <w:t>data collection tool</w:t>
      </w:r>
      <w:r>
        <w:rPr>
          <w:rFonts w:asciiTheme="majorHAnsi" w:hAnsiTheme="majorHAnsi" w:cstheme="minorHAnsi"/>
        </w:rPr>
        <w:t xml:space="preserve"> will collect information from </w:t>
      </w:r>
      <w:r w:rsidR="002934B3">
        <w:rPr>
          <w:rFonts w:asciiTheme="majorHAnsi" w:hAnsiTheme="majorHAnsi" w:cstheme="minorHAnsi"/>
        </w:rPr>
        <w:t>all 74 NPHII STLTs as to their activities in these key areas of the Cooperative Agreement during the second year (September 30, 2011 – September 29, 2012) and from 73 NPHII STLTs during the third year of funding (September 30, 2012-September 29, 2013)</w:t>
      </w:r>
      <w:r w:rsidR="002934B3" w:rsidRPr="00666392">
        <w:rPr>
          <w:rFonts w:asciiTheme="majorHAnsi" w:hAnsiTheme="majorHAnsi" w:cstheme="minorHAnsi"/>
        </w:rPr>
        <w:t xml:space="preserve">.  </w:t>
      </w:r>
    </w:p>
    <w:p w:rsidR="00EF5F66" w:rsidRDefault="00EF5F66" w:rsidP="00F52BCC">
      <w:pPr>
        <w:spacing w:after="0"/>
        <w:ind w:left="720"/>
        <w:rPr>
          <w:rFonts w:asciiTheme="majorHAnsi" w:hAnsiTheme="majorHAnsi"/>
          <w:u w:val="single"/>
        </w:rPr>
      </w:pPr>
    </w:p>
    <w:p w:rsidR="00C43C8B" w:rsidRDefault="006102DA" w:rsidP="00F52BCC">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C43C8B">
        <w:rPr>
          <w:rFonts w:asciiTheme="majorHAnsi" w:hAnsiTheme="majorHAnsi"/>
        </w:rPr>
        <w:t xml:space="preserve"> The </w:t>
      </w:r>
      <w:r w:rsidR="002D0046">
        <w:rPr>
          <w:rFonts w:asciiTheme="majorHAnsi" w:hAnsiTheme="majorHAnsi"/>
        </w:rPr>
        <w:t>data collection tool</w:t>
      </w:r>
      <w:r w:rsidR="00C43C8B">
        <w:rPr>
          <w:rFonts w:asciiTheme="majorHAnsi" w:hAnsiTheme="majorHAnsi"/>
        </w:rPr>
        <w:t xml:space="preserve"> consists of </w:t>
      </w:r>
      <w:r w:rsidR="00C21C6B">
        <w:rPr>
          <w:rFonts w:asciiTheme="majorHAnsi" w:hAnsiTheme="majorHAnsi"/>
        </w:rPr>
        <w:t>66</w:t>
      </w:r>
      <w:r w:rsidR="00EF5F66">
        <w:rPr>
          <w:rFonts w:asciiTheme="majorHAnsi" w:hAnsiTheme="majorHAnsi"/>
        </w:rPr>
        <w:t xml:space="preserve"> </w:t>
      </w:r>
      <w:r w:rsidR="00C43C8B">
        <w:rPr>
          <w:rFonts w:asciiTheme="majorHAnsi" w:hAnsiTheme="majorHAnsi"/>
        </w:rPr>
        <w:t xml:space="preserve">questions </w:t>
      </w:r>
      <w:r w:rsidR="00181F43">
        <w:rPr>
          <w:rFonts w:asciiTheme="majorHAnsi" w:hAnsiTheme="majorHAnsi"/>
        </w:rPr>
        <w:t>of various types including dichotomous, multiple response, interval, filter and open-ended</w:t>
      </w:r>
      <w:r w:rsidR="00C80C65">
        <w:rPr>
          <w:rFonts w:asciiTheme="majorHAnsi" w:hAnsiTheme="majorHAnsi"/>
        </w:rPr>
        <w:t xml:space="preserve"> questions</w:t>
      </w:r>
      <w:r w:rsidR="00181F43">
        <w:rPr>
          <w:rFonts w:asciiTheme="majorHAnsi" w:hAnsiTheme="majorHAnsi"/>
        </w:rPr>
        <w:t xml:space="preserve">.  The </w:t>
      </w:r>
      <w:r w:rsidR="002D0046">
        <w:rPr>
          <w:rFonts w:asciiTheme="majorHAnsi" w:hAnsiTheme="majorHAnsi"/>
        </w:rPr>
        <w:t xml:space="preserve">data collection tool </w:t>
      </w:r>
      <w:r w:rsidR="00181F43">
        <w:rPr>
          <w:rFonts w:asciiTheme="majorHAnsi" w:hAnsiTheme="majorHAnsi"/>
        </w:rPr>
        <w:t xml:space="preserve">is organized into </w:t>
      </w:r>
      <w:r w:rsidR="00C80C65">
        <w:rPr>
          <w:rFonts w:asciiTheme="majorHAnsi" w:hAnsiTheme="majorHAnsi"/>
        </w:rPr>
        <w:t>four</w:t>
      </w:r>
      <w:r w:rsidR="00181F43">
        <w:rPr>
          <w:rFonts w:asciiTheme="majorHAnsi" w:hAnsiTheme="majorHAnsi"/>
        </w:rPr>
        <w:t xml:space="preserve"> sections.  </w:t>
      </w:r>
    </w:p>
    <w:p w:rsidR="00181F43" w:rsidRDefault="00C43C8B" w:rsidP="00563552">
      <w:pPr>
        <w:pStyle w:val="ListParagraph"/>
        <w:numPr>
          <w:ilvl w:val="0"/>
          <w:numId w:val="34"/>
        </w:numPr>
        <w:rPr>
          <w:rFonts w:asciiTheme="majorHAnsi" w:hAnsiTheme="majorHAnsi"/>
        </w:rPr>
      </w:pPr>
      <w:r w:rsidRPr="00563552">
        <w:rPr>
          <w:rFonts w:asciiTheme="majorHAnsi" w:hAnsiTheme="majorHAnsi"/>
          <w:b/>
        </w:rPr>
        <w:t>PIM qualifications</w:t>
      </w:r>
      <w:r w:rsidR="00580BA6">
        <w:rPr>
          <w:rFonts w:asciiTheme="majorHAnsi" w:hAnsiTheme="majorHAnsi"/>
        </w:rPr>
        <w:t xml:space="preserve"> – respondents are asked about their current job position, their level of experience in public health and quality improvement, and their level of proficiency on competencies in areas of quality improvement and performance management</w:t>
      </w:r>
    </w:p>
    <w:p w:rsidR="00580BA6" w:rsidRDefault="00580BA6" w:rsidP="00563552">
      <w:pPr>
        <w:pStyle w:val="ListParagraph"/>
        <w:numPr>
          <w:ilvl w:val="0"/>
          <w:numId w:val="34"/>
        </w:numPr>
        <w:rPr>
          <w:rFonts w:asciiTheme="majorHAnsi" w:hAnsiTheme="majorHAnsi"/>
        </w:rPr>
      </w:pPr>
      <w:r w:rsidRPr="00563552">
        <w:rPr>
          <w:rFonts w:asciiTheme="majorHAnsi" w:hAnsiTheme="majorHAnsi"/>
          <w:b/>
        </w:rPr>
        <w:t>Accreditation readiness</w:t>
      </w:r>
      <w:r>
        <w:rPr>
          <w:rFonts w:asciiTheme="majorHAnsi" w:hAnsiTheme="majorHAnsi"/>
        </w:rPr>
        <w:t xml:space="preserve"> – respondents are asked to identify </w:t>
      </w:r>
      <w:r w:rsidR="00065036">
        <w:rPr>
          <w:rFonts w:asciiTheme="majorHAnsi" w:hAnsiTheme="majorHAnsi"/>
        </w:rPr>
        <w:t>activities t</w:t>
      </w:r>
      <w:r w:rsidR="00C80C65">
        <w:rPr>
          <w:rFonts w:asciiTheme="majorHAnsi" w:hAnsiTheme="majorHAnsi"/>
        </w:rPr>
        <w:t>hey have undertaken t</w:t>
      </w:r>
      <w:r w:rsidR="00065036">
        <w:rPr>
          <w:rFonts w:asciiTheme="majorHAnsi" w:hAnsiTheme="majorHAnsi"/>
        </w:rPr>
        <w:t>o build awareness of</w:t>
      </w:r>
      <w:r w:rsidR="00C80C65">
        <w:rPr>
          <w:rFonts w:asciiTheme="majorHAnsi" w:hAnsiTheme="majorHAnsi"/>
        </w:rPr>
        <w:t>, or readiness for,</w:t>
      </w:r>
      <w:r w:rsidR="00065036">
        <w:rPr>
          <w:rFonts w:asciiTheme="majorHAnsi" w:hAnsiTheme="majorHAnsi"/>
        </w:rPr>
        <w:t xml:space="preserve"> accreditation within their organization</w:t>
      </w:r>
    </w:p>
    <w:p w:rsidR="00065036" w:rsidRDefault="00065036" w:rsidP="00563552">
      <w:pPr>
        <w:pStyle w:val="ListParagraph"/>
        <w:numPr>
          <w:ilvl w:val="0"/>
          <w:numId w:val="34"/>
        </w:numPr>
        <w:rPr>
          <w:rFonts w:asciiTheme="majorHAnsi" w:hAnsiTheme="majorHAnsi"/>
        </w:rPr>
      </w:pPr>
      <w:r w:rsidRPr="00563552">
        <w:rPr>
          <w:rFonts w:asciiTheme="majorHAnsi" w:hAnsiTheme="majorHAnsi"/>
          <w:b/>
        </w:rPr>
        <w:lastRenderedPageBreak/>
        <w:t>Performance management systems and quality improvement</w:t>
      </w:r>
      <w:r>
        <w:rPr>
          <w:rFonts w:asciiTheme="majorHAnsi" w:hAnsiTheme="majorHAnsi"/>
        </w:rPr>
        <w:t xml:space="preserve"> – respondents are asked about their organization’s capa</w:t>
      </w:r>
      <w:r w:rsidR="003251FD">
        <w:rPr>
          <w:rFonts w:asciiTheme="majorHAnsi" w:hAnsiTheme="majorHAnsi"/>
        </w:rPr>
        <w:t>c</w:t>
      </w:r>
      <w:r w:rsidR="00C80C65">
        <w:rPr>
          <w:rFonts w:asciiTheme="majorHAnsi" w:hAnsiTheme="majorHAnsi"/>
        </w:rPr>
        <w:t>ity for performance management</w:t>
      </w:r>
      <w:r w:rsidR="003251FD">
        <w:rPr>
          <w:rFonts w:asciiTheme="majorHAnsi" w:hAnsiTheme="majorHAnsi"/>
        </w:rPr>
        <w:t xml:space="preserve"> </w:t>
      </w:r>
      <w:r>
        <w:rPr>
          <w:rFonts w:asciiTheme="majorHAnsi" w:hAnsiTheme="majorHAnsi"/>
        </w:rPr>
        <w:t>and quality improvement</w:t>
      </w:r>
      <w:r w:rsidR="003251FD">
        <w:rPr>
          <w:rFonts w:asciiTheme="majorHAnsi" w:hAnsiTheme="majorHAnsi"/>
        </w:rPr>
        <w:t xml:space="preserve"> in the following areas</w:t>
      </w:r>
      <w:r>
        <w:rPr>
          <w:rFonts w:asciiTheme="majorHAnsi" w:hAnsiTheme="majorHAnsi"/>
        </w:rPr>
        <w:t>:</w:t>
      </w:r>
    </w:p>
    <w:p w:rsidR="00065036" w:rsidRDefault="003251FD" w:rsidP="00563552">
      <w:pPr>
        <w:pStyle w:val="ListParagraph"/>
        <w:numPr>
          <w:ilvl w:val="1"/>
          <w:numId w:val="34"/>
        </w:numPr>
        <w:rPr>
          <w:rFonts w:asciiTheme="majorHAnsi" w:hAnsiTheme="majorHAnsi"/>
        </w:rPr>
      </w:pPr>
      <w:r>
        <w:rPr>
          <w:rFonts w:asciiTheme="majorHAnsi" w:hAnsiTheme="majorHAnsi"/>
        </w:rPr>
        <w:t xml:space="preserve">Establishment of the components </w:t>
      </w:r>
      <w:r w:rsidR="00E07543">
        <w:rPr>
          <w:rFonts w:asciiTheme="majorHAnsi" w:hAnsiTheme="majorHAnsi"/>
        </w:rPr>
        <w:t>of a</w:t>
      </w:r>
      <w:r w:rsidRPr="00767716">
        <w:rPr>
          <w:rFonts w:asciiTheme="majorHAnsi" w:hAnsiTheme="majorHAnsi"/>
        </w:rPr>
        <w:t xml:space="preserve"> performance management system</w:t>
      </w:r>
      <w:r>
        <w:rPr>
          <w:rFonts w:asciiTheme="majorHAnsi" w:hAnsiTheme="majorHAnsi"/>
        </w:rPr>
        <w:t xml:space="preserve"> (performance standards, performance measures, routine performance reporting and quality improvement), as well as barriers </w:t>
      </w:r>
      <w:r w:rsidR="00C71E7A">
        <w:rPr>
          <w:rFonts w:asciiTheme="majorHAnsi" w:hAnsiTheme="majorHAnsi"/>
        </w:rPr>
        <w:t>to organization-wide performance management</w:t>
      </w:r>
    </w:p>
    <w:p w:rsidR="00325BE5" w:rsidRDefault="00325BE5" w:rsidP="00563552">
      <w:pPr>
        <w:pStyle w:val="ListParagraph"/>
        <w:numPr>
          <w:ilvl w:val="1"/>
          <w:numId w:val="34"/>
        </w:numPr>
        <w:rPr>
          <w:rFonts w:asciiTheme="majorHAnsi" w:hAnsiTheme="majorHAnsi"/>
        </w:rPr>
      </w:pPr>
      <w:r>
        <w:rPr>
          <w:rFonts w:asciiTheme="majorHAnsi" w:hAnsiTheme="majorHAnsi"/>
        </w:rPr>
        <w:t>Quality improvement methods, tools and resources used by PIMs; percent of the organization’s staff trained in quality improvement</w:t>
      </w:r>
    </w:p>
    <w:p w:rsidR="00325BE5" w:rsidRDefault="00325BE5" w:rsidP="00563552">
      <w:pPr>
        <w:pStyle w:val="ListParagraph"/>
        <w:numPr>
          <w:ilvl w:val="1"/>
          <w:numId w:val="34"/>
        </w:numPr>
        <w:rPr>
          <w:rFonts w:asciiTheme="majorHAnsi" w:hAnsiTheme="majorHAnsi"/>
        </w:rPr>
      </w:pPr>
      <w:r>
        <w:rPr>
          <w:rFonts w:asciiTheme="majorHAnsi" w:hAnsiTheme="majorHAnsi"/>
        </w:rPr>
        <w:t>Quality improvement initiatives focused on gains in efficiency and effectiveness</w:t>
      </w:r>
    </w:p>
    <w:p w:rsidR="00DB7F78" w:rsidRDefault="00325BE5" w:rsidP="00563552">
      <w:pPr>
        <w:pStyle w:val="ListParagraph"/>
        <w:numPr>
          <w:ilvl w:val="0"/>
          <w:numId w:val="34"/>
        </w:numPr>
      </w:pPr>
      <w:r w:rsidRPr="00563552">
        <w:rPr>
          <w:rFonts w:asciiTheme="majorHAnsi" w:hAnsiTheme="majorHAnsi"/>
          <w:b/>
        </w:rPr>
        <w:t>Environment for quality improvement and performance management</w:t>
      </w:r>
      <w:r w:rsidRPr="00563552">
        <w:rPr>
          <w:rFonts w:asciiTheme="majorHAnsi" w:hAnsiTheme="majorHAnsi"/>
        </w:rPr>
        <w:t xml:space="preserve"> – </w:t>
      </w:r>
      <w:r w:rsidR="00C0004D">
        <w:rPr>
          <w:rFonts w:asciiTheme="majorHAnsi" w:hAnsiTheme="majorHAnsi"/>
        </w:rPr>
        <w:t xml:space="preserve">includes </w:t>
      </w:r>
      <w:r w:rsidRPr="00563552">
        <w:rPr>
          <w:rFonts w:asciiTheme="majorHAnsi" w:hAnsiTheme="majorHAnsi"/>
        </w:rPr>
        <w:t xml:space="preserve">items from </w:t>
      </w:r>
      <w:r w:rsidR="00C0004D">
        <w:rPr>
          <w:rFonts w:asciiTheme="majorHAnsi" w:hAnsiTheme="majorHAnsi"/>
        </w:rPr>
        <w:t>a</w:t>
      </w:r>
      <w:r w:rsidRPr="00563552">
        <w:rPr>
          <w:rFonts w:asciiTheme="majorHAnsi" w:hAnsiTheme="majorHAnsi"/>
        </w:rPr>
        <w:t xml:space="preserve"> Quality Improvement Maturity Tool </w:t>
      </w:r>
      <w:r w:rsidR="00E6617A">
        <w:rPr>
          <w:rFonts w:asciiTheme="majorHAnsi" w:hAnsiTheme="majorHAnsi"/>
        </w:rPr>
        <w:t xml:space="preserve">developed for the Multi-State Learning Collaborative (a collaborative project between the Robert Wood Johnson Foundation and NNPHI) </w:t>
      </w:r>
      <w:r w:rsidR="001831A5" w:rsidRPr="00563552">
        <w:rPr>
          <w:rFonts w:asciiTheme="majorHAnsi" w:hAnsiTheme="majorHAnsi"/>
        </w:rPr>
        <w:t>which</w:t>
      </w:r>
      <w:r w:rsidRPr="00563552">
        <w:rPr>
          <w:rFonts w:asciiTheme="majorHAnsi" w:hAnsiTheme="majorHAnsi"/>
        </w:rPr>
        <w:t xml:space="preserve"> assess the </w:t>
      </w:r>
      <w:r w:rsidR="001831A5" w:rsidRPr="00563552">
        <w:rPr>
          <w:rFonts w:asciiTheme="majorHAnsi" w:hAnsiTheme="majorHAnsi" w:cstheme="minorHAnsi"/>
        </w:rPr>
        <w:t xml:space="preserve">extent to which an environment is conducive </w:t>
      </w:r>
      <w:r w:rsidR="00B72ED9">
        <w:rPr>
          <w:rFonts w:asciiTheme="majorHAnsi" w:hAnsiTheme="majorHAnsi" w:cstheme="minorHAnsi"/>
        </w:rPr>
        <w:t xml:space="preserve">to the </w:t>
      </w:r>
      <w:r w:rsidR="00C0004D">
        <w:rPr>
          <w:rFonts w:asciiTheme="majorHAnsi" w:hAnsiTheme="majorHAnsi" w:cstheme="minorHAnsi"/>
        </w:rPr>
        <w:t>implementation</w:t>
      </w:r>
      <w:r w:rsidR="001831A5" w:rsidRPr="00563552">
        <w:rPr>
          <w:rFonts w:asciiTheme="majorHAnsi" w:hAnsiTheme="majorHAnsi" w:cstheme="minorHAnsi"/>
        </w:rPr>
        <w:t xml:space="preserve"> of</w:t>
      </w:r>
      <w:r w:rsidR="00E07543">
        <w:rPr>
          <w:rFonts w:asciiTheme="majorHAnsi" w:hAnsiTheme="majorHAnsi" w:cstheme="minorHAnsi"/>
        </w:rPr>
        <w:t xml:space="preserve"> quality improvement.  This section includes </w:t>
      </w:r>
      <w:r w:rsidR="001831A5" w:rsidRPr="00563552">
        <w:rPr>
          <w:rFonts w:asciiTheme="majorHAnsi" w:hAnsiTheme="majorHAnsi" w:cstheme="minorHAnsi"/>
        </w:rPr>
        <w:t>items about leadership and staff training in quality improvement techniques, as well as the nature of decision-making within the organization.</w:t>
      </w:r>
    </w:p>
    <w:p w:rsidR="00563552" w:rsidRDefault="00563552" w:rsidP="00563552">
      <w:pPr>
        <w:pStyle w:val="ListParagraph"/>
        <w:ind w:left="1080"/>
        <w:rPr>
          <w:rFonts w:asciiTheme="majorHAnsi" w:hAnsiTheme="majorHAnsi"/>
          <w:u w:val="single"/>
        </w:rPr>
      </w:pPr>
    </w:p>
    <w:p w:rsidR="006102DA" w:rsidRPr="00563552" w:rsidRDefault="006102DA" w:rsidP="00563552">
      <w:pPr>
        <w:pStyle w:val="ListParagraph"/>
        <w:ind w:left="1080"/>
        <w:rPr>
          <w:rFonts w:asciiTheme="majorHAnsi" w:hAnsiTheme="majorHAnsi"/>
        </w:rPr>
      </w:pPr>
      <w:r w:rsidRPr="00563552">
        <w:rPr>
          <w:rFonts w:asciiTheme="majorHAnsi" w:hAnsiTheme="majorHAnsi"/>
          <w:u w:val="single"/>
        </w:rPr>
        <w:t>Identification of Website(s) and Website Content Directed at Children Under 13 Years of Age</w:t>
      </w:r>
      <w:r w:rsidR="00D13B13" w:rsidRPr="00563552">
        <w:rPr>
          <w:rFonts w:asciiTheme="majorHAnsi" w:hAnsiTheme="majorHAnsi"/>
        </w:rPr>
        <w:t xml:space="preserve"> – </w:t>
      </w:r>
      <w:r w:rsidR="005869D6" w:rsidRPr="00563552">
        <w:rPr>
          <w:rFonts w:asciiTheme="majorHAnsi" w:hAnsiTheme="majorHAnsi"/>
        </w:rPr>
        <w:t>The data collection system involve</w:t>
      </w:r>
      <w:r w:rsidR="00E23568" w:rsidRPr="00563552">
        <w:rPr>
          <w:rFonts w:asciiTheme="majorHAnsi" w:hAnsiTheme="majorHAnsi"/>
        </w:rPr>
        <w:t>s</w:t>
      </w:r>
      <w:r w:rsidR="005869D6" w:rsidRPr="00563552">
        <w:rPr>
          <w:rFonts w:asciiTheme="majorHAnsi" w:hAnsiTheme="majorHAnsi"/>
        </w:rPr>
        <w:t xml:space="preserve"> using a web-based </w:t>
      </w:r>
      <w:r w:rsidR="002D0046">
        <w:rPr>
          <w:rFonts w:asciiTheme="majorHAnsi" w:hAnsiTheme="majorHAnsi"/>
        </w:rPr>
        <w:t>data collection tool</w:t>
      </w:r>
      <w:r w:rsidR="005869D6" w:rsidRPr="00563552">
        <w:rPr>
          <w:rFonts w:asciiTheme="majorHAnsi" w:hAnsiTheme="majorHAnsi"/>
        </w:rPr>
        <w:t xml:space="preserve">. Respondents will be sent a link directing them to the online </w:t>
      </w:r>
      <w:r w:rsidR="002D0046">
        <w:rPr>
          <w:rFonts w:asciiTheme="majorHAnsi" w:hAnsiTheme="majorHAnsi"/>
        </w:rPr>
        <w:t>data collection tool</w:t>
      </w:r>
      <w:r w:rsidR="005869D6" w:rsidRPr="00563552">
        <w:rPr>
          <w:rFonts w:asciiTheme="majorHAnsi" w:hAnsiTheme="majorHAnsi"/>
        </w:rPr>
        <w:t xml:space="preserve"> only (i.e., not a website). No website content will be directed at children.</w:t>
      </w:r>
    </w:p>
    <w:p w:rsidR="00F52BCC" w:rsidRPr="00F52BCC" w:rsidRDefault="00F52BCC" w:rsidP="00563552">
      <w:pPr>
        <w:pStyle w:val="ListParagraph"/>
        <w:ind w:left="1080"/>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BE738E" w:rsidRDefault="00BE738E" w:rsidP="00F52BCC">
      <w:pPr>
        <w:pStyle w:val="ListParagraph"/>
        <w:spacing w:after="0"/>
        <w:rPr>
          <w:rFonts w:asciiTheme="majorHAnsi" w:hAnsiTheme="majorHAnsi"/>
        </w:rPr>
      </w:pPr>
    </w:p>
    <w:p w:rsidR="006A67E6" w:rsidRDefault="00B64A20" w:rsidP="006A67E6">
      <w:pPr>
        <w:spacing w:after="0"/>
        <w:ind w:left="720"/>
        <w:rPr>
          <w:rFonts w:asciiTheme="majorHAnsi" w:hAnsiTheme="majorHAnsi" w:cstheme="minorHAnsi"/>
        </w:rPr>
      </w:pPr>
      <w:r>
        <w:rPr>
          <w:rFonts w:asciiTheme="majorHAnsi" w:hAnsiTheme="majorHAnsi"/>
        </w:rPr>
        <w:t xml:space="preserve">The purpose of the </w:t>
      </w:r>
      <w:r w:rsidR="0004679B">
        <w:rPr>
          <w:rFonts w:asciiTheme="majorHAnsi" w:hAnsiTheme="majorHAnsi"/>
        </w:rPr>
        <w:t>NPHII</w:t>
      </w:r>
      <w:r w:rsidR="0004679B" w:rsidRPr="00666392">
        <w:rPr>
          <w:rFonts w:asciiTheme="majorHAnsi" w:hAnsiTheme="majorHAnsi"/>
        </w:rPr>
        <w:t xml:space="preserve"> Assessment</w:t>
      </w:r>
      <w:r>
        <w:rPr>
          <w:rFonts w:asciiTheme="majorHAnsi" w:hAnsiTheme="majorHAnsi"/>
        </w:rPr>
        <w:t xml:space="preserve"> (Year</w:t>
      </w:r>
      <w:r w:rsidR="0037039A">
        <w:rPr>
          <w:rFonts w:asciiTheme="majorHAnsi" w:hAnsiTheme="majorHAnsi"/>
        </w:rPr>
        <w:t>s</w:t>
      </w:r>
      <w:r>
        <w:rPr>
          <w:rFonts w:asciiTheme="majorHAnsi" w:hAnsiTheme="majorHAnsi"/>
        </w:rPr>
        <w:t xml:space="preserve"> 2 &amp; 3)</w:t>
      </w:r>
      <w:r w:rsidR="0004679B" w:rsidRPr="00666392">
        <w:rPr>
          <w:rFonts w:asciiTheme="majorHAnsi" w:hAnsiTheme="majorHAnsi"/>
        </w:rPr>
        <w:t xml:space="preserve"> is to capture progress made by </w:t>
      </w:r>
      <w:r w:rsidR="0004679B">
        <w:rPr>
          <w:rFonts w:asciiTheme="majorHAnsi" w:hAnsiTheme="majorHAnsi"/>
        </w:rPr>
        <w:t>the 74</w:t>
      </w:r>
      <w:r w:rsidR="00F36BF4">
        <w:rPr>
          <w:rFonts w:asciiTheme="majorHAnsi" w:hAnsiTheme="majorHAnsi"/>
        </w:rPr>
        <w:t xml:space="preserve"> and 73</w:t>
      </w:r>
      <w:r w:rsidR="0004679B">
        <w:rPr>
          <w:rFonts w:asciiTheme="majorHAnsi" w:hAnsiTheme="majorHAnsi"/>
        </w:rPr>
        <w:t xml:space="preserve"> </w:t>
      </w:r>
      <w:r w:rsidR="00F62C97">
        <w:rPr>
          <w:rFonts w:asciiTheme="majorHAnsi" w:hAnsiTheme="majorHAnsi"/>
        </w:rPr>
        <w:t xml:space="preserve">STLTs participating in </w:t>
      </w:r>
      <w:r w:rsidR="0004679B">
        <w:rPr>
          <w:rFonts w:asciiTheme="majorHAnsi" w:hAnsiTheme="majorHAnsi"/>
        </w:rPr>
        <w:t xml:space="preserve">NPHII </w:t>
      </w:r>
      <w:r w:rsidR="0037039A">
        <w:rPr>
          <w:rFonts w:asciiTheme="majorHAnsi" w:hAnsiTheme="majorHAnsi"/>
        </w:rPr>
        <w:t xml:space="preserve">program </w:t>
      </w:r>
      <w:r w:rsidR="002934B3">
        <w:rPr>
          <w:rFonts w:asciiTheme="majorHAnsi" w:hAnsiTheme="majorHAnsi"/>
        </w:rPr>
        <w:t xml:space="preserve">respectively </w:t>
      </w:r>
      <w:r w:rsidR="0004679B" w:rsidRPr="00666392">
        <w:rPr>
          <w:rFonts w:asciiTheme="majorHAnsi" w:hAnsiTheme="majorHAnsi"/>
        </w:rPr>
        <w:t xml:space="preserve">in </w:t>
      </w:r>
      <w:r w:rsidR="0037039A">
        <w:rPr>
          <w:rFonts w:asciiTheme="majorHAnsi" w:hAnsiTheme="majorHAnsi"/>
        </w:rPr>
        <w:t xml:space="preserve">the </w:t>
      </w:r>
      <w:r w:rsidR="0004679B" w:rsidRPr="00666392">
        <w:rPr>
          <w:rFonts w:asciiTheme="majorHAnsi" w:hAnsiTheme="majorHAnsi"/>
        </w:rPr>
        <w:t xml:space="preserve">areas of accreditation readiness, performance management and quality improvement.  </w:t>
      </w:r>
      <w:r w:rsidR="005B329A">
        <w:rPr>
          <w:rFonts w:asciiTheme="majorHAnsi" w:hAnsiTheme="majorHAnsi" w:cstheme="minorHAnsi"/>
        </w:rPr>
        <w:t xml:space="preserve">Accreditation readiness activities have the potential to improve the performance of public health systems as health departments/organizations implement strategies to address gaps associated with the national public health standards.  Development of </w:t>
      </w:r>
      <w:r w:rsidR="0037039A">
        <w:rPr>
          <w:rFonts w:asciiTheme="majorHAnsi" w:hAnsiTheme="majorHAnsi" w:cstheme="minorHAnsi"/>
        </w:rPr>
        <w:t xml:space="preserve">the </w:t>
      </w:r>
      <w:r w:rsidR="005B329A">
        <w:rPr>
          <w:rFonts w:asciiTheme="majorHAnsi" w:hAnsiTheme="majorHAnsi" w:cstheme="minorHAnsi"/>
        </w:rPr>
        <w:t xml:space="preserve">capacity for performance management and quality improvement in </w:t>
      </w:r>
      <w:r w:rsidR="004A6837">
        <w:rPr>
          <w:rFonts w:asciiTheme="majorHAnsi" w:hAnsiTheme="majorHAnsi" w:cstheme="minorHAnsi"/>
        </w:rPr>
        <w:t xml:space="preserve">STLT </w:t>
      </w:r>
      <w:r w:rsidR="005B329A">
        <w:rPr>
          <w:rFonts w:asciiTheme="majorHAnsi" w:hAnsiTheme="majorHAnsi" w:cstheme="minorHAnsi"/>
        </w:rPr>
        <w:t xml:space="preserve">health departments/organizations is expected to yield gains in efficiency and effectiveness of business- and service-related operations.  </w:t>
      </w:r>
    </w:p>
    <w:p w:rsidR="006A67E6" w:rsidRDefault="006A67E6" w:rsidP="006A67E6">
      <w:pPr>
        <w:spacing w:after="0"/>
        <w:ind w:left="720"/>
        <w:rPr>
          <w:rFonts w:asciiTheme="majorHAnsi" w:hAnsiTheme="majorHAnsi" w:cstheme="minorHAnsi"/>
        </w:rPr>
      </w:pPr>
    </w:p>
    <w:p w:rsidR="0089004A" w:rsidRPr="006A67E6" w:rsidRDefault="0089004A" w:rsidP="006A67E6">
      <w:pPr>
        <w:spacing w:after="0"/>
        <w:ind w:left="720"/>
        <w:rPr>
          <w:rFonts w:asciiTheme="majorHAnsi" w:hAnsiTheme="majorHAnsi"/>
        </w:rPr>
      </w:pPr>
      <w:r>
        <w:rPr>
          <w:rFonts w:asciiTheme="majorHAnsi" w:hAnsiTheme="majorHAnsi" w:cstheme="minorHAnsi"/>
        </w:rPr>
        <w:t>The assessment data will be used for the following purposes:</w:t>
      </w:r>
    </w:p>
    <w:p w:rsidR="000412A7" w:rsidRDefault="00563552" w:rsidP="00563552">
      <w:pPr>
        <w:pStyle w:val="ListParagraph"/>
        <w:numPr>
          <w:ilvl w:val="0"/>
          <w:numId w:val="35"/>
        </w:numPr>
        <w:spacing w:after="0"/>
        <w:rPr>
          <w:rFonts w:asciiTheme="majorHAnsi" w:hAnsiTheme="majorHAnsi" w:cstheme="minorHAnsi"/>
        </w:rPr>
      </w:pPr>
      <w:r w:rsidRPr="00563552">
        <w:rPr>
          <w:rFonts w:asciiTheme="majorHAnsi" w:hAnsiTheme="majorHAnsi" w:cstheme="minorHAnsi"/>
          <w:b/>
        </w:rPr>
        <w:t>Technical Assistance</w:t>
      </w:r>
      <w:r>
        <w:rPr>
          <w:rFonts w:asciiTheme="majorHAnsi" w:hAnsiTheme="majorHAnsi" w:cstheme="minorHAnsi"/>
        </w:rPr>
        <w:t xml:space="preserve"> - </w:t>
      </w:r>
      <w:r w:rsidR="00F30F92">
        <w:rPr>
          <w:rFonts w:asciiTheme="majorHAnsi" w:hAnsiTheme="majorHAnsi" w:cstheme="minorHAnsi"/>
        </w:rPr>
        <w:t xml:space="preserve">The </w:t>
      </w:r>
      <w:r w:rsidR="00E07543">
        <w:rPr>
          <w:rFonts w:asciiTheme="majorHAnsi" w:hAnsiTheme="majorHAnsi" w:cstheme="minorHAnsi"/>
        </w:rPr>
        <w:t>findings</w:t>
      </w:r>
      <w:r w:rsidR="00F30F92">
        <w:rPr>
          <w:rFonts w:asciiTheme="majorHAnsi" w:hAnsiTheme="majorHAnsi" w:cstheme="minorHAnsi"/>
        </w:rPr>
        <w:t xml:space="preserve"> will help i</w:t>
      </w:r>
      <w:r w:rsidR="000412A7">
        <w:rPr>
          <w:rFonts w:asciiTheme="majorHAnsi" w:hAnsiTheme="majorHAnsi" w:cstheme="minorHAnsi"/>
        </w:rPr>
        <w:t>dentif</w:t>
      </w:r>
      <w:r w:rsidR="00F30F92">
        <w:rPr>
          <w:rFonts w:asciiTheme="majorHAnsi" w:hAnsiTheme="majorHAnsi" w:cstheme="minorHAnsi"/>
        </w:rPr>
        <w:t>y</w:t>
      </w:r>
      <w:r w:rsidR="000412A7">
        <w:rPr>
          <w:rFonts w:asciiTheme="majorHAnsi" w:hAnsiTheme="majorHAnsi" w:cstheme="minorHAnsi"/>
        </w:rPr>
        <w:t xml:space="preserve"> facilitators and barriers to achieving program goals</w:t>
      </w:r>
      <w:r w:rsidR="00F30F92">
        <w:rPr>
          <w:rFonts w:asciiTheme="majorHAnsi" w:hAnsiTheme="majorHAnsi" w:cstheme="minorHAnsi"/>
        </w:rPr>
        <w:t>, and</w:t>
      </w:r>
      <w:r w:rsidR="000412A7">
        <w:rPr>
          <w:rFonts w:asciiTheme="majorHAnsi" w:hAnsiTheme="majorHAnsi" w:cstheme="minorHAnsi"/>
        </w:rPr>
        <w:t xml:space="preserve"> will inform the development of technical assistance tools and re</w:t>
      </w:r>
      <w:r w:rsidR="00F30F92">
        <w:rPr>
          <w:rFonts w:asciiTheme="majorHAnsi" w:hAnsiTheme="majorHAnsi" w:cstheme="minorHAnsi"/>
        </w:rPr>
        <w:t>sources</w:t>
      </w:r>
      <w:r w:rsidR="000412A7">
        <w:rPr>
          <w:rFonts w:asciiTheme="majorHAnsi" w:hAnsiTheme="majorHAnsi" w:cstheme="minorHAnsi"/>
        </w:rPr>
        <w:t xml:space="preserve">.  </w:t>
      </w:r>
    </w:p>
    <w:p w:rsidR="000412A7" w:rsidRDefault="00563552" w:rsidP="00563552">
      <w:pPr>
        <w:pStyle w:val="ListParagraph"/>
        <w:numPr>
          <w:ilvl w:val="0"/>
          <w:numId w:val="35"/>
        </w:numPr>
        <w:spacing w:after="0"/>
        <w:rPr>
          <w:rFonts w:asciiTheme="majorHAnsi" w:hAnsiTheme="majorHAnsi" w:cstheme="minorHAnsi"/>
        </w:rPr>
      </w:pPr>
      <w:r w:rsidRPr="00563552">
        <w:rPr>
          <w:rFonts w:asciiTheme="majorHAnsi" w:hAnsiTheme="majorHAnsi" w:cstheme="minorHAnsi"/>
          <w:b/>
        </w:rPr>
        <w:t>Program recommendations</w:t>
      </w:r>
      <w:r>
        <w:rPr>
          <w:rFonts w:asciiTheme="majorHAnsi" w:hAnsiTheme="majorHAnsi" w:cstheme="minorHAnsi"/>
        </w:rPr>
        <w:t xml:space="preserve"> - </w:t>
      </w:r>
      <w:r w:rsidR="000412A7">
        <w:rPr>
          <w:rFonts w:asciiTheme="majorHAnsi" w:hAnsiTheme="majorHAnsi" w:cstheme="minorHAnsi"/>
        </w:rPr>
        <w:t xml:space="preserve">Findings from the annual assessment will be used to </w:t>
      </w:r>
      <w:r w:rsidR="00F30F92">
        <w:rPr>
          <w:rFonts w:asciiTheme="majorHAnsi" w:hAnsiTheme="majorHAnsi" w:cstheme="minorHAnsi"/>
        </w:rPr>
        <w:t xml:space="preserve">understand the </w:t>
      </w:r>
      <w:r w:rsidR="008F7868">
        <w:rPr>
          <w:rFonts w:asciiTheme="majorHAnsi" w:hAnsiTheme="majorHAnsi" w:cstheme="minorHAnsi"/>
        </w:rPr>
        <w:t xml:space="preserve">successes and areas for further improvement of the </w:t>
      </w:r>
      <w:r w:rsidR="00F30F92">
        <w:rPr>
          <w:rFonts w:asciiTheme="majorHAnsi" w:hAnsiTheme="majorHAnsi" w:cstheme="minorHAnsi"/>
        </w:rPr>
        <w:t xml:space="preserve">program and generate recommendations for how NPHII can be improved.  </w:t>
      </w:r>
    </w:p>
    <w:p w:rsidR="00825BBE" w:rsidRDefault="00825BBE" w:rsidP="00825BBE">
      <w:pPr>
        <w:pStyle w:val="ListParagraph"/>
        <w:spacing w:after="0"/>
        <w:ind w:left="1440"/>
        <w:rPr>
          <w:rFonts w:asciiTheme="majorHAnsi" w:hAnsiTheme="majorHAnsi" w:cstheme="minorHAnsi"/>
        </w:rPr>
      </w:pPr>
    </w:p>
    <w:p w:rsidR="0073139C" w:rsidRPr="00563552" w:rsidRDefault="00F62C97" w:rsidP="00563552">
      <w:pPr>
        <w:pStyle w:val="ListParagraph"/>
        <w:numPr>
          <w:ilvl w:val="0"/>
          <w:numId w:val="35"/>
        </w:numPr>
        <w:spacing w:after="0"/>
        <w:rPr>
          <w:rFonts w:asciiTheme="majorHAnsi" w:hAnsiTheme="majorHAnsi" w:cstheme="minorHAnsi"/>
        </w:rPr>
      </w:pPr>
      <w:r>
        <w:rPr>
          <w:rFonts w:asciiTheme="majorHAnsi" w:hAnsiTheme="majorHAnsi" w:cstheme="minorHAnsi"/>
          <w:b/>
        </w:rPr>
        <w:lastRenderedPageBreak/>
        <w:t xml:space="preserve">Report </w:t>
      </w:r>
      <w:r w:rsidR="00563552" w:rsidRPr="00563552">
        <w:rPr>
          <w:rFonts w:asciiTheme="majorHAnsi" w:hAnsiTheme="majorHAnsi" w:cstheme="minorHAnsi"/>
          <w:b/>
        </w:rPr>
        <w:t>Deliverables</w:t>
      </w:r>
      <w:r w:rsidR="00563552">
        <w:rPr>
          <w:rFonts w:asciiTheme="majorHAnsi" w:hAnsiTheme="majorHAnsi" w:cstheme="minorHAnsi"/>
        </w:rPr>
        <w:t xml:space="preserve"> - </w:t>
      </w:r>
      <w:r w:rsidR="00E07543">
        <w:rPr>
          <w:rFonts w:asciiTheme="majorHAnsi" w:hAnsiTheme="majorHAnsi" w:cstheme="minorHAnsi"/>
        </w:rPr>
        <w:t>F</w:t>
      </w:r>
      <w:r w:rsidR="0073139C" w:rsidRPr="00563552">
        <w:rPr>
          <w:rFonts w:asciiTheme="majorHAnsi" w:hAnsiTheme="majorHAnsi" w:cstheme="minorHAnsi"/>
        </w:rPr>
        <w:t xml:space="preserve">indings will be shared </w:t>
      </w:r>
      <w:r w:rsidR="00F30F92">
        <w:rPr>
          <w:rFonts w:asciiTheme="majorHAnsi" w:hAnsiTheme="majorHAnsi" w:cstheme="minorHAnsi"/>
        </w:rPr>
        <w:t xml:space="preserve">with various audiences </w:t>
      </w:r>
      <w:r w:rsidR="0073139C" w:rsidRPr="00563552">
        <w:rPr>
          <w:rFonts w:asciiTheme="majorHAnsi" w:hAnsiTheme="majorHAnsi" w:cstheme="minorHAnsi"/>
        </w:rPr>
        <w:t xml:space="preserve">through </w:t>
      </w:r>
      <w:r w:rsidR="00F30F92">
        <w:rPr>
          <w:rFonts w:asciiTheme="majorHAnsi" w:hAnsiTheme="majorHAnsi" w:cstheme="minorHAnsi"/>
        </w:rPr>
        <w:t>the following</w:t>
      </w:r>
      <w:r w:rsidR="00F30F92" w:rsidRPr="00563552">
        <w:rPr>
          <w:rFonts w:asciiTheme="majorHAnsi" w:hAnsiTheme="majorHAnsi" w:cstheme="minorHAnsi"/>
        </w:rPr>
        <w:t xml:space="preserve"> </w:t>
      </w:r>
      <w:r w:rsidR="0073139C" w:rsidRPr="00563552">
        <w:rPr>
          <w:rFonts w:asciiTheme="majorHAnsi" w:hAnsiTheme="majorHAnsi" w:cstheme="minorHAnsi"/>
        </w:rPr>
        <w:t>deliverables:</w:t>
      </w:r>
    </w:p>
    <w:p w:rsidR="007B558B" w:rsidRDefault="0073139C" w:rsidP="00563552">
      <w:pPr>
        <w:pStyle w:val="ListParagraph"/>
        <w:numPr>
          <w:ilvl w:val="0"/>
          <w:numId w:val="36"/>
        </w:numPr>
        <w:spacing w:after="0"/>
        <w:rPr>
          <w:rFonts w:asciiTheme="majorHAnsi" w:hAnsiTheme="majorHAnsi" w:cstheme="minorHAnsi"/>
        </w:rPr>
      </w:pPr>
      <w:r>
        <w:rPr>
          <w:rFonts w:asciiTheme="majorHAnsi" w:hAnsiTheme="majorHAnsi" w:cstheme="minorHAnsi"/>
        </w:rPr>
        <w:t xml:space="preserve">Individual </w:t>
      </w:r>
      <w:r w:rsidR="00890256">
        <w:rPr>
          <w:rFonts w:asciiTheme="majorHAnsi" w:hAnsiTheme="majorHAnsi" w:cstheme="minorHAnsi"/>
        </w:rPr>
        <w:t xml:space="preserve">grantee </w:t>
      </w:r>
      <w:r>
        <w:rPr>
          <w:rFonts w:asciiTheme="majorHAnsi" w:hAnsiTheme="majorHAnsi" w:cstheme="minorHAnsi"/>
        </w:rPr>
        <w:t>report</w:t>
      </w:r>
      <w:r w:rsidR="008F7868">
        <w:rPr>
          <w:rFonts w:asciiTheme="majorHAnsi" w:hAnsiTheme="majorHAnsi" w:cstheme="minorHAnsi"/>
        </w:rPr>
        <w:t>s</w:t>
      </w:r>
      <w:r>
        <w:rPr>
          <w:rFonts w:asciiTheme="majorHAnsi" w:hAnsiTheme="majorHAnsi" w:cstheme="minorHAnsi"/>
        </w:rPr>
        <w:t xml:space="preserve"> – these reports will include analysis of </w:t>
      </w:r>
      <w:r w:rsidR="008F7868">
        <w:rPr>
          <w:rFonts w:asciiTheme="majorHAnsi" w:hAnsiTheme="majorHAnsi" w:cstheme="minorHAnsi"/>
        </w:rPr>
        <w:t xml:space="preserve">individual </w:t>
      </w:r>
      <w:r w:rsidR="00890256">
        <w:rPr>
          <w:rFonts w:asciiTheme="majorHAnsi" w:hAnsiTheme="majorHAnsi" w:cstheme="minorHAnsi"/>
        </w:rPr>
        <w:t>STLT</w:t>
      </w:r>
      <w:r>
        <w:rPr>
          <w:rFonts w:asciiTheme="majorHAnsi" w:hAnsiTheme="majorHAnsi" w:cstheme="minorHAnsi"/>
        </w:rPr>
        <w:t xml:space="preserve"> progress over time and/or a comparison of their progress to all other </w:t>
      </w:r>
      <w:r w:rsidR="00890256">
        <w:rPr>
          <w:rFonts w:asciiTheme="majorHAnsi" w:hAnsiTheme="majorHAnsi" w:cstheme="minorHAnsi"/>
        </w:rPr>
        <w:t>STLTs</w:t>
      </w:r>
      <w:r>
        <w:rPr>
          <w:rFonts w:asciiTheme="majorHAnsi" w:hAnsiTheme="majorHAnsi" w:cstheme="minorHAnsi"/>
        </w:rPr>
        <w:t xml:space="preserve">.  These reports will be shared with </w:t>
      </w:r>
      <w:r w:rsidR="008F7868">
        <w:rPr>
          <w:rFonts w:asciiTheme="majorHAnsi" w:hAnsiTheme="majorHAnsi" w:cstheme="minorHAnsi"/>
        </w:rPr>
        <w:t xml:space="preserve">the individual </w:t>
      </w:r>
      <w:r w:rsidR="00890256">
        <w:rPr>
          <w:rFonts w:asciiTheme="majorHAnsi" w:hAnsiTheme="majorHAnsi" w:cstheme="minorHAnsi"/>
        </w:rPr>
        <w:t>STLT</w:t>
      </w:r>
      <w:r>
        <w:rPr>
          <w:rFonts w:asciiTheme="majorHAnsi" w:hAnsiTheme="majorHAnsi" w:cstheme="minorHAnsi"/>
        </w:rPr>
        <w:t xml:space="preserve"> only</w:t>
      </w:r>
      <w:r w:rsidR="008F7868">
        <w:rPr>
          <w:rFonts w:asciiTheme="majorHAnsi" w:hAnsiTheme="majorHAnsi" w:cstheme="minorHAnsi"/>
        </w:rPr>
        <w:t xml:space="preserve"> (i.e., the Alabama health department will receive a report that includes only data on its progress and/or a comparison of its responses to other STLTS in aggregate)</w:t>
      </w:r>
      <w:r>
        <w:rPr>
          <w:rFonts w:asciiTheme="majorHAnsi" w:hAnsiTheme="majorHAnsi" w:cstheme="minorHAnsi"/>
        </w:rPr>
        <w:t>.</w:t>
      </w:r>
    </w:p>
    <w:p w:rsidR="0073139C" w:rsidRDefault="0073139C" w:rsidP="00563552">
      <w:pPr>
        <w:pStyle w:val="ListParagraph"/>
        <w:numPr>
          <w:ilvl w:val="0"/>
          <w:numId w:val="36"/>
        </w:numPr>
        <w:spacing w:after="0"/>
        <w:rPr>
          <w:rFonts w:asciiTheme="majorHAnsi" w:hAnsiTheme="majorHAnsi" w:cstheme="minorHAnsi"/>
        </w:rPr>
      </w:pPr>
      <w:r>
        <w:rPr>
          <w:rFonts w:asciiTheme="majorHAnsi" w:hAnsiTheme="majorHAnsi" w:cstheme="minorHAnsi"/>
        </w:rPr>
        <w:t xml:space="preserve">Lunch and learn – An hour-long session for OSTLTS staff, to include a presentation on </w:t>
      </w:r>
      <w:r w:rsidR="008F7868">
        <w:rPr>
          <w:rFonts w:asciiTheme="majorHAnsi" w:hAnsiTheme="majorHAnsi" w:cstheme="minorHAnsi"/>
        </w:rPr>
        <w:t xml:space="preserve">aggregate </w:t>
      </w:r>
      <w:r>
        <w:rPr>
          <w:rFonts w:asciiTheme="majorHAnsi" w:hAnsiTheme="majorHAnsi" w:cstheme="minorHAnsi"/>
        </w:rPr>
        <w:t>findings as well as a question and answer session</w:t>
      </w:r>
    </w:p>
    <w:p w:rsidR="0073139C" w:rsidRDefault="0073139C" w:rsidP="00563552">
      <w:pPr>
        <w:pStyle w:val="ListParagraph"/>
        <w:numPr>
          <w:ilvl w:val="0"/>
          <w:numId w:val="36"/>
        </w:numPr>
        <w:spacing w:after="0"/>
        <w:rPr>
          <w:rFonts w:asciiTheme="majorHAnsi" w:hAnsiTheme="majorHAnsi" w:cstheme="minorHAnsi"/>
        </w:rPr>
      </w:pPr>
      <w:r>
        <w:rPr>
          <w:rFonts w:asciiTheme="majorHAnsi" w:hAnsiTheme="majorHAnsi" w:cstheme="minorHAnsi"/>
        </w:rPr>
        <w:t xml:space="preserve">Brief reports – A series of brief one to two page reports focusing on specific sections of the assessment (accreditation readiness, efficiency and effectiveness, and </w:t>
      </w:r>
      <w:r w:rsidR="00890256">
        <w:rPr>
          <w:rFonts w:asciiTheme="majorHAnsi" w:hAnsiTheme="majorHAnsi" w:cstheme="minorHAnsi"/>
        </w:rPr>
        <w:t>STLT</w:t>
      </w:r>
      <w:r>
        <w:rPr>
          <w:rFonts w:asciiTheme="majorHAnsi" w:hAnsiTheme="majorHAnsi" w:cstheme="minorHAnsi"/>
        </w:rPr>
        <w:t xml:space="preserve"> environment for performance management and QI).  These reports are intended to inform stakeholders of the</w:t>
      </w:r>
      <w:r w:rsidR="00346E66">
        <w:rPr>
          <w:rFonts w:asciiTheme="majorHAnsi" w:hAnsiTheme="majorHAnsi" w:cstheme="minorHAnsi"/>
        </w:rPr>
        <w:t xml:space="preserve"> progress made by NPHII </w:t>
      </w:r>
      <w:r w:rsidR="00890256">
        <w:rPr>
          <w:rFonts w:asciiTheme="majorHAnsi" w:hAnsiTheme="majorHAnsi" w:cstheme="minorHAnsi"/>
        </w:rPr>
        <w:t>STLTs</w:t>
      </w:r>
      <w:r w:rsidR="00346E66">
        <w:rPr>
          <w:rFonts w:asciiTheme="majorHAnsi" w:hAnsiTheme="majorHAnsi" w:cstheme="minorHAnsi"/>
        </w:rPr>
        <w:t>.</w:t>
      </w:r>
      <w:r>
        <w:rPr>
          <w:rFonts w:asciiTheme="majorHAnsi" w:hAnsiTheme="majorHAnsi" w:cstheme="minorHAnsi"/>
        </w:rPr>
        <w:t xml:space="preserve"> </w:t>
      </w:r>
    </w:p>
    <w:p w:rsidR="0073139C" w:rsidRPr="0073139C" w:rsidRDefault="0073139C" w:rsidP="00563552">
      <w:pPr>
        <w:pStyle w:val="ListParagraph"/>
        <w:numPr>
          <w:ilvl w:val="0"/>
          <w:numId w:val="36"/>
        </w:numPr>
        <w:spacing w:after="0"/>
        <w:rPr>
          <w:rFonts w:asciiTheme="majorHAnsi" w:hAnsiTheme="majorHAnsi" w:cstheme="minorHAnsi"/>
        </w:rPr>
      </w:pPr>
      <w:r>
        <w:rPr>
          <w:rFonts w:asciiTheme="majorHAnsi" w:hAnsiTheme="majorHAnsi" w:cstheme="minorHAnsi"/>
        </w:rPr>
        <w:t>Summary report – mid-length report that will highlight key findings from the assessment</w:t>
      </w:r>
      <w:r w:rsidR="00385745">
        <w:rPr>
          <w:rFonts w:asciiTheme="majorHAnsi" w:hAnsiTheme="majorHAnsi" w:cstheme="minorHAnsi"/>
        </w:rPr>
        <w:t xml:space="preserve"> as well as programmatic implications and future evaluation opportunities</w:t>
      </w:r>
    </w:p>
    <w:p w:rsidR="007B558B" w:rsidRPr="00666392" w:rsidRDefault="007B558B" w:rsidP="00C43C8B">
      <w:pPr>
        <w:spacing w:after="0"/>
        <w:ind w:left="720"/>
        <w:rPr>
          <w:rFonts w:asciiTheme="majorHAnsi" w:hAnsiTheme="majorHAnsi" w:cstheme="minorHAnsi"/>
        </w:rPr>
      </w:pPr>
    </w:p>
    <w:p w:rsidR="006A67E6" w:rsidRDefault="006A67E6" w:rsidP="00957B87">
      <w:pPr>
        <w:spacing w:after="0"/>
        <w:ind w:left="720"/>
        <w:rPr>
          <w:rFonts w:asciiTheme="majorHAnsi" w:hAnsiTheme="majorHAnsi" w:cstheme="minorHAnsi"/>
        </w:rPr>
      </w:pPr>
      <w:r w:rsidRPr="00666392">
        <w:rPr>
          <w:rFonts w:asciiTheme="majorHAnsi" w:hAnsiTheme="majorHAnsi" w:cstheme="minorHAnsi"/>
        </w:rPr>
        <w:t xml:space="preserve">The key stakeholders for the evaluation are Congress, the U.S. Department of Health and Human Services, CDC, national partners, and the NPHII </w:t>
      </w:r>
      <w:r>
        <w:rPr>
          <w:rFonts w:asciiTheme="majorHAnsi" w:hAnsiTheme="majorHAnsi" w:cstheme="minorHAnsi"/>
        </w:rPr>
        <w:t>STLT</w:t>
      </w:r>
      <w:r w:rsidRPr="00666392">
        <w:rPr>
          <w:rFonts w:asciiTheme="majorHAnsi" w:hAnsiTheme="majorHAnsi" w:cstheme="minorHAnsi"/>
        </w:rPr>
        <w:t>s.</w:t>
      </w:r>
      <w:r>
        <w:rPr>
          <w:rFonts w:asciiTheme="majorHAnsi" w:hAnsiTheme="majorHAnsi" w:cstheme="minorHAnsi"/>
        </w:rPr>
        <w:t xml:space="preserve">  </w:t>
      </w:r>
    </w:p>
    <w:p w:rsidR="006A67E6" w:rsidRDefault="006A67E6" w:rsidP="00957B87">
      <w:pPr>
        <w:spacing w:after="0"/>
        <w:ind w:left="720"/>
        <w:rPr>
          <w:rFonts w:asciiTheme="majorHAnsi" w:hAnsiTheme="majorHAnsi"/>
          <w:u w:val="single"/>
        </w:rPr>
      </w:pPr>
    </w:p>
    <w:p w:rsidR="00957B87" w:rsidRPr="00C17908" w:rsidRDefault="006102DA" w:rsidP="00957B87">
      <w:pPr>
        <w:spacing w:after="0"/>
        <w:ind w:left="720"/>
        <w:rPr>
          <w:rFonts w:asciiTheme="majorHAnsi" w:hAnsiTheme="majorHAnsi"/>
        </w:rPr>
      </w:pPr>
      <w:r>
        <w:rPr>
          <w:rFonts w:asciiTheme="majorHAnsi" w:hAnsiTheme="majorHAnsi"/>
          <w:u w:val="single"/>
        </w:rPr>
        <w:t>Privacy Impact Assessment</w:t>
      </w:r>
      <w:r w:rsidR="007B558B">
        <w:rPr>
          <w:rFonts w:asciiTheme="majorHAnsi" w:hAnsiTheme="majorHAnsi"/>
          <w:u w:val="single"/>
        </w:rPr>
        <w:t>:</w:t>
      </w:r>
      <w:r w:rsidR="007B558B">
        <w:rPr>
          <w:rFonts w:asciiTheme="majorHAnsi" w:hAnsiTheme="majorHAnsi"/>
        </w:rPr>
        <w:t xml:space="preserve">  </w:t>
      </w:r>
      <w:r w:rsidR="00957B87">
        <w:rPr>
          <w:rFonts w:asciiTheme="majorHAnsi" w:hAnsiTheme="majorHAnsi"/>
        </w:rPr>
        <w:t>No sensitive information is being collected.  No individually identifiable information is being collected.  The proposed data collection will have little or no effect on respondent privacy</w:t>
      </w:r>
      <w:r w:rsidR="009D04A1">
        <w:rPr>
          <w:rFonts w:asciiTheme="majorHAnsi" w:hAnsiTheme="majorHAnsi"/>
        </w:rPr>
        <w:t xml:space="preserve"> as no names or other personally identifiable information will be collected via the assessment</w:t>
      </w:r>
      <w:r w:rsidR="00957B87">
        <w:rPr>
          <w:rFonts w:asciiTheme="majorHAnsi" w:hAnsiTheme="majorHAnsi"/>
        </w:rPr>
        <w:t>.  Respondents are participating in their official capacity as Performance Improvement Managers in state, tribal, local and territorial departments of health.</w:t>
      </w:r>
    </w:p>
    <w:p w:rsidR="00F52BCC" w:rsidRPr="001831A5" w:rsidRDefault="00F52BCC" w:rsidP="00563552">
      <w:pPr>
        <w:spacing w:after="0"/>
        <w:ind w:firstLine="720"/>
      </w:pPr>
    </w:p>
    <w:p w:rsidR="005320C6" w:rsidRPr="00CA1B22" w:rsidRDefault="005320C6" w:rsidP="00CA1B22">
      <w:pPr>
        <w:pStyle w:val="ListParagraph"/>
        <w:numPr>
          <w:ilvl w:val="0"/>
          <w:numId w:val="2"/>
        </w:numPr>
        <w:spacing w:after="0"/>
        <w:rPr>
          <w:rFonts w:asciiTheme="majorHAnsi" w:hAnsiTheme="majorHAnsi"/>
          <w:b/>
        </w:rPr>
      </w:pPr>
      <w:r w:rsidRPr="00CA1B22">
        <w:rPr>
          <w:rFonts w:asciiTheme="majorHAnsi" w:hAnsiTheme="majorHAnsi"/>
          <w:b/>
          <w:bCs/>
        </w:rPr>
        <w:t>Use of Improved Information Technology and Burden Reduction</w:t>
      </w:r>
    </w:p>
    <w:p w:rsidR="00F52BCC" w:rsidRDefault="00DC79CC" w:rsidP="00F52BCC">
      <w:pPr>
        <w:pStyle w:val="ListParagraph"/>
        <w:spacing w:after="0"/>
        <w:rPr>
          <w:rFonts w:asciiTheme="majorHAnsi" w:hAnsiTheme="majorHAnsi"/>
        </w:rPr>
      </w:pPr>
      <w:r>
        <w:rPr>
          <w:rFonts w:asciiTheme="majorHAnsi" w:hAnsiTheme="majorHAnsi"/>
        </w:rPr>
        <w:t>Data wil</w:t>
      </w:r>
      <w:r w:rsidR="00B73348">
        <w:rPr>
          <w:rFonts w:asciiTheme="majorHAnsi" w:hAnsiTheme="majorHAnsi"/>
        </w:rPr>
        <w:t>l be collected via a web-based tool</w:t>
      </w:r>
      <w:r>
        <w:rPr>
          <w:rFonts w:asciiTheme="majorHAnsi" w:hAnsiTheme="majorHAnsi"/>
        </w:rPr>
        <w:t xml:space="preserve"> allowing respondents to complete and submit their responses electronically. </w:t>
      </w:r>
      <w:r w:rsidR="00B73348">
        <w:rPr>
          <w:rFonts w:asciiTheme="majorHAnsi" w:hAnsiTheme="majorHAnsi"/>
        </w:rPr>
        <w:t xml:space="preserve">The web-based tool allows respondents to either complete the assessment in one sitting or to save and return to it at a later time. </w:t>
      </w:r>
      <w:r>
        <w:rPr>
          <w:rFonts w:asciiTheme="majorHAnsi" w:hAnsiTheme="majorHAnsi"/>
        </w:rPr>
        <w:t xml:space="preserve">This method was chosen to reduce the overall burden on respondents. The </w:t>
      </w:r>
      <w:r w:rsidR="002D0046">
        <w:rPr>
          <w:rFonts w:asciiTheme="majorHAnsi" w:hAnsiTheme="majorHAnsi"/>
        </w:rPr>
        <w:t>data collection tool</w:t>
      </w:r>
      <w:r>
        <w:rPr>
          <w:rFonts w:asciiTheme="majorHAnsi" w:hAnsiTheme="majorHAnsi"/>
        </w:rPr>
        <w:t xml:space="preserve"> was designed to collect the minimum information necessary for the purposes of this project (i.e., limited to </w:t>
      </w:r>
      <w:r w:rsidR="00C21C6B">
        <w:rPr>
          <w:rFonts w:asciiTheme="majorHAnsi" w:hAnsiTheme="majorHAnsi"/>
        </w:rPr>
        <w:t>66</w:t>
      </w:r>
      <w:r w:rsidR="00563552">
        <w:rPr>
          <w:rFonts w:asciiTheme="majorHAnsi" w:hAnsiTheme="majorHAnsi"/>
        </w:rPr>
        <w:t xml:space="preserve"> </w:t>
      </w:r>
      <w:r w:rsidR="008414AD">
        <w:rPr>
          <w:rFonts w:asciiTheme="majorHAnsi" w:hAnsiTheme="majorHAnsi"/>
        </w:rPr>
        <w:t>questions</w:t>
      </w:r>
      <w:r w:rsidR="00B73348">
        <w:rPr>
          <w:rFonts w:asciiTheme="majorHAnsi" w:hAnsiTheme="majorHAnsi"/>
        </w:rPr>
        <w:t xml:space="preserve"> with appropriate skip patterns</w:t>
      </w:r>
      <w:r>
        <w:rPr>
          <w:rFonts w:asciiTheme="majorHAnsi" w:hAnsiTheme="majorHAnsi"/>
        </w:rPr>
        <w:t>).</w:t>
      </w:r>
      <w:r w:rsidR="00957B87">
        <w:rPr>
          <w:rFonts w:asciiTheme="majorHAnsi" w:hAnsiTheme="majorHAnsi"/>
        </w:rPr>
        <w:t xml:space="preserve">  Screen shots of the web</w:t>
      </w:r>
      <w:r w:rsidR="002D0046">
        <w:rPr>
          <w:rFonts w:asciiTheme="majorHAnsi" w:hAnsiTheme="majorHAnsi"/>
        </w:rPr>
        <w:t>-based data collection tool</w:t>
      </w:r>
      <w:r w:rsidR="00957B87">
        <w:rPr>
          <w:rFonts w:asciiTheme="majorHAnsi" w:hAnsiTheme="majorHAnsi"/>
        </w:rPr>
        <w:t xml:space="preserve"> can be found in </w:t>
      </w:r>
      <w:r w:rsidR="00C610A0" w:rsidRPr="00C610A0">
        <w:rPr>
          <w:rFonts w:asciiTheme="majorHAnsi" w:hAnsiTheme="majorHAnsi"/>
          <w:b/>
        </w:rPr>
        <w:t xml:space="preserve">(Attachment </w:t>
      </w:r>
      <w:r w:rsidR="00CA2844">
        <w:rPr>
          <w:rFonts w:asciiTheme="majorHAnsi" w:hAnsiTheme="majorHAnsi"/>
          <w:b/>
        </w:rPr>
        <w:t>H</w:t>
      </w:r>
      <w:r w:rsidR="00C610A0" w:rsidRPr="00C610A0">
        <w:rPr>
          <w:rFonts w:asciiTheme="majorHAnsi" w:hAnsiTheme="majorHAnsi"/>
          <w:b/>
        </w:rPr>
        <w:t xml:space="preserve"> – NPHII Assessment Screen Shots</w:t>
      </w:r>
      <w:r w:rsidR="00C610A0">
        <w:rPr>
          <w:rFonts w:asciiTheme="majorHAnsi" w:hAnsiTheme="majorHAnsi"/>
          <w:b/>
        </w:rPr>
        <w:t>).</w:t>
      </w:r>
    </w:p>
    <w:p w:rsidR="00E8736B" w:rsidRDefault="00E8736B" w:rsidP="00F52BCC">
      <w:pPr>
        <w:pStyle w:val="ListParagraph"/>
        <w:spacing w:after="0"/>
        <w:rPr>
          <w:rFonts w:asciiTheme="majorHAnsi" w:hAnsiTheme="majorHAnsi"/>
        </w:rPr>
      </w:pPr>
    </w:p>
    <w:p w:rsidR="005320C6" w:rsidRPr="00CA1B22" w:rsidRDefault="005320C6" w:rsidP="00CA1B22">
      <w:pPr>
        <w:pStyle w:val="ListParagraph"/>
        <w:numPr>
          <w:ilvl w:val="0"/>
          <w:numId w:val="2"/>
        </w:numPr>
        <w:spacing w:after="0"/>
        <w:rPr>
          <w:rFonts w:asciiTheme="majorHAnsi" w:hAnsiTheme="majorHAnsi"/>
        </w:rPr>
      </w:pPr>
      <w:r w:rsidRPr="00CA1B22">
        <w:rPr>
          <w:rFonts w:asciiTheme="majorHAnsi" w:hAnsiTheme="majorHAnsi"/>
          <w:b/>
          <w:bCs/>
        </w:rPr>
        <w:t>Efforts to Identify Duplication and Use of Similar Information</w:t>
      </w:r>
    </w:p>
    <w:p w:rsidR="00DC7533" w:rsidRPr="005320C6" w:rsidRDefault="00957B87" w:rsidP="005320C6">
      <w:pPr>
        <w:pStyle w:val="ListParagraph"/>
        <w:spacing w:after="0"/>
        <w:rPr>
          <w:rFonts w:asciiTheme="majorHAnsi" w:hAnsiTheme="majorHAnsi"/>
        </w:rPr>
      </w:pPr>
      <w:r w:rsidRPr="005320C6">
        <w:rPr>
          <w:rFonts w:asciiTheme="majorHAnsi" w:hAnsiTheme="majorHAnsi"/>
        </w:rPr>
        <w:t xml:space="preserve">This </w:t>
      </w:r>
      <w:r w:rsidR="002D4ACF">
        <w:rPr>
          <w:rFonts w:asciiTheme="majorHAnsi" w:hAnsiTheme="majorHAnsi"/>
        </w:rPr>
        <w:t>data collection tool</w:t>
      </w:r>
      <w:r w:rsidRPr="005320C6">
        <w:rPr>
          <w:rFonts w:asciiTheme="majorHAnsi" w:hAnsiTheme="majorHAnsi"/>
        </w:rPr>
        <w:t xml:space="preserve"> is intended to </w:t>
      </w:r>
      <w:r w:rsidR="00EC23D4" w:rsidRPr="005320C6">
        <w:rPr>
          <w:rFonts w:asciiTheme="majorHAnsi" w:hAnsiTheme="majorHAnsi"/>
        </w:rPr>
        <w:t xml:space="preserve">measure progress made by </w:t>
      </w:r>
      <w:r w:rsidR="00B72ED9" w:rsidRPr="005320C6">
        <w:rPr>
          <w:rFonts w:asciiTheme="majorHAnsi" w:hAnsiTheme="majorHAnsi"/>
        </w:rPr>
        <w:t>NPHII</w:t>
      </w:r>
      <w:r w:rsidR="009159E8">
        <w:rPr>
          <w:rFonts w:asciiTheme="majorHAnsi" w:hAnsiTheme="majorHAnsi"/>
        </w:rPr>
        <w:t>-funded</w:t>
      </w:r>
      <w:r w:rsidR="00B72ED9" w:rsidRPr="005320C6">
        <w:rPr>
          <w:rFonts w:asciiTheme="majorHAnsi" w:hAnsiTheme="majorHAnsi"/>
        </w:rPr>
        <w:t xml:space="preserve"> </w:t>
      </w:r>
      <w:r w:rsidR="00295050">
        <w:rPr>
          <w:rFonts w:asciiTheme="majorHAnsi" w:hAnsiTheme="majorHAnsi"/>
        </w:rPr>
        <w:t>STLT</w:t>
      </w:r>
      <w:r w:rsidR="00EC23D4" w:rsidRPr="005320C6">
        <w:rPr>
          <w:rFonts w:asciiTheme="majorHAnsi" w:hAnsiTheme="majorHAnsi"/>
        </w:rPr>
        <w:t xml:space="preserve">s in </w:t>
      </w:r>
      <w:r w:rsidR="009B0400">
        <w:rPr>
          <w:rFonts w:asciiTheme="majorHAnsi" w:hAnsiTheme="majorHAnsi"/>
        </w:rPr>
        <w:t xml:space="preserve">the </w:t>
      </w:r>
      <w:r w:rsidR="00EC23D4" w:rsidRPr="005320C6">
        <w:rPr>
          <w:rFonts w:asciiTheme="majorHAnsi" w:hAnsiTheme="majorHAnsi"/>
        </w:rPr>
        <w:t>areas of accreditation readiness, performance management and quality improvement.  There is no information availa</w:t>
      </w:r>
      <w:r w:rsidR="00B72ED9" w:rsidRPr="005320C6">
        <w:rPr>
          <w:rFonts w:asciiTheme="majorHAnsi" w:hAnsiTheme="majorHAnsi"/>
        </w:rPr>
        <w:t xml:space="preserve">ble that can substitute for this data collection </w:t>
      </w:r>
      <w:r w:rsidR="00833D69" w:rsidRPr="005320C6">
        <w:rPr>
          <w:rFonts w:asciiTheme="majorHAnsi" w:hAnsiTheme="majorHAnsi"/>
        </w:rPr>
        <w:t xml:space="preserve">as this universe of </w:t>
      </w:r>
      <w:r w:rsidR="00295050">
        <w:rPr>
          <w:rFonts w:asciiTheme="majorHAnsi" w:hAnsiTheme="majorHAnsi"/>
        </w:rPr>
        <w:t>STLT</w:t>
      </w:r>
      <w:r w:rsidR="00833D69" w:rsidRPr="005320C6">
        <w:rPr>
          <w:rFonts w:asciiTheme="majorHAnsi" w:hAnsiTheme="majorHAnsi"/>
        </w:rPr>
        <w:t>s has not reported data on these activities for this particular time p</w:t>
      </w:r>
      <w:r w:rsidR="002D4ACF">
        <w:rPr>
          <w:rFonts w:asciiTheme="majorHAnsi" w:hAnsiTheme="majorHAnsi"/>
        </w:rPr>
        <w:t xml:space="preserve">eriod through other mechanisms.  The </w:t>
      </w:r>
      <w:r w:rsidR="00833D69" w:rsidRPr="005320C6">
        <w:rPr>
          <w:rFonts w:asciiTheme="majorHAnsi" w:hAnsiTheme="majorHAnsi"/>
        </w:rPr>
        <w:t xml:space="preserve">NPHII </w:t>
      </w:r>
      <w:r w:rsidR="002D4ACF">
        <w:rPr>
          <w:rFonts w:asciiTheme="majorHAnsi" w:hAnsiTheme="majorHAnsi"/>
        </w:rPr>
        <w:t xml:space="preserve">assessment captures more </w:t>
      </w:r>
      <w:r w:rsidR="00F863F9">
        <w:rPr>
          <w:rFonts w:asciiTheme="majorHAnsi" w:hAnsiTheme="majorHAnsi"/>
        </w:rPr>
        <w:t>standardized</w:t>
      </w:r>
      <w:r w:rsidR="009B0400">
        <w:rPr>
          <w:rFonts w:asciiTheme="majorHAnsi" w:hAnsiTheme="majorHAnsi"/>
        </w:rPr>
        <w:t xml:space="preserve">, </w:t>
      </w:r>
      <w:r w:rsidR="002D4ACF">
        <w:rPr>
          <w:rFonts w:asciiTheme="majorHAnsi" w:hAnsiTheme="majorHAnsi"/>
        </w:rPr>
        <w:t xml:space="preserve">outcome-based data </w:t>
      </w:r>
      <w:r w:rsidR="009B0400">
        <w:rPr>
          <w:rFonts w:asciiTheme="majorHAnsi" w:hAnsiTheme="majorHAnsi"/>
        </w:rPr>
        <w:t>than is available in the interim and annual progress reporting, which focus</w:t>
      </w:r>
      <w:r w:rsidR="002D4ACF">
        <w:rPr>
          <w:rFonts w:asciiTheme="majorHAnsi" w:hAnsiTheme="majorHAnsi"/>
        </w:rPr>
        <w:t xml:space="preserve"> </w:t>
      </w:r>
      <w:r w:rsidR="00833D69" w:rsidRPr="005320C6">
        <w:rPr>
          <w:rFonts w:asciiTheme="majorHAnsi" w:hAnsiTheme="majorHAnsi"/>
        </w:rPr>
        <w:t xml:space="preserve">more </w:t>
      </w:r>
      <w:r w:rsidR="009B0400">
        <w:rPr>
          <w:rFonts w:asciiTheme="majorHAnsi" w:hAnsiTheme="majorHAnsi"/>
        </w:rPr>
        <w:t xml:space="preserve">on </w:t>
      </w:r>
      <w:r w:rsidR="00833D69" w:rsidRPr="005320C6">
        <w:rPr>
          <w:rFonts w:asciiTheme="majorHAnsi" w:hAnsiTheme="majorHAnsi"/>
        </w:rPr>
        <w:lastRenderedPageBreak/>
        <w:t>administrative and process-oriented information</w:t>
      </w:r>
      <w:r w:rsidR="002D4ACF">
        <w:rPr>
          <w:rFonts w:asciiTheme="majorHAnsi" w:hAnsiTheme="majorHAnsi"/>
        </w:rPr>
        <w:t xml:space="preserve">.  </w:t>
      </w:r>
      <w:r w:rsidR="00B72ED9" w:rsidRPr="005320C6">
        <w:rPr>
          <w:rFonts w:asciiTheme="majorHAnsi" w:hAnsiTheme="majorHAnsi"/>
        </w:rPr>
        <w:t xml:space="preserve">Additionally, </w:t>
      </w:r>
      <w:r w:rsidR="005B329A">
        <w:rPr>
          <w:rFonts w:asciiTheme="majorHAnsi" w:hAnsiTheme="majorHAnsi"/>
        </w:rPr>
        <w:t xml:space="preserve">NNPHI and CDC staff cross-walked the </w:t>
      </w:r>
      <w:r w:rsidR="00473FB6">
        <w:rPr>
          <w:rFonts w:asciiTheme="majorHAnsi" w:hAnsiTheme="majorHAnsi"/>
        </w:rPr>
        <w:t xml:space="preserve">NPHII data collection tool with </w:t>
      </w:r>
      <w:r w:rsidR="00DC7533" w:rsidRPr="005320C6">
        <w:rPr>
          <w:rFonts w:asciiTheme="majorHAnsi" w:hAnsiTheme="majorHAnsi"/>
        </w:rPr>
        <w:t>the Association of State and Territorial Health Officials (ASTHO) and the National Association of County and City He</w:t>
      </w:r>
      <w:r w:rsidR="009B0400">
        <w:rPr>
          <w:rFonts w:asciiTheme="majorHAnsi" w:hAnsiTheme="majorHAnsi"/>
        </w:rPr>
        <w:t>alth Officials (NACCHO) profile surveys</w:t>
      </w:r>
      <w:r w:rsidR="00473FB6">
        <w:rPr>
          <w:rFonts w:asciiTheme="majorHAnsi" w:hAnsiTheme="majorHAnsi"/>
        </w:rPr>
        <w:t xml:space="preserve"> to ensure that there was no duplication in </w:t>
      </w:r>
      <w:r w:rsidR="00C53E47">
        <w:rPr>
          <w:rFonts w:asciiTheme="majorHAnsi" w:hAnsiTheme="majorHAnsi"/>
        </w:rPr>
        <w:t>data items requested of respondents for the given timeframes</w:t>
      </w:r>
      <w:r w:rsidR="00DC7533" w:rsidRPr="005320C6">
        <w:rPr>
          <w:rFonts w:asciiTheme="majorHAnsi" w:hAnsiTheme="majorHAnsi"/>
        </w:rPr>
        <w:t>.</w:t>
      </w:r>
    </w:p>
    <w:p w:rsidR="00957B87" w:rsidRDefault="00DC7533" w:rsidP="00F52BCC">
      <w:pPr>
        <w:pStyle w:val="ListParagraph"/>
        <w:spacing w:after="0"/>
        <w:rPr>
          <w:rFonts w:asciiTheme="majorHAnsi" w:hAnsiTheme="majorHAnsi"/>
        </w:rPr>
      </w:pPr>
      <w:r>
        <w:rPr>
          <w:rFonts w:asciiTheme="majorHAnsi" w:hAnsiTheme="majorHAnsi"/>
        </w:rPr>
        <w:t xml:space="preserve"> </w:t>
      </w:r>
    </w:p>
    <w:p w:rsidR="005320C6" w:rsidRPr="00CA1B22" w:rsidRDefault="005320C6" w:rsidP="00CA1B22">
      <w:pPr>
        <w:pStyle w:val="ListParagraph"/>
        <w:numPr>
          <w:ilvl w:val="0"/>
          <w:numId w:val="2"/>
        </w:numPr>
        <w:spacing w:after="0"/>
        <w:rPr>
          <w:rFonts w:asciiTheme="majorHAnsi" w:hAnsiTheme="majorHAnsi"/>
          <w:b/>
        </w:rPr>
      </w:pPr>
      <w:r w:rsidRPr="00CA1B22">
        <w:rPr>
          <w:rFonts w:asciiTheme="majorHAnsi" w:hAnsiTheme="majorHAnsi"/>
          <w:b/>
          <w:bCs/>
        </w:rPr>
        <w:t>Impact on Small Businesses or Other Small Entities</w:t>
      </w:r>
    </w:p>
    <w:p w:rsidR="0053557D" w:rsidRDefault="00D26A64" w:rsidP="00D95FBF">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065036" w:rsidRPr="00D95FBF" w:rsidRDefault="00065036" w:rsidP="00D95FBF">
      <w:pPr>
        <w:pStyle w:val="ListParagraph"/>
        <w:spacing w:after="0"/>
      </w:pPr>
    </w:p>
    <w:p w:rsidR="005320C6" w:rsidRPr="005320C6" w:rsidRDefault="005320C6" w:rsidP="005320C6">
      <w:pPr>
        <w:pStyle w:val="ListParagraph"/>
        <w:numPr>
          <w:ilvl w:val="0"/>
          <w:numId w:val="2"/>
        </w:numPr>
        <w:spacing w:after="0"/>
        <w:rPr>
          <w:rFonts w:asciiTheme="majorHAnsi" w:hAnsiTheme="majorHAnsi"/>
          <w:b/>
        </w:rPr>
      </w:pPr>
      <w:r w:rsidRPr="005320C6">
        <w:rPr>
          <w:rFonts w:asciiTheme="majorHAnsi" w:hAnsiTheme="majorHAnsi"/>
          <w:b/>
          <w:bCs/>
        </w:rPr>
        <w:t>Consequences of Collecting the Information Less Frequently</w:t>
      </w:r>
      <w:r w:rsidRPr="005320C6">
        <w:rPr>
          <w:rFonts w:asciiTheme="majorHAnsi" w:hAnsiTheme="majorHAnsi"/>
          <w:b/>
        </w:rPr>
        <w:t xml:space="preserve">    </w:t>
      </w:r>
    </w:p>
    <w:p w:rsidR="00607F7C" w:rsidRPr="00170531" w:rsidRDefault="00607F7C" w:rsidP="00927018">
      <w:pPr>
        <w:spacing w:after="0"/>
        <w:ind w:left="720"/>
        <w:rPr>
          <w:rFonts w:asciiTheme="majorHAnsi" w:hAnsiTheme="majorHAnsi"/>
        </w:rPr>
      </w:pPr>
      <w:r w:rsidRPr="00170531">
        <w:rPr>
          <w:rFonts w:asciiTheme="majorHAnsi" w:hAnsiTheme="majorHAnsi"/>
        </w:rPr>
        <w:t xml:space="preserve">This request is for </w:t>
      </w:r>
      <w:r w:rsidR="006829BC" w:rsidRPr="00170531">
        <w:rPr>
          <w:rFonts w:asciiTheme="majorHAnsi" w:hAnsiTheme="majorHAnsi"/>
        </w:rPr>
        <w:t>two instances of</w:t>
      </w:r>
      <w:r w:rsidR="00BC5BB2" w:rsidRPr="00170531">
        <w:rPr>
          <w:rFonts w:asciiTheme="majorHAnsi" w:hAnsiTheme="majorHAnsi"/>
        </w:rPr>
        <w:t xml:space="preserve"> data collection</w:t>
      </w:r>
      <w:r w:rsidR="006829BC" w:rsidRPr="00170531">
        <w:rPr>
          <w:rFonts w:asciiTheme="majorHAnsi" w:hAnsiTheme="majorHAnsi"/>
        </w:rPr>
        <w:t xml:space="preserve"> – the assessment at the end of Year Two of NPHII (covering the period September 30, 2011 – September 29, 2012), and the same assessment repeated at the end of Year Three of NPHII (covering the period September 30, 2012 – September 29, 2013)</w:t>
      </w:r>
      <w:r w:rsidR="00BC5BB2" w:rsidRPr="00170531">
        <w:rPr>
          <w:rFonts w:asciiTheme="majorHAnsi" w:hAnsiTheme="majorHAnsi"/>
        </w:rPr>
        <w:t>.</w:t>
      </w:r>
      <w:r w:rsidR="0053557D" w:rsidRPr="00170531">
        <w:rPr>
          <w:rFonts w:asciiTheme="majorHAnsi" w:hAnsiTheme="majorHAnsi"/>
        </w:rPr>
        <w:t xml:space="preserve">  </w:t>
      </w:r>
      <w:r w:rsidRPr="00170531">
        <w:rPr>
          <w:rFonts w:asciiTheme="majorHAnsi" w:hAnsiTheme="majorHAnsi"/>
        </w:rPr>
        <w:t>There are no legal obstacles to reduce the burden.</w:t>
      </w:r>
      <w:r w:rsidR="006E39B9" w:rsidRPr="00170531">
        <w:rPr>
          <w:rFonts w:asciiTheme="majorHAnsi" w:hAnsiTheme="majorHAnsi"/>
        </w:rPr>
        <w:t xml:space="preserve"> </w:t>
      </w:r>
    </w:p>
    <w:p w:rsidR="00D271F8" w:rsidRPr="00170531" w:rsidRDefault="00D271F8" w:rsidP="0053557D">
      <w:pPr>
        <w:pStyle w:val="ListParagraph"/>
        <w:spacing w:after="0"/>
        <w:rPr>
          <w:rFonts w:asciiTheme="majorHAnsi" w:hAnsiTheme="majorHAnsi"/>
        </w:rPr>
      </w:pPr>
    </w:p>
    <w:p w:rsidR="00D271F8" w:rsidRPr="00170531" w:rsidRDefault="00D271F8" w:rsidP="0053557D">
      <w:pPr>
        <w:pStyle w:val="ListParagraph"/>
        <w:spacing w:after="0"/>
        <w:rPr>
          <w:rFonts w:asciiTheme="majorHAnsi" w:hAnsiTheme="majorHAnsi"/>
        </w:rPr>
      </w:pPr>
      <w:r w:rsidRPr="00170531">
        <w:rPr>
          <w:rFonts w:asciiTheme="majorHAnsi" w:hAnsiTheme="majorHAnsi"/>
        </w:rPr>
        <w:t xml:space="preserve">The consequences to the program of not collecting this information under this mechanism </w:t>
      </w:r>
      <w:r w:rsidR="006E39B9" w:rsidRPr="00170531">
        <w:rPr>
          <w:rFonts w:asciiTheme="majorHAnsi" w:hAnsiTheme="majorHAnsi"/>
        </w:rPr>
        <w:t xml:space="preserve">and within these timeframes </w:t>
      </w:r>
      <w:r w:rsidRPr="00170531">
        <w:rPr>
          <w:rFonts w:asciiTheme="majorHAnsi" w:hAnsiTheme="majorHAnsi"/>
        </w:rPr>
        <w:t>are as follows:</w:t>
      </w:r>
    </w:p>
    <w:p w:rsidR="00D271F8" w:rsidRPr="00170531" w:rsidRDefault="00D271F8" w:rsidP="00927018">
      <w:pPr>
        <w:pStyle w:val="ListParagraph"/>
        <w:numPr>
          <w:ilvl w:val="0"/>
          <w:numId w:val="30"/>
        </w:numPr>
        <w:spacing w:after="0"/>
        <w:rPr>
          <w:rFonts w:asciiTheme="majorHAnsi" w:hAnsiTheme="majorHAnsi"/>
        </w:rPr>
      </w:pPr>
      <w:r w:rsidRPr="00170531">
        <w:rPr>
          <w:rFonts w:asciiTheme="majorHAnsi" w:hAnsiTheme="majorHAnsi"/>
        </w:rPr>
        <w:t>Inability to provide performance measure data for Affordable Care Act / Prevention and Public Health Fund reporting on NPHII</w:t>
      </w:r>
      <w:r w:rsidR="006E39B9" w:rsidRPr="00170531">
        <w:rPr>
          <w:rFonts w:asciiTheme="majorHAnsi" w:hAnsiTheme="majorHAnsi"/>
        </w:rPr>
        <w:t>, for which annual updates on relevant measures are expected</w:t>
      </w:r>
    </w:p>
    <w:p w:rsidR="00D271F8" w:rsidRPr="00170531" w:rsidRDefault="00D271F8" w:rsidP="00927018">
      <w:pPr>
        <w:pStyle w:val="ListParagraph"/>
        <w:numPr>
          <w:ilvl w:val="0"/>
          <w:numId w:val="30"/>
        </w:numPr>
        <w:spacing w:after="0"/>
        <w:rPr>
          <w:rFonts w:asciiTheme="majorHAnsi" w:hAnsiTheme="majorHAnsi"/>
        </w:rPr>
      </w:pPr>
      <w:r w:rsidRPr="00170531">
        <w:rPr>
          <w:rFonts w:asciiTheme="majorHAnsi" w:hAnsiTheme="majorHAnsi"/>
        </w:rPr>
        <w:t xml:space="preserve">Inability to </w:t>
      </w:r>
      <w:r w:rsidR="006E39B9" w:rsidRPr="00170531">
        <w:rPr>
          <w:rFonts w:asciiTheme="majorHAnsi" w:hAnsiTheme="majorHAnsi"/>
        </w:rPr>
        <w:t>assess</w:t>
      </w:r>
      <w:r w:rsidRPr="00170531">
        <w:rPr>
          <w:rFonts w:asciiTheme="majorHAnsi" w:hAnsiTheme="majorHAnsi"/>
        </w:rPr>
        <w:t xml:space="preserve"> </w:t>
      </w:r>
      <w:r w:rsidR="00295050" w:rsidRPr="00170531">
        <w:rPr>
          <w:rFonts w:asciiTheme="majorHAnsi" w:hAnsiTheme="majorHAnsi"/>
        </w:rPr>
        <w:t>STLT</w:t>
      </w:r>
      <w:r w:rsidRPr="00170531">
        <w:rPr>
          <w:rFonts w:asciiTheme="majorHAnsi" w:hAnsiTheme="majorHAnsi"/>
        </w:rPr>
        <w:t xml:space="preserve"> progress on key program o</w:t>
      </w:r>
      <w:r w:rsidR="006E39B9" w:rsidRPr="00170531">
        <w:rPr>
          <w:rFonts w:asciiTheme="majorHAnsi" w:hAnsiTheme="majorHAnsi"/>
        </w:rPr>
        <w:t>utcomes</w:t>
      </w:r>
      <w:r w:rsidRPr="00170531">
        <w:rPr>
          <w:rFonts w:asciiTheme="majorHAnsi" w:hAnsiTheme="majorHAnsi"/>
        </w:rPr>
        <w:t xml:space="preserve"> and obtain timely data to inform the provision of assistance to </w:t>
      </w:r>
      <w:r w:rsidR="00295050" w:rsidRPr="00170531">
        <w:rPr>
          <w:rFonts w:asciiTheme="majorHAnsi" w:hAnsiTheme="majorHAnsi"/>
        </w:rPr>
        <w:t>STLT</w:t>
      </w:r>
      <w:r w:rsidRPr="00170531">
        <w:rPr>
          <w:rFonts w:asciiTheme="majorHAnsi" w:hAnsiTheme="majorHAnsi"/>
        </w:rPr>
        <w:t>s moving forward</w:t>
      </w:r>
    </w:p>
    <w:p w:rsidR="00D271F8" w:rsidRPr="00170531" w:rsidRDefault="00D271F8" w:rsidP="00927018">
      <w:pPr>
        <w:pStyle w:val="ListParagraph"/>
        <w:numPr>
          <w:ilvl w:val="0"/>
          <w:numId w:val="30"/>
        </w:numPr>
        <w:spacing w:after="0"/>
        <w:rPr>
          <w:rFonts w:asciiTheme="majorHAnsi" w:hAnsiTheme="majorHAnsi"/>
        </w:rPr>
      </w:pPr>
      <w:r w:rsidRPr="00170531">
        <w:rPr>
          <w:rFonts w:asciiTheme="majorHAnsi" w:hAnsiTheme="majorHAnsi"/>
        </w:rPr>
        <w:t>Inability to inform key evaluation questions and adequately ass</w:t>
      </w:r>
      <w:r w:rsidR="006E39B9" w:rsidRPr="00170531">
        <w:rPr>
          <w:rFonts w:asciiTheme="majorHAnsi" w:hAnsiTheme="majorHAnsi"/>
        </w:rPr>
        <w:t>ess the initial impact of NPHII</w:t>
      </w:r>
    </w:p>
    <w:p w:rsidR="00BF11A1" w:rsidRPr="00C768E5" w:rsidRDefault="00BF11A1" w:rsidP="00C768E5">
      <w:pPr>
        <w:spacing w:after="0"/>
        <w:rPr>
          <w:rFonts w:asciiTheme="majorHAnsi" w:hAnsiTheme="majorHAnsi"/>
        </w:rPr>
      </w:pPr>
    </w:p>
    <w:p w:rsidR="00B12F51" w:rsidRPr="00CA1B22" w:rsidRDefault="00B12F51" w:rsidP="00CA1B22">
      <w:pPr>
        <w:pStyle w:val="ListParagraph"/>
        <w:numPr>
          <w:ilvl w:val="0"/>
          <w:numId w:val="2"/>
        </w:numPr>
        <w:spacing w:after="0"/>
        <w:rPr>
          <w:rFonts w:asciiTheme="majorHAnsi" w:hAnsiTheme="majorHAnsi"/>
          <w:b/>
        </w:rPr>
      </w:pPr>
      <w:r w:rsidRPr="00CA1B22">
        <w:rPr>
          <w:rFonts w:asciiTheme="majorHAnsi" w:hAnsiTheme="majorHAnsi"/>
          <w:b/>
        </w:rPr>
        <w:t>Special Circumstances</w:t>
      </w:r>
      <w:r w:rsidR="00145D62" w:rsidRPr="00CA1B22">
        <w:rPr>
          <w:rFonts w:asciiTheme="majorHAnsi" w:hAnsiTheme="majorHAnsi"/>
          <w:b/>
        </w:rPr>
        <w:t xml:space="preserve"> </w:t>
      </w:r>
      <w:r w:rsidR="005320C6" w:rsidRPr="00CA1B22">
        <w:rPr>
          <w:rFonts w:asciiTheme="majorHAnsi" w:hAnsiTheme="majorHAnsi"/>
          <w:b/>
          <w:bCs/>
        </w:rPr>
        <w:t>Relating to the Guidelines of 5 CFR 1320.5</w:t>
      </w:r>
      <w:r w:rsidR="00145D62" w:rsidRPr="00CA1B22">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5320C6" w:rsidRPr="00CA1B22" w:rsidRDefault="005320C6" w:rsidP="00CA1B22">
      <w:pPr>
        <w:pStyle w:val="ListParagraph"/>
        <w:numPr>
          <w:ilvl w:val="0"/>
          <w:numId w:val="2"/>
        </w:numPr>
        <w:spacing w:after="0"/>
        <w:rPr>
          <w:rFonts w:asciiTheme="majorHAnsi" w:hAnsiTheme="majorHAnsi"/>
          <w:b/>
          <w:bCs/>
        </w:rPr>
      </w:pPr>
      <w:r w:rsidRPr="00CA1B22">
        <w:rPr>
          <w:rFonts w:asciiTheme="majorHAnsi" w:hAnsiTheme="majorHAnsi"/>
          <w:b/>
          <w:bCs/>
        </w:rPr>
        <w:t>Comments in Response to the Federal Register Notice and Efforts to Consult Outside the Agency</w:t>
      </w:r>
    </w:p>
    <w:p w:rsidR="00A809AA" w:rsidRPr="00A809AA" w:rsidRDefault="00C768E5"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w:t>
      </w:r>
      <w:r w:rsidRPr="00A809AA">
        <w:rPr>
          <w:rFonts w:asciiTheme="majorHAnsi" w:hAnsiTheme="majorHAnsi"/>
        </w:rPr>
        <w:lastRenderedPageBreak/>
        <w:t xml:space="preserve">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5320C6" w:rsidRPr="00CA1B22" w:rsidRDefault="005320C6" w:rsidP="00CA1B22">
      <w:pPr>
        <w:pStyle w:val="ListParagraph"/>
        <w:numPr>
          <w:ilvl w:val="0"/>
          <w:numId w:val="2"/>
        </w:numPr>
        <w:spacing w:after="0"/>
        <w:rPr>
          <w:rFonts w:asciiTheme="majorHAnsi" w:hAnsiTheme="majorHAnsi"/>
          <w:b/>
        </w:rPr>
      </w:pPr>
      <w:r w:rsidRPr="00CA1B22">
        <w:rPr>
          <w:rFonts w:asciiTheme="majorHAnsi" w:hAnsiTheme="majorHAnsi"/>
          <w:b/>
          <w:bCs/>
        </w:rPr>
        <w:t>Explanation of Any Payment or Gift to Respondents</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64A20" w:rsidRDefault="005320C6" w:rsidP="005320C6">
      <w:pPr>
        <w:pStyle w:val="ListParagraph"/>
        <w:numPr>
          <w:ilvl w:val="0"/>
          <w:numId w:val="2"/>
        </w:numPr>
        <w:autoSpaceDE w:val="0"/>
        <w:autoSpaceDN w:val="0"/>
        <w:adjustRightInd w:val="0"/>
        <w:ind w:right="720"/>
        <w:rPr>
          <w:rFonts w:asciiTheme="majorHAnsi" w:hAnsiTheme="majorHAnsi"/>
        </w:rPr>
      </w:pPr>
      <w:r w:rsidRPr="005320C6">
        <w:rPr>
          <w:rFonts w:asciiTheme="majorHAnsi" w:hAnsiTheme="majorHAnsi"/>
          <w:b/>
          <w:bCs/>
        </w:rPr>
        <w:t>Assurance of Confidentiality Provided to Respondents</w:t>
      </w:r>
      <w:r w:rsidRPr="005320C6">
        <w:rPr>
          <w:rFonts w:asciiTheme="majorHAnsi" w:hAnsiTheme="majorHAnsi"/>
        </w:rPr>
        <w:t xml:space="preserve"> </w:t>
      </w:r>
    </w:p>
    <w:p w:rsidR="003C31C9" w:rsidRPr="005320C6" w:rsidRDefault="003C31C9" w:rsidP="00B64A20">
      <w:pPr>
        <w:pStyle w:val="ListParagraph"/>
        <w:autoSpaceDE w:val="0"/>
        <w:autoSpaceDN w:val="0"/>
        <w:adjustRightInd w:val="0"/>
        <w:ind w:right="720"/>
        <w:rPr>
          <w:rFonts w:asciiTheme="majorHAnsi" w:hAnsiTheme="majorHAnsi"/>
        </w:rPr>
      </w:pPr>
      <w:r w:rsidRPr="005320C6">
        <w:rPr>
          <w:rFonts w:asciiTheme="majorHAnsi" w:hAnsiTheme="majorHAnsi"/>
        </w:rPr>
        <w:t>The Privacy Act does not apply to this data collection.  Employees of state</w:t>
      </w:r>
      <w:r w:rsidR="005542E8" w:rsidRPr="005320C6">
        <w:rPr>
          <w:rFonts w:asciiTheme="majorHAnsi" w:hAnsiTheme="majorHAnsi"/>
        </w:rPr>
        <w:t xml:space="preserve"> and</w:t>
      </w:r>
      <w:r w:rsidRPr="005320C6">
        <w:rPr>
          <w:rFonts w:asciiTheme="majorHAnsi" w:hAnsiTheme="majorHAnsi"/>
        </w:rPr>
        <w:t xml:space="preserve"> local</w:t>
      </w:r>
      <w:r w:rsidR="005542E8" w:rsidRPr="005320C6">
        <w:rPr>
          <w:rFonts w:asciiTheme="majorHAnsi" w:hAnsiTheme="majorHAnsi"/>
        </w:rPr>
        <w:t xml:space="preserve"> </w:t>
      </w:r>
      <w:r w:rsidRPr="005320C6">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5320C6" w:rsidRPr="00CA1B22" w:rsidRDefault="005320C6" w:rsidP="00CA1B22">
      <w:pPr>
        <w:pStyle w:val="ListParagraph"/>
        <w:numPr>
          <w:ilvl w:val="0"/>
          <w:numId w:val="2"/>
        </w:numPr>
        <w:spacing w:after="0"/>
        <w:rPr>
          <w:rFonts w:asciiTheme="majorHAnsi" w:hAnsiTheme="majorHAnsi"/>
          <w:b/>
        </w:rPr>
      </w:pPr>
      <w:r w:rsidRPr="00CA1B22">
        <w:rPr>
          <w:rFonts w:asciiTheme="majorHAnsi" w:hAnsiTheme="majorHAnsi"/>
          <w:b/>
          <w:bCs/>
        </w:rPr>
        <w:t>Justification for Sensitive Questions</w:t>
      </w:r>
    </w:p>
    <w:p w:rsidR="00616090" w:rsidRPr="007B558B" w:rsidRDefault="003C31C9" w:rsidP="007B558B">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Default="00616090" w:rsidP="002F2069">
      <w:pPr>
        <w:pStyle w:val="ListParagraph"/>
        <w:spacing w:after="0"/>
        <w:rPr>
          <w:rFonts w:asciiTheme="majorHAnsi" w:hAnsiTheme="majorHAnsi"/>
        </w:rPr>
      </w:pPr>
    </w:p>
    <w:p w:rsidR="00B12F51" w:rsidRPr="00CA1B22" w:rsidRDefault="005320C6" w:rsidP="00CA1B22">
      <w:pPr>
        <w:pStyle w:val="ListParagraph"/>
        <w:numPr>
          <w:ilvl w:val="0"/>
          <w:numId w:val="2"/>
        </w:numPr>
        <w:spacing w:after="0"/>
        <w:rPr>
          <w:rFonts w:asciiTheme="majorHAnsi" w:hAnsiTheme="majorHAnsi"/>
          <w:b/>
        </w:rPr>
      </w:pPr>
      <w:r w:rsidRPr="00CA1B22">
        <w:rPr>
          <w:rFonts w:asciiTheme="majorHAnsi" w:hAnsiTheme="majorHAnsi"/>
          <w:b/>
          <w:bCs/>
        </w:rPr>
        <w:t>Estimates of Annualized Burden Hours and Costs</w:t>
      </w:r>
    </w:p>
    <w:p w:rsidR="00B64BFA" w:rsidRDefault="00B64BFA" w:rsidP="008E0683">
      <w:pPr>
        <w:pStyle w:val="ListParagraph"/>
        <w:autoSpaceDE w:val="0"/>
        <w:autoSpaceDN w:val="0"/>
        <w:adjustRightInd w:val="0"/>
        <w:ind w:left="0" w:right="720"/>
        <w:rPr>
          <w:rFonts w:asciiTheme="majorHAnsi" w:hAnsiTheme="majorHAnsi"/>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w:t>
      </w:r>
      <w:r w:rsidR="002D0046">
        <w:rPr>
          <w:rFonts w:asciiTheme="majorHAnsi" w:hAnsiTheme="majorHAnsi"/>
          <w:color w:val="000000"/>
        </w:rPr>
        <w:t>data collection tool</w:t>
      </w:r>
      <w:r>
        <w:rPr>
          <w:rFonts w:asciiTheme="majorHAnsi" w:hAnsiTheme="majorHAnsi"/>
          <w:color w:val="000000"/>
        </w:rPr>
        <w:t xml:space="preserve"> </w:t>
      </w:r>
      <w:r w:rsidR="00DD188D">
        <w:rPr>
          <w:rFonts w:asciiTheme="majorHAnsi" w:hAnsiTheme="majorHAnsi"/>
          <w:color w:val="000000"/>
        </w:rPr>
        <w:t xml:space="preserve">by </w:t>
      </w:r>
      <w:r w:rsidR="005320C6">
        <w:rPr>
          <w:rFonts w:asciiTheme="majorHAnsi" w:hAnsiTheme="majorHAnsi"/>
          <w:color w:val="000000"/>
        </w:rPr>
        <w:t xml:space="preserve">three </w:t>
      </w:r>
      <w:r w:rsidR="00C768E5" w:rsidRPr="00FE6A5C">
        <w:rPr>
          <w:rFonts w:asciiTheme="majorHAnsi" w:hAnsiTheme="majorHAnsi"/>
        </w:rPr>
        <w:t>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In the pilot test, the average time to complete the </w:t>
      </w:r>
      <w:r w:rsidR="002D0046">
        <w:rPr>
          <w:rFonts w:asciiTheme="majorHAnsi" w:hAnsiTheme="majorHAnsi"/>
        </w:rPr>
        <w:t>data collection tool</w:t>
      </w:r>
      <w:r>
        <w:rPr>
          <w:rFonts w:asciiTheme="majorHAnsi" w:hAnsiTheme="majorHAnsi"/>
        </w:rPr>
        <w:t xml:space="preserve"> including time for reviewing instructions, gathering needed information and completing the </w:t>
      </w:r>
      <w:r w:rsidR="002D0046">
        <w:rPr>
          <w:rFonts w:asciiTheme="majorHAnsi" w:hAnsiTheme="majorHAnsi"/>
        </w:rPr>
        <w:t>data collection tool</w:t>
      </w:r>
      <w:r>
        <w:rPr>
          <w:rFonts w:asciiTheme="majorHAnsi" w:hAnsiTheme="majorHAnsi"/>
        </w:rPr>
        <w:t xml:space="preserve">, was approximately </w:t>
      </w:r>
      <w:r w:rsidR="00170531">
        <w:rPr>
          <w:rFonts w:asciiTheme="majorHAnsi" w:hAnsiTheme="majorHAnsi"/>
          <w:u w:val="single"/>
        </w:rPr>
        <w:t>22</w:t>
      </w:r>
      <w:r w:rsidR="00C768E5">
        <w:rPr>
          <w:rFonts w:asciiTheme="majorHAnsi" w:hAnsiTheme="majorHAnsi"/>
        </w:rPr>
        <w:t xml:space="preserve"> </w:t>
      </w:r>
      <w:r>
        <w:rPr>
          <w:rFonts w:asciiTheme="majorHAnsi" w:hAnsiTheme="majorHAnsi"/>
        </w:rPr>
        <w:t xml:space="preserve">minutes. Based on these results, the estimated time range for actual respondents to complete the </w:t>
      </w:r>
      <w:r w:rsidR="002D0046">
        <w:rPr>
          <w:rFonts w:asciiTheme="majorHAnsi" w:hAnsiTheme="majorHAnsi"/>
        </w:rPr>
        <w:t>data collection tool</w:t>
      </w:r>
      <w:r>
        <w:rPr>
          <w:rFonts w:asciiTheme="majorHAnsi" w:hAnsiTheme="majorHAnsi"/>
        </w:rPr>
        <w:t xml:space="preserve"> is </w:t>
      </w:r>
      <w:r w:rsidR="00DD188D">
        <w:rPr>
          <w:rFonts w:asciiTheme="majorHAnsi" w:hAnsiTheme="majorHAnsi"/>
          <w:u w:val="single"/>
        </w:rPr>
        <w:t>20-25</w:t>
      </w:r>
      <w:r w:rsidR="00C768E5" w:rsidRPr="0073139C">
        <w:rPr>
          <w:rFonts w:asciiTheme="majorHAnsi" w:hAnsiTheme="majorHAnsi"/>
          <w:u w:val="single"/>
        </w:rPr>
        <w:t xml:space="preserve"> </w:t>
      </w:r>
      <w:r>
        <w:rPr>
          <w:rFonts w:asciiTheme="majorHAnsi" w:hAnsiTheme="majorHAnsi"/>
        </w:rPr>
        <w:t xml:space="preserve">minutes. For the purposes of estimating burden hours, the upper limit of this range (i.e., </w:t>
      </w:r>
      <w:r w:rsidR="00DD188D">
        <w:rPr>
          <w:rFonts w:asciiTheme="majorHAnsi" w:hAnsiTheme="majorHAnsi"/>
          <w:u w:val="single"/>
        </w:rPr>
        <w:t xml:space="preserve">25 </w:t>
      </w:r>
      <w:r>
        <w:rPr>
          <w:rFonts w:asciiTheme="majorHAnsi" w:hAnsiTheme="majorHAnsi"/>
        </w:rPr>
        <w:t>minutes) is used.</w:t>
      </w:r>
    </w:p>
    <w:p w:rsidR="00B64BFA" w:rsidRDefault="00B64BFA"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10"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 xml:space="preserve">n average hourly wage of </w:t>
      </w:r>
      <w:r w:rsidRPr="0073139C">
        <w:rPr>
          <w:rFonts w:asciiTheme="majorHAnsi" w:hAnsiTheme="majorHAnsi"/>
          <w:color w:val="000000"/>
          <w:u w:val="single"/>
        </w:rPr>
        <w:t>$</w:t>
      </w:r>
      <w:r w:rsidR="00F36BF4">
        <w:rPr>
          <w:rFonts w:asciiTheme="majorHAnsi" w:hAnsiTheme="majorHAnsi"/>
          <w:color w:val="000000"/>
          <w:u w:val="single"/>
        </w:rPr>
        <w:t>47.49</w:t>
      </w:r>
      <w:r w:rsidRPr="002A1948">
        <w:rPr>
          <w:rFonts w:asciiTheme="majorHAnsi" w:hAnsiTheme="majorHAnsi"/>
          <w:color w:val="000000"/>
        </w:rPr>
        <w:t xml:space="preserve"> is estimated for all </w:t>
      </w:r>
      <w:r w:rsidR="00F90671">
        <w:rPr>
          <w:rFonts w:asciiTheme="majorHAnsi" w:hAnsiTheme="majorHAnsi"/>
          <w:color w:val="000000"/>
          <w:u w:val="single"/>
        </w:rPr>
        <w:t>74</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rsidR="00F90671" w:rsidRDefault="00F90671" w:rsidP="00B64BFA">
      <w:pPr>
        <w:pStyle w:val="ListParagraph"/>
        <w:autoSpaceDE w:val="0"/>
        <w:autoSpaceDN w:val="0"/>
        <w:adjustRightInd w:val="0"/>
        <w:rPr>
          <w:rFonts w:asciiTheme="majorHAnsi" w:hAnsiTheme="majorHAnsi"/>
          <w:color w:val="000000"/>
        </w:rPr>
      </w:pPr>
    </w:p>
    <w:p w:rsidR="00F90671" w:rsidRDefault="00F90671" w:rsidP="00B64BFA">
      <w:pPr>
        <w:pStyle w:val="ListParagraph"/>
        <w:autoSpaceDE w:val="0"/>
        <w:autoSpaceDN w:val="0"/>
        <w:adjustRightInd w:val="0"/>
        <w:rPr>
          <w:rFonts w:asciiTheme="majorHAnsi" w:hAnsiTheme="majorHAnsi"/>
          <w:color w:val="000000"/>
        </w:rPr>
      </w:pPr>
      <w:r>
        <w:rPr>
          <w:rFonts w:asciiTheme="majorHAnsi" w:hAnsiTheme="majorHAnsi"/>
          <w:color w:val="000000"/>
        </w:rPr>
        <w:t>The total burden hours for two annual administrations of the NPHII assessment is 61 hours.</w:t>
      </w:r>
    </w:p>
    <w:p w:rsidR="00F533C2" w:rsidRDefault="00F533C2" w:rsidP="005A59E5">
      <w:pPr>
        <w:pStyle w:val="ListParagraph"/>
        <w:autoSpaceDE w:val="0"/>
        <w:autoSpaceDN w:val="0"/>
        <w:adjustRightInd w:val="0"/>
        <w:ind w:left="0"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825BBE" w:rsidRDefault="00825BBE" w:rsidP="00CA1B22">
      <w:pPr>
        <w:pStyle w:val="ListParagraph"/>
        <w:autoSpaceDE w:val="0"/>
        <w:autoSpaceDN w:val="0"/>
        <w:adjustRightInd w:val="0"/>
        <w:ind w:right="720"/>
        <w:rPr>
          <w:rFonts w:asciiTheme="majorHAnsi" w:hAnsiTheme="majorHAnsi"/>
          <w:b/>
          <w:u w:val="single"/>
        </w:rPr>
      </w:pPr>
    </w:p>
    <w:p w:rsidR="00F533C2" w:rsidRDefault="005A59E5" w:rsidP="00CA1B22">
      <w:pPr>
        <w:pStyle w:val="ListParagraph"/>
        <w:autoSpaceDE w:val="0"/>
        <w:autoSpaceDN w:val="0"/>
        <w:adjustRightInd w:val="0"/>
        <w:ind w:right="720"/>
        <w:rPr>
          <w:rFonts w:asciiTheme="majorHAnsi" w:hAnsiTheme="majorHAnsi"/>
        </w:rPr>
      </w:pPr>
      <w:r w:rsidRPr="008E0683">
        <w:rPr>
          <w:rFonts w:asciiTheme="majorHAnsi" w:hAnsiTheme="majorHAnsi"/>
          <w:b/>
          <w:u w:val="single"/>
        </w:rPr>
        <w:lastRenderedPageBreak/>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w:t>
      </w:r>
      <w:r w:rsidR="0022707A">
        <w:rPr>
          <w:rFonts w:asciiTheme="majorHAnsi" w:hAnsiTheme="majorHAnsi"/>
        </w:rPr>
        <w:t>NPHII Annual Assessment</w:t>
      </w:r>
      <w:r w:rsidR="00666392">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A1B22">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A1B22">
        <w:tc>
          <w:tcPr>
            <w:tcW w:w="1620" w:type="dxa"/>
            <w:tcBorders>
              <w:top w:val="single" w:sz="12" w:space="0" w:color="000000"/>
            </w:tcBorders>
            <w:vAlign w:val="center"/>
          </w:tcPr>
          <w:p w:rsidR="00E134F4" w:rsidRPr="006F6856" w:rsidRDefault="00170531" w:rsidP="000130B4">
            <w:pPr>
              <w:rPr>
                <w:rFonts w:asciiTheme="majorHAnsi" w:hAnsiTheme="majorHAnsi"/>
                <w:sz w:val="20"/>
              </w:rPr>
            </w:pPr>
            <w:r>
              <w:rPr>
                <w:rFonts w:asciiTheme="majorHAnsi" w:hAnsiTheme="majorHAnsi"/>
                <w:sz w:val="20"/>
              </w:rPr>
              <w:t xml:space="preserve">NPHII Assessment </w:t>
            </w:r>
            <w:r w:rsidR="00CA1B22">
              <w:rPr>
                <w:rFonts w:asciiTheme="majorHAnsi" w:hAnsiTheme="majorHAnsi"/>
                <w:sz w:val="20"/>
              </w:rPr>
              <w:t xml:space="preserve">STLT </w:t>
            </w:r>
            <w:r w:rsidR="00F90671">
              <w:rPr>
                <w:rFonts w:asciiTheme="majorHAnsi" w:hAnsiTheme="majorHAnsi"/>
                <w:sz w:val="20"/>
              </w:rPr>
              <w:t>Performance Improvement Managers</w:t>
            </w:r>
            <w:r w:rsidR="005036AA">
              <w:rPr>
                <w:rFonts w:asciiTheme="majorHAnsi" w:hAnsiTheme="majorHAnsi"/>
                <w:sz w:val="20"/>
              </w:rPr>
              <w:t>*</w:t>
            </w:r>
          </w:p>
        </w:tc>
        <w:tc>
          <w:tcPr>
            <w:tcW w:w="1440" w:type="dxa"/>
            <w:tcBorders>
              <w:top w:val="single" w:sz="12" w:space="0" w:color="000000"/>
            </w:tcBorders>
            <w:vAlign w:val="center"/>
          </w:tcPr>
          <w:p w:rsidR="000A1F30" w:rsidRPr="006F6856" w:rsidRDefault="00CA5B99" w:rsidP="000130B4">
            <w:pPr>
              <w:jc w:val="center"/>
              <w:rPr>
                <w:rFonts w:asciiTheme="majorHAnsi" w:hAnsiTheme="majorHAnsi"/>
                <w:sz w:val="20"/>
              </w:rPr>
            </w:pPr>
            <w:r>
              <w:rPr>
                <w:rFonts w:asciiTheme="majorHAnsi" w:hAnsiTheme="majorHAnsi"/>
                <w:sz w:val="20"/>
              </w:rPr>
              <w:t xml:space="preserve"> </w:t>
            </w:r>
            <w:r w:rsidR="00F90671">
              <w:rPr>
                <w:rFonts w:asciiTheme="majorHAnsi" w:hAnsiTheme="majorHAnsi"/>
                <w:sz w:val="20"/>
              </w:rPr>
              <w:t>74</w:t>
            </w:r>
          </w:p>
        </w:tc>
        <w:tc>
          <w:tcPr>
            <w:tcW w:w="1800" w:type="dxa"/>
            <w:tcBorders>
              <w:top w:val="single" w:sz="12" w:space="0" w:color="000000"/>
            </w:tcBorders>
            <w:vAlign w:val="center"/>
          </w:tcPr>
          <w:p w:rsidR="000A1F30" w:rsidRPr="006F6856" w:rsidRDefault="00511ECD"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CA5B99" w:rsidP="000130B4">
            <w:pPr>
              <w:jc w:val="center"/>
              <w:rPr>
                <w:rFonts w:asciiTheme="majorHAnsi" w:hAnsiTheme="majorHAnsi"/>
                <w:sz w:val="20"/>
              </w:rPr>
            </w:pPr>
            <w:r>
              <w:rPr>
                <w:rFonts w:asciiTheme="majorHAnsi" w:hAnsiTheme="majorHAnsi"/>
                <w:sz w:val="20"/>
              </w:rPr>
              <w:t xml:space="preserve"> </w:t>
            </w:r>
            <w:r w:rsidR="00170531">
              <w:rPr>
                <w:rFonts w:asciiTheme="majorHAnsi" w:hAnsiTheme="majorHAnsi"/>
                <w:sz w:val="20"/>
              </w:rPr>
              <w:t>25</w:t>
            </w:r>
            <w:r w:rsidR="00F90671">
              <w:rPr>
                <w:rFonts w:asciiTheme="majorHAnsi" w:hAnsiTheme="majorHAnsi"/>
                <w:sz w:val="20"/>
              </w:rPr>
              <w:t>/60</w:t>
            </w:r>
          </w:p>
        </w:tc>
        <w:tc>
          <w:tcPr>
            <w:tcW w:w="1080" w:type="dxa"/>
            <w:tcBorders>
              <w:top w:val="single" w:sz="12" w:space="0" w:color="000000"/>
            </w:tcBorders>
            <w:vAlign w:val="center"/>
          </w:tcPr>
          <w:p w:rsidR="000A1F30" w:rsidRPr="00817941" w:rsidRDefault="00170531" w:rsidP="000130B4">
            <w:pPr>
              <w:jc w:val="center"/>
              <w:rPr>
                <w:rFonts w:asciiTheme="majorHAnsi" w:hAnsiTheme="majorHAnsi"/>
                <w:sz w:val="20"/>
              </w:rPr>
            </w:pPr>
            <w:r>
              <w:rPr>
                <w:rFonts w:asciiTheme="majorHAnsi" w:hAnsiTheme="majorHAnsi"/>
                <w:sz w:val="20"/>
              </w:rPr>
              <w:t>31</w:t>
            </w:r>
          </w:p>
        </w:tc>
        <w:tc>
          <w:tcPr>
            <w:tcW w:w="990" w:type="dxa"/>
            <w:tcBorders>
              <w:top w:val="single" w:sz="12" w:space="0" w:color="000000"/>
            </w:tcBorders>
            <w:vAlign w:val="center"/>
          </w:tcPr>
          <w:p w:rsidR="000A1F30" w:rsidRPr="00817941" w:rsidRDefault="00CA5B99" w:rsidP="000130B4">
            <w:pPr>
              <w:jc w:val="center"/>
              <w:rPr>
                <w:rFonts w:asciiTheme="majorHAnsi" w:hAnsiTheme="majorHAnsi"/>
                <w:sz w:val="20"/>
              </w:rPr>
            </w:pPr>
            <w:r>
              <w:rPr>
                <w:rFonts w:asciiTheme="majorHAnsi" w:hAnsiTheme="majorHAnsi"/>
                <w:sz w:val="20"/>
              </w:rPr>
              <w:t xml:space="preserve"> </w:t>
            </w:r>
            <w:r w:rsidR="00F90671">
              <w:rPr>
                <w:rFonts w:asciiTheme="majorHAnsi" w:hAnsiTheme="majorHAnsi"/>
                <w:sz w:val="20"/>
              </w:rPr>
              <w:t>$47.49</w:t>
            </w:r>
          </w:p>
        </w:tc>
        <w:tc>
          <w:tcPr>
            <w:tcW w:w="1368" w:type="dxa"/>
            <w:tcBorders>
              <w:top w:val="single" w:sz="12" w:space="0" w:color="000000"/>
            </w:tcBorders>
            <w:vAlign w:val="center"/>
          </w:tcPr>
          <w:p w:rsidR="000A1F30" w:rsidRPr="00817941" w:rsidRDefault="00F90671" w:rsidP="00F36BF4">
            <w:pPr>
              <w:jc w:val="right"/>
              <w:rPr>
                <w:rFonts w:asciiTheme="majorHAnsi" w:hAnsiTheme="majorHAnsi"/>
                <w:sz w:val="20"/>
              </w:rPr>
            </w:pPr>
            <w:r>
              <w:rPr>
                <w:rFonts w:asciiTheme="majorHAnsi" w:hAnsiTheme="majorHAnsi"/>
                <w:sz w:val="20"/>
              </w:rPr>
              <w:t>$</w:t>
            </w:r>
            <w:r w:rsidR="00F36BF4">
              <w:rPr>
                <w:rFonts w:asciiTheme="majorHAnsi" w:hAnsiTheme="majorHAnsi"/>
                <w:sz w:val="20"/>
              </w:rPr>
              <w:t>1472.19</w:t>
            </w:r>
            <w:r w:rsidR="00CA5B99">
              <w:rPr>
                <w:rFonts w:asciiTheme="majorHAnsi" w:hAnsiTheme="majorHAnsi"/>
                <w:sz w:val="20"/>
              </w:rPr>
              <w:t xml:space="preserve"> </w:t>
            </w:r>
          </w:p>
        </w:tc>
      </w:tr>
      <w:tr w:rsidR="00CA1B22" w:rsidRPr="006F6856" w:rsidTr="00F36BF4">
        <w:trPr>
          <w:trHeight w:hRule="exact" w:val="802"/>
        </w:trPr>
        <w:tc>
          <w:tcPr>
            <w:tcW w:w="1620" w:type="dxa"/>
            <w:vAlign w:val="center"/>
          </w:tcPr>
          <w:p w:rsidR="00CA1B22" w:rsidRDefault="007238AB" w:rsidP="000130B4">
            <w:pPr>
              <w:spacing w:after="0"/>
              <w:jc w:val="right"/>
              <w:rPr>
                <w:rFonts w:asciiTheme="majorHAnsi" w:hAnsiTheme="majorHAnsi"/>
                <w:b/>
                <w:sz w:val="20"/>
              </w:rPr>
            </w:pPr>
            <w:r>
              <w:rPr>
                <w:rFonts w:asciiTheme="majorHAnsi" w:hAnsiTheme="majorHAnsi"/>
                <w:b/>
                <w:sz w:val="20"/>
              </w:rPr>
              <w:t xml:space="preserve">TOTALS  </w:t>
            </w:r>
          </w:p>
        </w:tc>
        <w:tc>
          <w:tcPr>
            <w:tcW w:w="1440" w:type="dxa"/>
            <w:shd w:val="clear" w:color="auto" w:fill="auto"/>
            <w:vAlign w:val="center"/>
          </w:tcPr>
          <w:p w:rsidR="00CA1B22" w:rsidRDefault="00CA1B22" w:rsidP="00C0376C">
            <w:pPr>
              <w:spacing w:after="0"/>
              <w:jc w:val="center"/>
              <w:rPr>
                <w:rFonts w:asciiTheme="majorHAnsi" w:hAnsiTheme="majorHAnsi"/>
                <w:b/>
                <w:sz w:val="20"/>
              </w:rPr>
            </w:pPr>
          </w:p>
        </w:tc>
        <w:tc>
          <w:tcPr>
            <w:tcW w:w="1800" w:type="dxa"/>
            <w:shd w:val="clear" w:color="auto" w:fill="auto"/>
            <w:vAlign w:val="center"/>
          </w:tcPr>
          <w:p w:rsidR="00CA1B22" w:rsidRDefault="00CA1B22" w:rsidP="00C0376C">
            <w:pPr>
              <w:spacing w:after="0"/>
              <w:jc w:val="center"/>
              <w:rPr>
                <w:rFonts w:asciiTheme="majorHAnsi" w:hAnsiTheme="majorHAnsi"/>
                <w:b/>
                <w:sz w:val="20"/>
              </w:rPr>
            </w:pPr>
          </w:p>
        </w:tc>
        <w:tc>
          <w:tcPr>
            <w:tcW w:w="1260" w:type="dxa"/>
            <w:shd w:val="clear" w:color="auto" w:fill="auto"/>
            <w:vAlign w:val="center"/>
          </w:tcPr>
          <w:p w:rsidR="00CA1B22" w:rsidRPr="00817941" w:rsidRDefault="00CA1B22" w:rsidP="00C0376C">
            <w:pPr>
              <w:spacing w:after="0"/>
              <w:jc w:val="center"/>
              <w:rPr>
                <w:rFonts w:asciiTheme="majorHAnsi" w:hAnsiTheme="majorHAnsi"/>
                <w:b/>
                <w:sz w:val="20"/>
              </w:rPr>
            </w:pPr>
          </w:p>
        </w:tc>
        <w:tc>
          <w:tcPr>
            <w:tcW w:w="1080" w:type="dxa"/>
            <w:vAlign w:val="center"/>
          </w:tcPr>
          <w:p w:rsidR="00CA1B22" w:rsidRDefault="0022707A" w:rsidP="00C0376C">
            <w:pPr>
              <w:spacing w:after="0"/>
              <w:jc w:val="center"/>
              <w:rPr>
                <w:rFonts w:asciiTheme="majorHAnsi" w:hAnsiTheme="majorHAnsi"/>
                <w:b/>
                <w:sz w:val="20"/>
              </w:rPr>
            </w:pPr>
            <w:r>
              <w:rPr>
                <w:rFonts w:asciiTheme="majorHAnsi" w:hAnsiTheme="majorHAnsi"/>
                <w:b/>
                <w:sz w:val="20"/>
              </w:rPr>
              <w:t>3</w:t>
            </w:r>
            <w:r w:rsidR="00F36BF4">
              <w:rPr>
                <w:rFonts w:asciiTheme="majorHAnsi" w:hAnsiTheme="majorHAnsi"/>
                <w:b/>
                <w:sz w:val="20"/>
              </w:rPr>
              <w:t>1</w:t>
            </w:r>
          </w:p>
        </w:tc>
        <w:tc>
          <w:tcPr>
            <w:tcW w:w="990" w:type="dxa"/>
            <w:shd w:val="clear" w:color="auto" w:fill="auto"/>
            <w:vAlign w:val="center"/>
          </w:tcPr>
          <w:p w:rsidR="00CA1B22" w:rsidRPr="00817941" w:rsidRDefault="00CA1B22" w:rsidP="00C0376C">
            <w:pPr>
              <w:spacing w:after="0"/>
              <w:jc w:val="center"/>
              <w:rPr>
                <w:rFonts w:asciiTheme="majorHAnsi" w:hAnsiTheme="majorHAnsi"/>
                <w:b/>
                <w:sz w:val="20"/>
              </w:rPr>
            </w:pPr>
          </w:p>
        </w:tc>
        <w:tc>
          <w:tcPr>
            <w:tcW w:w="1368" w:type="dxa"/>
            <w:vAlign w:val="center"/>
          </w:tcPr>
          <w:p w:rsidR="00CA1B22" w:rsidRPr="0022707A" w:rsidRDefault="0022707A" w:rsidP="00F36BF4">
            <w:pPr>
              <w:spacing w:after="0"/>
              <w:jc w:val="right"/>
              <w:rPr>
                <w:rFonts w:asciiTheme="majorHAnsi" w:hAnsiTheme="majorHAnsi"/>
                <w:b/>
                <w:sz w:val="20"/>
              </w:rPr>
            </w:pPr>
            <w:r w:rsidRPr="0022707A">
              <w:rPr>
                <w:rFonts w:asciiTheme="majorHAnsi" w:hAnsiTheme="majorHAnsi"/>
                <w:b/>
                <w:sz w:val="20"/>
              </w:rPr>
              <w:t>$1472.19</w:t>
            </w:r>
          </w:p>
        </w:tc>
      </w:tr>
    </w:tbl>
    <w:p w:rsidR="003C31C9" w:rsidRDefault="003C31C9" w:rsidP="003C31C9">
      <w:pPr>
        <w:pStyle w:val="Default"/>
        <w:ind w:left="720"/>
        <w:rPr>
          <w:rFonts w:asciiTheme="majorHAnsi" w:hAnsiTheme="majorHAnsi" w:cs="Times New Roman"/>
          <w:sz w:val="22"/>
          <w:szCs w:val="22"/>
        </w:rPr>
      </w:pPr>
    </w:p>
    <w:p w:rsidR="002F1502" w:rsidRPr="005036AA" w:rsidRDefault="005036AA" w:rsidP="005036AA">
      <w:pPr>
        <w:autoSpaceDE w:val="0"/>
        <w:autoSpaceDN w:val="0"/>
        <w:adjustRightInd w:val="0"/>
        <w:ind w:right="720"/>
        <w:rPr>
          <w:rFonts w:asciiTheme="majorHAnsi" w:hAnsiTheme="majorHAnsi"/>
          <w:u w:val="single"/>
        </w:rPr>
      </w:pPr>
      <w:r w:rsidRPr="005036AA">
        <w:rPr>
          <w:rFonts w:asciiTheme="majorHAnsi" w:hAnsiTheme="majorHAnsi"/>
        </w:rPr>
        <w:t xml:space="preserve">* </w:t>
      </w:r>
      <w:r>
        <w:rPr>
          <w:rFonts w:asciiTheme="majorHAnsi" w:hAnsiTheme="majorHAnsi"/>
        </w:rPr>
        <w:t xml:space="preserve">South East Alaska Regional Health Consortium decided not to apply for FY 2012 NPHII funding, and will not be included in the respondent population for the Year 3 data collection.  Therefore, the number of respondents in Year 3 data collection will be 73 </w:t>
      </w:r>
      <w:r w:rsidR="00E42391">
        <w:rPr>
          <w:rFonts w:asciiTheme="majorHAnsi" w:hAnsiTheme="majorHAnsi"/>
        </w:rPr>
        <w:t>and</w:t>
      </w:r>
      <w:r>
        <w:rPr>
          <w:rFonts w:asciiTheme="majorHAnsi" w:hAnsiTheme="majorHAnsi"/>
        </w:rPr>
        <w:t xml:space="preserve"> a request of 30 burden hours.</w:t>
      </w:r>
    </w:p>
    <w:p w:rsidR="005036AA" w:rsidRDefault="005036AA" w:rsidP="008E0683">
      <w:pPr>
        <w:pStyle w:val="ListParagraph"/>
        <w:autoSpaceDE w:val="0"/>
        <w:autoSpaceDN w:val="0"/>
        <w:adjustRightInd w:val="0"/>
        <w:ind w:right="720"/>
        <w:rPr>
          <w:rFonts w:asciiTheme="majorHAnsi" w:hAnsiTheme="majorHAnsi"/>
          <w:u w:val="single"/>
        </w:rPr>
      </w:pPr>
    </w:p>
    <w:p w:rsidR="00E4789D" w:rsidRPr="00F36BF4" w:rsidRDefault="00E4789D" w:rsidP="00F36BF4">
      <w:pPr>
        <w:pStyle w:val="ListParagraph"/>
        <w:numPr>
          <w:ilvl w:val="0"/>
          <w:numId w:val="2"/>
        </w:numPr>
        <w:spacing w:after="0"/>
        <w:rPr>
          <w:rFonts w:asciiTheme="majorHAnsi" w:hAnsiTheme="majorHAnsi"/>
          <w:b/>
          <w:bCs/>
        </w:rPr>
      </w:pPr>
      <w:r w:rsidRPr="00F36BF4">
        <w:rPr>
          <w:rFonts w:asciiTheme="majorHAnsi" w:hAnsiTheme="majorHAnsi"/>
          <w:b/>
          <w:bCs/>
        </w:rPr>
        <w:t>Estimates of Other Total Annual Cost Burden to Respondents or Record Keepers</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5036AA" w:rsidRDefault="005036AA" w:rsidP="005036AA">
      <w:pPr>
        <w:pStyle w:val="Default"/>
      </w:pPr>
    </w:p>
    <w:p w:rsidR="005036AA" w:rsidRDefault="005036AA" w:rsidP="005036AA">
      <w:pPr>
        <w:pStyle w:val="Default"/>
      </w:pPr>
      <w:bookmarkStart w:id="0" w:name="_GoBack"/>
      <w:bookmarkEnd w:id="0"/>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Default="005036AA" w:rsidP="005036AA">
      <w:pPr>
        <w:pStyle w:val="Default"/>
      </w:pPr>
    </w:p>
    <w:p w:rsidR="005036AA" w:rsidRPr="005036AA" w:rsidRDefault="005036AA" w:rsidP="005036AA">
      <w:pPr>
        <w:pStyle w:val="Default"/>
      </w:pPr>
    </w:p>
    <w:p w:rsidR="00911486" w:rsidRPr="00911486" w:rsidRDefault="00911486" w:rsidP="00911486">
      <w:pPr>
        <w:pStyle w:val="Default"/>
        <w:ind w:left="720"/>
      </w:pPr>
    </w:p>
    <w:p w:rsidR="00B12F51" w:rsidRPr="00E4789D" w:rsidRDefault="00E4789D" w:rsidP="00F36BF4">
      <w:pPr>
        <w:pStyle w:val="ListParagraph"/>
        <w:numPr>
          <w:ilvl w:val="0"/>
          <w:numId w:val="2"/>
        </w:numPr>
        <w:spacing w:after="0"/>
        <w:rPr>
          <w:rFonts w:asciiTheme="majorHAnsi" w:hAnsiTheme="majorHAnsi"/>
          <w:b/>
        </w:rPr>
      </w:pPr>
      <w:r w:rsidRPr="0088467A">
        <w:rPr>
          <w:rFonts w:asciiTheme="majorHAnsi" w:hAnsiTheme="majorHAnsi"/>
          <w:b/>
          <w:bCs/>
        </w:rPr>
        <w:lastRenderedPageBreak/>
        <w:t>Annualized Cost to the Government</w:t>
      </w:r>
      <w:r>
        <w:rPr>
          <w:rFonts w:asciiTheme="majorHAnsi" w:hAnsiTheme="majorHAnsi"/>
          <w:b/>
          <w:bCs/>
        </w:rPr>
        <w:t xml:space="preserve"> </w:t>
      </w:r>
    </w:p>
    <w:p w:rsidR="00825BBE" w:rsidRPr="0022707A" w:rsidRDefault="003C31C9" w:rsidP="0022707A">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4841F1" w:rsidRDefault="008E0683" w:rsidP="00F533C2">
      <w:pPr>
        <w:autoSpaceDE w:val="0"/>
        <w:autoSpaceDN w:val="0"/>
        <w:adjustRightInd w:val="0"/>
        <w:ind w:right="720"/>
        <w:rPr>
          <w:rFonts w:asciiTheme="majorHAnsi" w:hAnsiTheme="majorHAnsi"/>
        </w:rPr>
      </w:pPr>
      <w:r w:rsidRPr="0073139C">
        <w:rPr>
          <w:rFonts w:asciiTheme="majorHAnsi" w:hAnsiTheme="majorHAnsi"/>
          <w:b/>
          <w:u w:val="single"/>
        </w:rPr>
        <w:t>Table A-14</w:t>
      </w:r>
      <w:r w:rsidRPr="0073139C">
        <w:rPr>
          <w:rFonts w:asciiTheme="majorHAnsi" w:hAnsiTheme="majorHAnsi"/>
          <w:b/>
        </w:rPr>
        <w:t>:</w:t>
      </w:r>
      <w:r w:rsidRPr="0073139C">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F90671" w:rsidRPr="00DC43C4" w:rsidRDefault="002033E1" w:rsidP="00F90671">
            <w:pPr>
              <w:rPr>
                <w:rFonts w:asciiTheme="majorHAnsi" w:hAnsiTheme="majorHAnsi"/>
                <w:b/>
                <w:sz w:val="20"/>
              </w:rPr>
            </w:pPr>
            <w:r w:rsidRPr="00DC43C4">
              <w:rPr>
                <w:rFonts w:asciiTheme="majorHAnsi" w:hAnsiTheme="majorHAnsi"/>
                <w:b/>
                <w:sz w:val="20"/>
              </w:rPr>
              <w:t>Health Scientist</w:t>
            </w:r>
            <w:r w:rsidR="00F90671" w:rsidRPr="00DC43C4">
              <w:rPr>
                <w:rFonts w:asciiTheme="majorHAnsi" w:hAnsiTheme="majorHAnsi"/>
                <w:b/>
                <w:sz w:val="20"/>
              </w:rPr>
              <w:t xml:space="preserve"> (GS-</w:t>
            </w:r>
            <w:r w:rsidR="003E0C5E" w:rsidRPr="00DC43C4">
              <w:rPr>
                <w:rFonts w:asciiTheme="majorHAnsi" w:hAnsiTheme="majorHAnsi"/>
                <w:b/>
                <w:sz w:val="20"/>
              </w:rPr>
              <w:t>14</w:t>
            </w:r>
            <w:r w:rsidR="00F90671" w:rsidRPr="00DC43C4">
              <w:rPr>
                <w:rFonts w:asciiTheme="majorHAnsi" w:hAnsiTheme="majorHAnsi"/>
                <w:b/>
                <w:sz w:val="20"/>
              </w:rPr>
              <w:t>)</w:t>
            </w:r>
          </w:p>
          <w:p w:rsidR="004841F1" w:rsidRPr="004841F1" w:rsidRDefault="00F90671" w:rsidP="00F90671">
            <w:pPr>
              <w:rPr>
                <w:rFonts w:asciiTheme="majorHAnsi" w:hAnsiTheme="majorHAnsi"/>
                <w:sz w:val="20"/>
              </w:rPr>
            </w:pPr>
            <w:r>
              <w:rPr>
                <w:rFonts w:asciiTheme="majorHAnsi" w:hAnsiTheme="majorHAnsi"/>
                <w:sz w:val="20"/>
              </w:rPr>
              <w:t>Assisting with instrument development, OMB package preparation, data quality assurance, data analysis and report preparation</w:t>
            </w:r>
            <w:r w:rsidR="007E4AC9">
              <w:rPr>
                <w:rFonts w:asciiTheme="majorHAnsi" w:hAnsiTheme="majorHAnsi"/>
                <w:sz w:val="20"/>
              </w:rPr>
              <w:t xml:space="preserve"> </w:t>
            </w:r>
          </w:p>
        </w:tc>
        <w:tc>
          <w:tcPr>
            <w:tcW w:w="1980" w:type="dxa"/>
            <w:tcBorders>
              <w:top w:val="single" w:sz="12" w:space="0" w:color="auto"/>
            </w:tcBorders>
          </w:tcPr>
          <w:p w:rsidR="004841F1" w:rsidRPr="004841F1" w:rsidRDefault="00F533C2" w:rsidP="004824FA">
            <w:pPr>
              <w:jc w:val="center"/>
              <w:rPr>
                <w:rFonts w:asciiTheme="majorHAnsi" w:hAnsiTheme="majorHAnsi"/>
                <w:sz w:val="20"/>
              </w:rPr>
            </w:pPr>
            <w:r>
              <w:rPr>
                <w:rFonts w:asciiTheme="majorHAnsi" w:hAnsiTheme="majorHAnsi"/>
                <w:sz w:val="20"/>
              </w:rPr>
              <w:t>250</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473FB6" w:rsidP="004824FA">
            <w:pPr>
              <w:jc w:val="center"/>
              <w:rPr>
                <w:rFonts w:asciiTheme="majorHAnsi" w:hAnsiTheme="majorHAnsi"/>
                <w:sz w:val="20"/>
              </w:rPr>
            </w:pPr>
            <w:r>
              <w:rPr>
                <w:rFonts w:asciiTheme="majorHAnsi" w:hAnsiTheme="majorHAnsi"/>
                <w:sz w:val="20"/>
              </w:rPr>
              <w:t>$54.87</w:t>
            </w:r>
            <w:r w:rsidR="00321B51">
              <w:rPr>
                <w:rFonts w:asciiTheme="majorHAnsi" w:hAnsiTheme="majorHAnsi"/>
                <w:sz w:val="20"/>
              </w:rPr>
              <w:t xml:space="preserve"> </w:t>
            </w:r>
          </w:p>
        </w:tc>
        <w:tc>
          <w:tcPr>
            <w:tcW w:w="1458" w:type="dxa"/>
            <w:tcBorders>
              <w:top w:val="single" w:sz="12" w:space="0" w:color="auto"/>
            </w:tcBorders>
          </w:tcPr>
          <w:p w:rsidR="004841F1" w:rsidRPr="004841F1" w:rsidRDefault="00473FB6" w:rsidP="004824FA">
            <w:pPr>
              <w:jc w:val="center"/>
              <w:rPr>
                <w:rFonts w:asciiTheme="majorHAnsi" w:hAnsiTheme="majorHAnsi"/>
                <w:sz w:val="20"/>
              </w:rPr>
            </w:pPr>
            <w:r>
              <w:rPr>
                <w:rFonts w:asciiTheme="majorHAnsi" w:hAnsiTheme="majorHAnsi"/>
                <w:sz w:val="20"/>
              </w:rPr>
              <w:t>$13,717.5</w:t>
            </w:r>
            <w:r w:rsidR="008A67A6">
              <w:rPr>
                <w:rFonts w:asciiTheme="majorHAnsi" w:hAnsiTheme="majorHAnsi"/>
                <w:sz w:val="20"/>
              </w:rPr>
              <w:t>0</w:t>
            </w:r>
            <w:r w:rsidR="00321B51">
              <w:rPr>
                <w:rFonts w:asciiTheme="majorHAnsi" w:hAnsiTheme="majorHAnsi"/>
                <w:sz w:val="20"/>
              </w:rPr>
              <w:t xml:space="preserve"> </w:t>
            </w:r>
          </w:p>
        </w:tc>
      </w:tr>
      <w:tr w:rsidR="004841F1" w:rsidRPr="004841F1" w:rsidTr="006C4DA7">
        <w:tc>
          <w:tcPr>
            <w:tcW w:w="4518" w:type="dxa"/>
          </w:tcPr>
          <w:p w:rsidR="004824FA" w:rsidRPr="00DC43C4" w:rsidRDefault="002033E1" w:rsidP="00241B17">
            <w:pPr>
              <w:rPr>
                <w:rFonts w:asciiTheme="majorHAnsi" w:hAnsiTheme="majorHAnsi"/>
                <w:b/>
                <w:sz w:val="20"/>
              </w:rPr>
            </w:pPr>
            <w:r w:rsidRPr="00DC43C4">
              <w:rPr>
                <w:rFonts w:asciiTheme="majorHAnsi" w:hAnsiTheme="majorHAnsi"/>
                <w:b/>
                <w:sz w:val="20"/>
              </w:rPr>
              <w:t>ORISE fellow</w:t>
            </w:r>
          </w:p>
          <w:p w:rsidR="00F90671" w:rsidRPr="00A72652" w:rsidRDefault="00F90671" w:rsidP="00241B17">
            <w:pPr>
              <w:rPr>
                <w:rFonts w:asciiTheme="majorHAnsi" w:hAnsiTheme="majorHAnsi"/>
                <w:sz w:val="20"/>
              </w:rPr>
            </w:pPr>
            <w:r>
              <w:rPr>
                <w:rFonts w:asciiTheme="majorHAnsi" w:hAnsiTheme="majorHAnsi"/>
                <w:sz w:val="20"/>
              </w:rPr>
              <w:t>Assisting with instrument development, OMB package preparation, data quality assurance, data analysis and report preparation</w:t>
            </w:r>
          </w:p>
        </w:tc>
        <w:tc>
          <w:tcPr>
            <w:tcW w:w="1980" w:type="dxa"/>
          </w:tcPr>
          <w:p w:rsidR="004841F1" w:rsidRPr="00A72652" w:rsidRDefault="00321B51" w:rsidP="004824FA">
            <w:pPr>
              <w:jc w:val="center"/>
              <w:rPr>
                <w:rFonts w:asciiTheme="majorHAnsi" w:hAnsiTheme="majorHAnsi"/>
                <w:sz w:val="20"/>
              </w:rPr>
            </w:pPr>
            <w:r>
              <w:rPr>
                <w:rFonts w:asciiTheme="majorHAnsi" w:hAnsiTheme="majorHAnsi"/>
                <w:sz w:val="20"/>
              </w:rPr>
              <w:t xml:space="preserve"> </w:t>
            </w:r>
            <w:r w:rsidR="00F533C2">
              <w:rPr>
                <w:rFonts w:asciiTheme="majorHAnsi" w:hAnsiTheme="majorHAnsi"/>
                <w:sz w:val="20"/>
              </w:rPr>
              <w:t>250</w:t>
            </w:r>
          </w:p>
        </w:tc>
        <w:tc>
          <w:tcPr>
            <w:tcW w:w="1620" w:type="dxa"/>
          </w:tcPr>
          <w:p w:rsidR="004841F1" w:rsidRPr="00A72652" w:rsidRDefault="00321B51" w:rsidP="004824FA">
            <w:pPr>
              <w:jc w:val="center"/>
              <w:rPr>
                <w:rFonts w:asciiTheme="majorHAnsi" w:hAnsiTheme="majorHAnsi"/>
                <w:sz w:val="20"/>
              </w:rPr>
            </w:pPr>
            <w:r>
              <w:rPr>
                <w:rFonts w:asciiTheme="majorHAnsi" w:hAnsiTheme="majorHAnsi"/>
                <w:sz w:val="20"/>
              </w:rPr>
              <w:t xml:space="preserve"> </w:t>
            </w:r>
            <w:r w:rsidR="00F533C2">
              <w:rPr>
                <w:rFonts w:asciiTheme="majorHAnsi" w:hAnsiTheme="majorHAnsi"/>
                <w:sz w:val="20"/>
              </w:rPr>
              <w:t>$23.55</w:t>
            </w:r>
          </w:p>
        </w:tc>
        <w:tc>
          <w:tcPr>
            <w:tcW w:w="1458" w:type="dxa"/>
          </w:tcPr>
          <w:p w:rsidR="004841F1" w:rsidRPr="00A72652" w:rsidRDefault="00F533C2" w:rsidP="004824FA">
            <w:pPr>
              <w:jc w:val="center"/>
              <w:rPr>
                <w:rFonts w:asciiTheme="majorHAnsi" w:hAnsiTheme="majorHAnsi"/>
                <w:sz w:val="20"/>
              </w:rPr>
            </w:pPr>
            <w:r>
              <w:rPr>
                <w:rFonts w:asciiTheme="majorHAnsi" w:hAnsiTheme="majorHAnsi"/>
                <w:sz w:val="20"/>
              </w:rPr>
              <w:t>$5</w:t>
            </w:r>
            <w:r w:rsidR="00473FB6">
              <w:rPr>
                <w:rFonts w:asciiTheme="majorHAnsi" w:hAnsiTheme="majorHAnsi"/>
                <w:sz w:val="20"/>
              </w:rPr>
              <w:t>,</w:t>
            </w:r>
            <w:r>
              <w:rPr>
                <w:rFonts w:asciiTheme="majorHAnsi" w:hAnsiTheme="majorHAnsi"/>
                <w:sz w:val="20"/>
              </w:rPr>
              <w:t>887.50</w:t>
            </w:r>
            <w:r w:rsidR="00321B51">
              <w:rPr>
                <w:rFonts w:asciiTheme="majorHAnsi" w:hAnsiTheme="majorHAnsi"/>
                <w:sz w:val="20"/>
              </w:rPr>
              <w:t xml:space="preserve"> </w:t>
            </w:r>
          </w:p>
        </w:tc>
      </w:tr>
      <w:tr w:rsidR="004824FA" w:rsidRPr="007B305A" w:rsidTr="00C60A15">
        <w:tc>
          <w:tcPr>
            <w:tcW w:w="4518" w:type="dxa"/>
          </w:tcPr>
          <w:p w:rsidR="004824FA" w:rsidRPr="00DC43C4" w:rsidRDefault="007E4AC9" w:rsidP="006C4DA7">
            <w:pPr>
              <w:rPr>
                <w:rFonts w:asciiTheme="majorHAnsi" w:hAnsiTheme="majorHAnsi"/>
                <w:b/>
                <w:sz w:val="20"/>
              </w:rPr>
            </w:pPr>
            <w:r w:rsidRPr="00DC43C4">
              <w:rPr>
                <w:rFonts w:asciiTheme="majorHAnsi" w:hAnsiTheme="majorHAnsi"/>
                <w:b/>
                <w:sz w:val="20"/>
              </w:rPr>
              <w:t>Cooperative Agreement Partner NNPHI</w:t>
            </w:r>
          </w:p>
          <w:p w:rsidR="00F533C2" w:rsidRPr="007B305A" w:rsidRDefault="00F533C2" w:rsidP="006C4DA7">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and report preparation</w:t>
            </w:r>
            <w:r w:rsidRPr="007B305A">
              <w:rPr>
                <w:rFonts w:asciiTheme="majorHAnsi" w:hAnsiTheme="majorHAnsi"/>
                <w:sz w:val="20"/>
              </w:rPr>
              <w:t xml:space="preserve"> </w:t>
            </w:r>
          </w:p>
        </w:tc>
        <w:tc>
          <w:tcPr>
            <w:tcW w:w="1980" w:type="dxa"/>
            <w:shd w:val="clear" w:color="auto" w:fill="auto"/>
          </w:tcPr>
          <w:p w:rsidR="004824FA" w:rsidRPr="00B64A20" w:rsidRDefault="00DC43C4" w:rsidP="004824FA">
            <w:pPr>
              <w:jc w:val="center"/>
              <w:rPr>
                <w:rFonts w:asciiTheme="majorHAnsi" w:hAnsiTheme="majorHAnsi"/>
                <w:sz w:val="20"/>
              </w:rPr>
            </w:pPr>
            <w:r>
              <w:rPr>
                <w:rFonts w:asciiTheme="majorHAnsi" w:hAnsiTheme="majorHAnsi"/>
                <w:sz w:val="20"/>
              </w:rPr>
              <w:t>1248</w:t>
            </w:r>
            <w:r w:rsidR="00321B51" w:rsidRPr="00B64A20">
              <w:rPr>
                <w:rFonts w:asciiTheme="majorHAnsi" w:hAnsiTheme="majorHAnsi"/>
                <w:sz w:val="20"/>
              </w:rPr>
              <w:t xml:space="preserve"> </w:t>
            </w:r>
          </w:p>
        </w:tc>
        <w:tc>
          <w:tcPr>
            <w:tcW w:w="1620" w:type="dxa"/>
            <w:shd w:val="clear" w:color="auto" w:fill="auto"/>
          </w:tcPr>
          <w:p w:rsidR="004824FA" w:rsidRPr="00B64A20" w:rsidRDefault="00183A52" w:rsidP="004824FA">
            <w:pPr>
              <w:jc w:val="center"/>
              <w:rPr>
                <w:rFonts w:asciiTheme="majorHAnsi" w:hAnsiTheme="majorHAnsi"/>
                <w:sz w:val="20"/>
              </w:rPr>
            </w:pPr>
            <w:r>
              <w:rPr>
                <w:rFonts w:asciiTheme="majorHAnsi" w:hAnsiTheme="majorHAnsi"/>
                <w:sz w:val="20"/>
              </w:rPr>
              <w:t>$75.00</w:t>
            </w:r>
            <w:r w:rsidR="00321B51" w:rsidRPr="00B64A20">
              <w:rPr>
                <w:rFonts w:asciiTheme="majorHAnsi" w:hAnsiTheme="majorHAnsi"/>
                <w:sz w:val="20"/>
              </w:rPr>
              <w:t xml:space="preserve"> </w:t>
            </w:r>
          </w:p>
        </w:tc>
        <w:tc>
          <w:tcPr>
            <w:tcW w:w="1458" w:type="dxa"/>
            <w:shd w:val="clear" w:color="auto" w:fill="FFFFFF" w:themeFill="background1"/>
          </w:tcPr>
          <w:p w:rsidR="004824FA" w:rsidRPr="00B64A20" w:rsidRDefault="00183A52" w:rsidP="00C60A15">
            <w:pPr>
              <w:jc w:val="center"/>
              <w:rPr>
                <w:rFonts w:asciiTheme="majorHAnsi" w:hAnsiTheme="majorHAnsi"/>
                <w:sz w:val="20"/>
              </w:rPr>
            </w:pPr>
            <w:r w:rsidRPr="00183A52">
              <w:rPr>
                <w:rFonts w:asciiTheme="majorHAnsi" w:hAnsiTheme="majorHAnsi"/>
                <w:sz w:val="20"/>
              </w:rPr>
              <w:t>$</w:t>
            </w:r>
            <w:r w:rsidR="00C60A15">
              <w:rPr>
                <w:rFonts w:asciiTheme="majorHAnsi" w:hAnsiTheme="majorHAnsi"/>
                <w:sz w:val="20"/>
              </w:rPr>
              <w:t>93,600</w:t>
            </w:r>
            <w:r w:rsidRPr="00183A52">
              <w:rPr>
                <w:rFonts w:asciiTheme="majorHAnsi" w:hAnsiTheme="majorHAnsi"/>
                <w:sz w:val="20"/>
              </w:rPr>
              <w:t>.00</w:t>
            </w:r>
          </w:p>
        </w:tc>
      </w:tr>
      <w:tr w:rsidR="004824FA" w:rsidRPr="004841F1" w:rsidTr="006C4DA7">
        <w:trPr>
          <w:trHeight w:val="332"/>
        </w:trPr>
        <w:tc>
          <w:tcPr>
            <w:tcW w:w="8118" w:type="dxa"/>
            <w:gridSpan w:val="3"/>
            <w:vAlign w:val="center"/>
          </w:tcPr>
          <w:p w:rsidR="004824FA" w:rsidRPr="008A67A6" w:rsidRDefault="004824FA" w:rsidP="006B4DDC">
            <w:pPr>
              <w:jc w:val="right"/>
              <w:rPr>
                <w:rFonts w:asciiTheme="majorHAnsi" w:hAnsiTheme="majorHAnsi"/>
                <w:b/>
                <w:sz w:val="20"/>
              </w:rPr>
            </w:pPr>
            <w:r w:rsidRPr="008A67A6">
              <w:rPr>
                <w:rFonts w:asciiTheme="majorHAnsi" w:hAnsiTheme="majorHAnsi"/>
                <w:b/>
                <w:sz w:val="20"/>
              </w:rPr>
              <w:t xml:space="preserve">Estimated Total Cost of </w:t>
            </w:r>
            <w:r w:rsidR="006B4DDC" w:rsidRPr="008A67A6">
              <w:rPr>
                <w:rFonts w:asciiTheme="majorHAnsi" w:hAnsiTheme="majorHAnsi"/>
                <w:b/>
                <w:sz w:val="20"/>
              </w:rPr>
              <w:t>Information</w:t>
            </w:r>
            <w:r w:rsidRPr="008A67A6">
              <w:rPr>
                <w:rFonts w:asciiTheme="majorHAnsi" w:hAnsiTheme="majorHAnsi"/>
                <w:b/>
                <w:sz w:val="20"/>
              </w:rPr>
              <w:t xml:space="preserve"> Collection</w:t>
            </w:r>
            <w:r w:rsidR="00473FB6" w:rsidRPr="008A67A6">
              <w:rPr>
                <w:rFonts w:asciiTheme="majorHAnsi" w:hAnsiTheme="majorHAnsi"/>
                <w:b/>
                <w:sz w:val="20"/>
              </w:rPr>
              <w:t xml:space="preserve"> for Year 2 </w:t>
            </w:r>
            <w:r w:rsidR="007238AB" w:rsidRPr="008A67A6">
              <w:rPr>
                <w:rFonts w:asciiTheme="majorHAnsi" w:hAnsiTheme="majorHAnsi"/>
                <w:b/>
                <w:sz w:val="20"/>
              </w:rPr>
              <w:t xml:space="preserve">NPHII </w:t>
            </w:r>
            <w:r w:rsidR="00473FB6" w:rsidRPr="008A67A6">
              <w:rPr>
                <w:rFonts w:asciiTheme="majorHAnsi" w:hAnsiTheme="majorHAnsi"/>
                <w:b/>
                <w:sz w:val="20"/>
              </w:rPr>
              <w:t>Assess.</w:t>
            </w:r>
          </w:p>
        </w:tc>
        <w:tc>
          <w:tcPr>
            <w:tcW w:w="1458" w:type="dxa"/>
            <w:vAlign w:val="center"/>
          </w:tcPr>
          <w:p w:rsidR="004824FA" w:rsidRPr="008A67A6" w:rsidRDefault="008A67A6" w:rsidP="006315A3">
            <w:pPr>
              <w:jc w:val="center"/>
              <w:rPr>
                <w:rFonts w:asciiTheme="majorHAnsi" w:hAnsiTheme="majorHAnsi"/>
                <w:b/>
                <w:sz w:val="20"/>
              </w:rPr>
            </w:pPr>
            <w:r w:rsidRPr="008A67A6">
              <w:rPr>
                <w:rFonts w:asciiTheme="majorHAnsi" w:hAnsiTheme="majorHAnsi"/>
                <w:b/>
                <w:sz w:val="20"/>
              </w:rPr>
              <w:t>$113,205.00</w:t>
            </w:r>
            <w:r w:rsidR="00321B51" w:rsidRPr="008A67A6">
              <w:rPr>
                <w:rFonts w:asciiTheme="majorHAnsi" w:hAnsiTheme="majorHAnsi"/>
                <w:b/>
                <w:sz w:val="20"/>
              </w:rPr>
              <w:t xml:space="preserve"> </w:t>
            </w:r>
          </w:p>
        </w:tc>
      </w:tr>
      <w:tr w:rsidR="00473FB6" w:rsidRPr="004841F1" w:rsidTr="006C4DA7">
        <w:trPr>
          <w:trHeight w:val="332"/>
        </w:trPr>
        <w:tc>
          <w:tcPr>
            <w:tcW w:w="8118" w:type="dxa"/>
            <w:gridSpan w:val="3"/>
            <w:vAlign w:val="center"/>
          </w:tcPr>
          <w:p w:rsidR="00473FB6" w:rsidRPr="007B305A" w:rsidRDefault="00473FB6" w:rsidP="006B4DDC">
            <w:pPr>
              <w:jc w:val="right"/>
              <w:rPr>
                <w:rFonts w:asciiTheme="majorHAnsi" w:hAnsiTheme="majorHAnsi"/>
                <w:b/>
                <w:sz w:val="20"/>
              </w:rPr>
            </w:pPr>
            <w:r w:rsidRPr="007B305A">
              <w:rPr>
                <w:rFonts w:asciiTheme="majorHAnsi" w:hAnsiTheme="majorHAnsi"/>
                <w:b/>
                <w:sz w:val="20"/>
              </w:rPr>
              <w:t>Estimated Total Cost of Information Collection</w:t>
            </w:r>
            <w:r>
              <w:rPr>
                <w:rFonts w:asciiTheme="majorHAnsi" w:hAnsiTheme="majorHAnsi"/>
                <w:b/>
                <w:sz w:val="20"/>
              </w:rPr>
              <w:t xml:space="preserve"> for Year 3 </w:t>
            </w:r>
            <w:r w:rsidR="007238AB">
              <w:rPr>
                <w:rFonts w:asciiTheme="majorHAnsi" w:hAnsiTheme="majorHAnsi"/>
                <w:b/>
                <w:sz w:val="20"/>
              </w:rPr>
              <w:t xml:space="preserve">NPHII </w:t>
            </w:r>
            <w:r>
              <w:rPr>
                <w:rFonts w:asciiTheme="majorHAnsi" w:hAnsiTheme="majorHAnsi"/>
                <w:b/>
                <w:sz w:val="20"/>
              </w:rPr>
              <w:t>Assess</w:t>
            </w:r>
          </w:p>
        </w:tc>
        <w:tc>
          <w:tcPr>
            <w:tcW w:w="1458" w:type="dxa"/>
            <w:vAlign w:val="center"/>
          </w:tcPr>
          <w:p w:rsidR="00473FB6" w:rsidRPr="00682A6B" w:rsidRDefault="008A67A6" w:rsidP="006315A3">
            <w:pPr>
              <w:jc w:val="center"/>
              <w:rPr>
                <w:rFonts w:asciiTheme="majorHAnsi" w:hAnsiTheme="majorHAnsi"/>
                <w:b/>
                <w:sz w:val="20"/>
                <w:highlight w:val="yellow"/>
              </w:rPr>
            </w:pPr>
            <w:r w:rsidRPr="008A67A6">
              <w:rPr>
                <w:rFonts w:asciiTheme="majorHAnsi" w:hAnsiTheme="majorHAnsi"/>
                <w:b/>
                <w:sz w:val="20"/>
              </w:rPr>
              <w:t>$113,205.00</w:t>
            </w:r>
          </w:p>
        </w:tc>
      </w:tr>
    </w:tbl>
    <w:p w:rsidR="004841F1" w:rsidRDefault="004841F1" w:rsidP="00241B17">
      <w:pPr>
        <w:spacing w:after="0"/>
        <w:rPr>
          <w:rFonts w:asciiTheme="majorHAnsi" w:hAnsiTheme="majorHAnsi"/>
        </w:rPr>
      </w:pPr>
    </w:p>
    <w:p w:rsidR="00E4789D" w:rsidRPr="00F36BF4" w:rsidRDefault="00E4789D" w:rsidP="00F36BF4">
      <w:pPr>
        <w:pStyle w:val="ListParagraph"/>
        <w:numPr>
          <w:ilvl w:val="0"/>
          <w:numId w:val="2"/>
        </w:numPr>
        <w:spacing w:after="0"/>
        <w:rPr>
          <w:rFonts w:asciiTheme="majorHAnsi" w:hAnsiTheme="majorHAnsi"/>
          <w:b/>
        </w:rPr>
      </w:pPr>
      <w:r w:rsidRPr="00F36BF4">
        <w:rPr>
          <w:rFonts w:asciiTheme="majorHAnsi" w:hAnsiTheme="majorHAnsi"/>
          <w:b/>
          <w:bCs/>
        </w:rPr>
        <w:t>Explanation for Program Changes or Adjustments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F36BF4" w:rsidRDefault="00E4789D" w:rsidP="00F36BF4">
      <w:pPr>
        <w:pStyle w:val="ListParagraph"/>
        <w:numPr>
          <w:ilvl w:val="0"/>
          <w:numId w:val="2"/>
        </w:numPr>
        <w:spacing w:after="0"/>
        <w:rPr>
          <w:rFonts w:asciiTheme="majorHAnsi" w:hAnsiTheme="majorHAnsi"/>
          <w:b/>
        </w:rPr>
      </w:pPr>
      <w:r w:rsidRPr="00F36BF4">
        <w:rPr>
          <w:rFonts w:asciiTheme="majorHAnsi" w:hAnsiTheme="majorHAnsi"/>
          <w:b/>
        </w:rPr>
        <w:t>Plans</w:t>
      </w:r>
      <w:r w:rsidRPr="00F36BF4">
        <w:rPr>
          <w:rFonts w:asciiTheme="majorHAnsi" w:hAnsiTheme="majorHAnsi"/>
          <w:b/>
          <w:bCs/>
        </w:rPr>
        <w:t xml:space="preserve"> for Tabulation and Publication and Project Time Schedule</w:t>
      </w:r>
    </w:p>
    <w:p w:rsidR="002F1502" w:rsidRDefault="002F1502" w:rsidP="00F52BCC">
      <w:pPr>
        <w:pStyle w:val="ListParagraph"/>
        <w:spacing w:after="0"/>
        <w:rPr>
          <w:rFonts w:asciiTheme="majorHAnsi" w:hAnsiTheme="majorHAnsi"/>
        </w:rPr>
      </w:pPr>
    </w:p>
    <w:p w:rsidR="0055724A" w:rsidRDefault="00473FB6" w:rsidP="00EC23D4">
      <w:pPr>
        <w:pStyle w:val="ListParagraph"/>
        <w:tabs>
          <w:tab w:val="left" w:pos="3645"/>
        </w:tabs>
        <w:spacing w:after="0"/>
        <w:rPr>
          <w:rFonts w:asciiTheme="majorHAnsi" w:hAnsiTheme="majorHAnsi"/>
        </w:rPr>
      </w:pPr>
      <w:r>
        <w:rPr>
          <w:rFonts w:asciiTheme="majorHAnsi" w:hAnsiTheme="majorHAnsi"/>
        </w:rPr>
        <w:t xml:space="preserve">The </w:t>
      </w:r>
      <w:r w:rsidR="00EC23D4">
        <w:rPr>
          <w:rFonts w:asciiTheme="majorHAnsi" w:hAnsiTheme="majorHAnsi"/>
        </w:rPr>
        <w:t>results will be used internally to set priorities for NPHII and externally to communicate results with STLT partners</w:t>
      </w:r>
      <w:r w:rsidR="0055724A">
        <w:rPr>
          <w:rFonts w:asciiTheme="majorHAnsi" w:hAnsiTheme="majorHAnsi"/>
        </w:rPr>
        <w:t xml:space="preserve"> through the following deliverables:</w:t>
      </w:r>
    </w:p>
    <w:p w:rsidR="00622E3C" w:rsidRDefault="00622E3C" w:rsidP="00622E3C">
      <w:pPr>
        <w:pStyle w:val="ListParagraph"/>
        <w:numPr>
          <w:ilvl w:val="0"/>
          <w:numId w:val="36"/>
        </w:numPr>
        <w:spacing w:after="0"/>
        <w:rPr>
          <w:rFonts w:asciiTheme="majorHAnsi" w:hAnsiTheme="majorHAnsi" w:cstheme="minorHAnsi"/>
        </w:rPr>
      </w:pPr>
      <w:r>
        <w:rPr>
          <w:rFonts w:asciiTheme="majorHAnsi" w:hAnsiTheme="majorHAnsi" w:cstheme="minorHAnsi"/>
        </w:rPr>
        <w:t>Individual grantee reports – these reports will include analysis of individual STLT progress over time and/or a comparison of their progress to all other STLTs.  These reports will be shared with the individual STLT only (i.e., the Alabama health department will receive a report that includes only data on its progress and/or a comparison of its responses to other STLTS in aggregate).</w:t>
      </w:r>
    </w:p>
    <w:p w:rsidR="00622E3C" w:rsidRDefault="00622E3C" w:rsidP="00622E3C">
      <w:pPr>
        <w:pStyle w:val="ListParagraph"/>
        <w:numPr>
          <w:ilvl w:val="0"/>
          <w:numId w:val="36"/>
        </w:numPr>
        <w:spacing w:after="0"/>
        <w:rPr>
          <w:rFonts w:asciiTheme="majorHAnsi" w:hAnsiTheme="majorHAnsi" w:cstheme="minorHAnsi"/>
        </w:rPr>
      </w:pPr>
      <w:r>
        <w:rPr>
          <w:rFonts w:asciiTheme="majorHAnsi" w:hAnsiTheme="majorHAnsi" w:cstheme="minorHAnsi"/>
        </w:rPr>
        <w:t>Lunch and learn – An hour-long session for OSTLTS staff, to include a presentation on aggregate findings as well as a question and answer session</w:t>
      </w:r>
    </w:p>
    <w:p w:rsidR="00622E3C" w:rsidRDefault="00622E3C" w:rsidP="00622E3C">
      <w:pPr>
        <w:pStyle w:val="ListParagraph"/>
        <w:numPr>
          <w:ilvl w:val="0"/>
          <w:numId w:val="36"/>
        </w:numPr>
        <w:spacing w:after="0"/>
        <w:rPr>
          <w:rFonts w:asciiTheme="majorHAnsi" w:hAnsiTheme="majorHAnsi" w:cstheme="minorHAnsi"/>
        </w:rPr>
      </w:pPr>
      <w:r>
        <w:rPr>
          <w:rFonts w:asciiTheme="majorHAnsi" w:hAnsiTheme="majorHAnsi" w:cstheme="minorHAnsi"/>
        </w:rPr>
        <w:t xml:space="preserve">Brief reports – A series of brief one to two page reports focusing on specific sections of the assessment (accreditation readiness, efficiency and effectiveness, and STLT environment for performance management and QI).  These reports are intended to inform stakeholders of the progress made by NPHII STLTs. </w:t>
      </w:r>
    </w:p>
    <w:p w:rsidR="00622E3C" w:rsidRPr="0073139C" w:rsidRDefault="00622E3C" w:rsidP="00622E3C">
      <w:pPr>
        <w:pStyle w:val="ListParagraph"/>
        <w:numPr>
          <w:ilvl w:val="0"/>
          <w:numId w:val="36"/>
        </w:numPr>
        <w:spacing w:after="0"/>
        <w:rPr>
          <w:rFonts w:asciiTheme="majorHAnsi" w:hAnsiTheme="majorHAnsi" w:cstheme="minorHAnsi"/>
        </w:rPr>
      </w:pPr>
      <w:r>
        <w:rPr>
          <w:rFonts w:asciiTheme="majorHAnsi" w:hAnsiTheme="majorHAnsi" w:cstheme="minorHAnsi"/>
        </w:rPr>
        <w:t>Summary report – mid-length report that will highlight key findings from the assessment as well as programmatic implications and future evaluation opportunities</w:t>
      </w:r>
    </w:p>
    <w:p w:rsidR="00473FB6" w:rsidRPr="005036AA" w:rsidRDefault="00473FB6" w:rsidP="005036AA">
      <w:pPr>
        <w:tabs>
          <w:tab w:val="left" w:pos="3645"/>
        </w:tabs>
        <w:spacing w:after="0"/>
        <w:rPr>
          <w:rFonts w:asciiTheme="majorHAnsi" w:hAnsiTheme="majorHAnsi"/>
        </w:rPr>
      </w:pPr>
      <w:r w:rsidRPr="005036AA">
        <w:rPr>
          <w:rFonts w:asciiTheme="majorHAnsi" w:hAnsiTheme="majorHAnsi"/>
        </w:rPr>
        <w:lastRenderedPageBreak/>
        <w:t>Additionally,</w:t>
      </w:r>
      <w:r w:rsidR="0004679B" w:rsidRPr="005036AA">
        <w:rPr>
          <w:rFonts w:asciiTheme="majorHAnsi" w:hAnsiTheme="majorHAnsi"/>
        </w:rPr>
        <w:t xml:space="preserve"> opportunities for publication of the NPHII findings will be explored including conference presentations and publications</w:t>
      </w:r>
      <w:r w:rsidR="00145417" w:rsidRPr="005036AA">
        <w:rPr>
          <w:rFonts w:asciiTheme="majorHAnsi" w:hAnsiTheme="majorHAnsi"/>
        </w:rPr>
        <w:t xml:space="preserve"> in peer-reviewed journals</w:t>
      </w:r>
      <w:r w:rsidR="0004679B" w:rsidRPr="005036AA">
        <w:rPr>
          <w:rFonts w:asciiTheme="majorHAnsi" w:hAnsiTheme="majorHAnsi"/>
        </w:rPr>
        <w:t xml:space="preserve">.  </w:t>
      </w:r>
    </w:p>
    <w:p w:rsidR="00473FB6" w:rsidRDefault="00473FB6" w:rsidP="00BE48F5">
      <w:pPr>
        <w:pStyle w:val="ListParagraph"/>
        <w:tabs>
          <w:tab w:val="left" w:pos="3645"/>
        </w:tabs>
        <w:spacing w:after="0"/>
        <w:rPr>
          <w:rFonts w:asciiTheme="majorHAnsi" w:hAnsiTheme="majorHAnsi"/>
        </w:rPr>
      </w:pPr>
    </w:p>
    <w:p w:rsidR="00EC23D4" w:rsidRPr="005036AA" w:rsidRDefault="00EC23D4" w:rsidP="005036AA">
      <w:pPr>
        <w:tabs>
          <w:tab w:val="left" w:pos="3645"/>
        </w:tabs>
        <w:spacing w:after="0"/>
        <w:rPr>
          <w:rFonts w:asciiTheme="majorHAnsi" w:hAnsiTheme="majorHAnsi"/>
        </w:rPr>
      </w:pPr>
      <w:r w:rsidRPr="005036AA">
        <w:rPr>
          <w:rFonts w:asciiTheme="majorHAnsi" w:hAnsiTheme="majorHAnsi"/>
        </w:rPr>
        <w:t xml:space="preserve">Both quantitative and qualitative analyses will be performed.  Quantitative analyses will involve using descriptive statistics to determine frequency distributions and corresponding variances for responses to each survey question. Qualitative thematic analyses will be </w:t>
      </w:r>
      <w:r w:rsidR="007238AB" w:rsidRPr="005036AA">
        <w:rPr>
          <w:rFonts w:asciiTheme="majorHAnsi" w:hAnsiTheme="majorHAnsi"/>
        </w:rPr>
        <w:t>conducted</w:t>
      </w:r>
      <w:r w:rsidRPr="005036AA">
        <w:rPr>
          <w:rFonts w:asciiTheme="majorHAnsi" w:hAnsiTheme="majorHAnsi"/>
        </w:rPr>
        <w:t xml:space="preserve"> on </w:t>
      </w:r>
      <w:r w:rsidR="0075738B" w:rsidRPr="005036AA">
        <w:rPr>
          <w:rFonts w:asciiTheme="majorHAnsi" w:hAnsiTheme="majorHAnsi"/>
        </w:rPr>
        <w:t>open-ended</w:t>
      </w:r>
      <w:r w:rsidR="00145417" w:rsidRPr="005036AA">
        <w:rPr>
          <w:rFonts w:asciiTheme="majorHAnsi" w:hAnsiTheme="majorHAnsi"/>
        </w:rPr>
        <w:t xml:space="preserve"> questions</w:t>
      </w:r>
      <w:r w:rsidR="0075738B" w:rsidRPr="005036AA">
        <w:rPr>
          <w:rFonts w:asciiTheme="majorHAnsi" w:hAnsiTheme="majorHAnsi"/>
        </w:rPr>
        <w:t>.  The findings will be used to describe the NPHII program and inform programmatic recommendations as well as additional evaluation opportunities</w:t>
      </w:r>
      <w:r w:rsidR="002934B3" w:rsidRPr="005036AA">
        <w:rPr>
          <w:rFonts w:asciiTheme="majorHAnsi" w:hAnsiTheme="majorHAnsi"/>
        </w:rPr>
        <w:t xml:space="preserve"> </w:t>
      </w:r>
      <w:r w:rsidR="002934B3" w:rsidRPr="005036AA">
        <w:rPr>
          <w:rFonts w:asciiTheme="majorHAnsi" w:hAnsiTheme="majorHAnsi" w:cstheme="minorHAnsi"/>
          <w:b/>
        </w:rPr>
        <w:t>(Attachment G – NPHII Evaluation Questions)</w:t>
      </w:r>
      <w:r w:rsidR="0075738B" w:rsidRPr="005036AA">
        <w:rPr>
          <w:rFonts w:asciiTheme="majorHAnsi" w:hAnsiTheme="majorHAnsi"/>
        </w:rPr>
        <w:t xml:space="preserve">.  </w:t>
      </w:r>
    </w:p>
    <w:p w:rsidR="00EC23D4" w:rsidRDefault="00EC23D4" w:rsidP="00EC23D4">
      <w:pPr>
        <w:pStyle w:val="ListParagraph"/>
        <w:tabs>
          <w:tab w:val="left" w:pos="3645"/>
        </w:tabs>
        <w:spacing w:after="0"/>
        <w:rPr>
          <w:rFonts w:asciiTheme="majorHAnsi" w:hAnsiTheme="majorHAnsi"/>
        </w:rPr>
      </w:pPr>
      <w:r>
        <w:rPr>
          <w:rFonts w:asciiTheme="majorHAnsi" w:hAnsiTheme="majorHAnsi"/>
        </w:rPr>
        <w:tab/>
      </w:r>
    </w:p>
    <w:p w:rsidR="00900A78" w:rsidRPr="00900A78" w:rsidRDefault="00EC23D4" w:rsidP="00900A78">
      <w:pPr>
        <w:spacing w:after="0"/>
        <w:ind w:firstLine="720"/>
        <w:rPr>
          <w:rFonts w:asciiTheme="majorHAnsi" w:hAnsiTheme="majorHAnsi"/>
          <w:sz w:val="24"/>
          <w:u w:val="single"/>
        </w:rPr>
      </w:pPr>
      <w:r>
        <w:rPr>
          <w:rFonts w:asciiTheme="majorHAnsi" w:hAnsiTheme="majorHAnsi"/>
          <w:sz w:val="24"/>
          <w:u w:val="single"/>
        </w:rPr>
        <w:t>Project Time Schedule</w:t>
      </w:r>
    </w:p>
    <w:p w:rsidR="00900A78" w:rsidRPr="00F533C2" w:rsidRDefault="00900A78" w:rsidP="00EC23D4">
      <w:pPr>
        <w:spacing w:after="0"/>
        <w:ind w:firstLine="720"/>
        <w:rPr>
          <w:rFonts w:asciiTheme="majorHAnsi" w:hAnsiTheme="majorHAnsi"/>
        </w:rPr>
      </w:pPr>
      <w:r w:rsidRPr="00F533C2">
        <w:rPr>
          <w:rFonts w:asciiTheme="majorHAnsi" w:hAnsiTheme="majorHAnsi"/>
          <w:b/>
        </w:rPr>
        <w:t>Year 2 NPHII Assessment</w:t>
      </w:r>
      <w:r w:rsidR="00F533C2">
        <w:rPr>
          <w:rFonts w:asciiTheme="majorHAnsi" w:hAnsiTheme="majorHAnsi"/>
          <w:b/>
        </w:rPr>
        <w:t xml:space="preserve"> </w:t>
      </w:r>
      <w:r w:rsidR="00F533C2">
        <w:rPr>
          <w:rFonts w:asciiTheme="majorHAnsi" w:hAnsiTheme="majorHAnsi"/>
        </w:rPr>
        <w:t>(October 2012 – April 2013)</w:t>
      </w:r>
    </w:p>
    <w:p w:rsidR="00EC23D4" w:rsidRDefault="00EC23D4" w:rsidP="00900A78">
      <w:pPr>
        <w:spacing w:after="0"/>
        <w:ind w:firstLine="720"/>
        <w:rPr>
          <w:rFonts w:asciiTheme="majorHAnsi" w:hAnsiTheme="majorHAnsi"/>
        </w:rPr>
      </w:pPr>
      <w:r>
        <w:rPr>
          <w:rFonts w:asciiTheme="majorHAnsi" w:hAnsiTheme="majorHAnsi"/>
        </w:rPr>
        <w:t xml:space="preserve">Design </w:t>
      </w:r>
      <w:r w:rsidR="002D0046">
        <w:rPr>
          <w:rFonts w:asciiTheme="majorHAnsi" w:hAnsiTheme="majorHAnsi"/>
        </w:rPr>
        <w:t>survey tool</w:t>
      </w:r>
      <w:r w:rsidR="00B64A20">
        <w:rPr>
          <w:rFonts w:asciiTheme="majorHAnsi" w:hAnsiTheme="majorHAnsi"/>
        </w:rPr>
        <w:t>…………………………………………………..</w:t>
      </w:r>
      <w:r w:rsidR="00B64A20">
        <w:rPr>
          <w:rFonts w:asciiTheme="majorHAnsi" w:hAnsiTheme="majorHAnsi"/>
        </w:rPr>
        <w:tab/>
      </w:r>
      <w:r>
        <w:rPr>
          <w:rFonts w:asciiTheme="majorHAnsi" w:hAnsiTheme="majorHAnsi"/>
        </w:rPr>
        <w:t>(COMPLETE)</w:t>
      </w:r>
    </w:p>
    <w:p w:rsidR="00EC23D4" w:rsidRDefault="00EC23D4" w:rsidP="00EC23D4">
      <w:pPr>
        <w:spacing w:after="0"/>
        <w:ind w:firstLine="720"/>
        <w:rPr>
          <w:rFonts w:asciiTheme="majorHAnsi" w:hAnsiTheme="majorHAnsi"/>
        </w:rPr>
      </w:pPr>
      <w:r>
        <w:rPr>
          <w:rFonts w:asciiTheme="majorHAnsi" w:hAnsiTheme="majorHAnsi"/>
        </w:rPr>
        <w:t>Develop protocol, inst</w:t>
      </w:r>
      <w:r w:rsidR="00B64A20">
        <w:rPr>
          <w:rFonts w:asciiTheme="majorHAnsi" w:hAnsiTheme="majorHAnsi"/>
        </w:rPr>
        <w:t>ructions, and analysis plan……..</w:t>
      </w:r>
      <w:r w:rsidR="00B64A20">
        <w:rPr>
          <w:rFonts w:asciiTheme="majorHAnsi" w:hAnsiTheme="majorHAnsi"/>
        </w:rPr>
        <w:tab/>
      </w:r>
      <w:r>
        <w:rPr>
          <w:rFonts w:asciiTheme="majorHAnsi" w:hAnsiTheme="majorHAnsi"/>
        </w:rPr>
        <w:t>(COMPLETE)</w:t>
      </w:r>
    </w:p>
    <w:p w:rsidR="00EC23D4" w:rsidRDefault="00EC23D4" w:rsidP="00EC23D4">
      <w:pPr>
        <w:spacing w:after="0"/>
        <w:ind w:firstLine="720"/>
        <w:rPr>
          <w:rFonts w:asciiTheme="majorHAnsi" w:hAnsiTheme="majorHAnsi"/>
        </w:rPr>
      </w:pPr>
      <w:r>
        <w:rPr>
          <w:rFonts w:asciiTheme="majorHAnsi" w:hAnsiTheme="majorHAnsi"/>
        </w:rPr>
        <w:t>Pilot test survey</w:t>
      </w:r>
      <w:r w:rsidR="00B64A20">
        <w:rPr>
          <w:rFonts w:asciiTheme="majorHAnsi" w:hAnsiTheme="majorHAnsi"/>
        </w:rPr>
        <w:t xml:space="preserve"> questionnaire</w:t>
      </w:r>
      <w:r w:rsidR="00B64A20">
        <w:rPr>
          <w:rFonts w:asciiTheme="majorHAnsi" w:hAnsiTheme="majorHAnsi"/>
        </w:rPr>
        <w:tab/>
        <w:t>………………………………..</w:t>
      </w:r>
      <w:r w:rsidR="00B64A20">
        <w:rPr>
          <w:rFonts w:asciiTheme="majorHAnsi" w:hAnsiTheme="majorHAnsi"/>
        </w:rPr>
        <w:tab/>
      </w:r>
      <w:r>
        <w:rPr>
          <w:rFonts w:asciiTheme="majorHAnsi" w:hAnsiTheme="majorHAnsi"/>
        </w:rPr>
        <w:t>(COMPLETE)</w:t>
      </w:r>
    </w:p>
    <w:p w:rsidR="00EC23D4" w:rsidRDefault="00EC23D4" w:rsidP="00EC23D4">
      <w:pPr>
        <w:spacing w:after="0"/>
        <w:ind w:firstLine="720"/>
        <w:rPr>
          <w:rFonts w:asciiTheme="majorHAnsi" w:hAnsiTheme="majorHAnsi"/>
        </w:rPr>
      </w:pPr>
      <w:r>
        <w:rPr>
          <w:rFonts w:asciiTheme="majorHAnsi" w:hAnsiTheme="majorHAnsi"/>
        </w:rPr>
        <w:t>Prepare O</w:t>
      </w:r>
      <w:r w:rsidR="00B64A20">
        <w:rPr>
          <w:rFonts w:asciiTheme="majorHAnsi" w:hAnsiTheme="majorHAnsi"/>
        </w:rPr>
        <w:t>MB package……………………………………………..</w:t>
      </w:r>
      <w:r w:rsidR="00B64A20">
        <w:rPr>
          <w:rFonts w:asciiTheme="majorHAnsi" w:hAnsiTheme="majorHAnsi"/>
        </w:rPr>
        <w:tab/>
      </w:r>
      <w:r>
        <w:rPr>
          <w:rFonts w:asciiTheme="majorHAnsi" w:hAnsiTheme="majorHAnsi"/>
        </w:rPr>
        <w:t>(COMPLETE)</w:t>
      </w:r>
    </w:p>
    <w:p w:rsidR="00EC23D4" w:rsidRDefault="00EC23D4" w:rsidP="00EC23D4">
      <w:pPr>
        <w:spacing w:after="0"/>
        <w:ind w:firstLine="720"/>
        <w:rPr>
          <w:rFonts w:asciiTheme="majorHAnsi" w:hAnsiTheme="majorHAnsi"/>
        </w:rPr>
      </w:pPr>
      <w:r>
        <w:rPr>
          <w:rFonts w:asciiTheme="majorHAnsi" w:hAnsiTheme="majorHAnsi"/>
        </w:rPr>
        <w:t>Submit OMB</w:t>
      </w:r>
      <w:r w:rsidR="00B64A20">
        <w:rPr>
          <w:rFonts w:asciiTheme="majorHAnsi" w:hAnsiTheme="majorHAnsi"/>
        </w:rPr>
        <w:t xml:space="preserve"> package………………………………………………</w:t>
      </w:r>
      <w:r w:rsidR="00B64A20">
        <w:rPr>
          <w:rFonts w:asciiTheme="majorHAnsi" w:hAnsiTheme="majorHAnsi"/>
        </w:rPr>
        <w:tab/>
      </w:r>
      <w:r>
        <w:rPr>
          <w:rFonts w:asciiTheme="majorHAnsi" w:hAnsiTheme="majorHAnsi"/>
        </w:rPr>
        <w:t>(COMPLETE)</w:t>
      </w:r>
    </w:p>
    <w:p w:rsidR="00EC23D4" w:rsidRDefault="00EC23D4" w:rsidP="00EC23D4">
      <w:pPr>
        <w:spacing w:after="0"/>
        <w:ind w:firstLine="720"/>
        <w:rPr>
          <w:rFonts w:asciiTheme="majorHAnsi" w:hAnsiTheme="majorHAnsi"/>
        </w:rPr>
      </w:pPr>
      <w:r>
        <w:rPr>
          <w:rFonts w:asciiTheme="majorHAnsi" w:hAnsiTheme="majorHAnsi"/>
        </w:rPr>
        <w:t>OMB appr</w:t>
      </w:r>
      <w:r w:rsidR="00B64A20">
        <w:rPr>
          <w:rFonts w:asciiTheme="majorHAnsi" w:hAnsiTheme="majorHAnsi"/>
        </w:rPr>
        <w:t>oval………………………………………………………...</w:t>
      </w:r>
      <w:r w:rsidR="00B64A20">
        <w:rPr>
          <w:rFonts w:asciiTheme="majorHAnsi" w:hAnsiTheme="majorHAnsi"/>
        </w:rPr>
        <w:tab/>
      </w:r>
      <w:r>
        <w:rPr>
          <w:rFonts w:asciiTheme="majorHAnsi" w:hAnsiTheme="majorHAnsi"/>
        </w:rPr>
        <w:t>(</w:t>
      </w:r>
      <w:r w:rsidR="002D0046">
        <w:rPr>
          <w:rFonts w:asciiTheme="majorHAnsi" w:hAnsiTheme="majorHAnsi"/>
        </w:rPr>
        <w:t>Tentative - 10/14/12</w:t>
      </w:r>
      <w:r>
        <w:rPr>
          <w:rFonts w:asciiTheme="majorHAnsi" w:hAnsiTheme="majorHAnsi"/>
        </w:rPr>
        <w:t>)</w:t>
      </w:r>
    </w:p>
    <w:p w:rsidR="00EC23D4" w:rsidRDefault="00EC23D4" w:rsidP="00EC23D4">
      <w:pPr>
        <w:spacing w:after="0"/>
        <w:ind w:firstLine="720"/>
        <w:rPr>
          <w:rFonts w:asciiTheme="majorHAnsi" w:hAnsiTheme="majorHAnsi"/>
        </w:rPr>
      </w:pPr>
      <w:r>
        <w:rPr>
          <w:rFonts w:asciiTheme="majorHAnsi" w:hAnsiTheme="majorHAnsi"/>
        </w:rPr>
        <w:t xml:space="preserve">Conduct </w:t>
      </w:r>
      <w:r w:rsidR="00B64A20">
        <w:rPr>
          <w:rFonts w:asciiTheme="majorHAnsi" w:hAnsiTheme="majorHAnsi"/>
        </w:rPr>
        <w:t>data collection ………………………………………….</w:t>
      </w:r>
      <w:r w:rsidR="00B64A20">
        <w:rPr>
          <w:rFonts w:asciiTheme="majorHAnsi" w:hAnsiTheme="majorHAnsi"/>
        </w:rPr>
        <w:tab/>
      </w:r>
      <w:r>
        <w:rPr>
          <w:rFonts w:asciiTheme="majorHAnsi" w:hAnsiTheme="majorHAnsi"/>
        </w:rPr>
        <w:t>(</w:t>
      </w:r>
      <w:r w:rsidR="002D0046">
        <w:rPr>
          <w:rFonts w:asciiTheme="majorHAnsi" w:hAnsiTheme="majorHAnsi"/>
        </w:rPr>
        <w:t>Tentative - 11/5/12 – 12/5/12)</w:t>
      </w:r>
      <w:r>
        <w:rPr>
          <w:rFonts w:asciiTheme="majorHAnsi" w:hAnsiTheme="majorHAnsi"/>
        </w:rPr>
        <w:t xml:space="preserve"> </w:t>
      </w:r>
    </w:p>
    <w:p w:rsidR="00EC23D4" w:rsidRDefault="00EC23D4" w:rsidP="00EC23D4">
      <w:pPr>
        <w:spacing w:after="0"/>
        <w:ind w:firstLine="720"/>
        <w:rPr>
          <w:rFonts w:asciiTheme="majorHAnsi" w:hAnsiTheme="majorHAnsi"/>
        </w:rPr>
      </w:pPr>
      <w:r>
        <w:rPr>
          <w:rFonts w:asciiTheme="majorHAnsi" w:hAnsiTheme="majorHAnsi"/>
        </w:rPr>
        <w:t>Collect, code, enter, qu</w:t>
      </w:r>
      <w:r w:rsidR="00B64A20">
        <w:rPr>
          <w:rFonts w:asciiTheme="majorHAnsi" w:hAnsiTheme="majorHAnsi"/>
        </w:rPr>
        <w:t>ality control, and analyze data..</w:t>
      </w:r>
      <w:r w:rsidR="00B64A20">
        <w:rPr>
          <w:rFonts w:asciiTheme="majorHAnsi" w:hAnsiTheme="majorHAnsi"/>
        </w:rPr>
        <w:tab/>
      </w:r>
      <w:r>
        <w:rPr>
          <w:rFonts w:asciiTheme="majorHAnsi" w:hAnsiTheme="majorHAnsi"/>
        </w:rPr>
        <w:t>(</w:t>
      </w:r>
      <w:r w:rsidR="002D0046">
        <w:rPr>
          <w:rFonts w:asciiTheme="majorHAnsi" w:hAnsiTheme="majorHAnsi"/>
        </w:rPr>
        <w:t xml:space="preserve">Tentative </w:t>
      </w:r>
      <w:r w:rsidR="00F10F73">
        <w:rPr>
          <w:rFonts w:asciiTheme="majorHAnsi" w:hAnsiTheme="majorHAnsi"/>
        </w:rPr>
        <w:t>–</w:t>
      </w:r>
      <w:r w:rsidR="002D0046">
        <w:rPr>
          <w:rFonts w:asciiTheme="majorHAnsi" w:hAnsiTheme="majorHAnsi"/>
        </w:rPr>
        <w:t xml:space="preserve"> </w:t>
      </w:r>
      <w:r w:rsidR="00F10F73">
        <w:rPr>
          <w:rFonts w:asciiTheme="majorHAnsi" w:hAnsiTheme="majorHAnsi"/>
        </w:rPr>
        <w:t>1/31</w:t>
      </w:r>
      <w:r w:rsidR="002D0046">
        <w:rPr>
          <w:rFonts w:asciiTheme="majorHAnsi" w:hAnsiTheme="majorHAnsi"/>
        </w:rPr>
        <w:t>/13</w:t>
      </w:r>
      <w:r>
        <w:rPr>
          <w:rFonts w:asciiTheme="majorHAnsi" w:hAnsiTheme="majorHAnsi"/>
        </w:rPr>
        <w:t>)</w:t>
      </w:r>
    </w:p>
    <w:p w:rsidR="00EC23D4" w:rsidRDefault="00EC23D4" w:rsidP="00EC23D4">
      <w:pPr>
        <w:spacing w:after="0"/>
        <w:ind w:firstLine="720"/>
        <w:rPr>
          <w:rFonts w:asciiTheme="majorHAnsi" w:hAnsiTheme="majorHAnsi"/>
        </w:rPr>
      </w:pPr>
      <w:r>
        <w:rPr>
          <w:rFonts w:asciiTheme="majorHAnsi" w:hAnsiTheme="majorHAnsi"/>
        </w:rPr>
        <w:t>Prepare rep</w:t>
      </w:r>
      <w:r w:rsidR="00B64A20">
        <w:rPr>
          <w:rFonts w:asciiTheme="majorHAnsi" w:hAnsiTheme="majorHAnsi"/>
        </w:rPr>
        <w:t>ort……………………………………………………….</w:t>
      </w:r>
      <w:r w:rsidR="00B64A20">
        <w:rPr>
          <w:rFonts w:asciiTheme="majorHAnsi" w:hAnsiTheme="majorHAnsi"/>
        </w:rPr>
        <w:tab/>
      </w:r>
      <w:r w:rsidR="002D0046">
        <w:rPr>
          <w:rFonts w:asciiTheme="majorHAnsi" w:hAnsiTheme="majorHAnsi"/>
        </w:rPr>
        <w:t xml:space="preserve">(Tentative </w:t>
      </w:r>
      <w:r w:rsidR="00F10F73">
        <w:rPr>
          <w:rFonts w:asciiTheme="majorHAnsi" w:hAnsiTheme="majorHAnsi"/>
        </w:rPr>
        <w:t>–</w:t>
      </w:r>
      <w:r w:rsidR="002D0046">
        <w:rPr>
          <w:rFonts w:asciiTheme="majorHAnsi" w:hAnsiTheme="majorHAnsi"/>
        </w:rPr>
        <w:t xml:space="preserve"> </w:t>
      </w:r>
      <w:r w:rsidR="00F10F73">
        <w:rPr>
          <w:rFonts w:asciiTheme="majorHAnsi" w:hAnsiTheme="majorHAnsi"/>
        </w:rPr>
        <w:t>3/31</w:t>
      </w:r>
      <w:r w:rsidR="002D0046">
        <w:rPr>
          <w:rFonts w:asciiTheme="majorHAnsi" w:hAnsiTheme="majorHAnsi"/>
        </w:rPr>
        <w:t>/13)</w:t>
      </w:r>
    </w:p>
    <w:p w:rsidR="00EC23D4" w:rsidRPr="000A71DF" w:rsidRDefault="00EC23D4" w:rsidP="00EC23D4">
      <w:pPr>
        <w:spacing w:after="0"/>
        <w:ind w:firstLine="720"/>
        <w:rPr>
          <w:rFonts w:asciiTheme="majorHAnsi" w:hAnsiTheme="majorHAnsi"/>
          <w:sz w:val="24"/>
          <w:u w:val="single"/>
        </w:rPr>
      </w:pPr>
      <w:r>
        <w:rPr>
          <w:rFonts w:asciiTheme="majorHAnsi" w:hAnsiTheme="majorHAnsi"/>
        </w:rPr>
        <w:t>Disseminate resu</w:t>
      </w:r>
      <w:r w:rsidR="00B64A20">
        <w:rPr>
          <w:rFonts w:asciiTheme="majorHAnsi" w:hAnsiTheme="majorHAnsi"/>
        </w:rPr>
        <w:t>lts/reports…………………………………...</w:t>
      </w:r>
      <w:r w:rsidR="00B64A20">
        <w:rPr>
          <w:rFonts w:asciiTheme="majorHAnsi" w:hAnsiTheme="majorHAnsi"/>
        </w:rPr>
        <w:tab/>
      </w:r>
      <w:r>
        <w:rPr>
          <w:rFonts w:asciiTheme="majorHAnsi" w:hAnsiTheme="majorHAnsi"/>
        </w:rPr>
        <w:t>(</w:t>
      </w:r>
      <w:r w:rsidR="002D0046">
        <w:rPr>
          <w:rFonts w:asciiTheme="majorHAnsi" w:hAnsiTheme="majorHAnsi"/>
        </w:rPr>
        <w:t xml:space="preserve">Tentative </w:t>
      </w:r>
      <w:r w:rsidR="00F10F73">
        <w:rPr>
          <w:rFonts w:asciiTheme="majorHAnsi" w:hAnsiTheme="majorHAnsi"/>
        </w:rPr>
        <w:t>–</w:t>
      </w:r>
      <w:r w:rsidR="002D0046">
        <w:rPr>
          <w:rFonts w:asciiTheme="majorHAnsi" w:hAnsiTheme="majorHAnsi"/>
        </w:rPr>
        <w:t xml:space="preserve"> </w:t>
      </w:r>
      <w:r w:rsidR="00F10F73">
        <w:rPr>
          <w:rFonts w:asciiTheme="majorHAnsi" w:hAnsiTheme="majorHAnsi"/>
        </w:rPr>
        <w:t>4/25</w:t>
      </w:r>
      <w:r w:rsidR="002D0046">
        <w:rPr>
          <w:rFonts w:asciiTheme="majorHAnsi" w:hAnsiTheme="majorHAnsi"/>
        </w:rPr>
        <w:t>/13</w:t>
      </w:r>
      <w:r>
        <w:rPr>
          <w:rFonts w:asciiTheme="majorHAnsi" w:hAnsiTheme="majorHAnsi"/>
        </w:rPr>
        <w:t>)</w:t>
      </w:r>
    </w:p>
    <w:p w:rsidR="00F533C2" w:rsidRDefault="00F533C2" w:rsidP="0004679B">
      <w:pPr>
        <w:spacing w:after="0"/>
        <w:rPr>
          <w:rFonts w:asciiTheme="majorHAnsi" w:hAnsiTheme="majorHAnsi"/>
          <w:b/>
        </w:rPr>
      </w:pPr>
    </w:p>
    <w:p w:rsidR="002D0046" w:rsidRPr="00F533C2" w:rsidRDefault="002D0046" w:rsidP="002D0046">
      <w:pPr>
        <w:spacing w:after="0"/>
        <w:ind w:firstLine="720"/>
        <w:rPr>
          <w:rFonts w:asciiTheme="majorHAnsi" w:hAnsiTheme="majorHAnsi"/>
        </w:rPr>
      </w:pPr>
      <w:r w:rsidRPr="00F533C2">
        <w:rPr>
          <w:rFonts w:asciiTheme="majorHAnsi" w:hAnsiTheme="majorHAnsi"/>
          <w:b/>
        </w:rPr>
        <w:t xml:space="preserve">Year </w:t>
      </w:r>
      <w:r>
        <w:rPr>
          <w:rFonts w:asciiTheme="majorHAnsi" w:hAnsiTheme="majorHAnsi"/>
          <w:b/>
        </w:rPr>
        <w:t>3</w:t>
      </w:r>
      <w:r w:rsidRPr="00F533C2">
        <w:rPr>
          <w:rFonts w:asciiTheme="majorHAnsi" w:hAnsiTheme="majorHAnsi"/>
          <w:b/>
        </w:rPr>
        <w:t xml:space="preserve"> NPHII Assessment</w:t>
      </w:r>
      <w:r>
        <w:rPr>
          <w:rFonts w:asciiTheme="majorHAnsi" w:hAnsiTheme="majorHAnsi"/>
          <w:b/>
        </w:rPr>
        <w:t xml:space="preserve"> </w:t>
      </w:r>
      <w:r>
        <w:rPr>
          <w:rFonts w:asciiTheme="majorHAnsi" w:hAnsiTheme="majorHAnsi"/>
        </w:rPr>
        <w:t>(October 2013 – April 2014)</w:t>
      </w:r>
    </w:p>
    <w:p w:rsidR="00B64A20" w:rsidRDefault="00B64A20" w:rsidP="00B64A20">
      <w:pPr>
        <w:spacing w:after="0"/>
        <w:ind w:firstLine="720"/>
        <w:rPr>
          <w:rFonts w:asciiTheme="majorHAnsi" w:hAnsiTheme="majorHAnsi"/>
        </w:rPr>
      </w:pPr>
      <w:r>
        <w:rPr>
          <w:rFonts w:asciiTheme="majorHAnsi" w:hAnsiTheme="majorHAnsi"/>
        </w:rPr>
        <w:t>Conduct data collection ………………………………………….</w:t>
      </w:r>
      <w:r>
        <w:rPr>
          <w:rFonts w:asciiTheme="majorHAnsi" w:hAnsiTheme="majorHAnsi"/>
        </w:rPr>
        <w:tab/>
        <w:t>(</w:t>
      </w:r>
      <w:r w:rsidR="00351977">
        <w:rPr>
          <w:rFonts w:asciiTheme="majorHAnsi" w:hAnsiTheme="majorHAnsi"/>
        </w:rPr>
        <w:t>Tentative - 11/5/13</w:t>
      </w:r>
      <w:r>
        <w:rPr>
          <w:rFonts w:asciiTheme="majorHAnsi" w:hAnsiTheme="majorHAnsi"/>
        </w:rPr>
        <w:t xml:space="preserve"> – 12/5/1</w:t>
      </w:r>
      <w:r w:rsidR="00351977">
        <w:rPr>
          <w:rFonts w:asciiTheme="majorHAnsi" w:hAnsiTheme="majorHAnsi"/>
        </w:rPr>
        <w:t>3</w:t>
      </w:r>
      <w:r>
        <w:rPr>
          <w:rFonts w:asciiTheme="majorHAnsi" w:hAnsiTheme="majorHAnsi"/>
        </w:rPr>
        <w:t xml:space="preserve">) </w:t>
      </w:r>
    </w:p>
    <w:p w:rsidR="00B64A20" w:rsidRDefault="00B64A20" w:rsidP="00B64A20">
      <w:pPr>
        <w:spacing w:after="0"/>
        <w:ind w:firstLine="720"/>
        <w:rPr>
          <w:rFonts w:asciiTheme="majorHAnsi" w:hAnsiTheme="majorHAnsi"/>
        </w:rPr>
      </w:pPr>
      <w:r>
        <w:rPr>
          <w:rFonts w:asciiTheme="majorHAnsi" w:hAnsiTheme="majorHAnsi"/>
        </w:rPr>
        <w:t>Collect, code, enter, quality control, and analyze data..</w:t>
      </w:r>
      <w:r>
        <w:rPr>
          <w:rFonts w:asciiTheme="majorHAnsi" w:hAnsiTheme="majorHAnsi"/>
        </w:rPr>
        <w:tab/>
        <w:t xml:space="preserve">(Tentative </w:t>
      </w:r>
      <w:r w:rsidR="00F10F73">
        <w:rPr>
          <w:rFonts w:asciiTheme="majorHAnsi" w:hAnsiTheme="majorHAnsi"/>
        </w:rPr>
        <w:t>–</w:t>
      </w:r>
      <w:r>
        <w:rPr>
          <w:rFonts w:asciiTheme="majorHAnsi" w:hAnsiTheme="majorHAnsi"/>
        </w:rPr>
        <w:t xml:space="preserve"> </w:t>
      </w:r>
      <w:r w:rsidR="00F10F73">
        <w:rPr>
          <w:rFonts w:asciiTheme="majorHAnsi" w:hAnsiTheme="majorHAnsi"/>
        </w:rPr>
        <w:t>1/31</w:t>
      </w:r>
      <w:r>
        <w:rPr>
          <w:rFonts w:asciiTheme="majorHAnsi" w:hAnsiTheme="majorHAnsi"/>
        </w:rPr>
        <w:t>/1</w:t>
      </w:r>
      <w:r w:rsidR="00351977">
        <w:rPr>
          <w:rFonts w:asciiTheme="majorHAnsi" w:hAnsiTheme="majorHAnsi"/>
        </w:rPr>
        <w:t>4</w:t>
      </w:r>
      <w:r>
        <w:rPr>
          <w:rFonts w:asciiTheme="majorHAnsi" w:hAnsiTheme="majorHAnsi"/>
        </w:rPr>
        <w:t>)</w:t>
      </w:r>
    </w:p>
    <w:p w:rsidR="00B64A20" w:rsidRDefault="00B64A20" w:rsidP="00B64A20">
      <w:pPr>
        <w:spacing w:after="0"/>
        <w:ind w:firstLine="720"/>
        <w:rPr>
          <w:rFonts w:asciiTheme="majorHAnsi" w:hAnsiTheme="majorHAnsi"/>
        </w:rPr>
      </w:pPr>
      <w:r>
        <w:rPr>
          <w:rFonts w:asciiTheme="majorHAnsi" w:hAnsiTheme="majorHAnsi"/>
        </w:rPr>
        <w:t>Prepare report……………………………………………………….</w:t>
      </w:r>
      <w:r>
        <w:rPr>
          <w:rFonts w:asciiTheme="majorHAnsi" w:hAnsiTheme="majorHAnsi"/>
        </w:rPr>
        <w:tab/>
        <w:t xml:space="preserve">(Tentative </w:t>
      </w:r>
      <w:r w:rsidR="00F10F73">
        <w:rPr>
          <w:rFonts w:asciiTheme="majorHAnsi" w:hAnsiTheme="majorHAnsi"/>
        </w:rPr>
        <w:t>–</w:t>
      </w:r>
      <w:r>
        <w:rPr>
          <w:rFonts w:asciiTheme="majorHAnsi" w:hAnsiTheme="majorHAnsi"/>
        </w:rPr>
        <w:t xml:space="preserve"> </w:t>
      </w:r>
      <w:r w:rsidR="00F10F73">
        <w:rPr>
          <w:rFonts w:asciiTheme="majorHAnsi" w:hAnsiTheme="majorHAnsi"/>
        </w:rPr>
        <w:t>3/31</w:t>
      </w:r>
      <w:r>
        <w:rPr>
          <w:rFonts w:asciiTheme="majorHAnsi" w:hAnsiTheme="majorHAnsi"/>
        </w:rPr>
        <w:t>/1</w:t>
      </w:r>
      <w:r w:rsidR="00351977">
        <w:rPr>
          <w:rFonts w:asciiTheme="majorHAnsi" w:hAnsiTheme="majorHAnsi"/>
        </w:rPr>
        <w:t>4</w:t>
      </w:r>
      <w:r>
        <w:rPr>
          <w:rFonts w:asciiTheme="majorHAnsi" w:hAnsiTheme="majorHAnsi"/>
        </w:rPr>
        <w:t>)</w:t>
      </w:r>
    </w:p>
    <w:p w:rsidR="000A71DF" w:rsidRPr="00351977" w:rsidRDefault="00B64A20" w:rsidP="00351977">
      <w:pPr>
        <w:spacing w:after="0"/>
        <w:ind w:firstLine="720"/>
        <w:rPr>
          <w:rFonts w:asciiTheme="majorHAnsi" w:hAnsiTheme="majorHAnsi"/>
          <w:sz w:val="24"/>
          <w:u w:val="single"/>
        </w:rPr>
      </w:pPr>
      <w:r>
        <w:rPr>
          <w:rFonts w:asciiTheme="majorHAnsi" w:hAnsiTheme="majorHAnsi"/>
        </w:rPr>
        <w:t>Disseminate results/reports…………………………………...</w:t>
      </w:r>
      <w:r>
        <w:rPr>
          <w:rFonts w:asciiTheme="majorHAnsi" w:hAnsiTheme="majorHAnsi"/>
        </w:rPr>
        <w:tab/>
        <w:t xml:space="preserve">(Tentative </w:t>
      </w:r>
      <w:r w:rsidR="00F10F73">
        <w:rPr>
          <w:rFonts w:asciiTheme="majorHAnsi" w:hAnsiTheme="majorHAnsi"/>
        </w:rPr>
        <w:t>–</w:t>
      </w:r>
      <w:r>
        <w:rPr>
          <w:rFonts w:asciiTheme="majorHAnsi" w:hAnsiTheme="majorHAnsi"/>
        </w:rPr>
        <w:t xml:space="preserve"> </w:t>
      </w:r>
      <w:r w:rsidR="00F10F73">
        <w:rPr>
          <w:rFonts w:asciiTheme="majorHAnsi" w:hAnsiTheme="majorHAnsi"/>
        </w:rPr>
        <w:t>4/25</w:t>
      </w:r>
      <w:r>
        <w:rPr>
          <w:rFonts w:asciiTheme="majorHAnsi" w:hAnsiTheme="majorHAnsi"/>
        </w:rPr>
        <w:t>/1</w:t>
      </w:r>
      <w:r w:rsidR="00351977">
        <w:rPr>
          <w:rFonts w:asciiTheme="majorHAnsi" w:hAnsiTheme="majorHAnsi"/>
        </w:rPr>
        <w:t>4</w:t>
      </w:r>
      <w:r>
        <w:rPr>
          <w:rFonts w:asciiTheme="majorHAnsi" w:hAnsiTheme="majorHAnsi"/>
        </w:rPr>
        <w:t>)</w:t>
      </w:r>
    </w:p>
    <w:p w:rsidR="00F533C2" w:rsidRDefault="00F533C2" w:rsidP="00F52BCC">
      <w:pPr>
        <w:pStyle w:val="ListParagraph"/>
        <w:spacing w:after="0"/>
        <w:rPr>
          <w:rFonts w:asciiTheme="majorHAnsi" w:hAnsiTheme="majorHAnsi"/>
        </w:rPr>
      </w:pPr>
    </w:p>
    <w:p w:rsidR="00E4789D" w:rsidRPr="00D75750" w:rsidRDefault="00E4789D" w:rsidP="00F36BF4">
      <w:pPr>
        <w:pStyle w:val="ListParagraph"/>
        <w:numPr>
          <w:ilvl w:val="0"/>
          <w:numId w:val="2"/>
        </w:numPr>
        <w:spacing w:after="0"/>
        <w:ind w:left="81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F36BF4">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A36419" w:rsidRDefault="00385BB5" w:rsidP="00927018">
      <w:pPr>
        <w:rPr>
          <w:rFonts w:asciiTheme="majorHAnsi" w:hAnsiTheme="majorHAnsi"/>
          <w:b/>
          <w:sz w:val="28"/>
        </w:rPr>
      </w:pPr>
      <w:r>
        <w:rPr>
          <w:rFonts w:asciiTheme="majorHAnsi" w:hAnsiTheme="majorHAnsi"/>
          <w:b/>
          <w:sz w:val="28"/>
        </w:rPr>
        <w:br w:type="page"/>
      </w:r>
      <w:r w:rsidR="00A36419">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w:t>
      </w:r>
      <w:r w:rsidRPr="000F3E91">
        <w:rPr>
          <w:rFonts w:asciiTheme="majorHAnsi" w:hAnsiTheme="majorHAnsi"/>
          <w:sz w:val="20"/>
        </w:rPr>
        <w:t>Attachments are</w:t>
      </w:r>
      <w:r>
        <w:rPr>
          <w:rFonts w:asciiTheme="majorHAnsi" w:hAnsiTheme="majorHAnsi"/>
          <w:sz w:val="20"/>
        </w:rPr>
        <w:t xml:space="preserve"> included as separate files as instructed.</w:t>
      </w:r>
    </w:p>
    <w:p w:rsidR="00A36419" w:rsidRDefault="00A36419" w:rsidP="00A36419">
      <w:pPr>
        <w:spacing w:after="0" w:line="360" w:lineRule="auto"/>
        <w:rPr>
          <w:rFonts w:asciiTheme="majorHAnsi" w:hAnsiTheme="majorHAnsi"/>
          <w:b/>
        </w:rPr>
      </w:pPr>
    </w:p>
    <w:p w:rsidR="000F3E91" w:rsidRDefault="000F3E91" w:rsidP="00495FB0">
      <w:pPr>
        <w:pStyle w:val="ListParagraph"/>
        <w:numPr>
          <w:ilvl w:val="0"/>
          <w:numId w:val="39"/>
        </w:numPr>
        <w:spacing w:after="0" w:line="360" w:lineRule="auto"/>
        <w:rPr>
          <w:rFonts w:asciiTheme="majorHAnsi" w:hAnsiTheme="majorHAnsi"/>
          <w:b/>
        </w:rPr>
      </w:pPr>
      <w:r>
        <w:rPr>
          <w:rFonts w:asciiTheme="majorHAnsi" w:hAnsiTheme="majorHAnsi"/>
          <w:b/>
        </w:rPr>
        <w:t>Original NPHII Funding Opportunity Announcement</w:t>
      </w:r>
    </w:p>
    <w:p w:rsidR="00271627" w:rsidRDefault="00271627" w:rsidP="00495FB0">
      <w:pPr>
        <w:pStyle w:val="ListParagraph"/>
        <w:numPr>
          <w:ilvl w:val="0"/>
          <w:numId w:val="39"/>
        </w:numPr>
        <w:spacing w:after="0" w:line="360" w:lineRule="auto"/>
        <w:rPr>
          <w:rFonts w:asciiTheme="majorHAnsi" w:hAnsiTheme="majorHAnsi"/>
          <w:b/>
        </w:rPr>
      </w:pPr>
      <w:r>
        <w:rPr>
          <w:rFonts w:asciiTheme="majorHAnsi" w:hAnsiTheme="majorHAnsi" w:cstheme="minorHAnsi"/>
          <w:b/>
        </w:rPr>
        <w:t xml:space="preserve">Map and Listing of </w:t>
      </w:r>
      <w:r w:rsidR="00825BBE">
        <w:rPr>
          <w:rFonts w:asciiTheme="majorHAnsi" w:hAnsiTheme="majorHAnsi" w:cstheme="minorHAnsi"/>
          <w:b/>
        </w:rPr>
        <w:t xml:space="preserve">FY 2011 </w:t>
      </w:r>
      <w:r>
        <w:rPr>
          <w:rFonts w:asciiTheme="majorHAnsi" w:hAnsiTheme="majorHAnsi" w:cstheme="minorHAnsi"/>
          <w:b/>
        </w:rPr>
        <w:t>NPHII Awardees</w:t>
      </w:r>
      <w:r>
        <w:rPr>
          <w:rFonts w:asciiTheme="majorHAnsi" w:hAnsiTheme="majorHAnsi"/>
          <w:b/>
        </w:rPr>
        <w:t xml:space="preserve"> </w:t>
      </w:r>
    </w:p>
    <w:p w:rsidR="00F863F9" w:rsidRDefault="00E4789D" w:rsidP="00495FB0">
      <w:pPr>
        <w:pStyle w:val="ListParagraph"/>
        <w:numPr>
          <w:ilvl w:val="0"/>
          <w:numId w:val="39"/>
        </w:numPr>
        <w:spacing w:after="0" w:line="360" w:lineRule="auto"/>
        <w:rPr>
          <w:rFonts w:asciiTheme="majorHAnsi" w:hAnsiTheme="majorHAnsi"/>
          <w:b/>
        </w:rPr>
      </w:pPr>
      <w:r>
        <w:rPr>
          <w:rFonts w:asciiTheme="majorHAnsi" w:hAnsiTheme="majorHAnsi"/>
          <w:b/>
        </w:rPr>
        <w:t xml:space="preserve">Continuation guidance for </w:t>
      </w:r>
      <w:r w:rsidR="006A1A2C">
        <w:rPr>
          <w:rFonts w:asciiTheme="majorHAnsi" w:hAnsiTheme="majorHAnsi"/>
          <w:b/>
        </w:rPr>
        <w:t xml:space="preserve">Year 2 </w:t>
      </w:r>
      <w:r w:rsidR="00F863F9">
        <w:rPr>
          <w:rFonts w:asciiTheme="majorHAnsi" w:hAnsiTheme="majorHAnsi"/>
          <w:b/>
        </w:rPr>
        <w:t>of NPHII</w:t>
      </w:r>
    </w:p>
    <w:p w:rsidR="00927018" w:rsidRDefault="00F863F9" w:rsidP="00495FB0">
      <w:pPr>
        <w:pStyle w:val="ListParagraph"/>
        <w:numPr>
          <w:ilvl w:val="0"/>
          <w:numId w:val="39"/>
        </w:numPr>
        <w:spacing w:after="0" w:line="360" w:lineRule="auto"/>
        <w:rPr>
          <w:rFonts w:asciiTheme="majorHAnsi" w:hAnsiTheme="majorHAnsi"/>
          <w:b/>
        </w:rPr>
      </w:pPr>
      <w:r>
        <w:rPr>
          <w:rFonts w:asciiTheme="majorHAnsi" w:hAnsiTheme="majorHAnsi"/>
          <w:b/>
        </w:rPr>
        <w:t xml:space="preserve">Continuation guidance for Year 3 of </w:t>
      </w:r>
      <w:r w:rsidR="00E4789D">
        <w:rPr>
          <w:rFonts w:asciiTheme="majorHAnsi" w:hAnsiTheme="majorHAnsi"/>
          <w:b/>
        </w:rPr>
        <w:t>NPHII</w:t>
      </w:r>
    </w:p>
    <w:p w:rsidR="00F36BF4" w:rsidRDefault="00F36BF4" w:rsidP="00495FB0">
      <w:pPr>
        <w:pStyle w:val="ListParagraph"/>
        <w:numPr>
          <w:ilvl w:val="0"/>
          <w:numId w:val="39"/>
        </w:numPr>
        <w:spacing w:after="0" w:line="360" w:lineRule="auto"/>
        <w:rPr>
          <w:rFonts w:asciiTheme="majorHAnsi" w:hAnsiTheme="majorHAnsi"/>
          <w:b/>
        </w:rPr>
      </w:pPr>
      <w:r>
        <w:rPr>
          <w:rFonts w:asciiTheme="majorHAnsi" w:hAnsiTheme="majorHAnsi"/>
          <w:b/>
        </w:rPr>
        <w:t>PHAB Standards and Measures (version 1.0)</w:t>
      </w:r>
    </w:p>
    <w:p w:rsidR="00A56E73" w:rsidRDefault="00F533C2" w:rsidP="00495FB0">
      <w:pPr>
        <w:pStyle w:val="ListParagraph"/>
        <w:numPr>
          <w:ilvl w:val="0"/>
          <w:numId w:val="39"/>
        </w:numPr>
        <w:spacing w:after="0" w:line="360" w:lineRule="auto"/>
        <w:rPr>
          <w:rFonts w:asciiTheme="majorHAnsi" w:hAnsiTheme="majorHAnsi"/>
          <w:b/>
        </w:rPr>
      </w:pPr>
      <w:r>
        <w:rPr>
          <w:rFonts w:asciiTheme="majorHAnsi" w:hAnsiTheme="majorHAnsi"/>
          <w:b/>
        </w:rPr>
        <w:t xml:space="preserve">Logic model for NPHII </w:t>
      </w:r>
      <w:r w:rsidR="002C627C">
        <w:rPr>
          <w:rFonts w:asciiTheme="majorHAnsi" w:hAnsiTheme="majorHAnsi"/>
          <w:b/>
        </w:rPr>
        <w:t>E</w:t>
      </w:r>
      <w:r>
        <w:rPr>
          <w:rFonts w:asciiTheme="majorHAnsi" w:hAnsiTheme="majorHAnsi"/>
          <w:b/>
        </w:rPr>
        <w:t>valuation</w:t>
      </w:r>
    </w:p>
    <w:p w:rsidR="00F533C2" w:rsidRDefault="00D01341" w:rsidP="00495FB0">
      <w:pPr>
        <w:pStyle w:val="ListParagraph"/>
        <w:numPr>
          <w:ilvl w:val="0"/>
          <w:numId w:val="39"/>
        </w:numPr>
        <w:spacing w:after="0" w:line="360" w:lineRule="auto"/>
        <w:rPr>
          <w:rFonts w:asciiTheme="majorHAnsi" w:hAnsiTheme="majorHAnsi"/>
          <w:b/>
        </w:rPr>
      </w:pPr>
      <w:r>
        <w:rPr>
          <w:rFonts w:asciiTheme="majorHAnsi" w:hAnsiTheme="majorHAnsi"/>
          <w:b/>
        </w:rPr>
        <w:t>NPHII evaluation questions</w:t>
      </w:r>
    </w:p>
    <w:p w:rsidR="00D01341" w:rsidRDefault="00D01341" w:rsidP="00495FB0">
      <w:pPr>
        <w:pStyle w:val="ListParagraph"/>
        <w:numPr>
          <w:ilvl w:val="0"/>
          <w:numId w:val="39"/>
        </w:numPr>
        <w:spacing w:after="0" w:line="360" w:lineRule="auto"/>
        <w:rPr>
          <w:rFonts w:asciiTheme="majorHAnsi" w:hAnsiTheme="majorHAnsi"/>
          <w:b/>
        </w:rPr>
      </w:pPr>
      <w:r>
        <w:rPr>
          <w:rFonts w:asciiTheme="majorHAnsi" w:hAnsiTheme="majorHAnsi"/>
          <w:b/>
        </w:rPr>
        <w:t>NPHII Assessment – Screen shots</w:t>
      </w:r>
    </w:p>
    <w:p w:rsidR="00D01341" w:rsidRDefault="00D01341" w:rsidP="00495FB0">
      <w:pPr>
        <w:pStyle w:val="ListParagraph"/>
        <w:numPr>
          <w:ilvl w:val="0"/>
          <w:numId w:val="39"/>
        </w:numPr>
        <w:spacing w:after="0" w:line="360" w:lineRule="auto"/>
        <w:rPr>
          <w:rFonts w:asciiTheme="majorHAnsi" w:hAnsiTheme="majorHAnsi"/>
          <w:b/>
        </w:rPr>
      </w:pPr>
      <w:r>
        <w:rPr>
          <w:rFonts w:asciiTheme="majorHAnsi" w:hAnsiTheme="majorHAnsi"/>
          <w:b/>
        </w:rPr>
        <w:t>NPHII Assessment – Word version</w:t>
      </w:r>
    </w:p>
    <w:p w:rsidR="000E6577" w:rsidRPr="000E6577" w:rsidRDefault="000E6577" w:rsidP="000E6577">
      <w:pPr>
        <w:spacing w:line="360" w:lineRule="auto"/>
        <w:rPr>
          <w:rFonts w:asciiTheme="majorHAnsi" w:hAnsiTheme="majorHAnsi"/>
          <w:b/>
        </w:rPr>
      </w:pPr>
    </w:p>
    <w:sectPr w:rsidR="000E6577" w:rsidRPr="000E6577" w:rsidSect="00385B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7B" w:rsidRDefault="0004547B" w:rsidP="00716F94">
      <w:pPr>
        <w:spacing w:after="0" w:line="240" w:lineRule="auto"/>
      </w:pPr>
      <w:r>
        <w:separator/>
      </w:r>
    </w:p>
  </w:endnote>
  <w:endnote w:type="continuationSeparator" w:id="0">
    <w:p w:rsidR="0004547B" w:rsidRDefault="0004547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21" w:rsidRDefault="002E0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2E0221" w:rsidRDefault="002E022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A5C49">
              <w:rPr>
                <w:b/>
                <w:noProof/>
              </w:rPr>
              <w:t>9</w:t>
            </w:r>
            <w:r>
              <w:rPr>
                <w:b/>
                <w:sz w:val="24"/>
                <w:szCs w:val="24"/>
              </w:rPr>
              <w:fldChar w:fldCharType="end"/>
            </w:r>
          </w:p>
        </w:sdtContent>
      </w:sdt>
    </w:sdtContent>
  </w:sdt>
  <w:p w:rsidR="002E0221" w:rsidRDefault="002E0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21" w:rsidRDefault="002E0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7B" w:rsidRDefault="0004547B" w:rsidP="00716F94">
      <w:pPr>
        <w:spacing w:after="0" w:line="240" w:lineRule="auto"/>
      </w:pPr>
      <w:r>
        <w:separator/>
      </w:r>
    </w:p>
  </w:footnote>
  <w:footnote w:type="continuationSeparator" w:id="0">
    <w:p w:rsidR="0004547B" w:rsidRDefault="0004547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21" w:rsidRDefault="002E0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21" w:rsidRPr="00716F94" w:rsidRDefault="002E0221"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21" w:rsidRDefault="002E0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0347C"/>
    <w:multiLevelType w:val="hybridMultilevel"/>
    <w:tmpl w:val="7E82A08E"/>
    <w:lvl w:ilvl="0" w:tplc="04090003">
      <w:start w:val="1"/>
      <w:numFmt w:val="bullet"/>
      <w:lvlText w:val="o"/>
      <w:lvlJc w:val="left"/>
      <w:pPr>
        <w:ind w:left="1800" w:hanging="360"/>
      </w:pPr>
      <w:rPr>
        <w:rFonts w:ascii="Courier New" w:hAnsi="Courier Ne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A030E6"/>
    <w:multiLevelType w:val="hybridMultilevel"/>
    <w:tmpl w:val="491AC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3662DE"/>
    <w:multiLevelType w:val="hybridMultilevel"/>
    <w:tmpl w:val="BE5A288C"/>
    <w:lvl w:ilvl="0" w:tplc="52E23B8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AE50D9"/>
    <w:multiLevelType w:val="hybridMultilevel"/>
    <w:tmpl w:val="CBB6B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1715D5"/>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7E3288"/>
    <w:multiLevelType w:val="hybridMultilevel"/>
    <w:tmpl w:val="6E786858"/>
    <w:lvl w:ilvl="0" w:tplc="7D34CFC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F345E6"/>
    <w:multiLevelType w:val="hybridMultilevel"/>
    <w:tmpl w:val="A24CE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677EE4"/>
    <w:multiLevelType w:val="hybridMultilevel"/>
    <w:tmpl w:val="1CC63712"/>
    <w:lvl w:ilvl="0" w:tplc="B3A45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CB1906"/>
    <w:multiLevelType w:val="hybridMultilevel"/>
    <w:tmpl w:val="4E7E8E42"/>
    <w:lvl w:ilvl="0" w:tplc="ACAE3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430C50"/>
    <w:multiLevelType w:val="hybridMultilevel"/>
    <w:tmpl w:val="22E65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C6325"/>
    <w:multiLevelType w:val="hybridMultilevel"/>
    <w:tmpl w:val="5ACEF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B11E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B21077"/>
    <w:multiLevelType w:val="hybridMultilevel"/>
    <w:tmpl w:val="B2F01592"/>
    <w:lvl w:ilvl="0" w:tplc="882A1D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001DF3"/>
    <w:multiLevelType w:val="hybridMultilevel"/>
    <w:tmpl w:val="2F6CC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0C6557B"/>
    <w:multiLevelType w:val="hybridMultilevel"/>
    <w:tmpl w:val="CDDC2AD0"/>
    <w:lvl w:ilvl="0" w:tplc="385C6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B71B89"/>
    <w:multiLevelType w:val="hybridMultilevel"/>
    <w:tmpl w:val="FA32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C65F41"/>
    <w:multiLevelType w:val="hybridMultilevel"/>
    <w:tmpl w:val="3FA870C8"/>
    <w:lvl w:ilvl="0" w:tplc="FFAAD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86D0B"/>
    <w:multiLevelType w:val="hybridMultilevel"/>
    <w:tmpl w:val="211A4AE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8"/>
  </w:num>
  <w:num w:numId="4">
    <w:abstractNumId w:val="14"/>
  </w:num>
  <w:num w:numId="5">
    <w:abstractNumId w:val="25"/>
  </w:num>
  <w:num w:numId="6">
    <w:abstractNumId w:val="10"/>
  </w:num>
  <w:num w:numId="7">
    <w:abstractNumId w:val="0"/>
  </w:num>
  <w:num w:numId="8">
    <w:abstractNumId w:val="6"/>
  </w:num>
  <w:num w:numId="9">
    <w:abstractNumId w:val="12"/>
  </w:num>
  <w:num w:numId="10">
    <w:abstractNumId w:val="27"/>
  </w:num>
  <w:num w:numId="11">
    <w:abstractNumId w:val="2"/>
  </w:num>
  <w:num w:numId="12">
    <w:abstractNumId w:val="37"/>
  </w:num>
  <w:num w:numId="13">
    <w:abstractNumId w:val="9"/>
  </w:num>
  <w:num w:numId="14">
    <w:abstractNumId w:val="3"/>
  </w:num>
  <w:num w:numId="15">
    <w:abstractNumId w:val="30"/>
  </w:num>
  <w:num w:numId="16">
    <w:abstractNumId w:val="32"/>
  </w:num>
  <w:num w:numId="17">
    <w:abstractNumId w:val="35"/>
  </w:num>
  <w:num w:numId="18">
    <w:abstractNumId w:val="19"/>
  </w:num>
  <w:num w:numId="19">
    <w:abstractNumId w:val="39"/>
  </w:num>
  <w:num w:numId="20">
    <w:abstractNumId w:val="26"/>
  </w:num>
  <w:num w:numId="21">
    <w:abstractNumId w:val="28"/>
  </w:num>
  <w:num w:numId="22">
    <w:abstractNumId w:val="31"/>
  </w:num>
  <w:num w:numId="23">
    <w:abstractNumId w:val="36"/>
  </w:num>
  <w:num w:numId="24">
    <w:abstractNumId w:val="8"/>
  </w:num>
  <w:num w:numId="25">
    <w:abstractNumId w:val="17"/>
  </w:num>
  <w:num w:numId="26">
    <w:abstractNumId w:val="16"/>
  </w:num>
  <w:num w:numId="27">
    <w:abstractNumId w:val="29"/>
  </w:num>
  <w:num w:numId="28">
    <w:abstractNumId w:val="15"/>
  </w:num>
  <w:num w:numId="29">
    <w:abstractNumId w:val="18"/>
  </w:num>
  <w:num w:numId="30">
    <w:abstractNumId w:val="34"/>
  </w:num>
  <w:num w:numId="31">
    <w:abstractNumId w:val="20"/>
  </w:num>
  <w:num w:numId="32">
    <w:abstractNumId w:val="24"/>
  </w:num>
  <w:num w:numId="33">
    <w:abstractNumId w:val="33"/>
  </w:num>
  <w:num w:numId="34">
    <w:abstractNumId w:val="7"/>
  </w:num>
  <w:num w:numId="35">
    <w:abstractNumId w:val="5"/>
  </w:num>
  <w:num w:numId="36">
    <w:abstractNumId w:val="4"/>
  </w:num>
  <w:num w:numId="37">
    <w:abstractNumId w:val="11"/>
  </w:num>
  <w:num w:numId="38">
    <w:abstractNumId w:val="22"/>
  </w:num>
  <w:num w:numId="39">
    <w:abstractNumId w:val="2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154F2"/>
    <w:rsid w:val="00024D36"/>
    <w:rsid w:val="0003719B"/>
    <w:rsid w:val="000412A7"/>
    <w:rsid w:val="0004547B"/>
    <w:rsid w:val="0004679B"/>
    <w:rsid w:val="000474FB"/>
    <w:rsid w:val="00053A92"/>
    <w:rsid w:val="00054839"/>
    <w:rsid w:val="000549CC"/>
    <w:rsid w:val="00057F36"/>
    <w:rsid w:val="00062428"/>
    <w:rsid w:val="00065036"/>
    <w:rsid w:val="00074D33"/>
    <w:rsid w:val="000A066E"/>
    <w:rsid w:val="000A1F30"/>
    <w:rsid w:val="000A71DF"/>
    <w:rsid w:val="000B0962"/>
    <w:rsid w:val="000B2CBC"/>
    <w:rsid w:val="000D1FBE"/>
    <w:rsid w:val="000E4A94"/>
    <w:rsid w:val="000E6577"/>
    <w:rsid w:val="000E7A19"/>
    <w:rsid w:val="000F3E91"/>
    <w:rsid w:val="000F564A"/>
    <w:rsid w:val="00104A1B"/>
    <w:rsid w:val="00114BA8"/>
    <w:rsid w:val="00116C81"/>
    <w:rsid w:val="001177DD"/>
    <w:rsid w:val="00135334"/>
    <w:rsid w:val="001412D4"/>
    <w:rsid w:val="00144F64"/>
    <w:rsid w:val="00145417"/>
    <w:rsid w:val="00145D62"/>
    <w:rsid w:val="00151567"/>
    <w:rsid w:val="0015522B"/>
    <w:rsid w:val="00162E5C"/>
    <w:rsid w:val="00163E17"/>
    <w:rsid w:val="00166F9E"/>
    <w:rsid w:val="00167671"/>
    <w:rsid w:val="00167880"/>
    <w:rsid w:val="00170531"/>
    <w:rsid w:val="00170CAF"/>
    <w:rsid w:val="00180D45"/>
    <w:rsid w:val="00181F43"/>
    <w:rsid w:val="001831A5"/>
    <w:rsid w:val="00183A52"/>
    <w:rsid w:val="00187870"/>
    <w:rsid w:val="00187D5A"/>
    <w:rsid w:val="001972D7"/>
    <w:rsid w:val="001A28F6"/>
    <w:rsid w:val="001A6302"/>
    <w:rsid w:val="001B2831"/>
    <w:rsid w:val="001B4065"/>
    <w:rsid w:val="001B4A45"/>
    <w:rsid w:val="001C0493"/>
    <w:rsid w:val="001C28AD"/>
    <w:rsid w:val="001D186B"/>
    <w:rsid w:val="001D7FCB"/>
    <w:rsid w:val="001E2B99"/>
    <w:rsid w:val="001E69B6"/>
    <w:rsid w:val="001F2C38"/>
    <w:rsid w:val="001F4DBB"/>
    <w:rsid w:val="00202D07"/>
    <w:rsid w:val="0020312D"/>
    <w:rsid w:val="002033E1"/>
    <w:rsid w:val="00206E33"/>
    <w:rsid w:val="00210519"/>
    <w:rsid w:val="00211AFE"/>
    <w:rsid w:val="002128BE"/>
    <w:rsid w:val="00223FFD"/>
    <w:rsid w:val="0022707A"/>
    <w:rsid w:val="00227259"/>
    <w:rsid w:val="00233F53"/>
    <w:rsid w:val="00234549"/>
    <w:rsid w:val="00236192"/>
    <w:rsid w:val="00241B17"/>
    <w:rsid w:val="00241C81"/>
    <w:rsid w:val="0024248C"/>
    <w:rsid w:val="002543EA"/>
    <w:rsid w:val="00257A1C"/>
    <w:rsid w:val="00263A49"/>
    <w:rsid w:val="00271627"/>
    <w:rsid w:val="0027234C"/>
    <w:rsid w:val="00274535"/>
    <w:rsid w:val="0028059D"/>
    <w:rsid w:val="00281795"/>
    <w:rsid w:val="00284561"/>
    <w:rsid w:val="002850E3"/>
    <w:rsid w:val="00287E2F"/>
    <w:rsid w:val="002934B3"/>
    <w:rsid w:val="002946B8"/>
    <w:rsid w:val="00295050"/>
    <w:rsid w:val="002A1948"/>
    <w:rsid w:val="002C0877"/>
    <w:rsid w:val="002C2AE2"/>
    <w:rsid w:val="002C627C"/>
    <w:rsid w:val="002D0046"/>
    <w:rsid w:val="002D09A2"/>
    <w:rsid w:val="002D0DCE"/>
    <w:rsid w:val="002D2B14"/>
    <w:rsid w:val="002D4ACF"/>
    <w:rsid w:val="002E0221"/>
    <w:rsid w:val="002E2B10"/>
    <w:rsid w:val="002E73B0"/>
    <w:rsid w:val="002F1502"/>
    <w:rsid w:val="002F2069"/>
    <w:rsid w:val="002F71A2"/>
    <w:rsid w:val="003041AD"/>
    <w:rsid w:val="00304B61"/>
    <w:rsid w:val="0030654D"/>
    <w:rsid w:val="00306FE0"/>
    <w:rsid w:val="0031279F"/>
    <w:rsid w:val="00314F57"/>
    <w:rsid w:val="00316F00"/>
    <w:rsid w:val="00321B51"/>
    <w:rsid w:val="003251FD"/>
    <w:rsid w:val="00325BE5"/>
    <w:rsid w:val="00330781"/>
    <w:rsid w:val="00333743"/>
    <w:rsid w:val="00335C0E"/>
    <w:rsid w:val="00336D96"/>
    <w:rsid w:val="00341039"/>
    <w:rsid w:val="00344F07"/>
    <w:rsid w:val="003469C8"/>
    <w:rsid w:val="00346E66"/>
    <w:rsid w:val="00350C8C"/>
    <w:rsid w:val="00351977"/>
    <w:rsid w:val="00355EA4"/>
    <w:rsid w:val="003635BE"/>
    <w:rsid w:val="00366B5E"/>
    <w:rsid w:val="0037039A"/>
    <w:rsid w:val="003724DD"/>
    <w:rsid w:val="00385745"/>
    <w:rsid w:val="00385BB5"/>
    <w:rsid w:val="00386BC2"/>
    <w:rsid w:val="003905C3"/>
    <w:rsid w:val="00395413"/>
    <w:rsid w:val="00397010"/>
    <w:rsid w:val="003B125E"/>
    <w:rsid w:val="003C19BE"/>
    <w:rsid w:val="003C31C9"/>
    <w:rsid w:val="003C4961"/>
    <w:rsid w:val="003C5F86"/>
    <w:rsid w:val="003C7C5D"/>
    <w:rsid w:val="003D0AD2"/>
    <w:rsid w:val="003D2C3A"/>
    <w:rsid w:val="003E0C5E"/>
    <w:rsid w:val="003F5913"/>
    <w:rsid w:val="004024F8"/>
    <w:rsid w:val="00403554"/>
    <w:rsid w:val="00403C1D"/>
    <w:rsid w:val="00405696"/>
    <w:rsid w:val="0041159A"/>
    <w:rsid w:val="00415039"/>
    <w:rsid w:val="004305A8"/>
    <w:rsid w:val="004353D5"/>
    <w:rsid w:val="004437A6"/>
    <w:rsid w:val="00443CA0"/>
    <w:rsid w:val="00450E14"/>
    <w:rsid w:val="00462C65"/>
    <w:rsid w:val="004674E7"/>
    <w:rsid w:val="00467B14"/>
    <w:rsid w:val="00473FB6"/>
    <w:rsid w:val="00474EDA"/>
    <w:rsid w:val="004824FA"/>
    <w:rsid w:val="00484011"/>
    <w:rsid w:val="004841F1"/>
    <w:rsid w:val="00495FB0"/>
    <w:rsid w:val="004A1E3A"/>
    <w:rsid w:val="004A6837"/>
    <w:rsid w:val="004B46D6"/>
    <w:rsid w:val="004C0BF6"/>
    <w:rsid w:val="004C4464"/>
    <w:rsid w:val="004C4AEA"/>
    <w:rsid w:val="004D0430"/>
    <w:rsid w:val="004D1DAA"/>
    <w:rsid w:val="004D2A2F"/>
    <w:rsid w:val="004D4EB1"/>
    <w:rsid w:val="004E003C"/>
    <w:rsid w:val="004E16EB"/>
    <w:rsid w:val="004E5999"/>
    <w:rsid w:val="004E6665"/>
    <w:rsid w:val="004F634E"/>
    <w:rsid w:val="004F67A8"/>
    <w:rsid w:val="005036AA"/>
    <w:rsid w:val="00511ECD"/>
    <w:rsid w:val="0051582C"/>
    <w:rsid w:val="00522A50"/>
    <w:rsid w:val="005260C5"/>
    <w:rsid w:val="00526CAE"/>
    <w:rsid w:val="00527225"/>
    <w:rsid w:val="005303CC"/>
    <w:rsid w:val="005320C6"/>
    <w:rsid w:val="0053557D"/>
    <w:rsid w:val="0053584B"/>
    <w:rsid w:val="005410E3"/>
    <w:rsid w:val="005463DE"/>
    <w:rsid w:val="00546DC2"/>
    <w:rsid w:val="005542E8"/>
    <w:rsid w:val="00556630"/>
    <w:rsid w:val="0055686D"/>
    <w:rsid w:val="0055724A"/>
    <w:rsid w:val="00563552"/>
    <w:rsid w:val="00563A77"/>
    <w:rsid w:val="00565782"/>
    <w:rsid w:val="005800EE"/>
    <w:rsid w:val="00580BA6"/>
    <w:rsid w:val="005869D6"/>
    <w:rsid w:val="0058734A"/>
    <w:rsid w:val="005911FF"/>
    <w:rsid w:val="0059331E"/>
    <w:rsid w:val="005A33F6"/>
    <w:rsid w:val="005A59E5"/>
    <w:rsid w:val="005B329A"/>
    <w:rsid w:val="005B7440"/>
    <w:rsid w:val="005C1FFB"/>
    <w:rsid w:val="005C200F"/>
    <w:rsid w:val="005E2150"/>
    <w:rsid w:val="005E2995"/>
    <w:rsid w:val="005E3070"/>
    <w:rsid w:val="005F3FEF"/>
    <w:rsid w:val="00600782"/>
    <w:rsid w:val="00600C4F"/>
    <w:rsid w:val="00605E69"/>
    <w:rsid w:val="00607F7C"/>
    <w:rsid w:val="006102DA"/>
    <w:rsid w:val="00616090"/>
    <w:rsid w:val="00622E3C"/>
    <w:rsid w:val="00631365"/>
    <w:rsid w:val="006315A3"/>
    <w:rsid w:val="00635EDB"/>
    <w:rsid w:val="006579A2"/>
    <w:rsid w:val="006641B2"/>
    <w:rsid w:val="00666392"/>
    <w:rsid w:val="00667C89"/>
    <w:rsid w:val="006711EE"/>
    <w:rsid w:val="006809BB"/>
    <w:rsid w:val="006809FD"/>
    <w:rsid w:val="0068104B"/>
    <w:rsid w:val="006829BC"/>
    <w:rsid w:val="00682A6B"/>
    <w:rsid w:val="00685C4A"/>
    <w:rsid w:val="00686618"/>
    <w:rsid w:val="00691D1F"/>
    <w:rsid w:val="00694AC2"/>
    <w:rsid w:val="00695BFF"/>
    <w:rsid w:val="00697BAE"/>
    <w:rsid w:val="006A1A2C"/>
    <w:rsid w:val="006A5C49"/>
    <w:rsid w:val="006A67E6"/>
    <w:rsid w:val="006B2811"/>
    <w:rsid w:val="006B4DDC"/>
    <w:rsid w:val="006B5E55"/>
    <w:rsid w:val="006B7834"/>
    <w:rsid w:val="006C033B"/>
    <w:rsid w:val="006C4DA7"/>
    <w:rsid w:val="006C6CFA"/>
    <w:rsid w:val="006D1D4E"/>
    <w:rsid w:val="006D25A1"/>
    <w:rsid w:val="006D3815"/>
    <w:rsid w:val="006D7AED"/>
    <w:rsid w:val="006E14E9"/>
    <w:rsid w:val="006E39B9"/>
    <w:rsid w:val="006F09A2"/>
    <w:rsid w:val="006F6856"/>
    <w:rsid w:val="00702D25"/>
    <w:rsid w:val="007145D0"/>
    <w:rsid w:val="00716F94"/>
    <w:rsid w:val="007238AB"/>
    <w:rsid w:val="00731386"/>
    <w:rsid w:val="0073139C"/>
    <w:rsid w:val="00736B68"/>
    <w:rsid w:val="00752214"/>
    <w:rsid w:val="00752854"/>
    <w:rsid w:val="0075738B"/>
    <w:rsid w:val="00760E12"/>
    <w:rsid w:val="00763CF3"/>
    <w:rsid w:val="00767C5F"/>
    <w:rsid w:val="00772293"/>
    <w:rsid w:val="00776981"/>
    <w:rsid w:val="00781AE3"/>
    <w:rsid w:val="00783C75"/>
    <w:rsid w:val="00784619"/>
    <w:rsid w:val="00785569"/>
    <w:rsid w:val="0078627B"/>
    <w:rsid w:val="0078765B"/>
    <w:rsid w:val="00792DDA"/>
    <w:rsid w:val="00794E32"/>
    <w:rsid w:val="007A0D73"/>
    <w:rsid w:val="007A6C7A"/>
    <w:rsid w:val="007B305A"/>
    <w:rsid w:val="007B558B"/>
    <w:rsid w:val="007B74EE"/>
    <w:rsid w:val="007D2771"/>
    <w:rsid w:val="007D315B"/>
    <w:rsid w:val="007E4AC9"/>
    <w:rsid w:val="007E575D"/>
    <w:rsid w:val="007E6AEF"/>
    <w:rsid w:val="007F0049"/>
    <w:rsid w:val="007F0899"/>
    <w:rsid w:val="007F6AE3"/>
    <w:rsid w:val="008005C2"/>
    <w:rsid w:val="00812BAB"/>
    <w:rsid w:val="00815C7D"/>
    <w:rsid w:val="00817941"/>
    <w:rsid w:val="00821BDA"/>
    <w:rsid w:val="008229E4"/>
    <w:rsid w:val="00823547"/>
    <w:rsid w:val="00825BBE"/>
    <w:rsid w:val="008261AB"/>
    <w:rsid w:val="008269AB"/>
    <w:rsid w:val="00833D69"/>
    <w:rsid w:val="00834C91"/>
    <w:rsid w:val="00835CA7"/>
    <w:rsid w:val="008370D4"/>
    <w:rsid w:val="008414AD"/>
    <w:rsid w:val="008428D9"/>
    <w:rsid w:val="008527E5"/>
    <w:rsid w:val="00855D97"/>
    <w:rsid w:val="00861B19"/>
    <w:rsid w:val="00884DB9"/>
    <w:rsid w:val="0089004A"/>
    <w:rsid w:val="00890256"/>
    <w:rsid w:val="008A67A6"/>
    <w:rsid w:val="008C06B1"/>
    <w:rsid w:val="008C0D1C"/>
    <w:rsid w:val="008C67D2"/>
    <w:rsid w:val="008C7905"/>
    <w:rsid w:val="008D1098"/>
    <w:rsid w:val="008D248E"/>
    <w:rsid w:val="008E0030"/>
    <w:rsid w:val="008E0683"/>
    <w:rsid w:val="008E28B7"/>
    <w:rsid w:val="008F538C"/>
    <w:rsid w:val="008F7868"/>
    <w:rsid w:val="00900A78"/>
    <w:rsid w:val="00902DD9"/>
    <w:rsid w:val="009112E0"/>
    <w:rsid w:val="00911486"/>
    <w:rsid w:val="009129CA"/>
    <w:rsid w:val="009159E8"/>
    <w:rsid w:val="009206B6"/>
    <w:rsid w:val="0092127E"/>
    <w:rsid w:val="009252DC"/>
    <w:rsid w:val="009263C1"/>
    <w:rsid w:val="00927018"/>
    <w:rsid w:val="00941B4F"/>
    <w:rsid w:val="009518C0"/>
    <w:rsid w:val="00957B87"/>
    <w:rsid w:val="00963CE3"/>
    <w:rsid w:val="00964F18"/>
    <w:rsid w:val="0096725B"/>
    <w:rsid w:val="00967BEF"/>
    <w:rsid w:val="00974424"/>
    <w:rsid w:val="00987F76"/>
    <w:rsid w:val="00993088"/>
    <w:rsid w:val="0099664F"/>
    <w:rsid w:val="00997D5D"/>
    <w:rsid w:val="009A0447"/>
    <w:rsid w:val="009A2CE5"/>
    <w:rsid w:val="009B0400"/>
    <w:rsid w:val="009B4A51"/>
    <w:rsid w:val="009C28B1"/>
    <w:rsid w:val="009C61AD"/>
    <w:rsid w:val="009C78DB"/>
    <w:rsid w:val="009D04A1"/>
    <w:rsid w:val="009D373D"/>
    <w:rsid w:val="009D7B2C"/>
    <w:rsid w:val="009E0801"/>
    <w:rsid w:val="009E1D05"/>
    <w:rsid w:val="009F7DE0"/>
    <w:rsid w:val="00A01F8E"/>
    <w:rsid w:val="00A1112E"/>
    <w:rsid w:val="00A11B0C"/>
    <w:rsid w:val="00A33B35"/>
    <w:rsid w:val="00A33E90"/>
    <w:rsid w:val="00A36419"/>
    <w:rsid w:val="00A40966"/>
    <w:rsid w:val="00A43C3B"/>
    <w:rsid w:val="00A44921"/>
    <w:rsid w:val="00A56E73"/>
    <w:rsid w:val="00A578C2"/>
    <w:rsid w:val="00A72652"/>
    <w:rsid w:val="00A75D1C"/>
    <w:rsid w:val="00A809AA"/>
    <w:rsid w:val="00A849B3"/>
    <w:rsid w:val="00A8510D"/>
    <w:rsid w:val="00A853C4"/>
    <w:rsid w:val="00A86AF3"/>
    <w:rsid w:val="00A87D58"/>
    <w:rsid w:val="00A90AFF"/>
    <w:rsid w:val="00A90BDC"/>
    <w:rsid w:val="00A95477"/>
    <w:rsid w:val="00A975A9"/>
    <w:rsid w:val="00AA3192"/>
    <w:rsid w:val="00AB0486"/>
    <w:rsid w:val="00AB251E"/>
    <w:rsid w:val="00AB3608"/>
    <w:rsid w:val="00AC31AF"/>
    <w:rsid w:val="00AC5C48"/>
    <w:rsid w:val="00AC63E3"/>
    <w:rsid w:val="00AE3C63"/>
    <w:rsid w:val="00AE52B0"/>
    <w:rsid w:val="00AF0CF4"/>
    <w:rsid w:val="00AF2252"/>
    <w:rsid w:val="00B00B12"/>
    <w:rsid w:val="00B10377"/>
    <w:rsid w:val="00B1129F"/>
    <w:rsid w:val="00B11D61"/>
    <w:rsid w:val="00B12F51"/>
    <w:rsid w:val="00B2751E"/>
    <w:rsid w:val="00B27E48"/>
    <w:rsid w:val="00B3650C"/>
    <w:rsid w:val="00B375C9"/>
    <w:rsid w:val="00B43179"/>
    <w:rsid w:val="00B64A20"/>
    <w:rsid w:val="00B64BFA"/>
    <w:rsid w:val="00B71E63"/>
    <w:rsid w:val="00B72ED9"/>
    <w:rsid w:val="00B73348"/>
    <w:rsid w:val="00B82450"/>
    <w:rsid w:val="00B85DE4"/>
    <w:rsid w:val="00B87AAD"/>
    <w:rsid w:val="00B91A31"/>
    <w:rsid w:val="00B91D9E"/>
    <w:rsid w:val="00BA6C28"/>
    <w:rsid w:val="00BA6DB4"/>
    <w:rsid w:val="00BB6315"/>
    <w:rsid w:val="00BC3F3C"/>
    <w:rsid w:val="00BC5BB2"/>
    <w:rsid w:val="00BC7A1A"/>
    <w:rsid w:val="00BE48F5"/>
    <w:rsid w:val="00BE738E"/>
    <w:rsid w:val="00BF11A1"/>
    <w:rsid w:val="00BF22C1"/>
    <w:rsid w:val="00BF3F54"/>
    <w:rsid w:val="00C0004D"/>
    <w:rsid w:val="00C00697"/>
    <w:rsid w:val="00C0342D"/>
    <w:rsid w:val="00C0376C"/>
    <w:rsid w:val="00C06D77"/>
    <w:rsid w:val="00C14BA6"/>
    <w:rsid w:val="00C21C6B"/>
    <w:rsid w:val="00C3485C"/>
    <w:rsid w:val="00C43C8B"/>
    <w:rsid w:val="00C44ACB"/>
    <w:rsid w:val="00C53E47"/>
    <w:rsid w:val="00C544A4"/>
    <w:rsid w:val="00C60A15"/>
    <w:rsid w:val="00C610A0"/>
    <w:rsid w:val="00C71E7A"/>
    <w:rsid w:val="00C72706"/>
    <w:rsid w:val="00C768E5"/>
    <w:rsid w:val="00C80C65"/>
    <w:rsid w:val="00C8692A"/>
    <w:rsid w:val="00CA1B22"/>
    <w:rsid w:val="00CA2004"/>
    <w:rsid w:val="00CA2844"/>
    <w:rsid w:val="00CA5B99"/>
    <w:rsid w:val="00CB334D"/>
    <w:rsid w:val="00CB44B2"/>
    <w:rsid w:val="00CB56D5"/>
    <w:rsid w:val="00CD1EA8"/>
    <w:rsid w:val="00CD78E7"/>
    <w:rsid w:val="00CE2582"/>
    <w:rsid w:val="00CF444E"/>
    <w:rsid w:val="00CF5ABD"/>
    <w:rsid w:val="00CF63CE"/>
    <w:rsid w:val="00CF733C"/>
    <w:rsid w:val="00D01341"/>
    <w:rsid w:val="00D06705"/>
    <w:rsid w:val="00D067C1"/>
    <w:rsid w:val="00D07C68"/>
    <w:rsid w:val="00D13B13"/>
    <w:rsid w:val="00D16E78"/>
    <w:rsid w:val="00D201D3"/>
    <w:rsid w:val="00D26A64"/>
    <w:rsid w:val="00D271F8"/>
    <w:rsid w:val="00D36BE7"/>
    <w:rsid w:val="00D423F4"/>
    <w:rsid w:val="00D52B9A"/>
    <w:rsid w:val="00D5367E"/>
    <w:rsid w:val="00D53B1E"/>
    <w:rsid w:val="00D6217E"/>
    <w:rsid w:val="00D73769"/>
    <w:rsid w:val="00D84EF0"/>
    <w:rsid w:val="00D861ED"/>
    <w:rsid w:val="00D8735C"/>
    <w:rsid w:val="00D873E0"/>
    <w:rsid w:val="00D94F8B"/>
    <w:rsid w:val="00D95FBF"/>
    <w:rsid w:val="00DA5988"/>
    <w:rsid w:val="00DB63CD"/>
    <w:rsid w:val="00DB7F78"/>
    <w:rsid w:val="00DC317C"/>
    <w:rsid w:val="00DC43C4"/>
    <w:rsid w:val="00DC4FF2"/>
    <w:rsid w:val="00DC7533"/>
    <w:rsid w:val="00DC79CC"/>
    <w:rsid w:val="00DD188D"/>
    <w:rsid w:val="00DF6031"/>
    <w:rsid w:val="00E00F0C"/>
    <w:rsid w:val="00E03280"/>
    <w:rsid w:val="00E056F2"/>
    <w:rsid w:val="00E07543"/>
    <w:rsid w:val="00E10D39"/>
    <w:rsid w:val="00E134F4"/>
    <w:rsid w:val="00E162E0"/>
    <w:rsid w:val="00E23568"/>
    <w:rsid w:val="00E245B5"/>
    <w:rsid w:val="00E33E1B"/>
    <w:rsid w:val="00E34D3E"/>
    <w:rsid w:val="00E42391"/>
    <w:rsid w:val="00E4789D"/>
    <w:rsid w:val="00E6617A"/>
    <w:rsid w:val="00E720E9"/>
    <w:rsid w:val="00E81C5E"/>
    <w:rsid w:val="00E83B3C"/>
    <w:rsid w:val="00E8736B"/>
    <w:rsid w:val="00E90275"/>
    <w:rsid w:val="00E925D4"/>
    <w:rsid w:val="00E95707"/>
    <w:rsid w:val="00E97226"/>
    <w:rsid w:val="00EA011F"/>
    <w:rsid w:val="00EA2B44"/>
    <w:rsid w:val="00EA3074"/>
    <w:rsid w:val="00EA33EF"/>
    <w:rsid w:val="00EA6710"/>
    <w:rsid w:val="00EB3ABF"/>
    <w:rsid w:val="00EC0C94"/>
    <w:rsid w:val="00EC23D4"/>
    <w:rsid w:val="00EC4FFD"/>
    <w:rsid w:val="00EC5EFC"/>
    <w:rsid w:val="00EC6130"/>
    <w:rsid w:val="00EE586B"/>
    <w:rsid w:val="00EF33CD"/>
    <w:rsid w:val="00EF5F66"/>
    <w:rsid w:val="00F10F73"/>
    <w:rsid w:val="00F12924"/>
    <w:rsid w:val="00F20C9B"/>
    <w:rsid w:val="00F26A72"/>
    <w:rsid w:val="00F300CB"/>
    <w:rsid w:val="00F30F92"/>
    <w:rsid w:val="00F36BF4"/>
    <w:rsid w:val="00F37CA8"/>
    <w:rsid w:val="00F42C3A"/>
    <w:rsid w:val="00F50C9E"/>
    <w:rsid w:val="00F52BCC"/>
    <w:rsid w:val="00F5313F"/>
    <w:rsid w:val="00F533C2"/>
    <w:rsid w:val="00F62C97"/>
    <w:rsid w:val="00F8078D"/>
    <w:rsid w:val="00F81A48"/>
    <w:rsid w:val="00F863F9"/>
    <w:rsid w:val="00F87E8B"/>
    <w:rsid w:val="00F90671"/>
    <w:rsid w:val="00F94BB0"/>
    <w:rsid w:val="00FA56FB"/>
    <w:rsid w:val="00FB62BC"/>
    <w:rsid w:val="00FC24DC"/>
    <w:rsid w:val="00FD17C9"/>
    <w:rsid w:val="00FD2A5B"/>
    <w:rsid w:val="00FE0189"/>
    <w:rsid w:val="00FE6A5C"/>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2131">
      <w:bodyDiv w:val="1"/>
      <w:marLeft w:val="4"/>
      <w:marRight w:val="4"/>
      <w:marTop w:val="4"/>
      <w:marBottom w:val="4"/>
      <w:divBdr>
        <w:top w:val="none" w:sz="0" w:space="0" w:color="auto"/>
        <w:left w:val="none" w:sz="0" w:space="0" w:color="auto"/>
        <w:bottom w:val="none" w:sz="0" w:space="0" w:color="auto"/>
        <w:right w:val="none" w:sz="0" w:space="0" w:color="auto"/>
      </w:divBdr>
      <w:divsChild>
        <w:div w:id="1673219111">
          <w:marLeft w:val="0"/>
          <w:marRight w:val="0"/>
          <w:marTop w:val="0"/>
          <w:marBottom w:val="0"/>
          <w:divBdr>
            <w:top w:val="none" w:sz="0" w:space="0" w:color="auto"/>
            <w:left w:val="none" w:sz="0" w:space="0" w:color="auto"/>
            <w:bottom w:val="none" w:sz="0" w:space="0" w:color="auto"/>
            <w:right w:val="none" w:sz="0" w:space="0" w:color="auto"/>
          </w:divBdr>
          <w:divsChild>
            <w:div w:id="1254703211">
              <w:marLeft w:val="0"/>
              <w:marRight w:val="0"/>
              <w:marTop w:val="0"/>
              <w:marBottom w:val="0"/>
              <w:divBdr>
                <w:top w:val="none" w:sz="0" w:space="0" w:color="auto"/>
                <w:left w:val="none" w:sz="0" w:space="0" w:color="auto"/>
                <w:bottom w:val="none" w:sz="0" w:space="0" w:color="auto"/>
                <w:right w:val="none" w:sz="0" w:space="0" w:color="auto"/>
              </w:divBdr>
              <w:divsChild>
                <w:div w:id="1106460241">
                  <w:marLeft w:val="0"/>
                  <w:marRight w:val="0"/>
                  <w:marTop w:val="0"/>
                  <w:marBottom w:val="0"/>
                  <w:divBdr>
                    <w:top w:val="none" w:sz="0" w:space="0" w:color="auto"/>
                    <w:left w:val="none" w:sz="0" w:space="0" w:color="auto"/>
                    <w:bottom w:val="none" w:sz="0" w:space="0" w:color="auto"/>
                    <w:right w:val="none" w:sz="0" w:space="0" w:color="auto"/>
                  </w:divBdr>
                  <w:divsChild>
                    <w:div w:id="1744067122">
                      <w:marLeft w:val="0"/>
                      <w:marRight w:val="0"/>
                      <w:marTop w:val="0"/>
                      <w:marBottom w:val="180"/>
                      <w:divBdr>
                        <w:top w:val="none" w:sz="0" w:space="0" w:color="auto"/>
                        <w:left w:val="none" w:sz="0" w:space="0" w:color="auto"/>
                        <w:bottom w:val="none" w:sz="0" w:space="0" w:color="auto"/>
                        <w:right w:val="none" w:sz="0" w:space="0" w:color="auto"/>
                      </w:divBdr>
                      <w:divsChild>
                        <w:div w:id="2009555267">
                          <w:marLeft w:val="0"/>
                          <w:marRight w:val="0"/>
                          <w:marTop w:val="0"/>
                          <w:marBottom w:val="0"/>
                          <w:divBdr>
                            <w:top w:val="none" w:sz="0" w:space="0" w:color="auto"/>
                            <w:left w:val="none" w:sz="0" w:space="0" w:color="auto"/>
                            <w:bottom w:val="none" w:sz="0" w:space="0" w:color="auto"/>
                            <w:right w:val="none" w:sz="0" w:space="0" w:color="auto"/>
                          </w:divBdr>
                          <w:divsChild>
                            <w:div w:id="1719206828">
                              <w:marLeft w:val="0"/>
                              <w:marRight w:val="0"/>
                              <w:marTop w:val="0"/>
                              <w:marBottom w:val="0"/>
                              <w:divBdr>
                                <w:top w:val="none" w:sz="0" w:space="0" w:color="auto"/>
                                <w:left w:val="none" w:sz="0" w:space="0" w:color="auto"/>
                                <w:bottom w:val="none" w:sz="0" w:space="0" w:color="auto"/>
                                <w:right w:val="none" w:sz="0" w:space="0" w:color="auto"/>
                              </w:divBdr>
                              <w:divsChild>
                                <w:div w:id="1815104513">
                                  <w:marLeft w:val="0"/>
                                  <w:marRight w:val="0"/>
                                  <w:marTop w:val="150"/>
                                  <w:marBottom w:val="0"/>
                                  <w:divBdr>
                                    <w:top w:val="none" w:sz="0" w:space="0" w:color="auto"/>
                                    <w:left w:val="none" w:sz="0" w:space="0" w:color="auto"/>
                                    <w:bottom w:val="none" w:sz="0" w:space="0" w:color="auto"/>
                                    <w:right w:val="none" w:sz="0" w:space="0" w:color="auto"/>
                                  </w:divBdr>
                                  <w:divsChild>
                                    <w:div w:id="1153913688">
                                      <w:marLeft w:val="0"/>
                                      <w:marRight w:val="0"/>
                                      <w:marTop w:val="0"/>
                                      <w:marBottom w:val="0"/>
                                      <w:divBdr>
                                        <w:top w:val="none" w:sz="0" w:space="0" w:color="auto"/>
                                        <w:left w:val="none" w:sz="0" w:space="0" w:color="auto"/>
                                        <w:bottom w:val="none" w:sz="0" w:space="0" w:color="auto"/>
                                        <w:right w:val="none" w:sz="0" w:space="0" w:color="auto"/>
                                      </w:divBdr>
                                      <w:divsChild>
                                        <w:div w:id="1881359930">
                                          <w:marLeft w:val="0"/>
                                          <w:marRight w:val="0"/>
                                          <w:marTop w:val="0"/>
                                          <w:marBottom w:val="0"/>
                                          <w:divBdr>
                                            <w:top w:val="none" w:sz="0" w:space="0" w:color="auto"/>
                                            <w:left w:val="none" w:sz="0" w:space="0" w:color="auto"/>
                                            <w:bottom w:val="none" w:sz="0" w:space="0" w:color="auto"/>
                                            <w:right w:val="none" w:sz="0" w:space="0" w:color="auto"/>
                                          </w:divBdr>
                                          <w:divsChild>
                                            <w:div w:id="1832477119">
                                              <w:marLeft w:val="0"/>
                                              <w:marRight w:val="0"/>
                                              <w:marTop w:val="0"/>
                                              <w:marBottom w:val="0"/>
                                              <w:divBdr>
                                                <w:top w:val="none" w:sz="0" w:space="0" w:color="auto"/>
                                                <w:left w:val="none" w:sz="0" w:space="0" w:color="auto"/>
                                                <w:bottom w:val="none" w:sz="0" w:space="0" w:color="auto"/>
                                                <w:right w:val="none" w:sz="0" w:space="0" w:color="auto"/>
                                              </w:divBdr>
                                              <w:divsChild>
                                                <w:div w:id="1150555290">
                                                  <w:marLeft w:val="0"/>
                                                  <w:marRight w:val="0"/>
                                                  <w:marTop w:val="180"/>
                                                  <w:marBottom w:val="180"/>
                                                  <w:divBdr>
                                                    <w:top w:val="none" w:sz="0" w:space="0" w:color="auto"/>
                                                    <w:left w:val="none" w:sz="0" w:space="0" w:color="auto"/>
                                                    <w:bottom w:val="none" w:sz="0" w:space="0" w:color="auto"/>
                                                    <w:right w:val="none" w:sz="0" w:space="0" w:color="auto"/>
                                                  </w:divBdr>
                                                  <w:divsChild>
                                                    <w:div w:id="18398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58944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zdu5@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1156-34DE-42D4-AAD4-2E07E677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3836</Words>
  <Characters>21867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2012-10-02T16:16:00Z</cp:lastPrinted>
  <dcterms:created xsi:type="dcterms:W3CDTF">2012-10-04T18:14:00Z</dcterms:created>
  <dcterms:modified xsi:type="dcterms:W3CDTF">2012-10-04T18:14:00Z</dcterms:modified>
</cp:coreProperties>
</file>