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27" w:rsidRDefault="00FF1627" w:rsidP="00FF1627">
      <w:pPr>
        <w:jc w:val="center"/>
        <w:rPr>
          <w:rFonts w:ascii="Arial" w:hAnsi="Arial" w:cs="Arial"/>
          <w:sz w:val="22"/>
          <w:szCs w:val="22"/>
        </w:rPr>
      </w:pPr>
    </w:p>
    <w:p w:rsidR="00FF1627" w:rsidRDefault="00FF1627" w:rsidP="00FF1627">
      <w:pPr>
        <w:jc w:val="center"/>
        <w:rPr>
          <w:rFonts w:ascii="Arial" w:hAnsi="Arial" w:cs="Arial"/>
          <w:sz w:val="22"/>
          <w:szCs w:val="22"/>
        </w:rPr>
      </w:pPr>
    </w:p>
    <w:p w:rsidR="00FF1627" w:rsidRDefault="00FF1627" w:rsidP="00FF1627">
      <w:pPr>
        <w:jc w:val="center"/>
        <w:rPr>
          <w:rFonts w:ascii="Arial" w:hAnsi="Arial" w:cs="Arial"/>
          <w:sz w:val="22"/>
          <w:szCs w:val="22"/>
        </w:rPr>
      </w:pPr>
    </w:p>
    <w:p w:rsidR="00FF1627" w:rsidRDefault="00FF1627" w:rsidP="00FF1627">
      <w:pPr>
        <w:jc w:val="center"/>
        <w:rPr>
          <w:rFonts w:ascii="Arial" w:hAnsi="Arial" w:cs="Arial"/>
          <w:sz w:val="22"/>
          <w:szCs w:val="22"/>
        </w:rPr>
      </w:pPr>
    </w:p>
    <w:p w:rsidR="00FF1627" w:rsidRDefault="00FF1627" w:rsidP="00FF1627">
      <w:pPr>
        <w:jc w:val="center"/>
        <w:rPr>
          <w:rFonts w:ascii="Arial" w:hAnsi="Arial" w:cs="Arial"/>
          <w:sz w:val="22"/>
          <w:szCs w:val="22"/>
        </w:rPr>
      </w:pPr>
    </w:p>
    <w:p w:rsidR="00FF1627" w:rsidRDefault="00FF1627" w:rsidP="00331174">
      <w:pPr>
        <w:rPr>
          <w:rFonts w:ascii="Arial" w:hAnsi="Arial" w:cs="Arial"/>
          <w:sz w:val="22"/>
          <w:szCs w:val="22"/>
        </w:rPr>
      </w:pPr>
    </w:p>
    <w:p w:rsidR="00690A83" w:rsidRPr="00E770F0" w:rsidRDefault="00690A83" w:rsidP="00690A83">
      <w:pPr>
        <w:jc w:val="center"/>
        <w:rPr>
          <w:rFonts w:asciiTheme="minorHAnsi" w:hAnsiTheme="minorHAnsi" w:cstheme="minorHAnsi"/>
        </w:rPr>
      </w:pPr>
    </w:p>
    <w:p w:rsidR="002960D6" w:rsidRDefault="002960D6" w:rsidP="002960D6">
      <w:pPr>
        <w:spacing w:before="150" w:after="75"/>
        <w:jc w:val="center"/>
        <w:outlineLvl w:val="2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An Assessment of the Utility of CDC’s Inventory Management and Tracking System (IMATS) by Public Health Emergency Preparedness Awardees</w:t>
      </w:r>
    </w:p>
    <w:p w:rsidR="00D37DEA" w:rsidRPr="00E770F0" w:rsidRDefault="00D37DEA" w:rsidP="00D37DEA">
      <w:pPr>
        <w:jc w:val="center"/>
        <w:rPr>
          <w:rFonts w:asciiTheme="minorHAnsi" w:hAnsiTheme="minorHAnsi" w:cstheme="minorHAnsi"/>
        </w:rPr>
      </w:pPr>
      <w:r w:rsidRPr="00E770F0">
        <w:rPr>
          <w:rFonts w:asciiTheme="minorHAnsi" w:hAnsiTheme="minorHAnsi" w:cstheme="minorHAnsi"/>
        </w:rPr>
        <w:t>OSTLTS Generic Information Collection Request</w:t>
      </w:r>
    </w:p>
    <w:p w:rsidR="00D37DEA" w:rsidRPr="00E770F0" w:rsidRDefault="00D37DEA" w:rsidP="00D37DEA">
      <w:pPr>
        <w:jc w:val="center"/>
        <w:rPr>
          <w:rFonts w:asciiTheme="minorHAnsi" w:hAnsiTheme="minorHAnsi" w:cstheme="minorHAnsi"/>
        </w:rPr>
      </w:pPr>
      <w:r w:rsidRPr="00E770F0">
        <w:rPr>
          <w:rFonts w:asciiTheme="minorHAnsi" w:hAnsiTheme="minorHAnsi" w:cstheme="minorHAnsi"/>
        </w:rPr>
        <w:t>OMB No. 0920-0879</w:t>
      </w:r>
    </w:p>
    <w:p w:rsidR="00690A83" w:rsidRPr="00587696" w:rsidRDefault="00690A83" w:rsidP="00690A83">
      <w:pPr>
        <w:jc w:val="center"/>
        <w:rPr>
          <w:rFonts w:asciiTheme="minorHAnsi" w:hAnsiTheme="minorHAnsi" w:cs="Arial"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587696">
        <w:rPr>
          <w:rFonts w:asciiTheme="minorHAnsi" w:hAnsiTheme="minorHAnsi" w:cs="Arial"/>
          <w:b/>
          <w:sz w:val="22"/>
          <w:szCs w:val="22"/>
        </w:rPr>
        <w:t>SUPPORTING STATEMENT – Section B</w:t>
      </w: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  <w:r w:rsidRPr="00587696">
        <w:rPr>
          <w:rFonts w:asciiTheme="minorHAnsi" w:hAnsiTheme="minorHAnsi" w:cs="Arial"/>
          <w:b/>
          <w:sz w:val="22"/>
          <w:szCs w:val="22"/>
        </w:rPr>
        <w:t>Submitted:</w:t>
      </w:r>
      <w:r w:rsidRPr="00587696">
        <w:rPr>
          <w:rFonts w:asciiTheme="minorHAnsi" w:hAnsiTheme="minorHAnsi" w:cs="Arial"/>
          <w:sz w:val="22"/>
          <w:szCs w:val="22"/>
        </w:rPr>
        <w:t xml:space="preserve">  </w:t>
      </w:r>
      <w:r w:rsidR="00631BD1">
        <w:rPr>
          <w:rFonts w:asciiTheme="minorHAnsi" w:hAnsiTheme="minorHAnsi" w:cs="Arial"/>
          <w:sz w:val="22"/>
          <w:szCs w:val="22"/>
        </w:rPr>
        <w:t>Monday, July 30, 2012</w:t>
      </w: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</w:p>
    <w:p w:rsidR="00690A83" w:rsidRPr="00587696" w:rsidRDefault="00690A83" w:rsidP="00690A83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</w:p>
    <w:p w:rsidR="00690A83" w:rsidRPr="00587696" w:rsidRDefault="00690A83" w:rsidP="00690A83">
      <w:pPr>
        <w:outlineLvl w:val="0"/>
        <w:rPr>
          <w:rFonts w:asciiTheme="minorHAnsi" w:hAnsiTheme="minorHAnsi" w:cs="Arial"/>
          <w:sz w:val="22"/>
          <w:szCs w:val="22"/>
        </w:rPr>
      </w:pPr>
      <w:r w:rsidRPr="00587696">
        <w:rPr>
          <w:rFonts w:asciiTheme="minorHAnsi" w:hAnsiTheme="minorHAnsi" w:cs="Arial"/>
          <w:sz w:val="22"/>
          <w:szCs w:val="22"/>
        </w:rPr>
        <w:t xml:space="preserve">             </w:t>
      </w:r>
      <w:bookmarkStart w:id="0" w:name="_GoBack"/>
      <w:bookmarkEnd w:id="0"/>
    </w:p>
    <w:p w:rsidR="00690A83" w:rsidRPr="00587696" w:rsidRDefault="00690A83" w:rsidP="00690A83">
      <w:pPr>
        <w:outlineLvl w:val="0"/>
        <w:rPr>
          <w:rFonts w:asciiTheme="minorHAnsi" w:hAnsiTheme="minorHAnsi" w:cs="Arial"/>
          <w:sz w:val="22"/>
          <w:szCs w:val="22"/>
        </w:rPr>
      </w:pPr>
    </w:p>
    <w:p w:rsidR="00690A83" w:rsidRPr="00587696" w:rsidRDefault="00690A83" w:rsidP="00690A83">
      <w:pPr>
        <w:outlineLvl w:val="0"/>
        <w:rPr>
          <w:rFonts w:asciiTheme="minorHAnsi" w:hAnsiTheme="minorHAnsi" w:cs="Arial"/>
          <w:sz w:val="22"/>
          <w:szCs w:val="22"/>
        </w:rPr>
      </w:pPr>
    </w:p>
    <w:p w:rsidR="00FF1627" w:rsidRDefault="00FF1627" w:rsidP="00BC0B90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955068" w:rsidRDefault="00955068" w:rsidP="00BC0B90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955068" w:rsidRDefault="00955068" w:rsidP="00BC0B90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955068" w:rsidRDefault="00955068" w:rsidP="007E75DC">
      <w:pPr>
        <w:rPr>
          <w:rFonts w:ascii="Arial" w:hAnsi="Arial" w:cs="Arial"/>
          <w:b/>
          <w:sz w:val="22"/>
          <w:szCs w:val="22"/>
          <w:u w:val="single"/>
        </w:rPr>
      </w:pPr>
    </w:p>
    <w:p w:rsidR="00955068" w:rsidRDefault="00955068" w:rsidP="00BC0B90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955068" w:rsidRDefault="00955068" w:rsidP="00BC0B90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7E75DC" w:rsidRPr="00E770F0" w:rsidRDefault="007E75DC" w:rsidP="007E75DC">
      <w:pPr>
        <w:rPr>
          <w:rFonts w:asciiTheme="minorHAnsi" w:hAnsiTheme="minorHAnsi" w:cstheme="minorHAnsi"/>
          <w:b/>
          <w:u w:val="single"/>
        </w:rPr>
      </w:pPr>
      <w:r w:rsidRPr="00E770F0">
        <w:rPr>
          <w:rFonts w:asciiTheme="minorHAnsi" w:hAnsiTheme="minorHAnsi" w:cstheme="minorHAnsi"/>
          <w:b/>
          <w:u w:val="single"/>
        </w:rPr>
        <w:t>Program Official/Project Officer</w:t>
      </w:r>
    </w:p>
    <w:p w:rsidR="007E75DC" w:rsidRPr="00E770F0" w:rsidRDefault="007E75DC" w:rsidP="007E75DC">
      <w:pPr>
        <w:rPr>
          <w:rFonts w:asciiTheme="minorHAnsi" w:hAnsiTheme="minorHAnsi" w:cstheme="minorHAnsi"/>
          <w:bCs/>
          <w:sz w:val="22"/>
          <w:szCs w:val="22"/>
        </w:rPr>
      </w:pPr>
      <w:r w:rsidRPr="00E770F0">
        <w:rPr>
          <w:rFonts w:asciiTheme="minorHAnsi" w:hAnsiTheme="minorHAnsi" w:cstheme="minorHAnsi"/>
          <w:bCs/>
          <w:sz w:val="22"/>
          <w:szCs w:val="22"/>
        </w:rPr>
        <w:t>Barb</w:t>
      </w:r>
      <w:r w:rsidR="00D958DB" w:rsidRPr="00E770F0">
        <w:rPr>
          <w:rFonts w:asciiTheme="minorHAnsi" w:hAnsiTheme="minorHAnsi" w:cstheme="minorHAnsi"/>
          <w:bCs/>
          <w:sz w:val="22"/>
          <w:szCs w:val="22"/>
        </w:rPr>
        <w:t>ara</w:t>
      </w:r>
      <w:r w:rsidRPr="00E770F0">
        <w:rPr>
          <w:rFonts w:asciiTheme="minorHAnsi" w:hAnsiTheme="minorHAnsi" w:cstheme="minorHAnsi"/>
          <w:bCs/>
          <w:sz w:val="22"/>
          <w:szCs w:val="22"/>
        </w:rPr>
        <w:t xml:space="preserve"> Nichols</w:t>
      </w:r>
    </w:p>
    <w:p w:rsidR="007E75DC" w:rsidRPr="00E770F0" w:rsidRDefault="007E75DC" w:rsidP="007E75DC">
      <w:pPr>
        <w:rPr>
          <w:rFonts w:asciiTheme="minorHAnsi" w:hAnsiTheme="minorHAnsi" w:cstheme="minorHAnsi"/>
          <w:bCs/>
          <w:sz w:val="22"/>
          <w:szCs w:val="22"/>
        </w:rPr>
      </w:pPr>
      <w:r w:rsidRPr="00E770F0">
        <w:rPr>
          <w:rFonts w:asciiTheme="minorHAnsi" w:hAnsiTheme="minorHAnsi" w:cstheme="minorHAnsi"/>
          <w:bCs/>
          <w:sz w:val="22"/>
          <w:szCs w:val="22"/>
        </w:rPr>
        <w:t>Project Manager</w:t>
      </w:r>
    </w:p>
    <w:p w:rsidR="00857A44" w:rsidRPr="00E770F0" w:rsidRDefault="00857A44" w:rsidP="007E75DC">
      <w:pPr>
        <w:rPr>
          <w:rFonts w:asciiTheme="minorHAnsi" w:hAnsiTheme="minorHAnsi" w:cstheme="minorHAnsi"/>
          <w:bCs/>
          <w:sz w:val="22"/>
          <w:szCs w:val="22"/>
        </w:rPr>
      </w:pPr>
      <w:r w:rsidRPr="00E770F0">
        <w:rPr>
          <w:rFonts w:asciiTheme="minorHAnsi" w:hAnsiTheme="minorHAnsi" w:cstheme="minorHAnsi"/>
          <w:bCs/>
          <w:sz w:val="22"/>
          <w:szCs w:val="22"/>
        </w:rPr>
        <w:t>Countermeasure Tracking Systems</w:t>
      </w:r>
    </w:p>
    <w:p w:rsidR="00E2220A" w:rsidRDefault="007E75DC" w:rsidP="007E75DC">
      <w:pPr>
        <w:rPr>
          <w:rFonts w:asciiTheme="minorHAnsi" w:hAnsiTheme="minorHAnsi" w:cstheme="minorHAnsi"/>
          <w:sz w:val="22"/>
          <w:szCs w:val="22"/>
        </w:rPr>
      </w:pPr>
      <w:r w:rsidRPr="00E770F0">
        <w:rPr>
          <w:rFonts w:asciiTheme="minorHAnsi" w:hAnsiTheme="minorHAnsi" w:cstheme="minorHAnsi"/>
          <w:sz w:val="22"/>
          <w:szCs w:val="22"/>
        </w:rPr>
        <w:t>Division of Informatics Solutions and Operations</w:t>
      </w:r>
    </w:p>
    <w:p w:rsidR="007E75DC" w:rsidRPr="00E770F0" w:rsidRDefault="007E75DC" w:rsidP="007E75DC">
      <w:pPr>
        <w:rPr>
          <w:rFonts w:asciiTheme="minorHAnsi" w:hAnsiTheme="minorHAnsi" w:cstheme="minorHAnsi"/>
          <w:sz w:val="22"/>
          <w:szCs w:val="22"/>
        </w:rPr>
      </w:pPr>
      <w:r w:rsidRPr="00E770F0">
        <w:rPr>
          <w:rFonts w:asciiTheme="minorHAnsi" w:hAnsiTheme="minorHAnsi" w:cstheme="minorHAnsi"/>
          <w:sz w:val="22"/>
          <w:szCs w:val="22"/>
        </w:rPr>
        <w:t>Centers for Disease Control and Prevention</w:t>
      </w:r>
    </w:p>
    <w:p w:rsidR="007E75DC" w:rsidRPr="00E770F0" w:rsidRDefault="007E75DC" w:rsidP="007E75DC">
      <w:pPr>
        <w:rPr>
          <w:rFonts w:asciiTheme="minorHAnsi" w:hAnsiTheme="minorHAnsi" w:cstheme="minorHAnsi"/>
          <w:sz w:val="22"/>
          <w:szCs w:val="22"/>
        </w:rPr>
      </w:pPr>
      <w:r w:rsidRPr="00E770F0">
        <w:rPr>
          <w:rFonts w:asciiTheme="minorHAnsi" w:hAnsiTheme="minorHAnsi" w:cstheme="minorHAnsi"/>
          <w:sz w:val="22"/>
          <w:szCs w:val="22"/>
        </w:rPr>
        <w:t>1600 Clifton Road, Atlanta, 30333, Georgia</w:t>
      </w:r>
    </w:p>
    <w:p w:rsidR="00A55620" w:rsidRPr="00E770F0" w:rsidRDefault="00A55620" w:rsidP="00A55620">
      <w:pPr>
        <w:rPr>
          <w:rFonts w:asciiTheme="minorHAnsi" w:hAnsiTheme="minorHAnsi" w:cstheme="minorHAnsi"/>
          <w:sz w:val="22"/>
          <w:szCs w:val="22"/>
        </w:rPr>
      </w:pPr>
      <w:r w:rsidRPr="00E770F0">
        <w:rPr>
          <w:rFonts w:asciiTheme="minorHAnsi" w:hAnsiTheme="minorHAnsi" w:cstheme="minorHAnsi"/>
          <w:sz w:val="22"/>
          <w:szCs w:val="22"/>
        </w:rPr>
        <w:t>MS E 68</w:t>
      </w:r>
    </w:p>
    <w:p w:rsidR="007E75DC" w:rsidRPr="00E770F0" w:rsidRDefault="007E75DC" w:rsidP="007E75DC">
      <w:pPr>
        <w:rPr>
          <w:rFonts w:asciiTheme="minorHAnsi" w:hAnsiTheme="minorHAnsi" w:cstheme="minorHAnsi"/>
          <w:sz w:val="22"/>
          <w:szCs w:val="22"/>
        </w:rPr>
      </w:pPr>
      <w:r w:rsidRPr="00E770F0">
        <w:rPr>
          <w:rFonts w:asciiTheme="minorHAnsi" w:hAnsiTheme="minorHAnsi" w:cstheme="minorHAnsi"/>
          <w:sz w:val="22"/>
          <w:szCs w:val="22"/>
        </w:rPr>
        <w:t>Phone</w:t>
      </w:r>
      <w:r w:rsidR="00A55620" w:rsidRPr="00E770F0">
        <w:rPr>
          <w:rFonts w:asciiTheme="minorHAnsi" w:hAnsiTheme="minorHAnsi" w:cstheme="minorHAnsi"/>
          <w:sz w:val="22"/>
          <w:szCs w:val="22"/>
        </w:rPr>
        <w:t>:</w:t>
      </w:r>
      <w:r w:rsidRPr="00E770F0">
        <w:rPr>
          <w:rFonts w:asciiTheme="minorHAnsi" w:hAnsiTheme="minorHAnsi" w:cstheme="minorHAnsi"/>
          <w:sz w:val="22"/>
          <w:szCs w:val="22"/>
        </w:rPr>
        <w:t xml:space="preserve"> 404-498-2442</w:t>
      </w:r>
    </w:p>
    <w:p w:rsidR="007E75DC" w:rsidRPr="00E770F0" w:rsidRDefault="007E75DC" w:rsidP="007E75DC">
      <w:pPr>
        <w:rPr>
          <w:rFonts w:asciiTheme="minorHAnsi" w:hAnsiTheme="minorHAnsi" w:cstheme="minorHAnsi"/>
          <w:sz w:val="22"/>
          <w:szCs w:val="22"/>
        </w:rPr>
      </w:pPr>
      <w:r w:rsidRPr="00E770F0">
        <w:rPr>
          <w:rFonts w:asciiTheme="minorHAnsi" w:hAnsiTheme="minorHAnsi" w:cstheme="minorHAnsi"/>
          <w:sz w:val="22"/>
          <w:szCs w:val="22"/>
        </w:rPr>
        <w:t>Fax</w:t>
      </w:r>
      <w:r w:rsidR="00A55620" w:rsidRPr="00E770F0">
        <w:rPr>
          <w:rFonts w:asciiTheme="minorHAnsi" w:hAnsiTheme="minorHAnsi" w:cstheme="minorHAnsi"/>
          <w:sz w:val="22"/>
          <w:szCs w:val="22"/>
        </w:rPr>
        <w:t>:</w:t>
      </w:r>
      <w:r w:rsidRPr="00E770F0">
        <w:rPr>
          <w:rFonts w:asciiTheme="minorHAnsi" w:hAnsiTheme="minorHAnsi" w:cstheme="minorHAnsi"/>
          <w:sz w:val="22"/>
          <w:szCs w:val="22"/>
        </w:rPr>
        <w:t xml:space="preserve"> 404</w:t>
      </w:r>
      <w:r w:rsidR="00A55620" w:rsidRPr="00E770F0">
        <w:rPr>
          <w:rFonts w:asciiTheme="minorHAnsi" w:hAnsiTheme="minorHAnsi" w:cstheme="minorHAnsi"/>
          <w:sz w:val="22"/>
          <w:szCs w:val="22"/>
        </w:rPr>
        <w:t>-</w:t>
      </w:r>
      <w:r w:rsidRPr="00E770F0">
        <w:rPr>
          <w:rFonts w:asciiTheme="minorHAnsi" w:hAnsiTheme="minorHAnsi" w:cstheme="minorHAnsi"/>
          <w:sz w:val="22"/>
          <w:szCs w:val="22"/>
        </w:rPr>
        <w:t>498</w:t>
      </w:r>
      <w:r w:rsidR="00A55620" w:rsidRPr="00E770F0">
        <w:rPr>
          <w:rFonts w:asciiTheme="minorHAnsi" w:hAnsiTheme="minorHAnsi" w:cstheme="minorHAnsi"/>
          <w:sz w:val="22"/>
          <w:szCs w:val="22"/>
        </w:rPr>
        <w:t>-</w:t>
      </w:r>
      <w:r w:rsidRPr="00E770F0">
        <w:rPr>
          <w:rFonts w:asciiTheme="minorHAnsi" w:hAnsiTheme="minorHAnsi" w:cstheme="minorHAnsi"/>
          <w:sz w:val="22"/>
          <w:szCs w:val="22"/>
        </w:rPr>
        <w:t>6582</w:t>
      </w:r>
    </w:p>
    <w:p w:rsidR="007E75DC" w:rsidRPr="00E770F0" w:rsidRDefault="00631BD1" w:rsidP="007E75DC">
      <w:pPr>
        <w:rPr>
          <w:rFonts w:asciiTheme="minorHAnsi" w:hAnsiTheme="minorHAnsi" w:cstheme="minorHAnsi"/>
          <w:sz w:val="22"/>
          <w:szCs w:val="22"/>
        </w:rPr>
      </w:pPr>
      <w:hyperlink r:id="rId9" w:history="1">
        <w:r w:rsidR="007E75DC" w:rsidRPr="00E770F0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bnichols@cdc.gov</w:t>
        </w:r>
      </w:hyperlink>
    </w:p>
    <w:p w:rsidR="00BC0B90" w:rsidRPr="00587696" w:rsidRDefault="00FF1627" w:rsidP="00587696">
      <w:pPr>
        <w:ind w:left="360" w:hanging="360"/>
        <w:rPr>
          <w:rFonts w:asciiTheme="minorHAnsi" w:hAnsiTheme="minorHAnsi" w:cs="Arial"/>
          <w:b/>
          <w:sz w:val="22"/>
          <w:szCs w:val="22"/>
        </w:rPr>
      </w:pPr>
      <w:r w:rsidRPr="00587696">
        <w:rPr>
          <w:rFonts w:asciiTheme="minorHAnsi" w:hAnsiTheme="minorHAnsi" w:cs="Arial"/>
          <w:b/>
          <w:sz w:val="22"/>
          <w:szCs w:val="22"/>
        </w:rPr>
        <w:lastRenderedPageBreak/>
        <w:t xml:space="preserve">Part </w:t>
      </w:r>
      <w:r w:rsidR="00BC0B90" w:rsidRPr="00587696">
        <w:rPr>
          <w:rFonts w:asciiTheme="minorHAnsi" w:hAnsiTheme="minorHAnsi" w:cs="Arial"/>
          <w:b/>
          <w:sz w:val="22"/>
          <w:szCs w:val="22"/>
        </w:rPr>
        <w:t>B.  COLLECTION OF INFORMATION EMPLOYING STATISTICAL METHODS</w:t>
      </w:r>
    </w:p>
    <w:p w:rsidR="00BC0B90" w:rsidRPr="00587696" w:rsidRDefault="00BC0B90" w:rsidP="00BC0B90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:rsidR="00BC0B90" w:rsidRPr="00587696" w:rsidRDefault="00BC0B90" w:rsidP="00A07806">
      <w:pPr>
        <w:pStyle w:val="TOC2"/>
        <w:spacing w:before="288" w:after="288"/>
        <w:rPr>
          <w:rFonts w:asciiTheme="minorHAnsi" w:hAnsiTheme="minorHAnsi"/>
        </w:rPr>
      </w:pPr>
      <w:r w:rsidRPr="00587696">
        <w:rPr>
          <w:rFonts w:asciiTheme="minorHAnsi" w:hAnsiTheme="minorHAnsi"/>
        </w:rPr>
        <w:t>1</w:t>
      </w:r>
      <w:r w:rsidR="00587696">
        <w:rPr>
          <w:rFonts w:asciiTheme="minorHAnsi" w:hAnsiTheme="minorHAnsi"/>
        </w:rPr>
        <w:t>.</w:t>
      </w:r>
      <w:r w:rsidRPr="00587696">
        <w:rPr>
          <w:rFonts w:asciiTheme="minorHAnsi" w:hAnsiTheme="minorHAnsi"/>
        </w:rPr>
        <w:tab/>
        <w:t xml:space="preserve">Universe and </w:t>
      </w:r>
      <w:r w:rsidR="001957BB">
        <w:rPr>
          <w:rFonts w:asciiTheme="minorHAnsi" w:hAnsiTheme="minorHAnsi"/>
        </w:rPr>
        <w:t>Respondent Selection</w:t>
      </w:r>
    </w:p>
    <w:p w:rsidR="00F956E3" w:rsidRDefault="00A55620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As of June 2012</w:t>
      </w:r>
      <w:r w:rsidR="00E87EB6">
        <w:rPr>
          <w:rFonts w:asciiTheme="minorHAnsi" w:hAnsiTheme="minorHAnsi" w:cs="Arial"/>
          <w:sz w:val="22"/>
          <w:szCs w:val="22"/>
        </w:rPr>
        <w:t xml:space="preserve">, </w:t>
      </w:r>
      <w:r w:rsidR="00F46634">
        <w:rPr>
          <w:rFonts w:asciiTheme="minorHAnsi" w:hAnsiTheme="minorHAnsi" w:cs="Arial"/>
          <w:sz w:val="22"/>
          <w:szCs w:val="22"/>
        </w:rPr>
        <w:t>101</w:t>
      </w:r>
      <w:r w:rsidR="0042051D">
        <w:rPr>
          <w:rFonts w:asciiTheme="minorHAnsi" w:hAnsiTheme="minorHAnsi" w:cs="Arial"/>
          <w:sz w:val="22"/>
          <w:szCs w:val="22"/>
        </w:rPr>
        <w:t xml:space="preserve"> </w:t>
      </w:r>
      <w:r w:rsidR="00840F07">
        <w:rPr>
          <w:rFonts w:asciiTheme="minorHAnsi" w:hAnsiTheme="minorHAnsi" w:cs="Arial"/>
          <w:sz w:val="22"/>
          <w:szCs w:val="22"/>
        </w:rPr>
        <w:t xml:space="preserve">Public Health Emergency Preparedness (PHEP) </w:t>
      </w:r>
      <w:r w:rsidR="00CA2231">
        <w:rPr>
          <w:rFonts w:asciiTheme="minorHAnsi" w:hAnsiTheme="minorHAnsi" w:cs="Arial"/>
          <w:sz w:val="22"/>
          <w:szCs w:val="22"/>
        </w:rPr>
        <w:t xml:space="preserve">awardee </w:t>
      </w:r>
      <w:r w:rsidR="0042051D">
        <w:rPr>
          <w:rFonts w:asciiTheme="minorHAnsi" w:hAnsiTheme="minorHAnsi" w:cs="Arial"/>
          <w:sz w:val="22"/>
          <w:szCs w:val="22"/>
        </w:rPr>
        <w:t>jurisdictions</w:t>
      </w:r>
      <w:r w:rsidR="0067135A">
        <w:rPr>
          <w:rFonts w:asciiTheme="minorHAnsi" w:hAnsiTheme="minorHAnsi" w:cs="Arial"/>
          <w:sz w:val="22"/>
          <w:szCs w:val="22"/>
        </w:rPr>
        <w:t xml:space="preserve"> and their local jurisdictions</w:t>
      </w:r>
      <w:r w:rsidR="00350BA7">
        <w:rPr>
          <w:rFonts w:asciiTheme="minorHAnsi" w:hAnsiTheme="minorHAnsi" w:cs="Arial"/>
          <w:sz w:val="22"/>
          <w:szCs w:val="22"/>
        </w:rPr>
        <w:t xml:space="preserve"> </w:t>
      </w:r>
      <w:r w:rsidR="0042051D">
        <w:rPr>
          <w:rFonts w:asciiTheme="minorHAnsi" w:hAnsiTheme="minorHAnsi" w:cs="Arial"/>
          <w:sz w:val="22"/>
          <w:szCs w:val="22"/>
        </w:rPr>
        <w:t>(2</w:t>
      </w:r>
      <w:r w:rsidR="00F46634">
        <w:rPr>
          <w:rFonts w:asciiTheme="minorHAnsi" w:hAnsiTheme="minorHAnsi" w:cs="Arial"/>
          <w:sz w:val="22"/>
          <w:szCs w:val="22"/>
        </w:rPr>
        <w:t>8</w:t>
      </w:r>
      <w:r w:rsidR="0042051D">
        <w:rPr>
          <w:rFonts w:asciiTheme="minorHAnsi" w:hAnsiTheme="minorHAnsi" w:cs="Arial"/>
          <w:sz w:val="22"/>
          <w:szCs w:val="22"/>
        </w:rPr>
        <w:t xml:space="preserve"> </w:t>
      </w:r>
      <w:r w:rsidR="00CA2231">
        <w:rPr>
          <w:rFonts w:asciiTheme="minorHAnsi" w:hAnsiTheme="minorHAnsi" w:cs="Arial"/>
          <w:sz w:val="22"/>
          <w:szCs w:val="22"/>
        </w:rPr>
        <w:t>PHEP awardees</w:t>
      </w:r>
      <w:r w:rsidR="0042051D">
        <w:rPr>
          <w:rFonts w:asciiTheme="minorHAnsi" w:hAnsiTheme="minorHAnsi" w:cs="Arial"/>
          <w:sz w:val="22"/>
          <w:szCs w:val="22"/>
        </w:rPr>
        <w:t xml:space="preserve">, </w:t>
      </w:r>
      <w:r w:rsidR="00F46634">
        <w:rPr>
          <w:rFonts w:asciiTheme="minorHAnsi" w:hAnsiTheme="minorHAnsi" w:cs="Arial"/>
          <w:sz w:val="22"/>
          <w:szCs w:val="22"/>
        </w:rPr>
        <w:t>73</w:t>
      </w:r>
      <w:r w:rsidR="0042051D">
        <w:rPr>
          <w:rFonts w:asciiTheme="minorHAnsi" w:hAnsiTheme="minorHAnsi" w:cs="Arial"/>
          <w:sz w:val="22"/>
          <w:szCs w:val="22"/>
        </w:rPr>
        <w:t xml:space="preserve"> localities) have completed their </w:t>
      </w:r>
      <w:r w:rsidR="00CA2231">
        <w:rPr>
          <w:rFonts w:asciiTheme="minorHAnsi" w:hAnsiTheme="minorHAnsi" w:cs="Arial"/>
          <w:sz w:val="22"/>
          <w:szCs w:val="22"/>
        </w:rPr>
        <w:t xml:space="preserve">assessment </w:t>
      </w:r>
      <w:r w:rsidR="0042051D">
        <w:rPr>
          <w:rFonts w:asciiTheme="minorHAnsi" w:hAnsiTheme="minorHAnsi" w:cs="Arial"/>
          <w:sz w:val="22"/>
          <w:szCs w:val="22"/>
        </w:rPr>
        <w:t xml:space="preserve">of </w:t>
      </w:r>
      <w:r w:rsidR="00350BA7">
        <w:rPr>
          <w:rFonts w:asciiTheme="minorHAnsi" w:hAnsiTheme="minorHAnsi" w:cs="Arial"/>
          <w:sz w:val="22"/>
          <w:szCs w:val="22"/>
        </w:rPr>
        <w:t>IMATS for potential adoption at their jurisdiction</w:t>
      </w:r>
      <w:r w:rsidR="00D313D1">
        <w:rPr>
          <w:rFonts w:asciiTheme="minorHAnsi" w:hAnsiTheme="minorHAnsi" w:cs="Arial"/>
          <w:sz w:val="22"/>
          <w:szCs w:val="22"/>
        </w:rPr>
        <w:t xml:space="preserve">. </w:t>
      </w:r>
      <w:r w:rsidR="00CA2231">
        <w:rPr>
          <w:rFonts w:asciiTheme="minorHAnsi" w:hAnsiTheme="minorHAnsi" w:cs="Arial"/>
          <w:sz w:val="22"/>
          <w:szCs w:val="22"/>
        </w:rPr>
        <w:t>PHEP awardees</w:t>
      </w:r>
      <w:r w:rsidR="00D313D1">
        <w:rPr>
          <w:rFonts w:asciiTheme="minorHAnsi" w:hAnsiTheme="minorHAnsi" w:cs="Arial"/>
          <w:sz w:val="22"/>
          <w:szCs w:val="22"/>
        </w:rPr>
        <w:t xml:space="preserve"> consist of </w:t>
      </w:r>
      <w:r w:rsidR="00A36C36" w:rsidRPr="00A36C36">
        <w:rPr>
          <w:rFonts w:asciiTheme="minorHAnsi" w:hAnsiTheme="minorHAnsi" w:cs="Arial"/>
          <w:sz w:val="22"/>
          <w:szCs w:val="22"/>
        </w:rPr>
        <w:t>the 50 states, New York City, Chicago, Los Angeles, Washington, D.C. and 8 island territories</w:t>
      </w:r>
      <w:r w:rsidR="00D313D1">
        <w:rPr>
          <w:rFonts w:asciiTheme="minorHAnsi" w:hAnsiTheme="minorHAnsi" w:cs="Arial"/>
          <w:sz w:val="22"/>
          <w:szCs w:val="22"/>
        </w:rPr>
        <w:t>.</w:t>
      </w:r>
      <w:r w:rsidR="00A36C36" w:rsidRPr="00A36C3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The </w:t>
      </w:r>
      <w:r w:rsidR="00CF3B76">
        <w:rPr>
          <w:rFonts w:asciiTheme="minorHAnsi" w:hAnsiTheme="minorHAnsi" w:cs="Arial"/>
          <w:sz w:val="22"/>
          <w:szCs w:val="22"/>
        </w:rPr>
        <w:t>data collection tool</w:t>
      </w:r>
      <w:r w:rsidR="001957BB" w:rsidRPr="001957BB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will be sent to</w:t>
      </w:r>
      <w:r w:rsidR="001957BB" w:rsidRPr="001957BB">
        <w:rPr>
          <w:rFonts w:asciiTheme="minorHAnsi" w:hAnsiTheme="minorHAnsi" w:cs="Arial"/>
          <w:sz w:val="22"/>
          <w:szCs w:val="22"/>
        </w:rPr>
        <w:t xml:space="preserve"> </w:t>
      </w:r>
      <w:r w:rsidR="0042051D">
        <w:rPr>
          <w:rFonts w:asciiTheme="minorHAnsi" w:hAnsiTheme="minorHAnsi" w:cs="Arial"/>
          <w:sz w:val="22"/>
          <w:szCs w:val="22"/>
        </w:rPr>
        <w:t xml:space="preserve">one </w:t>
      </w:r>
      <w:r>
        <w:rPr>
          <w:rFonts w:asciiTheme="minorHAnsi" w:hAnsiTheme="minorHAnsi" w:cs="Arial"/>
          <w:sz w:val="22"/>
          <w:szCs w:val="22"/>
        </w:rPr>
        <w:t>representative</w:t>
      </w:r>
      <w:r w:rsidR="0042051D">
        <w:rPr>
          <w:rFonts w:asciiTheme="minorHAnsi" w:hAnsiTheme="minorHAnsi" w:cs="Arial"/>
          <w:sz w:val="22"/>
          <w:szCs w:val="22"/>
        </w:rPr>
        <w:t xml:space="preserve"> </w:t>
      </w:r>
      <w:r w:rsidR="00EC0B2D">
        <w:rPr>
          <w:rFonts w:asciiTheme="minorHAnsi" w:hAnsiTheme="minorHAnsi" w:cs="Arial"/>
          <w:sz w:val="22"/>
          <w:szCs w:val="22"/>
        </w:rPr>
        <w:t xml:space="preserve">(designee) </w:t>
      </w:r>
      <w:r w:rsidR="0042051D">
        <w:rPr>
          <w:rFonts w:asciiTheme="minorHAnsi" w:hAnsiTheme="minorHAnsi" w:cs="Arial"/>
          <w:sz w:val="22"/>
          <w:szCs w:val="22"/>
        </w:rPr>
        <w:t xml:space="preserve">from each of the jurisdictions that participate in an IMATS </w:t>
      </w:r>
      <w:r w:rsidR="00CA2231">
        <w:rPr>
          <w:rFonts w:asciiTheme="minorHAnsi" w:hAnsiTheme="minorHAnsi" w:cs="Arial"/>
          <w:sz w:val="22"/>
          <w:szCs w:val="22"/>
        </w:rPr>
        <w:t>assessment</w:t>
      </w:r>
      <w:r w:rsidR="002B4D04">
        <w:rPr>
          <w:rFonts w:asciiTheme="minorHAnsi" w:hAnsiTheme="minorHAnsi" w:cs="Arial"/>
          <w:sz w:val="22"/>
          <w:szCs w:val="22"/>
        </w:rPr>
        <w:t>. IMATS is offered to all state, territorial, and local jurisdictions for potential adoption as an inventory management system.</w:t>
      </w:r>
      <w:r w:rsidR="001561E7">
        <w:rPr>
          <w:rFonts w:asciiTheme="minorHAnsi" w:hAnsiTheme="minorHAnsi" w:cs="Arial"/>
          <w:sz w:val="22"/>
          <w:szCs w:val="22"/>
        </w:rPr>
        <w:t xml:space="preserve"> These jurisdictions initiate the </w:t>
      </w:r>
      <w:r w:rsidR="00CA2231">
        <w:rPr>
          <w:rFonts w:asciiTheme="minorHAnsi" w:hAnsiTheme="minorHAnsi" w:cs="Arial"/>
          <w:sz w:val="22"/>
          <w:szCs w:val="22"/>
        </w:rPr>
        <w:t xml:space="preserve">assessment </w:t>
      </w:r>
      <w:r w:rsidR="001561E7">
        <w:rPr>
          <w:rFonts w:asciiTheme="minorHAnsi" w:hAnsiTheme="minorHAnsi" w:cs="Arial"/>
          <w:sz w:val="22"/>
          <w:szCs w:val="22"/>
        </w:rPr>
        <w:t>of IMATS by sending a request to the CTS Team. As such, the re</w:t>
      </w:r>
      <w:r w:rsidR="00EF2971">
        <w:rPr>
          <w:rFonts w:asciiTheme="minorHAnsi" w:hAnsiTheme="minorHAnsi" w:cs="Arial"/>
          <w:sz w:val="22"/>
          <w:szCs w:val="22"/>
        </w:rPr>
        <w:t xml:space="preserve">spondent universe potentially </w:t>
      </w:r>
      <w:r w:rsidR="001561E7">
        <w:rPr>
          <w:rFonts w:asciiTheme="minorHAnsi" w:hAnsiTheme="minorHAnsi" w:cs="Arial"/>
          <w:sz w:val="22"/>
          <w:szCs w:val="22"/>
        </w:rPr>
        <w:t>include</w:t>
      </w:r>
      <w:r w:rsidR="00EF2971">
        <w:rPr>
          <w:rFonts w:asciiTheme="minorHAnsi" w:hAnsiTheme="minorHAnsi" w:cs="Arial"/>
          <w:sz w:val="22"/>
          <w:szCs w:val="22"/>
        </w:rPr>
        <w:t>s</w:t>
      </w:r>
      <w:r w:rsidR="001561E7">
        <w:rPr>
          <w:rFonts w:asciiTheme="minorHAnsi" w:hAnsiTheme="minorHAnsi" w:cs="Arial"/>
          <w:sz w:val="22"/>
          <w:szCs w:val="22"/>
        </w:rPr>
        <w:t xml:space="preserve"> all state, territorial, and local jurisdictions</w:t>
      </w:r>
      <w:r w:rsidR="00A60BAA">
        <w:rPr>
          <w:rFonts w:asciiTheme="minorHAnsi" w:hAnsiTheme="minorHAnsi" w:cs="Arial"/>
          <w:sz w:val="22"/>
          <w:szCs w:val="22"/>
        </w:rPr>
        <w:t>.</w:t>
      </w:r>
    </w:p>
    <w:p w:rsidR="00A60BAA" w:rsidRDefault="00175FF7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B9621F" w:rsidRPr="00587696" w:rsidRDefault="0067135A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Pr="005530FB">
        <w:rPr>
          <w:rFonts w:asciiTheme="minorHAnsi" w:hAnsiTheme="minorHAnsi" w:cs="Arial"/>
          <w:sz w:val="22"/>
          <w:szCs w:val="22"/>
        </w:rPr>
        <w:t>he initial data collection</w:t>
      </w:r>
      <w:r>
        <w:rPr>
          <w:rFonts w:asciiTheme="minorHAnsi" w:hAnsiTheme="minorHAnsi" w:cs="Arial"/>
          <w:sz w:val="22"/>
          <w:szCs w:val="22"/>
        </w:rPr>
        <w:t xml:space="preserve"> will be sent to the 101 designees that have completed an IMATS </w:t>
      </w:r>
      <w:r w:rsidR="00162AF3">
        <w:rPr>
          <w:rFonts w:asciiTheme="minorHAnsi" w:hAnsiTheme="minorHAnsi" w:cs="Arial"/>
          <w:sz w:val="22"/>
          <w:szCs w:val="22"/>
        </w:rPr>
        <w:t>assessment</w:t>
      </w:r>
      <w:r>
        <w:rPr>
          <w:rFonts w:asciiTheme="minorHAnsi" w:hAnsiTheme="minorHAnsi" w:cs="Arial"/>
          <w:sz w:val="22"/>
          <w:szCs w:val="22"/>
        </w:rPr>
        <w:t>. Following this initial data collection,</w:t>
      </w:r>
      <w:r>
        <w:rPr>
          <w:rFonts w:asciiTheme="minorHAnsi" w:hAnsiTheme="minorHAnsi" w:cs="Arial"/>
          <w:i/>
          <w:sz w:val="22"/>
          <w:szCs w:val="22"/>
        </w:rPr>
        <w:t xml:space="preserve"> </w:t>
      </w:r>
      <w:r w:rsidR="00BC18B9" w:rsidRPr="0067135A">
        <w:rPr>
          <w:rFonts w:asciiTheme="minorHAnsi" w:hAnsiTheme="minorHAnsi" w:cs="Arial"/>
          <w:i/>
          <w:sz w:val="22"/>
          <w:szCs w:val="22"/>
        </w:rPr>
        <w:t>EVERY</w:t>
      </w:r>
      <w:r w:rsidR="00BC18B9">
        <w:rPr>
          <w:rFonts w:asciiTheme="minorHAnsi" w:hAnsiTheme="minorHAnsi" w:cs="Arial"/>
          <w:i/>
          <w:sz w:val="22"/>
          <w:szCs w:val="22"/>
        </w:rPr>
        <w:t xml:space="preserve"> SIX MONTHS</w:t>
      </w:r>
      <w:r>
        <w:rPr>
          <w:rFonts w:asciiTheme="minorHAnsi" w:hAnsiTheme="minorHAnsi" w:cs="Arial"/>
          <w:i/>
          <w:sz w:val="22"/>
          <w:szCs w:val="22"/>
        </w:rPr>
        <w:t xml:space="preserve"> </w:t>
      </w:r>
      <w:r w:rsidRPr="005530FB">
        <w:rPr>
          <w:rFonts w:asciiTheme="minorHAnsi" w:hAnsiTheme="minorHAnsi" w:cs="Arial"/>
          <w:sz w:val="22"/>
          <w:szCs w:val="22"/>
        </w:rPr>
        <w:t>thereafter</w:t>
      </w:r>
      <w:r w:rsidR="00A60BAA">
        <w:rPr>
          <w:rFonts w:asciiTheme="minorHAnsi" w:hAnsiTheme="minorHAnsi" w:cs="Arial"/>
          <w:sz w:val="22"/>
          <w:szCs w:val="22"/>
        </w:rPr>
        <w:t>, t</w:t>
      </w:r>
      <w:r w:rsidR="000337FB">
        <w:rPr>
          <w:rFonts w:asciiTheme="minorHAnsi" w:hAnsiTheme="minorHAnsi" w:cs="Arial"/>
          <w:sz w:val="22"/>
          <w:szCs w:val="22"/>
        </w:rPr>
        <w:t xml:space="preserve">he </w:t>
      </w:r>
      <w:r w:rsidR="00BC18B9">
        <w:rPr>
          <w:rFonts w:asciiTheme="minorHAnsi" w:hAnsiTheme="minorHAnsi" w:cs="Arial"/>
          <w:sz w:val="22"/>
          <w:szCs w:val="22"/>
        </w:rPr>
        <w:t>data collection tool</w:t>
      </w:r>
      <w:r w:rsidR="000337FB">
        <w:rPr>
          <w:rFonts w:asciiTheme="minorHAnsi" w:hAnsiTheme="minorHAnsi" w:cs="Arial"/>
          <w:sz w:val="22"/>
          <w:szCs w:val="22"/>
        </w:rPr>
        <w:t xml:space="preserve"> will be sent to </w:t>
      </w:r>
      <w:r w:rsidR="00A60BAA">
        <w:rPr>
          <w:rFonts w:asciiTheme="minorHAnsi" w:hAnsiTheme="minorHAnsi" w:cs="Arial"/>
          <w:sz w:val="22"/>
          <w:szCs w:val="22"/>
        </w:rPr>
        <w:t xml:space="preserve">up to </w:t>
      </w:r>
      <w:r w:rsidR="00E44371">
        <w:rPr>
          <w:rFonts w:asciiTheme="minorHAnsi" w:hAnsiTheme="minorHAnsi" w:cs="Arial"/>
          <w:sz w:val="22"/>
          <w:szCs w:val="22"/>
        </w:rPr>
        <w:t xml:space="preserve">60 </w:t>
      </w:r>
      <w:r w:rsidR="009C0B48">
        <w:rPr>
          <w:rFonts w:asciiTheme="minorHAnsi" w:hAnsiTheme="minorHAnsi" w:cs="Arial"/>
          <w:sz w:val="22"/>
          <w:szCs w:val="22"/>
        </w:rPr>
        <w:t xml:space="preserve">designees </w:t>
      </w:r>
      <w:r w:rsidR="00EC0B2D">
        <w:rPr>
          <w:rFonts w:asciiTheme="minorHAnsi" w:hAnsiTheme="minorHAnsi" w:cs="Arial"/>
          <w:sz w:val="22"/>
          <w:szCs w:val="22"/>
        </w:rPr>
        <w:t xml:space="preserve"> </w:t>
      </w:r>
      <w:r w:rsidR="000337FB">
        <w:rPr>
          <w:rFonts w:asciiTheme="minorHAnsi" w:hAnsiTheme="minorHAnsi" w:cs="Arial"/>
          <w:sz w:val="22"/>
          <w:szCs w:val="22"/>
        </w:rPr>
        <w:t xml:space="preserve">from jurisdictions </w:t>
      </w:r>
      <w:r w:rsidR="00666EB7">
        <w:rPr>
          <w:rFonts w:asciiTheme="minorHAnsi" w:hAnsiTheme="minorHAnsi" w:cs="Arial"/>
          <w:sz w:val="22"/>
          <w:szCs w:val="22"/>
        </w:rPr>
        <w:t>that</w:t>
      </w:r>
      <w:r w:rsidR="000337FB">
        <w:rPr>
          <w:rFonts w:asciiTheme="minorHAnsi" w:hAnsiTheme="minorHAnsi" w:cs="Arial"/>
          <w:sz w:val="22"/>
          <w:szCs w:val="22"/>
        </w:rPr>
        <w:t xml:space="preserve"> have completed an IMATS </w:t>
      </w:r>
      <w:r w:rsidR="00162AF3">
        <w:rPr>
          <w:rFonts w:asciiTheme="minorHAnsi" w:hAnsiTheme="minorHAnsi" w:cs="Arial"/>
          <w:sz w:val="22"/>
          <w:szCs w:val="22"/>
        </w:rPr>
        <w:t xml:space="preserve">assessment </w:t>
      </w:r>
      <w:r w:rsidR="00840F07">
        <w:rPr>
          <w:rFonts w:asciiTheme="minorHAnsi" w:hAnsiTheme="minorHAnsi" w:cs="Arial"/>
          <w:sz w:val="22"/>
          <w:szCs w:val="22"/>
        </w:rPr>
        <w:t>through March 31, 2014</w:t>
      </w:r>
      <w:r w:rsidR="00A60BAA">
        <w:rPr>
          <w:rFonts w:asciiTheme="minorHAnsi" w:hAnsiTheme="minorHAnsi" w:cs="Arial"/>
          <w:sz w:val="22"/>
          <w:szCs w:val="22"/>
        </w:rPr>
        <w:t xml:space="preserve"> </w:t>
      </w:r>
      <w:r w:rsidR="00A60BAA" w:rsidRPr="00A60BAA">
        <w:rPr>
          <w:rFonts w:asciiTheme="minorHAnsi" w:hAnsiTheme="minorHAnsi" w:cs="Arial"/>
          <w:sz w:val="22"/>
          <w:szCs w:val="22"/>
        </w:rPr>
        <w:t xml:space="preserve">(expiration </w:t>
      </w:r>
      <w:r w:rsidR="00A60BAA">
        <w:rPr>
          <w:rFonts w:asciiTheme="minorHAnsi" w:hAnsiTheme="minorHAnsi" w:cs="Arial"/>
          <w:sz w:val="22"/>
          <w:szCs w:val="22"/>
        </w:rPr>
        <w:t>date for this Generic ICR)</w:t>
      </w:r>
      <w:r w:rsidR="00E44371">
        <w:rPr>
          <w:rFonts w:asciiTheme="minorHAnsi" w:hAnsiTheme="minorHAnsi" w:cs="Arial"/>
          <w:sz w:val="22"/>
          <w:szCs w:val="22"/>
        </w:rPr>
        <w:t xml:space="preserve"> </w:t>
      </w:r>
      <w:r w:rsidR="00A55620">
        <w:rPr>
          <w:rFonts w:asciiTheme="minorHAnsi" w:hAnsiTheme="minorHAnsi" w:cs="Arial"/>
          <w:sz w:val="22"/>
          <w:szCs w:val="22"/>
        </w:rPr>
        <w:t>as a routine part of the</w:t>
      </w:r>
      <w:r w:rsidR="00E44371">
        <w:rPr>
          <w:rFonts w:asciiTheme="minorHAnsi" w:hAnsiTheme="minorHAnsi" w:cs="Arial"/>
          <w:sz w:val="22"/>
          <w:szCs w:val="22"/>
        </w:rPr>
        <w:t>ir IMATS</w:t>
      </w:r>
      <w:r w:rsidR="00A55620">
        <w:rPr>
          <w:rFonts w:asciiTheme="minorHAnsi" w:hAnsiTheme="minorHAnsi" w:cs="Arial"/>
          <w:sz w:val="22"/>
          <w:szCs w:val="22"/>
        </w:rPr>
        <w:t xml:space="preserve"> </w:t>
      </w:r>
      <w:r w:rsidR="00162AF3">
        <w:rPr>
          <w:rFonts w:asciiTheme="minorHAnsi" w:hAnsiTheme="minorHAnsi" w:cs="Arial"/>
          <w:sz w:val="22"/>
          <w:szCs w:val="22"/>
        </w:rPr>
        <w:t xml:space="preserve">assessment </w:t>
      </w:r>
      <w:r w:rsidR="00A55620">
        <w:rPr>
          <w:rFonts w:asciiTheme="minorHAnsi" w:hAnsiTheme="minorHAnsi" w:cs="Arial"/>
          <w:sz w:val="22"/>
          <w:szCs w:val="22"/>
        </w:rPr>
        <w:t>process.</w:t>
      </w:r>
      <w:r w:rsidR="000337FB">
        <w:rPr>
          <w:rFonts w:asciiTheme="minorHAnsi" w:hAnsiTheme="minorHAnsi" w:cs="Arial"/>
          <w:sz w:val="22"/>
          <w:szCs w:val="22"/>
        </w:rPr>
        <w:t xml:space="preserve">  </w:t>
      </w:r>
      <w:r w:rsidR="004841FF">
        <w:rPr>
          <w:rFonts w:asciiTheme="minorHAnsi" w:hAnsiTheme="minorHAnsi" w:cs="Arial"/>
          <w:sz w:val="22"/>
          <w:szCs w:val="22"/>
        </w:rPr>
        <w:t>The potential respondent universe for each six month cycle following the initial data collection</w:t>
      </w:r>
      <w:r w:rsidR="00CB51F0">
        <w:rPr>
          <w:rFonts w:asciiTheme="minorHAnsi" w:hAnsiTheme="minorHAnsi" w:cs="Arial"/>
          <w:sz w:val="22"/>
          <w:szCs w:val="22"/>
        </w:rPr>
        <w:t xml:space="preserve"> (N=60)</w:t>
      </w:r>
      <w:r w:rsidR="004841FF">
        <w:rPr>
          <w:rFonts w:asciiTheme="minorHAnsi" w:hAnsiTheme="minorHAnsi" w:cs="Arial"/>
          <w:sz w:val="22"/>
          <w:szCs w:val="22"/>
        </w:rPr>
        <w:t xml:space="preserve"> is an </w:t>
      </w:r>
      <w:r w:rsidR="000737F4">
        <w:rPr>
          <w:rFonts w:asciiTheme="minorHAnsi" w:hAnsiTheme="minorHAnsi" w:cs="Arial"/>
          <w:sz w:val="22"/>
          <w:szCs w:val="22"/>
        </w:rPr>
        <w:t>estimate based</w:t>
      </w:r>
      <w:r w:rsidR="004841FF">
        <w:rPr>
          <w:rFonts w:asciiTheme="minorHAnsi" w:hAnsiTheme="minorHAnsi" w:cs="Arial"/>
          <w:sz w:val="22"/>
          <w:szCs w:val="22"/>
        </w:rPr>
        <w:t xml:space="preserve"> on the current </w:t>
      </w:r>
      <w:r w:rsidR="00CB51F0">
        <w:rPr>
          <w:rFonts w:asciiTheme="minorHAnsi" w:hAnsiTheme="minorHAnsi" w:cs="Arial"/>
          <w:sz w:val="22"/>
          <w:szCs w:val="22"/>
        </w:rPr>
        <w:t>pattern</w:t>
      </w:r>
      <w:r w:rsidR="004841FF">
        <w:rPr>
          <w:rFonts w:asciiTheme="minorHAnsi" w:hAnsiTheme="minorHAnsi" w:cs="Arial"/>
          <w:sz w:val="22"/>
          <w:szCs w:val="22"/>
        </w:rPr>
        <w:t xml:space="preserve"> of </w:t>
      </w:r>
      <w:r w:rsidR="00162AF3">
        <w:rPr>
          <w:rFonts w:asciiTheme="minorHAnsi" w:hAnsiTheme="minorHAnsi" w:cs="Arial"/>
          <w:sz w:val="22"/>
          <w:szCs w:val="22"/>
        </w:rPr>
        <w:t xml:space="preserve">assessments </w:t>
      </w:r>
      <w:r w:rsidR="004841FF">
        <w:rPr>
          <w:rFonts w:asciiTheme="minorHAnsi" w:hAnsiTheme="minorHAnsi" w:cs="Arial"/>
          <w:sz w:val="22"/>
          <w:szCs w:val="22"/>
        </w:rPr>
        <w:t xml:space="preserve">to date. </w:t>
      </w:r>
      <w:r w:rsidR="00CB51F0">
        <w:rPr>
          <w:rFonts w:asciiTheme="minorHAnsi" w:hAnsiTheme="minorHAnsi" w:cs="Arial"/>
          <w:sz w:val="22"/>
          <w:szCs w:val="22"/>
        </w:rPr>
        <w:t xml:space="preserve"> During the initial six months follow</w:t>
      </w:r>
      <w:r w:rsidR="000C7900">
        <w:rPr>
          <w:rFonts w:asciiTheme="minorHAnsi" w:hAnsiTheme="minorHAnsi" w:cs="Arial"/>
          <w:sz w:val="22"/>
          <w:szCs w:val="22"/>
        </w:rPr>
        <w:t xml:space="preserve">ing the release of IMATS, </w:t>
      </w:r>
      <w:r w:rsidR="00CB51F0">
        <w:rPr>
          <w:rFonts w:asciiTheme="minorHAnsi" w:hAnsiTheme="minorHAnsi" w:cs="Arial"/>
          <w:sz w:val="22"/>
          <w:szCs w:val="22"/>
        </w:rPr>
        <w:t xml:space="preserve">a total of </w:t>
      </w:r>
      <w:r w:rsidR="00D21352">
        <w:rPr>
          <w:rFonts w:asciiTheme="minorHAnsi" w:hAnsiTheme="minorHAnsi" w:cs="Arial"/>
          <w:sz w:val="22"/>
          <w:szCs w:val="22"/>
        </w:rPr>
        <w:t xml:space="preserve">94 IMATS </w:t>
      </w:r>
      <w:r w:rsidR="00162AF3">
        <w:rPr>
          <w:rFonts w:asciiTheme="minorHAnsi" w:hAnsiTheme="minorHAnsi" w:cs="Arial"/>
          <w:sz w:val="22"/>
          <w:szCs w:val="22"/>
        </w:rPr>
        <w:t xml:space="preserve">assessments </w:t>
      </w:r>
      <w:r w:rsidR="000C7900">
        <w:rPr>
          <w:rFonts w:asciiTheme="minorHAnsi" w:hAnsiTheme="minorHAnsi" w:cs="Arial"/>
          <w:sz w:val="22"/>
          <w:szCs w:val="22"/>
        </w:rPr>
        <w:t>were completed</w:t>
      </w:r>
      <w:r w:rsidR="00D21352">
        <w:rPr>
          <w:rFonts w:asciiTheme="minorHAnsi" w:hAnsiTheme="minorHAnsi" w:cs="Arial"/>
          <w:sz w:val="22"/>
          <w:szCs w:val="22"/>
        </w:rPr>
        <w:t xml:space="preserve">. </w:t>
      </w:r>
      <w:r w:rsidR="000C7900">
        <w:rPr>
          <w:rFonts w:asciiTheme="minorHAnsi" w:hAnsiTheme="minorHAnsi" w:cs="Arial"/>
          <w:sz w:val="22"/>
          <w:szCs w:val="22"/>
        </w:rPr>
        <w:t xml:space="preserve">To date, </w:t>
      </w:r>
      <w:r w:rsidR="00D21352">
        <w:rPr>
          <w:rFonts w:asciiTheme="minorHAnsi" w:hAnsiTheme="minorHAnsi" w:cs="Arial"/>
          <w:sz w:val="22"/>
          <w:szCs w:val="22"/>
        </w:rPr>
        <w:t xml:space="preserve">IMATS has been available for </w:t>
      </w:r>
      <w:r w:rsidR="00162AF3">
        <w:rPr>
          <w:rFonts w:asciiTheme="minorHAnsi" w:hAnsiTheme="minorHAnsi" w:cs="Arial"/>
          <w:sz w:val="22"/>
          <w:szCs w:val="22"/>
        </w:rPr>
        <w:t xml:space="preserve">ten </w:t>
      </w:r>
      <w:r w:rsidR="00D21352">
        <w:rPr>
          <w:rFonts w:asciiTheme="minorHAnsi" w:hAnsiTheme="minorHAnsi" w:cs="Arial"/>
          <w:sz w:val="22"/>
          <w:szCs w:val="22"/>
        </w:rPr>
        <w:t xml:space="preserve">months, and </w:t>
      </w:r>
      <w:r w:rsidR="00162AF3">
        <w:rPr>
          <w:rFonts w:asciiTheme="minorHAnsi" w:hAnsiTheme="minorHAnsi" w:cs="Arial"/>
          <w:sz w:val="22"/>
          <w:szCs w:val="22"/>
        </w:rPr>
        <w:t xml:space="preserve">assessment </w:t>
      </w:r>
      <w:r w:rsidR="00D21352">
        <w:rPr>
          <w:rFonts w:asciiTheme="minorHAnsi" w:hAnsiTheme="minorHAnsi" w:cs="Arial"/>
          <w:sz w:val="22"/>
          <w:szCs w:val="22"/>
        </w:rPr>
        <w:t>requests are expected to slow</w:t>
      </w:r>
      <w:r w:rsidR="000C7900">
        <w:rPr>
          <w:rFonts w:asciiTheme="minorHAnsi" w:hAnsiTheme="minorHAnsi" w:cs="Arial"/>
          <w:sz w:val="22"/>
          <w:szCs w:val="22"/>
        </w:rPr>
        <w:t xml:space="preserve"> down</w:t>
      </w:r>
      <w:r w:rsidR="00D21352">
        <w:rPr>
          <w:rFonts w:asciiTheme="minorHAnsi" w:hAnsiTheme="minorHAnsi" w:cs="Arial"/>
          <w:sz w:val="22"/>
          <w:szCs w:val="22"/>
        </w:rPr>
        <w:t xml:space="preserve">. Based on this pattern, 60 </w:t>
      </w:r>
      <w:r w:rsidR="00162AF3">
        <w:rPr>
          <w:rFonts w:asciiTheme="minorHAnsi" w:hAnsiTheme="minorHAnsi" w:cs="Arial"/>
          <w:sz w:val="22"/>
          <w:szCs w:val="22"/>
        </w:rPr>
        <w:t xml:space="preserve">assessments </w:t>
      </w:r>
      <w:r w:rsidR="00D21352">
        <w:rPr>
          <w:rFonts w:asciiTheme="minorHAnsi" w:hAnsiTheme="minorHAnsi" w:cs="Arial"/>
          <w:sz w:val="22"/>
          <w:szCs w:val="22"/>
        </w:rPr>
        <w:t xml:space="preserve">are expected over each six month cycle. </w:t>
      </w:r>
      <w:r w:rsidR="00BC18B9">
        <w:rPr>
          <w:rFonts w:asciiTheme="minorHAnsi" w:hAnsiTheme="minorHAnsi" w:cs="Arial"/>
          <w:sz w:val="22"/>
          <w:szCs w:val="22"/>
        </w:rPr>
        <w:t xml:space="preserve">The data collection tool will </w:t>
      </w:r>
      <w:r w:rsidR="003F1BB4">
        <w:rPr>
          <w:rFonts w:asciiTheme="minorHAnsi" w:hAnsiTheme="minorHAnsi" w:cs="Arial"/>
          <w:sz w:val="22"/>
          <w:szCs w:val="22"/>
        </w:rPr>
        <w:t xml:space="preserve">only </w:t>
      </w:r>
      <w:r w:rsidR="00BC18B9">
        <w:rPr>
          <w:rFonts w:asciiTheme="minorHAnsi" w:hAnsiTheme="minorHAnsi" w:cs="Arial"/>
          <w:sz w:val="22"/>
          <w:szCs w:val="22"/>
        </w:rPr>
        <w:t xml:space="preserve">be distributed to </w:t>
      </w:r>
      <w:r w:rsidR="00162AF3">
        <w:rPr>
          <w:rFonts w:asciiTheme="minorHAnsi" w:hAnsiTheme="minorHAnsi" w:cs="Arial"/>
          <w:sz w:val="22"/>
          <w:szCs w:val="22"/>
        </w:rPr>
        <w:t>PHEP awardee</w:t>
      </w:r>
      <w:r w:rsidR="003F1BB4">
        <w:rPr>
          <w:rFonts w:asciiTheme="minorHAnsi" w:hAnsiTheme="minorHAnsi" w:cs="Arial"/>
          <w:sz w:val="22"/>
          <w:szCs w:val="22"/>
        </w:rPr>
        <w:t xml:space="preserve"> or </w:t>
      </w:r>
      <w:r w:rsidR="00840F07">
        <w:rPr>
          <w:rFonts w:asciiTheme="minorHAnsi" w:hAnsiTheme="minorHAnsi" w:cs="Arial"/>
          <w:sz w:val="22"/>
          <w:szCs w:val="22"/>
        </w:rPr>
        <w:t xml:space="preserve">local health departments. </w:t>
      </w:r>
      <w:r w:rsidR="00EB6726">
        <w:rPr>
          <w:rFonts w:asciiTheme="minorHAnsi" w:hAnsiTheme="minorHAnsi" w:cs="Arial"/>
          <w:sz w:val="22"/>
          <w:szCs w:val="22"/>
        </w:rPr>
        <w:t>A</w:t>
      </w:r>
      <w:r w:rsidR="007778CD" w:rsidRPr="00587696">
        <w:rPr>
          <w:rFonts w:asciiTheme="minorHAnsi" w:hAnsiTheme="minorHAnsi" w:cs="Arial"/>
          <w:sz w:val="22"/>
          <w:szCs w:val="22"/>
        </w:rPr>
        <w:t xml:space="preserve"> sampling strategy will not be employed. </w:t>
      </w:r>
    </w:p>
    <w:p w:rsidR="003F6DF3" w:rsidRPr="00587696" w:rsidRDefault="003F6DF3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</w:p>
    <w:p w:rsidR="003F6DF3" w:rsidRPr="00F956E3" w:rsidRDefault="003F6DF3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b/>
          <w:sz w:val="22"/>
          <w:szCs w:val="22"/>
        </w:rPr>
      </w:pPr>
      <w:r w:rsidRPr="00587696">
        <w:rPr>
          <w:rFonts w:asciiTheme="minorHAnsi" w:hAnsiTheme="minorHAnsi" w:cs="Arial"/>
          <w:b/>
          <w:sz w:val="22"/>
          <w:szCs w:val="22"/>
          <w:u w:val="single"/>
        </w:rPr>
        <w:t>Table B-1</w:t>
      </w:r>
      <w:r w:rsidRPr="00587696">
        <w:rPr>
          <w:rFonts w:asciiTheme="minorHAnsi" w:hAnsiTheme="minorHAnsi" w:cs="Arial"/>
          <w:b/>
          <w:sz w:val="22"/>
          <w:szCs w:val="22"/>
        </w:rPr>
        <w:t>:</w:t>
      </w:r>
      <w:r w:rsidRPr="00587696">
        <w:rPr>
          <w:rFonts w:asciiTheme="minorHAnsi" w:hAnsiTheme="minorHAnsi" w:cs="Arial"/>
          <w:sz w:val="22"/>
          <w:szCs w:val="22"/>
        </w:rPr>
        <w:t xml:space="preserve"> Potential Respondent Universe</w:t>
      </w:r>
      <w:r w:rsidR="00706C33">
        <w:rPr>
          <w:rFonts w:asciiTheme="minorHAnsi" w:hAnsiTheme="minorHAnsi" w:cs="Arial"/>
          <w:sz w:val="22"/>
          <w:szCs w:val="22"/>
        </w:rPr>
        <w:t xml:space="preserve"> </w:t>
      </w:r>
      <w:r w:rsidR="00706C33">
        <w:rPr>
          <w:rFonts w:asciiTheme="minorHAnsi" w:hAnsiTheme="minorHAnsi" w:cs="Arial"/>
          <w:b/>
          <w:sz w:val="22"/>
          <w:szCs w:val="22"/>
        </w:rPr>
        <w:t>(</w:t>
      </w:r>
      <w:r w:rsidR="00B96551">
        <w:rPr>
          <w:rFonts w:asciiTheme="minorHAnsi" w:hAnsiTheme="minorHAnsi" w:cs="Arial"/>
          <w:b/>
          <w:sz w:val="22"/>
          <w:szCs w:val="22"/>
        </w:rPr>
        <w:t>EVERY SIX MONTHS</w:t>
      </w:r>
      <w:r w:rsidR="00706C33">
        <w:rPr>
          <w:rFonts w:asciiTheme="minorHAnsi" w:hAnsiTheme="minorHAnsi" w:cs="Arial"/>
          <w:b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2821"/>
        <w:gridCol w:w="3591"/>
        <w:gridCol w:w="1287"/>
      </w:tblGrid>
      <w:tr w:rsidR="00B96551" w:rsidRPr="00587696" w:rsidTr="00724825">
        <w:tc>
          <w:tcPr>
            <w:tcW w:w="1877" w:type="dxa"/>
            <w:shd w:val="clear" w:color="auto" w:fill="EEECE1" w:themeFill="background2"/>
          </w:tcPr>
          <w:p w:rsidR="00B96551" w:rsidRPr="00587696" w:rsidRDefault="00B96551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821" w:type="dxa"/>
            <w:shd w:val="clear" w:color="auto" w:fill="EEECE1" w:themeFill="background2"/>
          </w:tcPr>
          <w:p w:rsidR="00B96551" w:rsidRPr="00587696" w:rsidRDefault="00B96551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</w:rPr>
            </w:pPr>
            <w:r w:rsidRPr="00587696">
              <w:rPr>
                <w:rFonts w:asciiTheme="minorHAnsi" w:hAnsiTheme="minorHAnsi" w:cs="Arial"/>
                <w:b/>
              </w:rPr>
              <w:t>Entity</w:t>
            </w:r>
          </w:p>
        </w:tc>
        <w:tc>
          <w:tcPr>
            <w:tcW w:w="3591" w:type="dxa"/>
            <w:shd w:val="clear" w:color="auto" w:fill="EEECE1" w:themeFill="background2"/>
          </w:tcPr>
          <w:p w:rsidR="00B96551" w:rsidRPr="00587696" w:rsidRDefault="00B96551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</w:rPr>
            </w:pPr>
            <w:r w:rsidRPr="00587696">
              <w:rPr>
                <w:rFonts w:asciiTheme="minorHAnsi" w:hAnsiTheme="minorHAnsi" w:cs="Arial"/>
                <w:b/>
              </w:rPr>
              <w:t>Potential Respondent</w:t>
            </w:r>
          </w:p>
        </w:tc>
        <w:tc>
          <w:tcPr>
            <w:tcW w:w="1287" w:type="dxa"/>
            <w:shd w:val="clear" w:color="auto" w:fill="EEECE1" w:themeFill="background2"/>
          </w:tcPr>
          <w:p w:rsidR="00B96551" w:rsidRPr="00587696" w:rsidRDefault="00B96551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</w:rPr>
            </w:pPr>
            <w:r w:rsidRPr="00587696">
              <w:rPr>
                <w:rFonts w:asciiTheme="minorHAnsi" w:hAnsiTheme="minorHAnsi" w:cs="Arial"/>
                <w:b/>
              </w:rPr>
              <w:t>N</w:t>
            </w:r>
          </w:p>
        </w:tc>
      </w:tr>
      <w:tr w:rsidR="00B96551" w:rsidRPr="00587696" w:rsidTr="00724825">
        <w:tc>
          <w:tcPr>
            <w:tcW w:w="1877" w:type="dxa"/>
          </w:tcPr>
          <w:p w:rsidR="00B96551" w:rsidRDefault="00B96551" w:rsidP="00B9655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Initial data collection </w:t>
            </w:r>
          </w:p>
        </w:tc>
        <w:tc>
          <w:tcPr>
            <w:tcW w:w="2821" w:type="dxa"/>
          </w:tcPr>
          <w:p w:rsidR="00B96551" w:rsidRPr="00587696" w:rsidRDefault="00B96551" w:rsidP="005D24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IMATS evaluators from </w:t>
            </w:r>
            <w:r w:rsidR="005D249A">
              <w:rPr>
                <w:rFonts w:asciiTheme="minorHAnsi" w:hAnsiTheme="minorHAnsi" w:cs="Arial"/>
              </w:rPr>
              <w:t>PHEP awardee</w:t>
            </w:r>
            <w:r>
              <w:rPr>
                <w:rFonts w:asciiTheme="minorHAnsi" w:hAnsiTheme="minorHAnsi" w:cs="Arial"/>
              </w:rPr>
              <w:t xml:space="preserve"> and local h</w:t>
            </w:r>
            <w:r w:rsidRPr="00587696">
              <w:rPr>
                <w:rFonts w:asciiTheme="minorHAnsi" w:hAnsiTheme="minorHAnsi" w:cs="Arial"/>
              </w:rPr>
              <w:t>ealth department</w:t>
            </w:r>
            <w:r>
              <w:rPr>
                <w:rFonts w:asciiTheme="minorHAnsi" w:hAnsiTheme="minorHAnsi" w:cs="Arial"/>
              </w:rPr>
              <w:t>s</w:t>
            </w:r>
          </w:p>
        </w:tc>
        <w:tc>
          <w:tcPr>
            <w:tcW w:w="3591" w:type="dxa"/>
          </w:tcPr>
          <w:p w:rsidR="00B96551" w:rsidRPr="00587696" w:rsidRDefault="00261496" w:rsidP="005B438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PHEP awardee</w:t>
            </w:r>
            <w:r w:rsidR="006E7D5A">
              <w:rPr>
                <w:rFonts w:asciiTheme="minorHAnsi" w:hAnsiTheme="minorHAnsi" w:cs="Arial"/>
              </w:rPr>
              <w:t xml:space="preserve"> and local jurisdiction</w:t>
            </w:r>
            <w:r w:rsidR="00B96551">
              <w:rPr>
                <w:rFonts w:asciiTheme="minorHAnsi" w:hAnsiTheme="minorHAnsi" w:cs="Arial"/>
              </w:rPr>
              <w:t xml:space="preserve"> designees</w:t>
            </w:r>
          </w:p>
        </w:tc>
        <w:tc>
          <w:tcPr>
            <w:tcW w:w="1287" w:type="dxa"/>
          </w:tcPr>
          <w:p w:rsidR="00B96551" w:rsidRPr="00587696" w:rsidRDefault="00B96551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101</w:t>
            </w:r>
          </w:p>
        </w:tc>
      </w:tr>
      <w:tr w:rsidR="00724825" w:rsidRPr="00587696" w:rsidTr="00724825">
        <w:tc>
          <w:tcPr>
            <w:tcW w:w="1877" w:type="dxa"/>
          </w:tcPr>
          <w:p w:rsidR="00724825" w:rsidRDefault="00724825" w:rsidP="007248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Pr="00724825">
              <w:rPr>
                <w:rFonts w:asciiTheme="minorHAnsi" w:hAnsiTheme="minorHAnsi" w:cs="Arial"/>
                <w:vertAlign w:val="superscript"/>
              </w:rPr>
              <w:t>st</w:t>
            </w:r>
            <w:r>
              <w:rPr>
                <w:rFonts w:asciiTheme="minorHAnsi" w:hAnsiTheme="minorHAnsi" w:cs="Arial"/>
              </w:rPr>
              <w:t xml:space="preserve"> six month cycle</w:t>
            </w:r>
          </w:p>
        </w:tc>
        <w:tc>
          <w:tcPr>
            <w:tcW w:w="2821" w:type="dxa"/>
          </w:tcPr>
          <w:p w:rsidR="00724825" w:rsidRDefault="00724825" w:rsidP="00BC0B9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IMATS evaluators from </w:t>
            </w:r>
            <w:r w:rsidR="005D249A">
              <w:rPr>
                <w:rFonts w:asciiTheme="minorHAnsi" w:hAnsiTheme="minorHAnsi" w:cs="Arial"/>
              </w:rPr>
              <w:t xml:space="preserve">PHEP awardee </w:t>
            </w:r>
            <w:r>
              <w:rPr>
                <w:rFonts w:asciiTheme="minorHAnsi" w:hAnsiTheme="minorHAnsi" w:cs="Arial"/>
              </w:rPr>
              <w:t>and local h</w:t>
            </w:r>
            <w:r w:rsidRPr="00587696">
              <w:rPr>
                <w:rFonts w:asciiTheme="minorHAnsi" w:hAnsiTheme="minorHAnsi" w:cs="Arial"/>
              </w:rPr>
              <w:t>ealth department</w:t>
            </w:r>
            <w:r>
              <w:rPr>
                <w:rFonts w:asciiTheme="minorHAnsi" w:hAnsiTheme="minorHAnsi" w:cs="Arial"/>
              </w:rPr>
              <w:t>s</w:t>
            </w:r>
          </w:p>
        </w:tc>
        <w:tc>
          <w:tcPr>
            <w:tcW w:w="3591" w:type="dxa"/>
          </w:tcPr>
          <w:p w:rsidR="00724825" w:rsidRDefault="00261496" w:rsidP="005B438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PHEP awardee </w:t>
            </w:r>
            <w:r w:rsidR="006E7D5A">
              <w:rPr>
                <w:rFonts w:asciiTheme="minorHAnsi" w:hAnsiTheme="minorHAnsi" w:cs="Arial"/>
              </w:rPr>
              <w:t>and local jurisdiction designees</w:t>
            </w:r>
          </w:p>
        </w:tc>
        <w:tc>
          <w:tcPr>
            <w:tcW w:w="1287" w:type="dxa"/>
          </w:tcPr>
          <w:p w:rsidR="00724825" w:rsidDel="00B96551" w:rsidRDefault="00724825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60</w:t>
            </w:r>
          </w:p>
        </w:tc>
      </w:tr>
      <w:tr w:rsidR="00724825" w:rsidRPr="00587696" w:rsidTr="00724825">
        <w:tc>
          <w:tcPr>
            <w:tcW w:w="1877" w:type="dxa"/>
          </w:tcPr>
          <w:p w:rsidR="00724825" w:rsidRDefault="00724825" w:rsidP="007248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Pr="00724825">
              <w:rPr>
                <w:rFonts w:asciiTheme="minorHAnsi" w:hAnsiTheme="minorHAnsi" w:cs="Arial"/>
                <w:vertAlign w:val="superscript"/>
              </w:rPr>
              <w:t>nd</w:t>
            </w:r>
            <w:r>
              <w:rPr>
                <w:rFonts w:asciiTheme="minorHAnsi" w:hAnsiTheme="minorHAnsi" w:cs="Arial"/>
              </w:rPr>
              <w:t xml:space="preserve"> six month cycle</w:t>
            </w:r>
          </w:p>
        </w:tc>
        <w:tc>
          <w:tcPr>
            <w:tcW w:w="2821" w:type="dxa"/>
          </w:tcPr>
          <w:p w:rsidR="00724825" w:rsidRDefault="00724825" w:rsidP="00BC0B9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IMATS evaluators from </w:t>
            </w:r>
            <w:r w:rsidR="005D249A">
              <w:rPr>
                <w:rFonts w:asciiTheme="minorHAnsi" w:hAnsiTheme="minorHAnsi" w:cs="Arial"/>
              </w:rPr>
              <w:t xml:space="preserve">PHEP awardee </w:t>
            </w:r>
            <w:r>
              <w:rPr>
                <w:rFonts w:asciiTheme="minorHAnsi" w:hAnsiTheme="minorHAnsi" w:cs="Arial"/>
              </w:rPr>
              <w:t>and local h</w:t>
            </w:r>
            <w:r w:rsidRPr="00587696">
              <w:rPr>
                <w:rFonts w:asciiTheme="minorHAnsi" w:hAnsiTheme="minorHAnsi" w:cs="Arial"/>
              </w:rPr>
              <w:t>ealth department</w:t>
            </w:r>
            <w:r>
              <w:rPr>
                <w:rFonts w:asciiTheme="minorHAnsi" w:hAnsiTheme="minorHAnsi" w:cs="Arial"/>
              </w:rPr>
              <w:t>s</w:t>
            </w:r>
          </w:p>
        </w:tc>
        <w:tc>
          <w:tcPr>
            <w:tcW w:w="3591" w:type="dxa"/>
          </w:tcPr>
          <w:p w:rsidR="00724825" w:rsidRDefault="00261496" w:rsidP="005B438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PHEP awardee </w:t>
            </w:r>
            <w:r w:rsidR="006E7D5A">
              <w:rPr>
                <w:rFonts w:asciiTheme="minorHAnsi" w:hAnsiTheme="minorHAnsi" w:cs="Arial"/>
              </w:rPr>
              <w:t>and local jurisdiction designees</w:t>
            </w:r>
          </w:p>
        </w:tc>
        <w:tc>
          <w:tcPr>
            <w:tcW w:w="1287" w:type="dxa"/>
          </w:tcPr>
          <w:p w:rsidR="00724825" w:rsidDel="00B96551" w:rsidRDefault="00724825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60</w:t>
            </w:r>
          </w:p>
        </w:tc>
      </w:tr>
      <w:tr w:rsidR="004841FF" w:rsidRPr="00587696" w:rsidTr="00724825">
        <w:tc>
          <w:tcPr>
            <w:tcW w:w="1877" w:type="dxa"/>
          </w:tcPr>
          <w:p w:rsidR="004841FF" w:rsidRDefault="004841FF" w:rsidP="007248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Pr="000737F4">
              <w:rPr>
                <w:rFonts w:asciiTheme="minorHAnsi" w:hAnsiTheme="minorHAnsi" w:cs="Arial"/>
                <w:vertAlign w:val="superscript"/>
              </w:rPr>
              <w:t>rd</w:t>
            </w:r>
            <w:r>
              <w:rPr>
                <w:rFonts w:asciiTheme="minorHAnsi" w:hAnsiTheme="minorHAnsi" w:cs="Arial"/>
              </w:rPr>
              <w:t xml:space="preserve"> six month cycle</w:t>
            </w:r>
          </w:p>
        </w:tc>
        <w:tc>
          <w:tcPr>
            <w:tcW w:w="2821" w:type="dxa"/>
          </w:tcPr>
          <w:p w:rsidR="004841FF" w:rsidRDefault="000737F4" w:rsidP="00BC0B9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IMATS evaluators from </w:t>
            </w:r>
            <w:r w:rsidR="005D249A">
              <w:rPr>
                <w:rFonts w:asciiTheme="minorHAnsi" w:hAnsiTheme="minorHAnsi" w:cs="Arial"/>
              </w:rPr>
              <w:t xml:space="preserve">PHEP awardee </w:t>
            </w:r>
            <w:r>
              <w:rPr>
                <w:rFonts w:asciiTheme="minorHAnsi" w:hAnsiTheme="minorHAnsi" w:cs="Arial"/>
              </w:rPr>
              <w:t>and local h</w:t>
            </w:r>
            <w:r w:rsidRPr="00587696">
              <w:rPr>
                <w:rFonts w:asciiTheme="minorHAnsi" w:hAnsiTheme="minorHAnsi" w:cs="Arial"/>
              </w:rPr>
              <w:t>ealth department</w:t>
            </w:r>
            <w:r>
              <w:rPr>
                <w:rFonts w:asciiTheme="minorHAnsi" w:hAnsiTheme="minorHAnsi" w:cs="Arial"/>
              </w:rPr>
              <w:t>s</w:t>
            </w:r>
          </w:p>
        </w:tc>
        <w:tc>
          <w:tcPr>
            <w:tcW w:w="3591" w:type="dxa"/>
          </w:tcPr>
          <w:p w:rsidR="004841FF" w:rsidRDefault="00261496" w:rsidP="005B438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PHEP awardee </w:t>
            </w:r>
            <w:r w:rsidR="006E7D5A">
              <w:rPr>
                <w:rFonts w:asciiTheme="minorHAnsi" w:hAnsiTheme="minorHAnsi" w:cs="Arial"/>
              </w:rPr>
              <w:t>and local jurisdiction designees</w:t>
            </w:r>
          </w:p>
        </w:tc>
        <w:tc>
          <w:tcPr>
            <w:tcW w:w="1287" w:type="dxa"/>
          </w:tcPr>
          <w:p w:rsidR="004841FF" w:rsidRDefault="000737F4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60</w:t>
            </w:r>
          </w:p>
        </w:tc>
      </w:tr>
      <w:tr w:rsidR="000737F4" w:rsidRPr="00587696" w:rsidTr="00724825">
        <w:tc>
          <w:tcPr>
            <w:tcW w:w="1877" w:type="dxa"/>
          </w:tcPr>
          <w:p w:rsidR="000737F4" w:rsidRDefault="000737F4" w:rsidP="007248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  <w:r w:rsidRPr="000737F4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</w:rPr>
              <w:t xml:space="preserve"> six month cycle</w:t>
            </w:r>
          </w:p>
        </w:tc>
        <w:tc>
          <w:tcPr>
            <w:tcW w:w="2821" w:type="dxa"/>
          </w:tcPr>
          <w:p w:rsidR="000737F4" w:rsidRDefault="000737F4" w:rsidP="00BC0B9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IMATS evaluators from </w:t>
            </w:r>
            <w:r w:rsidR="005D249A">
              <w:rPr>
                <w:rFonts w:asciiTheme="minorHAnsi" w:hAnsiTheme="minorHAnsi" w:cs="Arial"/>
              </w:rPr>
              <w:t xml:space="preserve">PHEP awardee </w:t>
            </w:r>
            <w:r>
              <w:rPr>
                <w:rFonts w:asciiTheme="minorHAnsi" w:hAnsiTheme="minorHAnsi" w:cs="Arial"/>
              </w:rPr>
              <w:t>and local h</w:t>
            </w:r>
            <w:r w:rsidRPr="00587696">
              <w:rPr>
                <w:rFonts w:asciiTheme="minorHAnsi" w:hAnsiTheme="minorHAnsi" w:cs="Arial"/>
              </w:rPr>
              <w:t>ealth department</w:t>
            </w:r>
            <w:r>
              <w:rPr>
                <w:rFonts w:asciiTheme="minorHAnsi" w:hAnsiTheme="minorHAnsi" w:cs="Arial"/>
              </w:rPr>
              <w:t>s</w:t>
            </w:r>
          </w:p>
        </w:tc>
        <w:tc>
          <w:tcPr>
            <w:tcW w:w="3591" w:type="dxa"/>
          </w:tcPr>
          <w:p w:rsidR="000737F4" w:rsidRDefault="00261496" w:rsidP="005B438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PHEP awardee </w:t>
            </w:r>
            <w:r w:rsidR="006E7D5A">
              <w:rPr>
                <w:rFonts w:asciiTheme="minorHAnsi" w:hAnsiTheme="minorHAnsi" w:cs="Arial"/>
              </w:rPr>
              <w:t>and local jurisdiction designees</w:t>
            </w:r>
          </w:p>
        </w:tc>
        <w:tc>
          <w:tcPr>
            <w:tcW w:w="1287" w:type="dxa"/>
          </w:tcPr>
          <w:p w:rsidR="000737F4" w:rsidRDefault="000737F4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60</w:t>
            </w:r>
          </w:p>
        </w:tc>
      </w:tr>
      <w:tr w:rsidR="00724825" w:rsidRPr="00587696" w:rsidTr="00B96551">
        <w:tc>
          <w:tcPr>
            <w:tcW w:w="8289" w:type="dxa"/>
            <w:gridSpan w:val="3"/>
          </w:tcPr>
          <w:p w:rsidR="00724825" w:rsidRPr="00587696" w:rsidRDefault="00724825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Theme="minorHAnsi" w:hAnsiTheme="minorHAnsi" w:cs="Arial"/>
                <w:b/>
              </w:rPr>
            </w:pPr>
            <w:r w:rsidRPr="00587696">
              <w:rPr>
                <w:rFonts w:asciiTheme="minorHAnsi" w:hAnsiTheme="minorHAnsi" w:cs="Arial"/>
                <w:b/>
              </w:rPr>
              <w:t>Total Universe of Potential Respondents</w:t>
            </w:r>
          </w:p>
        </w:tc>
        <w:tc>
          <w:tcPr>
            <w:tcW w:w="1287" w:type="dxa"/>
          </w:tcPr>
          <w:p w:rsidR="00724825" w:rsidRPr="00587696" w:rsidRDefault="000737F4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341</w:t>
            </w:r>
          </w:p>
        </w:tc>
      </w:tr>
    </w:tbl>
    <w:p w:rsidR="003F6DF3" w:rsidRPr="00587696" w:rsidRDefault="003F6DF3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</w:p>
    <w:p w:rsidR="00BC0B90" w:rsidRPr="00587696" w:rsidRDefault="00BC0B90" w:rsidP="00A07806">
      <w:pPr>
        <w:pStyle w:val="TOC2"/>
        <w:spacing w:before="288" w:after="288"/>
        <w:rPr>
          <w:rFonts w:asciiTheme="minorHAnsi" w:hAnsiTheme="minorHAnsi"/>
        </w:rPr>
      </w:pPr>
      <w:r w:rsidRPr="00587696">
        <w:rPr>
          <w:rFonts w:asciiTheme="minorHAnsi" w:hAnsiTheme="minorHAnsi"/>
        </w:rPr>
        <w:lastRenderedPageBreak/>
        <w:t>2.</w:t>
      </w:r>
      <w:r w:rsidR="003F6DF3" w:rsidRPr="00587696">
        <w:rPr>
          <w:rFonts w:asciiTheme="minorHAnsi" w:hAnsiTheme="minorHAnsi"/>
        </w:rPr>
        <w:tab/>
      </w:r>
      <w:r w:rsidRPr="00587696">
        <w:rPr>
          <w:rFonts w:asciiTheme="minorHAnsi" w:hAnsiTheme="minorHAnsi"/>
        </w:rPr>
        <w:t>Procedures for Collecti</w:t>
      </w:r>
      <w:r w:rsidR="00C52C7F">
        <w:rPr>
          <w:rFonts w:asciiTheme="minorHAnsi" w:hAnsiTheme="minorHAnsi"/>
        </w:rPr>
        <w:t>ng</w:t>
      </w:r>
      <w:r w:rsidRPr="00587696">
        <w:rPr>
          <w:rFonts w:asciiTheme="minorHAnsi" w:hAnsiTheme="minorHAnsi"/>
        </w:rPr>
        <w:t xml:space="preserve"> of Information</w:t>
      </w:r>
    </w:p>
    <w:p w:rsidR="00913AF4" w:rsidRDefault="007778CD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587696">
        <w:rPr>
          <w:rFonts w:asciiTheme="minorHAnsi" w:hAnsiTheme="minorHAnsi" w:cs="Arial"/>
          <w:sz w:val="22"/>
          <w:szCs w:val="22"/>
        </w:rPr>
        <w:t>Data will</w:t>
      </w:r>
      <w:r w:rsidR="00FD33D8">
        <w:rPr>
          <w:rFonts w:asciiTheme="minorHAnsi" w:hAnsiTheme="minorHAnsi" w:cs="Arial"/>
          <w:sz w:val="22"/>
          <w:szCs w:val="22"/>
        </w:rPr>
        <w:t xml:space="preserve"> be collected through an online questionnaire</w:t>
      </w:r>
      <w:r w:rsidR="003A13BA">
        <w:rPr>
          <w:rFonts w:asciiTheme="minorHAnsi" w:hAnsiTheme="minorHAnsi" w:cs="Arial"/>
          <w:sz w:val="22"/>
          <w:szCs w:val="22"/>
        </w:rPr>
        <w:t xml:space="preserve"> using Survey Monkey</w:t>
      </w:r>
      <w:r w:rsidR="003A13BA" w:rsidRPr="003A13BA">
        <w:rPr>
          <w:rStyle w:val="unicode1"/>
          <w:rFonts w:hint="default"/>
          <w:sz w:val="20"/>
          <w:szCs w:val="20"/>
          <w:lang w:val="en"/>
        </w:rPr>
        <w:t>®</w:t>
      </w:r>
      <w:r w:rsidR="003A13BA">
        <w:rPr>
          <w:rFonts w:asciiTheme="minorHAnsi" w:hAnsiTheme="minorHAnsi" w:cs="Arial"/>
          <w:sz w:val="20"/>
          <w:szCs w:val="20"/>
        </w:rPr>
        <w:t xml:space="preserve"> </w:t>
      </w:r>
      <w:r w:rsidRPr="00587696">
        <w:rPr>
          <w:rFonts w:asciiTheme="minorHAnsi" w:hAnsiTheme="minorHAnsi" w:cs="Arial"/>
          <w:sz w:val="22"/>
          <w:szCs w:val="22"/>
        </w:rPr>
        <w:t xml:space="preserve">distributed to all individuals who comprise the respondent universe. </w:t>
      </w:r>
      <w:r w:rsidR="003F6DF3" w:rsidRPr="00587696">
        <w:rPr>
          <w:rFonts w:asciiTheme="minorHAnsi" w:hAnsiTheme="minorHAnsi" w:cs="Arial"/>
          <w:sz w:val="22"/>
          <w:szCs w:val="22"/>
        </w:rPr>
        <w:t>Eligibl</w:t>
      </w:r>
      <w:r w:rsidR="00FD33D8">
        <w:rPr>
          <w:rFonts w:asciiTheme="minorHAnsi" w:hAnsiTheme="minorHAnsi" w:cs="Arial"/>
          <w:sz w:val="22"/>
          <w:szCs w:val="22"/>
        </w:rPr>
        <w:t xml:space="preserve">e respondents include the </w:t>
      </w:r>
      <w:r w:rsidR="00C52C7F">
        <w:rPr>
          <w:rFonts w:asciiTheme="minorHAnsi" w:hAnsiTheme="minorHAnsi" w:cs="Arial"/>
          <w:sz w:val="22"/>
          <w:szCs w:val="22"/>
        </w:rPr>
        <w:t xml:space="preserve">inventory management </w:t>
      </w:r>
      <w:r w:rsidR="00FD33D8">
        <w:rPr>
          <w:rFonts w:asciiTheme="minorHAnsi" w:hAnsiTheme="minorHAnsi" w:cs="Arial"/>
          <w:sz w:val="22"/>
          <w:szCs w:val="22"/>
        </w:rPr>
        <w:t>point person</w:t>
      </w:r>
      <w:r w:rsidR="00A13584">
        <w:rPr>
          <w:rFonts w:asciiTheme="minorHAnsi" w:hAnsiTheme="minorHAnsi" w:cs="Arial"/>
          <w:sz w:val="22"/>
          <w:szCs w:val="22"/>
        </w:rPr>
        <w:t xml:space="preserve"> who requested participation in an IMATS </w:t>
      </w:r>
      <w:r w:rsidR="00261496">
        <w:rPr>
          <w:rFonts w:asciiTheme="minorHAnsi" w:hAnsiTheme="minorHAnsi" w:cs="Arial"/>
          <w:sz w:val="22"/>
          <w:szCs w:val="22"/>
        </w:rPr>
        <w:t>assessment</w:t>
      </w:r>
      <w:r w:rsidR="00A13584">
        <w:rPr>
          <w:rFonts w:asciiTheme="minorHAnsi" w:hAnsiTheme="minorHAnsi" w:cs="Arial"/>
          <w:sz w:val="22"/>
          <w:szCs w:val="22"/>
        </w:rPr>
        <w:t>.</w:t>
      </w:r>
      <w:r w:rsidR="00FD33D8">
        <w:rPr>
          <w:rFonts w:asciiTheme="minorHAnsi" w:hAnsiTheme="minorHAnsi" w:cs="Arial"/>
          <w:sz w:val="22"/>
          <w:szCs w:val="22"/>
        </w:rPr>
        <w:t xml:space="preserve"> </w:t>
      </w:r>
      <w:r w:rsidR="003F6DF3" w:rsidRPr="00587696">
        <w:rPr>
          <w:rFonts w:asciiTheme="minorHAnsi" w:hAnsiTheme="minorHAnsi" w:cs="Arial"/>
          <w:sz w:val="22"/>
          <w:szCs w:val="22"/>
        </w:rPr>
        <w:t xml:space="preserve">  </w:t>
      </w:r>
      <w:r w:rsidR="002C2DCB">
        <w:rPr>
          <w:rFonts w:asciiTheme="minorHAnsi" w:hAnsiTheme="minorHAnsi" w:cs="Arial"/>
          <w:sz w:val="22"/>
          <w:szCs w:val="22"/>
        </w:rPr>
        <w:t>We anticipate on</w:t>
      </w:r>
      <w:r w:rsidR="003F6DF3" w:rsidRPr="00587696">
        <w:rPr>
          <w:rFonts w:asciiTheme="minorHAnsi" w:hAnsiTheme="minorHAnsi" w:cs="Arial"/>
          <w:sz w:val="22"/>
          <w:szCs w:val="22"/>
        </w:rPr>
        <w:t xml:space="preserve">ly </w:t>
      </w:r>
      <w:r w:rsidR="00FD33D8">
        <w:rPr>
          <w:rFonts w:asciiTheme="minorHAnsi" w:hAnsiTheme="minorHAnsi" w:cs="Arial"/>
          <w:sz w:val="22"/>
          <w:szCs w:val="22"/>
        </w:rPr>
        <w:t>one response p</w:t>
      </w:r>
      <w:r w:rsidR="000F4EF1">
        <w:rPr>
          <w:rFonts w:asciiTheme="minorHAnsi" w:hAnsiTheme="minorHAnsi" w:cs="Arial"/>
          <w:sz w:val="22"/>
          <w:szCs w:val="22"/>
        </w:rPr>
        <w:t>er state/</w:t>
      </w:r>
      <w:r w:rsidR="00913AF4">
        <w:rPr>
          <w:rFonts w:asciiTheme="minorHAnsi" w:hAnsiTheme="minorHAnsi" w:cs="Arial"/>
          <w:sz w:val="22"/>
          <w:szCs w:val="22"/>
        </w:rPr>
        <w:t xml:space="preserve">local </w:t>
      </w:r>
      <w:r w:rsidR="000F4EF1">
        <w:rPr>
          <w:rFonts w:asciiTheme="minorHAnsi" w:hAnsiTheme="minorHAnsi" w:cs="Arial"/>
          <w:sz w:val="22"/>
          <w:szCs w:val="22"/>
        </w:rPr>
        <w:t>jurisdiction</w:t>
      </w:r>
      <w:r w:rsidR="003F6DF3" w:rsidRPr="00587696">
        <w:rPr>
          <w:rFonts w:asciiTheme="minorHAnsi" w:hAnsiTheme="minorHAnsi" w:cs="Arial"/>
          <w:sz w:val="22"/>
          <w:szCs w:val="22"/>
        </w:rPr>
        <w:t xml:space="preserve">.  </w:t>
      </w:r>
    </w:p>
    <w:p w:rsidR="00913AF4" w:rsidRDefault="00913AF4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</w:p>
    <w:p w:rsidR="00913AF4" w:rsidRPr="00913AF4" w:rsidRDefault="00913AF4" w:rsidP="00913A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913AF4">
        <w:rPr>
          <w:rFonts w:asciiTheme="minorHAnsi" w:hAnsiTheme="minorHAnsi" w:cs="Arial"/>
          <w:sz w:val="22"/>
          <w:szCs w:val="22"/>
        </w:rPr>
        <w:t xml:space="preserve">The </w:t>
      </w:r>
      <w:r>
        <w:rPr>
          <w:rFonts w:asciiTheme="minorHAnsi" w:hAnsiTheme="minorHAnsi" w:cs="Arial"/>
          <w:sz w:val="22"/>
          <w:szCs w:val="22"/>
        </w:rPr>
        <w:t>Survey Monkey</w:t>
      </w:r>
      <w:r w:rsidRPr="003A13BA">
        <w:rPr>
          <w:rStyle w:val="unicode1"/>
          <w:rFonts w:hint="default"/>
          <w:sz w:val="20"/>
          <w:szCs w:val="20"/>
          <w:lang w:val="en"/>
        </w:rPr>
        <w:t>®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913AF4">
        <w:rPr>
          <w:rFonts w:asciiTheme="minorHAnsi" w:hAnsiTheme="minorHAnsi" w:cs="Arial"/>
          <w:sz w:val="22"/>
          <w:szCs w:val="22"/>
        </w:rPr>
        <w:t xml:space="preserve">tool will </w:t>
      </w:r>
      <w:r w:rsidR="00F46634">
        <w:rPr>
          <w:rFonts w:asciiTheme="minorHAnsi" w:hAnsiTheme="minorHAnsi" w:cs="Arial"/>
          <w:sz w:val="22"/>
          <w:szCs w:val="22"/>
        </w:rPr>
        <w:t xml:space="preserve">be </w:t>
      </w:r>
      <w:r w:rsidRPr="00913AF4">
        <w:rPr>
          <w:rFonts w:asciiTheme="minorHAnsi" w:hAnsiTheme="minorHAnsi" w:cs="Arial"/>
          <w:sz w:val="22"/>
          <w:szCs w:val="22"/>
        </w:rPr>
        <w:t xml:space="preserve">the </w:t>
      </w:r>
      <w:r w:rsidR="00BC18B9">
        <w:rPr>
          <w:rFonts w:asciiTheme="minorHAnsi" w:hAnsiTheme="minorHAnsi" w:cs="Arial"/>
          <w:sz w:val="22"/>
          <w:szCs w:val="22"/>
        </w:rPr>
        <w:t>data collection</w:t>
      </w:r>
      <w:r w:rsidRPr="00913AF4">
        <w:rPr>
          <w:rFonts w:asciiTheme="minorHAnsi" w:hAnsiTheme="minorHAnsi" w:cs="Arial"/>
          <w:sz w:val="22"/>
          <w:szCs w:val="22"/>
        </w:rPr>
        <w:t xml:space="preserve"> instrument </w:t>
      </w:r>
      <w:r w:rsidR="00A13584">
        <w:rPr>
          <w:rFonts w:asciiTheme="minorHAnsi" w:hAnsiTheme="minorHAnsi" w:cs="Arial"/>
          <w:sz w:val="22"/>
          <w:szCs w:val="22"/>
        </w:rPr>
        <w:t xml:space="preserve">used to disseminate the </w:t>
      </w:r>
      <w:r w:rsidR="00BC18B9">
        <w:rPr>
          <w:rFonts w:asciiTheme="minorHAnsi" w:hAnsiTheme="minorHAnsi" w:cs="Arial"/>
          <w:sz w:val="22"/>
          <w:szCs w:val="22"/>
        </w:rPr>
        <w:t xml:space="preserve">questions </w:t>
      </w:r>
      <w:r w:rsidRPr="00913AF4">
        <w:rPr>
          <w:rFonts w:asciiTheme="minorHAnsi" w:hAnsiTheme="minorHAnsi" w:cs="Arial"/>
          <w:sz w:val="22"/>
          <w:szCs w:val="22"/>
        </w:rPr>
        <w:t xml:space="preserve">and gather the data.  This will reduce the burden of subscribers by allowing them to </w:t>
      </w:r>
      <w:r w:rsidR="00CF3B76">
        <w:rPr>
          <w:rFonts w:asciiTheme="minorHAnsi" w:hAnsiTheme="minorHAnsi" w:cs="Arial"/>
          <w:sz w:val="22"/>
          <w:szCs w:val="22"/>
        </w:rPr>
        <w:t>complete the questions</w:t>
      </w:r>
      <w:r w:rsidRPr="00913AF4">
        <w:rPr>
          <w:rFonts w:asciiTheme="minorHAnsi" w:hAnsiTheme="minorHAnsi" w:cs="Arial"/>
          <w:sz w:val="22"/>
          <w:szCs w:val="22"/>
        </w:rPr>
        <w:t xml:space="preserve"> online at their own convenience.  The </w:t>
      </w:r>
      <w:r w:rsidR="00CF3B76">
        <w:rPr>
          <w:rFonts w:asciiTheme="minorHAnsi" w:hAnsiTheme="minorHAnsi" w:cs="Arial"/>
          <w:sz w:val="22"/>
          <w:szCs w:val="22"/>
        </w:rPr>
        <w:t>data collection instrument</w:t>
      </w:r>
      <w:r w:rsidR="00CF3B76" w:rsidRPr="00913AF4">
        <w:rPr>
          <w:rFonts w:asciiTheme="minorHAnsi" w:hAnsiTheme="minorHAnsi" w:cs="Arial"/>
          <w:sz w:val="22"/>
          <w:szCs w:val="22"/>
        </w:rPr>
        <w:t xml:space="preserve"> </w:t>
      </w:r>
      <w:r w:rsidRPr="00913AF4">
        <w:rPr>
          <w:rFonts w:asciiTheme="minorHAnsi" w:hAnsiTheme="minorHAnsi" w:cs="Arial"/>
          <w:sz w:val="22"/>
          <w:szCs w:val="22"/>
        </w:rPr>
        <w:t xml:space="preserve">was designed to collect the minimum information necessary for the purposes of </w:t>
      </w:r>
      <w:r>
        <w:rPr>
          <w:rFonts w:asciiTheme="minorHAnsi" w:hAnsiTheme="minorHAnsi" w:cs="Arial"/>
          <w:sz w:val="22"/>
          <w:szCs w:val="22"/>
        </w:rPr>
        <w:t>this project (i.e.</w:t>
      </w:r>
      <w:r w:rsidR="00A13584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limited to 22</w:t>
      </w:r>
      <w:r w:rsidRPr="00913AF4">
        <w:rPr>
          <w:rFonts w:asciiTheme="minorHAnsi" w:hAnsiTheme="minorHAnsi" w:cs="Arial"/>
          <w:sz w:val="22"/>
          <w:szCs w:val="22"/>
        </w:rPr>
        <w:t xml:space="preserve"> questions)</w:t>
      </w:r>
      <w:r>
        <w:rPr>
          <w:rFonts w:asciiTheme="minorHAnsi" w:hAnsiTheme="minorHAnsi" w:cs="Arial"/>
          <w:sz w:val="22"/>
          <w:szCs w:val="22"/>
        </w:rPr>
        <w:t>.</w:t>
      </w:r>
    </w:p>
    <w:p w:rsidR="00913AF4" w:rsidRDefault="00913AF4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</w:p>
    <w:p w:rsidR="00951D20" w:rsidRDefault="003F6DF3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587696">
        <w:rPr>
          <w:rFonts w:asciiTheme="minorHAnsi" w:hAnsiTheme="minorHAnsi" w:cs="Arial"/>
          <w:sz w:val="22"/>
          <w:szCs w:val="22"/>
        </w:rPr>
        <w:t>An introductory email notification (</w:t>
      </w:r>
      <w:r w:rsidR="007A4E47">
        <w:rPr>
          <w:rFonts w:asciiTheme="minorHAnsi" w:hAnsiTheme="minorHAnsi" w:cs="Arial"/>
          <w:b/>
          <w:sz w:val="22"/>
          <w:szCs w:val="22"/>
        </w:rPr>
        <w:t xml:space="preserve">see Attachment </w:t>
      </w:r>
      <w:r w:rsidR="008916B9">
        <w:rPr>
          <w:rFonts w:asciiTheme="minorHAnsi" w:hAnsiTheme="minorHAnsi" w:cs="Arial"/>
          <w:b/>
          <w:sz w:val="22"/>
          <w:szCs w:val="22"/>
        </w:rPr>
        <w:t>H</w:t>
      </w:r>
      <w:r w:rsidRPr="00587696">
        <w:rPr>
          <w:rFonts w:asciiTheme="minorHAnsi" w:hAnsiTheme="minorHAnsi" w:cs="Arial"/>
          <w:b/>
          <w:sz w:val="22"/>
          <w:szCs w:val="22"/>
        </w:rPr>
        <w:t xml:space="preserve"> – Introductory Email</w:t>
      </w:r>
      <w:r w:rsidR="002C2DCB">
        <w:rPr>
          <w:rFonts w:asciiTheme="minorHAnsi" w:hAnsiTheme="minorHAnsi" w:cs="Arial"/>
          <w:sz w:val="22"/>
          <w:szCs w:val="22"/>
        </w:rPr>
        <w:t xml:space="preserve">) will be sent to </w:t>
      </w:r>
      <w:r w:rsidR="00B96A0C">
        <w:rPr>
          <w:rFonts w:asciiTheme="minorHAnsi" w:hAnsiTheme="minorHAnsi" w:cs="Arial"/>
          <w:sz w:val="22"/>
          <w:szCs w:val="22"/>
        </w:rPr>
        <w:t>the potential respondent universe</w:t>
      </w:r>
      <w:r w:rsidR="005B0907">
        <w:rPr>
          <w:rFonts w:asciiTheme="minorHAnsi" w:hAnsiTheme="minorHAnsi" w:cs="Arial"/>
          <w:sz w:val="22"/>
          <w:szCs w:val="22"/>
        </w:rPr>
        <w:t xml:space="preserve">, </w:t>
      </w:r>
      <w:r w:rsidRPr="00587696">
        <w:rPr>
          <w:rFonts w:asciiTheme="minorHAnsi" w:hAnsiTheme="minorHAnsi" w:cs="Arial"/>
          <w:sz w:val="22"/>
          <w:szCs w:val="22"/>
        </w:rPr>
        <w:t>info</w:t>
      </w:r>
      <w:r w:rsidR="000F4EF1">
        <w:rPr>
          <w:rFonts w:asciiTheme="minorHAnsi" w:hAnsiTheme="minorHAnsi" w:cs="Arial"/>
          <w:sz w:val="22"/>
          <w:szCs w:val="22"/>
        </w:rPr>
        <w:t xml:space="preserve">rming them of the </w:t>
      </w:r>
      <w:r w:rsidR="005B0907">
        <w:rPr>
          <w:rFonts w:asciiTheme="minorHAnsi" w:hAnsiTheme="minorHAnsi" w:cs="Arial"/>
          <w:sz w:val="22"/>
          <w:szCs w:val="22"/>
        </w:rPr>
        <w:t>questionnaire</w:t>
      </w:r>
      <w:r w:rsidR="00B96A0C">
        <w:rPr>
          <w:rFonts w:asciiTheme="minorHAnsi" w:hAnsiTheme="minorHAnsi" w:cs="Arial"/>
          <w:sz w:val="22"/>
          <w:szCs w:val="22"/>
        </w:rPr>
        <w:t xml:space="preserve">, response window, and link to access the </w:t>
      </w:r>
      <w:r w:rsidR="00CF3B76">
        <w:rPr>
          <w:rFonts w:asciiTheme="minorHAnsi" w:hAnsiTheme="minorHAnsi" w:cs="Arial"/>
          <w:sz w:val="22"/>
          <w:szCs w:val="22"/>
        </w:rPr>
        <w:t>data collection instrument</w:t>
      </w:r>
      <w:r w:rsidR="004E569F" w:rsidRPr="00587696">
        <w:rPr>
          <w:rFonts w:asciiTheme="minorHAnsi" w:hAnsiTheme="minorHAnsi" w:cs="Arial"/>
          <w:sz w:val="22"/>
          <w:szCs w:val="22"/>
        </w:rPr>
        <w:t xml:space="preserve">. </w:t>
      </w:r>
      <w:r w:rsidR="00952F36" w:rsidRPr="00587696">
        <w:rPr>
          <w:rFonts w:asciiTheme="minorHAnsi" w:hAnsiTheme="minorHAnsi" w:cs="Arial"/>
          <w:sz w:val="22"/>
          <w:szCs w:val="22"/>
        </w:rPr>
        <w:t xml:space="preserve"> </w:t>
      </w:r>
      <w:r w:rsidR="00B96A0C">
        <w:rPr>
          <w:rFonts w:asciiTheme="minorHAnsi" w:hAnsiTheme="minorHAnsi" w:cs="Arial"/>
          <w:sz w:val="22"/>
          <w:szCs w:val="22"/>
        </w:rPr>
        <w:t xml:space="preserve">The </w:t>
      </w:r>
      <w:r w:rsidR="00CF3B76">
        <w:rPr>
          <w:rFonts w:asciiTheme="minorHAnsi" w:hAnsiTheme="minorHAnsi" w:cs="Arial"/>
          <w:sz w:val="22"/>
          <w:szCs w:val="22"/>
        </w:rPr>
        <w:t>data collection instrument</w:t>
      </w:r>
      <w:r w:rsidR="00CF3B76" w:rsidRPr="00587696">
        <w:rPr>
          <w:rFonts w:asciiTheme="minorHAnsi" w:hAnsiTheme="minorHAnsi" w:cs="Arial"/>
          <w:sz w:val="22"/>
          <w:szCs w:val="22"/>
        </w:rPr>
        <w:t xml:space="preserve"> </w:t>
      </w:r>
      <w:r w:rsidR="00952F36" w:rsidRPr="00587696">
        <w:rPr>
          <w:rFonts w:asciiTheme="minorHAnsi" w:hAnsiTheme="minorHAnsi" w:cs="Arial"/>
          <w:sz w:val="22"/>
          <w:szCs w:val="22"/>
        </w:rPr>
        <w:t>wil</w:t>
      </w:r>
      <w:r w:rsidR="00FD33D8">
        <w:rPr>
          <w:rFonts w:asciiTheme="minorHAnsi" w:hAnsiTheme="minorHAnsi" w:cs="Arial"/>
          <w:sz w:val="22"/>
          <w:szCs w:val="22"/>
        </w:rPr>
        <w:t>l remain open for a period of 1</w:t>
      </w:r>
      <w:r w:rsidR="00B96A0C">
        <w:rPr>
          <w:rFonts w:asciiTheme="minorHAnsi" w:hAnsiTheme="minorHAnsi" w:cs="Arial"/>
          <w:sz w:val="22"/>
          <w:szCs w:val="22"/>
        </w:rPr>
        <w:t>4</w:t>
      </w:r>
      <w:r w:rsidR="00FD33D8">
        <w:rPr>
          <w:rFonts w:asciiTheme="minorHAnsi" w:hAnsiTheme="minorHAnsi" w:cs="Arial"/>
          <w:sz w:val="22"/>
          <w:szCs w:val="22"/>
        </w:rPr>
        <w:t xml:space="preserve"> days (1</w:t>
      </w:r>
      <w:r w:rsidR="00B96A0C">
        <w:rPr>
          <w:rFonts w:asciiTheme="minorHAnsi" w:hAnsiTheme="minorHAnsi" w:cs="Arial"/>
          <w:sz w:val="22"/>
          <w:szCs w:val="22"/>
        </w:rPr>
        <w:t>0</w:t>
      </w:r>
      <w:r w:rsidR="00952F36" w:rsidRPr="00587696">
        <w:rPr>
          <w:rFonts w:asciiTheme="minorHAnsi" w:hAnsiTheme="minorHAnsi" w:cs="Arial"/>
          <w:sz w:val="22"/>
          <w:szCs w:val="22"/>
        </w:rPr>
        <w:t xml:space="preserve"> business days) to allow ample time for re</w:t>
      </w:r>
      <w:r w:rsidR="00FD33D8">
        <w:rPr>
          <w:rFonts w:asciiTheme="minorHAnsi" w:hAnsiTheme="minorHAnsi" w:cs="Arial"/>
          <w:sz w:val="22"/>
          <w:szCs w:val="22"/>
        </w:rPr>
        <w:t>spondents to complete</w:t>
      </w:r>
      <w:r w:rsidR="00952F36" w:rsidRPr="00587696">
        <w:rPr>
          <w:rFonts w:asciiTheme="minorHAnsi" w:hAnsiTheme="minorHAnsi" w:cs="Arial"/>
          <w:sz w:val="22"/>
          <w:szCs w:val="22"/>
        </w:rPr>
        <w:t xml:space="preserve">.  </w:t>
      </w:r>
      <w:r w:rsidR="007A4E47">
        <w:rPr>
          <w:rFonts w:asciiTheme="minorHAnsi" w:hAnsiTheme="minorHAnsi" w:cs="Arial"/>
          <w:sz w:val="22"/>
          <w:szCs w:val="22"/>
        </w:rPr>
        <w:t>The time burden estimate</w:t>
      </w:r>
      <w:r w:rsidR="00FD33D8">
        <w:rPr>
          <w:rFonts w:asciiTheme="minorHAnsi" w:hAnsiTheme="minorHAnsi" w:cs="Arial"/>
          <w:sz w:val="22"/>
          <w:szCs w:val="22"/>
        </w:rPr>
        <w:t xml:space="preserve"> of </w:t>
      </w:r>
      <w:r w:rsidR="0007017E">
        <w:rPr>
          <w:rFonts w:asciiTheme="minorHAnsi" w:hAnsiTheme="minorHAnsi" w:cs="Arial"/>
          <w:sz w:val="22"/>
          <w:szCs w:val="22"/>
        </w:rPr>
        <w:t xml:space="preserve">15-20 </w:t>
      </w:r>
      <w:r w:rsidR="00632FED">
        <w:rPr>
          <w:rFonts w:asciiTheme="minorHAnsi" w:hAnsiTheme="minorHAnsi" w:cs="Arial"/>
          <w:sz w:val="22"/>
          <w:szCs w:val="22"/>
        </w:rPr>
        <w:t>minutes</w:t>
      </w:r>
      <w:r w:rsidR="007A4E47">
        <w:rPr>
          <w:rFonts w:asciiTheme="minorHAnsi" w:hAnsiTheme="minorHAnsi" w:cs="Arial"/>
          <w:sz w:val="22"/>
          <w:szCs w:val="22"/>
        </w:rPr>
        <w:t xml:space="preserve"> takes into consideration time to complete</w:t>
      </w:r>
      <w:r w:rsidR="003A13BA">
        <w:rPr>
          <w:rFonts w:asciiTheme="minorHAnsi" w:hAnsiTheme="minorHAnsi" w:cs="Arial"/>
          <w:sz w:val="22"/>
          <w:szCs w:val="22"/>
        </w:rPr>
        <w:t xml:space="preserve"> the </w:t>
      </w:r>
      <w:r w:rsidR="00B96A0C">
        <w:rPr>
          <w:rFonts w:asciiTheme="minorHAnsi" w:hAnsiTheme="minorHAnsi" w:cs="Arial"/>
          <w:sz w:val="22"/>
          <w:szCs w:val="22"/>
        </w:rPr>
        <w:t>2</w:t>
      </w:r>
      <w:r w:rsidR="00DA3682">
        <w:rPr>
          <w:rFonts w:asciiTheme="minorHAnsi" w:hAnsiTheme="minorHAnsi" w:cs="Arial"/>
          <w:sz w:val="22"/>
          <w:szCs w:val="22"/>
        </w:rPr>
        <w:t>6</w:t>
      </w:r>
      <w:r w:rsidR="00B96A0C">
        <w:rPr>
          <w:rFonts w:asciiTheme="minorHAnsi" w:hAnsiTheme="minorHAnsi" w:cs="Arial"/>
          <w:sz w:val="22"/>
          <w:szCs w:val="22"/>
        </w:rPr>
        <w:t xml:space="preserve"> questions</w:t>
      </w:r>
      <w:r w:rsidR="00FD33D8">
        <w:rPr>
          <w:rFonts w:asciiTheme="minorHAnsi" w:hAnsiTheme="minorHAnsi" w:cs="Arial"/>
          <w:sz w:val="22"/>
          <w:szCs w:val="22"/>
        </w:rPr>
        <w:t>.</w:t>
      </w:r>
      <w:r w:rsidR="007A4E47">
        <w:rPr>
          <w:rFonts w:asciiTheme="minorHAnsi" w:hAnsiTheme="minorHAnsi" w:cs="Arial"/>
          <w:sz w:val="22"/>
          <w:szCs w:val="22"/>
        </w:rPr>
        <w:t xml:space="preserve">  </w:t>
      </w:r>
    </w:p>
    <w:p w:rsidR="00951D20" w:rsidRDefault="00951D20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</w:p>
    <w:p w:rsidR="00625C16" w:rsidRDefault="00951D20" w:rsidP="00951D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951D20">
        <w:rPr>
          <w:rFonts w:asciiTheme="minorHAnsi" w:hAnsiTheme="minorHAnsi" w:cs="Arial"/>
          <w:sz w:val="22"/>
          <w:szCs w:val="22"/>
        </w:rPr>
        <w:t xml:space="preserve">Reminders will be emailed </w:t>
      </w:r>
      <w:r w:rsidR="00952F36" w:rsidRPr="00587696">
        <w:rPr>
          <w:rFonts w:asciiTheme="minorHAnsi" w:hAnsiTheme="minorHAnsi" w:cs="Arial"/>
          <w:sz w:val="22"/>
          <w:szCs w:val="22"/>
        </w:rPr>
        <w:t xml:space="preserve">every </w:t>
      </w:r>
      <w:r w:rsidR="002C2DCB">
        <w:rPr>
          <w:rFonts w:asciiTheme="minorHAnsi" w:hAnsiTheme="minorHAnsi" w:cs="Arial"/>
          <w:sz w:val="22"/>
          <w:szCs w:val="22"/>
        </w:rPr>
        <w:t>five business</w:t>
      </w:r>
      <w:r w:rsidR="00952F36" w:rsidRPr="00587696">
        <w:rPr>
          <w:rFonts w:asciiTheme="minorHAnsi" w:hAnsiTheme="minorHAnsi" w:cs="Arial"/>
          <w:sz w:val="22"/>
          <w:szCs w:val="22"/>
        </w:rPr>
        <w:t xml:space="preserve"> days</w:t>
      </w:r>
      <w:r w:rsidR="002C2DCB">
        <w:rPr>
          <w:rFonts w:asciiTheme="minorHAnsi" w:hAnsiTheme="minorHAnsi" w:cs="Arial"/>
          <w:sz w:val="22"/>
          <w:szCs w:val="22"/>
        </w:rPr>
        <w:t xml:space="preserve"> [seven calendar days]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3F6DF3" w:rsidRPr="00587696">
        <w:rPr>
          <w:rFonts w:asciiTheme="minorHAnsi" w:hAnsiTheme="minorHAnsi" w:cs="Arial"/>
          <w:sz w:val="22"/>
          <w:szCs w:val="22"/>
        </w:rPr>
        <w:t>(</w:t>
      </w:r>
      <w:r w:rsidR="007A4E47" w:rsidRPr="00F956E3">
        <w:rPr>
          <w:rFonts w:asciiTheme="minorHAnsi" w:hAnsiTheme="minorHAnsi" w:cs="Arial"/>
          <w:sz w:val="22"/>
          <w:szCs w:val="22"/>
        </w:rPr>
        <w:t>see</w:t>
      </w:r>
      <w:r w:rsidR="007A4E47">
        <w:rPr>
          <w:rFonts w:asciiTheme="minorHAnsi" w:hAnsiTheme="minorHAnsi" w:cs="Arial"/>
          <w:b/>
          <w:sz w:val="22"/>
          <w:szCs w:val="22"/>
        </w:rPr>
        <w:t xml:space="preserve"> Attachment </w:t>
      </w:r>
      <w:r w:rsidR="008916B9">
        <w:rPr>
          <w:rFonts w:asciiTheme="minorHAnsi" w:hAnsiTheme="minorHAnsi" w:cs="Arial"/>
          <w:b/>
          <w:sz w:val="22"/>
          <w:szCs w:val="22"/>
        </w:rPr>
        <w:t>I</w:t>
      </w:r>
      <w:r w:rsidR="003F6DF3" w:rsidRPr="00587696">
        <w:rPr>
          <w:rFonts w:asciiTheme="minorHAnsi" w:hAnsiTheme="minorHAnsi" w:cs="Arial"/>
          <w:b/>
          <w:sz w:val="22"/>
          <w:szCs w:val="22"/>
        </w:rPr>
        <w:t xml:space="preserve"> – Reminder Email</w:t>
      </w:r>
      <w:r w:rsidR="003F6DF3" w:rsidRPr="00587696">
        <w:rPr>
          <w:rFonts w:asciiTheme="minorHAnsi" w:hAnsiTheme="minorHAnsi" w:cs="Arial"/>
          <w:sz w:val="22"/>
          <w:szCs w:val="22"/>
        </w:rPr>
        <w:t>)</w:t>
      </w:r>
      <w:r w:rsidR="00952F36" w:rsidRPr="00587696">
        <w:rPr>
          <w:rFonts w:asciiTheme="minorHAnsi" w:hAnsiTheme="minorHAnsi" w:cs="Arial"/>
          <w:sz w:val="22"/>
          <w:szCs w:val="22"/>
        </w:rPr>
        <w:t xml:space="preserve">.  </w:t>
      </w:r>
      <w:r w:rsidR="00FD33D8">
        <w:rPr>
          <w:rFonts w:asciiTheme="minorHAnsi" w:hAnsiTheme="minorHAnsi" w:cs="Arial"/>
          <w:sz w:val="22"/>
          <w:szCs w:val="22"/>
        </w:rPr>
        <w:t>Since respondents are anonymous</w:t>
      </w:r>
      <w:r w:rsidR="00D56EDC">
        <w:rPr>
          <w:rFonts w:asciiTheme="minorHAnsi" w:hAnsiTheme="minorHAnsi" w:cs="Arial"/>
          <w:sz w:val="22"/>
          <w:szCs w:val="22"/>
        </w:rPr>
        <w:t>,</w:t>
      </w:r>
      <w:r w:rsidR="00FD33D8">
        <w:rPr>
          <w:rFonts w:asciiTheme="minorHAnsi" w:hAnsiTheme="minorHAnsi" w:cs="Arial"/>
          <w:sz w:val="22"/>
          <w:szCs w:val="22"/>
        </w:rPr>
        <w:t xml:space="preserve"> </w:t>
      </w:r>
      <w:r w:rsidR="003F06EA">
        <w:rPr>
          <w:rFonts w:asciiTheme="minorHAnsi" w:hAnsiTheme="minorHAnsi" w:cs="Arial"/>
          <w:sz w:val="22"/>
          <w:szCs w:val="22"/>
        </w:rPr>
        <w:t>reminder</w:t>
      </w:r>
      <w:r w:rsidR="00D56EDC">
        <w:rPr>
          <w:rFonts w:asciiTheme="minorHAnsi" w:hAnsiTheme="minorHAnsi" w:cs="Arial"/>
          <w:sz w:val="22"/>
          <w:szCs w:val="22"/>
        </w:rPr>
        <w:t>s will be</w:t>
      </w:r>
      <w:r w:rsidR="00FD33D8">
        <w:rPr>
          <w:rFonts w:asciiTheme="minorHAnsi" w:hAnsiTheme="minorHAnsi" w:cs="Arial"/>
          <w:sz w:val="22"/>
          <w:szCs w:val="22"/>
        </w:rPr>
        <w:t xml:space="preserve"> email</w:t>
      </w:r>
      <w:r w:rsidR="00D56EDC">
        <w:rPr>
          <w:rFonts w:asciiTheme="minorHAnsi" w:hAnsiTheme="minorHAnsi" w:cs="Arial"/>
          <w:sz w:val="22"/>
          <w:szCs w:val="22"/>
        </w:rPr>
        <w:t xml:space="preserve">ed </w:t>
      </w:r>
      <w:r w:rsidR="00FD33D8">
        <w:rPr>
          <w:rFonts w:asciiTheme="minorHAnsi" w:hAnsiTheme="minorHAnsi" w:cs="Arial"/>
          <w:sz w:val="22"/>
          <w:szCs w:val="22"/>
        </w:rPr>
        <w:t xml:space="preserve">to all </w:t>
      </w:r>
      <w:r w:rsidR="00A13584">
        <w:rPr>
          <w:rFonts w:asciiTheme="minorHAnsi" w:hAnsiTheme="minorHAnsi" w:cs="Arial"/>
          <w:sz w:val="22"/>
          <w:szCs w:val="22"/>
        </w:rPr>
        <w:t xml:space="preserve">potential </w:t>
      </w:r>
      <w:r w:rsidR="00D56EDC">
        <w:rPr>
          <w:rFonts w:asciiTheme="minorHAnsi" w:hAnsiTheme="minorHAnsi" w:cs="Arial"/>
          <w:sz w:val="22"/>
          <w:szCs w:val="22"/>
        </w:rPr>
        <w:t>respondents</w:t>
      </w:r>
      <w:r w:rsidR="00FD33D8">
        <w:rPr>
          <w:rFonts w:asciiTheme="minorHAnsi" w:hAnsiTheme="minorHAnsi" w:cs="Arial"/>
          <w:sz w:val="22"/>
          <w:szCs w:val="22"/>
        </w:rPr>
        <w:t>.</w:t>
      </w:r>
      <w:r w:rsidR="00952F36" w:rsidRPr="00587696">
        <w:rPr>
          <w:rFonts w:asciiTheme="minorHAnsi" w:hAnsiTheme="minorHAnsi" w:cs="Arial"/>
          <w:sz w:val="22"/>
          <w:szCs w:val="22"/>
        </w:rPr>
        <w:t xml:space="preserve">  </w:t>
      </w:r>
      <w:r w:rsidR="00A07806">
        <w:rPr>
          <w:rFonts w:asciiTheme="minorHAnsi" w:hAnsiTheme="minorHAnsi" w:cs="Arial"/>
          <w:sz w:val="22"/>
          <w:szCs w:val="22"/>
        </w:rPr>
        <w:t xml:space="preserve">After </w:t>
      </w:r>
      <w:r w:rsidR="00A0051E">
        <w:rPr>
          <w:rFonts w:asciiTheme="minorHAnsi" w:hAnsiTheme="minorHAnsi" w:cs="Arial"/>
          <w:sz w:val="22"/>
          <w:szCs w:val="22"/>
        </w:rPr>
        <w:t xml:space="preserve">the response window has closed, </w:t>
      </w:r>
      <w:r w:rsidR="00A07806">
        <w:rPr>
          <w:rFonts w:asciiTheme="minorHAnsi" w:hAnsiTheme="minorHAnsi" w:cs="Arial"/>
          <w:sz w:val="22"/>
          <w:szCs w:val="22"/>
        </w:rPr>
        <w:t>a follow-up email (</w:t>
      </w:r>
      <w:r w:rsidR="007A4E47" w:rsidRPr="00F956E3">
        <w:rPr>
          <w:rFonts w:asciiTheme="minorHAnsi" w:hAnsiTheme="minorHAnsi" w:cs="Arial"/>
          <w:sz w:val="22"/>
          <w:szCs w:val="22"/>
        </w:rPr>
        <w:t>see</w:t>
      </w:r>
      <w:r w:rsidR="007A4E47">
        <w:rPr>
          <w:rFonts w:asciiTheme="minorHAnsi" w:hAnsiTheme="minorHAnsi" w:cs="Arial"/>
          <w:b/>
          <w:sz w:val="22"/>
          <w:szCs w:val="22"/>
        </w:rPr>
        <w:t xml:space="preserve"> Attachment </w:t>
      </w:r>
      <w:r w:rsidR="008916B9">
        <w:rPr>
          <w:rFonts w:asciiTheme="minorHAnsi" w:hAnsiTheme="minorHAnsi" w:cs="Arial"/>
          <w:b/>
          <w:sz w:val="22"/>
          <w:szCs w:val="22"/>
        </w:rPr>
        <w:t>J</w:t>
      </w:r>
      <w:r w:rsidR="00A07806">
        <w:rPr>
          <w:rFonts w:asciiTheme="minorHAnsi" w:hAnsiTheme="minorHAnsi" w:cs="Arial"/>
          <w:b/>
          <w:sz w:val="22"/>
          <w:szCs w:val="22"/>
        </w:rPr>
        <w:t xml:space="preserve"> - Follow-up </w:t>
      </w:r>
      <w:r w:rsidR="00A07806" w:rsidRPr="00A07806">
        <w:rPr>
          <w:rFonts w:asciiTheme="minorHAnsi" w:hAnsiTheme="minorHAnsi" w:cs="Arial"/>
          <w:b/>
          <w:sz w:val="22"/>
          <w:szCs w:val="22"/>
        </w:rPr>
        <w:t>Email</w:t>
      </w:r>
      <w:r w:rsidR="00A07806">
        <w:rPr>
          <w:rFonts w:asciiTheme="minorHAnsi" w:hAnsiTheme="minorHAnsi" w:cs="Arial"/>
          <w:sz w:val="22"/>
          <w:szCs w:val="22"/>
        </w:rPr>
        <w:t xml:space="preserve">) </w:t>
      </w:r>
      <w:r w:rsidR="00A07806" w:rsidRPr="00A07806">
        <w:rPr>
          <w:rFonts w:asciiTheme="minorHAnsi" w:hAnsiTheme="minorHAnsi" w:cs="Arial"/>
          <w:sz w:val="22"/>
          <w:szCs w:val="22"/>
        </w:rPr>
        <w:t>will</w:t>
      </w:r>
      <w:r w:rsidR="00A07806">
        <w:rPr>
          <w:rFonts w:asciiTheme="minorHAnsi" w:hAnsiTheme="minorHAnsi" w:cs="Arial"/>
          <w:sz w:val="22"/>
          <w:szCs w:val="22"/>
        </w:rPr>
        <w:t xml:space="preserve"> be sent to th</w:t>
      </w:r>
      <w:r w:rsidR="00632FED">
        <w:rPr>
          <w:rFonts w:asciiTheme="minorHAnsi" w:hAnsiTheme="minorHAnsi" w:cs="Arial"/>
          <w:sz w:val="22"/>
          <w:szCs w:val="22"/>
        </w:rPr>
        <w:t xml:space="preserve">e </w:t>
      </w:r>
      <w:r w:rsidR="00A0051E">
        <w:rPr>
          <w:rFonts w:asciiTheme="minorHAnsi" w:hAnsiTheme="minorHAnsi" w:cs="Arial"/>
          <w:sz w:val="22"/>
          <w:szCs w:val="22"/>
        </w:rPr>
        <w:t>potential respondent universe</w:t>
      </w:r>
      <w:r w:rsidR="00311420">
        <w:rPr>
          <w:rFonts w:asciiTheme="minorHAnsi" w:hAnsiTheme="minorHAnsi" w:cs="Arial"/>
          <w:sz w:val="22"/>
          <w:szCs w:val="22"/>
        </w:rPr>
        <w:t>.</w:t>
      </w:r>
    </w:p>
    <w:p w:rsidR="00625C16" w:rsidRDefault="00625C16" w:rsidP="00951D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</w:p>
    <w:p w:rsidR="00625C16" w:rsidRPr="00625C16" w:rsidRDefault="00625C16" w:rsidP="00625C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625C16">
        <w:rPr>
          <w:rFonts w:asciiTheme="minorHAnsi" w:hAnsiTheme="minorHAnsi" w:cs="Arial"/>
          <w:sz w:val="22"/>
          <w:szCs w:val="22"/>
        </w:rPr>
        <w:t xml:space="preserve">The </w:t>
      </w:r>
      <w:r w:rsidR="00CF3B76">
        <w:rPr>
          <w:rFonts w:asciiTheme="minorHAnsi" w:hAnsiTheme="minorHAnsi" w:cs="Arial"/>
          <w:sz w:val="22"/>
          <w:szCs w:val="22"/>
        </w:rPr>
        <w:t>data collection tool</w:t>
      </w:r>
      <w:r w:rsidRPr="00625C16">
        <w:rPr>
          <w:rFonts w:asciiTheme="minorHAnsi" w:hAnsiTheme="minorHAnsi" w:cs="Arial"/>
          <w:sz w:val="22"/>
          <w:szCs w:val="22"/>
        </w:rPr>
        <w:t xml:space="preserve"> will be administered </w:t>
      </w:r>
      <w:r w:rsidR="00A13584">
        <w:rPr>
          <w:rFonts w:asciiTheme="minorHAnsi" w:hAnsiTheme="minorHAnsi" w:cs="Arial"/>
          <w:sz w:val="22"/>
          <w:szCs w:val="22"/>
        </w:rPr>
        <w:t xml:space="preserve">to a state/local jurisdiction only </w:t>
      </w:r>
      <w:r w:rsidRPr="00625C16">
        <w:rPr>
          <w:rFonts w:asciiTheme="minorHAnsi" w:hAnsiTheme="minorHAnsi" w:cs="Arial"/>
          <w:sz w:val="22"/>
          <w:szCs w:val="22"/>
        </w:rPr>
        <w:t>one time as</w:t>
      </w:r>
      <w:r w:rsidR="00B32F21">
        <w:rPr>
          <w:rFonts w:asciiTheme="minorHAnsi" w:hAnsiTheme="minorHAnsi" w:cs="Arial"/>
          <w:sz w:val="22"/>
          <w:szCs w:val="22"/>
        </w:rPr>
        <w:t xml:space="preserve"> part of the final phase of the IMATS </w:t>
      </w:r>
      <w:r w:rsidR="00883367">
        <w:rPr>
          <w:rFonts w:asciiTheme="minorHAnsi" w:hAnsiTheme="minorHAnsi" w:cs="Arial"/>
          <w:sz w:val="22"/>
          <w:szCs w:val="22"/>
        </w:rPr>
        <w:t xml:space="preserve">assessment </w:t>
      </w:r>
      <w:r w:rsidR="00B32F21">
        <w:rPr>
          <w:rFonts w:asciiTheme="minorHAnsi" w:hAnsiTheme="minorHAnsi" w:cs="Arial"/>
          <w:sz w:val="22"/>
          <w:szCs w:val="22"/>
        </w:rPr>
        <w:t xml:space="preserve">process. </w:t>
      </w:r>
      <w:r w:rsidRPr="00625C16">
        <w:rPr>
          <w:rFonts w:asciiTheme="minorHAnsi" w:hAnsiTheme="minorHAnsi" w:cs="Arial"/>
          <w:sz w:val="22"/>
          <w:szCs w:val="22"/>
        </w:rPr>
        <w:t xml:space="preserve">Data will be collected and stored in </w:t>
      </w:r>
      <w:r w:rsidR="00B32F21">
        <w:rPr>
          <w:rFonts w:asciiTheme="minorHAnsi" w:hAnsiTheme="minorHAnsi" w:cs="Arial"/>
          <w:sz w:val="22"/>
          <w:szCs w:val="22"/>
        </w:rPr>
        <w:t>Survey Monkey</w:t>
      </w:r>
      <w:r w:rsidR="00B32F21" w:rsidRPr="003A13BA">
        <w:rPr>
          <w:rStyle w:val="unicode1"/>
          <w:rFonts w:hint="default"/>
          <w:sz w:val="20"/>
          <w:szCs w:val="20"/>
          <w:lang w:val="en"/>
        </w:rPr>
        <w:t>®</w:t>
      </w:r>
      <w:r w:rsidR="00B32F21">
        <w:rPr>
          <w:rFonts w:asciiTheme="minorHAnsi" w:hAnsiTheme="minorHAnsi" w:cs="Arial"/>
          <w:sz w:val="20"/>
          <w:szCs w:val="20"/>
        </w:rPr>
        <w:t xml:space="preserve"> </w:t>
      </w:r>
      <w:r w:rsidRPr="00625C16">
        <w:rPr>
          <w:rFonts w:asciiTheme="minorHAnsi" w:hAnsiTheme="minorHAnsi" w:cs="Arial"/>
          <w:sz w:val="22"/>
          <w:szCs w:val="22"/>
        </w:rPr>
        <w:t xml:space="preserve">as respondents submit their </w:t>
      </w:r>
      <w:r w:rsidR="00CF3B76">
        <w:rPr>
          <w:rFonts w:asciiTheme="minorHAnsi" w:hAnsiTheme="minorHAnsi" w:cs="Arial"/>
          <w:sz w:val="22"/>
          <w:szCs w:val="22"/>
        </w:rPr>
        <w:t>responses</w:t>
      </w:r>
      <w:r w:rsidRPr="00625C16">
        <w:rPr>
          <w:rFonts w:asciiTheme="minorHAnsi" w:hAnsiTheme="minorHAnsi" w:cs="Arial"/>
          <w:sz w:val="22"/>
          <w:szCs w:val="22"/>
        </w:rPr>
        <w:t>. Data will be transferred to Excel for conducting basic descriptive analyses and producing data charts and tables for reporting.</w:t>
      </w:r>
    </w:p>
    <w:p w:rsidR="00311420" w:rsidRDefault="00311420" w:rsidP="00951D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BC0B90" w:rsidRPr="00587696" w:rsidRDefault="00BC0B90" w:rsidP="00A07806">
      <w:pPr>
        <w:pStyle w:val="TOC2"/>
        <w:spacing w:before="288" w:after="288"/>
        <w:rPr>
          <w:rFonts w:asciiTheme="minorHAnsi" w:hAnsiTheme="minorHAnsi"/>
        </w:rPr>
      </w:pPr>
      <w:r w:rsidRPr="00587696">
        <w:rPr>
          <w:rFonts w:asciiTheme="minorHAnsi" w:hAnsiTheme="minorHAnsi"/>
        </w:rPr>
        <w:t>3</w:t>
      </w:r>
      <w:r w:rsidR="00B603E1" w:rsidRPr="00587696">
        <w:rPr>
          <w:rFonts w:asciiTheme="minorHAnsi" w:hAnsiTheme="minorHAnsi"/>
        </w:rPr>
        <w:t>.</w:t>
      </w:r>
      <w:r w:rsidRPr="00587696">
        <w:rPr>
          <w:rFonts w:asciiTheme="minorHAnsi" w:hAnsiTheme="minorHAnsi"/>
        </w:rPr>
        <w:tab/>
        <w:t xml:space="preserve">Methods to Maximize Response Rates </w:t>
      </w:r>
    </w:p>
    <w:p w:rsidR="00BC0B90" w:rsidRPr="00587696" w:rsidRDefault="00140C6A" w:rsidP="00ED0E58">
      <w:pPr>
        <w:pStyle w:val="Level1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ind w:left="0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</w:t>
      </w:r>
      <w:r w:rsidR="00B603E1" w:rsidRPr="00587696">
        <w:rPr>
          <w:rFonts w:asciiTheme="minorHAnsi" w:hAnsiTheme="minorHAnsi" w:cs="Arial"/>
          <w:sz w:val="22"/>
          <w:szCs w:val="22"/>
        </w:rPr>
        <w:t>otification</w:t>
      </w:r>
      <w:r w:rsidR="002C2DCB">
        <w:rPr>
          <w:rFonts w:asciiTheme="minorHAnsi" w:hAnsiTheme="minorHAnsi" w:cs="Arial"/>
          <w:sz w:val="22"/>
          <w:szCs w:val="22"/>
        </w:rPr>
        <w:t xml:space="preserve"> (</w:t>
      </w:r>
      <w:r w:rsidR="002C2DCB" w:rsidRPr="00F956E3">
        <w:rPr>
          <w:rFonts w:asciiTheme="minorHAnsi" w:hAnsiTheme="minorHAnsi" w:cs="Arial"/>
          <w:sz w:val="22"/>
          <w:szCs w:val="22"/>
        </w:rPr>
        <w:t>see</w:t>
      </w:r>
      <w:r w:rsidR="002C2DCB">
        <w:rPr>
          <w:rFonts w:asciiTheme="minorHAnsi" w:hAnsiTheme="minorHAnsi" w:cs="Arial"/>
          <w:b/>
          <w:sz w:val="22"/>
          <w:szCs w:val="22"/>
        </w:rPr>
        <w:t xml:space="preserve"> Attachment</w:t>
      </w:r>
      <w:r w:rsidR="002C2DCB" w:rsidRPr="00A07806">
        <w:rPr>
          <w:rFonts w:asciiTheme="minorHAnsi" w:hAnsiTheme="minorHAnsi" w:cs="Arial"/>
          <w:b/>
          <w:sz w:val="22"/>
          <w:szCs w:val="22"/>
        </w:rPr>
        <w:t xml:space="preserve"> </w:t>
      </w:r>
      <w:r w:rsidR="00270B6C">
        <w:rPr>
          <w:rFonts w:asciiTheme="minorHAnsi" w:hAnsiTheme="minorHAnsi" w:cs="Arial"/>
          <w:b/>
          <w:sz w:val="22"/>
          <w:szCs w:val="22"/>
        </w:rPr>
        <w:t>H</w:t>
      </w:r>
      <w:r w:rsidR="002C2DCB" w:rsidRPr="002C2DCB">
        <w:rPr>
          <w:rFonts w:asciiTheme="minorHAnsi" w:hAnsiTheme="minorHAnsi" w:cs="Arial"/>
          <w:sz w:val="22"/>
          <w:szCs w:val="22"/>
        </w:rPr>
        <w:t>)</w:t>
      </w:r>
      <w:r w:rsidR="00B603E1" w:rsidRPr="00587696">
        <w:rPr>
          <w:rFonts w:asciiTheme="minorHAnsi" w:hAnsiTheme="minorHAnsi" w:cs="Arial"/>
          <w:sz w:val="22"/>
          <w:szCs w:val="22"/>
        </w:rPr>
        <w:t xml:space="preserve"> and reminder</w:t>
      </w:r>
      <w:r w:rsidR="00175D08">
        <w:rPr>
          <w:rFonts w:asciiTheme="minorHAnsi" w:hAnsiTheme="minorHAnsi" w:cs="Arial"/>
          <w:sz w:val="22"/>
          <w:szCs w:val="22"/>
        </w:rPr>
        <w:t>s</w:t>
      </w:r>
      <w:r w:rsidR="00B603E1" w:rsidRPr="00587696">
        <w:rPr>
          <w:rFonts w:asciiTheme="minorHAnsi" w:hAnsiTheme="minorHAnsi" w:cs="Arial"/>
          <w:sz w:val="22"/>
          <w:szCs w:val="22"/>
        </w:rPr>
        <w:t xml:space="preserve"> </w:t>
      </w:r>
      <w:r w:rsidR="00175D08">
        <w:rPr>
          <w:rFonts w:asciiTheme="minorHAnsi" w:hAnsiTheme="minorHAnsi" w:cs="Arial"/>
          <w:sz w:val="22"/>
          <w:szCs w:val="22"/>
        </w:rPr>
        <w:t xml:space="preserve">via </w:t>
      </w:r>
      <w:r w:rsidR="00B603E1" w:rsidRPr="00587696">
        <w:rPr>
          <w:rFonts w:asciiTheme="minorHAnsi" w:hAnsiTheme="minorHAnsi" w:cs="Arial"/>
          <w:sz w:val="22"/>
          <w:szCs w:val="22"/>
        </w:rPr>
        <w:t>emails</w:t>
      </w:r>
      <w:r w:rsidR="005765E9">
        <w:rPr>
          <w:rFonts w:asciiTheme="minorHAnsi" w:hAnsiTheme="minorHAnsi" w:cs="Arial"/>
          <w:sz w:val="22"/>
          <w:szCs w:val="22"/>
        </w:rPr>
        <w:t xml:space="preserve"> </w:t>
      </w:r>
      <w:r w:rsidR="002C2DCB">
        <w:rPr>
          <w:rFonts w:asciiTheme="minorHAnsi" w:hAnsiTheme="minorHAnsi" w:cs="Arial"/>
          <w:sz w:val="22"/>
          <w:szCs w:val="22"/>
        </w:rPr>
        <w:t>(</w:t>
      </w:r>
      <w:r w:rsidR="002C2DCB" w:rsidRPr="00F956E3">
        <w:rPr>
          <w:rFonts w:asciiTheme="minorHAnsi" w:hAnsiTheme="minorHAnsi" w:cs="Arial"/>
          <w:sz w:val="22"/>
          <w:szCs w:val="22"/>
        </w:rPr>
        <w:t>see</w:t>
      </w:r>
      <w:r w:rsidR="002C2DCB">
        <w:rPr>
          <w:rFonts w:asciiTheme="minorHAnsi" w:hAnsiTheme="minorHAnsi" w:cs="Arial"/>
          <w:b/>
          <w:sz w:val="22"/>
          <w:szCs w:val="22"/>
        </w:rPr>
        <w:t xml:space="preserve"> Attachment</w:t>
      </w:r>
      <w:r w:rsidR="002C2DCB" w:rsidRPr="00A07806">
        <w:rPr>
          <w:rFonts w:asciiTheme="minorHAnsi" w:hAnsiTheme="minorHAnsi" w:cs="Arial"/>
          <w:b/>
          <w:sz w:val="22"/>
          <w:szCs w:val="22"/>
        </w:rPr>
        <w:t xml:space="preserve"> </w:t>
      </w:r>
      <w:r w:rsidR="00270B6C">
        <w:rPr>
          <w:rFonts w:asciiTheme="minorHAnsi" w:hAnsiTheme="minorHAnsi" w:cs="Arial"/>
          <w:b/>
          <w:sz w:val="22"/>
          <w:szCs w:val="22"/>
        </w:rPr>
        <w:t>I</w:t>
      </w:r>
      <w:r w:rsidR="002C2DCB">
        <w:rPr>
          <w:rFonts w:asciiTheme="minorHAnsi" w:hAnsiTheme="minorHAnsi" w:cs="Arial"/>
          <w:sz w:val="22"/>
          <w:szCs w:val="22"/>
        </w:rPr>
        <w:t>)</w:t>
      </w:r>
      <w:r w:rsidR="00B603E1" w:rsidRPr="00587696">
        <w:rPr>
          <w:rFonts w:asciiTheme="minorHAnsi" w:hAnsiTheme="minorHAnsi" w:cs="Arial"/>
          <w:sz w:val="22"/>
          <w:szCs w:val="22"/>
        </w:rPr>
        <w:t xml:space="preserve"> will be utilized to maximize response rates.  The notifications and emails will be se</w:t>
      </w:r>
      <w:r w:rsidR="00311420">
        <w:rPr>
          <w:rFonts w:asciiTheme="minorHAnsi" w:hAnsiTheme="minorHAnsi" w:cs="Arial"/>
          <w:sz w:val="22"/>
          <w:szCs w:val="22"/>
        </w:rPr>
        <w:t>nt by C</w:t>
      </w:r>
      <w:r w:rsidR="002F3758">
        <w:rPr>
          <w:rFonts w:asciiTheme="minorHAnsi" w:hAnsiTheme="minorHAnsi" w:cs="Arial"/>
          <w:sz w:val="22"/>
          <w:szCs w:val="22"/>
        </w:rPr>
        <w:t xml:space="preserve">ountermeasure </w:t>
      </w:r>
      <w:r w:rsidR="00311420">
        <w:rPr>
          <w:rFonts w:asciiTheme="minorHAnsi" w:hAnsiTheme="minorHAnsi" w:cs="Arial"/>
          <w:sz w:val="22"/>
          <w:szCs w:val="22"/>
        </w:rPr>
        <w:t>T</w:t>
      </w:r>
      <w:r w:rsidR="002F3758">
        <w:rPr>
          <w:rFonts w:asciiTheme="minorHAnsi" w:hAnsiTheme="minorHAnsi" w:cs="Arial"/>
          <w:sz w:val="22"/>
          <w:szCs w:val="22"/>
        </w:rPr>
        <w:t xml:space="preserve">racking </w:t>
      </w:r>
      <w:r w:rsidR="00311420">
        <w:rPr>
          <w:rFonts w:asciiTheme="minorHAnsi" w:hAnsiTheme="minorHAnsi" w:cs="Arial"/>
          <w:sz w:val="22"/>
          <w:szCs w:val="22"/>
        </w:rPr>
        <w:t>S</w:t>
      </w:r>
      <w:r w:rsidR="002F3758">
        <w:rPr>
          <w:rFonts w:asciiTheme="minorHAnsi" w:hAnsiTheme="minorHAnsi" w:cs="Arial"/>
          <w:sz w:val="22"/>
          <w:szCs w:val="22"/>
        </w:rPr>
        <w:t>ystems</w:t>
      </w:r>
      <w:r w:rsidR="00311420">
        <w:rPr>
          <w:rFonts w:asciiTheme="minorHAnsi" w:hAnsiTheme="minorHAnsi" w:cs="Arial"/>
          <w:sz w:val="22"/>
          <w:szCs w:val="22"/>
        </w:rPr>
        <w:t xml:space="preserve"> staff</w:t>
      </w:r>
      <w:r w:rsidR="00B603E1" w:rsidRPr="00587696">
        <w:rPr>
          <w:rFonts w:asciiTheme="minorHAnsi" w:hAnsiTheme="minorHAnsi" w:cs="Arial"/>
          <w:sz w:val="22"/>
          <w:szCs w:val="22"/>
        </w:rPr>
        <w:t xml:space="preserve"> to the potential respondent</w:t>
      </w:r>
      <w:r>
        <w:rPr>
          <w:rFonts w:asciiTheme="minorHAnsi" w:hAnsiTheme="minorHAnsi" w:cs="Arial"/>
          <w:sz w:val="22"/>
          <w:szCs w:val="22"/>
        </w:rPr>
        <w:t xml:space="preserve"> universe</w:t>
      </w:r>
      <w:r w:rsidR="00B603E1" w:rsidRPr="00587696">
        <w:rPr>
          <w:rFonts w:asciiTheme="minorHAnsi" w:hAnsiTheme="minorHAnsi" w:cs="Arial"/>
          <w:sz w:val="22"/>
          <w:szCs w:val="22"/>
        </w:rPr>
        <w:t xml:space="preserve">.  </w:t>
      </w:r>
      <w:r w:rsidR="002F3758">
        <w:rPr>
          <w:rFonts w:asciiTheme="minorHAnsi" w:hAnsiTheme="minorHAnsi" w:cs="Arial"/>
          <w:sz w:val="22"/>
          <w:szCs w:val="22"/>
        </w:rPr>
        <w:t xml:space="preserve">If the initial person contacted to complete the </w:t>
      </w:r>
      <w:r w:rsidR="00CF3B76">
        <w:rPr>
          <w:rFonts w:asciiTheme="minorHAnsi" w:hAnsiTheme="minorHAnsi" w:cs="Arial"/>
          <w:sz w:val="22"/>
          <w:szCs w:val="22"/>
        </w:rPr>
        <w:t xml:space="preserve">questions </w:t>
      </w:r>
      <w:r w:rsidR="002F3758">
        <w:rPr>
          <w:rFonts w:asciiTheme="minorHAnsi" w:hAnsiTheme="minorHAnsi" w:cs="Arial"/>
          <w:sz w:val="22"/>
          <w:szCs w:val="22"/>
        </w:rPr>
        <w:t xml:space="preserve">is no longer with the jurisdiction, the </w:t>
      </w:r>
      <w:r w:rsidR="00CF3B76">
        <w:rPr>
          <w:rFonts w:asciiTheme="minorHAnsi" w:hAnsiTheme="minorHAnsi" w:cs="Arial"/>
          <w:sz w:val="22"/>
          <w:szCs w:val="22"/>
        </w:rPr>
        <w:t>data collection tool</w:t>
      </w:r>
      <w:r w:rsidR="002F3758">
        <w:rPr>
          <w:rFonts w:asciiTheme="minorHAnsi" w:hAnsiTheme="minorHAnsi" w:cs="Arial"/>
          <w:sz w:val="22"/>
          <w:szCs w:val="22"/>
        </w:rPr>
        <w:t xml:space="preserve"> will be sent to a second contact within the same jurisdiction to help ensure responses are received from each jurisdiction.  T</w:t>
      </w:r>
      <w:r>
        <w:rPr>
          <w:rFonts w:asciiTheme="minorHAnsi" w:hAnsiTheme="minorHAnsi" w:cs="Arial"/>
          <w:sz w:val="22"/>
          <w:szCs w:val="22"/>
        </w:rPr>
        <w:t xml:space="preserve">he </w:t>
      </w:r>
      <w:r w:rsidR="00CF3B76">
        <w:rPr>
          <w:rFonts w:asciiTheme="minorHAnsi" w:hAnsiTheme="minorHAnsi" w:cs="Arial"/>
          <w:sz w:val="22"/>
          <w:szCs w:val="22"/>
        </w:rPr>
        <w:t>data collection tool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F3758">
        <w:rPr>
          <w:rFonts w:asciiTheme="minorHAnsi" w:hAnsiTheme="minorHAnsi" w:cs="Arial"/>
          <w:sz w:val="22"/>
          <w:szCs w:val="22"/>
        </w:rPr>
        <w:t xml:space="preserve">will be </w:t>
      </w:r>
      <w:r>
        <w:rPr>
          <w:rFonts w:asciiTheme="minorHAnsi" w:hAnsiTheme="minorHAnsi" w:cs="Arial"/>
          <w:sz w:val="22"/>
          <w:szCs w:val="22"/>
        </w:rPr>
        <w:t xml:space="preserve">open for 10 business days. </w:t>
      </w:r>
      <w:r w:rsidRPr="00D2695D">
        <w:rPr>
          <w:rFonts w:asciiTheme="minorHAnsi" w:hAnsiTheme="minorHAnsi" w:cs="Arial"/>
          <w:sz w:val="22"/>
          <w:szCs w:val="22"/>
        </w:rPr>
        <w:t xml:space="preserve"> </w:t>
      </w:r>
      <w:r w:rsidR="002F3758">
        <w:rPr>
          <w:rFonts w:asciiTheme="minorHAnsi" w:hAnsiTheme="minorHAnsi" w:cs="Arial"/>
          <w:sz w:val="22"/>
          <w:szCs w:val="22"/>
        </w:rPr>
        <w:t xml:space="preserve">We will request that the </w:t>
      </w:r>
      <w:r w:rsidR="00CF3B76">
        <w:rPr>
          <w:rFonts w:asciiTheme="minorHAnsi" w:hAnsiTheme="minorHAnsi" w:cs="Arial"/>
          <w:sz w:val="22"/>
          <w:szCs w:val="22"/>
        </w:rPr>
        <w:t>data collection tool</w:t>
      </w:r>
      <w:r w:rsidR="002F3758">
        <w:rPr>
          <w:rFonts w:asciiTheme="minorHAnsi" w:hAnsiTheme="minorHAnsi" w:cs="Arial"/>
          <w:sz w:val="22"/>
          <w:szCs w:val="22"/>
        </w:rPr>
        <w:t xml:space="preserve"> be completed only by the individual receiving the email so that only one response is received from each jurisdiction. </w:t>
      </w:r>
      <w:r w:rsidR="00B603E1" w:rsidRPr="00587696">
        <w:rPr>
          <w:rFonts w:asciiTheme="minorHAnsi" w:hAnsiTheme="minorHAnsi" w:cs="Arial"/>
          <w:sz w:val="22"/>
          <w:szCs w:val="22"/>
        </w:rPr>
        <w:t xml:space="preserve">Higher response rates will yield more reliable information; however, no scientific inferences will be made. </w:t>
      </w:r>
    </w:p>
    <w:p w:rsidR="00BC0B90" w:rsidRPr="00587696" w:rsidRDefault="00BC0B90" w:rsidP="00A07806">
      <w:pPr>
        <w:pStyle w:val="TOC2"/>
        <w:spacing w:before="288" w:after="288"/>
        <w:rPr>
          <w:rFonts w:asciiTheme="minorHAnsi" w:hAnsiTheme="minorHAnsi"/>
        </w:rPr>
      </w:pPr>
      <w:r w:rsidRPr="00587696">
        <w:rPr>
          <w:rFonts w:asciiTheme="minorHAnsi" w:hAnsiTheme="minorHAnsi"/>
        </w:rPr>
        <w:t>4</w:t>
      </w:r>
      <w:r w:rsidR="00B603E1" w:rsidRPr="00587696">
        <w:rPr>
          <w:rFonts w:asciiTheme="minorHAnsi" w:hAnsiTheme="minorHAnsi"/>
        </w:rPr>
        <w:t>.</w:t>
      </w:r>
      <w:r w:rsidRPr="00587696">
        <w:rPr>
          <w:rFonts w:asciiTheme="minorHAnsi" w:hAnsiTheme="minorHAnsi"/>
        </w:rPr>
        <w:tab/>
        <w:t>Test of Procedures or Methods to be Undertaken</w:t>
      </w:r>
    </w:p>
    <w:p w:rsidR="00BC0B90" w:rsidRPr="00587696" w:rsidRDefault="00F15F2A" w:rsidP="00E77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587696">
        <w:rPr>
          <w:rFonts w:asciiTheme="minorHAnsi" w:hAnsiTheme="minorHAnsi" w:cs="Arial"/>
          <w:sz w:val="22"/>
          <w:szCs w:val="22"/>
        </w:rPr>
        <w:t xml:space="preserve">The </w:t>
      </w:r>
      <w:r w:rsidR="00B603E1" w:rsidRPr="00587696">
        <w:rPr>
          <w:rFonts w:asciiTheme="minorHAnsi" w:hAnsiTheme="minorHAnsi" w:cs="Arial"/>
          <w:sz w:val="22"/>
          <w:szCs w:val="22"/>
        </w:rPr>
        <w:t>web-base</w:t>
      </w:r>
      <w:r w:rsidR="001C18ED">
        <w:rPr>
          <w:rFonts w:asciiTheme="minorHAnsi" w:hAnsiTheme="minorHAnsi" w:cs="Arial"/>
          <w:sz w:val="22"/>
          <w:szCs w:val="22"/>
        </w:rPr>
        <w:t xml:space="preserve">d questionnaire </w:t>
      </w:r>
      <w:r w:rsidR="00B603E1" w:rsidRPr="00587696">
        <w:rPr>
          <w:rFonts w:asciiTheme="minorHAnsi" w:hAnsiTheme="minorHAnsi" w:cs="Arial"/>
          <w:sz w:val="22"/>
          <w:szCs w:val="22"/>
        </w:rPr>
        <w:t xml:space="preserve">was pilot tested by </w:t>
      </w:r>
      <w:r w:rsidR="0007017E">
        <w:rPr>
          <w:rFonts w:asciiTheme="minorHAnsi" w:hAnsiTheme="minorHAnsi" w:cs="Arial"/>
          <w:sz w:val="22"/>
          <w:szCs w:val="22"/>
        </w:rPr>
        <w:t>four (4)</w:t>
      </w:r>
      <w:r w:rsidR="00E87EB6">
        <w:rPr>
          <w:rFonts w:asciiTheme="minorHAnsi" w:hAnsiTheme="minorHAnsi" w:cs="Arial"/>
          <w:sz w:val="22"/>
          <w:szCs w:val="22"/>
        </w:rPr>
        <w:t xml:space="preserve"> </w:t>
      </w:r>
      <w:r w:rsidR="00883367">
        <w:rPr>
          <w:rFonts w:asciiTheme="minorHAnsi" w:hAnsiTheme="minorHAnsi" w:cs="Arial"/>
          <w:sz w:val="22"/>
          <w:szCs w:val="22"/>
        </w:rPr>
        <w:t>state and local representatives who had completed an IMATS assessment</w:t>
      </w:r>
      <w:r w:rsidR="004610BE">
        <w:rPr>
          <w:rFonts w:asciiTheme="minorHAnsi" w:hAnsiTheme="minorHAnsi" w:cs="Arial"/>
          <w:sz w:val="22"/>
          <w:szCs w:val="22"/>
        </w:rPr>
        <w:t xml:space="preserve"> representing the potential respondent universe</w:t>
      </w:r>
      <w:r w:rsidR="00B603E1" w:rsidRPr="00587696">
        <w:rPr>
          <w:rFonts w:asciiTheme="minorHAnsi" w:hAnsiTheme="minorHAnsi" w:cs="Arial"/>
          <w:sz w:val="22"/>
          <w:szCs w:val="22"/>
        </w:rPr>
        <w:t>.  Feedback from th</w:t>
      </w:r>
      <w:r w:rsidR="004610BE">
        <w:rPr>
          <w:rFonts w:asciiTheme="minorHAnsi" w:hAnsiTheme="minorHAnsi" w:cs="Arial"/>
          <w:sz w:val="22"/>
          <w:szCs w:val="22"/>
        </w:rPr>
        <w:t xml:space="preserve">ese individuals </w:t>
      </w:r>
      <w:r w:rsidR="00B603E1" w:rsidRPr="00587696">
        <w:rPr>
          <w:rFonts w:asciiTheme="minorHAnsi" w:hAnsiTheme="minorHAnsi" w:cs="Arial"/>
          <w:sz w:val="22"/>
          <w:szCs w:val="22"/>
        </w:rPr>
        <w:t>was used to refine questions as needed, ensure accurate programming and skip patterns and establish the estimated time</w:t>
      </w:r>
      <w:r w:rsidR="001C18ED">
        <w:rPr>
          <w:rFonts w:asciiTheme="minorHAnsi" w:hAnsiTheme="minorHAnsi" w:cs="Arial"/>
          <w:sz w:val="22"/>
          <w:szCs w:val="22"/>
        </w:rPr>
        <w:t xml:space="preserve"> required to complete the </w:t>
      </w:r>
      <w:r w:rsidR="00A91FDD">
        <w:rPr>
          <w:rFonts w:asciiTheme="minorHAnsi" w:hAnsiTheme="minorHAnsi" w:cs="Arial"/>
          <w:sz w:val="22"/>
          <w:szCs w:val="22"/>
        </w:rPr>
        <w:t>questionnaire</w:t>
      </w:r>
      <w:r w:rsidR="00B603E1" w:rsidRPr="00587696">
        <w:rPr>
          <w:rFonts w:asciiTheme="minorHAnsi" w:hAnsiTheme="minorHAnsi" w:cs="Arial"/>
          <w:sz w:val="22"/>
          <w:szCs w:val="22"/>
        </w:rPr>
        <w:t>.</w:t>
      </w:r>
      <w:r w:rsidR="00292467">
        <w:rPr>
          <w:rFonts w:asciiTheme="minorHAnsi" w:hAnsiTheme="minorHAnsi" w:cs="Arial"/>
          <w:sz w:val="22"/>
          <w:szCs w:val="22"/>
        </w:rPr>
        <w:t xml:space="preserve"> </w:t>
      </w:r>
      <w:r w:rsidR="00292467" w:rsidRPr="00292467">
        <w:rPr>
          <w:rFonts w:asciiTheme="minorHAnsi" w:hAnsiTheme="minorHAnsi" w:cs="Arial"/>
          <w:sz w:val="22"/>
          <w:szCs w:val="22"/>
        </w:rPr>
        <w:t xml:space="preserve">The average length of time </w:t>
      </w:r>
      <w:r w:rsidR="00292467" w:rsidRPr="00292467">
        <w:rPr>
          <w:rFonts w:asciiTheme="minorHAnsi" w:hAnsiTheme="minorHAnsi" w:cs="Arial"/>
          <w:sz w:val="22"/>
          <w:szCs w:val="22"/>
        </w:rPr>
        <w:lastRenderedPageBreak/>
        <w:t xml:space="preserve">required to complete the </w:t>
      </w:r>
      <w:r w:rsidR="00292467">
        <w:rPr>
          <w:rFonts w:asciiTheme="minorHAnsi" w:hAnsiTheme="minorHAnsi" w:cs="Arial"/>
          <w:sz w:val="22"/>
          <w:szCs w:val="22"/>
        </w:rPr>
        <w:t xml:space="preserve">questionnaire was </w:t>
      </w:r>
      <w:r w:rsidR="00292467" w:rsidRPr="00292467">
        <w:rPr>
          <w:rFonts w:asciiTheme="minorHAnsi" w:hAnsiTheme="minorHAnsi" w:cs="Arial"/>
          <w:sz w:val="22"/>
          <w:szCs w:val="22"/>
        </w:rPr>
        <w:t xml:space="preserve">approximately </w:t>
      </w:r>
      <w:r w:rsidR="0007017E">
        <w:rPr>
          <w:rFonts w:asciiTheme="minorHAnsi" w:hAnsiTheme="minorHAnsi" w:cs="Arial"/>
          <w:sz w:val="22"/>
          <w:szCs w:val="22"/>
        </w:rPr>
        <w:t xml:space="preserve">15-20 </w:t>
      </w:r>
      <w:r w:rsidR="00292467" w:rsidRPr="00292467">
        <w:rPr>
          <w:rFonts w:asciiTheme="minorHAnsi" w:hAnsiTheme="minorHAnsi" w:cs="Arial"/>
          <w:sz w:val="22"/>
          <w:szCs w:val="22"/>
        </w:rPr>
        <w:t xml:space="preserve">minutes.  </w:t>
      </w:r>
      <w:r w:rsidR="002960D6">
        <w:rPr>
          <w:rFonts w:asciiTheme="minorHAnsi" w:hAnsiTheme="minorHAnsi" w:cs="Arial"/>
          <w:sz w:val="22"/>
          <w:szCs w:val="22"/>
        </w:rPr>
        <w:t xml:space="preserve">Based on </w:t>
      </w:r>
      <w:r w:rsidR="00982C3B">
        <w:rPr>
          <w:rFonts w:asciiTheme="minorHAnsi" w:hAnsiTheme="minorHAnsi" w:cs="Arial"/>
          <w:sz w:val="22"/>
          <w:szCs w:val="22"/>
        </w:rPr>
        <w:t xml:space="preserve">the </w:t>
      </w:r>
      <w:r w:rsidR="002960D6">
        <w:rPr>
          <w:rFonts w:asciiTheme="minorHAnsi" w:hAnsiTheme="minorHAnsi" w:cs="Arial"/>
          <w:sz w:val="22"/>
          <w:szCs w:val="22"/>
        </w:rPr>
        <w:t>feedback from pilot testers, the</w:t>
      </w:r>
      <w:r w:rsidR="00292467">
        <w:rPr>
          <w:rFonts w:asciiTheme="minorHAnsi" w:hAnsiTheme="minorHAnsi" w:cs="Arial"/>
          <w:sz w:val="22"/>
          <w:szCs w:val="22"/>
        </w:rPr>
        <w:t xml:space="preserve"> </w:t>
      </w:r>
      <w:r w:rsidR="00BC33EF">
        <w:rPr>
          <w:rFonts w:asciiTheme="minorHAnsi" w:hAnsiTheme="minorHAnsi" w:cs="Arial"/>
          <w:sz w:val="22"/>
          <w:szCs w:val="22"/>
        </w:rPr>
        <w:t xml:space="preserve">chosen </w:t>
      </w:r>
      <w:r w:rsidR="00292467">
        <w:rPr>
          <w:rFonts w:asciiTheme="minorHAnsi" w:hAnsiTheme="minorHAnsi" w:cs="Arial"/>
          <w:sz w:val="22"/>
          <w:szCs w:val="22"/>
        </w:rPr>
        <w:t>total burden</w:t>
      </w:r>
      <w:r w:rsidR="002960D6">
        <w:rPr>
          <w:rFonts w:asciiTheme="minorHAnsi" w:hAnsiTheme="minorHAnsi" w:cs="Arial"/>
          <w:sz w:val="22"/>
          <w:szCs w:val="22"/>
        </w:rPr>
        <w:t xml:space="preserve"> time</w:t>
      </w:r>
      <w:r w:rsidR="00292467">
        <w:rPr>
          <w:rFonts w:asciiTheme="minorHAnsi" w:hAnsiTheme="minorHAnsi" w:cs="Arial"/>
          <w:sz w:val="22"/>
          <w:szCs w:val="22"/>
        </w:rPr>
        <w:t xml:space="preserve"> was </w:t>
      </w:r>
      <w:r w:rsidR="0007017E">
        <w:rPr>
          <w:rFonts w:asciiTheme="minorHAnsi" w:hAnsiTheme="minorHAnsi" w:cs="Arial"/>
          <w:sz w:val="22"/>
          <w:szCs w:val="22"/>
        </w:rPr>
        <w:t>20</w:t>
      </w:r>
      <w:r w:rsidR="00292467" w:rsidRPr="00292467">
        <w:rPr>
          <w:rFonts w:asciiTheme="minorHAnsi" w:hAnsiTheme="minorHAnsi" w:cs="Arial"/>
          <w:sz w:val="22"/>
          <w:szCs w:val="22"/>
        </w:rPr>
        <w:t xml:space="preserve"> minutes.</w:t>
      </w:r>
      <w:r w:rsidR="007A4E47">
        <w:rPr>
          <w:rFonts w:asciiTheme="minorHAnsi" w:hAnsiTheme="minorHAnsi" w:cs="Arial"/>
          <w:sz w:val="22"/>
          <w:szCs w:val="22"/>
        </w:rPr>
        <w:t xml:space="preserve"> </w:t>
      </w:r>
    </w:p>
    <w:p w:rsidR="00265B73" w:rsidRPr="00265B73" w:rsidRDefault="00BC0B90" w:rsidP="00265B73">
      <w:pPr>
        <w:pStyle w:val="TOC2"/>
        <w:spacing w:before="288" w:after="288"/>
        <w:rPr>
          <w:rFonts w:asciiTheme="minorHAnsi" w:hAnsiTheme="minorHAnsi"/>
        </w:rPr>
      </w:pPr>
      <w:r w:rsidRPr="00587696">
        <w:rPr>
          <w:rFonts w:asciiTheme="minorHAnsi" w:hAnsiTheme="minorHAnsi"/>
        </w:rPr>
        <w:t>5</w:t>
      </w:r>
      <w:r w:rsidR="00B603E1" w:rsidRPr="00587696">
        <w:rPr>
          <w:rFonts w:asciiTheme="minorHAnsi" w:hAnsiTheme="minorHAnsi"/>
        </w:rPr>
        <w:t>.</w:t>
      </w:r>
      <w:r w:rsidRPr="00587696">
        <w:rPr>
          <w:rFonts w:asciiTheme="minorHAnsi" w:hAnsiTheme="minorHAnsi"/>
        </w:rPr>
        <w:tab/>
      </w:r>
      <w:r w:rsidR="00265B73" w:rsidRPr="00265B73">
        <w:rPr>
          <w:rFonts w:asciiTheme="minorHAnsi" w:hAnsiTheme="minorHAnsi"/>
        </w:rPr>
        <w:t>Contact for  Statistical Aspects and  Data Collection</w:t>
      </w:r>
    </w:p>
    <w:p w:rsidR="00BC0B90" w:rsidRPr="00587696" w:rsidRDefault="00BC0B90" w:rsidP="00ED0E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587696">
        <w:rPr>
          <w:rFonts w:asciiTheme="minorHAnsi" w:hAnsiTheme="minorHAnsi" w:cs="Arial"/>
          <w:sz w:val="22"/>
          <w:szCs w:val="22"/>
        </w:rPr>
        <w:t>The following individuals</w:t>
      </w:r>
      <w:r w:rsidR="00F15F2A" w:rsidRPr="00587696">
        <w:rPr>
          <w:rFonts w:asciiTheme="minorHAnsi" w:hAnsiTheme="minorHAnsi" w:cs="Arial"/>
          <w:sz w:val="22"/>
          <w:szCs w:val="22"/>
        </w:rPr>
        <w:t xml:space="preserve"> were consulted </w:t>
      </w:r>
      <w:r w:rsidRPr="00587696">
        <w:rPr>
          <w:rFonts w:asciiTheme="minorHAnsi" w:hAnsiTheme="minorHAnsi" w:cs="Arial"/>
          <w:sz w:val="22"/>
          <w:szCs w:val="22"/>
        </w:rPr>
        <w:t>to provide advice about the design of these data collection activities:</w:t>
      </w:r>
    </w:p>
    <w:p w:rsidR="00BC0B90" w:rsidRPr="00587696" w:rsidRDefault="00BC0B90" w:rsidP="00ED0E58">
      <w:pPr>
        <w:tabs>
          <w:tab w:val="left" w:pos="0"/>
        </w:tabs>
        <w:rPr>
          <w:rFonts w:asciiTheme="minorHAnsi" w:hAnsiTheme="minorHAnsi" w:cs="Arial"/>
          <w:noProof/>
          <w:color w:val="000000"/>
          <w:sz w:val="22"/>
          <w:szCs w:val="22"/>
        </w:rPr>
      </w:pPr>
    </w:p>
    <w:p w:rsidR="00EA55BA" w:rsidRPr="00EA55BA" w:rsidRDefault="00EA55BA" w:rsidP="00ED0E58">
      <w:pPr>
        <w:tabs>
          <w:tab w:val="left" w:pos="0"/>
        </w:tabs>
        <w:rPr>
          <w:rFonts w:asciiTheme="minorHAnsi" w:hAnsiTheme="minorHAnsi" w:cs="Arial"/>
          <w:noProof/>
          <w:color w:val="000000"/>
          <w:sz w:val="22"/>
          <w:szCs w:val="22"/>
        </w:rPr>
      </w:pPr>
      <w:r w:rsidRPr="00EA55BA">
        <w:rPr>
          <w:rFonts w:asciiTheme="minorHAnsi" w:hAnsiTheme="minorHAnsi" w:cs="Arial"/>
          <w:noProof/>
          <w:color w:val="000000"/>
          <w:sz w:val="22"/>
          <w:szCs w:val="22"/>
        </w:rPr>
        <w:t>Liora Sahar, PhD, GISP</w:t>
      </w:r>
    </w:p>
    <w:p w:rsidR="00EA55BA" w:rsidRPr="00EA55BA" w:rsidRDefault="00EA55BA" w:rsidP="00ED0E58">
      <w:pPr>
        <w:tabs>
          <w:tab w:val="left" w:pos="0"/>
        </w:tabs>
        <w:rPr>
          <w:rFonts w:asciiTheme="minorHAnsi" w:hAnsiTheme="minorHAnsi" w:cs="Arial"/>
          <w:noProof/>
          <w:color w:val="000000"/>
          <w:sz w:val="22"/>
          <w:szCs w:val="22"/>
        </w:rPr>
      </w:pPr>
      <w:r w:rsidRPr="00EA55BA">
        <w:rPr>
          <w:rFonts w:asciiTheme="minorHAnsi" w:hAnsiTheme="minorHAnsi" w:cs="Arial"/>
          <w:noProof/>
          <w:color w:val="000000"/>
          <w:sz w:val="22"/>
          <w:szCs w:val="22"/>
        </w:rPr>
        <w:t>Sr. GeoSpatial Analyst</w:t>
      </w:r>
    </w:p>
    <w:p w:rsidR="00EA55BA" w:rsidRPr="00EA55BA" w:rsidRDefault="00EA55BA" w:rsidP="00ED0E58">
      <w:pPr>
        <w:tabs>
          <w:tab w:val="left" w:pos="0"/>
        </w:tabs>
        <w:rPr>
          <w:rFonts w:asciiTheme="minorHAnsi" w:hAnsiTheme="minorHAnsi" w:cs="Arial"/>
          <w:noProof/>
          <w:color w:val="000000"/>
          <w:sz w:val="22"/>
          <w:szCs w:val="22"/>
        </w:rPr>
      </w:pPr>
      <w:r w:rsidRPr="00EA55BA">
        <w:rPr>
          <w:rFonts w:asciiTheme="minorHAnsi" w:hAnsiTheme="minorHAnsi" w:cs="Arial"/>
          <w:noProof/>
          <w:color w:val="000000"/>
          <w:sz w:val="22"/>
          <w:szCs w:val="22"/>
        </w:rPr>
        <w:t>Northrop Grumman Corporation IS</w:t>
      </w:r>
    </w:p>
    <w:p w:rsidR="00EA55BA" w:rsidRPr="00EA55BA" w:rsidRDefault="00EA55BA" w:rsidP="00ED0E58">
      <w:pPr>
        <w:tabs>
          <w:tab w:val="left" w:pos="0"/>
        </w:tabs>
        <w:rPr>
          <w:rFonts w:asciiTheme="minorHAnsi" w:hAnsiTheme="minorHAnsi" w:cs="Arial"/>
          <w:noProof/>
          <w:color w:val="000000"/>
          <w:sz w:val="22"/>
          <w:szCs w:val="22"/>
        </w:rPr>
      </w:pPr>
      <w:r w:rsidRPr="00EA55BA">
        <w:rPr>
          <w:rFonts w:asciiTheme="minorHAnsi" w:hAnsiTheme="minorHAnsi" w:cs="Arial"/>
          <w:noProof/>
          <w:color w:val="000000"/>
          <w:sz w:val="22"/>
          <w:szCs w:val="22"/>
        </w:rPr>
        <w:t>Civil Systems Division, Health Solutions</w:t>
      </w:r>
    </w:p>
    <w:p w:rsidR="00EA55BA" w:rsidRPr="00EA55BA" w:rsidRDefault="00EA55BA" w:rsidP="00ED0E58">
      <w:pPr>
        <w:tabs>
          <w:tab w:val="left" w:pos="0"/>
        </w:tabs>
        <w:rPr>
          <w:rFonts w:asciiTheme="minorHAnsi" w:hAnsiTheme="minorHAnsi" w:cs="Arial"/>
          <w:noProof/>
          <w:color w:val="000000"/>
          <w:sz w:val="22"/>
          <w:szCs w:val="22"/>
        </w:rPr>
      </w:pPr>
      <w:r>
        <w:rPr>
          <w:rFonts w:asciiTheme="minorHAnsi" w:hAnsiTheme="minorHAnsi" w:cs="Arial"/>
          <w:noProof/>
          <w:color w:val="000000"/>
          <w:sz w:val="22"/>
          <w:szCs w:val="22"/>
        </w:rPr>
        <w:t>Tel:</w:t>
      </w:r>
      <w:r w:rsidRPr="00EA55BA">
        <w:rPr>
          <w:rFonts w:asciiTheme="minorHAnsi" w:hAnsiTheme="minorHAnsi" w:cs="Arial"/>
          <w:noProof/>
          <w:color w:val="000000"/>
          <w:sz w:val="22"/>
          <w:szCs w:val="22"/>
        </w:rPr>
        <w:t xml:space="preserve"> 678-530-8715</w:t>
      </w:r>
    </w:p>
    <w:p w:rsidR="00EA55BA" w:rsidRPr="00EA55BA" w:rsidRDefault="00631BD1" w:rsidP="00ED0E58">
      <w:pPr>
        <w:tabs>
          <w:tab w:val="left" w:pos="0"/>
        </w:tabs>
        <w:rPr>
          <w:rFonts w:asciiTheme="minorHAnsi" w:hAnsiTheme="minorHAnsi" w:cs="Arial"/>
          <w:noProof/>
          <w:color w:val="000000"/>
          <w:sz w:val="22"/>
          <w:szCs w:val="22"/>
        </w:rPr>
      </w:pPr>
      <w:hyperlink r:id="rId10" w:history="1">
        <w:r w:rsidR="00EA55BA" w:rsidRPr="00F44C2E">
          <w:rPr>
            <w:rStyle w:val="Hyperlink"/>
            <w:rFonts w:asciiTheme="minorHAnsi" w:hAnsiTheme="minorHAnsi" w:cs="Arial"/>
            <w:noProof/>
            <w:sz w:val="22"/>
            <w:szCs w:val="22"/>
          </w:rPr>
          <w:t>liora.sahar@ngc.com</w:t>
        </w:r>
      </w:hyperlink>
      <w:r w:rsidR="00EA55BA">
        <w:rPr>
          <w:rFonts w:asciiTheme="minorHAnsi" w:hAnsiTheme="minorHAnsi" w:cs="Arial"/>
          <w:noProof/>
          <w:color w:val="000000"/>
          <w:sz w:val="22"/>
          <w:szCs w:val="22"/>
        </w:rPr>
        <w:t xml:space="preserve"> </w:t>
      </w:r>
      <w:r w:rsidR="00EA55BA" w:rsidRPr="00EA55BA">
        <w:rPr>
          <w:rFonts w:asciiTheme="minorHAnsi" w:hAnsiTheme="minorHAnsi" w:cs="Arial"/>
          <w:noProof/>
          <w:color w:val="000000"/>
          <w:sz w:val="22"/>
          <w:szCs w:val="22"/>
        </w:rPr>
        <w:t xml:space="preserve"> </w:t>
      </w:r>
    </w:p>
    <w:p w:rsidR="00EA55BA" w:rsidRDefault="00631BD1" w:rsidP="00ED0E58">
      <w:pPr>
        <w:tabs>
          <w:tab w:val="left" w:pos="0"/>
        </w:tabs>
        <w:rPr>
          <w:rFonts w:asciiTheme="minorHAnsi" w:hAnsiTheme="minorHAnsi" w:cs="Arial"/>
          <w:noProof/>
          <w:color w:val="000000"/>
          <w:sz w:val="22"/>
          <w:szCs w:val="22"/>
        </w:rPr>
      </w:pPr>
      <w:hyperlink r:id="rId11" w:history="1">
        <w:r w:rsidR="00EA55BA" w:rsidRPr="00F44C2E">
          <w:rPr>
            <w:rStyle w:val="Hyperlink"/>
            <w:rFonts w:asciiTheme="minorHAnsi" w:hAnsiTheme="minorHAnsi" w:cs="Arial"/>
            <w:noProof/>
            <w:sz w:val="22"/>
            <w:szCs w:val="22"/>
          </w:rPr>
          <w:t>lsahar@cdc.gov</w:t>
        </w:r>
      </w:hyperlink>
      <w:r w:rsidR="00EA55BA">
        <w:rPr>
          <w:rFonts w:asciiTheme="minorHAnsi" w:hAnsiTheme="minorHAnsi" w:cs="Arial"/>
          <w:noProof/>
          <w:color w:val="000000"/>
          <w:sz w:val="22"/>
          <w:szCs w:val="22"/>
        </w:rPr>
        <w:t xml:space="preserve"> </w:t>
      </w:r>
      <w:r w:rsidR="00EA55BA" w:rsidRPr="00EA55BA">
        <w:rPr>
          <w:rFonts w:asciiTheme="minorHAnsi" w:hAnsiTheme="minorHAnsi" w:cs="Arial"/>
          <w:noProof/>
          <w:color w:val="000000"/>
          <w:sz w:val="22"/>
          <w:szCs w:val="22"/>
        </w:rPr>
        <w:t xml:space="preserve"> </w:t>
      </w:r>
    </w:p>
    <w:p w:rsidR="00F15F2A" w:rsidRPr="00EC4503" w:rsidRDefault="00F15F2A" w:rsidP="00ED0E58">
      <w:pPr>
        <w:tabs>
          <w:tab w:val="left" w:pos="0"/>
        </w:tabs>
        <w:rPr>
          <w:rFonts w:asciiTheme="minorHAnsi" w:hAnsiTheme="minorHAnsi" w:cs="Arial"/>
          <w:noProof/>
          <w:color w:val="000000"/>
          <w:sz w:val="22"/>
          <w:szCs w:val="22"/>
          <w:lang w:val="fr-FR"/>
        </w:rPr>
      </w:pPr>
    </w:p>
    <w:p w:rsidR="00E87EB6" w:rsidRDefault="001F6663" w:rsidP="00ED0E58">
      <w:pPr>
        <w:tabs>
          <w:tab w:val="left" w:pos="0"/>
        </w:tabs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EC4503">
        <w:rPr>
          <w:rFonts w:asciiTheme="minorHAnsi" w:hAnsiTheme="minorHAnsi" w:cs="Arial"/>
          <w:sz w:val="22"/>
          <w:szCs w:val="22"/>
        </w:rPr>
        <w:t xml:space="preserve">The team of individuals working on information collection, including instrument development, data collection, and data analysis </w:t>
      </w:r>
      <w:r w:rsidR="00E101DF">
        <w:rPr>
          <w:rFonts w:asciiTheme="minorHAnsi" w:hAnsiTheme="minorHAnsi" w:cs="Arial"/>
          <w:sz w:val="22"/>
          <w:szCs w:val="22"/>
        </w:rPr>
        <w:t>are</w:t>
      </w:r>
      <w:r w:rsidRPr="00EC4503">
        <w:rPr>
          <w:rFonts w:asciiTheme="minorHAnsi" w:hAnsiTheme="minorHAnsi" w:cs="Arial"/>
          <w:sz w:val="22"/>
          <w:szCs w:val="22"/>
        </w:rPr>
        <w:t xml:space="preserve"> members of the </w:t>
      </w:r>
      <w:r w:rsidR="0080029E" w:rsidRPr="00EC4503">
        <w:rPr>
          <w:rFonts w:asciiTheme="minorHAnsi" w:hAnsiTheme="minorHAnsi" w:cs="Arial"/>
          <w:sz w:val="22"/>
          <w:szCs w:val="22"/>
        </w:rPr>
        <w:t>Countermeasure and Tracking System</w:t>
      </w:r>
      <w:r w:rsidR="00ED028F">
        <w:rPr>
          <w:rFonts w:asciiTheme="minorHAnsi" w:hAnsiTheme="minorHAnsi" w:cs="Arial"/>
          <w:sz w:val="22"/>
          <w:szCs w:val="22"/>
        </w:rPr>
        <w:t xml:space="preserve">s </w:t>
      </w:r>
      <w:r w:rsidR="00E87EB6">
        <w:rPr>
          <w:rFonts w:asciiTheme="minorHAnsi" w:hAnsiTheme="minorHAnsi" w:cs="Arial"/>
          <w:sz w:val="22"/>
          <w:szCs w:val="22"/>
        </w:rPr>
        <w:t xml:space="preserve">(CTS) </w:t>
      </w:r>
      <w:r w:rsidR="00ED028F">
        <w:rPr>
          <w:rFonts w:asciiTheme="minorHAnsi" w:hAnsiTheme="minorHAnsi" w:cs="Arial"/>
          <w:sz w:val="22"/>
          <w:szCs w:val="22"/>
        </w:rPr>
        <w:t>team</w:t>
      </w:r>
      <w:r w:rsidR="0080029E" w:rsidRPr="00EC4503">
        <w:rPr>
          <w:rFonts w:asciiTheme="minorHAnsi" w:hAnsiTheme="minorHAnsi" w:cs="Arial"/>
          <w:sz w:val="22"/>
          <w:szCs w:val="22"/>
        </w:rPr>
        <w:t xml:space="preserve"> in </w:t>
      </w:r>
      <w:r w:rsidR="00E101DF">
        <w:rPr>
          <w:rFonts w:asciiTheme="minorHAnsi" w:hAnsiTheme="minorHAnsi" w:cs="Arial"/>
          <w:sz w:val="22"/>
          <w:szCs w:val="22"/>
        </w:rPr>
        <w:t xml:space="preserve">the </w:t>
      </w:r>
      <w:r w:rsidR="0080029E" w:rsidRPr="00EC4503">
        <w:rPr>
          <w:rFonts w:asciiTheme="minorHAnsi" w:hAnsiTheme="minorHAnsi" w:cs="Arial"/>
          <w:sz w:val="22"/>
          <w:szCs w:val="22"/>
        </w:rPr>
        <w:t xml:space="preserve">Division of Informatics Solutions and Operations (DISO) and </w:t>
      </w:r>
      <w:r w:rsidR="00E101DF">
        <w:rPr>
          <w:rFonts w:asciiTheme="minorHAnsi" w:hAnsiTheme="minorHAnsi" w:cs="Arial"/>
          <w:sz w:val="22"/>
          <w:szCs w:val="22"/>
        </w:rPr>
        <w:t xml:space="preserve">the </w:t>
      </w:r>
      <w:r w:rsidR="0080029E" w:rsidRPr="00EC4503">
        <w:rPr>
          <w:rFonts w:asciiTheme="minorHAnsi" w:hAnsiTheme="minorHAnsi" w:cs="Arial"/>
          <w:sz w:val="22"/>
          <w:szCs w:val="22"/>
        </w:rPr>
        <w:t xml:space="preserve">Division of Strategic National Stockpile (DSNS) </w:t>
      </w:r>
      <w:r w:rsidRPr="00EC4503">
        <w:rPr>
          <w:rFonts w:asciiTheme="minorHAnsi" w:hAnsiTheme="minorHAnsi" w:cs="Arial"/>
          <w:sz w:val="22"/>
          <w:szCs w:val="22"/>
        </w:rPr>
        <w:t>as listed in Table B</w:t>
      </w:r>
      <w:r w:rsidR="004719BB">
        <w:rPr>
          <w:rFonts w:asciiTheme="minorHAnsi" w:hAnsiTheme="minorHAnsi" w:cs="Arial"/>
          <w:sz w:val="22"/>
          <w:szCs w:val="22"/>
        </w:rPr>
        <w:t>-2.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980"/>
        <w:gridCol w:w="1710"/>
        <w:gridCol w:w="2790"/>
      </w:tblGrid>
      <w:tr w:rsidR="001F6663" w:rsidRPr="00EC4503">
        <w:tc>
          <w:tcPr>
            <w:tcW w:w="86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663" w:rsidRPr="00EC4503" w:rsidRDefault="001F6663" w:rsidP="00E101DF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</w:rPr>
            </w:pPr>
            <w:r w:rsidRPr="00E770F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Table B</w:t>
            </w:r>
            <w:r w:rsidR="00ED028F" w:rsidRPr="00E770F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-</w:t>
            </w:r>
            <w:r w:rsidR="00E101DF" w:rsidRPr="00E770F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2</w:t>
            </w:r>
            <w:r w:rsidR="00E87EB6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:</w:t>
            </w:r>
            <w:r w:rsidRPr="00EC4503">
              <w:rPr>
                <w:rFonts w:asciiTheme="minorHAnsi" w:hAnsiTheme="minorHAnsi" w:cs="Arial"/>
                <w:sz w:val="22"/>
                <w:szCs w:val="22"/>
              </w:rPr>
              <w:t xml:space="preserve"> Staff Responsible for Instrument Design, Data Collection and Analyses</w:t>
            </w:r>
          </w:p>
        </w:tc>
      </w:tr>
      <w:tr w:rsidR="001F6663" w:rsidRPr="00EC4503" w:rsidTr="0080029E">
        <w:tc>
          <w:tcPr>
            <w:tcW w:w="2178" w:type="dxa"/>
            <w:shd w:val="clear" w:color="auto" w:fill="E0E0E0"/>
          </w:tcPr>
          <w:p w:rsidR="001F6663" w:rsidRPr="00EC4503" w:rsidRDefault="001F6663" w:rsidP="00F1436A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</w:rPr>
            </w:pPr>
            <w:r w:rsidRPr="00EC4503">
              <w:rPr>
                <w:rFonts w:asciiTheme="minorHAnsi" w:hAnsiTheme="minorHAnsi" w:cs="Arial"/>
                <w:b/>
                <w:sz w:val="22"/>
                <w:szCs w:val="22"/>
              </w:rPr>
              <w:t>Name</w:t>
            </w:r>
          </w:p>
        </w:tc>
        <w:tc>
          <w:tcPr>
            <w:tcW w:w="1980" w:type="dxa"/>
            <w:shd w:val="clear" w:color="auto" w:fill="E0E0E0"/>
          </w:tcPr>
          <w:p w:rsidR="001F6663" w:rsidRPr="00EC4503" w:rsidRDefault="001F6663" w:rsidP="00F1436A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</w:rPr>
            </w:pPr>
            <w:r w:rsidRPr="00EC4503">
              <w:rPr>
                <w:rFonts w:asciiTheme="minorHAnsi" w:hAnsiTheme="minorHAnsi" w:cs="Arial"/>
                <w:b/>
                <w:sz w:val="22"/>
                <w:szCs w:val="22"/>
              </w:rPr>
              <w:t>Agency</w:t>
            </w:r>
          </w:p>
        </w:tc>
        <w:tc>
          <w:tcPr>
            <w:tcW w:w="1710" w:type="dxa"/>
            <w:shd w:val="clear" w:color="auto" w:fill="E0E0E0"/>
          </w:tcPr>
          <w:p w:rsidR="001F6663" w:rsidRPr="00EC4503" w:rsidRDefault="001F6663" w:rsidP="00F1436A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</w:rPr>
            </w:pPr>
            <w:r w:rsidRPr="00EC4503">
              <w:rPr>
                <w:rFonts w:asciiTheme="minorHAnsi" w:hAnsiTheme="minorHAnsi"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2790" w:type="dxa"/>
            <w:shd w:val="clear" w:color="auto" w:fill="E0E0E0"/>
          </w:tcPr>
          <w:p w:rsidR="001F6663" w:rsidRPr="00EC4503" w:rsidRDefault="001F6663" w:rsidP="00F1436A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</w:rPr>
            </w:pPr>
            <w:r w:rsidRPr="00EC4503">
              <w:rPr>
                <w:rFonts w:asciiTheme="minorHAnsi" w:hAnsiTheme="minorHAnsi" w:cs="Arial"/>
                <w:b/>
                <w:sz w:val="22"/>
                <w:szCs w:val="22"/>
              </w:rPr>
              <w:t>Email</w:t>
            </w:r>
          </w:p>
        </w:tc>
      </w:tr>
      <w:tr w:rsidR="001F6663" w:rsidRPr="00EC4503" w:rsidTr="0080029E">
        <w:tc>
          <w:tcPr>
            <w:tcW w:w="2178" w:type="dxa"/>
          </w:tcPr>
          <w:p w:rsidR="001F6663" w:rsidRPr="00E101DF" w:rsidRDefault="0080029E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101DF">
              <w:rPr>
                <w:rFonts w:asciiTheme="minorHAnsi" w:hAnsiTheme="minorHAnsi" w:cs="Arial"/>
                <w:sz w:val="22"/>
                <w:szCs w:val="22"/>
              </w:rPr>
              <w:t>Sanjeeb</w:t>
            </w:r>
            <w:proofErr w:type="spellEnd"/>
            <w:r w:rsidRPr="00E101D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101DF">
              <w:rPr>
                <w:rFonts w:asciiTheme="minorHAnsi" w:hAnsiTheme="minorHAnsi" w:cs="Arial"/>
                <w:sz w:val="22"/>
                <w:szCs w:val="22"/>
              </w:rPr>
              <w:t>Sapkota</w:t>
            </w:r>
            <w:proofErr w:type="spellEnd"/>
          </w:p>
        </w:tc>
        <w:tc>
          <w:tcPr>
            <w:tcW w:w="1980" w:type="dxa"/>
          </w:tcPr>
          <w:p w:rsidR="001F6663" w:rsidRPr="00E101DF" w:rsidRDefault="0080029E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101DF">
              <w:rPr>
                <w:rFonts w:asciiTheme="minorHAnsi" w:hAnsiTheme="minorHAnsi" w:cs="Arial"/>
                <w:sz w:val="22"/>
                <w:szCs w:val="22"/>
              </w:rPr>
              <w:t>CDC/OSELS/PHSIPO(Proposed)/ DISO</w:t>
            </w:r>
          </w:p>
        </w:tc>
        <w:tc>
          <w:tcPr>
            <w:tcW w:w="1710" w:type="dxa"/>
          </w:tcPr>
          <w:p w:rsidR="001F6663" w:rsidRPr="00E101DF" w:rsidRDefault="0080029E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 xml:space="preserve">404-498-6832 </w:t>
            </w:r>
          </w:p>
        </w:tc>
        <w:tc>
          <w:tcPr>
            <w:tcW w:w="2790" w:type="dxa"/>
          </w:tcPr>
          <w:p w:rsidR="001F6663" w:rsidRPr="00E101DF" w:rsidRDefault="0080029E" w:rsidP="001F6663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>ssapkota</w:t>
            </w:r>
            <w:r w:rsidR="001F6663" w:rsidRPr="00EC4503">
              <w:rPr>
                <w:rFonts w:asciiTheme="minorHAnsi" w:hAnsiTheme="minorHAnsi" w:cs="Arial"/>
                <w:sz w:val="22"/>
                <w:szCs w:val="22"/>
              </w:rPr>
              <w:t>@cdc.gov</w:t>
            </w:r>
          </w:p>
        </w:tc>
      </w:tr>
      <w:tr w:rsidR="001F6663" w:rsidRPr="00EC4503" w:rsidTr="0080029E">
        <w:tc>
          <w:tcPr>
            <w:tcW w:w="2178" w:type="dxa"/>
          </w:tcPr>
          <w:p w:rsidR="001F6663" w:rsidRPr="00E101DF" w:rsidRDefault="0080029E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>Benjamin Erickson</w:t>
            </w:r>
            <w:r w:rsidR="001F6663" w:rsidRPr="00EC450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1F6663" w:rsidRPr="00E101DF" w:rsidRDefault="0080029E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>CDC/OPHPR/DSNS</w:t>
            </w:r>
          </w:p>
        </w:tc>
        <w:tc>
          <w:tcPr>
            <w:tcW w:w="1710" w:type="dxa"/>
          </w:tcPr>
          <w:p w:rsidR="001F6663" w:rsidRPr="00E101DF" w:rsidRDefault="00FD3C4D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>404</w:t>
            </w:r>
            <w:r w:rsidR="00BF0683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EC4503">
              <w:rPr>
                <w:rFonts w:asciiTheme="minorHAnsi" w:hAnsiTheme="minorHAnsi" w:cs="Arial"/>
                <w:sz w:val="22"/>
                <w:szCs w:val="22"/>
              </w:rPr>
              <w:t>639</w:t>
            </w:r>
            <w:r w:rsidR="00BF0683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EC4503">
              <w:rPr>
                <w:rFonts w:asciiTheme="minorHAnsi" w:hAnsiTheme="minorHAnsi" w:cs="Arial"/>
                <w:sz w:val="22"/>
                <w:szCs w:val="22"/>
              </w:rPr>
              <w:t>2132</w:t>
            </w:r>
          </w:p>
        </w:tc>
        <w:tc>
          <w:tcPr>
            <w:tcW w:w="2790" w:type="dxa"/>
          </w:tcPr>
          <w:p w:rsidR="001F6663" w:rsidRPr="00E101DF" w:rsidRDefault="0080029E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>berickson</w:t>
            </w:r>
            <w:r w:rsidR="001F6663" w:rsidRPr="00EC4503">
              <w:rPr>
                <w:rFonts w:asciiTheme="minorHAnsi" w:hAnsiTheme="minorHAnsi" w:cs="Arial"/>
                <w:sz w:val="22"/>
                <w:szCs w:val="22"/>
              </w:rPr>
              <w:t>@cdc.gov</w:t>
            </w:r>
          </w:p>
        </w:tc>
      </w:tr>
      <w:tr w:rsidR="001F6663" w:rsidRPr="00EC4503" w:rsidTr="0080029E">
        <w:tc>
          <w:tcPr>
            <w:tcW w:w="2178" w:type="dxa"/>
          </w:tcPr>
          <w:p w:rsidR="001F6663" w:rsidRPr="00E101DF" w:rsidRDefault="0080029E" w:rsidP="00E101DF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>Leslie Lee</w:t>
            </w:r>
            <w:r w:rsidR="001F6663" w:rsidRPr="00EC450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1F6663" w:rsidRPr="00E101DF" w:rsidRDefault="0080029E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 xml:space="preserve">Contracted to </w:t>
            </w:r>
            <w:r w:rsidRPr="00E101DF">
              <w:rPr>
                <w:rFonts w:asciiTheme="minorHAnsi" w:hAnsiTheme="minorHAnsi" w:cs="Arial"/>
                <w:sz w:val="22"/>
                <w:szCs w:val="22"/>
              </w:rPr>
              <w:t>CDC/OSELS/PHSIPO(Proposed)/ DISO</w:t>
            </w:r>
          </w:p>
        </w:tc>
        <w:tc>
          <w:tcPr>
            <w:tcW w:w="1710" w:type="dxa"/>
          </w:tcPr>
          <w:p w:rsidR="001F6663" w:rsidRPr="00E101DF" w:rsidRDefault="00FD3C4D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>404</w:t>
            </w:r>
            <w:r w:rsidR="00BF0683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EC4503">
              <w:rPr>
                <w:rFonts w:asciiTheme="minorHAnsi" w:hAnsiTheme="minorHAnsi" w:cs="Arial"/>
                <w:sz w:val="22"/>
                <w:szCs w:val="22"/>
              </w:rPr>
              <w:t>325</w:t>
            </w:r>
            <w:r w:rsidR="00BF0683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EC4503">
              <w:rPr>
                <w:rFonts w:asciiTheme="minorHAnsi" w:hAnsiTheme="minorHAnsi" w:cs="Arial"/>
                <w:sz w:val="22"/>
                <w:szCs w:val="22"/>
              </w:rPr>
              <w:t>2660</w:t>
            </w:r>
          </w:p>
        </w:tc>
        <w:tc>
          <w:tcPr>
            <w:tcW w:w="2790" w:type="dxa"/>
          </w:tcPr>
          <w:p w:rsidR="001F6663" w:rsidRPr="00E101DF" w:rsidRDefault="0080029E" w:rsidP="001F6663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E101DF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EC4503">
              <w:rPr>
                <w:rFonts w:asciiTheme="minorHAnsi" w:hAnsiTheme="minorHAnsi" w:cs="Arial"/>
                <w:sz w:val="22"/>
                <w:szCs w:val="22"/>
              </w:rPr>
              <w:t>lee</w:t>
            </w:r>
            <w:r w:rsidR="001F6663" w:rsidRPr="00EC4503">
              <w:rPr>
                <w:rFonts w:asciiTheme="minorHAnsi" w:hAnsiTheme="minorHAnsi" w:cs="Arial"/>
                <w:sz w:val="22"/>
                <w:szCs w:val="22"/>
              </w:rPr>
              <w:t>@cdc.gov</w:t>
            </w:r>
          </w:p>
        </w:tc>
      </w:tr>
      <w:tr w:rsidR="001F6663" w:rsidRPr="00EC4503" w:rsidTr="0080029E">
        <w:tc>
          <w:tcPr>
            <w:tcW w:w="2178" w:type="dxa"/>
          </w:tcPr>
          <w:p w:rsidR="001F6663" w:rsidRPr="00E101DF" w:rsidRDefault="0080029E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 xml:space="preserve">Caroline </w:t>
            </w:r>
            <w:proofErr w:type="spellStart"/>
            <w:r w:rsidRPr="00EC4503">
              <w:rPr>
                <w:rFonts w:asciiTheme="minorHAnsi" w:hAnsiTheme="minorHAnsi" w:cs="Arial"/>
                <w:sz w:val="22"/>
                <w:szCs w:val="22"/>
              </w:rPr>
              <w:t>Westnedge</w:t>
            </w:r>
            <w:proofErr w:type="spellEnd"/>
          </w:p>
        </w:tc>
        <w:tc>
          <w:tcPr>
            <w:tcW w:w="1980" w:type="dxa"/>
          </w:tcPr>
          <w:p w:rsidR="001F6663" w:rsidRPr="00E101DF" w:rsidRDefault="0080029E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 xml:space="preserve">Contracted to </w:t>
            </w:r>
            <w:r w:rsidRPr="00E101DF">
              <w:rPr>
                <w:rFonts w:asciiTheme="minorHAnsi" w:hAnsiTheme="minorHAnsi" w:cs="Arial"/>
                <w:sz w:val="22"/>
                <w:szCs w:val="22"/>
              </w:rPr>
              <w:t>CDC/OSELS/PHSIPO(Proposed)/ DISO</w:t>
            </w:r>
          </w:p>
        </w:tc>
        <w:tc>
          <w:tcPr>
            <w:tcW w:w="1710" w:type="dxa"/>
          </w:tcPr>
          <w:p w:rsidR="001F6663" w:rsidRPr="00E101DF" w:rsidRDefault="00FD3C4D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>404</w:t>
            </w:r>
            <w:r w:rsidR="00BF0683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EC4503">
              <w:rPr>
                <w:rFonts w:asciiTheme="minorHAnsi" w:hAnsiTheme="minorHAnsi" w:cs="Arial"/>
                <w:sz w:val="22"/>
                <w:szCs w:val="22"/>
              </w:rPr>
              <w:t>325</w:t>
            </w:r>
            <w:r w:rsidR="00BF0683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EC4503">
              <w:rPr>
                <w:rFonts w:asciiTheme="minorHAnsi" w:hAnsiTheme="minorHAnsi" w:cs="Arial"/>
                <w:sz w:val="22"/>
                <w:szCs w:val="22"/>
              </w:rPr>
              <w:t>2660</w:t>
            </w:r>
          </w:p>
        </w:tc>
        <w:tc>
          <w:tcPr>
            <w:tcW w:w="2790" w:type="dxa"/>
          </w:tcPr>
          <w:p w:rsidR="001F6663" w:rsidRPr="00E101DF" w:rsidRDefault="0080029E" w:rsidP="001F6663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>cwestnedge</w:t>
            </w:r>
            <w:r w:rsidR="001F6663" w:rsidRPr="00EC4503">
              <w:rPr>
                <w:rFonts w:asciiTheme="minorHAnsi" w:hAnsiTheme="minorHAnsi" w:cs="Arial"/>
                <w:sz w:val="22"/>
                <w:szCs w:val="22"/>
              </w:rPr>
              <w:t>@cdc.gov</w:t>
            </w:r>
          </w:p>
        </w:tc>
      </w:tr>
      <w:tr w:rsidR="00955068" w:rsidRPr="00EC4503" w:rsidTr="0080029E">
        <w:tc>
          <w:tcPr>
            <w:tcW w:w="2178" w:type="dxa"/>
          </w:tcPr>
          <w:p w:rsidR="00955068" w:rsidRPr="00E101DF" w:rsidRDefault="00955068" w:rsidP="001F6663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101DF">
              <w:rPr>
                <w:rFonts w:asciiTheme="minorHAnsi" w:hAnsiTheme="minorHAnsi" w:cs="Arial"/>
                <w:sz w:val="22"/>
                <w:szCs w:val="22"/>
              </w:rPr>
              <w:t>Liora</w:t>
            </w:r>
            <w:proofErr w:type="spellEnd"/>
            <w:r w:rsidRPr="00E101D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101DF">
              <w:rPr>
                <w:rFonts w:asciiTheme="minorHAnsi" w:hAnsiTheme="minorHAnsi" w:cs="Arial"/>
                <w:sz w:val="22"/>
                <w:szCs w:val="22"/>
              </w:rPr>
              <w:t>Sah</w:t>
            </w:r>
            <w:r w:rsidR="00E101DF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E101DF">
              <w:rPr>
                <w:rFonts w:asciiTheme="minorHAnsi" w:hAnsiTheme="minorHAnsi" w:cs="Arial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1980" w:type="dxa"/>
          </w:tcPr>
          <w:p w:rsidR="00955068" w:rsidRPr="00E101DF" w:rsidRDefault="00955068" w:rsidP="00F90C7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C4503">
              <w:rPr>
                <w:rFonts w:asciiTheme="minorHAnsi" w:hAnsiTheme="minorHAnsi" w:cs="Arial"/>
                <w:sz w:val="22"/>
                <w:szCs w:val="22"/>
              </w:rPr>
              <w:t xml:space="preserve">Contracted to </w:t>
            </w:r>
            <w:r w:rsidRPr="00E101DF">
              <w:rPr>
                <w:rFonts w:asciiTheme="minorHAnsi" w:hAnsiTheme="minorHAnsi" w:cs="Arial"/>
                <w:sz w:val="22"/>
                <w:szCs w:val="22"/>
              </w:rPr>
              <w:t>CDC/OSELS/PHSIPO(Proposed)/ DISO</w:t>
            </w:r>
          </w:p>
        </w:tc>
        <w:tc>
          <w:tcPr>
            <w:tcW w:w="1710" w:type="dxa"/>
          </w:tcPr>
          <w:p w:rsidR="00955068" w:rsidRPr="00E101DF" w:rsidRDefault="00E101DF" w:rsidP="00F1436A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101DF">
              <w:rPr>
                <w:rFonts w:asciiTheme="minorHAnsi" w:hAnsiTheme="minorHAnsi" w:cs="Arial"/>
                <w:sz w:val="22"/>
                <w:szCs w:val="22"/>
              </w:rPr>
              <w:t>678-530-8715</w:t>
            </w:r>
          </w:p>
        </w:tc>
        <w:tc>
          <w:tcPr>
            <w:tcW w:w="2790" w:type="dxa"/>
          </w:tcPr>
          <w:p w:rsidR="00955068" w:rsidRPr="00E101DF" w:rsidRDefault="00955068" w:rsidP="001F6663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E101DF">
              <w:rPr>
                <w:rFonts w:asciiTheme="minorHAnsi" w:hAnsiTheme="minorHAnsi" w:cs="Arial"/>
                <w:sz w:val="22"/>
                <w:szCs w:val="22"/>
              </w:rPr>
              <w:t>ls</w:t>
            </w:r>
            <w:r w:rsidR="00E101DF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E101DF">
              <w:rPr>
                <w:rFonts w:asciiTheme="minorHAnsi" w:hAnsiTheme="minorHAnsi" w:cs="Arial"/>
                <w:sz w:val="22"/>
                <w:szCs w:val="22"/>
              </w:rPr>
              <w:t>h</w:t>
            </w:r>
            <w:r w:rsidR="00E101DF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E101DF">
              <w:rPr>
                <w:rFonts w:asciiTheme="minorHAnsi" w:hAnsiTheme="minorHAnsi" w:cs="Arial"/>
                <w:sz w:val="22"/>
                <w:szCs w:val="22"/>
              </w:rPr>
              <w:t>r@cdc.gov</w:t>
            </w:r>
          </w:p>
        </w:tc>
      </w:tr>
    </w:tbl>
    <w:p w:rsidR="001F6663" w:rsidRPr="00EC4503" w:rsidRDefault="001F6663" w:rsidP="001F6663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EC4503">
        <w:rPr>
          <w:rFonts w:asciiTheme="minorHAnsi" w:hAnsiTheme="minorHAnsi" w:cs="Arial"/>
          <w:sz w:val="22"/>
          <w:szCs w:val="22"/>
        </w:rPr>
        <w:t>The majority of data will be analyzed using basic descriptive analyses. Because the major purpose of this data collecti</w:t>
      </w:r>
      <w:r w:rsidR="00FD3C4D" w:rsidRPr="00EC4503">
        <w:rPr>
          <w:rFonts w:asciiTheme="minorHAnsi" w:hAnsiTheme="minorHAnsi" w:cs="Arial"/>
          <w:sz w:val="22"/>
          <w:szCs w:val="22"/>
        </w:rPr>
        <w:t xml:space="preserve">on is </w:t>
      </w:r>
      <w:r w:rsidR="00BF0683">
        <w:rPr>
          <w:rFonts w:asciiTheme="minorHAnsi" w:hAnsiTheme="minorHAnsi" w:cs="Arial"/>
          <w:sz w:val="22"/>
          <w:szCs w:val="22"/>
        </w:rPr>
        <w:t xml:space="preserve">for </w:t>
      </w:r>
      <w:r w:rsidR="00FD3C4D" w:rsidRPr="00EC4503">
        <w:rPr>
          <w:rFonts w:asciiTheme="minorHAnsi" w:hAnsiTheme="minorHAnsi" w:cs="Arial"/>
          <w:sz w:val="22"/>
          <w:szCs w:val="22"/>
        </w:rPr>
        <w:t xml:space="preserve">program improvement, </w:t>
      </w:r>
      <w:r w:rsidR="00E87EB6">
        <w:rPr>
          <w:rFonts w:asciiTheme="minorHAnsi" w:hAnsiTheme="minorHAnsi" w:cs="Arial"/>
          <w:sz w:val="22"/>
          <w:szCs w:val="22"/>
        </w:rPr>
        <w:t>the C</w:t>
      </w:r>
      <w:r w:rsidR="00FD3C4D" w:rsidRPr="00EC4503">
        <w:rPr>
          <w:rFonts w:asciiTheme="minorHAnsi" w:hAnsiTheme="minorHAnsi" w:cs="Arial"/>
          <w:sz w:val="22"/>
          <w:szCs w:val="22"/>
        </w:rPr>
        <w:t>TS</w:t>
      </w:r>
      <w:r w:rsidRPr="00EC4503">
        <w:rPr>
          <w:rFonts w:asciiTheme="minorHAnsi" w:hAnsiTheme="minorHAnsi" w:cs="Arial"/>
          <w:sz w:val="22"/>
          <w:szCs w:val="22"/>
        </w:rPr>
        <w:t xml:space="preserve"> </w:t>
      </w:r>
      <w:r w:rsidR="00E87EB6">
        <w:rPr>
          <w:rFonts w:asciiTheme="minorHAnsi" w:hAnsiTheme="minorHAnsi" w:cs="Arial"/>
          <w:sz w:val="22"/>
          <w:szCs w:val="22"/>
        </w:rPr>
        <w:t xml:space="preserve">team </w:t>
      </w:r>
      <w:r w:rsidRPr="00EC4503">
        <w:rPr>
          <w:rFonts w:asciiTheme="minorHAnsi" w:hAnsiTheme="minorHAnsi" w:cs="Arial"/>
          <w:sz w:val="22"/>
          <w:szCs w:val="22"/>
        </w:rPr>
        <w:t xml:space="preserve">does not anticipate </w:t>
      </w:r>
      <w:r w:rsidR="00BF0683">
        <w:rPr>
          <w:rFonts w:asciiTheme="minorHAnsi" w:hAnsiTheme="minorHAnsi" w:cs="Arial"/>
          <w:sz w:val="22"/>
          <w:szCs w:val="22"/>
        </w:rPr>
        <w:t>the use of</w:t>
      </w:r>
      <w:r w:rsidRPr="00EC4503">
        <w:rPr>
          <w:rFonts w:asciiTheme="minorHAnsi" w:hAnsiTheme="minorHAnsi" w:cs="Arial"/>
          <w:sz w:val="22"/>
          <w:szCs w:val="22"/>
        </w:rPr>
        <w:t xml:space="preserve"> complex statistical techniques. </w:t>
      </w:r>
    </w:p>
    <w:p w:rsidR="002960D6" w:rsidRDefault="002960D6" w:rsidP="001F6663">
      <w:pPr>
        <w:spacing w:before="100" w:beforeAutospacing="1" w:after="100" w:afterAutospacing="1"/>
        <w:rPr>
          <w:rFonts w:asciiTheme="minorHAnsi" w:hAnsiTheme="minorHAnsi" w:cs="Arial"/>
          <w:b/>
          <w:sz w:val="22"/>
          <w:szCs w:val="22"/>
        </w:rPr>
        <w:sectPr w:rsidR="002960D6" w:rsidSect="00BC0B90">
          <w:footerReference w:type="default" r:id="rId12"/>
          <w:pgSz w:w="12240" w:h="15840"/>
          <w:pgMar w:top="1530" w:right="1440" w:bottom="1440" w:left="1440" w:header="720" w:footer="720" w:gutter="0"/>
          <w:cols w:space="720"/>
          <w:docGrid w:linePitch="360"/>
        </w:sectPr>
      </w:pPr>
    </w:p>
    <w:p w:rsidR="00D06368" w:rsidRPr="00EC4503" w:rsidRDefault="00D06368" w:rsidP="001F6663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EC4503">
        <w:rPr>
          <w:rFonts w:asciiTheme="minorHAnsi" w:hAnsiTheme="minorHAnsi" w:cs="Arial"/>
          <w:b/>
          <w:sz w:val="22"/>
          <w:szCs w:val="22"/>
        </w:rPr>
        <w:lastRenderedPageBreak/>
        <w:t>LIST OF ATTACHMENTS – Section B</w:t>
      </w:r>
    </w:p>
    <w:p w:rsidR="00D06368" w:rsidRPr="00EC4503" w:rsidRDefault="00D06368" w:rsidP="001F6663">
      <w:pPr>
        <w:spacing w:before="100" w:beforeAutospacing="1" w:after="100" w:afterAutospacing="1"/>
        <w:rPr>
          <w:rFonts w:asciiTheme="minorHAnsi" w:hAnsiTheme="minorHAnsi" w:cs="Arial"/>
          <w:sz w:val="16"/>
          <w:szCs w:val="16"/>
        </w:rPr>
      </w:pPr>
      <w:r w:rsidRPr="00EC4503">
        <w:rPr>
          <w:rFonts w:asciiTheme="minorHAnsi" w:hAnsiTheme="minorHAnsi" w:cs="Arial"/>
          <w:sz w:val="16"/>
          <w:szCs w:val="16"/>
        </w:rPr>
        <w:t>Note: Attachments are included as separate files, as instructed.</w:t>
      </w:r>
    </w:p>
    <w:p w:rsidR="00D06368" w:rsidRPr="00EC4503" w:rsidRDefault="008916B9" w:rsidP="001F6663">
      <w:pPr>
        <w:spacing w:before="100" w:beforeAutospacing="1" w:after="100" w:afterAutospacing="1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H</w:t>
      </w:r>
      <w:r w:rsidR="00632FED" w:rsidRPr="00EC4503">
        <w:rPr>
          <w:rFonts w:asciiTheme="minorHAnsi" w:hAnsiTheme="minorHAnsi" w:cs="Arial"/>
          <w:b/>
          <w:sz w:val="22"/>
          <w:szCs w:val="22"/>
        </w:rPr>
        <w:t>. Introductory e-</w:t>
      </w:r>
      <w:r w:rsidR="00D06368" w:rsidRPr="00EC4503">
        <w:rPr>
          <w:rFonts w:asciiTheme="minorHAnsi" w:hAnsiTheme="minorHAnsi" w:cs="Arial"/>
          <w:b/>
          <w:sz w:val="22"/>
          <w:szCs w:val="22"/>
        </w:rPr>
        <w:t>mail</w:t>
      </w:r>
    </w:p>
    <w:p w:rsidR="00D06368" w:rsidRPr="00EC4503" w:rsidRDefault="008916B9" w:rsidP="001F6663">
      <w:pPr>
        <w:spacing w:before="100" w:beforeAutospacing="1" w:after="100" w:afterAutospacing="1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</w:t>
      </w:r>
      <w:r w:rsidR="00D06368" w:rsidRPr="00EC4503">
        <w:rPr>
          <w:rFonts w:asciiTheme="minorHAnsi" w:hAnsiTheme="minorHAnsi" w:cs="Arial"/>
          <w:b/>
          <w:sz w:val="22"/>
          <w:szCs w:val="22"/>
        </w:rPr>
        <w:t>. Reminder</w:t>
      </w:r>
      <w:r w:rsidR="00175D08" w:rsidRPr="00EC4503">
        <w:rPr>
          <w:rFonts w:asciiTheme="minorHAnsi" w:hAnsiTheme="minorHAnsi" w:cs="Arial"/>
          <w:b/>
          <w:sz w:val="22"/>
          <w:szCs w:val="22"/>
        </w:rPr>
        <w:t>s</w:t>
      </w:r>
    </w:p>
    <w:p w:rsidR="006D4C5C" w:rsidRPr="00587696" w:rsidRDefault="008916B9" w:rsidP="002C2DCB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J</w:t>
      </w:r>
      <w:r w:rsidR="00632FED" w:rsidRPr="00EC4503">
        <w:rPr>
          <w:rFonts w:asciiTheme="minorHAnsi" w:hAnsiTheme="minorHAnsi" w:cs="Arial"/>
          <w:b/>
          <w:sz w:val="22"/>
          <w:szCs w:val="22"/>
        </w:rPr>
        <w:t>. Follow-up e-</w:t>
      </w:r>
      <w:r w:rsidR="00D06368" w:rsidRPr="00EC4503">
        <w:rPr>
          <w:rFonts w:asciiTheme="minorHAnsi" w:hAnsiTheme="minorHAnsi" w:cs="Arial"/>
          <w:b/>
          <w:sz w:val="22"/>
          <w:szCs w:val="22"/>
        </w:rPr>
        <w:t>mail</w:t>
      </w:r>
    </w:p>
    <w:sectPr w:rsidR="006D4C5C" w:rsidRPr="00587696" w:rsidSect="00BC0B90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3EF" w:rsidRDefault="00BC33EF" w:rsidP="005525FD">
      <w:r>
        <w:separator/>
      </w:r>
    </w:p>
  </w:endnote>
  <w:endnote w:type="continuationSeparator" w:id="0">
    <w:p w:rsidR="00BC33EF" w:rsidRDefault="00BC33EF" w:rsidP="0055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13249"/>
      <w:docPartObj>
        <w:docPartGallery w:val="Page Numbers (Bottom of Page)"/>
        <w:docPartUnique/>
      </w:docPartObj>
    </w:sdtPr>
    <w:sdtEndPr/>
    <w:sdtContent>
      <w:p w:rsidR="00BC33EF" w:rsidRDefault="00BC33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B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33EF" w:rsidRDefault="00BC3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3EF" w:rsidRDefault="00BC33EF" w:rsidP="005525FD">
      <w:r>
        <w:separator/>
      </w:r>
    </w:p>
  </w:footnote>
  <w:footnote w:type="continuationSeparator" w:id="0">
    <w:p w:rsidR="00BC33EF" w:rsidRDefault="00BC33EF" w:rsidP="0055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50C"/>
    <w:multiLevelType w:val="hybridMultilevel"/>
    <w:tmpl w:val="92D69E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27777"/>
    <w:multiLevelType w:val="hybridMultilevel"/>
    <w:tmpl w:val="EA16E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62CBF"/>
    <w:multiLevelType w:val="hybridMultilevel"/>
    <w:tmpl w:val="AA9C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F311C"/>
    <w:multiLevelType w:val="hybridMultilevel"/>
    <w:tmpl w:val="5E44C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C9117A3"/>
    <w:multiLevelType w:val="hybridMultilevel"/>
    <w:tmpl w:val="7A84B9B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5A26"/>
    <w:multiLevelType w:val="hybridMultilevel"/>
    <w:tmpl w:val="A10AACDC"/>
    <w:lvl w:ilvl="0" w:tplc="9B1E7C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90"/>
    <w:rsid w:val="00005ED8"/>
    <w:rsid w:val="000337FB"/>
    <w:rsid w:val="0007017E"/>
    <w:rsid w:val="000737F4"/>
    <w:rsid w:val="00085670"/>
    <w:rsid w:val="000B7598"/>
    <w:rsid w:val="000C7900"/>
    <w:rsid w:val="000D5D6C"/>
    <w:rsid w:val="000F4EF1"/>
    <w:rsid w:val="00140C6A"/>
    <w:rsid w:val="00141618"/>
    <w:rsid w:val="001533B3"/>
    <w:rsid w:val="001561E7"/>
    <w:rsid w:val="00162AF3"/>
    <w:rsid w:val="00175D08"/>
    <w:rsid w:val="00175FF7"/>
    <w:rsid w:val="00191660"/>
    <w:rsid w:val="001957BB"/>
    <w:rsid w:val="001975FA"/>
    <w:rsid w:val="001B4691"/>
    <w:rsid w:val="001B4F4A"/>
    <w:rsid w:val="001C18ED"/>
    <w:rsid w:val="001E5DF8"/>
    <w:rsid w:val="001F189C"/>
    <w:rsid w:val="001F6663"/>
    <w:rsid w:val="001F6FC2"/>
    <w:rsid w:val="00202A81"/>
    <w:rsid w:val="00232E64"/>
    <w:rsid w:val="00240352"/>
    <w:rsid w:val="00261496"/>
    <w:rsid w:val="00265B73"/>
    <w:rsid w:val="00270B6C"/>
    <w:rsid w:val="00285D3E"/>
    <w:rsid w:val="00292467"/>
    <w:rsid w:val="002960D6"/>
    <w:rsid w:val="002A0B77"/>
    <w:rsid w:val="002B4D04"/>
    <w:rsid w:val="002C2DCB"/>
    <w:rsid w:val="002F3758"/>
    <w:rsid w:val="00311420"/>
    <w:rsid w:val="003124C8"/>
    <w:rsid w:val="00330EC0"/>
    <w:rsid w:val="00331174"/>
    <w:rsid w:val="00350BA7"/>
    <w:rsid w:val="0035304B"/>
    <w:rsid w:val="003561BF"/>
    <w:rsid w:val="003772DC"/>
    <w:rsid w:val="003A13BA"/>
    <w:rsid w:val="003A2B7B"/>
    <w:rsid w:val="003B3190"/>
    <w:rsid w:val="003C0147"/>
    <w:rsid w:val="003E4093"/>
    <w:rsid w:val="003F06EA"/>
    <w:rsid w:val="003F1BB4"/>
    <w:rsid w:val="003F6DF3"/>
    <w:rsid w:val="00402647"/>
    <w:rsid w:val="0040674B"/>
    <w:rsid w:val="00406FF9"/>
    <w:rsid w:val="004104AC"/>
    <w:rsid w:val="0042051D"/>
    <w:rsid w:val="004262A1"/>
    <w:rsid w:val="00440FA1"/>
    <w:rsid w:val="0045414F"/>
    <w:rsid w:val="004610BE"/>
    <w:rsid w:val="004719BB"/>
    <w:rsid w:val="004841FF"/>
    <w:rsid w:val="0049226A"/>
    <w:rsid w:val="004B4ECD"/>
    <w:rsid w:val="004D4058"/>
    <w:rsid w:val="004E569F"/>
    <w:rsid w:val="004E6395"/>
    <w:rsid w:val="00531DB3"/>
    <w:rsid w:val="00533A03"/>
    <w:rsid w:val="00535B23"/>
    <w:rsid w:val="00542D0D"/>
    <w:rsid w:val="005510F8"/>
    <w:rsid w:val="0055196A"/>
    <w:rsid w:val="005525FD"/>
    <w:rsid w:val="005530FB"/>
    <w:rsid w:val="005765E9"/>
    <w:rsid w:val="00581771"/>
    <w:rsid w:val="00587696"/>
    <w:rsid w:val="00597E65"/>
    <w:rsid w:val="005B0907"/>
    <w:rsid w:val="005B4383"/>
    <w:rsid w:val="005C1BE2"/>
    <w:rsid w:val="005D249A"/>
    <w:rsid w:val="005F1F4E"/>
    <w:rsid w:val="00611E0B"/>
    <w:rsid w:val="00625C16"/>
    <w:rsid w:val="00631BD1"/>
    <w:rsid w:val="00632FED"/>
    <w:rsid w:val="006444D8"/>
    <w:rsid w:val="00666EB7"/>
    <w:rsid w:val="0067135A"/>
    <w:rsid w:val="00681931"/>
    <w:rsid w:val="00683847"/>
    <w:rsid w:val="00690A83"/>
    <w:rsid w:val="006C6AD9"/>
    <w:rsid w:val="006D10C9"/>
    <w:rsid w:val="006D430C"/>
    <w:rsid w:val="006D4C5C"/>
    <w:rsid w:val="006E1D07"/>
    <w:rsid w:val="006E7D5A"/>
    <w:rsid w:val="006F0D97"/>
    <w:rsid w:val="00702FCB"/>
    <w:rsid w:val="00706C33"/>
    <w:rsid w:val="00724825"/>
    <w:rsid w:val="00746CDD"/>
    <w:rsid w:val="007667DE"/>
    <w:rsid w:val="00767A32"/>
    <w:rsid w:val="00770606"/>
    <w:rsid w:val="00775FC7"/>
    <w:rsid w:val="007778CD"/>
    <w:rsid w:val="00777D2A"/>
    <w:rsid w:val="00786A34"/>
    <w:rsid w:val="007A4E47"/>
    <w:rsid w:val="007B1871"/>
    <w:rsid w:val="007E75DC"/>
    <w:rsid w:val="007F3A87"/>
    <w:rsid w:val="0080029E"/>
    <w:rsid w:val="00840F07"/>
    <w:rsid w:val="00844898"/>
    <w:rsid w:val="00857A44"/>
    <w:rsid w:val="00870076"/>
    <w:rsid w:val="00883367"/>
    <w:rsid w:val="008916B9"/>
    <w:rsid w:val="008948B4"/>
    <w:rsid w:val="008A5B5F"/>
    <w:rsid w:val="008B1AFF"/>
    <w:rsid w:val="008B1D5E"/>
    <w:rsid w:val="008C2E81"/>
    <w:rsid w:val="008D1AC6"/>
    <w:rsid w:val="008E16A4"/>
    <w:rsid w:val="008E2EE2"/>
    <w:rsid w:val="00913AF4"/>
    <w:rsid w:val="00920324"/>
    <w:rsid w:val="00932AD3"/>
    <w:rsid w:val="00944069"/>
    <w:rsid w:val="00947304"/>
    <w:rsid w:val="00951D20"/>
    <w:rsid w:val="00952F36"/>
    <w:rsid w:val="00955068"/>
    <w:rsid w:val="00982C3B"/>
    <w:rsid w:val="00991A89"/>
    <w:rsid w:val="00997396"/>
    <w:rsid w:val="009C0B48"/>
    <w:rsid w:val="009C6DB0"/>
    <w:rsid w:val="009E02B3"/>
    <w:rsid w:val="00A0051E"/>
    <w:rsid w:val="00A019C7"/>
    <w:rsid w:val="00A05926"/>
    <w:rsid w:val="00A05B7B"/>
    <w:rsid w:val="00A07806"/>
    <w:rsid w:val="00A1183C"/>
    <w:rsid w:val="00A13584"/>
    <w:rsid w:val="00A14218"/>
    <w:rsid w:val="00A240F4"/>
    <w:rsid w:val="00A33268"/>
    <w:rsid w:val="00A36C36"/>
    <w:rsid w:val="00A468D6"/>
    <w:rsid w:val="00A55620"/>
    <w:rsid w:val="00A60BAA"/>
    <w:rsid w:val="00A715EE"/>
    <w:rsid w:val="00A91E41"/>
    <w:rsid w:val="00A91FDD"/>
    <w:rsid w:val="00A949A5"/>
    <w:rsid w:val="00AC7C1A"/>
    <w:rsid w:val="00B07B36"/>
    <w:rsid w:val="00B11920"/>
    <w:rsid w:val="00B32F21"/>
    <w:rsid w:val="00B36F41"/>
    <w:rsid w:val="00B413FA"/>
    <w:rsid w:val="00B42166"/>
    <w:rsid w:val="00B45052"/>
    <w:rsid w:val="00B46142"/>
    <w:rsid w:val="00B603E1"/>
    <w:rsid w:val="00B60624"/>
    <w:rsid w:val="00B61997"/>
    <w:rsid w:val="00B94390"/>
    <w:rsid w:val="00B9621F"/>
    <w:rsid w:val="00B96551"/>
    <w:rsid w:val="00B96A0C"/>
    <w:rsid w:val="00BA47D6"/>
    <w:rsid w:val="00BB0503"/>
    <w:rsid w:val="00BC0974"/>
    <w:rsid w:val="00BC0B90"/>
    <w:rsid w:val="00BC18B9"/>
    <w:rsid w:val="00BC33EF"/>
    <w:rsid w:val="00BF0450"/>
    <w:rsid w:val="00BF0683"/>
    <w:rsid w:val="00C07CF4"/>
    <w:rsid w:val="00C22059"/>
    <w:rsid w:val="00C52C7F"/>
    <w:rsid w:val="00C60235"/>
    <w:rsid w:val="00CA2231"/>
    <w:rsid w:val="00CB51F0"/>
    <w:rsid w:val="00CC71ED"/>
    <w:rsid w:val="00CE265D"/>
    <w:rsid w:val="00CF3B76"/>
    <w:rsid w:val="00D017F6"/>
    <w:rsid w:val="00D06368"/>
    <w:rsid w:val="00D15700"/>
    <w:rsid w:val="00D21352"/>
    <w:rsid w:val="00D2695D"/>
    <w:rsid w:val="00D313D1"/>
    <w:rsid w:val="00D36F6B"/>
    <w:rsid w:val="00D3750B"/>
    <w:rsid w:val="00D37DEA"/>
    <w:rsid w:val="00D476BD"/>
    <w:rsid w:val="00D56EDC"/>
    <w:rsid w:val="00D608C0"/>
    <w:rsid w:val="00D8607D"/>
    <w:rsid w:val="00D958DB"/>
    <w:rsid w:val="00DA3682"/>
    <w:rsid w:val="00DB7723"/>
    <w:rsid w:val="00DC2561"/>
    <w:rsid w:val="00DE7B45"/>
    <w:rsid w:val="00DF2D8B"/>
    <w:rsid w:val="00E044C2"/>
    <w:rsid w:val="00E0586A"/>
    <w:rsid w:val="00E101DF"/>
    <w:rsid w:val="00E2220A"/>
    <w:rsid w:val="00E319B9"/>
    <w:rsid w:val="00E323D9"/>
    <w:rsid w:val="00E44371"/>
    <w:rsid w:val="00E700FC"/>
    <w:rsid w:val="00E770F0"/>
    <w:rsid w:val="00E87EB6"/>
    <w:rsid w:val="00E93577"/>
    <w:rsid w:val="00EA55BA"/>
    <w:rsid w:val="00EB6726"/>
    <w:rsid w:val="00EC0B2D"/>
    <w:rsid w:val="00EC4503"/>
    <w:rsid w:val="00ED028F"/>
    <w:rsid w:val="00ED087B"/>
    <w:rsid w:val="00ED0E58"/>
    <w:rsid w:val="00EE2AC0"/>
    <w:rsid w:val="00EF2971"/>
    <w:rsid w:val="00F13548"/>
    <w:rsid w:val="00F1436A"/>
    <w:rsid w:val="00F15F2A"/>
    <w:rsid w:val="00F42E13"/>
    <w:rsid w:val="00F46634"/>
    <w:rsid w:val="00F7581F"/>
    <w:rsid w:val="00F82D24"/>
    <w:rsid w:val="00F90C70"/>
    <w:rsid w:val="00F956E3"/>
    <w:rsid w:val="00FB2C2F"/>
    <w:rsid w:val="00FB4F0C"/>
    <w:rsid w:val="00FD33D8"/>
    <w:rsid w:val="00FD3C4D"/>
    <w:rsid w:val="00FD4E63"/>
    <w:rsid w:val="00FE79EA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B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C0B90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BC0B90"/>
    <w:rPr>
      <w:rFonts w:ascii="Courier New" w:eastAsia="Times New Roman" w:hAnsi="Courier New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BC0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B90"/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autoRedefine/>
    <w:rsid w:val="00B603E1"/>
    <w:pPr>
      <w:tabs>
        <w:tab w:val="left" w:pos="360"/>
        <w:tab w:val="right" w:leader="dot" w:pos="9494"/>
      </w:tabs>
      <w:spacing w:beforeLines="120" w:afterLines="120" w:line="240" w:lineRule="auto"/>
      <w:ind w:left="720" w:hanging="720"/>
    </w:pPr>
    <w:rPr>
      <w:rFonts w:ascii="Arial" w:eastAsia="Times New Roman" w:hAnsi="Arial" w:cs="Arial"/>
      <w:b/>
      <w:smallCaps/>
      <w:noProof/>
    </w:rPr>
  </w:style>
  <w:style w:type="paragraph" w:customStyle="1" w:styleId="H4">
    <w:name w:val="H4"/>
    <w:basedOn w:val="Normal"/>
    <w:rsid w:val="00BC0B90"/>
    <w:pPr>
      <w:widowControl w:val="0"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Level1">
    <w:name w:val="Level 1"/>
    <w:rsid w:val="00BC0B90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  <w:style w:type="character" w:styleId="Hyperlink">
    <w:name w:val="Hyperlink"/>
    <w:basedOn w:val="DefaultParagraphFont"/>
    <w:rsid w:val="00B962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CD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7E6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E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0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A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F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1">
    <w:name w:val="unicode1"/>
    <w:basedOn w:val="DefaultParagraphFont"/>
    <w:rsid w:val="003A13BA"/>
    <w:rPr>
      <w:rFonts w:ascii="Arial Unicode MS" w:eastAsia="Arial Unicode MS" w:hAnsi="Arial Unicode MS" w:cs="Arial Unicode MS" w:hint="eastAsia"/>
    </w:rPr>
  </w:style>
  <w:style w:type="paragraph" w:styleId="Revision">
    <w:name w:val="Revision"/>
    <w:hidden/>
    <w:uiPriority w:val="99"/>
    <w:semiHidden/>
    <w:rsid w:val="001B4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B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C0B90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BC0B90"/>
    <w:rPr>
      <w:rFonts w:ascii="Courier New" w:eastAsia="Times New Roman" w:hAnsi="Courier New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BC0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B90"/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autoRedefine/>
    <w:rsid w:val="00B603E1"/>
    <w:pPr>
      <w:tabs>
        <w:tab w:val="left" w:pos="360"/>
        <w:tab w:val="right" w:leader="dot" w:pos="9494"/>
      </w:tabs>
      <w:spacing w:beforeLines="120" w:afterLines="120" w:line="240" w:lineRule="auto"/>
      <w:ind w:left="720" w:hanging="720"/>
    </w:pPr>
    <w:rPr>
      <w:rFonts w:ascii="Arial" w:eastAsia="Times New Roman" w:hAnsi="Arial" w:cs="Arial"/>
      <w:b/>
      <w:smallCaps/>
      <w:noProof/>
    </w:rPr>
  </w:style>
  <w:style w:type="paragraph" w:customStyle="1" w:styleId="H4">
    <w:name w:val="H4"/>
    <w:basedOn w:val="Normal"/>
    <w:rsid w:val="00BC0B90"/>
    <w:pPr>
      <w:widowControl w:val="0"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Level1">
    <w:name w:val="Level 1"/>
    <w:rsid w:val="00BC0B90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  <w:style w:type="character" w:styleId="Hyperlink">
    <w:name w:val="Hyperlink"/>
    <w:basedOn w:val="DefaultParagraphFont"/>
    <w:rsid w:val="00B962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CD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7E6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E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0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A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F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1">
    <w:name w:val="unicode1"/>
    <w:basedOn w:val="DefaultParagraphFont"/>
    <w:rsid w:val="003A13BA"/>
    <w:rPr>
      <w:rFonts w:ascii="Arial Unicode MS" w:eastAsia="Arial Unicode MS" w:hAnsi="Arial Unicode MS" w:cs="Arial Unicode MS" w:hint="eastAsia"/>
    </w:rPr>
  </w:style>
  <w:style w:type="paragraph" w:styleId="Revision">
    <w:name w:val="Revision"/>
    <w:hidden/>
    <w:uiPriority w:val="99"/>
    <w:semiHidden/>
    <w:rsid w:val="001B4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sahar@cdc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iora.sahar@ng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nichols@cd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E10B-4CD6-4337-BF4F-6D790561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ann0</dc:creator>
  <cp:lastModifiedBy>CDC User</cp:lastModifiedBy>
  <cp:revision>5</cp:revision>
  <cp:lastPrinted>2011-01-05T14:07:00Z</cp:lastPrinted>
  <dcterms:created xsi:type="dcterms:W3CDTF">2012-07-26T21:13:00Z</dcterms:created>
  <dcterms:modified xsi:type="dcterms:W3CDTF">2012-07-31T19:39:00Z</dcterms:modified>
</cp:coreProperties>
</file>