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1" w:rsidRDefault="009B4A51" w:rsidP="000807BB">
      <w:pPr>
        <w:spacing w:after="0"/>
        <w:rPr>
          <w:rFonts w:asciiTheme="majorHAnsi" w:hAnsiTheme="majorHAnsi"/>
          <w:b/>
        </w:rPr>
      </w:pPr>
    </w:p>
    <w:p w:rsidR="009B4A51" w:rsidRDefault="009B4A51" w:rsidP="000807BB">
      <w:pPr>
        <w:spacing w:after="0"/>
        <w:rPr>
          <w:rFonts w:asciiTheme="majorHAnsi" w:hAnsiTheme="majorHAnsi"/>
          <w:b/>
        </w:rPr>
      </w:pPr>
    </w:p>
    <w:p w:rsidR="009B4A51" w:rsidRDefault="009B4A51" w:rsidP="000807BB">
      <w:pPr>
        <w:spacing w:after="0"/>
        <w:rPr>
          <w:rFonts w:asciiTheme="majorHAnsi" w:hAnsiTheme="majorHAnsi"/>
          <w:b/>
        </w:rPr>
      </w:pPr>
    </w:p>
    <w:p w:rsidR="009B4A51" w:rsidRDefault="009B4A51" w:rsidP="000807BB">
      <w:pPr>
        <w:spacing w:after="0"/>
        <w:rPr>
          <w:rFonts w:asciiTheme="majorHAnsi" w:hAnsiTheme="majorHAnsi"/>
          <w:color w:val="0033CC"/>
          <w:sz w:val="28"/>
        </w:rPr>
      </w:pPr>
    </w:p>
    <w:p w:rsidR="00667C89" w:rsidRDefault="00667C89" w:rsidP="000807BB">
      <w:pPr>
        <w:spacing w:after="0"/>
        <w:rPr>
          <w:rFonts w:asciiTheme="majorHAnsi" w:hAnsiTheme="majorHAnsi"/>
          <w:color w:val="0033CC"/>
          <w:sz w:val="28"/>
        </w:rPr>
      </w:pPr>
    </w:p>
    <w:p w:rsidR="009B4A51" w:rsidRDefault="009B4A51" w:rsidP="000807BB">
      <w:pPr>
        <w:spacing w:after="0"/>
        <w:rPr>
          <w:rFonts w:asciiTheme="majorHAnsi" w:hAnsiTheme="majorHAnsi"/>
          <w:sz w:val="32"/>
        </w:rPr>
      </w:pPr>
    </w:p>
    <w:p w:rsidR="009B4A51" w:rsidRDefault="009B4A51" w:rsidP="000807BB">
      <w:pPr>
        <w:spacing w:after="0"/>
        <w:rPr>
          <w:rFonts w:asciiTheme="majorHAnsi" w:hAnsiTheme="majorHAnsi"/>
          <w:sz w:val="32"/>
        </w:rPr>
      </w:pPr>
    </w:p>
    <w:p w:rsidR="00716F94" w:rsidRPr="009B4A51" w:rsidRDefault="0059605E" w:rsidP="00412A3C">
      <w:pPr>
        <w:spacing w:after="0"/>
        <w:jc w:val="center"/>
        <w:rPr>
          <w:rFonts w:asciiTheme="majorHAnsi" w:hAnsiTheme="majorHAnsi"/>
          <w:b/>
          <w:sz w:val="40"/>
        </w:rPr>
      </w:pPr>
      <w:r>
        <w:rPr>
          <w:rFonts w:asciiTheme="majorHAnsi" w:hAnsiTheme="majorHAnsi"/>
          <w:b/>
          <w:sz w:val="40"/>
        </w:rPr>
        <w:t>Assessment of State, Tribal, Local and Territorial Grantees’ Technical Assistance Needs and Support from CDC Project Officers</w:t>
      </w:r>
    </w:p>
    <w:p w:rsidR="00AA3192" w:rsidRDefault="00AA3192" w:rsidP="000807BB">
      <w:pPr>
        <w:spacing w:after="0"/>
        <w:rPr>
          <w:rFonts w:asciiTheme="majorHAnsi" w:hAnsiTheme="majorHAnsi"/>
          <w:b/>
        </w:rPr>
      </w:pPr>
    </w:p>
    <w:p w:rsidR="00716F94" w:rsidRPr="00AA3192" w:rsidRDefault="00484011" w:rsidP="00412A3C">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12A3C">
      <w:pPr>
        <w:pStyle w:val="Header"/>
        <w:tabs>
          <w:tab w:val="clear" w:pos="4680"/>
        </w:tabs>
        <w:jc w:val="center"/>
      </w:pPr>
      <w:r w:rsidRPr="00AA3192">
        <w:t>OMB No. 0920-0879</w:t>
      </w:r>
    </w:p>
    <w:p w:rsidR="009B4A51" w:rsidRDefault="009B4A51" w:rsidP="000807BB">
      <w:pPr>
        <w:spacing w:after="0"/>
        <w:rPr>
          <w:rFonts w:asciiTheme="majorHAnsi" w:hAnsiTheme="majorHAnsi"/>
          <w:b/>
        </w:rPr>
      </w:pPr>
    </w:p>
    <w:p w:rsidR="009B4A51" w:rsidRDefault="009B4A51" w:rsidP="000807BB">
      <w:pPr>
        <w:spacing w:after="0"/>
        <w:rPr>
          <w:rFonts w:asciiTheme="majorHAnsi" w:hAnsiTheme="majorHAnsi"/>
          <w:b/>
        </w:rPr>
      </w:pPr>
    </w:p>
    <w:p w:rsidR="00AA3192" w:rsidRDefault="00AA3192" w:rsidP="000807BB">
      <w:pPr>
        <w:spacing w:after="0"/>
        <w:rPr>
          <w:rFonts w:asciiTheme="majorHAnsi" w:hAnsiTheme="majorHAnsi"/>
          <w:b/>
        </w:rPr>
      </w:pPr>
    </w:p>
    <w:p w:rsidR="00AA3192" w:rsidRDefault="00AA3192" w:rsidP="000807BB">
      <w:pPr>
        <w:spacing w:after="0"/>
        <w:rPr>
          <w:rFonts w:asciiTheme="majorHAnsi" w:hAnsiTheme="majorHAnsi"/>
          <w:b/>
        </w:rPr>
      </w:pPr>
    </w:p>
    <w:p w:rsidR="009B4A51" w:rsidRPr="00AA3192" w:rsidRDefault="009B4A51" w:rsidP="00412A3C">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0807BB">
      <w:pPr>
        <w:spacing w:after="0"/>
        <w:rPr>
          <w:rFonts w:asciiTheme="majorHAnsi" w:hAnsiTheme="majorHAnsi"/>
          <w:b/>
        </w:rPr>
      </w:pPr>
    </w:p>
    <w:p w:rsidR="00484011" w:rsidRDefault="00484011" w:rsidP="000807BB">
      <w:pPr>
        <w:spacing w:after="0"/>
        <w:rPr>
          <w:rFonts w:asciiTheme="majorHAnsi" w:hAnsiTheme="majorHAnsi"/>
          <w:b/>
        </w:rPr>
      </w:pPr>
    </w:p>
    <w:p w:rsidR="00AA3192" w:rsidRDefault="00AA3192" w:rsidP="000807BB">
      <w:pPr>
        <w:spacing w:after="0"/>
        <w:rPr>
          <w:rFonts w:asciiTheme="majorHAnsi" w:hAnsiTheme="majorHAnsi"/>
          <w:b/>
        </w:rPr>
      </w:pPr>
    </w:p>
    <w:p w:rsidR="009B4A51" w:rsidRDefault="009B4A51" w:rsidP="000807BB">
      <w:pPr>
        <w:spacing w:after="0"/>
        <w:rPr>
          <w:rFonts w:asciiTheme="majorHAnsi" w:hAnsiTheme="majorHAnsi"/>
          <w:b/>
        </w:rPr>
      </w:pPr>
    </w:p>
    <w:p w:rsidR="009B4A51" w:rsidRDefault="009B4A51" w:rsidP="000807BB">
      <w:pPr>
        <w:spacing w:after="0"/>
        <w:rPr>
          <w:rFonts w:asciiTheme="majorHAnsi" w:hAnsiTheme="majorHAnsi"/>
          <w:b/>
        </w:rPr>
      </w:pPr>
    </w:p>
    <w:p w:rsidR="00187D5A" w:rsidRDefault="00187D5A" w:rsidP="000807BB">
      <w:pPr>
        <w:spacing w:after="0"/>
        <w:rPr>
          <w:rFonts w:asciiTheme="majorHAnsi" w:hAnsiTheme="majorHAnsi"/>
          <w:b/>
        </w:rPr>
      </w:pPr>
    </w:p>
    <w:p w:rsidR="0059605E" w:rsidRDefault="0059605E" w:rsidP="000807BB">
      <w:pPr>
        <w:spacing w:after="0"/>
        <w:rPr>
          <w:rFonts w:asciiTheme="majorHAnsi" w:hAnsiTheme="majorHAnsi"/>
          <w:b/>
        </w:rPr>
      </w:pPr>
    </w:p>
    <w:p w:rsidR="0059605E" w:rsidRDefault="0059605E" w:rsidP="000807BB">
      <w:pPr>
        <w:spacing w:after="0"/>
        <w:rPr>
          <w:rFonts w:asciiTheme="majorHAnsi" w:hAnsiTheme="majorHAnsi"/>
          <w:b/>
        </w:rPr>
      </w:pPr>
    </w:p>
    <w:p w:rsidR="0059605E" w:rsidRDefault="0059605E" w:rsidP="000807BB">
      <w:pPr>
        <w:spacing w:after="0"/>
        <w:rPr>
          <w:rFonts w:asciiTheme="majorHAnsi" w:hAnsiTheme="majorHAnsi"/>
          <w:b/>
        </w:rPr>
      </w:pPr>
    </w:p>
    <w:p w:rsidR="0059605E" w:rsidRDefault="0059605E" w:rsidP="000807BB">
      <w:pPr>
        <w:spacing w:after="0"/>
        <w:rPr>
          <w:rFonts w:asciiTheme="majorHAnsi" w:hAnsiTheme="majorHAnsi"/>
          <w:b/>
        </w:rPr>
      </w:pPr>
    </w:p>
    <w:p w:rsidR="009B4A51" w:rsidRPr="009B4A51" w:rsidRDefault="009B4A51" w:rsidP="000807BB">
      <w:pPr>
        <w:spacing w:after="0"/>
        <w:rPr>
          <w:rFonts w:asciiTheme="majorHAnsi" w:hAnsiTheme="majorHAnsi"/>
        </w:rPr>
      </w:pPr>
      <w:r w:rsidRPr="00AA3192">
        <w:rPr>
          <w:rFonts w:asciiTheme="majorHAnsi" w:hAnsiTheme="majorHAnsi"/>
          <w:b/>
        </w:rPr>
        <w:t>Submitted:</w:t>
      </w:r>
      <w:r w:rsidRPr="00AA3192">
        <w:rPr>
          <w:rFonts w:asciiTheme="majorHAnsi" w:hAnsiTheme="majorHAnsi"/>
        </w:rPr>
        <w:t xml:space="preserve"> </w:t>
      </w:r>
    </w:p>
    <w:p w:rsidR="00321B51" w:rsidRPr="00E43AA9" w:rsidRDefault="00716F94" w:rsidP="000807BB">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5142C0" w:rsidRDefault="003B12EF" w:rsidP="000807BB">
      <w:pPr>
        <w:spacing w:after="0" w:line="240" w:lineRule="auto"/>
        <w:rPr>
          <w:rFonts w:ascii="Times New Roman" w:hAnsi="Times New Roman" w:cs="Times New Roman"/>
          <w:bCs/>
        </w:rPr>
      </w:pPr>
      <w:r w:rsidRPr="005142C0">
        <w:rPr>
          <w:rFonts w:ascii="Times New Roman" w:hAnsi="Times New Roman" w:cs="Times New Roman"/>
          <w:bCs/>
        </w:rPr>
        <w:t xml:space="preserve">Karen Mumford, PhD </w:t>
      </w:r>
    </w:p>
    <w:p w:rsidR="00321B51" w:rsidRPr="005142C0" w:rsidRDefault="003B12EF" w:rsidP="000807BB">
      <w:pPr>
        <w:spacing w:after="0" w:line="240" w:lineRule="auto"/>
        <w:rPr>
          <w:rFonts w:ascii="Times New Roman" w:hAnsi="Times New Roman" w:cs="Times New Roman"/>
        </w:rPr>
      </w:pPr>
      <w:r w:rsidRPr="005142C0">
        <w:rPr>
          <w:rFonts w:ascii="Times New Roman" w:hAnsi="Times New Roman" w:cs="Times New Roman"/>
        </w:rPr>
        <w:t>Health Scientist</w:t>
      </w:r>
    </w:p>
    <w:p w:rsidR="00321B51" w:rsidRPr="005142C0" w:rsidRDefault="003B12EF" w:rsidP="000807BB">
      <w:pPr>
        <w:spacing w:after="0" w:line="240" w:lineRule="auto"/>
        <w:rPr>
          <w:rFonts w:ascii="Times New Roman" w:hAnsi="Times New Roman" w:cs="Times New Roman"/>
        </w:rPr>
      </w:pPr>
      <w:r w:rsidRPr="005142C0">
        <w:rPr>
          <w:rFonts w:ascii="Times New Roman" w:hAnsi="Times New Roman" w:cs="Times New Roman"/>
        </w:rPr>
        <w:t>Center for Disease Control and Prevention, Office for State, Tribal, Local and Territorial Support, Division of Public Health Performance Improvement</w:t>
      </w:r>
    </w:p>
    <w:p w:rsidR="00CC3C8B" w:rsidRPr="005142C0" w:rsidRDefault="003B12EF" w:rsidP="000807BB">
      <w:pPr>
        <w:spacing w:after="0" w:line="240" w:lineRule="auto"/>
        <w:rPr>
          <w:rFonts w:ascii="Times New Roman" w:hAnsi="Times New Roman" w:cs="Times New Roman"/>
        </w:rPr>
      </w:pPr>
      <w:r w:rsidRPr="005142C0">
        <w:rPr>
          <w:rFonts w:ascii="Times New Roman" w:hAnsi="Times New Roman" w:cs="Times New Roman"/>
        </w:rPr>
        <w:t xml:space="preserve">1825 Century Center, Atlanta, GA 30345 </w:t>
      </w:r>
    </w:p>
    <w:p w:rsidR="00321B51" w:rsidRPr="005142C0" w:rsidRDefault="003B12EF" w:rsidP="000807BB">
      <w:pPr>
        <w:spacing w:after="0" w:line="240" w:lineRule="auto"/>
        <w:rPr>
          <w:rFonts w:ascii="Times New Roman" w:hAnsi="Times New Roman" w:cs="Times New Roman"/>
        </w:rPr>
      </w:pPr>
      <w:r w:rsidRPr="005142C0">
        <w:rPr>
          <w:rFonts w:ascii="Times New Roman" w:hAnsi="Times New Roman" w:cs="Times New Roman"/>
        </w:rPr>
        <w:t>Phone: 404.498.0365</w:t>
      </w:r>
      <w:r w:rsidR="00CC3C8B" w:rsidRPr="005142C0">
        <w:rPr>
          <w:rFonts w:ascii="Times New Roman" w:hAnsi="Times New Roman" w:cs="Times New Roman"/>
        </w:rPr>
        <w:tab/>
      </w:r>
      <w:r w:rsidRPr="005142C0">
        <w:rPr>
          <w:rFonts w:ascii="Times New Roman" w:hAnsi="Times New Roman" w:cs="Times New Roman"/>
        </w:rPr>
        <w:t>Fax:</w:t>
      </w:r>
      <w:r w:rsidR="00C4176E">
        <w:rPr>
          <w:rFonts w:ascii="Times New Roman" w:hAnsi="Times New Roman" w:cs="Times New Roman"/>
        </w:rPr>
        <w:t xml:space="preserve"> </w:t>
      </w:r>
      <w:r w:rsidR="0005212C">
        <w:rPr>
          <w:rFonts w:ascii="Times New Roman" w:hAnsi="Times New Roman" w:cs="Times New Roman"/>
        </w:rPr>
        <w:t>404.498-0340</w:t>
      </w:r>
    </w:p>
    <w:p w:rsidR="00321B51" w:rsidRPr="005142C0" w:rsidRDefault="00321B51" w:rsidP="000807BB">
      <w:pPr>
        <w:spacing w:after="0" w:line="240" w:lineRule="auto"/>
        <w:rPr>
          <w:rFonts w:ascii="Times New Roman" w:hAnsi="Times New Roman" w:cs="Times New Roman"/>
        </w:rPr>
      </w:pPr>
      <w:r w:rsidRPr="005142C0">
        <w:rPr>
          <w:rFonts w:ascii="Times New Roman" w:hAnsi="Times New Roman" w:cs="Times New Roman"/>
        </w:rPr>
        <w:t>Email</w:t>
      </w:r>
      <w:r w:rsidR="003B12EF" w:rsidRPr="005142C0">
        <w:rPr>
          <w:rFonts w:ascii="Times New Roman" w:hAnsi="Times New Roman" w:cs="Times New Roman"/>
        </w:rPr>
        <w:t>: eqh1@cdc.gov</w:t>
      </w:r>
    </w:p>
    <w:p w:rsidR="000B0962" w:rsidRDefault="000B0962" w:rsidP="000807BB">
      <w:pPr>
        <w:spacing w:after="0"/>
        <w:rPr>
          <w:rFonts w:asciiTheme="majorHAnsi" w:hAnsiTheme="majorHAnsi"/>
        </w:rPr>
      </w:pPr>
    </w:p>
    <w:p w:rsidR="000B0962" w:rsidRDefault="000B0962" w:rsidP="000807BB">
      <w:pPr>
        <w:spacing w:after="0"/>
        <w:rPr>
          <w:rFonts w:asciiTheme="majorHAnsi" w:hAnsiTheme="majorHAnsi"/>
        </w:rPr>
      </w:pPr>
    </w:p>
    <w:p w:rsidR="007C6FDA" w:rsidRDefault="007C6FDA" w:rsidP="000807BB">
      <w:pPr>
        <w:spacing w:after="0"/>
        <w:rPr>
          <w:rFonts w:asciiTheme="majorHAnsi" w:hAnsiTheme="majorHAnsi"/>
          <w:b/>
          <w:sz w:val="28"/>
        </w:rPr>
      </w:pPr>
    </w:p>
    <w:p w:rsidR="00CD1EA8" w:rsidRPr="00F52BCC" w:rsidRDefault="00CD1EA8" w:rsidP="000807BB">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0807BB">
      <w:pPr>
        <w:spacing w:after="0"/>
        <w:rPr>
          <w:rFonts w:asciiTheme="majorHAnsi" w:hAnsiTheme="majorHAnsi"/>
          <w:b/>
        </w:rPr>
      </w:pPr>
    </w:p>
    <w:p w:rsidR="00CD1EA8" w:rsidRPr="00D13B13" w:rsidRDefault="00B12F51" w:rsidP="000807BB">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0807BB">
      <w:pPr>
        <w:spacing w:after="0"/>
        <w:ind w:left="720"/>
        <w:rPr>
          <w:rFonts w:asciiTheme="majorHAnsi" w:hAnsiTheme="majorHAnsi"/>
          <w:b/>
        </w:rPr>
      </w:pPr>
    </w:p>
    <w:p w:rsidR="00E33E1B" w:rsidRDefault="00E33E1B" w:rsidP="000807BB">
      <w:pPr>
        <w:spacing w:after="0"/>
        <w:ind w:left="720"/>
        <w:rPr>
          <w:rFonts w:asciiTheme="majorHAnsi" w:hAnsiTheme="majorHAnsi"/>
          <w:b/>
        </w:rPr>
      </w:pPr>
      <w:r>
        <w:rPr>
          <w:rFonts w:asciiTheme="majorHAnsi" w:hAnsiTheme="majorHAnsi"/>
          <w:b/>
        </w:rPr>
        <w:t>Background</w:t>
      </w:r>
    </w:p>
    <w:p w:rsidR="009252DC" w:rsidRPr="006A1898" w:rsidRDefault="004F67A8" w:rsidP="000807BB">
      <w:pPr>
        <w:pStyle w:val="Header"/>
        <w:tabs>
          <w:tab w:val="clear" w:pos="4680"/>
        </w:tabs>
        <w:spacing w:line="276" w:lineRule="auto"/>
        <w:ind w:left="720"/>
        <w:rPr>
          <w:rFonts w:ascii="Cambria" w:hAnsi="Cambria"/>
        </w:rPr>
      </w:pPr>
      <w:r w:rsidRPr="006A1898">
        <w:rPr>
          <w:rFonts w:ascii="Cambria" w:hAnsi="Cambria"/>
        </w:rPr>
        <w:t>This data collection</w:t>
      </w:r>
      <w:r w:rsidR="00484011" w:rsidRPr="006A1898">
        <w:rPr>
          <w:rFonts w:ascii="Cambria" w:hAnsi="Cambria"/>
        </w:rPr>
        <w:t xml:space="preserve"> is being conducted </w:t>
      </w:r>
      <w:r w:rsidR="009252DC" w:rsidRPr="006A1898">
        <w:rPr>
          <w:rFonts w:ascii="Cambria" w:hAnsi="Cambria"/>
        </w:rPr>
        <w:t>using</w:t>
      </w:r>
      <w:r w:rsidR="00484011" w:rsidRPr="006A1898">
        <w:rPr>
          <w:rFonts w:ascii="Cambria" w:hAnsi="Cambria"/>
        </w:rPr>
        <w:t xml:space="preserve"> the Generic Information Collection mechanism </w:t>
      </w:r>
      <w:r w:rsidR="009252DC" w:rsidRPr="006A1898">
        <w:rPr>
          <w:rFonts w:ascii="Cambria" w:hAnsi="Cambria"/>
        </w:rPr>
        <w:t xml:space="preserve">of the OSTLTS Survey Center (OSC) </w:t>
      </w:r>
      <w:r w:rsidR="00484011" w:rsidRPr="006A1898">
        <w:rPr>
          <w:rFonts w:ascii="Cambria" w:hAnsi="Cambria"/>
        </w:rPr>
        <w:t>– OMB No. 0920-0879</w:t>
      </w:r>
      <w:r w:rsidRPr="006A1898">
        <w:rPr>
          <w:rFonts w:ascii="Cambria" w:hAnsi="Cambria"/>
        </w:rPr>
        <w:t>.</w:t>
      </w:r>
      <w:r w:rsidR="009252DC" w:rsidRPr="006A1898">
        <w:rPr>
          <w:rFonts w:ascii="Cambria" w:hAnsi="Cambria"/>
        </w:rPr>
        <w:t xml:space="preserve"> The respondent universe for this data collection aligns with that of the OSC. Data will be collected fro</w:t>
      </w:r>
      <w:r w:rsidR="00CC3C8B" w:rsidRPr="006A1898">
        <w:rPr>
          <w:rFonts w:ascii="Cambria" w:hAnsi="Cambria"/>
        </w:rPr>
        <w:t xml:space="preserve">m state, tribal, local, and territorial level </w:t>
      </w:r>
      <w:r w:rsidR="0067712D" w:rsidRPr="006A1898">
        <w:rPr>
          <w:rFonts w:ascii="Cambria" w:hAnsi="Cambria"/>
        </w:rPr>
        <w:t xml:space="preserve">(STLT) </w:t>
      </w:r>
      <w:r w:rsidR="00CC3C8B" w:rsidRPr="006A1898">
        <w:rPr>
          <w:rFonts w:ascii="Cambria" w:hAnsi="Cambria"/>
        </w:rPr>
        <w:t xml:space="preserve">program mangers/directors </w:t>
      </w:r>
      <w:r w:rsidR="009252DC" w:rsidRPr="006A1898">
        <w:rPr>
          <w:rFonts w:ascii="Cambria" w:hAnsi="Cambria"/>
        </w:rPr>
        <w:t>acting in their official capacities.</w:t>
      </w:r>
    </w:p>
    <w:p w:rsidR="009252DC" w:rsidRDefault="009252DC" w:rsidP="000807BB">
      <w:pPr>
        <w:pStyle w:val="Header"/>
        <w:tabs>
          <w:tab w:val="clear" w:pos="4680"/>
        </w:tabs>
        <w:spacing w:line="276" w:lineRule="auto"/>
        <w:ind w:left="720"/>
        <w:rPr>
          <w:rFonts w:ascii="Cambria" w:hAnsi="Cambria"/>
        </w:rPr>
      </w:pPr>
    </w:p>
    <w:p w:rsidR="007C0FFE" w:rsidRDefault="007C0FFE" w:rsidP="007C6FDA">
      <w:pPr>
        <w:pStyle w:val="Header"/>
        <w:tabs>
          <w:tab w:val="clear" w:pos="4680"/>
        </w:tabs>
        <w:spacing w:line="276" w:lineRule="auto"/>
        <w:ind w:left="720"/>
        <w:rPr>
          <w:rFonts w:ascii="Cambria" w:hAnsi="Cambria"/>
        </w:rPr>
      </w:pPr>
      <w:r>
        <w:rPr>
          <w:rFonts w:ascii="Cambria" w:hAnsi="Cambria"/>
        </w:rPr>
        <w:t xml:space="preserve">Over the past 4 years, a multitude activities and recommendations </w:t>
      </w:r>
      <w:r w:rsidR="00AC3274" w:rsidRPr="00D70CF3">
        <w:rPr>
          <w:rFonts w:ascii="Cambria" w:hAnsi="Cambria"/>
          <w:b/>
        </w:rPr>
        <w:t>(see Attachment A)</w:t>
      </w:r>
      <w:r w:rsidR="00AC3274">
        <w:rPr>
          <w:rFonts w:ascii="Cambria" w:hAnsi="Cambria"/>
          <w:b/>
        </w:rPr>
        <w:t xml:space="preserve"> </w:t>
      </w:r>
      <w:r>
        <w:rPr>
          <w:rFonts w:ascii="Cambria" w:hAnsi="Cambria"/>
        </w:rPr>
        <w:t xml:space="preserve">have led to the development and work of the Technical Assistance and Service Improvement Initiative (TASII) and ultimately, the development of the TASII External Stakeholder Survey. </w:t>
      </w:r>
      <w:r w:rsidR="00390ABE">
        <w:rPr>
          <w:rFonts w:ascii="Cambria" w:hAnsi="Cambria"/>
        </w:rPr>
        <w:t xml:space="preserve">Beginning </w:t>
      </w:r>
      <w:r w:rsidR="00390ABE" w:rsidRPr="00374039">
        <w:rPr>
          <w:rFonts w:ascii="Cambria" w:hAnsi="Cambria"/>
        </w:rPr>
        <w:t>i</w:t>
      </w:r>
      <w:r w:rsidRPr="00374039">
        <w:rPr>
          <w:rFonts w:ascii="Cambria" w:hAnsi="Cambria"/>
        </w:rPr>
        <w:t xml:space="preserve">n 2008, the Association of State and Territorial Health Officials prepared and delivered a letter </w:t>
      </w:r>
      <w:r w:rsidRPr="00374039">
        <w:rPr>
          <w:rFonts w:ascii="Cambria" w:hAnsi="Cambria"/>
          <w:b/>
        </w:rPr>
        <w:t xml:space="preserve">(see Attachment </w:t>
      </w:r>
      <w:r w:rsidR="00D70CF3" w:rsidRPr="00374039">
        <w:rPr>
          <w:rFonts w:ascii="Cambria" w:hAnsi="Cambria"/>
          <w:b/>
        </w:rPr>
        <w:t>B</w:t>
      </w:r>
      <w:r w:rsidRPr="00374039">
        <w:rPr>
          <w:rFonts w:ascii="Cambria" w:hAnsi="Cambria"/>
          <w:b/>
        </w:rPr>
        <w:t>)</w:t>
      </w:r>
      <w:r w:rsidRPr="00374039">
        <w:rPr>
          <w:rFonts w:ascii="Cambria" w:hAnsi="Cambria"/>
        </w:rPr>
        <w:t xml:space="preserve"> to the Director of CDC, Dr. </w:t>
      </w:r>
      <w:proofErr w:type="spellStart"/>
      <w:r w:rsidRPr="00374039">
        <w:rPr>
          <w:rFonts w:ascii="Cambria" w:hAnsi="Cambria"/>
        </w:rPr>
        <w:t>Frieden</w:t>
      </w:r>
      <w:proofErr w:type="spellEnd"/>
      <w:r w:rsidRPr="00374039">
        <w:rPr>
          <w:rFonts w:ascii="Cambria" w:hAnsi="Cambria"/>
        </w:rPr>
        <w:t>.  In this letter, this na</w:t>
      </w:r>
      <w:r w:rsidR="00374039">
        <w:rPr>
          <w:rFonts w:ascii="Cambria" w:hAnsi="Cambria"/>
        </w:rPr>
        <w:t xml:space="preserve">tional organization </w:t>
      </w:r>
      <w:r w:rsidRPr="00374039">
        <w:rPr>
          <w:rFonts w:ascii="Cambria" w:hAnsi="Cambria"/>
        </w:rPr>
        <w:t>requested</w:t>
      </w:r>
      <w:r w:rsidR="008443A8">
        <w:rPr>
          <w:rFonts w:ascii="Cambria" w:hAnsi="Cambria"/>
        </w:rPr>
        <w:t xml:space="preserve"> “</w:t>
      </w:r>
      <w:r w:rsidR="00374039">
        <w:rPr>
          <w:rFonts w:ascii="Cambria" w:hAnsi="Cambria"/>
        </w:rPr>
        <w:t>G</w:t>
      </w:r>
      <w:r w:rsidR="00390ABE" w:rsidRPr="00374039">
        <w:rPr>
          <w:rFonts w:ascii="Cambria" w:hAnsi="Cambria"/>
        </w:rPr>
        <w:t>reater stability, reliability and engage</w:t>
      </w:r>
      <w:r w:rsidR="00374039">
        <w:rPr>
          <w:rFonts w:ascii="Cambria" w:hAnsi="Cambria"/>
        </w:rPr>
        <w:t>ment of the CDC Project Officers</w:t>
      </w:r>
      <w:r w:rsidR="00390ABE" w:rsidRPr="00374039">
        <w:rPr>
          <w:rFonts w:ascii="Cambria" w:hAnsi="Cambria"/>
        </w:rPr>
        <w:t>”</w:t>
      </w:r>
      <w:r w:rsidR="00374039">
        <w:rPr>
          <w:rFonts w:ascii="Cambria" w:hAnsi="Cambria"/>
        </w:rPr>
        <w:t>.</w:t>
      </w:r>
      <w:r w:rsidRPr="00374039">
        <w:rPr>
          <w:rFonts w:ascii="Cambria" w:hAnsi="Cambria"/>
        </w:rPr>
        <w:t xml:space="preserve"> </w:t>
      </w:r>
      <w:r w:rsidR="00374039">
        <w:rPr>
          <w:rFonts w:ascii="Cambria" w:hAnsi="Cambria"/>
        </w:rPr>
        <w:t xml:space="preserve">  As a result</w:t>
      </w:r>
      <w:r w:rsidRPr="00374039">
        <w:rPr>
          <w:rFonts w:ascii="Cambria" w:hAnsi="Cambria"/>
        </w:rPr>
        <w:t xml:space="preserve"> </w:t>
      </w:r>
      <w:r w:rsidR="00374039">
        <w:rPr>
          <w:rFonts w:ascii="Cambria" w:hAnsi="Cambria"/>
        </w:rPr>
        <w:t xml:space="preserve">of this letter, </w:t>
      </w:r>
      <w:r w:rsidR="00223EBD" w:rsidRPr="00374039">
        <w:rPr>
          <w:rFonts w:ascii="Cambria" w:hAnsi="Cambria"/>
        </w:rPr>
        <w:t>the Partner Services Workgroup</w:t>
      </w:r>
      <w:r w:rsidR="00374039">
        <w:rPr>
          <w:rFonts w:ascii="Cambria" w:hAnsi="Cambria"/>
        </w:rPr>
        <w:t xml:space="preserve"> was established</w:t>
      </w:r>
      <w:r w:rsidR="00223EBD" w:rsidRPr="00374039">
        <w:rPr>
          <w:rFonts w:ascii="Cambria" w:hAnsi="Cambria"/>
        </w:rPr>
        <w:t>.</w:t>
      </w:r>
      <w:r w:rsidR="00223EBD">
        <w:rPr>
          <w:rFonts w:ascii="Cambria" w:hAnsi="Cambria"/>
        </w:rPr>
        <w:t xml:space="preserve">  In 2009, this workgroup convened a diverse group of public health officials to identify </w:t>
      </w:r>
      <w:r w:rsidR="00D70CF3">
        <w:rPr>
          <w:rFonts w:ascii="Cambria" w:hAnsi="Cambria"/>
        </w:rPr>
        <w:t>core themes and recommendations aimed at improving</w:t>
      </w:r>
      <w:r w:rsidR="00223EBD">
        <w:rPr>
          <w:rFonts w:ascii="Cambria" w:hAnsi="Cambria"/>
        </w:rPr>
        <w:t xml:space="preserve"> the provision of technical assistance </w:t>
      </w:r>
      <w:r w:rsidR="000F18D0">
        <w:rPr>
          <w:rFonts w:ascii="Cambria" w:hAnsi="Cambria"/>
        </w:rPr>
        <w:t xml:space="preserve">provided </w:t>
      </w:r>
      <w:r w:rsidR="00223EBD">
        <w:rPr>
          <w:rFonts w:ascii="Cambria" w:hAnsi="Cambria"/>
        </w:rPr>
        <w:t xml:space="preserve">by project officers.  Specifically, consensus was reached for the following </w:t>
      </w:r>
      <w:r w:rsidR="00D70CF3">
        <w:rPr>
          <w:rFonts w:ascii="Cambria" w:hAnsi="Cambria"/>
        </w:rPr>
        <w:t xml:space="preserve">5 recommendations </w:t>
      </w:r>
      <w:r w:rsidR="00D70CF3">
        <w:rPr>
          <w:rFonts w:ascii="Cambria" w:hAnsi="Cambria"/>
          <w:b/>
        </w:rPr>
        <w:t>(see Attachment C</w:t>
      </w:r>
      <w:r w:rsidR="00D70CF3" w:rsidRPr="00D70CF3">
        <w:rPr>
          <w:rFonts w:ascii="Cambria" w:hAnsi="Cambria"/>
          <w:b/>
        </w:rPr>
        <w:t>)</w:t>
      </w:r>
      <w:r w:rsidR="00223EBD">
        <w:rPr>
          <w:rFonts w:ascii="Cambria" w:hAnsi="Cambria"/>
        </w:rPr>
        <w:t>:</w:t>
      </w:r>
    </w:p>
    <w:p w:rsidR="00223EBD" w:rsidRDefault="00003166" w:rsidP="00003166">
      <w:pPr>
        <w:pStyle w:val="Header"/>
        <w:numPr>
          <w:ilvl w:val="0"/>
          <w:numId w:val="40"/>
        </w:numPr>
        <w:tabs>
          <w:tab w:val="clear" w:pos="4680"/>
        </w:tabs>
        <w:spacing w:line="276" w:lineRule="auto"/>
        <w:ind w:left="1440"/>
        <w:rPr>
          <w:rFonts w:ascii="Cambria" w:hAnsi="Cambria"/>
        </w:rPr>
      </w:pPr>
      <w:r>
        <w:rPr>
          <w:rFonts w:ascii="Cambria" w:hAnsi="Cambria"/>
        </w:rPr>
        <w:t>Identify and define standardized training for project officers,</w:t>
      </w:r>
    </w:p>
    <w:p w:rsidR="00003166" w:rsidRDefault="00003166" w:rsidP="00003166">
      <w:pPr>
        <w:pStyle w:val="Header"/>
        <w:numPr>
          <w:ilvl w:val="0"/>
          <w:numId w:val="40"/>
        </w:numPr>
        <w:tabs>
          <w:tab w:val="clear" w:pos="4680"/>
        </w:tabs>
        <w:spacing w:line="276" w:lineRule="auto"/>
        <w:ind w:left="1440"/>
        <w:rPr>
          <w:rFonts w:ascii="Cambria" w:hAnsi="Cambria"/>
        </w:rPr>
      </w:pPr>
      <w:r>
        <w:rPr>
          <w:rFonts w:ascii="Cambria" w:hAnsi="Cambria"/>
        </w:rPr>
        <w:t>Develop a recruitment strategy including consistent criteria for the level of experience, training or skills for project officer positions,</w:t>
      </w:r>
    </w:p>
    <w:p w:rsidR="00003166" w:rsidRDefault="00003166" w:rsidP="00003166">
      <w:pPr>
        <w:pStyle w:val="Header"/>
        <w:numPr>
          <w:ilvl w:val="0"/>
          <w:numId w:val="40"/>
        </w:numPr>
        <w:tabs>
          <w:tab w:val="clear" w:pos="4680"/>
        </w:tabs>
        <w:spacing w:line="276" w:lineRule="auto"/>
        <w:ind w:left="1440"/>
        <w:rPr>
          <w:rFonts w:ascii="Cambria" w:hAnsi="Cambria"/>
        </w:rPr>
      </w:pPr>
      <w:r>
        <w:rPr>
          <w:rFonts w:ascii="Cambria" w:hAnsi="Cambria"/>
        </w:rPr>
        <w:t>Develop and implement universal expectations and performance indicators or standards of performance for project officers,</w:t>
      </w:r>
    </w:p>
    <w:p w:rsidR="00003166" w:rsidRDefault="00003166" w:rsidP="00003166">
      <w:pPr>
        <w:pStyle w:val="Header"/>
        <w:numPr>
          <w:ilvl w:val="0"/>
          <w:numId w:val="40"/>
        </w:numPr>
        <w:tabs>
          <w:tab w:val="clear" w:pos="4680"/>
        </w:tabs>
        <w:spacing w:line="276" w:lineRule="auto"/>
        <w:ind w:left="1440"/>
        <w:rPr>
          <w:rFonts w:ascii="Cambria" w:hAnsi="Cambria"/>
        </w:rPr>
      </w:pPr>
      <w:r>
        <w:rPr>
          <w:rFonts w:ascii="Cambria" w:hAnsi="Cambria"/>
        </w:rPr>
        <w:t>Establish an evaluation framework including feedback from external partners assessing the services provided by project officers, and</w:t>
      </w:r>
    </w:p>
    <w:p w:rsidR="00003166" w:rsidRDefault="00D70CF3" w:rsidP="00003166">
      <w:pPr>
        <w:pStyle w:val="Header"/>
        <w:numPr>
          <w:ilvl w:val="0"/>
          <w:numId w:val="40"/>
        </w:numPr>
        <w:tabs>
          <w:tab w:val="clear" w:pos="4680"/>
        </w:tabs>
        <w:spacing w:line="276" w:lineRule="auto"/>
        <w:ind w:left="1440"/>
        <w:rPr>
          <w:rFonts w:ascii="Cambria" w:hAnsi="Cambria"/>
        </w:rPr>
      </w:pPr>
      <w:r>
        <w:rPr>
          <w:rFonts w:ascii="Cambria" w:hAnsi="Cambria"/>
        </w:rPr>
        <w:t>Provision of senior leadership guidance and oversight to ensure consistency, continuity, and accountability.</w:t>
      </w:r>
    </w:p>
    <w:p w:rsidR="00936A6E" w:rsidRDefault="000F18D0" w:rsidP="000F18D0">
      <w:pPr>
        <w:pStyle w:val="Header"/>
        <w:tabs>
          <w:tab w:val="clear" w:pos="4680"/>
        </w:tabs>
        <w:spacing w:line="276" w:lineRule="auto"/>
        <w:ind w:left="720"/>
        <w:rPr>
          <w:rFonts w:ascii="Cambria" w:hAnsi="Cambria"/>
        </w:rPr>
      </w:pPr>
      <w:r>
        <w:rPr>
          <w:rFonts w:ascii="Cambria" w:hAnsi="Cambria"/>
        </w:rPr>
        <w:t>Likewise</w:t>
      </w:r>
      <w:r w:rsidR="00936A6E">
        <w:rPr>
          <w:rFonts w:ascii="Cambria" w:hAnsi="Cambria"/>
        </w:rPr>
        <w:t xml:space="preserve">, the State, Tribal, Local and Territorial (STLT) workgroup of the Advisory Committee to the Director </w:t>
      </w:r>
      <w:r>
        <w:rPr>
          <w:rFonts w:ascii="Cambria" w:hAnsi="Cambria"/>
        </w:rPr>
        <w:t>underscored</w:t>
      </w:r>
      <w:r w:rsidR="00936A6E">
        <w:rPr>
          <w:rFonts w:ascii="Cambria" w:hAnsi="Cambria"/>
        </w:rPr>
        <w:t xml:space="preserve"> the need </w:t>
      </w:r>
      <w:r>
        <w:rPr>
          <w:rFonts w:ascii="Cambria" w:hAnsi="Cambria"/>
        </w:rPr>
        <w:t xml:space="preserve">for external evaluation and assessment of the </w:t>
      </w:r>
      <w:r w:rsidR="00936A6E" w:rsidRPr="00330AC2">
        <w:rPr>
          <w:rFonts w:ascii="Cambria" w:hAnsi="Cambria"/>
        </w:rPr>
        <w:t xml:space="preserve">technical assistance provided by </w:t>
      </w:r>
      <w:r>
        <w:rPr>
          <w:rFonts w:ascii="Cambria" w:hAnsi="Cambria"/>
        </w:rPr>
        <w:t xml:space="preserve">CDC to external stakeholders. </w:t>
      </w:r>
      <w:r w:rsidR="00936A6E">
        <w:rPr>
          <w:rFonts w:ascii="Cambria" w:hAnsi="Cambria"/>
        </w:rPr>
        <w:t xml:space="preserve">In </w:t>
      </w:r>
      <w:r>
        <w:rPr>
          <w:rFonts w:ascii="Cambria" w:hAnsi="Cambria"/>
        </w:rPr>
        <w:t>a 2011 meeting, STLT partners</w:t>
      </w:r>
      <w:r w:rsidR="00936A6E">
        <w:rPr>
          <w:rFonts w:ascii="Cambria" w:hAnsi="Cambria"/>
        </w:rPr>
        <w:t xml:space="preserve"> </w:t>
      </w:r>
      <w:r>
        <w:rPr>
          <w:rFonts w:ascii="Cambria" w:hAnsi="Cambria"/>
        </w:rPr>
        <w:t>emphasized</w:t>
      </w:r>
      <w:r w:rsidR="00936A6E">
        <w:rPr>
          <w:rFonts w:ascii="Cambria" w:hAnsi="Cambria"/>
        </w:rPr>
        <w:t xml:space="preserve"> that project officers played a critical role in establishing and strengthening partnerships between external stakeholders and CDC, but lack of consistency, continuity, and agency-wide clarity undermined utility of project officers in stewarding cooperative agreements.  The workgroup provided recommendations for areas of improvement including identifying universal expectations of project officers, establishing performance indicators, standardizing training, and evaluating and incorporating feedback from external partners to improve the</w:t>
      </w:r>
      <w:r>
        <w:rPr>
          <w:rFonts w:ascii="Cambria" w:hAnsi="Cambria"/>
        </w:rPr>
        <w:t xml:space="preserve"> technical assistance process. </w:t>
      </w:r>
      <w:r w:rsidR="00936A6E">
        <w:rPr>
          <w:rFonts w:ascii="Cambria" w:hAnsi="Cambria"/>
        </w:rPr>
        <w:t xml:space="preserve">A full report of the recommendations was disseminated widely among CDC leadership and program staff </w:t>
      </w:r>
      <w:r w:rsidR="00936A6E" w:rsidRPr="00761234">
        <w:rPr>
          <w:rFonts w:ascii="Cambria" w:hAnsi="Cambria"/>
          <w:b/>
        </w:rPr>
        <w:t>(</w:t>
      </w:r>
      <w:r w:rsidR="00936A6E">
        <w:rPr>
          <w:rFonts w:ascii="Cambria" w:hAnsi="Cambria"/>
          <w:b/>
        </w:rPr>
        <w:t xml:space="preserve">see </w:t>
      </w:r>
      <w:r>
        <w:rPr>
          <w:rFonts w:ascii="Cambria" w:hAnsi="Cambria"/>
          <w:b/>
        </w:rPr>
        <w:t>Attachment D</w:t>
      </w:r>
      <w:r w:rsidR="00936A6E" w:rsidRPr="00761234">
        <w:rPr>
          <w:rFonts w:ascii="Cambria" w:hAnsi="Cambria"/>
          <w:b/>
        </w:rPr>
        <w:t>)</w:t>
      </w:r>
      <w:r w:rsidR="00936A6E">
        <w:rPr>
          <w:rFonts w:ascii="Cambria" w:hAnsi="Cambria"/>
        </w:rPr>
        <w:t xml:space="preserve">.    </w:t>
      </w:r>
      <w:r w:rsidR="00936A6E" w:rsidRPr="00330AC2">
        <w:rPr>
          <w:rFonts w:ascii="Cambria" w:hAnsi="Cambria"/>
        </w:rPr>
        <w:t xml:space="preserve">  </w:t>
      </w:r>
    </w:p>
    <w:p w:rsidR="00AF12FD" w:rsidRDefault="00AF12FD" w:rsidP="00AF12FD">
      <w:pPr>
        <w:pStyle w:val="Header"/>
        <w:tabs>
          <w:tab w:val="clear" w:pos="4680"/>
        </w:tabs>
        <w:spacing w:line="276" w:lineRule="auto"/>
        <w:ind w:left="720"/>
        <w:rPr>
          <w:rFonts w:ascii="Cambria" w:hAnsi="Cambria"/>
        </w:rPr>
      </w:pPr>
    </w:p>
    <w:p w:rsidR="00AF12FD" w:rsidRDefault="000F18D0" w:rsidP="00AF12FD">
      <w:pPr>
        <w:pStyle w:val="Header"/>
        <w:tabs>
          <w:tab w:val="clear" w:pos="4680"/>
        </w:tabs>
        <w:spacing w:line="276" w:lineRule="auto"/>
        <w:ind w:left="720"/>
        <w:rPr>
          <w:rFonts w:ascii="Cambria" w:hAnsi="Cambria"/>
        </w:rPr>
      </w:pPr>
      <w:r>
        <w:rPr>
          <w:rFonts w:ascii="Cambria" w:hAnsi="Cambria"/>
        </w:rPr>
        <w:lastRenderedPageBreak/>
        <w:t xml:space="preserve">In addition, </w:t>
      </w:r>
      <w:r w:rsidR="00AF12FD">
        <w:rPr>
          <w:rFonts w:ascii="Cambria" w:hAnsi="Cambria"/>
        </w:rPr>
        <w:t xml:space="preserve">the Office for State, Territorial, Local, and Tribal Support (OSTLTS) </w:t>
      </w:r>
      <w:r>
        <w:rPr>
          <w:rFonts w:ascii="Cambria" w:hAnsi="Cambria"/>
        </w:rPr>
        <w:t>completed</w:t>
      </w:r>
      <w:r w:rsidR="00AF12FD">
        <w:rPr>
          <w:rFonts w:ascii="Cambria" w:hAnsi="Cambria"/>
        </w:rPr>
        <w:t xml:space="preserve"> the</w:t>
      </w:r>
      <w:r w:rsidR="00936A6E">
        <w:rPr>
          <w:rFonts w:ascii="Cambria" w:hAnsi="Cambria"/>
        </w:rPr>
        <w:t xml:space="preserve"> 2010</w:t>
      </w:r>
      <w:r w:rsidR="00AF12FD">
        <w:rPr>
          <w:rFonts w:ascii="Cambria" w:hAnsi="Cambria"/>
        </w:rPr>
        <w:t xml:space="preserve"> Transformation Project </w:t>
      </w:r>
      <w:r>
        <w:rPr>
          <w:rFonts w:ascii="Cambria" w:hAnsi="Cambria"/>
          <w:b/>
        </w:rPr>
        <w:t>(see Attachment E</w:t>
      </w:r>
      <w:r w:rsidR="00936A6E">
        <w:rPr>
          <w:rFonts w:ascii="Cambria" w:hAnsi="Cambria"/>
          <w:b/>
        </w:rPr>
        <w:t>)</w:t>
      </w:r>
      <w:r w:rsidR="00AF12FD">
        <w:rPr>
          <w:rFonts w:ascii="Cambria" w:hAnsi="Cambria"/>
        </w:rPr>
        <w:t>.</w:t>
      </w:r>
      <w:r w:rsidR="00936A6E">
        <w:rPr>
          <w:rFonts w:ascii="Cambria" w:hAnsi="Cambria"/>
        </w:rPr>
        <w:t xml:space="preserve"> </w:t>
      </w:r>
      <w:r>
        <w:rPr>
          <w:rFonts w:ascii="Cambria" w:hAnsi="Cambria"/>
        </w:rPr>
        <w:t xml:space="preserve"> This activity </w:t>
      </w:r>
      <w:r w:rsidR="00C807AA">
        <w:rPr>
          <w:rFonts w:ascii="Cambria" w:hAnsi="Cambria"/>
        </w:rPr>
        <w:t>not only concurred with previous workgroup recommendations to complete an evaluation of external stakeholders’ perceptions and satisfaction with the technical assistance provided by project officers, but specified</w:t>
      </w:r>
      <w:r>
        <w:rPr>
          <w:rFonts w:ascii="Cambria" w:hAnsi="Cambria"/>
        </w:rPr>
        <w:t xml:space="preserve"> </w:t>
      </w:r>
      <w:r w:rsidR="00C807AA">
        <w:rPr>
          <w:rFonts w:ascii="Cambria" w:hAnsi="Cambria"/>
        </w:rPr>
        <w:t xml:space="preserve">the following </w:t>
      </w:r>
      <w:r>
        <w:rPr>
          <w:rFonts w:ascii="Cambria" w:hAnsi="Cambria"/>
        </w:rPr>
        <w:t xml:space="preserve">topics for </w:t>
      </w:r>
      <w:r w:rsidR="00C807AA">
        <w:rPr>
          <w:rFonts w:ascii="Cambria" w:hAnsi="Cambria"/>
        </w:rPr>
        <w:t>inclusion in the assessment: (1) the impact of project officer turn-over on program success, (2) alignment of project officers priorities with SLTLT priorities for program implementation, and (3) clarity and consistency of communications.</w:t>
      </w:r>
    </w:p>
    <w:p w:rsidR="00192B05" w:rsidRDefault="00192B05" w:rsidP="00DC65CF">
      <w:pPr>
        <w:pStyle w:val="Header"/>
        <w:tabs>
          <w:tab w:val="clear" w:pos="4680"/>
        </w:tabs>
        <w:spacing w:line="276" w:lineRule="auto"/>
        <w:ind w:left="720"/>
        <w:rPr>
          <w:rFonts w:ascii="Cambria" w:hAnsi="Cambria"/>
        </w:rPr>
      </w:pPr>
    </w:p>
    <w:p w:rsidR="00DC65CF" w:rsidRDefault="00C807AA" w:rsidP="00DC65CF">
      <w:pPr>
        <w:pStyle w:val="Header"/>
        <w:tabs>
          <w:tab w:val="clear" w:pos="4680"/>
        </w:tabs>
        <w:spacing w:line="276" w:lineRule="auto"/>
        <w:ind w:left="720"/>
        <w:rPr>
          <w:rFonts w:ascii="Cambria" w:hAnsi="Cambria"/>
        </w:rPr>
      </w:pPr>
      <w:r>
        <w:rPr>
          <w:rFonts w:ascii="Cambria" w:hAnsi="Cambria"/>
        </w:rPr>
        <w:t xml:space="preserve">In response to </w:t>
      </w:r>
      <w:r w:rsidR="007C1DCA">
        <w:rPr>
          <w:rFonts w:ascii="Cambria" w:hAnsi="Cambria"/>
        </w:rPr>
        <w:t>the culmination of</w:t>
      </w:r>
      <w:r>
        <w:rPr>
          <w:rFonts w:ascii="Cambria" w:hAnsi="Cambria"/>
        </w:rPr>
        <w:t xml:space="preserve"> recommendations, at the directive of the Director of CDC, t</w:t>
      </w:r>
      <w:r w:rsidR="00DC65CF">
        <w:rPr>
          <w:rFonts w:ascii="Cambria" w:hAnsi="Cambria"/>
        </w:rPr>
        <w:t xml:space="preserve">he Technical Assistance and Service Improvement Initiative (TASII) emerged </w:t>
      </w:r>
      <w:r>
        <w:rPr>
          <w:rFonts w:ascii="Cambria" w:hAnsi="Cambria"/>
        </w:rPr>
        <w:t>aimed at understanding the needs and expectations of external stakeholders and improving</w:t>
      </w:r>
      <w:r w:rsidR="00A834B6">
        <w:rPr>
          <w:rFonts w:ascii="Cambria" w:hAnsi="Cambria"/>
        </w:rPr>
        <w:t xml:space="preserve"> the </w:t>
      </w:r>
      <w:r>
        <w:rPr>
          <w:rFonts w:ascii="Cambria" w:hAnsi="Cambria"/>
        </w:rPr>
        <w:t>accuracy, consistency, and timeliness</w:t>
      </w:r>
      <w:r w:rsidR="00A834B6">
        <w:rPr>
          <w:rFonts w:ascii="Cambria" w:hAnsi="Cambria"/>
        </w:rPr>
        <w:t xml:space="preserve"> of the technical assistance</w:t>
      </w:r>
      <w:r w:rsidR="00DC65CF">
        <w:rPr>
          <w:rFonts w:ascii="Cambria" w:hAnsi="Cambria"/>
        </w:rPr>
        <w:t xml:space="preserve"> provided by project officers.  </w:t>
      </w:r>
      <w:r w:rsidR="00AC3274">
        <w:rPr>
          <w:rFonts w:ascii="Cambria" w:hAnsi="Cambria"/>
        </w:rPr>
        <w:t xml:space="preserve">To meet this goal, </w:t>
      </w:r>
      <w:r w:rsidR="00DC65CF">
        <w:rPr>
          <w:rFonts w:ascii="Cambria" w:hAnsi="Cambria"/>
        </w:rPr>
        <w:t>TASII is compri</w:t>
      </w:r>
      <w:r>
        <w:rPr>
          <w:rFonts w:ascii="Cambria" w:hAnsi="Cambria"/>
        </w:rPr>
        <w:t>sed of several work streams</w:t>
      </w:r>
      <w:r w:rsidR="00DC65CF">
        <w:rPr>
          <w:rFonts w:ascii="Cambria" w:hAnsi="Cambria"/>
        </w:rPr>
        <w:t>:</w:t>
      </w:r>
    </w:p>
    <w:p w:rsidR="005554C9" w:rsidRDefault="00DC65CF" w:rsidP="005554C9">
      <w:pPr>
        <w:pStyle w:val="Header"/>
        <w:numPr>
          <w:ilvl w:val="0"/>
          <w:numId w:val="34"/>
        </w:numPr>
        <w:tabs>
          <w:tab w:val="clear" w:pos="4680"/>
        </w:tabs>
        <w:spacing w:line="276" w:lineRule="auto"/>
        <w:ind w:left="1440"/>
        <w:rPr>
          <w:rFonts w:ascii="Cambria" w:hAnsi="Cambria"/>
        </w:rPr>
      </w:pPr>
      <w:r>
        <w:rPr>
          <w:rFonts w:ascii="Cambria" w:hAnsi="Cambria"/>
        </w:rPr>
        <w:t>Project Officer Portal – a</w:t>
      </w:r>
      <w:r w:rsidR="007C6FDA">
        <w:rPr>
          <w:rFonts w:ascii="Cambria" w:hAnsi="Cambria"/>
        </w:rPr>
        <w:t xml:space="preserve"> website for project officers to easily access CDC resources that are useful for their daily functions</w:t>
      </w:r>
      <w:r w:rsidR="00572B59">
        <w:rPr>
          <w:rFonts w:ascii="Cambria" w:hAnsi="Cambria"/>
        </w:rPr>
        <w:t>.</w:t>
      </w:r>
    </w:p>
    <w:p w:rsidR="005554C9" w:rsidRDefault="005554C9" w:rsidP="005554C9">
      <w:pPr>
        <w:pStyle w:val="Header"/>
        <w:numPr>
          <w:ilvl w:val="0"/>
          <w:numId w:val="34"/>
        </w:numPr>
        <w:tabs>
          <w:tab w:val="clear" w:pos="4680"/>
        </w:tabs>
        <w:spacing w:line="276" w:lineRule="auto"/>
        <w:ind w:left="1440"/>
        <w:rPr>
          <w:rFonts w:ascii="Cambria" w:hAnsi="Cambria"/>
        </w:rPr>
      </w:pPr>
      <w:r>
        <w:rPr>
          <w:rFonts w:ascii="Cambria" w:hAnsi="Cambria"/>
        </w:rPr>
        <w:t>Learning Opp</w:t>
      </w:r>
      <w:r w:rsidR="007C6FDA">
        <w:rPr>
          <w:rFonts w:ascii="Cambria" w:hAnsi="Cambria"/>
        </w:rPr>
        <w:t xml:space="preserve">ortunities for Project Officers - </w:t>
      </w:r>
      <w:r>
        <w:rPr>
          <w:rFonts w:ascii="Cambria" w:hAnsi="Cambria"/>
        </w:rPr>
        <w:t xml:space="preserve">learning events </w:t>
      </w:r>
      <w:r w:rsidR="007C6FDA">
        <w:rPr>
          <w:rFonts w:ascii="Cambria" w:hAnsi="Cambria"/>
        </w:rPr>
        <w:t xml:space="preserve">tailored to </w:t>
      </w:r>
      <w:r w:rsidR="007A10BC">
        <w:rPr>
          <w:rFonts w:ascii="Cambria" w:hAnsi="Cambria"/>
        </w:rPr>
        <w:t xml:space="preserve">project officers, </w:t>
      </w:r>
      <w:r>
        <w:rPr>
          <w:rFonts w:ascii="Cambria" w:hAnsi="Cambria"/>
        </w:rPr>
        <w:t>cover</w:t>
      </w:r>
      <w:r w:rsidR="007C6FDA">
        <w:rPr>
          <w:rFonts w:ascii="Cambria" w:hAnsi="Cambria"/>
        </w:rPr>
        <w:t>ing</w:t>
      </w:r>
      <w:r>
        <w:rPr>
          <w:rFonts w:ascii="Cambria" w:hAnsi="Cambria"/>
        </w:rPr>
        <w:t xml:space="preserve"> topics such as public health law, accreditation, and budget and grants management</w:t>
      </w:r>
      <w:r w:rsidR="00572B59">
        <w:rPr>
          <w:rFonts w:ascii="Cambria" w:hAnsi="Cambria"/>
        </w:rPr>
        <w:t>.</w:t>
      </w:r>
    </w:p>
    <w:p w:rsidR="007A10BC" w:rsidRDefault="005554C9" w:rsidP="007A10BC">
      <w:pPr>
        <w:pStyle w:val="Header"/>
        <w:numPr>
          <w:ilvl w:val="0"/>
          <w:numId w:val="34"/>
        </w:numPr>
        <w:tabs>
          <w:tab w:val="clear" w:pos="4680"/>
        </w:tabs>
        <w:spacing w:line="276" w:lineRule="auto"/>
        <w:ind w:left="1440"/>
        <w:rPr>
          <w:rFonts w:ascii="Cambria" w:hAnsi="Cambria"/>
        </w:rPr>
      </w:pPr>
      <w:r>
        <w:rPr>
          <w:rFonts w:ascii="Cambria" w:hAnsi="Cambria"/>
        </w:rPr>
        <w:t xml:space="preserve">Project Officer Registry – a database of project officers, program consultants and COTRs across </w:t>
      </w:r>
      <w:r w:rsidR="007C6FDA">
        <w:rPr>
          <w:rFonts w:ascii="Cambria" w:hAnsi="Cambria"/>
        </w:rPr>
        <w:t xml:space="preserve">CDC </w:t>
      </w:r>
      <w:r>
        <w:rPr>
          <w:rFonts w:ascii="Cambria" w:hAnsi="Cambria"/>
        </w:rPr>
        <w:t>divisions and branches</w:t>
      </w:r>
      <w:r w:rsidR="007A10BC">
        <w:rPr>
          <w:rFonts w:ascii="Cambria" w:hAnsi="Cambria"/>
        </w:rPr>
        <w:t>.</w:t>
      </w:r>
    </w:p>
    <w:p w:rsidR="007A10BC" w:rsidRPr="007A10BC" w:rsidRDefault="007A10BC" w:rsidP="007A10BC">
      <w:pPr>
        <w:pStyle w:val="Header"/>
        <w:numPr>
          <w:ilvl w:val="0"/>
          <w:numId w:val="34"/>
        </w:numPr>
        <w:tabs>
          <w:tab w:val="clear" w:pos="4680"/>
        </w:tabs>
        <w:spacing w:line="276" w:lineRule="auto"/>
        <w:ind w:left="1440"/>
        <w:rPr>
          <w:rFonts w:asciiTheme="majorHAnsi" w:hAnsiTheme="majorHAnsi"/>
        </w:rPr>
      </w:pPr>
      <w:r w:rsidRPr="007A10BC">
        <w:rPr>
          <w:rFonts w:ascii="Cambria" w:hAnsi="Cambria"/>
        </w:rPr>
        <w:t xml:space="preserve">All Hands </w:t>
      </w:r>
      <w:r w:rsidRPr="007A10BC">
        <w:rPr>
          <w:rFonts w:asciiTheme="majorHAnsi" w:hAnsiTheme="majorHAnsi"/>
        </w:rPr>
        <w:t xml:space="preserve">Meetings for Project Officers – conduct CDC-wide events for project officers and their managers to highlight CIO strategies developed for project officer training, performance management, and </w:t>
      </w:r>
      <w:r>
        <w:rPr>
          <w:rFonts w:asciiTheme="majorHAnsi" w:hAnsiTheme="majorHAnsi"/>
        </w:rPr>
        <w:t>quality improvement</w:t>
      </w:r>
      <w:r w:rsidR="001C2DCD">
        <w:rPr>
          <w:rFonts w:asciiTheme="majorHAnsi" w:hAnsiTheme="majorHAnsi"/>
        </w:rPr>
        <w:t>.</w:t>
      </w:r>
    </w:p>
    <w:p w:rsidR="00FB6C5B" w:rsidRDefault="00FB6C5B" w:rsidP="005554C9">
      <w:pPr>
        <w:pStyle w:val="Header"/>
        <w:numPr>
          <w:ilvl w:val="0"/>
          <w:numId w:val="34"/>
        </w:numPr>
        <w:tabs>
          <w:tab w:val="clear" w:pos="4680"/>
        </w:tabs>
        <w:spacing w:line="276" w:lineRule="auto"/>
        <w:ind w:left="1440"/>
        <w:rPr>
          <w:rFonts w:ascii="Cambria" w:hAnsi="Cambria"/>
        </w:rPr>
      </w:pPr>
      <w:r>
        <w:rPr>
          <w:rFonts w:ascii="Cambria" w:hAnsi="Cambria"/>
        </w:rPr>
        <w:t>Project Officer C</w:t>
      </w:r>
      <w:r w:rsidR="00672D60">
        <w:rPr>
          <w:rFonts w:ascii="Cambria" w:hAnsi="Cambria"/>
        </w:rPr>
        <w:t xml:space="preserve">ompetencies </w:t>
      </w:r>
      <w:r w:rsidR="00572B59">
        <w:rPr>
          <w:rFonts w:ascii="Cambria" w:hAnsi="Cambria"/>
        </w:rPr>
        <w:t>–</w:t>
      </w:r>
      <w:r w:rsidR="00672D60">
        <w:rPr>
          <w:rFonts w:ascii="Cambria" w:hAnsi="Cambria"/>
        </w:rPr>
        <w:t xml:space="preserve"> </w:t>
      </w:r>
      <w:r w:rsidR="00572B59">
        <w:rPr>
          <w:rFonts w:ascii="Cambria" w:hAnsi="Cambria"/>
        </w:rPr>
        <w:t xml:space="preserve">identification of core project officer competencies, an effort led by </w:t>
      </w:r>
      <w:r w:rsidR="00A834B6">
        <w:rPr>
          <w:rFonts w:ascii="Cambria" w:hAnsi="Cambria"/>
        </w:rPr>
        <w:t xml:space="preserve">the </w:t>
      </w:r>
      <w:r w:rsidR="00572B59">
        <w:rPr>
          <w:rFonts w:ascii="Cambria" w:hAnsi="Cambria"/>
        </w:rPr>
        <w:t xml:space="preserve">TASII workgroup and CDC University.  </w:t>
      </w:r>
    </w:p>
    <w:p w:rsidR="00330AC2" w:rsidRDefault="005554C9" w:rsidP="00F10DD7">
      <w:pPr>
        <w:pStyle w:val="Header"/>
        <w:numPr>
          <w:ilvl w:val="0"/>
          <w:numId w:val="34"/>
        </w:numPr>
        <w:tabs>
          <w:tab w:val="clear" w:pos="4680"/>
        </w:tabs>
        <w:spacing w:line="276" w:lineRule="auto"/>
        <w:ind w:left="1440"/>
        <w:rPr>
          <w:rFonts w:ascii="Cambria" w:hAnsi="Cambria"/>
        </w:rPr>
      </w:pPr>
      <w:r w:rsidRPr="007C6FDA">
        <w:rPr>
          <w:rFonts w:ascii="Cambria" w:hAnsi="Cambria"/>
        </w:rPr>
        <w:t xml:space="preserve">TASII Assessment – three separate </w:t>
      </w:r>
      <w:r w:rsidR="00A834B6">
        <w:rPr>
          <w:rFonts w:ascii="Cambria" w:hAnsi="Cambria"/>
        </w:rPr>
        <w:t>data collection tools</w:t>
      </w:r>
      <w:r w:rsidRPr="007C6FDA">
        <w:rPr>
          <w:rFonts w:ascii="Cambria" w:hAnsi="Cambria"/>
        </w:rPr>
        <w:t xml:space="preserve"> for project officers, CDC leadership and supervisors, and external stakeholders</w:t>
      </w:r>
      <w:r w:rsidR="00A834B6">
        <w:rPr>
          <w:rFonts w:ascii="Cambria" w:hAnsi="Cambria"/>
        </w:rPr>
        <w:t>,</w:t>
      </w:r>
      <w:r w:rsidRPr="007C6FDA">
        <w:rPr>
          <w:rFonts w:ascii="Cambria" w:hAnsi="Cambria"/>
        </w:rPr>
        <w:t xml:space="preserve"> to assess </w:t>
      </w:r>
      <w:r w:rsidR="00A834B6">
        <w:rPr>
          <w:rFonts w:ascii="Cambria" w:hAnsi="Cambria"/>
        </w:rPr>
        <w:t xml:space="preserve">the type and quality of technical assistance and program support provided by CDC. </w:t>
      </w:r>
    </w:p>
    <w:p w:rsidR="00C5630F" w:rsidRDefault="00C5630F" w:rsidP="001C2DCD">
      <w:pPr>
        <w:spacing w:after="120"/>
        <w:rPr>
          <w:rFonts w:ascii="Arial Narrow" w:hAnsi="Arial Narrow" w:cstheme="minorHAnsi"/>
        </w:rPr>
      </w:pPr>
    </w:p>
    <w:p w:rsidR="00A834B6" w:rsidRDefault="00C5630F" w:rsidP="00C5630F">
      <w:pPr>
        <w:spacing w:after="120"/>
        <w:rPr>
          <w:rFonts w:ascii="Cambria" w:hAnsi="Cambria"/>
        </w:rPr>
      </w:pPr>
      <w:r w:rsidRPr="00C5630F">
        <w:rPr>
          <w:rFonts w:asciiTheme="majorHAnsi" w:hAnsiTheme="majorHAnsi" w:cstheme="minorHAnsi"/>
        </w:rPr>
        <w:t xml:space="preserve">One method being utilized in the TASII assessment is the implementation of surveys aimed at collecting information regarding indices of the quality of the technical assistance and customer support provided by CDC project officers to CDC-funded grantees.  </w:t>
      </w:r>
      <w:r w:rsidR="00A834B6" w:rsidRPr="00C5630F">
        <w:rPr>
          <w:rFonts w:asciiTheme="majorHAnsi" w:hAnsiTheme="majorHAnsi"/>
        </w:rPr>
        <w:t xml:space="preserve">The comprehensive approach of the TASII Assessment </w:t>
      </w:r>
      <w:r w:rsidR="00027243" w:rsidRPr="00C5630F">
        <w:rPr>
          <w:rFonts w:asciiTheme="majorHAnsi" w:hAnsiTheme="majorHAnsi"/>
        </w:rPr>
        <w:t>elicits perceptions of</w:t>
      </w:r>
      <w:r w:rsidR="00A834B6" w:rsidRPr="00C5630F">
        <w:rPr>
          <w:rFonts w:asciiTheme="majorHAnsi" w:hAnsiTheme="majorHAnsi"/>
        </w:rPr>
        <w:t xml:space="preserve"> </w:t>
      </w:r>
      <w:r w:rsidR="0021271F" w:rsidRPr="00C5630F">
        <w:rPr>
          <w:rFonts w:asciiTheme="majorHAnsi" w:hAnsiTheme="majorHAnsi"/>
        </w:rPr>
        <w:t>CDC’s</w:t>
      </w:r>
      <w:r w:rsidR="00A834B6" w:rsidRPr="00C5630F">
        <w:rPr>
          <w:rFonts w:asciiTheme="majorHAnsi" w:hAnsiTheme="majorHAnsi"/>
        </w:rPr>
        <w:t xml:space="preserve"> technical assistance from </w:t>
      </w:r>
      <w:r w:rsidR="00027243" w:rsidRPr="00C5630F">
        <w:rPr>
          <w:rFonts w:asciiTheme="majorHAnsi" w:hAnsiTheme="majorHAnsi"/>
        </w:rPr>
        <w:t xml:space="preserve">both </w:t>
      </w:r>
      <w:r w:rsidR="0021271F" w:rsidRPr="00C5630F">
        <w:rPr>
          <w:rFonts w:asciiTheme="majorHAnsi" w:hAnsiTheme="majorHAnsi"/>
        </w:rPr>
        <w:t xml:space="preserve">internal </w:t>
      </w:r>
      <w:r w:rsidR="00027243" w:rsidRPr="00C5630F">
        <w:rPr>
          <w:rFonts w:asciiTheme="majorHAnsi" w:hAnsiTheme="majorHAnsi"/>
        </w:rPr>
        <w:t xml:space="preserve">and external </w:t>
      </w:r>
      <w:r w:rsidR="0021271F" w:rsidRPr="00C5630F">
        <w:rPr>
          <w:rFonts w:asciiTheme="majorHAnsi" w:hAnsiTheme="majorHAnsi"/>
        </w:rPr>
        <w:t>stakeholder</w:t>
      </w:r>
      <w:r w:rsidR="00027243" w:rsidRPr="00C5630F">
        <w:rPr>
          <w:rFonts w:asciiTheme="majorHAnsi" w:hAnsiTheme="majorHAnsi"/>
        </w:rPr>
        <w:t xml:space="preserve">s.  </w:t>
      </w:r>
      <w:r w:rsidRPr="00C5630F">
        <w:rPr>
          <w:rFonts w:asciiTheme="majorHAnsi" w:hAnsiTheme="majorHAnsi"/>
        </w:rPr>
        <w:t>Information collected</w:t>
      </w:r>
      <w:r>
        <w:rPr>
          <w:rFonts w:ascii="Cambria" w:hAnsi="Cambria"/>
        </w:rPr>
        <w:t xml:space="preserve"> from internal stakeholders includes</w:t>
      </w:r>
      <w:r w:rsidR="00027243">
        <w:rPr>
          <w:rFonts w:ascii="Cambria" w:hAnsi="Cambria"/>
        </w:rPr>
        <w:t xml:space="preserve">:  </w:t>
      </w:r>
      <w:r w:rsidR="0021271F">
        <w:rPr>
          <w:rFonts w:ascii="Cambria" w:hAnsi="Cambria"/>
        </w:rPr>
        <w:t xml:space="preserve"> </w:t>
      </w:r>
    </w:p>
    <w:p w:rsidR="00A834B6" w:rsidRDefault="00C5630F" w:rsidP="00A834B6">
      <w:pPr>
        <w:pStyle w:val="Header"/>
        <w:numPr>
          <w:ilvl w:val="0"/>
          <w:numId w:val="36"/>
        </w:numPr>
        <w:tabs>
          <w:tab w:val="clear" w:pos="4680"/>
        </w:tabs>
        <w:spacing w:line="276" w:lineRule="auto"/>
        <w:rPr>
          <w:rFonts w:ascii="Cambria" w:hAnsi="Cambria"/>
        </w:rPr>
      </w:pPr>
      <w:r>
        <w:rPr>
          <w:rFonts w:ascii="Cambria" w:hAnsi="Cambria"/>
        </w:rPr>
        <w:t>TASII</w:t>
      </w:r>
      <w:r w:rsidR="00A834B6">
        <w:rPr>
          <w:rFonts w:ascii="Cambria" w:hAnsi="Cambria"/>
        </w:rPr>
        <w:t xml:space="preserve"> Survey </w:t>
      </w:r>
      <w:r>
        <w:rPr>
          <w:rFonts w:ascii="Cambria" w:hAnsi="Cambria"/>
        </w:rPr>
        <w:t>for Project Officers</w:t>
      </w:r>
      <w:r w:rsidR="00A834B6">
        <w:rPr>
          <w:rFonts w:ascii="Cambria" w:hAnsi="Cambria"/>
        </w:rPr>
        <w:t>– providing insight regarding service delivery models, organizational supports and resources provided, and professional development opportunities</w:t>
      </w:r>
      <w:r w:rsidR="0021271F">
        <w:rPr>
          <w:rFonts w:ascii="Cambria" w:hAnsi="Cambria"/>
        </w:rPr>
        <w:t>.</w:t>
      </w:r>
    </w:p>
    <w:p w:rsidR="0021271F" w:rsidRDefault="00C5630F" w:rsidP="00A834B6">
      <w:pPr>
        <w:pStyle w:val="Header"/>
        <w:numPr>
          <w:ilvl w:val="0"/>
          <w:numId w:val="36"/>
        </w:numPr>
        <w:tabs>
          <w:tab w:val="clear" w:pos="4680"/>
        </w:tabs>
        <w:spacing w:line="276" w:lineRule="auto"/>
        <w:rPr>
          <w:rFonts w:ascii="Cambria" w:hAnsi="Cambria"/>
        </w:rPr>
      </w:pPr>
      <w:r>
        <w:rPr>
          <w:rFonts w:ascii="Cambria" w:hAnsi="Cambria"/>
        </w:rPr>
        <w:t>TASII</w:t>
      </w:r>
      <w:r w:rsidR="00A834B6">
        <w:rPr>
          <w:rFonts w:ascii="Cambria" w:hAnsi="Cambria"/>
        </w:rPr>
        <w:t xml:space="preserve"> Survey </w:t>
      </w:r>
      <w:r>
        <w:rPr>
          <w:rFonts w:ascii="Cambria" w:hAnsi="Cambria"/>
        </w:rPr>
        <w:t>for Supervisors</w:t>
      </w:r>
      <w:r w:rsidR="00A834B6">
        <w:rPr>
          <w:rFonts w:ascii="Cambria" w:hAnsi="Cambria"/>
        </w:rPr>
        <w:t xml:space="preserve">– collecting </w:t>
      </w:r>
      <w:r w:rsidR="0021271F">
        <w:rPr>
          <w:rFonts w:ascii="Cambria" w:hAnsi="Cambria"/>
        </w:rPr>
        <w:t xml:space="preserve">information </w:t>
      </w:r>
      <w:r>
        <w:rPr>
          <w:rFonts w:ascii="Cambria" w:hAnsi="Cambria"/>
        </w:rPr>
        <w:t xml:space="preserve">from the managers/supervisors of project officers </w:t>
      </w:r>
      <w:r w:rsidR="0021271F">
        <w:rPr>
          <w:rFonts w:ascii="Cambria" w:hAnsi="Cambria"/>
        </w:rPr>
        <w:t>regarding standardized processes and protocols, expectations and standards of practice, and workforce recruitment, retention and development.</w:t>
      </w:r>
    </w:p>
    <w:p w:rsidR="006A1898" w:rsidRPr="00ED4B5C" w:rsidRDefault="0060788F" w:rsidP="0060788F">
      <w:pPr>
        <w:pStyle w:val="Header"/>
        <w:tabs>
          <w:tab w:val="clear" w:pos="4680"/>
        </w:tabs>
        <w:spacing w:line="276" w:lineRule="auto"/>
        <w:ind w:left="720"/>
        <w:rPr>
          <w:rFonts w:ascii="Cambria" w:hAnsi="Cambria"/>
        </w:rPr>
      </w:pPr>
      <w:r>
        <w:rPr>
          <w:rFonts w:ascii="Cambria" w:hAnsi="Cambria"/>
        </w:rPr>
        <w:lastRenderedPageBreak/>
        <w:t xml:space="preserve">The third component of the assessment is the External Stakeholder Survey.  The External Stakeholder data collection tool will be administered to STLT grantees who are recipients of Cooperative Agreements with a focus on programmatic and prevention activities in FY 2011.  </w:t>
      </w:r>
      <w:r w:rsidR="007C0DC6">
        <w:rPr>
          <w:rFonts w:ascii="Cambria" w:hAnsi="Cambria"/>
        </w:rPr>
        <w:t xml:space="preserve">The tool is tasked with (1) identifying </w:t>
      </w:r>
      <w:r w:rsidR="007C0DC6" w:rsidRPr="00330AC2">
        <w:rPr>
          <w:rFonts w:ascii="Cambria" w:hAnsi="Cambria"/>
        </w:rPr>
        <w:t>STLT needs and expectations for capacity building and technical assistance</w:t>
      </w:r>
      <w:r w:rsidR="007C0DC6">
        <w:rPr>
          <w:rFonts w:ascii="Cambria" w:hAnsi="Cambria"/>
        </w:rPr>
        <w:t>, with a particular focus on the characteristics of project officers and organizational performance</w:t>
      </w:r>
      <w:r w:rsidR="007C0DC6" w:rsidRPr="00330AC2">
        <w:rPr>
          <w:rFonts w:ascii="Cambria" w:hAnsi="Cambria"/>
        </w:rPr>
        <w:t>, and (2) assess</w:t>
      </w:r>
      <w:r w:rsidR="007C0DC6">
        <w:rPr>
          <w:rFonts w:ascii="Cambria" w:hAnsi="Cambria"/>
        </w:rPr>
        <w:t>ing</w:t>
      </w:r>
      <w:r w:rsidR="007C0DC6" w:rsidRPr="00330AC2">
        <w:rPr>
          <w:rFonts w:ascii="Cambria" w:hAnsi="Cambria"/>
        </w:rPr>
        <w:t xml:space="preserve"> STLT satisfaction with current capacity building and technical assistance provided by CDC project officers</w:t>
      </w:r>
      <w:r w:rsidR="007C0DC6">
        <w:rPr>
          <w:rFonts w:ascii="Cambria" w:hAnsi="Cambria"/>
        </w:rPr>
        <w:t>.  The specific c</w:t>
      </w:r>
      <w:r w:rsidR="00833A4D">
        <w:rPr>
          <w:rFonts w:ascii="Cambria" w:hAnsi="Cambria"/>
        </w:rPr>
        <w:t xml:space="preserve">ontent and structure for this survey was identified and defined through a series of </w:t>
      </w:r>
      <w:r w:rsidR="007C0DC6">
        <w:rPr>
          <w:rFonts w:ascii="Cambria" w:hAnsi="Cambria"/>
        </w:rPr>
        <w:t xml:space="preserve">focus group interviews conducted with 35 project officers and 26 supervisors across 7 CIOs during 2011 </w:t>
      </w:r>
      <w:r w:rsidR="007C0DC6">
        <w:rPr>
          <w:rFonts w:ascii="Cambria" w:hAnsi="Cambria"/>
          <w:b/>
        </w:rPr>
        <w:t>(see Attachment F)</w:t>
      </w:r>
      <w:r w:rsidR="007C0DC6">
        <w:rPr>
          <w:rFonts w:ascii="Cambria" w:hAnsi="Cambria"/>
        </w:rPr>
        <w:t>.  Specifically, these focus groups identified a broad scope of concepts and constructs important for inclusion in the survey including items measuring aspects of technical assistance provided through all phases of a funded program, service delivery models, methods for the provision of technical assistance, expectations and support provided for contin</w:t>
      </w:r>
      <w:r w:rsidR="00A271A1">
        <w:rPr>
          <w:rFonts w:ascii="Cambria" w:hAnsi="Cambria"/>
        </w:rPr>
        <w:t xml:space="preserve">uous improvement, skills and characteristics necessary to provide quality technical assistance and capacity building support to grantees. </w:t>
      </w:r>
      <w:r w:rsidR="00F10DD7">
        <w:rPr>
          <w:rFonts w:ascii="Cambria" w:hAnsi="Cambria"/>
        </w:rPr>
        <w:t>F</w:t>
      </w:r>
      <w:r w:rsidR="006A1898" w:rsidRPr="00330AC2">
        <w:rPr>
          <w:rFonts w:ascii="Cambria" w:hAnsi="Cambria"/>
        </w:rPr>
        <w:t xml:space="preserve">indings from the </w:t>
      </w:r>
      <w:r w:rsidR="00ED4B5C" w:rsidRPr="00330AC2">
        <w:rPr>
          <w:rFonts w:ascii="Cambria" w:hAnsi="Cambria"/>
        </w:rPr>
        <w:t>data collection</w:t>
      </w:r>
      <w:r w:rsidR="006A1898" w:rsidRPr="00330AC2">
        <w:rPr>
          <w:rFonts w:ascii="Cambria" w:hAnsi="Cambria"/>
        </w:rPr>
        <w:t xml:space="preserve"> will inform ongoing cross-agency (as part of the Technical Assistance &amp; Service Improvement Initiative) and program-specific efforts to ensure consistent, high-quality project officer performance to meet programmatic requirements as well as STLT expect</w:t>
      </w:r>
      <w:r w:rsidR="0059605E" w:rsidRPr="00330AC2">
        <w:rPr>
          <w:rFonts w:ascii="Cambria" w:hAnsi="Cambria"/>
        </w:rPr>
        <w:t xml:space="preserve">ations and technical assistance </w:t>
      </w:r>
      <w:r w:rsidR="006A1898" w:rsidRPr="00330AC2">
        <w:rPr>
          <w:rFonts w:ascii="Cambria" w:hAnsi="Cambria"/>
        </w:rPr>
        <w:t>needs.</w:t>
      </w:r>
    </w:p>
    <w:p w:rsidR="006A1898" w:rsidRDefault="006A1898" w:rsidP="000807BB">
      <w:pPr>
        <w:spacing w:before="120" w:after="120" w:line="240" w:lineRule="auto"/>
        <w:ind w:left="720"/>
        <w:rPr>
          <w:rFonts w:ascii="Cambria" w:hAnsi="Cambria" w:cstheme="minorHAnsi"/>
        </w:rPr>
      </w:pPr>
    </w:p>
    <w:p w:rsidR="006102DA" w:rsidRPr="001A28F6" w:rsidRDefault="006102DA" w:rsidP="000807BB">
      <w:pPr>
        <w:spacing w:after="0"/>
        <w:ind w:left="720"/>
        <w:rPr>
          <w:rFonts w:asciiTheme="majorHAnsi" w:hAnsiTheme="majorHAnsi"/>
          <w:b/>
        </w:rPr>
      </w:pPr>
      <w:r w:rsidRPr="001A28F6">
        <w:rPr>
          <w:rFonts w:asciiTheme="majorHAnsi" w:hAnsiTheme="majorHAnsi"/>
          <w:b/>
        </w:rPr>
        <w:t>Privacy Impact Assessment</w:t>
      </w:r>
    </w:p>
    <w:p w:rsidR="00672D60" w:rsidRDefault="00672D60" w:rsidP="008C7180">
      <w:pPr>
        <w:spacing w:after="0"/>
        <w:ind w:left="720"/>
        <w:rPr>
          <w:rFonts w:asciiTheme="majorHAnsi" w:hAnsiTheme="majorHAnsi"/>
          <w:u w:val="single"/>
        </w:rPr>
      </w:pPr>
    </w:p>
    <w:p w:rsidR="00FB6C5B" w:rsidRDefault="006102DA" w:rsidP="008C7180">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w:t>
      </w:r>
      <w:r w:rsidR="00672D60">
        <w:rPr>
          <w:rFonts w:asciiTheme="majorHAnsi" w:hAnsiTheme="majorHAnsi"/>
        </w:rPr>
        <w:t xml:space="preserve">system consists of a web-based survey instrument </w:t>
      </w:r>
      <w:r w:rsidR="00FB6C5B">
        <w:rPr>
          <w:rFonts w:asciiTheme="majorHAnsi" w:hAnsiTheme="majorHAnsi"/>
        </w:rPr>
        <w:t>(</w:t>
      </w:r>
      <w:r w:rsidR="00FB6C5B" w:rsidRPr="00FB6C5B">
        <w:rPr>
          <w:rFonts w:asciiTheme="majorHAnsi" w:hAnsiTheme="majorHAnsi"/>
          <w:b/>
        </w:rPr>
        <w:t xml:space="preserve">see Attachment </w:t>
      </w:r>
      <w:r w:rsidR="00A271A1">
        <w:rPr>
          <w:rFonts w:asciiTheme="majorHAnsi" w:hAnsiTheme="majorHAnsi"/>
          <w:b/>
        </w:rPr>
        <w:t>G</w:t>
      </w:r>
      <w:r w:rsidR="00FB6C5B" w:rsidRPr="00FB6C5B">
        <w:rPr>
          <w:rFonts w:asciiTheme="majorHAnsi" w:hAnsiTheme="majorHAnsi"/>
          <w:b/>
        </w:rPr>
        <w:t xml:space="preserve"> </w:t>
      </w:r>
      <w:r w:rsidR="00672D60">
        <w:rPr>
          <w:rFonts w:asciiTheme="majorHAnsi" w:hAnsiTheme="majorHAnsi"/>
          <w:b/>
        </w:rPr>
        <w:t xml:space="preserve">&amp; </w:t>
      </w:r>
      <w:r w:rsidR="00A271A1">
        <w:rPr>
          <w:rFonts w:asciiTheme="majorHAnsi" w:hAnsiTheme="majorHAnsi"/>
          <w:b/>
        </w:rPr>
        <w:t>H</w:t>
      </w:r>
      <w:r w:rsidR="009E31C9">
        <w:rPr>
          <w:rFonts w:asciiTheme="majorHAnsi" w:hAnsiTheme="majorHAnsi"/>
        </w:rPr>
        <w:t>)</w:t>
      </w:r>
      <w:r w:rsidR="009E31C9">
        <w:rPr>
          <w:rFonts w:asciiTheme="majorHAnsi" w:hAnsiTheme="majorHAnsi"/>
          <w:b/>
        </w:rPr>
        <w:t xml:space="preserve"> </w:t>
      </w:r>
      <w:r w:rsidR="009E31C9">
        <w:rPr>
          <w:rFonts w:asciiTheme="majorHAnsi" w:hAnsiTheme="majorHAnsi"/>
        </w:rPr>
        <w:t xml:space="preserve">designed to </w:t>
      </w:r>
      <w:r w:rsidR="00672D60">
        <w:rPr>
          <w:rFonts w:asciiTheme="majorHAnsi" w:hAnsiTheme="majorHAnsi"/>
        </w:rPr>
        <w:t xml:space="preserve">elicit information from program managers/directors regarding their perceptions </w:t>
      </w:r>
      <w:r w:rsidR="009E31C9">
        <w:rPr>
          <w:rFonts w:asciiTheme="majorHAnsi" w:hAnsiTheme="majorHAnsi"/>
        </w:rPr>
        <w:t xml:space="preserve">of </w:t>
      </w:r>
      <w:r w:rsidR="0096721C">
        <w:rPr>
          <w:rFonts w:asciiTheme="majorHAnsi" w:hAnsiTheme="majorHAnsi"/>
        </w:rPr>
        <w:t xml:space="preserve">the </w:t>
      </w:r>
      <w:r w:rsidR="00752271">
        <w:rPr>
          <w:rFonts w:asciiTheme="majorHAnsi" w:hAnsiTheme="majorHAnsi"/>
        </w:rPr>
        <w:t>technical assistance and support</w:t>
      </w:r>
      <w:r w:rsidR="0096721C">
        <w:rPr>
          <w:rFonts w:asciiTheme="majorHAnsi" w:hAnsiTheme="majorHAnsi"/>
        </w:rPr>
        <w:t xml:space="preserve"> provided by CDC project officers</w:t>
      </w:r>
      <w:r w:rsidR="005142C0">
        <w:rPr>
          <w:rFonts w:asciiTheme="majorHAnsi" w:hAnsiTheme="majorHAnsi"/>
        </w:rPr>
        <w:t>.</w:t>
      </w:r>
      <w:r w:rsidR="00672D60">
        <w:rPr>
          <w:rFonts w:asciiTheme="majorHAnsi" w:hAnsiTheme="majorHAnsi"/>
        </w:rPr>
        <w:t xml:space="preserve">  The web-based tool will be distributed using </w:t>
      </w:r>
      <w:proofErr w:type="spellStart"/>
      <w:r w:rsidR="00672D60">
        <w:rPr>
          <w:rFonts w:asciiTheme="majorHAnsi" w:hAnsiTheme="majorHAnsi"/>
        </w:rPr>
        <w:t>Qualtrics</w:t>
      </w:r>
      <w:proofErr w:type="spellEnd"/>
      <w:r w:rsidR="00672D60">
        <w:rPr>
          <w:rFonts w:asciiTheme="majorHAnsi" w:hAnsiTheme="majorHAnsi"/>
        </w:rPr>
        <w:t xml:space="preserve"> software by emailing respondents a link to the survey instrument.  This email will contain instructions for completing the survey online.  </w:t>
      </w:r>
      <w:r w:rsidR="0060788F" w:rsidRPr="00692D41">
        <w:rPr>
          <w:rFonts w:asciiTheme="majorHAnsi" w:hAnsiTheme="majorHAnsi"/>
        </w:rPr>
        <w:t xml:space="preserve">Desk reviews were conducted with </w:t>
      </w:r>
      <w:r w:rsidR="0060788F">
        <w:rPr>
          <w:rFonts w:asciiTheme="majorHAnsi" w:hAnsiTheme="majorHAnsi"/>
        </w:rPr>
        <w:t>eight</w:t>
      </w:r>
      <w:r w:rsidR="0060788F" w:rsidRPr="00692D41">
        <w:rPr>
          <w:rFonts w:asciiTheme="majorHAnsi" w:hAnsiTheme="majorHAnsi"/>
        </w:rPr>
        <w:t xml:space="preserve"> representatives from CDC’s partner organizations including Association of State and Territorial Health Officials (ASTHO), National Association of County and City Health Officials (NACCHO), and Pacific Island Health Officers Association (PIHOA) as well as Tribal representation coordinated through CDC’s Tribal Liaison.  The purpose of </w:t>
      </w:r>
      <w:r w:rsidR="0060788F">
        <w:rPr>
          <w:rFonts w:asciiTheme="majorHAnsi" w:hAnsiTheme="majorHAnsi"/>
        </w:rPr>
        <w:t xml:space="preserve">the </w:t>
      </w:r>
      <w:r w:rsidR="0060788F" w:rsidRPr="00692D41">
        <w:rPr>
          <w:rFonts w:asciiTheme="majorHAnsi" w:hAnsiTheme="majorHAnsi"/>
        </w:rPr>
        <w:t>desk review was to (1) ensure that the survey measures aspects of TA provided by CDC’s project officers that are relevant and important to external stakeholders, and (2) ensure that all items included in the survey contribute to an increased understanding of STLT expectations and informs priorities for future TASII activities</w:t>
      </w:r>
      <w:r w:rsidR="0060788F" w:rsidRPr="00692D41">
        <w:rPr>
          <w:rFonts w:asciiTheme="majorHAnsi" w:hAnsiTheme="majorHAnsi" w:cstheme="minorHAnsi"/>
        </w:rPr>
        <w:t>.</w:t>
      </w:r>
      <w:r w:rsidR="0060788F" w:rsidRPr="00692D41">
        <w:rPr>
          <w:rFonts w:asciiTheme="majorHAnsi" w:hAnsiTheme="majorHAnsi"/>
        </w:rPr>
        <w:t xml:space="preserve">  </w:t>
      </w:r>
      <w:r w:rsidR="0060788F">
        <w:rPr>
          <w:rFonts w:asciiTheme="majorHAnsi" w:hAnsiTheme="majorHAnsi"/>
        </w:rPr>
        <w:t xml:space="preserve">Feedback from this group was used to refine questions as needed and establish the estimated time required to complete the survey </w:t>
      </w:r>
      <w:r w:rsidR="0060788F" w:rsidRPr="00692D41">
        <w:rPr>
          <w:rFonts w:asciiTheme="majorHAnsi" w:hAnsiTheme="majorHAnsi"/>
        </w:rPr>
        <w:t xml:space="preserve">scheduled for implementation in </w:t>
      </w:r>
      <w:r w:rsidR="0060788F">
        <w:rPr>
          <w:rFonts w:asciiTheme="majorHAnsi" w:hAnsiTheme="majorHAnsi"/>
        </w:rPr>
        <w:t>July</w:t>
      </w:r>
      <w:r w:rsidR="0060788F" w:rsidRPr="00692D41">
        <w:rPr>
          <w:rFonts w:asciiTheme="majorHAnsi" w:hAnsiTheme="majorHAnsi"/>
        </w:rPr>
        <w:t xml:space="preserve"> 2012.  </w:t>
      </w:r>
    </w:p>
    <w:p w:rsidR="0060788F" w:rsidRDefault="0060788F" w:rsidP="008C7180">
      <w:pPr>
        <w:spacing w:after="0"/>
        <w:ind w:left="720"/>
        <w:rPr>
          <w:rFonts w:asciiTheme="majorHAnsi" w:hAnsiTheme="majorHAnsi"/>
        </w:rPr>
      </w:pPr>
    </w:p>
    <w:p w:rsidR="00E40BAF" w:rsidRDefault="006102DA" w:rsidP="00DD2C56">
      <w:pPr>
        <w:spacing w:after="0"/>
        <w:ind w:left="720"/>
        <w:rPr>
          <w:rFonts w:asciiTheme="majorHAnsi" w:hAnsiTheme="majorHAnsi"/>
        </w:rPr>
      </w:pPr>
      <w:r w:rsidRPr="00D5367E">
        <w:rPr>
          <w:rFonts w:asciiTheme="majorHAnsi" w:hAnsiTheme="majorHAnsi"/>
          <w:u w:val="single"/>
        </w:rPr>
        <w:t xml:space="preserve">Items of Information to be </w:t>
      </w:r>
      <w:r w:rsidR="001B784F">
        <w:rPr>
          <w:rFonts w:asciiTheme="majorHAnsi" w:hAnsiTheme="majorHAnsi"/>
          <w:u w:val="single"/>
        </w:rPr>
        <w:t>c</w:t>
      </w:r>
      <w:r w:rsidRPr="00D5367E">
        <w:rPr>
          <w:rFonts w:asciiTheme="majorHAnsi" w:hAnsiTheme="majorHAnsi"/>
          <w:u w:val="single"/>
        </w:rPr>
        <w:t>ollected</w:t>
      </w:r>
      <w:r w:rsidR="00B1129F" w:rsidRPr="00D5367E">
        <w:rPr>
          <w:rFonts w:asciiTheme="majorHAnsi" w:hAnsiTheme="majorHAnsi"/>
        </w:rPr>
        <w:t xml:space="preserve"> –</w:t>
      </w:r>
      <w:r w:rsidR="00E40BAF">
        <w:rPr>
          <w:rFonts w:asciiTheme="majorHAnsi" w:hAnsiTheme="majorHAnsi"/>
        </w:rPr>
        <w:t xml:space="preserve"> The survey consists of</w:t>
      </w:r>
      <w:r w:rsidR="00ED7EBC">
        <w:rPr>
          <w:rFonts w:asciiTheme="majorHAnsi" w:hAnsiTheme="majorHAnsi"/>
        </w:rPr>
        <w:t xml:space="preserve"> </w:t>
      </w:r>
      <w:r w:rsidR="00622EA7">
        <w:rPr>
          <w:rFonts w:asciiTheme="majorHAnsi" w:hAnsiTheme="majorHAnsi"/>
        </w:rPr>
        <w:t>92</w:t>
      </w:r>
      <w:r w:rsidR="00ED7EBC">
        <w:rPr>
          <w:rFonts w:asciiTheme="majorHAnsi" w:hAnsiTheme="majorHAnsi"/>
        </w:rPr>
        <w:t xml:space="preserve"> </w:t>
      </w:r>
      <w:r w:rsidR="00E40BAF">
        <w:rPr>
          <w:rFonts w:asciiTheme="majorHAnsi" w:hAnsiTheme="majorHAnsi"/>
        </w:rPr>
        <w:t xml:space="preserve">questions </w:t>
      </w:r>
      <w:r w:rsidR="008200C2">
        <w:rPr>
          <w:rFonts w:asciiTheme="majorHAnsi" w:hAnsiTheme="majorHAnsi"/>
        </w:rPr>
        <w:t xml:space="preserve">of various types </w:t>
      </w:r>
      <w:r w:rsidR="00E40BAF">
        <w:rPr>
          <w:rFonts w:asciiTheme="majorHAnsi" w:hAnsiTheme="majorHAnsi"/>
        </w:rPr>
        <w:t>including dichotomous, multiple respo</w:t>
      </w:r>
      <w:r w:rsidR="00692D41">
        <w:rPr>
          <w:rFonts w:asciiTheme="majorHAnsi" w:hAnsiTheme="majorHAnsi"/>
        </w:rPr>
        <w:t>nse, interval, filter, and open-</w:t>
      </w:r>
      <w:r w:rsidR="00E40BAF">
        <w:rPr>
          <w:rFonts w:asciiTheme="majorHAnsi" w:hAnsiTheme="majorHAnsi"/>
        </w:rPr>
        <w:t>ended</w:t>
      </w:r>
      <w:r w:rsidR="00692D41">
        <w:rPr>
          <w:rFonts w:asciiTheme="majorHAnsi" w:hAnsiTheme="majorHAnsi"/>
        </w:rPr>
        <w:t xml:space="preserve"> questions</w:t>
      </w:r>
      <w:r w:rsidR="00E40BAF">
        <w:rPr>
          <w:rFonts w:asciiTheme="majorHAnsi" w:hAnsiTheme="majorHAnsi"/>
        </w:rPr>
        <w:t xml:space="preserve">.    The survey </w:t>
      </w:r>
      <w:r w:rsidR="00692D41">
        <w:rPr>
          <w:rFonts w:asciiTheme="majorHAnsi" w:hAnsiTheme="majorHAnsi"/>
        </w:rPr>
        <w:t xml:space="preserve">is organized into </w:t>
      </w:r>
      <w:r w:rsidR="00B46610">
        <w:rPr>
          <w:rFonts w:asciiTheme="majorHAnsi" w:hAnsiTheme="majorHAnsi"/>
        </w:rPr>
        <w:t>two parts:</w:t>
      </w:r>
      <w:r w:rsidR="00692D41">
        <w:rPr>
          <w:rFonts w:asciiTheme="majorHAnsi" w:hAnsiTheme="majorHAnsi"/>
        </w:rPr>
        <w:t xml:space="preserve"> </w:t>
      </w:r>
    </w:p>
    <w:p w:rsidR="004A265F" w:rsidRDefault="004A265F" w:rsidP="00B46610">
      <w:pPr>
        <w:spacing w:after="0"/>
        <w:ind w:left="720"/>
        <w:rPr>
          <w:rFonts w:asciiTheme="majorHAnsi" w:hAnsiTheme="majorHAnsi"/>
          <w:i/>
        </w:rPr>
      </w:pPr>
    </w:p>
    <w:p w:rsidR="003A2152" w:rsidRDefault="003A2152" w:rsidP="00B46610">
      <w:pPr>
        <w:spacing w:after="0"/>
        <w:ind w:left="720"/>
        <w:rPr>
          <w:rFonts w:asciiTheme="majorHAnsi" w:hAnsiTheme="majorHAnsi"/>
          <w:i/>
        </w:rPr>
      </w:pPr>
      <w:r>
        <w:rPr>
          <w:rFonts w:asciiTheme="majorHAnsi" w:hAnsiTheme="majorHAnsi"/>
          <w:i/>
        </w:rPr>
        <w:lastRenderedPageBreak/>
        <w:t>Respondent Information</w:t>
      </w:r>
    </w:p>
    <w:p w:rsidR="003A2152" w:rsidRDefault="003A2152" w:rsidP="003A2152">
      <w:pPr>
        <w:pStyle w:val="ListParagraph"/>
        <w:numPr>
          <w:ilvl w:val="0"/>
          <w:numId w:val="39"/>
        </w:numPr>
        <w:spacing w:after="0"/>
        <w:ind w:left="1080"/>
        <w:rPr>
          <w:rFonts w:asciiTheme="majorHAnsi" w:hAnsiTheme="majorHAnsi"/>
        </w:rPr>
      </w:pPr>
      <w:r>
        <w:rPr>
          <w:rFonts w:asciiTheme="majorHAnsi" w:hAnsiTheme="majorHAnsi"/>
        </w:rPr>
        <w:t>Level of interaction with CDC project officer</w:t>
      </w:r>
    </w:p>
    <w:p w:rsidR="003A2152" w:rsidRPr="003A2152" w:rsidRDefault="003A2152" w:rsidP="003A2152">
      <w:pPr>
        <w:pStyle w:val="ListParagraph"/>
        <w:numPr>
          <w:ilvl w:val="0"/>
          <w:numId w:val="39"/>
        </w:numPr>
        <w:spacing w:after="0"/>
        <w:ind w:left="1080"/>
        <w:rPr>
          <w:rFonts w:asciiTheme="majorHAnsi" w:hAnsiTheme="majorHAnsi"/>
        </w:rPr>
      </w:pPr>
      <w:r>
        <w:rPr>
          <w:rFonts w:asciiTheme="majorHAnsi" w:hAnsiTheme="majorHAnsi"/>
        </w:rPr>
        <w:t>Number of years in current position</w:t>
      </w:r>
    </w:p>
    <w:p w:rsidR="003A2152" w:rsidRPr="003A2152" w:rsidRDefault="003A2152" w:rsidP="003A2152">
      <w:pPr>
        <w:spacing w:after="0"/>
        <w:rPr>
          <w:rFonts w:asciiTheme="majorHAnsi" w:hAnsiTheme="majorHAnsi"/>
          <w:i/>
        </w:rPr>
      </w:pPr>
    </w:p>
    <w:p w:rsidR="00B46610" w:rsidRPr="006518FB" w:rsidRDefault="0015165E" w:rsidP="00B46610">
      <w:pPr>
        <w:spacing w:after="0"/>
        <w:ind w:left="720"/>
        <w:rPr>
          <w:rFonts w:asciiTheme="majorHAnsi" w:hAnsiTheme="majorHAnsi"/>
          <w:i/>
        </w:rPr>
      </w:pPr>
      <w:r>
        <w:rPr>
          <w:rFonts w:asciiTheme="majorHAnsi" w:hAnsiTheme="majorHAnsi"/>
          <w:i/>
        </w:rPr>
        <w:t>Technical Assistance Delivery and Organizational Support</w:t>
      </w:r>
    </w:p>
    <w:p w:rsidR="001B784F" w:rsidRPr="003A2152" w:rsidRDefault="00E40BAF" w:rsidP="003A2152">
      <w:pPr>
        <w:pStyle w:val="ListParagraph"/>
        <w:numPr>
          <w:ilvl w:val="0"/>
          <w:numId w:val="22"/>
        </w:numPr>
        <w:spacing w:after="0"/>
        <w:rPr>
          <w:rFonts w:asciiTheme="majorHAnsi" w:hAnsiTheme="majorHAnsi"/>
        </w:rPr>
      </w:pPr>
      <w:r w:rsidRPr="003A2152">
        <w:rPr>
          <w:rFonts w:asciiTheme="majorHAnsi" w:hAnsiTheme="majorHAnsi"/>
        </w:rPr>
        <w:t xml:space="preserve">Respondent characteristics –current </w:t>
      </w:r>
      <w:r w:rsidR="00793922" w:rsidRPr="003A2152">
        <w:rPr>
          <w:rFonts w:asciiTheme="majorHAnsi" w:hAnsiTheme="majorHAnsi"/>
        </w:rPr>
        <w:t xml:space="preserve">job title and </w:t>
      </w:r>
      <w:r w:rsidR="001B784F" w:rsidRPr="003A2152">
        <w:rPr>
          <w:rFonts w:asciiTheme="majorHAnsi" w:hAnsiTheme="majorHAnsi"/>
        </w:rPr>
        <w:t>level of int</w:t>
      </w:r>
      <w:r w:rsidR="00B46610" w:rsidRPr="003A2152">
        <w:rPr>
          <w:rFonts w:asciiTheme="majorHAnsi" w:hAnsiTheme="majorHAnsi"/>
        </w:rPr>
        <w:t>eraction with</w:t>
      </w:r>
      <w:r w:rsidR="00793922" w:rsidRPr="003A2152">
        <w:rPr>
          <w:rFonts w:asciiTheme="majorHAnsi" w:hAnsiTheme="majorHAnsi"/>
        </w:rPr>
        <w:t xml:space="preserve"> project officers</w:t>
      </w:r>
    </w:p>
    <w:p w:rsidR="00FF0010" w:rsidRDefault="00FF0010" w:rsidP="000807BB">
      <w:pPr>
        <w:pStyle w:val="ListParagraph"/>
        <w:numPr>
          <w:ilvl w:val="0"/>
          <w:numId w:val="22"/>
        </w:numPr>
        <w:spacing w:after="0"/>
        <w:rPr>
          <w:rFonts w:asciiTheme="majorHAnsi" w:hAnsiTheme="majorHAnsi"/>
        </w:rPr>
      </w:pPr>
      <w:r>
        <w:rPr>
          <w:rFonts w:asciiTheme="majorHAnsi" w:hAnsiTheme="majorHAnsi"/>
        </w:rPr>
        <w:t>Funding Opportunity/Program Announcements –</w:t>
      </w:r>
      <w:r w:rsidR="00793922">
        <w:rPr>
          <w:rFonts w:asciiTheme="majorHAnsi" w:hAnsiTheme="majorHAnsi"/>
        </w:rPr>
        <w:t xml:space="preserve"> satisfaction with</w:t>
      </w:r>
      <w:r>
        <w:rPr>
          <w:rFonts w:asciiTheme="majorHAnsi" w:hAnsiTheme="majorHAnsi"/>
        </w:rPr>
        <w:t xml:space="preserve"> the clarity and consistency of the scope and expectations of program announcements</w:t>
      </w:r>
    </w:p>
    <w:p w:rsidR="00FF0010" w:rsidRPr="00B46610" w:rsidRDefault="00FF0010" w:rsidP="000807BB">
      <w:pPr>
        <w:pStyle w:val="ListParagraph"/>
        <w:numPr>
          <w:ilvl w:val="0"/>
          <w:numId w:val="22"/>
        </w:numPr>
        <w:spacing w:after="0"/>
        <w:rPr>
          <w:rFonts w:asciiTheme="majorHAnsi" w:hAnsiTheme="majorHAnsi"/>
        </w:rPr>
      </w:pPr>
      <w:r>
        <w:rPr>
          <w:rFonts w:asciiTheme="majorHAnsi" w:hAnsiTheme="majorHAnsi"/>
        </w:rPr>
        <w:t>Technical Assistance</w:t>
      </w:r>
      <w:r w:rsidR="00793922">
        <w:rPr>
          <w:rFonts w:asciiTheme="majorHAnsi" w:hAnsiTheme="majorHAnsi"/>
        </w:rPr>
        <w:t xml:space="preserve"> –questions in this section cover the </w:t>
      </w:r>
      <w:r w:rsidR="006518FB">
        <w:rPr>
          <w:rFonts w:asciiTheme="majorHAnsi" w:hAnsiTheme="majorHAnsi"/>
        </w:rPr>
        <w:t xml:space="preserve">following </w:t>
      </w:r>
      <w:r w:rsidR="00793922">
        <w:rPr>
          <w:rFonts w:asciiTheme="majorHAnsi" w:hAnsiTheme="majorHAnsi"/>
        </w:rPr>
        <w:t xml:space="preserve">technical assistance areas: </w:t>
      </w:r>
    </w:p>
    <w:p w:rsidR="00793922" w:rsidRDefault="00793922" w:rsidP="000807BB">
      <w:pPr>
        <w:pStyle w:val="ListParagraph"/>
        <w:numPr>
          <w:ilvl w:val="1"/>
          <w:numId w:val="22"/>
        </w:numPr>
        <w:spacing w:after="0"/>
        <w:rPr>
          <w:rFonts w:asciiTheme="majorHAnsi" w:hAnsiTheme="majorHAnsi"/>
        </w:rPr>
      </w:pPr>
      <w:r>
        <w:rPr>
          <w:rFonts w:asciiTheme="majorHAnsi" w:hAnsiTheme="majorHAnsi"/>
        </w:rPr>
        <w:t>Description of the type of technical assistance delivery system</w:t>
      </w:r>
    </w:p>
    <w:p w:rsidR="00DD2C56" w:rsidRDefault="00DD2C56" w:rsidP="000807BB">
      <w:pPr>
        <w:pStyle w:val="ListParagraph"/>
        <w:numPr>
          <w:ilvl w:val="1"/>
          <w:numId w:val="22"/>
        </w:numPr>
        <w:spacing w:after="0"/>
        <w:rPr>
          <w:rFonts w:asciiTheme="majorHAnsi" w:hAnsiTheme="majorHAnsi"/>
        </w:rPr>
      </w:pPr>
      <w:r>
        <w:rPr>
          <w:rFonts w:asciiTheme="majorHAnsi" w:hAnsiTheme="majorHAnsi"/>
        </w:rPr>
        <w:t>Selection of CDC staff that serves as the primary source of TA for each programmatic function</w:t>
      </w:r>
    </w:p>
    <w:p w:rsidR="00BB36C4" w:rsidRDefault="00793922" w:rsidP="000807BB">
      <w:pPr>
        <w:pStyle w:val="ListParagraph"/>
        <w:numPr>
          <w:ilvl w:val="1"/>
          <w:numId w:val="22"/>
        </w:numPr>
        <w:spacing w:after="0"/>
        <w:rPr>
          <w:rFonts w:asciiTheme="majorHAnsi" w:hAnsiTheme="majorHAnsi"/>
        </w:rPr>
      </w:pPr>
      <w:r>
        <w:rPr>
          <w:rFonts w:asciiTheme="majorHAnsi" w:hAnsiTheme="majorHAnsi"/>
        </w:rPr>
        <w:t>P</w:t>
      </w:r>
      <w:r w:rsidR="00ED7EBC" w:rsidRPr="00B46610">
        <w:rPr>
          <w:rFonts w:asciiTheme="majorHAnsi" w:hAnsiTheme="majorHAnsi"/>
        </w:rPr>
        <w:t xml:space="preserve">erceptions of the </w:t>
      </w:r>
      <w:r>
        <w:rPr>
          <w:rFonts w:asciiTheme="majorHAnsi" w:hAnsiTheme="majorHAnsi"/>
        </w:rPr>
        <w:t>frequency</w:t>
      </w:r>
      <w:r w:rsidR="0033299D" w:rsidRPr="00B46610">
        <w:rPr>
          <w:rFonts w:asciiTheme="majorHAnsi" w:hAnsiTheme="majorHAnsi"/>
        </w:rPr>
        <w:t xml:space="preserve"> of site visits</w:t>
      </w:r>
      <w:r>
        <w:rPr>
          <w:rFonts w:asciiTheme="majorHAnsi" w:hAnsiTheme="majorHAnsi"/>
        </w:rPr>
        <w:t xml:space="preserve"> and conference calls</w:t>
      </w:r>
      <w:r w:rsidR="0033299D" w:rsidRPr="00B46610">
        <w:rPr>
          <w:rFonts w:asciiTheme="majorHAnsi" w:hAnsiTheme="majorHAnsi"/>
        </w:rPr>
        <w:t xml:space="preserve"> </w:t>
      </w:r>
    </w:p>
    <w:p w:rsidR="002F77EA" w:rsidRPr="002F77EA" w:rsidRDefault="002F77EA" w:rsidP="002F77EA">
      <w:pPr>
        <w:pStyle w:val="ListParagraph"/>
        <w:numPr>
          <w:ilvl w:val="1"/>
          <w:numId w:val="22"/>
        </w:numPr>
        <w:spacing w:after="0"/>
        <w:rPr>
          <w:rFonts w:asciiTheme="majorHAnsi" w:hAnsiTheme="majorHAnsi"/>
        </w:rPr>
      </w:pPr>
      <w:r>
        <w:rPr>
          <w:rFonts w:asciiTheme="majorHAnsi" w:hAnsiTheme="majorHAnsi"/>
        </w:rPr>
        <w:t>P</w:t>
      </w:r>
      <w:r w:rsidRPr="00B46610">
        <w:rPr>
          <w:rFonts w:asciiTheme="majorHAnsi" w:hAnsiTheme="majorHAnsi"/>
        </w:rPr>
        <w:t xml:space="preserve">erceptions of the </w:t>
      </w:r>
      <w:r>
        <w:rPr>
          <w:rFonts w:asciiTheme="majorHAnsi" w:hAnsiTheme="majorHAnsi"/>
        </w:rPr>
        <w:t xml:space="preserve">accuracy, consistency and timeliness of the TA provided by CDC project officers </w:t>
      </w:r>
    </w:p>
    <w:p w:rsidR="006E32C8" w:rsidRDefault="00793922" w:rsidP="000807BB">
      <w:pPr>
        <w:pStyle w:val="ListParagraph"/>
        <w:numPr>
          <w:ilvl w:val="1"/>
          <w:numId w:val="22"/>
        </w:numPr>
        <w:spacing w:after="0"/>
        <w:rPr>
          <w:rFonts w:asciiTheme="majorHAnsi" w:hAnsiTheme="majorHAnsi"/>
        </w:rPr>
      </w:pPr>
      <w:r>
        <w:rPr>
          <w:rFonts w:asciiTheme="majorHAnsi" w:hAnsiTheme="majorHAnsi"/>
        </w:rPr>
        <w:t>P</w:t>
      </w:r>
      <w:r w:rsidR="00BB36C4" w:rsidRPr="00B46610">
        <w:rPr>
          <w:rFonts w:asciiTheme="majorHAnsi" w:hAnsiTheme="majorHAnsi"/>
        </w:rPr>
        <w:t xml:space="preserve">erceptions of </w:t>
      </w:r>
      <w:r>
        <w:rPr>
          <w:rFonts w:asciiTheme="majorHAnsi" w:hAnsiTheme="majorHAnsi"/>
        </w:rPr>
        <w:t xml:space="preserve">the impact of </w:t>
      </w:r>
      <w:r w:rsidR="0033299D" w:rsidRPr="00B46610">
        <w:rPr>
          <w:rFonts w:asciiTheme="majorHAnsi" w:hAnsiTheme="majorHAnsi"/>
        </w:rPr>
        <w:t xml:space="preserve">turn-over rate or reassignment of </w:t>
      </w:r>
      <w:r>
        <w:rPr>
          <w:rFonts w:asciiTheme="majorHAnsi" w:hAnsiTheme="majorHAnsi"/>
        </w:rPr>
        <w:t>project officers</w:t>
      </w:r>
      <w:r w:rsidR="0033299D" w:rsidRPr="00B46610">
        <w:rPr>
          <w:rFonts w:asciiTheme="majorHAnsi" w:hAnsiTheme="majorHAnsi"/>
        </w:rPr>
        <w:t xml:space="preserve"> </w:t>
      </w:r>
    </w:p>
    <w:p w:rsidR="00793922" w:rsidRPr="00B46610" w:rsidRDefault="00793922" w:rsidP="000807BB">
      <w:pPr>
        <w:pStyle w:val="ListParagraph"/>
        <w:numPr>
          <w:ilvl w:val="1"/>
          <w:numId w:val="22"/>
        </w:numPr>
        <w:spacing w:after="0"/>
        <w:rPr>
          <w:rFonts w:asciiTheme="majorHAnsi" w:hAnsiTheme="majorHAnsi"/>
        </w:rPr>
      </w:pPr>
      <w:r>
        <w:rPr>
          <w:rFonts w:asciiTheme="majorHAnsi" w:hAnsiTheme="majorHAnsi"/>
        </w:rPr>
        <w:t>Satisfaction with the availability of tools and resources</w:t>
      </w:r>
      <w:r w:rsidR="006518FB">
        <w:rPr>
          <w:rFonts w:asciiTheme="majorHAnsi" w:hAnsiTheme="majorHAnsi"/>
        </w:rPr>
        <w:t xml:space="preserve"> that supplement project officer TA</w:t>
      </w:r>
    </w:p>
    <w:p w:rsidR="00DD2C56" w:rsidRDefault="00DD2C56" w:rsidP="00DD2C56">
      <w:pPr>
        <w:pStyle w:val="ListParagraph"/>
        <w:numPr>
          <w:ilvl w:val="0"/>
          <w:numId w:val="22"/>
        </w:numPr>
        <w:spacing w:after="0"/>
        <w:rPr>
          <w:rFonts w:asciiTheme="majorHAnsi" w:hAnsiTheme="majorHAnsi"/>
        </w:rPr>
      </w:pPr>
      <w:r>
        <w:rPr>
          <w:rFonts w:asciiTheme="majorHAnsi" w:hAnsiTheme="majorHAnsi"/>
        </w:rPr>
        <w:t>Progress reporting – satisfaction with the clarity of the progress reporting requirements, the level of burden in terms data collection and reporting, and the feedback received from project officers on progress reports.</w:t>
      </w:r>
    </w:p>
    <w:p w:rsidR="00DD2C56" w:rsidRPr="00DD2C56" w:rsidRDefault="00DD2C56" w:rsidP="00DD2C56">
      <w:pPr>
        <w:spacing w:after="0"/>
        <w:rPr>
          <w:rFonts w:asciiTheme="majorHAnsi" w:hAnsiTheme="majorHAnsi"/>
        </w:rPr>
      </w:pPr>
    </w:p>
    <w:p w:rsidR="00D623FE" w:rsidRDefault="00622EA7" w:rsidP="00D623FE">
      <w:pPr>
        <w:spacing w:after="0"/>
        <w:ind w:left="720"/>
        <w:rPr>
          <w:rFonts w:asciiTheme="majorHAnsi" w:hAnsiTheme="majorHAnsi"/>
          <w:i/>
        </w:rPr>
      </w:pPr>
      <w:r>
        <w:rPr>
          <w:rFonts w:asciiTheme="majorHAnsi" w:hAnsiTheme="majorHAnsi"/>
          <w:i/>
        </w:rPr>
        <w:t xml:space="preserve">Project Officer </w:t>
      </w:r>
      <w:r w:rsidR="00D623FE">
        <w:rPr>
          <w:rFonts w:asciiTheme="majorHAnsi" w:hAnsiTheme="majorHAnsi"/>
          <w:i/>
        </w:rPr>
        <w:t>Characteristics</w:t>
      </w:r>
      <w:r w:rsidR="002F77EA">
        <w:rPr>
          <w:rFonts w:asciiTheme="majorHAnsi" w:hAnsiTheme="majorHAnsi"/>
          <w:i/>
        </w:rPr>
        <w:t xml:space="preserve"> &amp; Competencies</w:t>
      </w:r>
    </w:p>
    <w:p w:rsidR="00622EA7" w:rsidRPr="00622EA7" w:rsidRDefault="00622EA7" w:rsidP="00622EA7">
      <w:pPr>
        <w:pStyle w:val="ListParagraph"/>
        <w:numPr>
          <w:ilvl w:val="0"/>
          <w:numId w:val="30"/>
        </w:numPr>
        <w:spacing w:after="0"/>
        <w:rPr>
          <w:rFonts w:asciiTheme="majorHAnsi" w:hAnsiTheme="majorHAnsi"/>
          <w:i/>
        </w:rPr>
      </w:pPr>
      <w:r>
        <w:rPr>
          <w:rFonts w:asciiTheme="majorHAnsi" w:hAnsiTheme="majorHAnsi"/>
        </w:rPr>
        <w:t>Satisfaction with project officers’ interpersonal characteristics and traits</w:t>
      </w:r>
    </w:p>
    <w:p w:rsidR="005C0C3C" w:rsidRPr="005C0C3C" w:rsidRDefault="00D623FE" w:rsidP="00D623FE">
      <w:pPr>
        <w:pStyle w:val="ListParagraph"/>
        <w:numPr>
          <w:ilvl w:val="0"/>
          <w:numId w:val="30"/>
        </w:numPr>
        <w:spacing w:after="0"/>
        <w:rPr>
          <w:rFonts w:asciiTheme="majorHAnsi" w:hAnsiTheme="majorHAnsi"/>
          <w:i/>
        </w:rPr>
      </w:pPr>
      <w:r>
        <w:rPr>
          <w:rFonts w:asciiTheme="majorHAnsi" w:hAnsiTheme="majorHAnsi"/>
        </w:rPr>
        <w:t>Perceptions of which knowledge, skills and abilities are required for project officers to provide high-quality technical assistance</w:t>
      </w:r>
    </w:p>
    <w:p w:rsidR="005C0C3C" w:rsidRPr="005C0C3C" w:rsidRDefault="005C0C3C" w:rsidP="00D623FE">
      <w:pPr>
        <w:pStyle w:val="ListParagraph"/>
        <w:numPr>
          <w:ilvl w:val="0"/>
          <w:numId w:val="30"/>
        </w:numPr>
        <w:spacing w:after="0"/>
        <w:rPr>
          <w:rFonts w:asciiTheme="majorHAnsi" w:hAnsiTheme="majorHAnsi"/>
          <w:i/>
        </w:rPr>
      </w:pPr>
      <w:r>
        <w:rPr>
          <w:rFonts w:asciiTheme="majorHAnsi" w:hAnsiTheme="majorHAnsi"/>
        </w:rPr>
        <w:t>Satisfaction with project officers’ knowledge, skills and abilities</w:t>
      </w:r>
    </w:p>
    <w:p w:rsidR="005C0C3C" w:rsidRPr="005C0C3C" w:rsidRDefault="005C0C3C" w:rsidP="005C0C3C">
      <w:pPr>
        <w:pStyle w:val="ListParagraph"/>
        <w:numPr>
          <w:ilvl w:val="0"/>
          <w:numId w:val="30"/>
        </w:numPr>
        <w:spacing w:after="0"/>
        <w:rPr>
          <w:rFonts w:asciiTheme="majorHAnsi" w:hAnsiTheme="majorHAnsi"/>
        </w:rPr>
      </w:pPr>
      <w:r w:rsidRPr="00B46610">
        <w:rPr>
          <w:rFonts w:asciiTheme="majorHAnsi" w:hAnsiTheme="majorHAnsi"/>
        </w:rPr>
        <w:t xml:space="preserve">Additional comments and recommendations for how CDC can improve the delivery of technical assistance </w:t>
      </w:r>
    </w:p>
    <w:p w:rsidR="0033299D" w:rsidRDefault="0033299D" w:rsidP="000807BB">
      <w:pPr>
        <w:spacing w:after="0"/>
        <w:ind w:left="360"/>
        <w:rPr>
          <w:rFonts w:asciiTheme="majorHAnsi" w:hAnsiTheme="majorHAnsi"/>
          <w:u w:val="single"/>
        </w:rPr>
      </w:pPr>
    </w:p>
    <w:p w:rsidR="006102DA" w:rsidRPr="005869D6" w:rsidRDefault="006102DA" w:rsidP="00C17908">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 link directing them to the online survey only (i.e., not a website). No website content will be directed at children.</w:t>
      </w:r>
    </w:p>
    <w:p w:rsidR="00F52BCC" w:rsidRPr="00F52BCC" w:rsidRDefault="00F52BCC" w:rsidP="000807BB">
      <w:pPr>
        <w:spacing w:after="0"/>
        <w:ind w:left="720"/>
        <w:rPr>
          <w:rFonts w:asciiTheme="majorHAnsi" w:hAnsiTheme="majorHAnsi"/>
        </w:rPr>
      </w:pPr>
    </w:p>
    <w:p w:rsidR="00B12F51" w:rsidRPr="00014361" w:rsidRDefault="00B12F51" w:rsidP="000807BB">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B76CBD" w:rsidRDefault="000A2DFF" w:rsidP="00C17908">
      <w:pPr>
        <w:spacing w:before="120" w:after="120" w:line="240" w:lineRule="auto"/>
        <w:ind w:left="720"/>
        <w:rPr>
          <w:rFonts w:ascii="Cambria" w:hAnsi="Cambria"/>
        </w:rPr>
      </w:pPr>
      <w:r>
        <w:rPr>
          <w:rFonts w:asciiTheme="majorHAnsi" w:hAnsiTheme="majorHAnsi"/>
        </w:rPr>
        <w:t>The information will be collected through a web-based questionnaire</w:t>
      </w:r>
      <w:r w:rsidR="00985E12">
        <w:rPr>
          <w:rFonts w:asciiTheme="majorHAnsi" w:hAnsiTheme="majorHAnsi"/>
        </w:rPr>
        <w:t>, and analyzed by</w:t>
      </w:r>
      <w:r>
        <w:rPr>
          <w:rFonts w:asciiTheme="majorHAnsi" w:hAnsiTheme="majorHAnsi"/>
        </w:rPr>
        <w:t xml:space="preserve"> an evaluation specialist in the </w:t>
      </w:r>
      <w:r w:rsidR="00CF2FF2">
        <w:rPr>
          <w:rFonts w:asciiTheme="majorHAnsi" w:hAnsiTheme="majorHAnsi"/>
        </w:rPr>
        <w:t>Applied Systems Research and Evaluation Branch</w:t>
      </w:r>
      <w:r>
        <w:rPr>
          <w:rFonts w:asciiTheme="majorHAnsi" w:hAnsiTheme="majorHAnsi"/>
        </w:rPr>
        <w:t>.  This is a one-time data collection</w:t>
      </w:r>
      <w:r w:rsidR="000A1A0B">
        <w:rPr>
          <w:rFonts w:asciiTheme="majorHAnsi" w:hAnsiTheme="majorHAnsi"/>
        </w:rPr>
        <w:t>.</w:t>
      </w:r>
      <w:r w:rsidR="000A1A0B" w:rsidRPr="000A1A0B">
        <w:rPr>
          <w:rFonts w:ascii="Cambria" w:hAnsi="Cambria"/>
        </w:rPr>
        <w:t xml:space="preserve"> </w:t>
      </w:r>
      <w:r w:rsidR="000A1A0B">
        <w:rPr>
          <w:rFonts w:ascii="Cambria" w:hAnsi="Cambria"/>
        </w:rPr>
        <w:t xml:space="preserve">  </w:t>
      </w:r>
      <w:r w:rsidR="00B76CBD">
        <w:rPr>
          <w:rFonts w:ascii="Cambria" w:hAnsi="Cambria"/>
        </w:rPr>
        <w:t>Details of the purposes of this data collection are provided below:</w:t>
      </w:r>
    </w:p>
    <w:p w:rsidR="00B76CBD" w:rsidRPr="00B76CBD" w:rsidRDefault="00B76CBD" w:rsidP="00C17908">
      <w:pPr>
        <w:spacing w:before="120" w:after="120" w:line="240" w:lineRule="auto"/>
        <w:ind w:left="720"/>
        <w:rPr>
          <w:rFonts w:ascii="Cambria" w:hAnsi="Cambria"/>
        </w:rPr>
      </w:pPr>
      <w:r w:rsidRPr="00B76CBD">
        <w:rPr>
          <w:rFonts w:ascii="Cambria" w:hAnsi="Cambria"/>
          <w:i/>
        </w:rPr>
        <w:t>Purpose 1:</w:t>
      </w:r>
      <w:r>
        <w:rPr>
          <w:rFonts w:ascii="Cambria" w:hAnsi="Cambria"/>
        </w:rPr>
        <w:t xml:space="preserve"> </w:t>
      </w:r>
      <w:r w:rsidRPr="00B76CBD">
        <w:rPr>
          <w:rFonts w:ascii="Cambria" w:hAnsi="Cambria"/>
          <w:i/>
        </w:rPr>
        <w:t xml:space="preserve">Identify </w:t>
      </w:r>
      <w:r>
        <w:rPr>
          <w:rFonts w:ascii="Cambria" w:hAnsi="Cambria"/>
          <w:i/>
        </w:rPr>
        <w:t xml:space="preserve">Technical Assistance Needs and Expectations of STLT Awardees – </w:t>
      </w:r>
      <w:r>
        <w:rPr>
          <w:rFonts w:ascii="Cambria" w:hAnsi="Cambria"/>
        </w:rPr>
        <w:t xml:space="preserve">This data collection </w:t>
      </w:r>
      <w:r w:rsidR="002F77EA">
        <w:rPr>
          <w:rFonts w:ascii="Cambria" w:hAnsi="Cambria"/>
        </w:rPr>
        <w:t>effort represents</w:t>
      </w:r>
      <w:r>
        <w:rPr>
          <w:rFonts w:ascii="Cambria" w:hAnsi="Cambria"/>
        </w:rPr>
        <w:t xml:space="preserve"> the first time that STLT grantees will be asked </w:t>
      </w:r>
      <w:r w:rsidR="00622EA7">
        <w:rPr>
          <w:rFonts w:ascii="Cambria" w:hAnsi="Cambria"/>
        </w:rPr>
        <w:t xml:space="preserve">for their </w:t>
      </w:r>
      <w:r w:rsidR="002F77EA">
        <w:rPr>
          <w:rFonts w:ascii="Cambria" w:hAnsi="Cambria"/>
        </w:rPr>
        <w:lastRenderedPageBreak/>
        <w:t xml:space="preserve">perceptions </w:t>
      </w:r>
      <w:r w:rsidR="00622EA7">
        <w:rPr>
          <w:rFonts w:ascii="Cambria" w:hAnsi="Cambria"/>
        </w:rPr>
        <w:t xml:space="preserve">about how CDC can improve their technical assistance delivery for </w:t>
      </w:r>
      <w:r>
        <w:rPr>
          <w:rFonts w:ascii="Cambria" w:hAnsi="Cambria"/>
        </w:rPr>
        <w:t>successful implementation of Cooperative Agreements.  ST</w:t>
      </w:r>
      <w:r w:rsidR="00362275">
        <w:rPr>
          <w:rFonts w:ascii="Cambria" w:hAnsi="Cambria"/>
        </w:rPr>
        <w:t>LTs will be asked to identify which knowledge, skills and abilities (KSAs) are most important for project officers to demonstrate in areas of budget and grants management, program planning and evaluation, and organization consultation.  This information will be shared with the workgroup led by CDC University that is currently developing and validating project officer co</w:t>
      </w:r>
      <w:r w:rsidR="00622EA7">
        <w:rPr>
          <w:rFonts w:ascii="Cambria" w:hAnsi="Cambria"/>
        </w:rPr>
        <w:t xml:space="preserve">mpetencies.  </w:t>
      </w:r>
    </w:p>
    <w:p w:rsidR="00621E31" w:rsidRDefault="00B76CBD" w:rsidP="00C17908">
      <w:pPr>
        <w:spacing w:before="120" w:after="120" w:line="240" w:lineRule="auto"/>
        <w:ind w:left="720"/>
        <w:rPr>
          <w:rFonts w:ascii="Cambria" w:hAnsi="Cambria"/>
        </w:rPr>
      </w:pPr>
      <w:r w:rsidRPr="00B76CBD">
        <w:rPr>
          <w:rFonts w:ascii="Cambria" w:hAnsi="Cambria"/>
          <w:i/>
        </w:rPr>
        <w:t xml:space="preserve">Purpose </w:t>
      </w:r>
      <w:r>
        <w:rPr>
          <w:rFonts w:ascii="Cambria" w:hAnsi="Cambria"/>
          <w:i/>
        </w:rPr>
        <w:t>2</w:t>
      </w:r>
      <w:r w:rsidRPr="00B76CBD">
        <w:rPr>
          <w:rFonts w:ascii="Cambria" w:hAnsi="Cambria"/>
          <w:i/>
        </w:rPr>
        <w:t>:</w:t>
      </w:r>
      <w:r>
        <w:rPr>
          <w:rFonts w:ascii="Cambria" w:hAnsi="Cambria"/>
        </w:rPr>
        <w:t xml:space="preserve"> </w:t>
      </w:r>
      <w:r>
        <w:rPr>
          <w:rFonts w:ascii="Cambria" w:hAnsi="Cambria"/>
          <w:i/>
        </w:rPr>
        <w:t>Assess STLT satisfaction wi</w:t>
      </w:r>
      <w:r w:rsidR="00362275">
        <w:rPr>
          <w:rFonts w:ascii="Cambria" w:hAnsi="Cambria"/>
          <w:i/>
        </w:rPr>
        <w:t xml:space="preserve">th current Technical Assistance – </w:t>
      </w:r>
      <w:r w:rsidR="00362275">
        <w:rPr>
          <w:rFonts w:ascii="Cambria" w:hAnsi="Cambria"/>
        </w:rPr>
        <w:t>In addition to the identification of technical assistance needs,</w:t>
      </w:r>
      <w:r w:rsidR="00621E31">
        <w:rPr>
          <w:rFonts w:ascii="Cambria" w:hAnsi="Cambria"/>
        </w:rPr>
        <w:t xml:space="preserve"> this data collection tool </w:t>
      </w:r>
      <w:r w:rsidR="00ED1F48">
        <w:rPr>
          <w:rFonts w:ascii="Cambria" w:hAnsi="Cambria"/>
        </w:rPr>
        <w:t xml:space="preserve">will </w:t>
      </w:r>
      <w:r w:rsidR="00621E31">
        <w:rPr>
          <w:rFonts w:ascii="Cambria" w:hAnsi="Cambria"/>
        </w:rPr>
        <w:t xml:space="preserve">also assess STLT satisfaction with current capacity building and technical assistance provided by CDC project officers.  STLTs </w:t>
      </w:r>
      <w:r w:rsidR="002F77EA">
        <w:rPr>
          <w:rFonts w:ascii="Cambria" w:hAnsi="Cambria"/>
        </w:rPr>
        <w:t>will be</w:t>
      </w:r>
      <w:r w:rsidR="00621E31">
        <w:rPr>
          <w:rFonts w:ascii="Cambria" w:hAnsi="Cambria"/>
        </w:rPr>
        <w:t xml:space="preserve"> asked about their satisfaction with the clarity of funding opportunity announcements, the feedback received from progress reports, the frequency of site visits and conference calls, and the overall quality of technical assistance.  STLTs will also report their satisfaction with the KSAs and interpersonal characteristics demonstrated by project officers.  </w:t>
      </w:r>
    </w:p>
    <w:p w:rsidR="000A1A0B" w:rsidRPr="00C17908" w:rsidRDefault="00985E12" w:rsidP="00C17908">
      <w:pPr>
        <w:spacing w:before="120" w:after="120" w:line="240" w:lineRule="auto"/>
        <w:ind w:left="720"/>
        <w:rPr>
          <w:rFonts w:cstheme="minorHAnsi"/>
        </w:rPr>
      </w:pPr>
      <w:r>
        <w:rPr>
          <w:rFonts w:asciiTheme="majorHAnsi" w:hAnsiTheme="majorHAnsi"/>
        </w:rPr>
        <w:t>Information deriv</w:t>
      </w:r>
      <w:r w:rsidR="000A1A0B">
        <w:rPr>
          <w:rFonts w:asciiTheme="majorHAnsi" w:hAnsiTheme="majorHAnsi"/>
        </w:rPr>
        <w:t>ed from</w:t>
      </w:r>
      <w:r w:rsidR="00573E58">
        <w:rPr>
          <w:rFonts w:asciiTheme="majorHAnsi" w:hAnsiTheme="majorHAnsi"/>
        </w:rPr>
        <w:t xml:space="preserve"> the </w:t>
      </w:r>
      <w:r w:rsidR="00621E31">
        <w:rPr>
          <w:rFonts w:asciiTheme="majorHAnsi" w:hAnsiTheme="majorHAnsi"/>
        </w:rPr>
        <w:t>data collection tool</w:t>
      </w:r>
      <w:r w:rsidR="00573E58">
        <w:rPr>
          <w:rFonts w:asciiTheme="majorHAnsi" w:hAnsiTheme="majorHAnsi"/>
        </w:rPr>
        <w:t xml:space="preserve"> will be used to inform the following </w:t>
      </w:r>
      <w:r w:rsidR="002E4D77">
        <w:rPr>
          <w:rFonts w:asciiTheme="majorHAnsi" w:hAnsiTheme="majorHAnsi"/>
        </w:rPr>
        <w:t>TASII work streams</w:t>
      </w:r>
      <w:r w:rsidR="00573E58">
        <w:rPr>
          <w:rFonts w:asciiTheme="majorHAnsi" w:hAnsiTheme="majorHAnsi"/>
        </w:rPr>
        <w:t xml:space="preserve">: </w:t>
      </w:r>
    </w:p>
    <w:p w:rsidR="00573E58" w:rsidRDefault="00573E58" w:rsidP="000807BB">
      <w:pPr>
        <w:pStyle w:val="ListParagraph"/>
        <w:numPr>
          <w:ilvl w:val="0"/>
          <w:numId w:val="26"/>
        </w:numPr>
        <w:spacing w:after="0"/>
        <w:rPr>
          <w:rFonts w:asciiTheme="majorHAnsi" w:hAnsiTheme="majorHAnsi"/>
        </w:rPr>
      </w:pPr>
      <w:r>
        <w:rPr>
          <w:rFonts w:asciiTheme="majorHAnsi" w:hAnsiTheme="majorHAnsi"/>
        </w:rPr>
        <w:t>Learning opportunities for project officers</w:t>
      </w:r>
      <w:r w:rsidR="00572B59">
        <w:rPr>
          <w:rFonts w:asciiTheme="majorHAnsi" w:hAnsiTheme="majorHAnsi"/>
        </w:rPr>
        <w:t>.</w:t>
      </w:r>
      <w:r>
        <w:rPr>
          <w:rFonts w:asciiTheme="majorHAnsi" w:hAnsiTheme="majorHAnsi"/>
        </w:rPr>
        <w:t xml:space="preserve"> </w:t>
      </w:r>
    </w:p>
    <w:p w:rsidR="000A1A0B" w:rsidRDefault="00573E58" w:rsidP="000807BB">
      <w:pPr>
        <w:pStyle w:val="ListParagraph"/>
        <w:numPr>
          <w:ilvl w:val="0"/>
          <w:numId w:val="26"/>
        </w:numPr>
        <w:spacing w:after="0"/>
        <w:rPr>
          <w:rFonts w:asciiTheme="majorHAnsi" w:hAnsiTheme="majorHAnsi"/>
        </w:rPr>
      </w:pPr>
      <w:r>
        <w:rPr>
          <w:rFonts w:asciiTheme="majorHAnsi" w:hAnsiTheme="majorHAnsi"/>
        </w:rPr>
        <w:t>Competency and training development for project officers</w:t>
      </w:r>
      <w:r w:rsidR="00572B59">
        <w:rPr>
          <w:rFonts w:asciiTheme="majorHAnsi" w:hAnsiTheme="majorHAnsi"/>
        </w:rPr>
        <w:t>.</w:t>
      </w:r>
      <w:r>
        <w:rPr>
          <w:rFonts w:asciiTheme="majorHAnsi" w:hAnsiTheme="majorHAnsi"/>
        </w:rPr>
        <w:t xml:space="preserve"> </w:t>
      </w:r>
    </w:p>
    <w:p w:rsidR="00573E58" w:rsidRDefault="00573E58" w:rsidP="000807BB">
      <w:pPr>
        <w:pStyle w:val="ListParagraph"/>
        <w:numPr>
          <w:ilvl w:val="0"/>
          <w:numId w:val="26"/>
        </w:numPr>
        <w:spacing w:after="0"/>
        <w:rPr>
          <w:rFonts w:asciiTheme="majorHAnsi" w:hAnsiTheme="majorHAnsi"/>
        </w:rPr>
      </w:pPr>
      <w:r>
        <w:rPr>
          <w:rFonts w:asciiTheme="majorHAnsi" w:hAnsiTheme="majorHAnsi"/>
        </w:rPr>
        <w:t xml:space="preserve">Development of high-quality resources and tools to supplement TA/support provided by </w:t>
      </w:r>
      <w:r w:rsidRPr="00573E58">
        <w:rPr>
          <w:rFonts w:asciiTheme="majorHAnsi" w:hAnsiTheme="majorHAnsi"/>
        </w:rPr>
        <w:t>project officer</w:t>
      </w:r>
      <w:r>
        <w:rPr>
          <w:rFonts w:asciiTheme="majorHAnsi" w:hAnsiTheme="majorHAnsi"/>
        </w:rPr>
        <w:t>s</w:t>
      </w:r>
      <w:r w:rsidR="00572B59">
        <w:rPr>
          <w:rFonts w:asciiTheme="majorHAnsi" w:hAnsiTheme="majorHAnsi"/>
        </w:rPr>
        <w:t>.</w:t>
      </w:r>
      <w:r w:rsidRPr="00573E58">
        <w:rPr>
          <w:rFonts w:asciiTheme="majorHAnsi" w:hAnsiTheme="majorHAnsi"/>
        </w:rPr>
        <w:t xml:space="preserve"> </w:t>
      </w:r>
    </w:p>
    <w:p w:rsidR="000A1A0B" w:rsidRDefault="00573E58" w:rsidP="000807BB">
      <w:pPr>
        <w:pStyle w:val="ListParagraph"/>
        <w:numPr>
          <w:ilvl w:val="0"/>
          <w:numId w:val="26"/>
        </w:numPr>
        <w:spacing w:after="0"/>
        <w:rPr>
          <w:rFonts w:asciiTheme="majorHAnsi" w:hAnsiTheme="majorHAnsi"/>
        </w:rPr>
      </w:pPr>
      <w:r>
        <w:rPr>
          <w:rFonts w:asciiTheme="majorHAnsi" w:hAnsiTheme="majorHAnsi"/>
        </w:rPr>
        <w:t>I</w:t>
      </w:r>
      <w:r w:rsidR="00985E12" w:rsidRPr="00573E58">
        <w:rPr>
          <w:rFonts w:asciiTheme="majorHAnsi" w:hAnsiTheme="majorHAnsi"/>
        </w:rPr>
        <w:t>mprovements to CDC’s technical assistance delivery models</w:t>
      </w:r>
      <w:r w:rsidR="00572B59">
        <w:rPr>
          <w:rFonts w:asciiTheme="majorHAnsi" w:hAnsiTheme="majorHAnsi"/>
        </w:rPr>
        <w:t>.</w:t>
      </w:r>
    </w:p>
    <w:p w:rsidR="00C17908" w:rsidRDefault="00573E58" w:rsidP="00C17908">
      <w:pPr>
        <w:pStyle w:val="ListParagraph"/>
        <w:numPr>
          <w:ilvl w:val="0"/>
          <w:numId w:val="26"/>
        </w:numPr>
        <w:spacing w:after="0"/>
        <w:rPr>
          <w:rFonts w:asciiTheme="majorHAnsi" w:hAnsiTheme="majorHAnsi"/>
        </w:rPr>
      </w:pPr>
      <w:r>
        <w:rPr>
          <w:rFonts w:asciiTheme="majorHAnsi" w:hAnsiTheme="majorHAnsi"/>
        </w:rPr>
        <w:t>Center/division efforts to improve TA</w:t>
      </w:r>
      <w:r w:rsidR="00572B59">
        <w:rPr>
          <w:rFonts w:asciiTheme="majorHAnsi" w:hAnsiTheme="majorHAnsi"/>
        </w:rPr>
        <w:t>.</w:t>
      </w:r>
      <w:r>
        <w:rPr>
          <w:rFonts w:asciiTheme="majorHAnsi" w:hAnsiTheme="majorHAnsi"/>
        </w:rPr>
        <w:t xml:space="preserve"> </w:t>
      </w:r>
    </w:p>
    <w:p w:rsidR="000A2DFF" w:rsidRPr="002F77EA" w:rsidRDefault="002F77EA" w:rsidP="002F77EA">
      <w:pPr>
        <w:pStyle w:val="ListParagraph"/>
        <w:numPr>
          <w:ilvl w:val="0"/>
          <w:numId w:val="26"/>
        </w:numPr>
        <w:spacing w:after="0"/>
        <w:rPr>
          <w:rFonts w:asciiTheme="majorHAnsi" w:hAnsiTheme="majorHAnsi"/>
          <w:u w:val="single"/>
        </w:rPr>
      </w:pPr>
      <w:r>
        <w:rPr>
          <w:rFonts w:asciiTheme="majorHAnsi" w:hAnsiTheme="majorHAnsi"/>
        </w:rPr>
        <w:t>Serve as a baseline for evaluating TASII’s efforts to improve TA for STLT awardees</w:t>
      </w:r>
      <w:r w:rsidR="00572B59">
        <w:rPr>
          <w:rFonts w:asciiTheme="majorHAnsi" w:hAnsiTheme="majorHAnsi"/>
        </w:rPr>
        <w:t>.</w:t>
      </w:r>
    </w:p>
    <w:p w:rsidR="002F77EA" w:rsidRPr="002F77EA" w:rsidRDefault="002F77EA" w:rsidP="002F77EA">
      <w:pPr>
        <w:spacing w:after="0"/>
        <w:ind w:left="1080"/>
        <w:rPr>
          <w:rFonts w:asciiTheme="majorHAnsi" w:hAnsiTheme="majorHAnsi"/>
          <w:u w:val="single"/>
        </w:rPr>
      </w:pPr>
    </w:p>
    <w:p w:rsidR="00D46264" w:rsidRDefault="006102DA" w:rsidP="000807BB">
      <w:pPr>
        <w:spacing w:after="0"/>
        <w:ind w:left="720"/>
        <w:rPr>
          <w:rFonts w:asciiTheme="majorHAnsi" w:hAnsiTheme="majorHAnsi"/>
          <w:u w:val="single"/>
        </w:rPr>
      </w:pPr>
      <w:r>
        <w:rPr>
          <w:rFonts w:asciiTheme="majorHAnsi" w:hAnsiTheme="majorHAnsi"/>
          <w:u w:val="single"/>
        </w:rPr>
        <w:t>Privacy Impact Assessment</w:t>
      </w:r>
    </w:p>
    <w:p w:rsidR="006102DA" w:rsidRPr="00C17908" w:rsidRDefault="00D46264" w:rsidP="00C17908">
      <w:pPr>
        <w:spacing w:after="0"/>
        <w:ind w:left="720"/>
        <w:rPr>
          <w:rFonts w:asciiTheme="majorHAnsi" w:hAnsiTheme="majorHAnsi"/>
        </w:rPr>
      </w:pPr>
      <w:r>
        <w:rPr>
          <w:rFonts w:asciiTheme="majorHAnsi" w:hAnsiTheme="majorHAnsi"/>
        </w:rPr>
        <w:t xml:space="preserve">No sensitive information is being collected.  No individually identifiable information is being collected.  The proposed data collection will have little or no effect on respondent privacy.  Respondents are participating in their official capacity as </w:t>
      </w:r>
      <w:r w:rsidR="00A807D0">
        <w:rPr>
          <w:rFonts w:asciiTheme="majorHAnsi" w:hAnsiTheme="majorHAnsi"/>
        </w:rPr>
        <w:t>program managers/directors</w:t>
      </w:r>
      <w:r>
        <w:rPr>
          <w:rFonts w:asciiTheme="majorHAnsi" w:hAnsiTheme="majorHAnsi"/>
        </w:rPr>
        <w:t xml:space="preserve"> in state (or District) departments of health.</w:t>
      </w:r>
    </w:p>
    <w:p w:rsidR="00F52BCC" w:rsidRDefault="00F52BCC" w:rsidP="000807BB">
      <w:pPr>
        <w:pStyle w:val="ListParagraph"/>
        <w:spacing w:after="0"/>
        <w:rPr>
          <w:rFonts w:asciiTheme="majorHAnsi" w:hAnsiTheme="majorHAnsi"/>
        </w:rPr>
      </w:pPr>
    </w:p>
    <w:p w:rsidR="00B12F51" w:rsidRPr="00DC79CC" w:rsidRDefault="00D95FBF" w:rsidP="000807BB">
      <w:pPr>
        <w:pStyle w:val="ListParagraph"/>
        <w:numPr>
          <w:ilvl w:val="0"/>
          <w:numId w:val="2"/>
        </w:numPr>
        <w:spacing w:after="0"/>
        <w:rPr>
          <w:rFonts w:asciiTheme="majorHAnsi" w:hAnsiTheme="majorHAnsi"/>
          <w:b/>
        </w:rPr>
      </w:pPr>
      <w:r>
        <w:rPr>
          <w:rFonts w:asciiTheme="majorHAnsi" w:hAnsiTheme="majorHAnsi"/>
          <w:b/>
        </w:rPr>
        <w:t>Considerations Given to Information Technology</w:t>
      </w:r>
    </w:p>
    <w:p w:rsidR="00FB6C5B" w:rsidRDefault="00DC79CC" w:rsidP="00FB6C5B">
      <w:pPr>
        <w:spacing w:after="0"/>
        <w:ind w:left="720"/>
        <w:rPr>
          <w:rFonts w:asciiTheme="majorHAnsi" w:hAnsiTheme="majorHAnsi"/>
        </w:rPr>
      </w:pPr>
      <w:r>
        <w:rPr>
          <w:rFonts w:asciiTheme="majorHAnsi" w:hAnsiTheme="majorHAnsi"/>
        </w:rPr>
        <w:t xml:space="preserve">Data will be collected via a web-based </w:t>
      </w:r>
      <w:r w:rsidR="008200C2">
        <w:rPr>
          <w:rFonts w:asciiTheme="majorHAnsi" w:hAnsiTheme="majorHAnsi"/>
        </w:rPr>
        <w:t>tool</w:t>
      </w:r>
      <w:r>
        <w:rPr>
          <w:rFonts w:asciiTheme="majorHAnsi" w:hAnsiTheme="majorHAnsi"/>
        </w:rPr>
        <w:t xml:space="preserve"> allowing respondents to complete and submit their responses electronically. </w:t>
      </w:r>
      <w:r w:rsidR="00FB6C5B">
        <w:rPr>
          <w:rFonts w:asciiTheme="majorHAnsi" w:hAnsiTheme="majorHAnsi"/>
        </w:rPr>
        <w:t xml:space="preserve">The web-based tool will be developed using </w:t>
      </w:r>
      <w:proofErr w:type="spellStart"/>
      <w:r w:rsidR="00FB6C5B">
        <w:rPr>
          <w:rFonts w:asciiTheme="majorHAnsi" w:hAnsiTheme="majorHAnsi"/>
        </w:rPr>
        <w:t>Qualtrics</w:t>
      </w:r>
      <w:proofErr w:type="spellEnd"/>
      <w:r w:rsidR="00FB6C5B">
        <w:rPr>
          <w:rFonts w:asciiTheme="majorHAnsi" w:hAnsiTheme="majorHAnsi"/>
        </w:rPr>
        <w:t>, an advanced platform for the creation of online surveys that allows for co</w:t>
      </w:r>
      <w:r w:rsidR="002F77EA">
        <w:rPr>
          <w:rFonts w:asciiTheme="majorHAnsi" w:hAnsiTheme="majorHAnsi"/>
        </w:rPr>
        <w:t xml:space="preserve">mplex branching and skip logic </w:t>
      </w:r>
      <w:r w:rsidR="00FB6C5B">
        <w:rPr>
          <w:rFonts w:asciiTheme="majorHAnsi" w:hAnsiTheme="majorHAnsi"/>
        </w:rPr>
        <w:t xml:space="preserve">and provides respondents with the flexibility to complete the tool in more than one session. </w:t>
      </w:r>
      <w:r w:rsidR="002F77EA">
        <w:rPr>
          <w:rFonts w:asciiTheme="majorHAnsi" w:hAnsiTheme="majorHAnsi"/>
        </w:rPr>
        <w:t>Web surveys reduce respondent burden by enabling easy access and completion at a convenient time and location.  The online su</w:t>
      </w:r>
      <w:r w:rsidR="00ED1F48">
        <w:rPr>
          <w:rFonts w:asciiTheme="majorHAnsi" w:hAnsiTheme="majorHAnsi"/>
        </w:rPr>
        <w:t>rvey will consist of either eas</w:t>
      </w:r>
      <w:r w:rsidR="002F77EA">
        <w:rPr>
          <w:rFonts w:asciiTheme="majorHAnsi" w:hAnsiTheme="majorHAnsi"/>
        </w:rPr>
        <w:t xml:space="preserve">y-to read response selections or embedded text boxes, and skip patterns will be programmed into the survey to direct respondents to appropriate questions.  </w:t>
      </w:r>
      <w:r w:rsidR="00FB6C5B">
        <w:rPr>
          <w:rFonts w:asciiTheme="majorHAnsi" w:hAnsiTheme="majorHAnsi"/>
        </w:rPr>
        <w:t xml:space="preserve">This software will also keep track of grantees information (branch, division and CIO) so that reminders can automatically be emailed on day 10 and day 15 of the survey.  </w:t>
      </w:r>
      <w:r>
        <w:rPr>
          <w:rFonts w:asciiTheme="majorHAnsi" w:hAnsiTheme="majorHAnsi"/>
        </w:rPr>
        <w:t>This method was chosen to reduce the overall burden on respondents. The survey was designed to collect the minimum information necessary for the purposes of this project.</w:t>
      </w:r>
      <w:r w:rsidR="00AB251E">
        <w:rPr>
          <w:rFonts w:asciiTheme="majorHAnsi" w:hAnsiTheme="majorHAnsi"/>
        </w:rPr>
        <w:t xml:space="preserve"> </w:t>
      </w:r>
    </w:p>
    <w:p w:rsidR="00E8736B" w:rsidRPr="002F77EA" w:rsidRDefault="00E8736B" w:rsidP="002F77EA">
      <w:pPr>
        <w:spacing w:after="0"/>
        <w:rPr>
          <w:rFonts w:asciiTheme="majorHAnsi" w:hAnsiTheme="majorHAnsi"/>
        </w:rPr>
      </w:pPr>
    </w:p>
    <w:p w:rsidR="00B12F51" w:rsidRPr="00D26A64" w:rsidRDefault="00D95FBF" w:rsidP="000807BB">
      <w:pPr>
        <w:pStyle w:val="ListParagraph"/>
        <w:numPr>
          <w:ilvl w:val="0"/>
          <w:numId w:val="2"/>
        </w:numPr>
        <w:spacing w:after="0"/>
        <w:rPr>
          <w:rFonts w:asciiTheme="majorHAnsi" w:hAnsiTheme="majorHAnsi"/>
          <w:b/>
        </w:rPr>
      </w:pPr>
      <w:r>
        <w:rPr>
          <w:rFonts w:asciiTheme="majorHAnsi" w:hAnsiTheme="majorHAnsi"/>
          <w:b/>
        </w:rPr>
        <w:lastRenderedPageBreak/>
        <w:t>Duplication of</w:t>
      </w:r>
      <w:r w:rsidR="00B12F51" w:rsidRPr="00D26A64">
        <w:rPr>
          <w:rFonts w:asciiTheme="majorHAnsi" w:hAnsiTheme="majorHAnsi"/>
          <w:b/>
        </w:rPr>
        <w:t xml:space="preserve"> Information</w:t>
      </w:r>
    </w:p>
    <w:p w:rsidR="00E33E1B" w:rsidRDefault="00A807D0" w:rsidP="000807BB">
      <w:pPr>
        <w:pStyle w:val="ListParagraph"/>
        <w:spacing w:after="0"/>
        <w:rPr>
          <w:rFonts w:asciiTheme="majorHAnsi" w:hAnsiTheme="majorHAnsi"/>
        </w:rPr>
      </w:pPr>
      <w:r>
        <w:rPr>
          <w:rFonts w:asciiTheme="majorHAnsi" w:hAnsiTheme="majorHAnsi"/>
        </w:rPr>
        <w:t xml:space="preserve">TASII is a new agency-wide initiative to enhance CDC’s technical and capacity building support for STLT partners.  </w:t>
      </w:r>
      <w:r w:rsidR="00901CD5">
        <w:rPr>
          <w:rFonts w:asciiTheme="majorHAnsi" w:hAnsiTheme="majorHAnsi"/>
        </w:rPr>
        <w:t>This survey represen</w:t>
      </w:r>
      <w:r w:rsidR="00C17908">
        <w:rPr>
          <w:rFonts w:asciiTheme="majorHAnsi" w:hAnsiTheme="majorHAnsi"/>
        </w:rPr>
        <w:t xml:space="preserve">ts the first attempt to assess the expectations and satisfaction of STLT awardees </w:t>
      </w:r>
      <w:r w:rsidR="00901CD5">
        <w:rPr>
          <w:rFonts w:asciiTheme="majorHAnsi" w:hAnsiTheme="majorHAnsi"/>
        </w:rPr>
        <w:t xml:space="preserve">receiving a range of technical assistance across CDC’s centers, divisions, and branches. There is no information available that can substitute </w:t>
      </w:r>
      <w:r w:rsidR="00572B59">
        <w:rPr>
          <w:rFonts w:asciiTheme="majorHAnsi" w:hAnsiTheme="majorHAnsi"/>
        </w:rPr>
        <w:t>this data collection</w:t>
      </w:r>
      <w:r w:rsidR="00901CD5">
        <w:rPr>
          <w:rFonts w:asciiTheme="majorHAnsi" w:hAnsiTheme="majorHAnsi"/>
        </w:rPr>
        <w:t xml:space="preserve">.     </w:t>
      </w:r>
      <w:r>
        <w:rPr>
          <w:rFonts w:asciiTheme="majorHAnsi" w:hAnsiTheme="majorHAnsi"/>
        </w:rPr>
        <w:t xml:space="preserve">   </w:t>
      </w:r>
    </w:p>
    <w:p w:rsidR="00A807D0" w:rsidRDefault="00A807D0" w:rsidP="000807BB">
      <w:pPr>
        <w:pStyle w:val="ListParagraph"/>
        <w:spacing w:after="0"/>
        <w:rPr>
          <w:rFonts w:asciiTheme="majorHAnsi" w:hAnsiTheme="majorHAnsi"/>
        </w:rPr>
      </w:pPr>
    </w:p>
    <w:p w:rsidR="00B12F51" w:rsidRPr="00D26A64" w:rsidRDefault="00D95FBF" w:rsidP="000807BB">
      <w:pPr>
        <w:pStyle w:val="ListParagraph"/>
        <w:numPr>
          <w:ilvl w:val="0"/>
          <w:numId w:val="2"/>
        </w:numPr>
        <w:spacing w:after="0"/>
        <w:rPr>
          <w:rFonts w:asciiTheme="majorHAnsi" w:hAnsiTheme="majorHAnsi"/>
          <w:b/>
        </w:rPr>
      </w:pPr>
      <w:r>
        <w:rPr>
          <w:rFonts w:asciiTheme="majorHAnsi" w:hAnsiTheme="majorHAnsi"/>
          <w:b/>
        </w:rPr>
        <w:t>Reducing the Burden on Small</w:t>
      </w:r>
      <w:r w:rsidR="00B12F51" w:rsidRPr="00D26A64">
        <w:rPr>
          <w:rFonts w:asciiTheme="majorHAnsi" w:hAnsiTheme="majorHAnsi"/>
          <w:b/>
        </w:rPr>
        <w:t xml:space="preserve"> Entities</w:t>
      </w:r>
    </w:p>
    <w:p w:rsidR="0053557D" w:rsidRDefault="00D26A64" w:rsidP="000807BB">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901CD5" w:rsidRPr="00D95FBF" w:rsidRDefault="00901CD5" w:rsidP="000807BB">
      <w:pPr>
        <w:pStyle w:val="ListParagraph"/>
        <w:spacing w:after="0"/>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 xml:space="preserve">Consequences of </w:t>
      </w:r>
      <w:r w:rsidR="00D95FBF">
        <w:rPr>
          <w:rFonts w:asciiTheme="majorHAnsi" w:hAnsiTheme="majorHAnsi"/>
          <w:b/>
        </w:rPr>
        <w:t xml:space="preserve">Not Conducting Collection   </w:t>
      </w:r>
    </w:p>
    <w:p w:rsidR="00CC0E71" w:rsidRDefault="000D6EF8" w:rsidP="008B79FB">
      <w:pPr>
        <w:spacing w:before="120" w:after="120" w:line="240" w:lineRule="auto"/>
        <w:ind w:left="720"/>
        <w:rPr>
          <w:rFonts w:asciiTheme="majorHAnsi" w:hAnsiTheme="majorHAnsi"/>
        </w:rPr>
      </w:pPr>
      <w:r>
        <w:rPr>
          <w:rFonts w:asciiTheme="majorHAnsi" w:hAnsiTheme="majorHAnsi"/>
        </w:rPr>
        <w:t xml:space="preserve">This </w:t>
      </w:r>
      <w:r w:rsidR="00572B59">
        <w:rPr>
          <w:rFonts w:asciiTheme="majorHAnsi" w:hAnsiTheme="majorHAnsi"/>
        </w:rPr>
        <w:t>data collection</w:t>
      </w:r>
      <w:r w:rsidR="00CA06F8">
        <w:rPr>
          <w:rFonts w:asciiTheme="majorHAnsi" w:hAnsiTheme="majorHAnsi"/>
        </w:rPr>
        <w:t xml:space="preserve"> is a direct response to concerns raised by CDC’s national partners regarding </w:t>
      </w:r>
      <w:r w:rsidR="007A70AA">
        <w:rPr>
          <w:rFonts w:asciiTheme="majorHAnsi" w:hAnsiTheme="majorHAnsi"/>
        </w:rPr>
        <w:t xml:space="preserve">variability in the </w:t>
      </w:r>
      <w:r w:rsidR="00CA06F8">
        <w:rPr>
          <w:rFonts w:asciiTheme="majorHAnsi" w:hAnsiTheme="majorHAnsi"/>
        </w:rPr>
        <w:t>accuracy, consistency, and timeliness of the technical assistance provided by project officers</w:t>
      </w:r>
      <w:r w:rsidR="007A70AA">
        <w:rPr>
          <w:rFonts w:asciiTheme="majorHAnsi" w:hAnsiTheme="majorHAnsi"/>
        </w:rPr>
        <w:t xml:space="preserve"> across CDC programs.  The survey allows us to evaluate the quality of TA </w:t>
      </w:r>
      <w:r w:rsidR="00CC0E71">
        <w:rPr>
          <w:rFonts w:asciiTheme="majorHAnsi" w:hAnsiTheme="majorHAnsi"/>
        </w:rPr>
        <w:t xml:space="preserve">along these dimensions for a range of </w:t>
      </w:r>
      <w:r w:rsidR="00610C38">
        <w:rPr>
          <w:rFonts w:asciiTheme="majorHAnsi" w:hAnsiTheme="majorHAnsi"/>
        </w:rPr>
        <w:t>activities and functions of CDC project officers</w:t>
      </w:r>
      <w:r w:rsidR="00CC0E71">
        <w:rPr>
          <w:rFonts w:asciiTheme="majorHAnsi" w:hAnsiTheme="majorHAnsi"/>
        </w:rPr>
        <w:t xml:space="preserve">.  </w:t>
      </w:r>
    </w:p>
    <w:p w:rsidR="00610C38" w:rsidRDefault="00610C38" w:rsidP="00ED1F48">
      <w:pPr>
        <w:spacing w:before="120" w:after="120" w:line="240" w:lineRule="auto"/>
        <w:ind w:firstLine="720"/>
        <w:rPr>
          <w:rFonts w:asciiTheme="majorHAnsi" w:hAnsiTheme="majorHAnsi"/>
        </w:rPr>
      </w:pPr>
      <w:r>
        <w:rPr>
          <w:rFonts w:asciiTheme="majorHAnsi" w:hAnsiTheme="majorHAnsi"/>
        </w:rPr>
        <w:t>The consequences of not collecting this information would be:</w:t>
      </w:r>
    </w:p>
    <w:p w:rsidR="00610C38" w:rsidRDefault="00610C38" w:rsidP="00610C38">
      <w:pPr>
        <w:pStyle w:val="ListParagraph"/>
        <w:numPr>
          <w:ilvl w:val="0"/>
          <w:numId w:val="35"/>
        </w:numPr>
        <w:spacing w:before="120" w:after="120" w:line="240" w:lineRule="auto"/>
        <w:rPr>
          <w:rFonts w:asciiTheme="majorHAnsi" w:hAnsiTheme="majorHAnsi"/>
        </w:rPr>
      </w:pPr>
      <w:r>
        <w:rPr>
          <w:rFonts w:asciiTheme="majorHAnsi" w:hAnsiTheme="majorHAnsi"/>
        </w:rPr>
        <w:t>Failure to systematically obtain information about the quality of CDC’s technical assistance in advancing the implementation of Cooperative Agreements from STLT partners</w:t>
      </w:r>
      <w:r w:rsidR="00572B59">
        <w:rPr>
          <w:rFonts w:asciiTheme="majorHAnsi" w:hAnsiTheme="majorHAnsi"/>
        </w:rPr>
        <w:t>.</w:t>
      </w:r>
    </w:p>
    <w:p w:rsidR="00610C38" w:rsidRDefault="00610C38" w:rsidP="00610C38">
      <w:pPr>
        <w:pStyle w:val="ListParagraph"/>
        <w:numPr>
          <w:ilvl w:val="0"/>
          <w:numId w:val="35"/>
        </w:numPr>
        <w:spacing w:before="120" w:after="120" w:line="240" w:lineRule="auto"/>
        <w:rPr>
          <w:rFonts w:asciiTheme="majorHAnsi" w:hAnsiTheme="majorHAnsi"/>
        </w:rPr>
      </w:pPr>
      <w:r>
        <w:rPr>
          <w:rFonts w:asciiTheme="majorHAnsi" w:hAnsiTheme="majorHAnsi"/>
        </w:rPr>
        <w:t>Failure to identify and develop training in core knowledge and skills that are essential for project officers to provide high-quality technical assistance</w:t>
      </w:r>
      <w:r w:rsidR="00572B59">
        <w:rPr>
          <w:rFonts w:asciiTheme="majorHAnsi" w:hAnsiTheme="majorHAnsi"/>
        </w:rPr>
        <w:t>.</w:t>
      </w:r>
    </w:p>
    <w:p w:rsidR="00610C38" w:rsidRDefault="00610C38" w:rsidP="00610C38">
      <w:pPr>
        <w:pStyle w:val="ListParagraph"/>
        <w:numPr>
          <w:ilvl w:val="0"/>
          <w:numId w:val="35"/>
        </w:numPr>
        <w:spacing w:before="120" w:after="120" w:line="240" w:lineRule="auto"/>
        <w:rPr>
          <w:rFonts w:asciiTheme="majorHAnsi" w:hAnsiTheme="majorHAnsi"/>
        </w:rPr>
      </w:pPr>
      <w:r>
        <w:rPr>
          <w:rFonts w:asciiTheme="majorHAnsi" w:hAnsiTheme="majorHAnsi"/>
        </w:rPr>
        <w:t>Limited guidance on how to enhance the delivery of technical assistance at the agency-level and how to tackle program-specific gaps in service provided by project officers</w:t>
      </w:r>
      <w:r w:rsidR="00572B59">
        <w:rPr>
          <w:rFonts w:asciiTheme="majorHAnsi" w:hAnsiTheme="majorHAnsi"/>
        </w:rPr>
        <w:t>.</w:t>
      </w:r>
    </w:p>
    <w:p w:rsidR="00607F7C" w:rsidRPr="00610C38" w:rsidRDefault="00607F7C" w:rsidP="00610C38">
      <w:pPr>
        <w:spacing w:before="120" w:after="120" w:line="240" w:lineRule="auto"/>
        <w:ind w:left="720"/>
        <w:rPr>
          <w:rFonts w:asciiTheme="majorHAnsi" w:hAnsiTheme="majorHAnsi"/>
        </w:rPr>
      </w:pPr>
      <w:r w:rsidRPr="00610C38">
        <w:rPr>
          <w:rFonts w:asciiTheme="majorHAnsi" w:hAnsiTheme="majorHAnsi"/>
        </w:rPr>
        <w:t xml:space="preserve">This request is for </w:t>
      </w:r>
      <w:r w:rsidR="00667C89" w:rsidRPr="00610C38">
        <w:rPr>
          <w:rFonts w:asciiTheme="majorHAnsi" w:hAnsiTheme="majorHAnsi"/>
        </w:rPr>
        <w:t xml:space="preserve">a </w:t>
      </w:r>
      <w:r w:rsidR="00BC5BB2" w:rsidRPr="00610C38">
        <w:rPr>
          <w:rFonts w:asciiTheme="majorHAnsi" w:hAnsiTheme="majorHAnsi"/>
        </w:rPr>
        <w:t>one time data collection.</w:t>
      </w:r>
      <w:r w:rsidR="0053557D" w:rsidRPr="00610C38">
        <w:rPr>
          <w:rFonts w:asciiTheme="majorHAnsi" w:hAnsiTheme="majorHAnsi"/>
        </w:rPr>
        <w:t xml:space="preserve">  </w:t>
      </w:r>
      <w:r w:rsidRPr="00610C38">
        <w:rPr>
          <w:rFonts w:asciiTheme="majorHAnsi" w:hAnsiTheme="majorHAnsi"/>
        </w:rPr>
        <w:t>There are no legal obstacles to reduce the burden.</w:t>
      </w:r>
    </w:p>
    <w:p w:rsidR="00BF11A1" w:rsidRPr="00C768E5" w:rsidRDefault="00BF11A1" w:rsidP="000807BB">
      <w:pPr>
        <w:spacing w:after="0"/>
        <w:rPr>
          <w:rFonts w:asciiTheme="majorHAnsi" w:hAnsiTheme="majorHAnsi"/>
        </w:rPr>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Special Circumstances</w:t>
      </w:r>
      <w:r w:rsidR="00145D62">
        <w:rPr>
          <w:rFonts w:asciiTheme="majorHAnsi" w:hAnsiTheme="majorHAnsi"/>
          <w:b/>
        </w:rPr>
        <w:t xml:space="preserve">  </w:t>
      </w:r>
    </w:p>
    <w:p w:rsidR="00F52BCC" w:rsidRDefault="00A809AA" w:rsidP="000807BB">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0807BB">
      <w:pPr>
        <w:pStyle w:val="ListParagraph"/>
        <w:spacing w:after="0"/>
        <w:rPr>
          <w:rFonts w:asciiTheme="majorHAnsi" w:hAnsiTheme="majorHAnsi"/>
        </w:rPr>
      </w:pPr>
    </w:p>
    <w:p w:rsidR="00B12F51" w:rsidRPr="00D26A64" w:rsidRDefault="00145D62" w:rsidP="000807BB">
      <w:pPr>
        <w:pStyle w:val="ListParagraph"/>
        <w:numPr>
          <w:ilvl w:val="0"/>
          <w:numId w:val="2"/>
        </w:numPr>
        <w:spacing w:after="0"/>
        <w:rPr>
          <w:rFonts w:asciiTheme="majorHAnsi" w:hAnsiTheme="majorHAnsi"/>
          <w:b/>
        </w:rPr>
      </w:pPr>
      <w:r>
        <w:rPr>
          <w:rFonts w:asciiTheme="majorHAnsi" w:hAnsiTheme="majorHAnsi"/>
          <w:b/>
        </w:rPr>
        <w:t>Consultation with Persons Outside the</w:t>
      </w:r>
      <w:r w:rsidR="00B12F51" w:rsidRPr="00D26A64">
        <w:rPr>
          <w:rFonts w:asciiTheme="majorHAnsi" w:hAnsiTheme="majorHAnsi"/>
          <w:b/>
        </w:rPr>
        <w:t xml:space="preserve"> Agency</w:t>
      </w:r>
    </w:p>
    <w:p w:rsidR="00A809AA" w:rsidRPr="00A809AA" w:rsidRDefault="00C768E5" w:rsidP="000807BB">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0807BB">
      <w:pPr>
        <w:pStyle w:val="ListParagraph"/>
        <w:autoSpaceDE w:val="0"/>
        <w:autoSpaceDN w:val="0"/>
        <w:adjustRightInd w:val="0"/>
        <w:ind w:right="720"/>
        <w:rPr>
          <w:rFonts w:asciiTheme="majorHAnsi" w:hAnsiTheme="majorHAnsi"/>
        </w:rPr>
      </w:pPr>
    </w:p>
    <w:p w:rsidR="00A809AA" w:rsidRPr="00A809AA" w:rsidRDefault="00A809AA" w:rsidP="000807BB">
      <w:pPr>
        <w:pStyle w:val="ListParagraph"/>
        <w:autoSpaceDE w:val="0"/>
        <w:autoSpaceDN w:val="0"/>
        <w:adjustRightInd w:val="0"/>
        <w:ind w:right="720"/>
        <w:rPr>
          <w:rFonts w:asciiTheme="majorHAnsi" w:hAnsiTheme="majorHAnsi"/>
        </w:rPr>
      </w:pPr>
      <w:r w:rsidRPr="00A809AA">
        <w:rPr>
          <w:rFonts w:asciiTheme="majorHAnsi" w:hAnsiTheme="majorHAnsi"/>
        </w:rPr>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0807BB">
      <w:pPr>
        <w:pStyle w:val="ListParagraph"/>
        <w:spacing w:after="0"/>
        <w:rPr>
          <w:rFonts w:asciiTheme="majorHAnsi" w:hAnsiTheme="majorHAnsi"/>
        </w:rPr>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 xml:space="preserve">Payment or Gift </w:t>
      </w:r>
    </w:p>
    <w:p w:rsidR="00F52BCC" w:rsidRDefault="00A809AA" w:rsidP="000807BB">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306E5C" w:rsidRPr="00FB6C5B" w:rsidRDefault="00306E5C" w:rsidP="00FB6C5B">
      <w:pPr>
        <w:spacing w:after="0"/>
        <w:rPr>
          <w:rFonts w:asciiTheme="majorHAnsi" w:hAnsiTheme="majorHAnsi"/>
        </w:rPr>
      </w:pPr>
    </w:p>
    <w:p w:rsidR="00B12F51" w:rsidRPr="00D16E78" w:rsidRDefault="00B12F51" w:rsidP="000807BB">
      <w:pPr>
        <w:pStyle w:val="ListParagraph"/>
        <w:numPr>
          <w:ilvl w:val="0"/>
          <w:numId w:val="2"/>
        </w:numPr>
        <w:spacing w:after="0"/>
        <w:rPr>
          <w:rFonts w:asciiTheme="majorHAnsi" w:hAnsiTheme="majorHAnsi"/>
          <w:b/>
        </w:rPr>
      </w:pPr>
      <w:r w:rsidRPr="00D16E78">
        <w:rPr>
          <w:rFonts w:asciiTheme="majorHAnsi" w:hAnsiTheme="majorHAnsi"/>
          <w:b/>
        </w:rPr>
        <w:t xml:space="preserve">Confidentiality </w:t>
      </w:r>
    </w:p>
    <w:p w:rsidR="003C31C9" w:rsidRPr="003C31C9" w:rsidRDefault="003C31C9" w:rsidP="000807BB">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0807BB">
      <w:pPr>
        <w:pStyle w:val="ListParagraph"/>
        <w:autoSpaceDE w:val="0"/>
        <w:autoSpaceDN w:val="0"/>
        <w:adjustRightInd w:val="0"/>
        <w:ind w:right="720"/>
        <w:rPr>
          <w:rFonts w:asciiTheme="majorHAnsi" w:hAnsiTheme="majorHAnsi"/>
        </w:rPr>
      </w:pPr>
    </w:p>
    <w:p w:rsidR="003C31C9" w:rsidRPr="003C31C9" w:rsidRDefault="003C31C9" w:rsidP="000807BB">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0807BB">
      <w:pPr>
        <w:pStyle w:val="ListParagraph"/>
        <w:spacing w:after="0"/>
        <w:rPr>
          <w:rFonts w:asciiTheme="majorHAnsi" w:hAnsiTheme="majorHAnsi"/>
        </w:rPr>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Sensitive</w:t>
      </w:r>
      <w:r w:rsidR="00616090">
        <w:rPr>
          <w:rFonts w:asciiTheme="majorHAnsi" w:hAnsiTheme="majorHAnsi"/>
          <w:b/>
        </w:rPr>
        <w:t xml:space="preserve"> Nature</w:t>
      </w:r>
      <w:r w:rsidRPr="00D26A64">
        <w:rPr>
          <w:rFonts w:asciiTheme="majorHAnsi" w:hAnsiTheme="majorHAnsi"/>
          <w:b/>
        </w:rPr>
        <w:t xml:space="preserve"> </w:t>
      </w:r>
    </w:p>
    <w:p w:rsidR="00F52BCC" w:rsidRDefault="003C31C9" w:rsidP="000807BB">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A807D0" w:rsidRDefault="00616090" w:rsidP="000807BB">
      <w:pPr>
        <w:spacing w:after="0"/>
        <w:rPr>
          <w:rFonts w:asciiTheme="majorHAnsi" w:hAnsiTheme="majorHAnsi"/>
        </w:rPr>
      </w:pPr>
    </w:p>
    <w:p w:rsidR="00B12F51" w:rsidRPr="007B305A" w:rsidRDefault="00616090" w:rsidP="000807BB">
      <w:pPr>
        <w:pStyle w:val="ListParagraph"/>
        <w:numPr>
          <w:ilvl w:val="0"/>
          <w:numId w:val="2"/>
        </w:numPr>
        <w:spacing w:after="0"/>
        <w:rPr>
          <w:rFonts w:asciiTheme="majorHAnsi" w:hAnsiTheme="majorHAnsi"/>
          <w:b/>
        </w:rPr>
      </w:pPr>
      <w:r>
        <w:rPr>
          <w:rFonts w:asciiTheme="majorHAnsi" w:hAnsiTheme="majorHAnsi"/>
          <w:b/>
        </w:rPr>
        <w:t>Burden of Information Collection</w:t>
      </w:r>
    </w:p>
    <w:p w:rsidR="00B64BFA" w:rsidRDefault="00B64BFA" w:rsidP="000807BB">
      <w:pPr>
        <w:pStyle w:val="ListParagraph"/>
        <w:autoSpaceDE w:val="0"/>
        <w:autoSpaceDN w:val="0"/>
        <w:adjustRightInd w:val="0"/>
        <w:ind w:left="0" w:right="720"/>
        <w:rPr>
          <w:rFonts w:asciiTheme="majorHAnsi" w:hAnsiTheme="majorHAnsi"/>
        </w:rPr>
      </w:pPr>
    </w:p>
    <w:p w:rsidR="00B64BFA" w:rsidRDefault="00B64BFA" w:rsidP="000807BB">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survey instrument by </w:t>
      </w:r>
      <w:r w:rsidR="00610C38">
        <w:rPr>
          <w:rFonts w:asciiTheme="majorHAnsi" w:hAnsiTheme="majorHAnsi"/>
        </w:rPr>
        <w:t>eight</w:t>
      </w:r>
      <w:r w:rsidR="005C0C3C">
        <w:rPr>
          <w:rFonts w:asciiTheme="majorHAnsi" w:hAnsiTheme="majorHAnsi"/>
        </w:rPr>
        <w:t xml:space="preserve"> individuals affiliated with national partners including ASTHO, NACCHO, Tribal liaison, and PIHOA</w:t>
      </w:r>
      <w:r w:rsidRPr="00CF5ABD">
        <w:rPr>
          <w:rFonts w:asciiTheme="majorHAnsi" w:hAnsiTheme="majorHAnsi"/>
        </w:rPr>
        <w:t>.</w:t>
      </w:r>
      <w:r w:rsidR="00306E5C">
        <w:rPr>
          <w:rFonts w:asciiTheme="majorHAnsi" w:hAnsiTheme="majorHAnsi"/>
        </w:rPr>
        <w:t xml:space="preserve"> </w:t>
      </w:r>
      <w:r>
        <w:rPr>
          <w:rFonts w:asciiTheme="majorHAnsi" w:hAnsiTheme="majorHAnsi"/>
        </w:rPr>
        <w:t xml:space="preserve">In the pilot test, the average time to complete the survey including time for reviewing instructions, gathering needed information and completing the survey, was </w:t>
      </w:r>
      <w:r w:rsidR="00F91D31">
        <w:rPr>
          <w:rFonts w:asciiTheme="majorHAnsi" w:hAnsiTheme="majorHAnsi"/>
        </w:rPr>
        <w:t>35</w:t>
      </w:r>
      <w:r w:rsidR="00C768E5">
        <w:rPr>
          <w:rFonts w:asciiTheme="majorHAnsi" w:hAnsiTheme="majorHAnsi"/>
        </w:rPr>
        <w:t xml:space="preserve"> </w:t>
      </w:r>
      <w:r>
        <w:rPr>
          <w:rFonts w:asciiTheme="majorHAnsi" w:hAnsiTheme="majorHAnsi"/>
        </w:rPr>
        <w:t>minutes. Based on these results, the estimated time range for actual respon</w:t>
      </w:r>
      <w:r w:rsidR="00556D38">
        <w:rPr>
          <w:rFonts w:asciiTheme="majorHAnsi" w:hAnsiTheme="majorHAnsi"/>
        </w:rPr>
        <w:t>d</w:t>
      </w:r>
      <w:r w:rsidR="00F91D31">
        <w:rPr>
          <w:rFonts w:asciiTheme="majorHAnsi" w:hAnsiTheme="majorHAnsi"/>
        </w:rPr>
        <w:t>ents to complete the survey is 25</w:t>
      </w:r>
      <w:r w:rsidR="00556D38">
        <w:rPr>
          <w:rFonts w:asciiTheme="majorHAnsi" w:hAnsiTheme="majorHAnsi"/>
        </w:rPr>
        <w:t>-4</w:t>
      </w:r>
      <w:r w:rsidR="00306E5C">
        <w:rPr>
          <w:rFonts w:asciiTheme="majorHAnsi" w:hAnsiTheme="majorHAnsi"/>
        </w:rPr>
        <w:t>5</w:t>
      </w:r>
      <w:r w:rsidR="00C768E5">
        <w:rPr>
          <w:rFonts w:asciiTheme="majorHAnsi" w:hAnsiTheme="majorHAnsi"/>
        </w:rPr>
        <w:t xml:space="preserve"> </w:t>
      </w:r>
      <w:r w:rsidR="00901CD5">
        <w:rPr>
          <w:rFonts w:asciiTheme="majorHAnsi" w:hAnsiTheme="majorHAnsi"/>
        </w:rPr>
        <w:t>(</w:t>
      </w:r>
      <w:r w:rsidR="00C768E5">
        <w:rPr>
          <w:rFonts w:asciiTheme="majorHAnsi" w:hAnsiTheme="majorHAnsi"/>
        </w:rPr>
        <w:t>range</w:t>
      </w:r>
      <w:r w:rsidR="00901CD5">
        <w:rPr>
          <w:rFonts w:asciiTheme="majorHAnsi" w:hAnsiTheme="majorHAnsi"/>
        </w:rPr>
        <w:t>)</w:t>
      </w:r>
      <w:r>
        <w:rPr>
          <w:rFonts w:asciiTheme="majorHAnsi" w:hAnsiTheme="majorHAnsi"/>
        </w:rPr>
        <w:t xml:space="preserve"> minutes.</w:t>
      </w:r>
      <w:r w:rsidR="00556D38">
        <w:rPr>
          <w:rFonts w:asciiTheme="majorHAnsi" w:hAnsiTheme="majorHAnsi"/>
        </w:rPr>
        <w:t xml:space="preserve"> </w:t>
      </w:r>
      <w:r w:rsidR="00621E31">
        <w:rPr>
          <w:rFonts w:asciiTheme="majorHAnsi" w:hAnsiTheme="majorHAnsi"/>
        </w:rPr>
        <w:t>R</w:t>
      </w:r>
      <w:r w:rsidR="00556D38">
        <w:rPr>
          <w:rFonts w:asciiTheme="majorHAnsi" w:hAnsiTheme="majorHAnsi"/>
        </w:rPr>
        <w:t xml:space="preserve">eviewers who represent our </w:t>
      </w:r>
      <w:r w:rsidR="005C0C3C">
        <w:rPr>
          <w:rFonts w:asciiTheme="majorHAnsi" w:hAnsiTheme="majorHAnsi"/>
        </w:rPr>
        <w:t>target population</w:t>
      </w:r>
      <w:r w:rsidR="00556D38">
        <w:rPr>
          <w:rFonts w:asciiTheme="majorHAnsi" w:hAnsiTheme="majorHAnsi"/>
        </w:rPr>
        <w:t xml:space="preserve"> felt the length of the data collection tool was reasonable given that the tool is required to </w:t>
      </w:r>
      <w:r w:rsidR="007A16B8">
        <w:rPr>
          <w:rFonts w:asciiTheme="majorHAnsi" w:hAnsiTheme="majorHAnsi"/>
        </w:rPr>
        <w:t xml:space="preserve">collect information in several areas </w:t>
      </w:r>
      <w:r w:rsidR="005C0C3C">
        <w:rPr>
          <w:rFonts w:asciiTheme="majorHAnsi" w:hAnsiTheme="majorHAnsi"/>
        </w:rPr>
        <w:t>related to the stakeholders’ interactions with CDC including clarity of Funding Opportunity Announcements, utility and burden of progress reporting, overall impressions of the technical assistance on multiple quality dimensions, and access to resources and information (covered in Part A</w:t>
      </w:r>
      <w:r w:rsidR="007A16B8">
        <w:rPr>
          <w:rFonts w:asciiTheme="majorHAnsi" w:hAnsiTheme="majorHAnsi"/>
        </w:rPr>
        <w:t xml:space="preserve"> of data collection tool</w:t>
      </w:r>
      <w:r w:rsidR="005C0C3C">
        <w:rPr>
          <w:rFonts w:asciiTheme="majorHAnsi" w:hAnsiTheme="majorHAnsi"/>
        </w:rPr>
        <w:t xml:space="preserve">), as well as an and assessment of the technical assistance needs and </w:t>
      </w:r>
      <w:r w:rsidR="00556D38">
        <w:rPr>
          <w:rFonts w:asciiTheme="majorHAnsi" w:hAnsiTheme="majorHAnsi"/>
        </w:rPr>
        <w:t>satisfaction with ongoing technical assistance provided by project officers</w:t>
      </w:r>
      <w:r w:rsidR="005C0C3C">
        <w:rPr>
          <w:rFonts w:asciiTheme="majorHAnsi" w:hAnsiTheme="majorHAnsi"/>
        </w:rPr>
        <w:t xml:space="preserve"> (covered in Part B</w:t>
      </w:r>
      <w:r w:rsidR="007A16B8">
        <w:rPr>
          <w:rFonts w:asciiTheme="majorHAnsi" w:hAnsiTheme="majorHAnsi"/>
        </w:rPr>
        <w:t xml:space="preserve"> of data collection tool</w:t>
      </w:r>
      <w:r w:rsidR="005C0C3C">
        <w:rPr>
          <w:rFonts w:asciiTheme="majorHAnsi" w:hAnsiTheme="majorHAnsi"/>
        </w:rPr>
        <w:t>)</w:t>
      </w:r>
      <w:r w:rsidR="00556D38">
        <w:rPr>
          <w:rFonts w:asciiTheme="majorHAnsi" w:hAnsiTheme="majorHAnsi"/>
        </w:rPr>
        <w:t>.</w:t>
      </w:r>
    </w:p>
    <w:p w:rsidR="00B64BFA" w:rsidRDefault="00B64BFA" w:rsidP="000807BB">
      <w:pPr>
        <w:pStyle w:val="ListParagraph"/>
        <w:autoSpaceDE w:val="0"/>
        <w:autoSpaceDN w:val="0"/>
        <w:adjustRightInd w:val="0"/>
        <w:rPr>
          <w:rFonts w:asciiTheme="majorHAnsi" w:hAnsiTheme="majorHAnsi"/>
          <w:color w:val="000000"/>
        </w:rPr>
      </w:pPr>
    </w:p>
    <w:p w:rsidR="00A11092" w:rsidRPr="00D83C73" w:rsidRDefault="00A11092" w:rsidP="00A11092">
      <w:pPr>
        <w:autoSpaceDE w:val="0"/>
        <w:autoSpaceDN w:val="0"/>
        <w:adjustRightInd w:val="0"/>
        <w:rPr>
          <w:rFonts w:asciiTheme="majorHAnsi" w:hAnsiTheme="majorHAnsi"/>
          <w:color w:val="000000"/>
        </w:rPr>
      </w:pPr>
      <w:r w:rsidRPr="00D83C73">
        <w:rPr>
          <w:rFonts w:asciiTheme="majorHAnsi" w:hAnsiTheme="majorHAnsi"/>
          <w:color w:val="000000"/>
        </w:rPr>
        <w:t>Estimates for the average hourly wage for respondents are based on the Department of Labor (DOL) National Compensation Survey estimate for management occupations – medical and health services managers in state government (</w:t>
      </w:r>
      <w:hyperlink r:id="rId9" w:history="1">
        <w:r w:rsidRPr="00D83C73">
          <w:rPr>
            <w:rStyle w:val="Hyperlink"/>
            <w:rFonts w:asciiTheme="majorHAnsi" w:hAnsiTheme="majorHAnsi"/>
          </w:rPr>
          <w:t>http://www.bls.gov/ncs/ocs/sp/nctb1349.pdf</w:t>
        </w:r>
      </w:hyperlink>
      <w:r w:rsidRPr="00D83C73">
        <w:rPr>
          <w:rFonts w:asciiTheme="majorHAnsi" w:hAnsiTheme="majorHAnsi"/>
          <w:color w:val="000000"/>
        </w:rPr>
        <w:t xml:space="preserve">). Based on DOL data, an average hourly wage </w:t>
      </w:r>
      <w:r w:rsidRPr="00A11092">
        <w:rPr>
          <w:rFonts w:asciiTheme="majorHAnsi" w:hAnsiTheme="majorHAnsi"/>
          <w:color w:val="000000"/>
        </w:rPr>
        <w:t xml:space="preserve">of </w:t>
      </w:r>
      <w:r w:rsidRPr="00A11092">
        <w:rPr>
          <w:rFonts w:asciiTheme="majorHAnsi" w:hAnsiTheme="majorHAnsi"/>
          <w:color w:val="000000"/>
          <w:u w:val="single"/>
        </w:rPr>
        <w:t xml:space="preserve">$47.49 </w:t>
      </w:r>
      <w:r w:rsidRPr="00A11092">
        <w:rPr>
          <w:rFonts w:asciiTheme="majorHAnsi" w:hAnsiTheme="majorHAnsi"/>
          <w:color w:val="000000"/>
        </w:rPr>
        <w:t xml:space="preserve">is estimated for all </w:t>
      </w:r>
      <w:r w:rsidRPr="00A11092">
        <w:rPr>
          <w:rFonts w:asciiTheme="majorHAnsi" w:hAnsiTheme="majorHAnsi"/>
          <w:color w:val="000000"/>
          <w:u w:val="single"/>
        </w:rPr>
        <w:t>2</w:t>
      </w:r>
      <w:r>
        <w:rPr>
          <w:rFonts w:asciiTheme="majorHAnsi" w:hAnsiTheme="majorHAnsi"/>
          <w:color w:val="000000"/>
          <w:u w:val="single"/>
        </w:rPr>
        <w:t>,</w:t>
      </w:r>
      <w:r w:rsidRPr="00A11092">
        <w:rPr>
          <w:rFonts w:asciiTheme="majorHAnsi" w:hAnsiTheme="majorHAnsi"/>
          <w:color w:val="000000"/>
          <w:u w:val="single"/>
        </w:rPr>
        <w:t xml:space="preserve">541 </w:t>
      </w:r>
      <w:r w:rsidRPr="00A11092">
        <w:rPr>
          <w:rFonts w:asciiTheme="majorHAnsi" w:hAnsiTheme="majorHAnsi"/>
          <w:color w:val="000000"/>
        </w:rPr>
        <w:t>respondents</w:t>
      </w:r>
      <w:r w:rsidRPr="00D83C73">
        <w:rPr>
          <w:rFonts w:asciiTheme="majorHAnsi" w:hAnsiTheme="majorHAnsi"/>
          <w:color w:val="000000"/>
        </w:rPr>
        <w:t>. Table A-12 shows estimated burden and cost information.</w:t>
      </w:r>
    </w:p>
    <w:p w:rsidR="005A59E5" w:rsidRPr="002A1948" w:rsidRDefault="005A59E5" w:rsidP="000807BB">
      <w:pPr>
        <w:pStyle w:val="ListParagraph"/>
        <w:autoSpaceDE w:val="0"/>
        <w:autoSpaceDN w:val="0"/>
        <w:adjustRightInd w:val="0"/>
        <w:rPr>
          <w:rFonts w:asciiTheme="majorHAnsi" w:hAnsiTheme="majorHAnsi"/>
          <w:color w:val="000000"/>
        </w:rPr>
      </w:pPr>
    </w:p>
    <w:p w:rsidR="005A59E5" w:rsidRDefault="005A59E5" w:rsidP="000807BB">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xml:space="preserve">– </w:t>
      </w:r>
      <w:r w:rsidR="00901CD5">
        <w:rPr>
          <w:rFonts w:asciiTheme="majorHAnsi" w:hAnsiTheme="majorHAnsi"/>
        </w:rPr>
        <w:t>STLT Technical Needs Assessment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0807BB">
            <w:pP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0807BB">
            <w:pP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0807BB">
            <w:pP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0807BB">
            <w:pP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0807BB">
            <w:pP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807BB">
            <w:pP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807BB">
            <w:pPr>
              <w:rPr>
                <w:rFonts w:asciiTheme="majorHAnsi" w:hAnsiTheme="majorHAnsi"/>
                <w:b/>
                <w:sz w:val="20"/>
              </w:rPr>
            </w:pPr>
            <w:r w:rsidRPr="00817941">
              <w:rPr>
                <w:rFonts w:asciiTheme="majorHAnsi" w:hAnsiTheme="majorHAnsi"/>
                <w:b/>
                <w:sz w:val="20"/>
              </w:rPr>
              <w:t>Total Respondent Costs</w:t>
            </w:r>
          </w:p>
        </w:tc>
      </w:tr>
      <w:tr w:rsidR="00186C6D" w:rsidRPr="006F6856" w:rsidTr="00C0376C">
        <w:tc>
          <w:tcPr>
            <w:tcW w:w="1620" w:type="dxa"/>
            <w:tcBorders>
              <w:top w:val="single" w:sz="12" w:space="0" w:color="000000"/>
            </w:tcBorders>
            <w:vAlign w:val="center"/>
          </w:tcPr>
          <w:p w:rsidR="00186C6D" w:rsidRPr="006F6856" w:rsidRDefault="00186C6D" w:rsidP="000807BB">
            <w:pPr>
              <w:rPr>
                <w:rFonts w:asciiTheme="majorHAnsi" w:hAnsiTheme="majorHAnsi"/>
                <w:sz w:val="20"/>
              </w:rPr>
            </w:pPr>
            <w:r>
              <w:rPr>
                <w:rFonts w:asciiTheme="majorHAnsi" w:hAnsiTheme="majorHAnsi"/>
                <w:sz w:val="20"/>
              </w:rPr>
              <w:t>Primary Investigator / Primary Point of Contact</w:t>
            </w:r>
          </w:p>
        </w:tc>
        <w:tc>
          <w:tcPr>
            <w:tcW w:w="1440" w:type="dxa"/>
            <w:tcBorders>
              <w:top w:val="single" w:sz="12" w:space="0" w:color="000000"/>
            </w:tcBorders>
            <w:vAlign w:val="center"/>
          </w:tcPr>
          <w:p w:rsidR="00186C6D" w:rsidRPr="00610C38" w:rsidRDefault="00186C6D" w:rsidP="00186C6D">
            <w:pPr>
              <w:rPr>
                <w:rFonts w:asciiTheme="majorHAnsi" w:hAnsiTheme="majorHAnsi"/>
                <w:b/>
                <w:sz w:val="20"/>
              </w:rPr>
            </w:pPr>
            <w:r>
              <w:rPr>
                <w:rFonts w:asciiTheme="majorHAnsi" w:hAnsiTheme="majorHAnsi"/>
                <w:b/>
                <w:sz w:val="20"/>
              </w:rPr>
              <w:t>2,541</w:t>
            </w:r>
          </w:p>
        </w:tc>
        <w:tc>
          <w:tcPr>
            <w:tcW w:w="1800" w:type="dxa"/>
            <w:tcBorders>
              <w:top w:val="single" w:sz="12" w:space="0" w:color="000000"/>
            </w:tcBorders>
            <w:vAlign w:val="center"/>
          </w:tcPr>
          <w:p w:rsidR="00186C6D" w:rsidRPr="006F6856" w:rsidRDefault="00186C6D" w:rsidP="00186C6D">
            <w:pP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186C6D" w:rsidRPr="00817941" w:rsidRDefault="00F91D31" w:rsidP="00873F91">
            <w:pPr>
              <w:rPr>
                <w:rFonts w:asciiTheme="majorHAnsi" w:hAnsiTheme="majorHAnsi"/>
                <w:sz w:val="20"/>
              </w:rPr>
            </w:pPr>
            <w:r>
              <w:rPr>
                <w:rFonts w:asciiTheme="majorHAnsi" w:hAnsiTheme="majorHAnsi"/>
                <w:sz w:val="20"/>
              </w:rPr>
              <w:t>35</w:t>
            </w:r>
            <w:r w:rsidR="00186C6D">
              <w:rPr>
                <w:rFonts w:asciiTheme="majorHAnsi" w:hAnsiTheme="majorHAnsi"/>
                <w:sz w:val="20"/>
              </w:rPr>
              <w:t>/</w:t>
            </w:r>
            <w:r w:rsidR="00186C6D" w:rsidRPr="00817941">
              <w:rPr>
                <w:rFonts w:asciiTheme="majorHAnsi" w:hAnsiTheme="majorHAnsi"/>
                <w:sz w:val="20"/>
              </w:rPr>
              <w:t>60</w:t>
            </w:r>
            <w:r w:rsidR="00186C6D">
              <w:rPr>
                <w:rFonts w:asciiTheme="majorHAnsi" w:hAnsiTheme="majorHAnsi"/>
                <w:sz w:val="20"/>
              </w:rPr>
              <w:t xml:space="preserve"> </w:t>
            </w:r>
          </w:p>
        </w:tc>
        <w:tc>
          <w:tcPr>
            <w:tcW w:w="1080" w:type="dxa"/>
            <w:tcBorders>
              <w:top w:val="single" w:sz="12" w:space="0" w:color="000000"/>
            </w:tcBorders>
            <w:vAlign w:val="center"/>
          </w:tcPr>
          <w:p w:rsidR="00186C6D" w:rsidRPr="00817941" w:rsidRDefault="00F91D31" w:rsidP="008A320B">
            <w:pPr>
              <w:rPr>
                <w:rFonts w:asciiTheme="majorHAnsi" w:hAnsiTheme="majorHAnsi"/>
                <w:sz w:val="20"/>
              </w:rPr>
            </w:pPr>
            <w:r>
              <w:rPr>
                <w:rFonts w:asciiTheme="majorHAnsi" w:hAnsiTheme="majorHAnsi"/>
                <w:sz w:val="20"/>
              </w:rPr>
              <w:t>1,</w:t>
            </w:r>
            <w:r w:rsidR="008A320B">
              <w:rPr>
                <w:rFonts w:asciiTheme="majorHAnsi" w:hAnsiTheme="majorHAnsi"/>
                <w:sz w:val="20"/>
              </w:rPr>
              <w:t>482</w:t>
            </w:r>
          </w:p>
        </w:tc>
        <w:tc>
          <w:tcPr>
            <w:tcW w:w="990" w:type="dxa"/>
            <w:tcBorders>
              <w:top w:val="single" w:sz="12" w:space="0" w:color="000000"/>
            </w:tcBorders>
            <w:vAlign w:val="center"/>
          </w:tcPr>
          <w:p w:rsidR="00186C6D" w:rsidRPr="00817941" w:rsidRDefault="00186C6D" w:rsidP="00186C6D">
            <w:pPr>
              <w:rPr>
                <w:rFonts w:asciiTheme="majorHAnsi" w:hAnsiTheme="majorHAnsi"/>
                <w:sz w:val="20"/>
              </w:rPr>
            </w:pPr>
            <w:r>
              <w:rPr>
                <w:rFonts w:asciiTheme="majorHAnsi" w:hAnsiTheme="majorHAnsi"/>
                <w:sz w:val="20"/>
              </w:rPr>
              <w:t>$ 47.49</w:t>
            </w:r>
          </w:p>
        </w:tc>
        <w:tc>
          <w:tcPr>
            <w:tcW w:w="1368" w:type="dxa"/>
            <w:tcBorders>
              <w:top w:val="single" w:sz="12" w:space="0" w:color="000000"/>
            </w:tcBorders>
            <w:vAlign w:val="center"/>
          </w:tcPr>
          <w:p w:rsidR="00186C6D" w:rsidRPr="00817941" w:rsidRDefault="00186C6D" w:rsidP="00186C6D">
            <w:pPr>
              <w:rPr>
                <w:rFonts w:asciiTheme="majorHAnsi" w:hAnsiTheme="majorHAnsi"/>
                <w:sz w:val="20"/>
              </w:rPr>
            </w:pPr>
            <w:r>
              <w:rPr>
                <w:rFonts w:asciiTheme="majorHAnsi" w:hAnsiTheme="majorHAnsi"/>
                <w:sz w:val="20"/>
              </w:rPr>
              <w:t>$ 90,504.07</w:t>
            </w:r>
          </w:p>
        </w:tc>
      </w:tr>
      <w:tr w:rsidR="00C0376C" w:rsidRPr="006F6856" w:rsidTr="00C0376C">
        <w:trPr>
          <w:trHeight w:hRule="exact" w:val="432"/>
        </w:trPr>
        <w:tc>
          <w:tcPr>
            <w:tcW w:w="1620" w:type="dxa"/>
            <w:vAlign w:val="center"/>
          </w:tcPr>
          <w:p w:rsidR="00C0376C" w:rsidRPr="00C0376C" w:rsidRDefault="00C0376C" w:rsidP="000807BB">
            <w:pPr>
              <w:spacing w:after="0"/>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CA5B99" w:rsidP="000807BB">
            <w:pPr>
              <w:spacing w:after="0"/>
              <w:rPr>
                <w:rFonts w:asciiTheme="majorHAnsi" w:hAnsiTheme="majorHAnsi"/>
                <w:b/>
                <w:sz w:val="20"/>
              </w:rPr>
            </w:pPr>
            <w:r>
              <w:rPr>
                <w:rFonts w:asciiTheme="majorHAnsi" w:hAnsiTheme="majorHAnsi"/>
                <w:b/>
                <w:sz w:val="20"/>
              </w:rPr>
              <w:t xml:space="preserve"> </w:t>
            </w:r>
            <w:r w:rsidR="00873F91">
              <w:rPr>
                <w:rFonts w:asciiTheme="majorHAnsi" w:hAnsiTheme="majorHAnsi"/>
                <w:b/>
                <w:sz w:val="20"/>
              </w:rPr>
              <w:t>2,541</w:t>
            </w:r>
          </w:p>
        </w:tc>
        <w:tc>
          <w:tcPr>
            <w:tcW w:w="1800" w:type="dxa"/>
            <w:shd w:val="clear" w:color="auto" w:fill="auto"/>
            <w:vAlign w:val="center"/>
          </w:tcPr>
          <w:p w:rsidR="00C0376C" w:rsidRPr="00817941" w:rsidRDefault="00873F91" w:rsidP="000807BB">
            <w:pPr>
              <w:spacing w:after="0"/>
              <w:rPr>
                <w:rFonts w:asciiTheme="majorHAnsi" w:hAnsiTheme="majorHAnsi"/>
                <w:b/>
                <w:sz w:val="20"/>
              </w:rPr>
            </w:pPr>
            <w:r>
              <w:rPr>
                <w:rFonts w:asciiTheme="majorHAnsi" w:hAnsiTheme="majorHAnsi"/>
                <w:b/>
                <w:sz w:val="20"/>
              </w:rPr>
              <w:t>1</w:t>
            </w:r>
            <w:r w:rsidR="00CA5B99">
              <w:rPr>
                <w:rFonts w:asciiTheme="majorHAnsi" w:hAnsiTheme="majorHAnsi"/>
                <w:b/>
                <w:sz w:val="20"/>
              </w:rPr>
              <w:t xml:space="preserve"> </w:t>
            </w:r>
          </w:p>
        </w:tc>
        <w:tc>
          <w:tcPr>
            <w:tcW w:w="1260" w:type="dxa"/>
            <w:shd w:val="clear" w:color="auto" w:fill="D9D9D9" w:themeFill="background1" w:themeFillShade="D9"/>
            <w:vAlign w:val="center"/>
          </w:tcPr>
          <w:p w:rsidR="00C0376C" w:rsidRPr="00817941" w:rsidRDefault="00C0376C" w:rsidP="000807BB">
            <w:pPr>
              <w:spacing w:after="0"/>
              <w:rPr>
                <w:rFonts w:asciiTheme="majorHAnsi" w:hAnsiTheme="majorHAnsi"/>
                <w:b/>
                <w:sz w:val="20"/>
              </w:rPr>
            </w:pPr>
          </w:p>
        </w:tc>
        <w:tc>
          <w:tcPr>
            <w:tcW w:w="1080" w:type="dxa"/>
            <w:vAlign w:val="center"/>
          </w:tcPr>
          <w:p w:rsidR="00C0376C" w:rsidRPr="00817941" w:rsidRDefault="00F91D31" w:rsidP="008A320B">
            <w:pPr>
              <w:spacing w:after="0"/>
              <w:rPr>
                <w:rFonts w:asciiTheme="majorHAnsi" w:hAnsiTheme="majorHAnsi"/>
                <w:b/>
                <w:sz w:val="20"/>
              </w:rPr>
            </w:pPr>
            <w:r>
              <w:rPr>
                <w:rFonts w:asciiTheme="majorHAnsi" w:hAnsiTheme="majorHAnsi"/>
                <w:b/>
                <w:sz w:val="20"/>
              </w:rPr>
              <w:t>1,</w:t>
            </w:r>
            <w:r w:rsidR="008A320B">
              <w:rPr>
                <w:rFonts w:asciiTheme="majorHAnsi" w:hAnsiTheme="majorHAnsi"/>
                <w:b/>
                <w:sz w:val="20"/>
              </w:rPr>
              <w:t>482</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0807BB">
            <w:pPr>
              <w:spacing w:after="0"/>
              <w:rPr>
                <w:rFonts w:asciiTheme="majorHAnsi" w:hAnsiTheme="majorHAnsi"/>
                <w:b/>
                <w:sz w:val="20"/>
              </w:rPr>
            </w:pPr>
          </w:p>
        </w:tc>
        <w:tc>
          <w:tcPr>
            <w:tcW w:w="1368" w:type="dxa"/>
            <w:vAlign w:val="center"/>
          </w:tcPr>
          <w:p w:rsidR="00C0376C" w:rsidRPr="00817941" w:rsidRDefault="00873F91" w:rsidP="00F91D31">
            <w:pPr>
              <w:spacing w:after="0"/>
              <w:rPr>
                <w:rFonts w:asciiTheme="majorHAnsi" w:hAnsiTheme="majorHAnsi"/>
                <w:b/>
                <w:sz w:val="20"/>
              </w:rPr>
            </w:pPr>
            <w:r>
              <w:rPr>
                <w:rFonts w:asciiTheme="majorHAnsi" w:hAnsiTheme="majorHAnsi"/>
                <w:b/>
                <w:sz w:val="20"/>
              </w:rPr>
              <w:t>$</w:t>
            </w:r>
            <w:bookmarkStart w:id="0" w:name="_GoBack"/>
            <w:bookmarkEnd w:id="0"/>
            <w:r w:rsidR="000F3A54">
              <w:rPr>
                <w:rFonts w:asciiTheme="majorHAnsi" w:hAnsiTheme="majorHAnsi"/>
                <w:b/>
                <w:sz w:val="20"/>
              </w:rPr>
              <w:t>70,392</w:t>
            </w:r>
            <w:r w:rsidR="00F91D31">
              <w:rPr>
                <w:rFonts w:asciiTheme="majorHAnsi" w:hAnsiTheme="majorHAnsi"/>
                <w:b/>
                <w:sz w:val="20"/>
              </w:rPr>
              <w:t>.25</w:t>
            </w:r>
          </w:p>
        </w:tc>
      </w:tr>
    </w:tbl>
    <w:p w:rsidR="003C31C9" w:rsidRDefault="003C31C9" w:rsidP="000807BB">
      <w:pPr>
        <w:pStyle w:val="Default"/>
        <w:ind w:left="720"/>
        <w:rPr>
          <w:rFonts w:asciiTheme="majorHAnsi" w:hAnsiTheme="majorHAnsi" w:cs="Times New Roman"/>
          <w:sz w:val="22"/>
          <w:szCs w:val="22"/>
        </w:rPr>
      </w:pPr>
    </w:p>
    <w:p w:rsidR="002F1502" w:rsidRDefault="002F1502" w:rsidP="000807BB">
      <w:pPr>
        <w:pStyle w:val="ListParagraph"/>
        <w:autoSpaceDE w:val="0"/>
        <w:autoSpaceDN w:val="0"/>
        <w:adjustRightInd w:val="0"/>
        <w:ind w:right="720"/>
        <w:rPr>
          <w:rFonts w:asciiTheme="majorHAnsi" w:hAnsiTheme="majorHAnsi"/>
          <w:u w:val="single"/>
        </w:rPr>
      </w:pPr>
    </w:p>
    <w:p w:rsidR="00B12F51" w:rsidRPr="003C31C9" w:rsidRDefault="00B12F51" w:rsidP="000807BB">
      <w:pPr>
        <w:pStyle w:val="ListParagraph"/>
        <w:numPr>
          <w:ilvl w:val="0"/>
          <w:numId w:val="2"/>
        </w:numPr>
        <w:spacing w:after="0"/>
        <w:rPr>
          <w:rFonts w:asciiTheme="majorHAnsi" w:hAnsiTheme="majorHAnsi"/>
          <w:b/>
        </w:rPr>
      </w:pPr>
      <w:r w:rsidRPr="003C31C9">
        <w:rPr>
          <w:rFonts w:asciiTheme="majorHAnsi" w:hAnsiTheme="majorHAnsi"/>
          <w:b/>
        </w:rPr>
        <w:t>Cost</w:t>
      </w:r>
      <w:r w:rsidR="00616090">
        <w:rPr>
          <w:rFonts w:asciiTheme="majorHAnsi" w:hAnsiTheme="majorHAnsi"/>
          <w:b/>
        </w:rPr>
        <w:t>s</w:t>
      </w:r>
      <w:r w:rsidRPr="003C31C9">
        <w:rPr>
          <w:rFonts w:asciiTheme="majorHAnsi" w:hAnsiTheme="majorHAnsi"/>
          <w:b/>
        </w:rPr>
        <w:t xml:space="preserve"> to Respondents </w:t>
      </w:r>
    </w:p>
    <w:p w:rsidR="003C31C9" w:rsidRDefault="003C31C9" w:rsidP="000807BB">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Pr="00911486" w:rsidRDefault="00911486" w:rsidP="000807BB">
      <w:pPr>
        <w:pStyle w:val="Default"/>
        <w:ind w:left="720"/>
      </w:pPr>
    </w:p>
    <w:p w:rsidR="00B12F51" w:rsidRPr="005F3FEF" w:rsidRDefault="00B12F51" w:rsidP="000807BB">
      <w:pPr>
        <w:pStyle w:val="ListParagraph"/>
        <w:numPr>
          <w:ilvl w:val="0"/>
          <w:numId w:val="2"/>
        </w:numPr>
        <w:spacing w:after="0"/>
        <w:rPr>
          <w:rFonts w:asciiTheme="majorHAnsi" w:hAnsiTheme="majorHAnsi"/>
          <w:b/>
        </w:rPr>
      </w:pPr>
      <w:r w:rsidRPr="005F3FEF">
        <w:rPr>
          <w:rFonts w:asciiTheme="majorHAnsi" w:hAnsiTheme="majorHAnsi"/>
          <w:b/>
        </w:rPr>
        <w:t>Cost to Federal Government</w:t>
      </w:r>
    </w:p>
    <w:p w:rsidR="008E0683" w:rsidRPr="008E0683" w:rsidRDefault="003C31C9" w:rsidP="000807BB">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8E0683" w:rsidRPr="008E0683" w:rsidRDefault="008E0683" w:rsidP="000807BB">
      <w:pPr>
        <w:pStyle w:val="ListParagraph"/>
        <w:autoSpaceDE w:val="0"/>
        <w:autoSpaceDN w:val="0"/>
        <w:adjustRightInd w:val="0"/>
        <w:ind w:right="720"/>
        <w:rPr>
          <w:rFonts w:asciiTheme="majorHAnsi" w:hAnsiTheme="majorHAnsi"/>
        </w:rPr>
      </w:pPr>
    </w:p>
    <w:p w:rsidR="003C31C9" w:rsidRDefault="008E0683" w:rsidP="000807BB">
      <w:pPr>
        <w:rPr>
          <w:rFonts w:asciiTheme="majorHAnsi" w:hAnsiTheme="majorHAnsi"/>
        </w:rPr>
      </w:pPr>
      <w:r w:rsidRPr="00241B17">
        <w:rPr>
          <w:rFonts w:asciiTheme="majorHAnsi" w:hAnsiTheme="majorHAnsi"/>
          <w:b/>
          <w:u w:val="single"/>
        </w:rPr>
        <w:t>Table A-14</w:t>
      </w:r>
      <w:r w:rsidRPr="00241B17">
        <w:rPr>
          <w:rFonts w:asciiTheme="majorHAnsi" w:hAnsiTheme="majorHAnsi"/>
          <w:b/>
        </w:rPr>
        <w:t>:</w:t>
      </w:r>
      <w:r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58547C" w:rsidRPr="004841F1" w:rsidTr="0058547C">
        <w:trPr>
          <w:trHeight w:val="593"/>
        </w:trPr>
        <w:tc>
          <w:tcPr>
            <w:tcW w:w="4518" w:type="dxa"/>
            <w:tcBorders>
              <w:bottom w:val="single" w:sz="12" w:space="0" w:color="auto"/>
            </w:tcBorders>
            <w:shd w:val="clear" w:color="auto" w:fill="D9D9D9" w:themeFill="background1" w:themeFillShade="D9"/>
            <w:vAlign w:val="center"/>
          </w:tcPr>
          <w:p w:rsidR="0058547C" w:rsidRPr="004841F1" w:rsidRDefault="0058547C" w:rsidP="0058547C">
            <w:pPr>
              <w:rPr>
                <w:rFonts w:asciiTheme="majorHAnsi" w:hAnsiTheme="majorHAnsi"/>
                <w:b/>
                <w:sz w:val="20"/>
              </w:rPr>
            </w:pPr>
            <w:r w:rsidRPr="004841F1">
              <w:rPr>
                <w:rFonts w:asciiTheme="majorHAnsi" w:hAnsiTheme="majorHAnsi"/>
                <w:b/>
                <w:sz w:val="20"/>
              </w:rPr>
              <w:t>Staff (FTE)</w:t>
            </w:r>
            <w:r>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58547C" w:rsidRPr="004841F1" w:rsidRDefault="0058547C" w:rsidP="0058547C">
            <w:pP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58547C" w:rsidRPr="004841F1" w:rsidRDefault="0058547C" w:rsidP="0058547C">
            <w:pP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58547C" w:rsidRPr="004841F1" w:rsidRDefault="0058547C" w:rsidP="0058547C">
            <w:pPr>
              <w:rPr>
                <w:rFonts w:asciiTheme="majorHAnsi" w:hAnsiTheme="majorHAnsi"/>
                <w:b/>
                <w:sz w:val="20"/>
              </w:rPr>
            </w:pPr>
            <w:r>
              <w:rPr>
                <w:rFonts w:asciiTheme="majorHAnsi" w:hAnsiTheme="majorHAnsi"/>
                <w:b/>
                <w:sz w:val="20"/>
              </w:rPr>
              <w:t>Average Cost</w:t>
            </w:r>
          </w:p>
        </w:tc>
      </w:tr>
      <w:tr w:rsidR="0058547C" w:rsidRPr="004841F1" w:rsidTr="0058547C">
        <w:tc>
          <w:tcPr>
            <w:tcW w:w="4518" w:type="dxa"/>
            <w:tcBorders>
              <w:top w:val="single" w:sz="12" w:space="0" w:color="auto"/>
            </w:tcBorders>
          </w:tcPr>
          <w:p w:rsidR="0058547C" w:rsidRPr="00D171B2" w:rsidRDefault="0058547C" w:rsidP="0058547C">
            <w:pPr>
              <w:rPr>
                <w:rFonts w:asciiTheme="majorHAnsi" w:hAnsiTheme="majorHAnsi"/>
                <w:b/>
                <w:sz w:val="20"/>
              </w:rPr>
            </w:pPr>
            <w:r w:rsidRPr="00D171B2">
              <w:rPr>
                <w:rFonts w:asciiTheme="majorHAnsi" w:hAnsiTheme="majorHAnsi"/>
                <w:b/>
                <w:sz w:val="20"/>
              </w:rPr>
              <w:t>Health Scientist (GS-</w:t>
            </w:r>
            <w:r>
              <w:rPr>
                <w:rFonts w:asciiTheme="majorHAnsi" w:hAnsiTheme="majorHAnsi"/>
                <w:b/>
                <w:sz w:val="20"/>
              </w:rPr>
              <w:t>14</w:t>
            </w:r>
            <w:r w:rsidRPr="00D171B2">
              <w:rPr>
                <w:rFonts w:asciiTheme="majorHAnsi" w:hAnsiTheme="majorHAnsi"/>
                <w:b/>
                <w:sz w:val="20"/>
              </w:rPr>
              <w:t>)</w:t>
            </w:r>
          </w:p>
          <w:p w:rsidR="0058547C" w:rsidRPr="004841F1" w:rsidRDefault="0058547C" w:rsidP="0058547C">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and report preparation</w:t>
            </w:r>
          </w:p>
        </w:tc>
        <w:tc>
          <w:tcPr>
            <w:tcW w:w="1980" w:type="dxa"/>
            <w:tcBorders>
              <w:top w:val="single" w:sz="12" w:space="0" w:color="auto"/>
            </w:tcBorders>
          </w:tcPr>
          <w:p w:rsidR="0058547C" w:rsidRPr="004841F1" w:rsidRDefault="0058547C" w:rsidP="0058547C">
            <w:pPr>
              <w:jc w:val="center"/>
              <w:rPr>
                <w:rFonts w:asciiTheme="majorHAnsi" w:hAnsiTheme="majorHAnsi"/>
                <w:sz w:val="20"/>
              </w:rPr>
            </w:pPr>
            <w:r>
              <w:rPr>
                <w:rFonts w:asciiTheme="majorHAnsi" w:hAnsiTheme="majorHAnsi"/>
                <w:sz w:val="20"/>
              </w:rPr>
              <w:t>300</w:t>
            </w:r>
          </w:p>
        </w:tc>
        <w:tc>
          <w:tcPr>
            <w:tcW w:w="1620" w:type="dxa"/>
            <w:tcBorders>
              <w:top w:val="single" w:sz="12" w:space="0" w:color="auto"/>
            </w:tcBorders>
          </w:tcPr>
          <w:p w:rsidR="0058547C" w:rsidRPr="004841F1" w:rsidRDefault="0058547C" w:rsidP="0058547C">
            <w:pPr>
              <w:jc w:val="center"/>
              <w:rPr>
                <w:rFonts w:asciiTheme="majorHAnsi" w:hAnsiTheme="majorHAnsi"/>
                <w:sz w:val="20"/>
              </w:rPr>
            </w:pPr>
            <w:r>
              <w:rPr>
                <w:rFonts w:asciiTheme="majorHAnsi" w:hAnsiTheme="majorHAnsi"/>
                <w:sz w:val="20"/>
              </w:rPr>
              <w:t>$51.64</w:t>
            </w:r>
          </w:p>
        </w:tc>
        <w:tc>
          <w:tcPr>
            <w:tcW w:w="1458" w:type="dxa"/>
            <w:tcBorders>
              <w:top w:val="single" w:sz="12" w:space="0" w:color="auto"/>
            </w:tcBorders>
          </w:tcPr>
          <w:p w:rsidR="0058547C" w:rsidRPr="004841F1" w:rsidRDefault="0058547C" w:rsidP="0058547C">
            <w:pPr>
              <w:jc w:val="center"/>
              <w:rPr>
                <w:rFonts w:asciiTheme="majorHAnsi" w:hAnsiTheme="majorHAnsi"/>
                <w:sz w:val="20"/>
              </w:rPr>
            </w:pPr>
            <w:r>
              <w:rPr>
                <w:rFonts w:asciiTheme="majorHAnsi" w:hAnsiTheme="majorHAnsi"/>
                <w:sz w:val="20"/>
              </w:rPr>
              <w:t>$ 15,492.00</w:t>
            </w:r>
          </w:p>
        </w:tc>
      </w:tr>
      <w:tr w:rsidR="0058547C" w:rsidRPr="004841F1" w:rsidTr="0058547C">
        <w:tc>
          <w:tcPr>
            <w:tcW w:w="4518" w:type="dxa"/>
          </w:tcPr>
          <w:p w:rsidR="0058547C" w:rsidRPr="00D171B2" w:rsidRDefault="0058547C" w:rsidP="0058547C">
            <w:pPr>
              <w:rPr>
                <w:rFonts w:asciiTheme="majorHAnsi" w:hAnsiTheme="majorHAnsi"/>
                <w:b/>
                <w:sz w:val="20"/>
              </w:rPr>
            </w:pPr>
            <w:r>
              <w:rPr>
                <w:rFonts w:asciiTheme="majorHAnsi" w:hAnsiTheme="majorHAnsi"/>
                <w:b/>
                <w:sz w:val="20"/>
              </w:rPr>
              <w:t>Deloitte Contractor</w:t>
            </w:r>
            <w:r w:rsidRPr="00D171B2">
              <w:rPr>
                <w:rFonts w:asciiTheme="majorHAnsi" w:hAnsiTheme="majorHAnsi"/>
                <w:b/>
                <w:sz w:val="20"/>
              </w:rPr>
              <w:t xml:space="preserve"> </w:t>
            </w:r>
          </w:p>
          <w:p w:rsidR="0058547C" w:rsidRPr="00A72652" w:rsidRDefault="0058547C" w:rsidP="0058547C">
            <w:pPr>
              <w:rPr>
                <w:rFonts w:asciiTheme="majorHAnsi" w:hAnsiTheme="majorHAnsi"/>
                <w:sz w:val="20"/>
              </w:rPr>
            </w:pPr>
            <w:r>
              <w:rPr>
                <w:rFonts w:asciiTheme="majorHAnsi" w:hAnsiTheme="majorHAnsi"/>
                <w:sz w:val="20"/>
              </w:rPr>
              <w:t>Web-based survey programming, data collection</w:t>
            </w:r>
          </w:p>
        </w:tc>
        <w:tc>
          <w:tcPr>
            <w:tcW w:w="1980" w:type="dxa"/>
          </w:tcPr>
          <w:p w:rsidR="0058547C" w:rsidRPr="0058547C" w:rsidRDefault="0058547C" w:rsidP="0058547C">
            <w:pPr>
              <w:jc w:val="center"/>
              <w:rPr>
                <w:rFonts w:asciiTheme="majorHAnsi" w:hAnsiTheme="majorHAnsi"/>
                <w:sz w:val="20"/>
              </w:rPr>
            </w:pPr>
            <w:r w:rsidRPr="0058547C">
              <w:rPr>
                <w:rFonts w:asciiTheme="majorHAnsi" w:hAnsiTheme="majorHAnsi"/>
                <w:sz w:val="20"/>
              </w:rPr>
              <w:t>150</w:t>
            </w:r>
          </w:p>
        </w:tc>
        <w:tc>
          <w:tcPr>
            <w:tcW w:w="1620" w:type="dxa"/>
          </w:tcPr>
          <w:p w:rsidR="0058547C" w:rsidRPr="0058547C" w:rsidRDefault="0058547C" w:rsidP="0058547C">
            <w:pPr>
              <w:jc w:val="center"/>
              <w:rPr>
                <w:rFonts w:asciiTheme="majorHAnsi" w:hAnsiTheme="majorHAnsi"/>
                <w:sz w:val="20"/>
              </w:rPr>
            </w:pPr>
            <w:r w:rsidRPr="0058547C">
              <w:rPr>
                <w:rFonts w:asciiTheme="majorHAnsi" w:hAnsiTheme="majorHAnsi"/>
                <w:sz w:val="20"/>
              </w:rPr>
              <w:t>$137.09</w:t>
            </w:r>
          </w:p>
        </w:tc>
        <w:tc>
          <w:tcPr>
            <w:tcW w:w="1458" w:type="dxa"/>
          </w:tcPr>
          <w:p w:rsidR="0058547C" w:rsidRPr="00A72652" w:rsidRDefault="0058547C" w:rsidP="0058547C">
            <w:pPr>
              <w:jc w:val="center"/>
              <w:rPr>
                <w:rFonts w:asciiTheme="majorHAnsi" w:hAnsiTheme="majorHAnsi"/>
                <w:sz w:val="20"/>
              </w:rPr>
            </w:pPr>
            <w:r>
              <w:rPr>
                <w:rFonts w:ascii="Cambria" w:hAnsi="Cambria"/>
                <w:sz w:val="20"/>
                <w:szCs w:val="20"/>
              </w:rPr>
              <w:t>$20, 563.50</w:t>
            </w:r>
          </w:p>
        </w:tc>
      </w:tr>
      <w:tr w:rsidR="0058547C" w:rsidRPr="004841F1" w:rsidTr="0058547C">
        <w:tc>
          <w:tcPr>
            <w:tcW w:w="4518" w:type="dxa"/>
          </w:tcPr>
          <w:p w:rsidR="0058547C" w:rsidRPr="00D171B2" w:rsidRDefault="0058547C" w:rsidP="0058547C">
            <w:pPr>
              <w:rPr>
                <w:rFonts w:asciiTheme="majorHAnsi" w:hAnsiTheme="majorHAnsi"/>
                <w:b/>
                <w:sz w:val="20"/>
              </w:rPr>
            </w:pPr>
            <w:r w:rsidRPr="00D171B2">
              <w:rPr>
                <w:rFonts w:asciiTheme="majorHAnsi" w:hAnsiTheme="majorHAnsi"/>
                <w:b/>
                <w:sz w:val="20"/>
              </w:rPr>
              <w:t xml:space="preserve">ORISE Fellow </w:t>
            </w:r>
          </w:p>
          <w:p w:rsidR="0058547C" w:rsidRPr="00D171B2" w:rsidRDefault="0058547C" w:rsidP="0058547C">
            <w:pPr>
              <w:rPr>
                <w:rFonts w:asciiTheme="majorHAnsi" w:hAnsiTheme="majorHAnsi"/>
                <w:b/>
                <w:sz w:val="20"/>
              </w:rPr>
            </w:pPr>
            <w:r>
              <w:rPr>
                <w:rFonts w:asciiTheme="majorHAnsi" w:hAnsiTheme="majorHAnsi"/>
                <w:sz w:val="20"/>
              </w:rPr>
              <w:t>Assisting with instrument development, OMB package preparation, data collection, data coding and entry, quality control, data analysis, and report preparation</w:t>
            </w:r>
          </w:p>
        </w:tc>
        <w:tc>
          <w:tcPr>
            <w:tcW w:w="1980" w:type="dxa"/>
          </w:tcPr>
          <w:p w:rsidR="0058547C" w:rsidRDefault="0058547C" w:rsidP="0058547C">
            <w:pPr>
              <w:jc w:val="center"/>
              <w:rPr>
                <w:rFonts w:asciiTheme="majorHAnsi" w:hAnsiTheme="majorHAnsi"/>
                <w:sz w:val="20"/>
              </w:rPr>
            </w:pPr>
            <w:r>
              <w:rPr>
                <w:rFonts w:asciiTheme="majorHAnsi" w:hAnsiTheme="majorHAnsi"/>
                <w:sz w:val="20"/>
              </w:rPr>
              <w:t>175</w:t>
            </w:r>
          </w:p>
        </w:tc>
        <w:tc>
          <w:tcPr>
            <w:tcW w:w="1620" w:type="dxa"/>
          </w:tcPr>
          <w:p w:rsidR="0058547C" w:rsidRDefault="0058547C" w:rsidP="0058547C">
            <w:pPr>
              <w:jc w:val="center"/>
              <w:rPr>
                <w:rFonts w:asciiTheme="majorHAnsi" w:hAnsiTheme="majorHAnsi"/>
                <w:sz w:val="20"/>
              </w:rPr>
            </w:pPr>
            <w:r>
              <w:rPr>
                <w:rFonts w:asciiTheme="majorHAnsi" w:hAnsiTheme="majorHAnsi"/>
                <w:sz w:val="20"/>
              </w:rPr>
              <w:t>$23.55</w:t>
            </w:r>
          </w:p>
        </w:tc>
        <w:tc>
          <w:tcPr>
            <w:tcW w:w="1458" w:type="dxa"/>
          </w:tcPr>
          <w:p w:rsidR="0058547C" w:rsidRDefault="0058547C" w:rsidP="0058547C">
            <w:pPr>
              <w:jc w:val="center"/>
              <w:rPr>
                <w:rFonts w:asciiTheme="majorHAnsi" w:hAnsiTheme="majorHAnsi"/>
                <w:sz w:val="20"/>
              </w:rPr>
            </w:pPr>
            <w:r>
              <w:rPr>
                <w:rFonts w:asciiTheme="majorHAnsi" w:hAnsiTheme="majorHAnsi"/>
                <w:sz w:val="20"/>
              </w:rPr>
              <w:t>$  4,121.25</w:t>
            </w:r>
          </w:p>
        </w:tc>
      </w:tr>
      <w:tr w:rsidR="0058547C" w:rsidRPr="004841F1" w:rsidTr="0058547C">
        <w:trPr>
          <w:trHeight w:val="332"/>
        </w:trPr>
        <w:tc>
          <w:tcPr>
            <w:tcW w:w="8118" w:type="dxa"/>
            <w:gridSpan w:val="3"/>
            <w:vAlign w:val="center"/>
          </w:tcPr>
          <w:p w:rsidR="0058547C" w:rsidRPr="007B305A" w:rsidRDefault="0058547C" w:rsidP="0058547C">
            <w:pPr>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58547C" w:rsidRPr="007B305A" w:rsidRDefault="0058547C" w:rsidP="0058547C">
            <w:pPr>
              <w:rPr>
                <w:rFonts w:asciiTheme="majorHAnsi" w:hAnsiTheme="majorHAnsi"/>
                <w:b/>
                <w:sz w:val="20"/>
              </w:rPr>
            </w:pPr>
            <w:r>
              <w:rPr>
                <w:rFonts w:asciiTheme="majorHAnsi" w:hAnsiTheme="majorHAnsi"/>
                <w:b/>
                <w:sz w:val="20"/>
              </w:rPr>
              <w:t xml:space="preserve"> $40,176.75</w:t>
            </w:r>
          </w:p>
        </w:tc>
      </w:tr>
    </w:tbl>
    <w:p w:rsidR="004841F1" w:rsidRDefault="004841F1" w:rsidP="000807BB">
      <w:pPr>
        <w:spacing w:after="0"/>
        <w:rPr>
          <w:rFonts w:asciiTheme="majorHAnsi" w:hAnsiTheme="majorHAnsi"/>
        </w:rPr>
      </w:pPr>
    </w:p>
    <w:p w:rsidR="000165D7" w:rsidRDefault="000165D7" w:rsidP="000807BB">
      <w:pPr>
        <w:spacing w:after="0"/>
        <w:rPr>
          <w:rFonts w:asciiTheme="majorHAnsi" w:hAnsiTheme="majorHAnsi"/>
        </w:rPr>
      </w:pPr>
    </w:p>
    <w:p w:rsidR="0058547C" w:rsidRDefault="0058547C" w:rsidP="000807BB">
      <w:pPr>
        <w:spacing w:after="0"/>
        <w:rPr>
          <w:rFonts w:asciiTheme="majorHAnsi" w:hAnsiTheme="majorHAnsi"/>
        </w:rPr>
      </w:pPr>
    </w:p>
    <w:p w:rsidR="00B12F51" w:rsidRPr="003C7C5D" w:rsidRDefault="00616090" w:rsidP="000807BB">
      <w:pPr>
        <w:pStyle w:val="ListParagraph"/>
        <w:numPr>
          <w:ilvl w:val="0"/>
          <w:numId w:val="2"/>
        </w:numPr>
        <w:spacing w:after="0"/>
        <w:rPr>
          <w:rFonts w:asciiTheme="majorHAnsi" w:hAnsiTheme="majorHAnsi"/>
          <w:b/>
        </w:rPr>
      </w:pPr>
      <w:r>
        <w:rPr>
          <w:rFonts w:asciiTheme="majorHAnsi" w:hAnsiTheme="majorHAnsi"/>
          <w:b/>
        </w:rPr>
        <w:lastRenderedPageBreak/>
        <w:t>Reason for</w:t>
      </w:r>
      <w:r w:rsidR="00B12F51" w:rsidRPr="003C7C5D">
        <w:rPr>
          <w:rFonts w:asciiTheme="majorHAnsi" w:hAnsiTheme="majorHAnsi"/>
          <w:b/>
        </w:rPr>
        <w:t xml:space="preserve"> Changes </w:t>
      </w:r>
    </w:p>
    <w:p w:rsidR="00F52BCC" w:rsidRDefault="003C7C5D" w:rsidP="000807BB">
      <w:pPr>
        <w:pStyle w:val="ListParagraph"/>
        <w:spacing w:after="0"/>
        <w:rPr>
          <w:rFonts w:asciiTheme="majorHAnsi" w:hAnsiTheme="majorHAnsi"/>
        </w:rPr>
      </w:pPr>
      <w:r>
        <w:rPr>
          <w:rFonts w:asciiTheme="majorHAnsi" w:hAnsiTheme="majorHAnsi"/>
        </w:rPr>
        <w:t>This is a new data collection.</w:t>
      </w:r>
    </w:p>
    <w:p w:rsidR="00F52BCC" w:rsidRDefault="00F52BCC" w:rsidP="000807BB">
      <w:pPr>
        <w:pStyle w:val="ListParagraph"/>
        <w:spacing w:after="0"/>
        <w:rPr>
          <w:rFonts w:asciiTheme="majorHAnsi" w:hAnsiTheme="majorHAnsi"/>
        </w:rPr>
      </w:pPr>
    </w:p>
    <w:p w:rsidR="00B12F51" w:rsidRPr="00EF33CD" w:rsidRDefault="00B12F51" w:rsidP="000807BB">
      <w:pPr>
        <w:pStyle w:val="ListParagraph"/>
        <w:numPr>
          <w:ilvl w:val="0"/>
          <w:numId w:val="2"/>
        </w:numPr>
        <w:spacing w:after="0"/>
        <w:rPr>
          <w:rFonts w:asciiTheme="majorHAnsi" w:hAnsiTheme="majorHAnsi"/>
          <w:b/>
        </w:rPr>
      </w:pPr>
      <w:r w:rsidRPr="00EF33CD">
        <w:rPr>
          <w:rFonts w:asciiTheme="majorHAnsi" w:hAnsiTheme="majorHAnsi"/>
          <w:b/>
        </w:rPr>
        <w:t>Tabulation</w:t>
      </w:r>
      <w:r w:rsidR="00616090">
        <w:rPr>
          <w:rFonts w:asciiTheme="majorHAnsi" w:hAnsiTheme="majorHAnsi"/>
          <w:b/>
        </w:rPr>
        <w:t xml:space="preserve"> of Results, Schedule, and Analysis Plan</w:t>
      </w:r>
      <w:r w:rsidRPr="00EF33CD">
        <w:rPr>
          <w:rFonts w:asciiTheme="majorHAnsi" w:hAnsiTheme="majorHAnsi"/>
          <w:b/>
        </w:rPr>
        <w:t xml:space="preserve"> </w:t>
      </w:r>
    </w:p>
    <w:p w:rsidR="00A31861" w:rsidRDefault="001763C0" w:rsidP="000807BB">
      <w:pPr>
        <w:pStyle w:val="ListParagraph"/>
        <w:tabs>
          <w:tab w:val="left" w:pos="3645"/>
        </w:tabs>
        <w:spacing w:after="0"/>
        <w:rPr>
          <w:rFonts w:asciiTheme="majorHAnsi" w:hAnsiTheme="majorHAnsi"/>
        </w:rPr>
      </w:pPr>
      <w:r>
        <w:rPr>
          <w:rFonts w:asciiTheme="majorHAnsi" w:hAnsiTheme="majorHAnsi"/>
        </w:rPr>
        <w:t>The results of this assessment will be shared internally with CDC leadership and staff across the agency as well as externally with CDC’s national partners and grantees</w:t>
      </w:r>
      <w:r w:rsidR="0031329E">
        <w:rPr>
          <w:rFonts w:asciiTheme="majorHAnsi" w:hAnsiTheme="majorHAnsi"/>
        </w:rPr>
        <w:t xml:space="preserve">. </w:t>
      </w:r>
      <w:r>
        <w:rPr>
          <w:rFonts w:asciiTheme="majorHAnsi" w:hAnsiTheme="majorHAnsi"/>
        </w:rPr>
        <w:t>Findings will be posted on CDC’s intranet in the following locations:  (1) P</w:t>
      </w:r>
      <w:r w:rsidR="00572B59">
        <w:rPr>
          <w:rFonts w:asciiTheme="majorHAnsi" w:hAnsiTheme="majorHAnsi"/>
        </w:rPr>
        <w:t xml:space="preserve">roject </w:t>
      </w:r>
      <w:r>
        <w:rPr>
          <w:rFonts w:asciiTheme="majorHAnsi" w:hAnsiTheme="majorHAnsi"/>
        </w:rPr>
        <w:t>O</w:t>
      </w:r>
      <w:r w:rsidR="00572B59">
        <w:rPr>
          <w:rFonts w:asciiTheme="majorHAnsi" w:hAnsiTheme="majorHAnsi"/>
        </w:rPr>
        <w:t>fficer</w:t>
      </w:r>
      <w:r>
        <w:rPr>
          <w:rFonts w:asciiTheme="majorHAnsi" w:hAnsiTheme="majorHAnsi"/>
        </w:rPr>
        <w:t xml:space="preserve"> Portal, (2) OSTLTS web page, and (3) TASII web page.</w:t>
      </w:r>
      <w:r w:rsidR="0031329E">
        <w:rPr>
          <w:rFonts w:asciiTheme="majorHAnsi" w:hAnsiTheme="majorHAnsi"/>
        </w:rPr>
        <w:t xml:space="preserve"> </w:t>
      </w:r>
      <w:r>
        <w:rPr>
          <w:rFonts w:asciiTheme="majorHAnsi" w:hAnsiTheme="majorHAnsi"/>
        </w:rPr>
        <w:t xml:space="preserve">In addition, aggregate findings will be posted to CDC’s internet including, but not limited to, CDC’s Gateway for </w:t>
      </w:r>
      <w:r w:rsidR="008B0956">
        <w:rPr>
          <w:rFonts w:asciiTheme="majorHAnsi" w:hAnsiTheme="majorHAnsi"/>
        </w:rPr>
        <w:t xml:space="preserve">STLTs. </w:t>
      </w:r>
      <w:r w:rsidR="0031329E">
        <w:rPr>
          <w:rFonts w:asciiTheme="majorHAnsi" w:hAnsiTheme="majorHAnsi"/>
        </w:rPr>
        <w:t xml:space="preserve">The results will be used internally to set priorities </w:t>
      </w:r>
      <w:r w:rsidR="002B38AF">
        <w:rPr>
          <w:rFonts w:asciiTheme="majorHAnsi" w:hAnsiTheme="majorHAnsi"/>
        </w:rPr>
        <w:t xml:space="preserve">and inform activities </w:t>
      </w:r>
      <w:r w:rsidR="0031329E">
        <w:rPr>
          <w:rFonts w:asciiTheme="majorHAnsi" w:hAnsiTheme="majorHAnsi"/>
        </w:rPr>
        <w:t xml:space="preserve">for TASII and externally to communicate results with STLT partners.  </w:t>
      </w:r>
    </w:p>
    <w:p w:rsidR="0031329E" w:rsidRDefault="0031329E" w:rsidP="000807BB">
      <w:pPr>
        <w:pStyle w:val="ListParagraph"/>
        <w:tabs>
          <w:tab w:val="left" w:pos="3645"/>
        </w:tabs>
        <w:spacing w:after="0"/>
        <w:rPr>
          <w:rFonts w:asciiTheme="majorHAnsi" w:hAnsiTheme="majorHAnsi"/>
        </w:rPr>
      </w:pPr>
    </w:p>
    <w:p w:rsidR="00A31861" w:rsidRDefault="0031329E" w:rsidP="000807BB">
      <w:pPr>
        <w:pStyle w:val="ListParagraph"/>
        <w:tabs>
          <w:tab w:val="left" w:pos="3645"/>
        </w:tabs>
        <w:spacing w:after="0"/>
        <w:rPr>
          <w:rFonts w:asciiTheme="majorHAnsi" w:hAnsiTheme="majorHAnsi"/>
        </w:rPr>
      </w:pPr>
      <w:r>
        <w:rPr>
          <w:rFonts w:asciiTheme="majorHAnsi" w:hAnsiTheme="majorHAnsi"/>
        </w:rPr>
        <w:t xml:space="preserve">Both quantitative and qualitative analyses will be performed.  Quantitative analyses will involve using descriptive statistics to determine frequency distributions and corresponding variances for responses to each survey question.  Responses will be cross-tabulated to compare responses between divisions, high-funded and low-funded programs, nationally funded versus discretionary programs, level of experience with project officers, and technical assistance service delivery models.  Qualitative thematic analyses will be performed on open-ended questions to compile recommendations for improving CDC’s technical assistance and increasing utility of project officers in each programmatic area.  </w:t>
      </w:r>
      <w:r w:rsidR="0015165E">
        <w:rPr>
          <w:rFonts w:asciiTheme="majorHAnsi" w:hAnsiTheme="majorHAnsi"/>
        </w:rPr>
        <w:t>Evaluation questions that are to be answered by the survey tool are provided (</w:t>
      </w:r>
      <w:r w:rsidR="0015165E" w:rsidRPr="0015165E">
        <w:rPr>
          <w:rFonts w:asciiTheme="majorHAnsi" w:hAnsiTheme="majorHAnsi"/>
          <w:b/>
        </w:rPr>
        <w:t xml:space="preserve">See Attachment </w:t>
      </w:r>
      <w:r w:rsidR="008F5C55">
        <w:rPr>
          <w:rFonts w:asciiTheme="majorHAnsi" w:hAnsiTheme="majorHAnsi"/>
          <w:b/>
        </w:rPr>
        <w:t>I</w:t>
      </w:r>
      <w:r w:rsidR="0015165E">
        <w:rPr>
          <w:rFonts w:asciiTheme="majorHAnsi" w:hAnsiTheme="majorHAnsi"/>
        </w:rPr>
        <w:t xml:space="preserve">).  </w:t>
      </w:r>
    </w:p>
    <w:p w:rsidR="002F1502" w:rsidRPr="001763C0" w:rsidRDefault="002F1502" w:rsidP="001763C0">
      <w:pPr>
        <w:tabs>
          <w:tab w:val="left" w:pos="3645"/>
        </w:tabs>
        <w:spacing w:after="0"/>
        <w:rPr>
          <w:rFonts w:asciiTheme="majorHAnsi" w:hAnsiTheme="majorHAnsi"/>
        </w:rPr>
      </w:pPr>
    </w:p>
    <w:p w:rsidR="005142C0" w:rsidRDefault="000A71DF" w:rsidP="000807BB">
      <w:pPr>
        <w:spacing w:after="0"/>
        <w:ind w:firstLine="720"/>
        <w:rPr>
          <w:rFonts w:asciiTheme="majorHAnsi" w:hAnsiTheme="majorHAnsi"/>
          <w:sz w:val="24"/>
          <w:u w:val="single"/>
        </w:rPr>
      </w:pPr>
      <w:r>
        <w:rPr>
          <w:rFonts w:asciiTheme="majorHAnsi" w:hAnsiTheme="majorHAnsi"/>
          <w:sz w:val="24"/>
          <w:u w:val="single"/>
        </w:rPr>
        <w:t>Project Time Schedule</w:t>
      </w:r>
    </w:p>
    <w:p w:rsidR="0031329E" w:rsidRDefault="0031329E" w:rsidP="000807BB">
      <w:pPr>
        <w:spacing w:after="0"/>
        <w:ind w:firstLine="720"/>
        <w:rPr>
          <w:rFonts w:asciiTheme="majorHAnsi" w:hAnsiTheme="majorHAnsi"/>
        </w:rPr>
      </w:pPr>
      <w:r>
        <w:rPr>
          <w:rFonts w:asciiTheme="majorHAnsi" w:hAnsiTheme="majorHAnsi"/>
        </w:rPr>
        <w:t>Design survey questionnaire ……………………………………</w:t>
      </w:r>
      <w:r w:rsidR="005142C0">
        <w:rPr>
          <w:rFonts w:asciiTheme="majorHAnsi" w:hAnsiTheme="majorHAnsi"/>
        </w:rPr>
        <w:t>…………</w:t>
      </w:r>
      <w:r w:rsidR="005142C0">
        <w:rPr>
          <w:rFonts w:asciiTheme="majorHAnsi" w:hAnsiTheme="majorHAnsi"/>
        </w:rPr>
        <w:tab/>
      </w:r>
      <w:r w:rsidR="005142C0">
        <w:rPr>
          <w:rFonts w:asciiTheme="majorHAnsi" w:hAnsiTheme="majorHAnsi"/>
        </w:rPr>
        <w:tab/>
      </w:r>
      <w:r>
        <w:rPr>
          <w:rFonts w:asciiTheme="majorHAnsi" w:hAnsiTheme="majorHAnsi"/>
        </w:rPr>
        <w:t>(COMPLETE)</w:t>
      </w:r>
    </w:p>
    <w:p w:rsidR="0031329E" w:rsidRDefault="0031329E" w:rsidP="000807BB">
      <w:pPr>
        <w:spacing w:after="0"/>
        <w:ind w:firstLine="720"/>
        <w:rPr>
          <w:rFonts w:asciiTheme="majorHAnsi" w:hAnsiTheme="majorHAnsi"/>
        </w:rPr>
      </w:pPr>
      <w:r>
        <w:rPr>
          <w:rFonts w:asciiTheme="majorHAnsi" w:hAnsiTheme="majorHAnsi"/>
        </w:rPr>
        <w:t>Develop survey protocol, instructions, and analysis plan………</w:t>
      </w:r>
      <w:r w:rsidR="005142C0">
        <w:rPr>
          <w:rFonts w:asciiTheme="majorHAnsi" w:hAnsiTheme="majorHAnsi"/>
        </w:rPr>
        <w:tab/>
      </w:r>
      <w:r w:rsidR="005142C0">
        <w:rPr>
          <w:rFonts w:asciiTheme="majorHAnsi" w:hAnsiTheme="majorHAnsi"/>
        </w:rPr>
        <w:tab/>
      </w:r>
      <w:r>
        <w:rPr>
          <w:rFonts w:asciiTheme="majorHAnsi" w:hAnsiTheme="majorHAnsi"/>
        </w:rPr>
        <w:t>(COMPLETE)</w:t>
      </w:r>
    </w:p>
    <w:p w:rsidR="0031329E" w:rsidRDefault="0031329E" w:rsidP="000807BB">
      <w:pPr>
        <w:spacing w:after="0"/>
        <w:ind w:firstLine="720"/>
        <w:rPr>
          <w:rFonts w:asciiTheme="majorHAnsi" w:hAnsiTheme="majorHAnsi"/>
        </w:rPr>
      </w:pPr>
      <w:r>
        <w:rPr>
          <w:rFonts w:asciiTheme="majorHAnsi" w:hAnsiTheme="majorHAnsi"/>
        </w:rPr>
        <w:t>Pilot test survey questionnaire…………………………………………</w:t>
      </w:r>
      <w:r w:rsidR="005142C0">
        <w:rPr>
          <w:rFonts w:asciiTheme="majorHAnsi" w:hAnsiTheme="majorHAnsi"/>
        </w:rPr>
        <w:t>…</w:t>
      </w:r>
      <w:r w:rsidR="005142C0">
        <w:rPr>
          <w:rFonts w:asciiTheme="majorHAnsi" w:hAnsiTheme="majorHAnsi"/>
        </w:rPr>
        <w:tab/>
      </w:r>
      <w:r w:rsidR="005142C0">
        <w:rPr>
          <w:rFonts w:asciiTheme="majorHAnsi" w:hAnsiTheme="majorHAnsi"/>
        </w:rPr>
        <w:tab/>
        <w:t>(COMPLETE)</w:t>
      </w:r>
    </w:p>
    <w:p w:rsidR="005142C0" w:rsidRDefault="005142C0" w:rsidP="000807BB">
      <w:pPr>
        <w:spacing w:after="0"/>
        <w:ind w:firstLine="720"/>
        <w:rPr>
          <w:rFonts w:asciiTheme="majorHAnsi" w:hAnsiTheme="majorHAnsi"/>
        </w:rPr>
      </w:pPr>
      <w:r>
        <w:rPr>
          <w:rFonts w:asciiTheme="majorHAnsi" w:hAnsiTheme="majorHAnsi"/>
        </w:rPr>
        <w:t>Prepare OMB package…………………………………………………………</w:t>
      </w:r>
      <w:r>
        <w:rPr>
          <w:rFonts w:asciiTheme="majorHAnsi" w:hAnsiTheme="majorHAnsi"/>
        </w:rPr>
        <w:tab/>
      </w:r>
      <w:r>
        <w:rPr>
          <w:rFonts w:asciiTheme="majorHAnsi" w:hAnsiTheme="majorHAnsi"/>
        </w:rPr>
        <w:tab/>
        <w:t>(COMPLETE)</w:t>
      </w:r>
    </w:p>
    <w:p w:rsidR="005142C0" w:rsidRDefault="005142C0" w:rsidP="000807BB">
      <w:pPr>
        <w:spacing w:after="0"/>
        <w:ind w:firstLine="720"/>
        <w:rPr>
          <w:rFonts w:asciiTheme="majorHAnsi" w:hAnsiTheme="majorHAnsi"/>
        </w:rPr>
      </w:pPr>
      <w:r>
        <w:rPr>
          <w:rFonts w:asciiTheme="majorHAnsi" w:hAnsiTheme="majorHAnsi"/>
        </w:rPr>
        <w:t>Submit OMB package……………………………………………………………</w:t>
      </w:r>
      <w:r>
        <w:rPr>
          <w:rFonts w:asciiTheme="majorHAnsi" w:hAnsiTheme="majorHAnsi"/>
        </w:rPr>
        <w:tab/>
        <w:t>(COMPLETE)</w:t>
      </w:r>
    </w:p>
    <w:p w:rsidR="005142C0" w:rsidRDefault="005142C0" w:rsidP="000807BB">
      <w:pPr>
        <w:spacing w:after="0"/>
        <w:ind w:firstLine="720"/>
        <w:rPr>
          <w:rFonts w:asciiTheme="majorHAnsi" w:hAnsiTheme="majorHAnsi"/>
        </w:rPr>
      </w:pPr>
      <w:r>
        <w:rPr>
          <w:rFonts w:asciiTheme="majorHAnsi" w:hAnsiTheme="majorHAnsi"/>
        </w:rPr>
        <w:t>OMB approval………………………………………………………………………</w:t>
      </w:r>
      <w:r>
        <w:rPr>
          <w:rFonts w:asciiTheme="majorHAnsi" w:hAnsiTheme="majorHAnsi"/>
        </w:rPr>
        <w:tab/>
        <w:t>(TBD)</w:t>
      </w:r>
    </w:p>
    <w:p w:rsidR="005142C0" w:rsidRDefault="005142C0" w:rsidP="000807BB">
      <w:pPr>
        <w:spacing w:after="0"/>
        <w:ind w:firstLine="720"/>
        <w:rPr>
          <w:rFonts w:asciiTheme="majorHAnsi" w:hAnsiTheme="majorHAnsi"/>
        </w:rPr>
      </w:pPr>
      <w:r>
        <w:rPr>
          <w:rFonts w:asciiTheme="majorHAnsi" w:hAnsiTheme="majorHAnsi"/>
        </w:rPr>
        <w:t>Conduct survey……………………………………………………………………</w:t>
      </w:r>
      <w:r>
        <w:rPr>
          <w:rFonts w:asciiTheme="majorHAnsi" w:hAnsiTheme="majorHAnsi"/>
        </w:rPr>
        <w:tab/>
        <w:t>(Survey open 4 weeks)</w:t>
      </w:r>
    </w:p>
    <w:p w:rsidR="005142C0" w:rsidRDefault="005142C0" w:rsidP="000807BB">
      <w:pPr>
        <w:spacing w:after="0"/>
        <w:ind w:firstLine="720"/>
        <w:rPr>
          <w:rFonts w:asciiTheme="majorHAnsi" w:hAnsiTheme="majorHAnsi"/>
        </w:rPr>
      </w:pPr>
      <w:r>
        <w:rPr>
          <w:rFonts w:asciiTheme="majorHAnsi" w:hAnsiTheme="majorHAnsi"/>
        </w:rPr>
        <w:t>Collect, code, enter, quality control, and analyze data……………</w:t>
      </w:r>
      <w:r>
        <w:rPr>
          <w:rFonts w:asciiTheme="majorHAnsi" w:hAnsiTheme="majorHAnsi"/>
        </w:rPr>
        <w:tab/>
      </w:r>
      <w:r>
        <w:rPr>
          <w:rFonts w:asciiTheme="majorHAnsi" w:hAnsiTheme="majorHAnsi"/>
        </w:rPr>
        <w:tab/>
        <w:t>(2 weeks)</w:t>
      </w:r>
    </w:p>
    <w:p w:rsidR="005142C0" w:rsidRDefault="005142C0" w:rsidP="000807BB">
      <w:pPr>
        <w:spacing w:after="0"/>
        <w:ind w:firstLine="720"/>
        <w:rPr>
          <w:rFonts w:asciiTheme="majorHAnsi" w:hAnsiTheme="majorHAnsi"/>
        </w:rPr>
      </w:pPr>
      <w:r>
        <w:rPr>
          <w:rFonts w:asciiTheme="majorHAnsi" w:hAnsiTheme="majorHAnsi"/>
        </w:rPr>
        <w:t>Prepare report………………………………………………………………………</w:t>
      </w:r>
      <w:r>
        <w:rPr>
          <w:rFonts w:asciiTheme="majorHAnsi" w:hAnsiTheme="majorHAnsi"/>
        </w:rPr>
        <w:tab/>
        <w:t>(2 weeks)</w:t>
      </w:r>
    </w:p>
    <w:p w:rsidR="005142C0" w:rsidRPr="000A71DF" w:rsidRDefault="005142C0" w:rsidP="000807BB">
      <w:pPr>
        <w:spacing w:after="0"/>
        <w:ind w:firstLine="720"/>
        <w:rPr>
          <w:rFonts w:asciiTheme="majorHAnsi" w:hAnsiTheme="majorHAnsi"/>
          <w:sz w:val="24"/>
          <w:u w:val="single"/>
        </w:rPr>
      </w:pPr>
      <w:r>
        <w:rPr>
          <w:rFonts w:asciiTheme="majorHAnsi" w:hAnsiTheme="majorHAnsi"/>
        </w:rPr>
        <w:t>Disseminate results/reports……………………………………………………</w:t>
      </w:r>
      <w:r>
        <w:rPr>
          <w:rFonts w:asciiTheme="majorHAnsi" w:hAnsiTheme="majorHAnsi"/>
        </w:rPr>
        <w:tab/>
        <w:t>(</w:t>
      </w:r>
      <w:r w:rsidR="007A16B8">
        <w:rPr>
          <w:rFonts w:asciiTheme="majorHAnsi" w:hAnsiTheme="majorHAnsi"/>
        </w:rPr>
        <w:t>Sept 2012</w:t>
      </w:r>
      <w:r>
        <w:rPr>
          <w:rFonts w:asciiTheme="majorHAnsi" w:hAnsiTheme="majorHAnsi"/>
        </w:rPr>
        <w:t>)</w:t>
      </w:r>
    </w:p>
    <w:p w:rsidR="000A71DF" w:rsidRPr="005142C0" w:rsidRDefault="000A71DF" w:rsidP="00C17908">
      <w:pPr>
        <w:spacing w:after="0"/>
        <w:ind w:firstLine="720"/>
        <w:rPr>
          <w:rFonts w:asciiTheme="majorHAnsi" w:hAnsiTheme="majorHAnsi"/>
        </w:rPr>
      </w:pPr>
    </w:p>
    <w:p w:rsidR="000A71DF" w:rsidRDefault="000A71DF" w:rsidP="000807BB">
      <w:pPr>
        <w:pStyle w:val="ListParagraph"/>
        <w:spacing w:after="0"/>
        <w:rPr>
          <w:rFonts w:asciiTheme="majorHAnsi" w:hAnsiTheme="majorHAnsi"/>
        </w:rPr>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 xml:space="preserve">Display of OMB </w:t>
      </w:r>
      <w:r w:rsidR="00180D45">
        <w:rPr>
          <w:rFonts w:asciiTheme="majorHAnsi" w:hAnsiTheme="majorHAnsi"/>
          <w:b/>
        </w:rPr>
        <w:t xml:space="preserve">Approval </w:t>
      </w:r>
      <w:r w:rsidRPr="00D26A64">
        <w:rPr>
          <w:rFonts w:asciiTheme="majorHAnsi" w:hAnsiTheme="majorHAnsi"/>
          <w:b/>
        </w:rPr>
        <w:t xml:space="preserve"> Date </w:t>
      </w:r>
    </w:p>
    <w:p w:rsidR="00F52BCC" w:rsidRDefault="00180D45" w:rsidP="000807BB">
      <w:pPr>
        <w:pStyle w:val="ListParagraph"/>
        <w:spacing w:after="0"/>
        <w:rPr>
          <w:rFonts w:asciiTheme="majorHAnsi" w:hAnsiTheme="majorHAnsi"/>
        </w:rPr>
      </w:pPr>
      <w:r>
        <w:rPr>
          <w:rFonts w:asciiTheme="majorHAnsi" w:hAnsiTheme="majorHAnsi"/>
        </w:rPr>
        <w:t>We are requesting no exemption.</w:t>
      </w:r>
    </w:p>
    <w:p w:rsidR="00F52BCC" w:rsidRDefault="00F52BCC" w:rsidP="000807BB">
      <w:pPr>
        <w:pStyle w:val="ListParagraph"/>
        <w:spacing w:after="0"/>
        <w:rPr>
          <w:rFonts w:asciiTheme="majorHAnsi" w:hAnsiTheme="majorHAnsi"/>
        </w:rPr>
      </w:pPr>
    </w:p>
    <w:p w:rsidR="00B12F51" w:rsidRPr="00D26A64" w:rsidRDefault="00B12F51" w:rsidP="000807BB">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0807BB">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0165D7" w:rsidRDefault="000165D7" w:rsidP="000807BB">
      <w:pPr>
        <w:spacing w:after="0"/>
        <w:rPr>
          <w:rFonts w:asciiTheme="majorHAnsi" w:hAnsiTheme="majorHAnsi"/>
          <w:b/>
          <w:sz w:val="28"/>
        </w:rPr>
      </w:pPr>
    </w:p>
    <w:p w:rsidR="00A36419" w:rsidRDefault="00A36419" w:rsidP="000807BB">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0807BB">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0807BB">
      <w:pPr>
        <w:spacing w:after="0" w:line="360" w:lineRule="auto"/>
        <w:rPr>
          <w:rFonts w:asciiTheme="majorHAnsi" w:hAnsiTheme="majorHAnsi"/>
          <w:b/>
        </w:rPr>
      </w:pPr>
    </w:p>
    <w:p w:rsidR="00FF6F51" w:rsidRDefault="00FF6F51" w:rsidP="000807BB">
      <w:pPr>
        <w:pStyle w:val="ListParagraph"/>
        <w:numPr>
          <w:ilvl w:val="0"/>
          <w:numId w:val="25"/>
        </w:numPr>
        <w:spacing w:line="360" w:lineRule="auto"/>
        <w:rPr>
          <w:rFonts w:asciiTheme="majorHAnsi" w:hAnsiTheme="majorHAnsi"/>
          <w:b/>
        </w:rPr>
      </w:pPr>
      <w:r>
        <w:rPr>
          <w:rFonts w:asciiTheme="majorHAnsi" w:hAnsiTheme="majorHAnsi"/>
          <w:b/>
        </w:rPr>
        <w:t>Sources of Recommendations to Implement an External Stakeholder Survey</w:t>
      </w:r>
    </w:p>
    <w:p w:rsidR="00FF6F51" w:rsidRDefault="00FF6F51" w:rsidP="000807BB">
      <w:pPr>
        <w:pStyle w:val="ListParagraph"/>
        <w:numPr>
          <w:ilvl w:val="0"/>
          <w:numId w:val="25"/>
        </w:numPr>
        <w:spacing w:line="360" w:lineRule="auto"/>
        <w:rPr>
          <w:rFonts w:asciiTheme="majorHAnsi" w:hAnsiTheme="majorHAnsi"/>
          <w:b/>
        </w:rPr>
      </w:pPr>
      <w:r>
        <w:rPr>
          <w:rFonts w:asciiTheme="majorHAnsi" w:hAnsiTheme="majorHAnsi"/>
          <w:b/>
        </w:rPr>
        <w:t>2008 ASTHO Letter to CDC Director</w:t>
      </w:r>
    </w:p>
    <w:p w:rsidR="00FF6F51" w:rsidRDefault="00FF6F51" w:rsidP="000807BB">
      <w:pPr>
        <w:pStyle w:val="ListParagraph"/>
        <w:numPr>
          <w:ilvl w:val="0"/>
          <w:numId w:val="25"/>
        </w:numPr>
        <w:spacing w:line="360" w:lineRule="auto"/>
        <w:rPr>
          <w:rFonts w:asciiTheme="majorHAnsi" w:hAnsiTheme="majorHAnsi"/>
          <w:b/>
        </w:rPr>
      </w:pPr>
      <w:r>
        <w:rPr>
          <w:rFonts w:asciiTheme="majorHAnsi" w:hAnsiTheme="majorHAnsi"/>
          <w:b/>
        </w:rPr>
        <w:t>Partner Services Workgroup Summary</w:t>
      </w:r>
    </w:p>
    <w:p w:rsidR="00F10DD7" w:rsidRDefault="00FF6F51" w:rsidP="000807BB">
      <w:pPr>
        <w:pStyle w:val="ListParagraph"/>
        <w:numPr>
          <w:ilvl w:val="0"/>
          <w:numId w:val="25"/>
        </w:numPr>
        <w:spacing w:line="360" w:lineRule="auto"/>
        <w:rPr>
          <w:rFonts w:asciiTheme="majorHAnsi" w:hAnsiTheme="majorHAnsi"/>
          <w:b/>
        </w:rPr>
      </w:pPr>
      <w:r>
        <w:rPr>
          <w:rFonts w:asciiTheme="majorHAnsi" w:hAnsiTheme="majorHAnsi"/>
          <w:b/>
        </w:rPr>
        <w:t>STLTS Workgroup of the Advisory Committee to the Director (ACD) of</w:t>
      </w:r>
      <w:r w:rsidR="00F10DD7">
        <w:rPr>
          <w:rFonts w:asciiTheme="majorHAnsi" w:hAnsiTheme="majorHAnsi"/>
          <w:b/>
        </w:rPr>
        <w:t xml:space="preserve"> CDC</w:t>
      </w:r>
    </w:p>
    <w:p w:rsidR="00775B5A" w:rsidRDefault="00775B5A" w:rsidP="000807BB">
      <w:pPr>
        <w:pStyle w:val="ListParagraph"/>
        <w:numPr>
          <w:ilvl w:val="0"/>
          <w:numId w:val="25"/>
        </w:numPr>
        <w:spacing w:line="360" w:lineRule="auto"/>
        <w:rPr>
          <w:rFonts w:asciiTheme="majorHAnsi" w:hAnsiTheme="majorHAnsi"/>
          <w:b/>
        </w:rPr>
      </w:pPr>
      <w:r>
        <w:rPr>
          <w:rFonts w:asciiTheme="majorHAnsi" w:hAnsiTheme="majorHAnsi"/>
          <w:b/>
        </w:rPr>
        <w:t>OSTLTS Transformation Project Report</w:t>
      </w:r>
    </w:p>
    <w:p w:rsidR="00DA0E89" w:rsidRDefault="00DA0E89" w:rsidP="000807BB">
      <w:pPr>
        <w:pStyle w:val="ListParagraph"/>
        <w:numPr>
          <w:ilvl w:val="0"/>
          <w:numId w:val="25"/>
        </w:numPr>
        <w:spacing w:line="360" w:lineRule="auto"/>
        <w:rPr>
          <w:rFonts w:asciiTheme="majorHAnsi" w:hAnsiTheme="majorHAnsi"/>
          <w:b/>
        </w:rPr>
      </w:pPr>
      <w:r>
        <w:rPr>
          <w:rFonts w:asciiTheme="majorHAnsi" w:hAnsiTheme="majorHAnsi"/>
          <w:b/>
        </w:rPr>
        <w:t>TASII Focus Group Report</w:t>
      </w:r>
    </w:p>
    <w:p w:rsidR="005142C0" w:rsidRDefault="00F749E6" w:rsidP="000807BB">
      <w:pPr>
        <w:pStyle w:val="ListParagraph"/>
        <w:numPr>
          <w:ilvl w:val="0"/>
          <w:numId w:val="25"/>
        </w:numPr>
        <w:spacing w:line="360" w:lineRule="auto"/>
        <w:rPr>
          <w:rFonts w:asciiTheme="majorHAnsi" w:hAnsiTheme="majorHAnsi"/>
          <w:b/>
        </w:rPr>
      </w:pPr>
      <w:r>
        <w:rPr>
          <w:rFonts w:asciiTheme="majorHAnsi" w:hAnsiTheme="majorHAnsi"/>
          <w:b/>
        </w:rPr>
        <w:t xml:space="preserve">TASII External Stakeholder Survey Instrument - </w:t>
      </w:r>
      <w:r w:rsidR="00FB6C5B">
        <w:rPr>
          <w:rFonts w:asciiTheme="majorHAnsi" w:hAnsiTheme="majorHAnsi"/>
          <w:b/>
        </w:rPr>
        <w:t>Word</w:t>
      </w:r>
      <w:r>
        <w:rPr>
          <w:rFonts w:asciiTheme="majorHAnsi" w:hAnsiTheme="majorHAnsi"/>
          <w:b/>
        </w:rPr>
        <w:t xml:space="preserve"> Version</w:t>
      </w:r>
    </w:p>
    <w:p w:rsidR="005142C0" w:rsidRPr="001D4797" w:rsidRDefault="00F749E6" w:rsidP="001D4797">
      <w:pPr>
        <w:pStyle w:val="ListParagraph"/>
        <w:numPr>
          <w:ilvl w:val="0"/>
          <w:numId w:val="25"/>
        </w:numPr>
        <w:spacing w:line="360" w:lineRule="auto"/>
        <w:rPr>
          <w:rFonts w:asciiTheme="majorHAnsi" w:hAnsiTheme="majorHAnsi"/>
          <w:b/>
        </w:rPr>
      </w:pPr>
      <w:r>
        <w:rPr>
          <w:rFonts w:asciiTheme="majorHAnsi" w:hAnsiTheme="majorHAnsi"/>
          <w:b/>
        </w:rPr>
        <w:t xml:space="preserve">TASII External Stakeholder Survey Instrument </w:t>
      </w:r>
      <w:r w:rsidR="001D4797">
        <w:rPr>
          <w:rFonts w:asciiTheme="majorHAnsi" w:hAnsiTheme="majorHAnsi"/>
          <w:b/>
        </w:rPr>
        <w:t>–</w:t>
      </w:r>
      <w:r>
        <w:rPr>
          <w:rFonts w:asciiTheme="majorHAnsi" w:hAnsiTheme="majorHAnsi"/>
          <w:b/>
        </w:rPr>
        <w:t xml:space="preserve"> </w:t>
      </w:r>
      <w:r w:rsidR="001D4797">
        <w:rPr>
          <w:rFonts w:asciiTheme="majorHAnsi" w:hAnsiTheme="majorHAnsi"/>
          <w:b/>
        </w:rPr>
        <w:t xml:space="preserve">Web </w:t>
      </w:r>
      <w:r w:rsidRPr="001D4797">
        <w:rPr>
          <w:rFonts w:asciiTheme="majorHAnsi" w:hAnsiTheme="majorHAnsi"/>
          <w:b/>
        </w:rPr>
        <w:t>Screen Shots</w:t>
      </w:r>
    </w:p>
    <w:p w:rsidR="00947C6E" w:rsidRPr="003A2B26" w:rsidRDefault="00947C6E" w:rsidP="000807BB">
      <w:pPr>
        <w:pStyle w:val="ListParagraph"/>
        <w:numPr>
          <w:ilvl w:val="0"/>
          <w:numId w:val="25"/>
        </w:numPr>
        <w:spacing w:line="360" w:lineRule="auto"/>
        <w:rPr>
          <w:rFonts w:asciiTheme="majorHAnsi" w:hAnsiTheme="majorHAnsi"/>
          <w:b/>
        </w:rPr>
      </w:pPr>
      <w:r>
        <w:rPr>
          <w:rFonts w:asciiTheme="majorHAnsi" w:hAnsiTheme="majorHAnsi"/>
          <w:b/>
        </w:rPr>
        <w:t>Key Evaluation Questions and Survey Instrument Items</w:t>
      </w:r>
    </w:p>
    <w:sectPr w:rsidR="00947C6E" w:rsidRPr="003A2B26" w:rsidSect="00385BB5">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C6D" w:rsidRDefault="00186C6D" w:rsidP="00716F94">
      <w:pPr>
        <w:spacing w:after="0" w:line="240" w:lineRule="auto"/>
      </w:pPr>
      <w:r>
        <w:separator/>
      </w:r>
    </w:p>
  </w:endnote>
  <w:endnote w:type="continuationSeparator" w:id="0">
    <w:p w:rsidR="00186C6D" w:rsidRDefault="00186C6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969156"/>
      <w:docPartObj>
        <w:docPartGallery w:val="Page Numbers (Bottom of Page)"/>
        <w:docPartUnique/>
      </w:docPartObj>
    </w:sdtPr>
    <w:sdtEndPr/>
    <w:sdtContent>
      <w:sdt>
        <w:sdtPr>
          <w:id w:val="860082579"/>
          <w:docPartObj>
            <w:docPartGallery w:val="Page Numbers (Top of Page)"/>
            <w:docPartUnique/>
          </w:docPartObj>
        </w:sdtPr>
        <w:sdtEndPr/>
        <w:sdtContent>
          <w:p w:rsidR="00186C6D" w:rsidRDefault="00186C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F3A54">
              <w:rPr>
                <w:b/>
                <w:bCs/>
                <w:noProof/>
              </w:rPr>
              <w:t>9</w:t>
            </w:r>
            <w:r>
              <w:rPr>
                <w:b/>
                <w:bCs/>
                <w:sz w:val="24"/>
                <w:szCs w:val="24"/>
              </w:rPr>
              <w:fldChar w:fldCharType="end"/>
            </w:r>
          </w:p>
        </w:sdtContent>
      </w:sdt>
    </w:sdtContent>
  </w:sdt>
  <w:p w:rsidR="00186C6D" w:rsidRDefault="00186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60386"/>
      <w:docPartObj>
        <w:docPartGallery w:val="Page Numbers (Bottom of Page)"/>
        <w:docPartUnique/>
      </w:docPartObj>
    </w:sdtPr>
    <w:sdtEndPr>
      <w:rPr>
        <w:noProof/>
      </w:rPr>
    </w:sdtEndPr>
    <w:sdtContent>
      <w:p w:rsidR="00186C6D" w:rsidRDefault="00186C6D">
        <w:pPr>
          <w:pStyle w:val="Footer"/>
          <w:jc w:val="right"/>
        </w:pPr>
        <w:r>
          <w:fldChar w:fldCharType="begin"/>
        </w:r>
        <w:r>
          <w:instrText xml:space="preserve"> PAGE   \* MERGEFORMAT </w:instrText>
        </w:r>
        <w:r>
          <w:fldChar w:fldCharType="separate"/>
        </w:r>
        <w:r w:rsidR="008A320B">
          <w:rPr>
            <w:noProof/>
          </w:rPr>
          <w:t>1</w:t>
        </w:r>
        <w:r>
          <w:rPr>
            <w:noProof/>
          </w:rPr>
          <w:fldChar w:fldCharType="end"/>
        </w:r>
      </w:p>
    </w:sdtContent>
  </w:sdt>
  <w:p w:rsidR="00186C6D" w:rsidRDefault="00186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C6D" w:rsidRDefault="00186C6D" w:rsidP="00716F94">
      <w:pPr>
        <w:spacing w:after="0" w:line="240" w:lineRule="auto"/>
      </w:pPr>
      <w:r>
        <w:separator/>
      </w:r>
    </w:p>
  </w:footnote>
  <w:footnote w:type="continuationSeparator" w:id="0">
    <w:p w:rsidR="00186C6D" w:rsidRDefault="00186C6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D" w:rsidRPr="00716F94" w:rsidRDefault="00186C6D"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073E0"/>
    <w:multiLevelType w:val="hybridMultilevel"/>
    <w:tmpl w:val="37A62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F572A9"/>
    <w:multiLevelType w:val="hybridMultilevel"/>
    <w:tmpl w:val="DA54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834807"/>
    <w:multiLevelType w:val="hybridMultilevel"/>
    <w:tmpl w:val="F09AC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542A7B"/>
    <w:multiLevelType w:val="hybridMultilevel"/>
    <w:tmpl w:val="128A9BF2"/>
    <w:lvl w:ilvl="0" w:tplc="361068CC">
      <w:start w:val="1"/>
      <w:numFmt w:val="decimal"/>
      <w:lvlText w:val="%1."/>
      <w:lvlJc w:val="left"/>
      <w:pPr>
        <w:ind w:left="1080" w:hanging="360"/>
      </w:pPr>
      <w:rPr>
        <w:rFonts w:asciiTheme="majorHAnsi" w:eastAsiaTheme="minorEastAsia" w:hAnsiTheme="majorHAnsi" w:cstheme="minorBidi"/>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282314"/>
    <w:multiLevelType w:val="hybridMultilevel"/>
    <w:tmpl w:val="87203B86"/>
    <w:lvl w:ilvl="0" w:tplc="D32E449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462FE"/>
    <w:multiLevelType w:val="hybridMultilevel"/>
    <w:tmpl w:val="39166C84"/>
    <w:lvl w:ilvl="0" w:tplc="93A8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EF5682"/>
    <w:multiLevelType w:val="hybridMultilevel"/>
    <w:tmpl w:val="A6E88868"/>
    <w:lvl w:ilvl="0" w:tplc="2CC84EF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181C49"/>
    <w:multiLevelType w:val="hybridMultilevel"/>
    <w:tmpl w:val="F9C0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C30B25"/>
    <w:multiLevelType w:val="hybridMultilevel"/>
    <w:tmpl w:val="C33EA868"/>
    <w:lvl w:ilvl="0" w:tplc="8424C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87678"/>
    <w:multiLevelType w:val="hybridMultilevel"/>
    <w:tmpl w:val="7ABAC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A4D9A"/>
    <w:multiLevelType w:val="hybridMultilevel"/>
    <w:tmpl w:val="F384D0DC"/>
    <w:lvl w:ilvl="0" w:tplc="2F60F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B93B71"/>
    <w:multiLevelType w:val="hybridMultilevel"/>
    <w:tmpl w:val="4F44527C"/>
    <w:lvl w:ilvl="0" w:tplc="B1EC430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6615EF"/>
    <w:multiLevelType w:val="hybridMultilevel"/>
    <w:tmpl w:val="CF825082"/>
    <w:lvl w:ilvl="0" w:tplc="FE1AB21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29F41FE"/>
    <w:multiLevelType w:val="hybridMultilevel"/>
    <w:tmpl w:val="184A1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683CDB"/>
    <w:multiLevelType w:val="hybridMultilevel"/>
    <w:tmpl w:val="F288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30967"/>
    <w:multiLevelType w:val="hybridMultilevel"/>
    <w:tmpl w:val="6C08F90E"/>
    <w:lvl w:ilvl="0" w:tplc="2A30C1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0F036F"/>
    <w:multiLevelType w:val="hybridMultilevel"/>
    <w:tmpl w:val="E6BC7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A73138"/>
    <w:multiLevelType w:val="hybridMultilevel"/>
    <w:tmpl w:val="805CDEB0"/>
    <w:lvl w:ilvl="0" w:tplc="7F22AA2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3BD5CC6"/>
    <w:multiLevelType w:val="hybridMultilevel"/>
    <w:tmpl w:val="6B1ECCF6"/>
    <w:lvl w:ilvl="0" w:tplc="34E466A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25488"/>
    <w:multiLevelType w:val="hybridMultilevel"/>
    <w:tmpl w:val="4022A31E"/>
    <w:lvl w:ilvl="0" w:tplc="7F22AA2A">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F77E1"/>
    <w:multiLevelType w:val="hybridMultilevel"/>
    <w:tmpl w:val="22B856F2"/>
    <w:lvl w:ilvl="0" w:tplc="1236E0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27E78"/>
    <w:multiLevelType w:val="hybridMultilevel"/>
    <w:tmpl w:val="0C706DF6"/>
    <w:lvl w:ilvl="0" w:tplc="107E0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9"/>
  </w:num>
  <w:num w:numId="4">
    <w:abstractNumId w:val="16"/>
  </w:num>
  <w:num w:numId="5">
    <w:abstractNumId w:val="21"/>
  </w:num>
  <w:num w:numId="6">
    <w:abstractNumId w:val="13"/>
  </w:num>
  <w:num w:numId="7">
    <w:abstractNumId w:val="0"/>
  </w:num>
  <w:num w:numId="8">
    <w:abstractNumId w:val="6"/>
  </w:num>
  <w:num w:numId="9">
    <w:abstractNumId w:val="15"/>
  </w:num>
  <w:num w:numId="10">
    <w:abstractNumId w:val="24"/>
  </w:num>
  <w:num w:numId="11">
    <w:abstractNumId w:val="2"/>
  </w:num>
  <w:num w:numId="12">
    <w:abstractNumId w:val="37"/>
  </w:num>
  <w:num w:numId="13">
    <w:abstractNumId w:val="10"/>
  </w:num>
  <w:num w:numId="14">
    <w:abstractNumId w:val="3"/>
  </w:num>
  <w:num w:numId="15">
    <w:abstractNumId w:val="29"/>
  </w:num>
  <w:num w:numId="16">
    <w:abstractNumId w:val="32"/>
  </w:num>
  <w:num w:numId="17">
    <w:abstractNumId w:val="34"/>
  </w:num>
  <w:num w:numId="18">
    <w:abstractNumId w:val="18"/>
  </w:num>
  <w:num w:numId="19">
    <w:abstractNumId w:val="42"/>
  </w:num>
  <w:num w:numId="20">
    <w:abstractNumId w:val="22"/>
  </w:num>
  <w:num w:numId="21">
    <w:abstractNumId w:val="27"/>
  </w:num>
  <w:num w:numId="22">
    <w:abstractNumId w:val="8"/>
  </w:num>
  <w:num w:numId="23">
    <w:abstractNumId w:val="12"/>
  </w:num>
  <w:num w:numId="24">
    <w:abstractNumId w:val="25"/>
  </w:num>
  <w:num w:numId="25">
    <w:abstractNumId w:val="28"/>
  </w:num>
  <w:num w:numId="26">
    <w:abstractNumId w:val="20"/>
  </w:num>
  <w:num w:numId="27">
    <w:abstractNumId w:val="36"/>
  </w:num>
  <w:num w:numId="28">
    <w:abstractNumId w:val="26"/>
  </w:num>
  <w:num w:numId="29">
    <w:abstractNumId w:val="14"/>
  </w:num>
  <w:num w:numId="30">
    <w:abstractNumId w:val="9"/>
  </w:num>
  <w:num w:numId="31">
    <w:abstractNumId w:val="40"/>
  </w:num>
  <w:num w:numId="32">
    <w:abstractNumId w:val="35"/>
  </w:num>
  <w:num w:numId="33">
    <w:abstractNumId w:val="38"/>
  </w:num>
  <w:num w:numId="34">
    <w:abstractNumId w:val="7"/>
  </w:num>
  <w:num w:numId="35">
    <w:abstractNumId w:val="4"/>
  </w:num>
  <w:num w:numId="36">
    <w:abstractNumId w:val="41"/>
  </w:num>
  <w:num w:numId="37">
    <w:abstractNumId w:val="17"/>
  </w:num>
  <w:num w:numId="38">
    <w:abstractNumId w:val="23"/>
  </w:num>
  <w:num w:numId="39">
    <w:abstractNumId w:val="30"/>
  </w:num>
  <w:num w:numId="40">
    <w:abstractNumId w:val="11"/>
  </w:num>
  <w:num w:numId="41">
    <w:abstractNumId w:val="31"/>
  </w:num>
  <w:num w:numId="42">
    <w:abstractNumId w:val="3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CB3"/>
    <w:rsid w:val="00003166"/>
    <w:rsid w:val="00011A98"/>
    <w:rsid w:val="00011F8D"/>
    <w:rsid w:val="000130B4"/>
    <w:rsid w:val="00014361"/>
    <w:rsid w:val="0001566D"/>
    <w:rsid w:val="000165D7"/>
    <w:rsid w:val="000167F3"/>
    <w:rsid w:val="00025242"/>
    <w:rsid w:val="00027243"/>
    <w:rsid w:val="000474FB"/>
    <w:rsid w:val="0005212C"/>
    <w:rsid w:val="00053A92"/>
    <w:rsid w:val="00054839"/>
    <w:rsid w:val="00056E0F"/>
    <w:rsid w:val="00057F36"/>
    <w:rsid w:val="000807BB"/>
    <w:rsid w:val="000A1A0B"/>
    <w:rsid w:val="000A1F30"/>
    <w:rsid w:val="000A2DFF"/>
    <w:rsid w:val="000A71DF"/>
    <w:rsid w:val="000B0962"/>
    <w:rsid w:val="000B2CBC"/>
    <w:rsid w:val="000B47DB"/>
    <w:rsid w:val="000D61AC"/>
    <w:rsid w:val="000D6EF8"/>
    <w:rsid w:val="000E6577"/>
    <w:rsid w:val="000E7A19"/>
    <w:rsid w:val="000F18D0"/>
    <w:rsid w:val="000F3A54"/>
    <w:rsid w:val="00104A1B"/>
    <w:rsid w:val="0010689C"/>
    <w:rsid w:val="001177DD"/>
    <w:rsid w:val="00135334"/>
    <w:rsid w:val="001412D4"/>
    <w:rsid w:val="00144F64"/>
    <w:rsid w:val="00145D62"/>
    <w:rsid w:val="00151567"/>
    <w:rsid w:val="0015165E"/>
    <w:rsid w:val="00163E17"/>
    <w:rsid w:val="00166F9E"/>
    <w:rsid w:val="00167880"/>
    <w:rsid w:val="001763C0"/>
    <w:rsid w:val="00180D45"/>
    <w:rsid w:val="00180E32"/>
    <w:rsid w:val="00186C6D"/>
    <w:rsid w:val="00187870"/>
    <w:rsid w:val="00187D5A"/>
    <w:rsid w:val="00192B05"/>
    <w:rsid w:val="001972D7"/>
    <w:rsid w:val="001A28F6"/>
    <w:rsid w:val="001A5433"/>
    <w:rsid w:val="001A725B"/>
    <w:rsid w:val="001B2831"/>
    <w:rsid w:val="001B4065"/>
    <w:rsid w:val="001B784F"/>
    <w:rsid w:val="001C0493"/>
    <w:rsid w:val="001C28AD"/>
    <w:rsid w:val="001C2DCD"/>
    <w:rsid w:val="001D4797"/>
    <w:rsid w:val="001D7FCB"/>
    <w:rsid w:val="001E2B99"/>
    <w:rsid w:val="001E2F74"/>
    <w:rsid w:val="001E69B6"/>
    <w:rsid w:val="001F4DBB"/>
    <w:rsid w:val="0020178B"/>
    <w:rsid w:val="00202D07"/>
    <w:rsid w:val="0020312D"/>
    <w:rsid w:val="00205C1D"/>
    <w:rsid w:val="00206E33"/>
    <w:rsid w:val="00210519"/>
    <w:rsid w:val="0021271F"/>
    <w:rsid w:val="00215D5A"/>
    <w:rsid w:val="00223EBD"/>
    <w:rsid w:val="00227259"/>
    <w:rsid w:val="00241B17"/>
    <w:rsid w:val="00241C81"/>
    <w:rsid w:val="00257A1C"/>
    <w:rsid w:val="00263039"/>
    <w:rsid w:val="0027234C"/>
    <w:rsid w:val="00281795"/>
    <w:rsid w:val="002850E3"/>
    <w:rsid w:val="00285B76"/>
    <w:rsid w:val="00287E2F"/>
    <w:rsid w:val="002A1948"/>
    <w:rsid w:val="002B38AF"/>
    <w:rsid w:val="002C0877"/>
    <w:rsid w:val="002C2AE2"/>
    <w:rsid w:val="002D0DCE"/>
    <w:rsid w:val="002E05DD"/>
    <w:rsid w:val="002E2B10"/>
    <w:rsid w:val="002E4D77"/>
    <w:rsid w:val="002E73B0"/>
    <w:rsid w:val="002F1502"/>
    <w:rsid w:val="002F2069"/>
    <w:rsid w:val="002F71A2"/>
    <w:rsid w:val="002F77EA"/>
    <w:rsid w:val="00302330"/>
    <w:rsid w:val="003041AD"/>
    <w:rsid w:val="00306E5C"/>
    <w:rsid w:val="0031279F"/>
    <w:rsid w:val="0031329E"/>
    <w:rsid w:val="003161F0"/>
    <w:rsid w:val="00316F00"/>
    <w:rsid w:val="00321B51"/>
    <w:rsid w:val="00330AC2"/>
    <w:rsid w:val="0033299D"/>
    <w:rsid w:val="00336D96"/>
    <w:rsid w:val="00344F07"/>
    <w:rsid w:val="003469C8"/>
    <w:rsid w:val="00350C8C"/>
    <w:rsid w:val="00355EA4"/>
    <w:rsid w:val="00362275"/>
    <w:rsid w:val="003635BE"/>
    <w:rsid w:val="00366B5E"/>
    <w:rsid w:val="00374039"/>
    <w:rsid w:val="00385BB5"/>
    <w:rsid w:val="00386BC2"/>
    <w:rsid w:val="0038725D"/>
    <w:rsid w:val="003874D4"/>
    <w:rsid w:val="00390ABE"/>
    <w:rsid w:val="00396CE0"/>
    <w:rsid w:val="003A2152"/>
    <w:rsid w:val="003A2B26"/>
    <w:rsid w:val="003B125E"/>
    <w:rsid w:val="003B12EF"/>
    <w:rsid w:val="003C31C9"/>
    <w:rsid w:val="003C4961"/>
    <w:rsid w:val="003C7C5D"/>
    <w:rsid w:val="003D0AD2"/>
    <w:rsid w:val="003E311D"/>
    <w:rsid w:val="003F5913"/>
    <w:rsid w:val="00401DFD"/>
    <w:rsid w:val="004024F8"/>
    <w:rsid w:val="00405696"/>
    <w:rsid w:val="0041159A"/>
    <w:rsid w:val="00412A3C"/>
    <w:rsid w:val="00415C0C"/>
    <w:rsid w:val="004305A8"/>
    <w:rsid w:val="004353D5"/>
    <w:rsid w:val="00443CA0"/>
    <w:rsid w:val="00450E14"/>
    <w:rsid w:val="00462C65"/>
    <w:rsid w:val="004674E7"/>
    <w:rsid w:val="00467B14"/>
    <w:rsid w:val="00474EDA"/>
    <w:rsid w:val="004824FA"/>
    <w:rsid w:val="00484011"/>
    <w:rsid w:val="004841F1"/>
    <w:rsid w:val="00484A77"/>
    <w:rsid w:val="004A1E3A"/>
    <w:rsid w:val="004A265F"/>
    <w:rsid w:val="004B09DB"/>
    <w:rsid w:val="004B46D6"/>
    <w:rsid w:val="004C0BF6"/>
    <w:rsid w:val="004C4464"/>
    <w:rsid w:val="004C4AEA"/>
    <w:rsid w:val="004D0430"/>
    <w:rsid w:val="004D1DAA"/>
    <w:rsid w:val="004D4EB1"/>
    <w:rsid w:val="004E003C"/>
    <w:rsid w:val="004E16EB"/>
    <w:rsid w:val="004E6665"/>
    <w:rsid w:val="004F634E"/>
    <w:rsid w:val="004F67A8"/>
    <w:rsid w:val="00510D90"/>
    <w:rsid w:val="0051324E"/>
    <w:rsid w:val="005133AA"/>
    <w:rsid w:val="005142C0"/>
    <w:rsid w:val="0051582C"/>
    <w:rsid w:val="00522A50"/>
    <w:rsid w:val="00527225"/>
    <w:rsid w:val="0053557D"/>
    <w:rsid w:val="005410E3"/>
    <w:rsid w:val="005463DE"/>
    <w:rsid w:val="00546DC2"/>
    <w:rsid w:val="005542E8"/>
    <w:rsid w:val="005554C9"/>
    <w:rsid w:val="00556630"/>
    <w:rsid w:val="0055686D"/>
    <w:rsid w:val="00556D38"/>
    <w:rsid w:val="00572B59"/>
    <w:rsid w:val="00573E58"/>
    <w:rsid w:val="005800EE"/>
    <w:rsid w:val="0058547C"/>
    <w:rsid w:val="005869D6"/>
    <w:rsid w:val="0059331E"/>
    <w:rsid w:val="0059605E"/>
    <w:rsid w:val="005A33F6"/>
    <w:rsid w:val="005A59E5"/>
    <w:rsid w:val="005B7440"/>
    <w:rsid w:val="005C0C3C"/>
    <w:rsid w:val="005E2150"/>
    <w:rsid w:val="005E2995"/>
    <w:rsid w:val="005F3FEF"/>
    <w:rsid w:val="00600C4F"/>
    <w:rsid w:val="0060788F"/>
    <w:rsid w:val="00607F7C"/>
    <w:rsid w:val="006102DA"/>
    <w:rsid w:val="00610C38"/>
    <w:rsid w:val="00616090"/>
    <w:rsid w:val="00621E31"/>
    <w:rsid w:val="00622EA7"/>
    <w:rsid w:val="006315A3"/>
    <w:rsid w:val="006518FB"/>
    <w:rsid w:val="006579A2"/>
    <w:rsid w:val="00667C89"/>
    <w:rsid w:val="006711EE"/>
    <w:rsid w:val="00672D60"/>
    <w:rsid w:val="0067712D"/>
    <w:rsid w:val="006809BB"/>
    <w:rsid w:val="006809FD"/>
    <w:rsid w:val="0068141F"/>
    <w:rsid w:val="00691D1F"/>
    <w:rsid w:val="00692D41"/>
    <w:rsid w:val="00697BAE"/>
    <w:rsid w:val="006A1898"/>
    <w:rsid w:val="006B4DDC"/>
    <w:rsid w:val="006B5E55"/>
    <w:rsid w:val="006C3932"/>
    <w:rsid w:val="006C4DA7"/>
    <w:rsid w:val="006D25A1"/>
    <w:rsid w:val="006E14E9"/>
    <w:rsid w:val="006E32C8"/>
    <w:rsid w:val="006F09A2"/>
    <w:rsid w:val="006F6856"/>
    <w:rsid w:val="007111DE"/>
    <w:rsid w:val="007145D0"/>
    <w:rsid w:val="00716F94"/>
    <w:rsid w:val="00731E6C"/>
    <w:rsid w:val="00733D70"/>
    <w:rsid w:val="00752271"/>
    <w:rsid w:val="00760E12"/>
    <w:rsid w:val="00761234"/>
    <w:rsid w:val="00763CF3"/>
    <w:rsid w:val="00772293"/>
    <w:rsid w:val="00775B5A"/>
    <w:rsid w:val="00781AE3"/>
    <w:rsid w:val="00783C75"/>
    <w:rsid w:val="00784619"/>
    <w:rsid w:val="0078627B"/>
    <w:rsid w:val="0078765B"/>
    <w:rsid w:val="007923CD"/>
    <w:rsid w:val="00793922"/>
    <w:rsid w:val="00794E32"/>
    <w:rsid w:val="007A0D73"/>
    <w:rsid w:val="007A10BC"/>
    <w:rsid w:val="007A16B8"/>
    <w:rsid w:val="007A41CD"/>
    <w:rsid w:val="007A70AA"/>
    <w:rsid w:val="007B305A"/>
    <w:rsid w:val="007C0DC6"/>
    <w:rsid w:val="007C0FFE"/>
    <w:rsid w:val="007C1DCA"/>
    <w:rsid w:val="007C6FDA"/>
    <w:rsid w:val="007E575D"/>
    <w:rsid w:val="007E6AEF"/>
    <w:rsid w:val="00815C7D"/>
    <w:rsid w:val="00817941"/>
    <w:rsid w:val="008200C2"/>
    <w:rsid w:val="008229E4"/>
    <w:rsid w:val="00823547"/>
    <w:rsid w:val="00823BEB"/>
    <w:rsid w:val="008261AB"/>
    <w:rsid w:val="008269AB"/>
    <w:rsid w:val="00833A4D"/>
    <w:rsid w:val="00834C91"/>
    <w:rsid w:val="00835CA7"/>
    <w:rsid w:val="008370D4"/>
    <w:rsid w:val="008414AD"/>
    <w:rsid w:val="008428D9"/>
    <w:rsid w:val="008443A8"/>
    <w:rsid w:val="0085343E"/>
    <w:rsid w:val="00853B4E"/>
    <w:rsid w:val="00873F91"/>
    <w:rsid w:val="0087631A"/>
    <w:rsid w:val="00884DB9"/>
    <w:rsid w:val="008A320B"/>
    <w:rsid w:val="008B0956"/>
    <w:rsid w:val="008B79FB"/>
    <w:rsid w:val="008C67D2"/>
    <w:rsid w:val="008C7180"/>
    <w:rsid w:val="008E0683"/>
    <w:rsid w:val="008E1E0C"/>
    <w:rsid w:val="008F2CF0"/>
    <w:rsid w:val="008F5C55"/>
    <w:rsid w:val="00901CD5"/>
    <w:rsid w:val="00902DD9"/>
    <w:rsid w:val="00904EE4"/>
    <w:rsid w:val="00911486"/>
    <w:rsid w:val="009121C1"/>
    <w:rsid w:val="009129CA"/>
    <w:rsid w:val="009206B6"/>
    <w:rsid w:val="00922573"/>
    <w:rsid w:val="009252DC"/>
    <w:rsid w:val="009263C1"/>
    <w:rsid w:val="00936A6E"/>
    <w:rsid w:val="00941B4F"/>
    <w:rsid w:val="00947C6E"/>
    <w:rsid w:val="009518C0"/>
    <w:rsid w:val="00963CE3"/>
    <w:rsid w:val="00964F18"/>
    <w:rsid w:val="00965684"/>
    <w:rsid w:val="00965FE2"/>
    <w:rsid w:val="0096721C"/>
    <w:rsid w:val="00974424"/>
    <w:rsid w:val="00985E12"/>
    <w:rsid w:val="00987F76"/>
    <w:rsid w:val="00993088"/>
    <w:rsid w:val="0099664F"/>
    <w:rsid w:val="00997D5D"/>
    <w:rsid w:val="009A0447"/>
    <w:rsid w:val="009A2CE5"/>
    <w:rsid w:val="009B4A51"/>
    <w:rsid w:val="009C28B1"/>
    <w:rsid w:val="009C61AD"/>
    <w:rsid w:val="009D373D"/>
    <w:rsid w:val="009D7B2C"/>
    <w:rsid w:val="009E0801"/>
    <w:rsid w:val="009E1D05"/>
    <w:rsid w:val="009E31C9"/>
    <w:rsid w:val="009F7DE0"/>
    <w:rsid w:val="00A11092"/>
    <w:rsid w:val="00A11B0C"/>
    <w:rsid w:val="00A271A1"/>
    <w:rsid w:val="00A31861"/>
    <w:rsid w:val="00A33B35"/>
    <w:rsid w:val="00A33E90"/>
    <w:rsid w:val="00A36419"/>
    <w:rsid w:val="00A578C2"/>
    <w:rsid w:val="00A72652"/>
    <w:rsid w:val="00A75D1C"/>
    <w:rsid w:val="00A807D0"/>
    <w:rsid w:val="00A809AA"/>
    <w:rsid w:val="00A834B6"/>
    <w:rsid w:val="00A849B3"/>
    <w:rsid w:val="00A8510D"/>
    <w:rsid w:val="00A86AF3"/>
    <w:rsid w:val="00A90AFF"/>
    <w:rsid w:val="00A90BDC"/>
    <w:rsid w:val="00A95477"/>
    <w:rsid w:val="00A975A9"/>
    <w:rsid w:val="00AA3192"/>
    <w:rsid w:val="00AB0486"/>
    <w:rsid w:val="00AB251E"/>
    <w:rsid w:val="00AB3608"/>
    <w:rsid w:val="00AC3274"/>
    <w:rsid w:val="00AC5C48"/>
    <w:rsid w:val="00AC63E3"/>
    <w:rsid w:val="00AD7995"/>
    <w:rsid w:val="00AF024D"/>
    <w:rsid w:val="00AF0CF4"/>
    <w:rsid w:val="00AF12FD"/>
    <w:rsid w:val="00AF2252"/>
    <w:rsid w:val="00AF6C51"/>
    <w:rsid w:val="00B00B12"/>
    <w:rsid w:val="00B1129F"/>
    <w:rsid w:val="00B11D61"/>
    <w:rsid w:val="00B12F51"/>
    <w:rsid w:val="00B17BAF"/>
    <w:rsid w:val="00B2751E"/>
    <w:rsid w:val="00B3650C"/>
    <w:rsid w:val="00B40DF3"/>
    <w:rsid w:val="00B46610"/>
    <w:rsid w:val="00B64BFA"/>
    <w:rsid w:val="00B71E63"/>
    <w:rsid w:val="00B76CBD"/>
    <w:rsid w:val="00B85DE4"/>
    <w:rsid w:val="00B87AAD"/>
    <w:rsid w:val="00B91A31"/>
    <w:rsid w:val="00BA6C28"/>
    <w:rsid w:val="00BA6DB4"/>
    <w:rsid w:val="00BA7387"/>
    <w:rsid w:val="00BB36C4"/>
    <w:rsid w:val="00BC3F3C"/>
    <w:rsid w:val="00BC5BB2"/>
    <w:rsid w:val="00BE738E"/>
    <w:rsid w:val="00BF11A1"/>
    <w:rsid w:val="00BF3F54"/>
    <w:rsid w:val="00C00697"/>
    <w:rsid w:val="00C0376C"/>
    <w:rsid w:val="00C06D77"/>
    <w:rsid w:val="00C14BA6"/>
    <w:rsid w:val="00C16C41"/>
    <w:rsid w:val="00C17908"/>
    <w:rsid w:val="00C3485C"/>
    <w:rsid w:val="00C402EB"/>
    <w:rsid w:val="00C4176E"/>
    <w:rsid w:val="00C544A4"/>
    <w:rsid w:val="00C5630F"/>
    <w:rsid w:val="00C768E5"/>
    <w:rsid w:val="00C807AA"/>
    <w:rsid w:val="00CA06F8"/>
    <w:rsid w:val="00CA2004"/>
    <w:rsid w:val="00CA5B99"/>
    <w:rsid w:val="00CB334D"/>
    <w:rsid w:val="00CB56D5"/>
    <w:rsid w:val="00CC0E71"/>
    <w:rsid w:val="00CC3C8B"/>
    <w:rsid w:val="00CD1EA8"/>
    <w:rsid w:val="00CF2FF2"/>
    <w:rsid w:val="00CF5ABD"/>
    <w:rsid w:val="00CF63CE"/>
    <w:rsid w:val="00CF6BC2"/>
    <w:rsid w:val="00D067C1"/>
    <w:rsid w:val="00D13B13"/>
    <w:rsid w:val="00D16E78"/>
    <w:rsid w:val="00D171B2"/>
    <w:rsid w:val="00D201D3"/>
    <w:rsid w:val="00D26A64"/>
    <w:rsid w:val="00D31B96"/>
    <w:rsid w:val="00D46264"/>
    <w:rsid w:val="00D51C63"/>
    <w:rsid w:val="00D52B9A"/>
    <w:rsid w:val="00D5367E"/>
    <w:rsid w:val="00D53B1E"/>
    <w:rsid w:val="00D623FE"/>
    <w:rsid w:val="00D70CF3"/>
    <w:rsid w:val="00D84EF0"/>
    <w:rsid w:val="00D851E3"/>
    <w:rsid w:val="00D861ED"/>
    <w:rsid w:val="00D873E0"/>
    <w:rsid w:val="00D90640"/>
    <w:rsid w:val="00D94F8B"/>
    <w:rsid w:val="00D95FBF"/>
    <w:rsid w:val="00DA0E89"/>
    <w:rsid w:val="00DA5988"/>
    <w:rsid w:val="00DB7F78"/>
    <w:rsid w:val="00DC317C"/>
    <w:rsid w:val="00DC4FF2"/>
    <w:rsid w:val="00DC65CF"/>
    <w:rsid w:val="00DC79CC"/>
    <w:rsid w:val="00DD2C56"/>
    <w:rsid w:val="00E10D39"/>
    <w:rsid w:val="00E134F4"/>
    <w:rsid w:val="00E162E0"/>
    <w:rsid w:val="00E16AD7"/>
    <w:rsid w:val="00E23568"/>
    <w:rsid w:val="00E245B5"/>
    <w:rsid w:val="00E3255E"/>
    <w:rsid w:val="00E33E1B"/>
    <w:rsid w:val="00E34D3E"/>
    <w:rsid w:val="00E40BAF"/>
    <w:rsid w:val="00E55EBE"/>
    <w:rsid w:val="00E720E9"/>
    <w:rsid w:val="00E738B1"/>
    <w:rsid w:val="00E81C5E"/>
    <w:rsid w:val="00E82056"/>
    <w:rsid w:val="00E83B3C"/>
    <w:rsid w:val="00E8736B"/>
    <w:rsid w:val="00E90275"/>
    <w:rsid w:val="00E925D4"/>
    <w:rsid w:val="00E9306A"/>
    <w:rsid w:val="00E97226"/>
    <w:rsid w:val="00E97886"/>
    <w:rsid w:val="00EA33EF"/>
    <w:rsid w:val="00EB61CE"/>
    <w:rsid w:val="00EC4FFD"/>
    <w:rsid w:val="00EC5EFC"/>
    <w:rsid w:val="00ED1F48"/>
    <w:rsid w:val="00ED4B5C"/>
    <w:rsid w:val="00ED7EBC"/>
    <w:rsid w:val="00EF33CD"/>
    <w:rsid w:val="00EF7D0D"/>
    <w:rsid w:val="00F074ED"/>
    <w:rsid w:val="00F10DD7"/>
    <w:rsid w:val="00F12924"/>
    <w:rsid w:val="00F20C9B"/>
    <w:rsid w:val="00F300CB"/>
    <w:rsid w:val="00F42C3A"/>
    <w:rsid w:val="00F52BCC"/>
    <w:rsid w:val="00F5313F"/>
    <w:rsid w:val="00F66C5A"/>
    <w:rsid w:val="00F749E6"/>
    <w:rsid w:val="00F81A48"/>
    <w:rsid w:val="00F91D31"/>
    <w:rsid w:val="00FA20C7"/>
    <w:rsid w:val="00FB554A"/>
    <w:rsid w:val="00FB62BC"/>
    <w:rsid w:val="00FB6C5B"/>
    <w:rsid w:val="00FD17C9"/>
    <w:rsid w:val="00FD2A5B"/>
    <w:rsid w:val="00FD59DF"/>
    <w:rsid w:val="00FE5D0D"/>
    <w:rsid w:val="00FE6A5C"/>
    <w:rsid w:val="00FF0010"/>
    <w:rsid w:val="00FF6C63"/>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75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3B47-85F0-4588-8EC5-E3F1CEE9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Mumford, Karen (CDC/OSTLTS/DPHPI)</cp:lastModifiedBy>
  <cp:revision>7</cp:revision>
  <cp:lastPrinted>2011-06-07T15:53:00Z</cp:lastPrinted>
  <dcterms:created xsi:type="dcterms:W3CDTF">2012-06-18T15:29:00Z</dcterms:created>
  <dcterms:modified xsi:type="dcterms:W3CDTF">2012-06-18T18:46:00Z</dcterms:modified>
</cp:coreProperties>
</file>