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213BC1" w:rsidRDefault="00213BC1" w:rsidP="00213BC1">
      <w:pPr>
        <w:spacing w:after="0"/>
        <w:jc w:val="center"/>
        <w:rPr>
          <w:rFonts w:asciiTheme="majorHAnsi" w:hAnsiTheme="majorHAnsi"/>
          <w:b/>
          <w:sz w:val="40"/>
        </w:rPr>
      </w:pPr>
      <w:r>
        <w:rPr>
          <w:rFonts w:asciiTheme="majorHAnsi" w:hAnsiTheme="majorHAnsi"/>
          <w:b/>
          <w:sz w:val="40"/>
        </w:rPr>
        <w:t xml:space="preserve">Public Health Law Training and Technical Assistance Needs Assessment of State, Tribal, Local, and Territorial Health Department Staff </w:t>
      </w:r>
    </w:p>
    <w:p w:rsidR="00AA3192" w:rsidRDefault="00AA3192" w:rsidP="00484011">
      <w:pPr>
        <w:spacing w:after="0"/>
        <w:jc w:val="center"/>
        <w:rPr>
          <w:rFonts w:asciiTheme="majorHAnsi" w:hAnsiTheme="majorHAnsi"/>
          <w:b/>
        </w:rPr>
      </w:pPr>
      <w:bookmarkStart w:id="0" w:name="_GoBack"/>
      <w:bookmarkEnd w:id="0"/>
    </w:p>
    <w:p w:rsidR="00716F94" w:rsidRPr="00AA3192" w:rsidRDefault="00484011" w:rsidP="00484011">
      <w:pPr>
        <w:spacing w:after="0"/>
        <w:jc w:val="center"/>
        <w:rPr>
          <w:rFonts w:asciiTheme="majorHAnsi" w:hAnsiTheme="majorHAnsi"/>
        </w:rPr>
      </w:pPr>
      <w:r w:rsidRPr="00AA3192">
        <w:rPr>
          <w:rFonts w:asciiTheme="majorHAnsi" w:hAnsiTheme="majorHAnsi"/>
        </w:rPr>
        <w:t>OSTLTS Generic Information C</w:t>
      </w:r>
      <w:r w:rsidR="00230CEF">
        <w:rPr>
          <w:rFonts w:asciiTheme="majorHAnsi" w:hAnsiTheme="majorHAnsi"/>
        </w:rPr>
        <w:t>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00697B72">
        <w:rPr>
          <w:rFonts w:asciiTheme="majorHAnsi" w:hAnsiTheme="majorHAnsi"/>
        </w:rPr>
        <w:t xml:space="preserve"> May 16, 2012</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667C89" w:rsidRPr="00667C89" w:rsidRDefault="00716F94" w:rsidP="00716F94">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rsidR="00DE3E99" w:rsidRPr="00442AAD" w:rsidRDefault="00DE3E99" w:rsidP="00DE3E99">
      <w:pPr>
        <w:spacing w:after="0" w:line="240" w:lineRule="auto"/>
        <w:rPr>
          <w:rFonts w:ascii="Times New Roman" w:hAnsi="Times New Roman" w:cs="Times New Roman"/>
          <w:bCs/>
        </w:rPr>
      </w:pPr>
      <w:r w:rsidRPr="00442AAD">
        <w:rPr>
          <w:rFonts w:ascii="Times New Roman" w:hAnsi="Times New Roman" w:cs="Times New Roman"/>
          <w:bCs/>
        </w:rPr>
        <w:t>Lindsay Culp</w:t>
      </w:r>
    </w:p>
    <w:p w:rsidR="00DE3E99" w:rsidRPr="00442AAD" w:rsidRDefault="00DE3E99" w:rsidP="00DE3E99">
      <w:pPr>
        <w:spacing w:after="0" w:line="240" w:lineRule="auto"/>
        <w:rPr>
          <w:rFonts w:ascii="Times New Roman" w:hAnsi="Times New Roman" w:cs="Times New Roman"/>
        </w:rPr>
      </w:pPr>
      <w:r w:rsidRPr="00442AAD">
        <w:rPr>
          <w:rFonts w:ascii="Times New Roman" w:hAnsi="Times New Roman" w:cs="Times New Roman"/>
        </w:rPr>
        <w:t>Public Health Analyst</w:t>
      </w:r>
    </w:p>
    <w:p w:rsidR="00DE3E99" w:rsidRPr="00442AAD" w:rsidRDefault="00DE3E99" w:rsidP="00DE3E99">
      <w:pPr>
        <w:spacing w:after="0" w:line="240" w:lineRule="auto"/>
        <w:rPr>
          <w:rFonts w:ascii="Times New Roman" w:hAnsi="Times New Roman" w:cs="Times New Roman"/>
        </w:rPr>
      </w:pPr>
      <w:r w:rsidRPr="00442AAD">
        <w:rPr>
          <w:rFonts w:ascii="Times New Roman" w:hAnsi="Times New Roman" w:cs="Times New Roman"/>
        </w:rPr>
        <w:t>Office for State, Tribal, Local, and Territorial Support</w:t>
      </w:r>
    </w:p>
    <w:p w:rsidR="00DE3E99" w:rsidRPr="00442AAD" w:rsidRDefault="00DE3E99" w:rsidP="00DE3E99">
      <w:pPr>
        <w:spacing w:after="0" w:line="240" w:lineRule="auto"/>
        <w:rPr>
          <w:rFonts w:ascii="Times New Roman" w:hAnsi="Times New Roman" w:cs="Times New Roman"/>
        </w:rPr>
      </w:pPr>
      <w:r w:rsidRPr="00442AAD">
        <w:rPr>
          <w:rFonts w:ascii="Times New Roman" w:hAnsi="Times New Roman" w:cs="Times New Roman"/>
        </w:rPr>
        <w:t>4770 Buford Highway, MS E-70, Atlanta, GA 30341</w:t>
      </w:r>
    </w:p>
    <w:p w:rsidR="00DE3E99" w:rsidRPr="00442AAD" w:rsidRDefault="00DE3E99" w:rsidP="00DE3E99">
      <w:pPr>
        <w:spacing w:after="0" w:line="240" w:lineRule="auto"/>
        <w:rPr>
          <w:rFonts w:ascii="Times New Roman" w:hAnsi="Times New Roman" w:cs="Times New Roman"/>
        </w:rPr>
      </w:pPr>
      <w:r w:rsidRPr="00442AAD">
        <w:rPr>
          <w:rFonts w:ascii="Times New Roman" w:hAnsi="Times New Roman" w:cs="Times New Roman"/>
        </w:rPr>
        <w:t>404-498-0456</w:t>
      </w:r>
    </w:p>
    <w:p w:rsidR="00DE3E99" w:rsidRPr="00442AAD" w:rsidRDefault="00DE3E99" w:rsidP="00DE3E99">
      <w:pPr>
        <w:spacing w:after="0" w:line="240" w:lineRule="auto"/>
        <w:rPr>
          <w:rFonts w:ascii="Times New Roman" w:hAnsi="Times New Roman" w:cs="Times New Roman"/>
        </w:rPr>
      </w:pPr>
      <w:r w:rsidRPr="00442AAD">
        <w:rPr>
          <w:rFonts w:ascii="Times New Roman" w:hAnsi="Times New Roman" w:cs="Times New Roman"/>
        </w:rPr>
        <w:t>404-498-6882</w:t>
      </w:r>
    </w:p>
    <w:p w:rsidR="00F725B5" w:rsidRPr="000B0962" w:rsidRDefault="00DE3E99" w:rsidP="00DE3E99">
      <w:pPr>
        <w:spacing w:after="0" w:line="240" w:lineRule="auto"/>
        <w:rPr>
          <w:rFonts w:ascii="Times New Roman" w:hAnsi="Times New Roman" w:cs="Times New Roman"/>
          <w:color w:val="FF0000"/>
        </w:rPr>
      </w:pPr>
      <w:r w:rsidRPr="00442AAD">
        <w:rPr>
          <w:rFonts w:ascii="Times New Roman" w:hAnsi="Times New Roman" w:cs="Times New Roman"/>
        </w:rPr>
        <w:t>Lvc9@cdc.gov</w:t>
      </w:r>
    </w:p>
    <w:p w:rsidR="00F725B5" w:rsidRDefault="00F725B5" w:rsidP="00B12F51">
      <w:pPr>
        <w:spacing w:after="0"/>
        <w:rPr>
          <w:rFonts w:asciiTheme="majorHAnsi" w:hAnsiTheme="majorHAnsi"/>
        </w:rPr>
      </w:pPr>
    </w:p>
    <w:p w:rsidR="00F725B5" w:rsidRDefault="00F725B5" w:rsidP="00B12F51">
      <w:pPr>
        <w:spacing w:after="0"/>
        <w:rPr>
          <w:rFonts w:asciiTheme="majorHAnsi" w:hAnsiTheme="majorHAnsi"/>
        </w:rPr>
      </w:pPr>
    </w:p>
    <w:p w:rsidR="00F725B5" w:rsidRDefault="00F725B5" w:rsidP="00B12F51">
      <w:pPr>
        <w:spacing w:after="0"/>
        <w:rPr>
          <w:rFonts w:asciiTheme="majorHAnsi" w:hAnsiTheme="majorHAnsi"/>
          <w:b/>
          <w:sz w:val="28"/>
        </w:rPr>
      </w:pPr>
    </w:p>
    <w:p w:rsidR="00B12F51" w:rsidRPr="00F52BCC" w:rsidRDefault="00B12F51" w:rsidP="00B12F51">
      <w:pPr>
        <w:spacing w:after="0"/>
        <w:rPr>
          <w:rFonts w:asciiTheme="majorHAnsi" w:hAnsiTheme="majorHAnsi"/>
          <w:sz w:val="28"/>
        </w:rPr>
      </w:pPr>
      <w:r w:rsidRPr="00F52BCC">
        <w:rPr>
          <w:rFonts w:asciiTheme="majorHAnsi" w:hAnsiTheme="majorHAnsi"/>
          <w:b/>
          <w:sz w:val="28"/>
        </w:rPr>
        <w:t xml:space="preserve">Section B – </w:t>
      </w:r>
      <w:r w:rsidR="00287E2F" w:rsidRPr="00F52BCC">
        <w:rPr>
          <w:rFonts w:asciiTheme="majorHAnsi" w:hAnsiTheme="majorHAnsi"/>
          <w:b/>
          <w:sz w:val="28"/>
        </w:rPr>
        <w:t>Data Collection Procedures</w:t>
      </w:r>
    </w:p>
    <w:p w:rsidR="00287E2F" w:rsidRDefault="00287E2F" w:rsidP="00B12F51">
      <w:pPr>
        <w:spacing w:after="0"/>
        <w:rPr>
          <w:rFonts w:asciiTheme="majorHAnsi" w:hAnsiTheme="majorHAnsi"/>
        </w:rPr>
      </w:pPr>
    </w:p>
    <w:p w:rsidR="00B12F51" w:rsidRPr="00D26A64" w:rsidRDefault="00F725B5" w:rsidP="00B12F51">
      <w:pPr>
        <w:pStyle w:val="ListParagraph"/>
        <w:numPr>
          <w:ilvl w:val="0"/>
          <w:numId w:val="3"/>
        </w:numPr>
        <w:spacing w:after="0"/>
        <w:rPr>
          <w:rFonts w:asciiTheme="majorHAnsi" w:hAnsiTheme="majorHAnsi"/>
          <w:b/>
        </w:rPr>
      </w:pPr>
      <w:r>
        <w:rPr>
          <w:rFonts w:asciiTheme="majorHAnsi" w:hAnsiTheme="majorHAnsi"/>
          <w:b/>
        </w:rPr>
        <w:t xml:space="preserve">Universe and </w:t>
      </w:r>
      <w:r w:rsidR="00287E2F" w:rsidRPr="00D26A64">
        <w:rPr>
          <w:rFonts w:asciiTheme="majorHAnsi" w:hAnsiTheme="majorHAnsi"/>
          <w:b/>
        </w:rPr>
        <w:t xml:space="preserve">Respondent </w:t>
      </w:r>
      <w:r>
        <w:rPr>
          <w:rFonts w:asciiTheme="majorHAnsi" w:hAnsiTheme="majorHAnsi"/>
          <w:b/>
        </w:rPr>
        <w:t xml:space="preserve">Selection  </w:t>
      </w:r>
    </w:p>
    <w:p w:rsidR="00222B33" w:rsidRDefault="00222B33" w:rsidP="00B97647">
      <w:pPr>
        <w:pStyle w:val="ListParagraph"/>
        <w:rPr>
          <w:rFonts w:asciiTheme="majorHAnsi" w:hAnsiTheme="majorHAnsi"/>
        </w:rPr>
      </w:pPr>
    </w:p>
    <w:p w:rsidR="004A4DB1" w:rsidRDefault="00B37EDC" w:rsidP="00251D17">
      <w:pPr>
        <w:pStyle w:val="ListParagraph"/>
        <w:rPr>
          <w:rFonts w:asciiTheme="majorHAnsi" w:hAnsiTheme="majorHAnsi"/>
        </w:rPr>
      </w:pPr>
      <w:r>
        <w:rPr>
          <w:rFonts w:asciiTheme="majorHAnsi" w:hAnsiTheme="majorHAnsi"/>
        </w:rPr>
        <w:t xml:space="preserve">The </w:t>
      </w:r>
      <w:r w:rsidR="00691186">
        <w:rPr>
          <w:rFonts w:asciiTheme="majorHAnsi" w:hAnsiTheme="majorHAnsi"/>
        </w:rPr>
        <w:t>respondent universe</w:t>
      </w:r>
      <w:r>
        <w:rPr>
          <w:rFonts w:asciiTheme="majorHAnsi" w:hAnsiTheme="majorHAnsi"/>
        </w:rPr>
        <w:t xml:space="preserve"> includes two </w:t>
      </w:r>
      <w:r w:rsidR="00691186">
        <w:rPr>
          <w:rFonts w:asciiTheme="majorHAnsi" w:hAnsiTheme="majorHAnsi"/>
        </w:rPr>
        <w:t>populations</w:t>
      </w:r>
      <w:r>
        <w:rPr>
          <w:rFonts w:asciiTheme="majorHAnsi" w:hAnsiTheme="majorHAnsi"/>
        </w:rPr>
        <w:t xml:space="preserve">: </w:t>
      </w:r>
      <w:r w:rsidR="00251D17">
        <w:rPr>
          <w:rFonts w:asciiTheme="majorHAnsi" w:hAnsiTheme="majorHAnsi"/>
        </w:rPr>
        <w:t>(</w:t>
      </w:r>
      <w:r>
        <w:rPr>
          <w:rFonts w:asciiTheme="majorHAnsi" w:hAnsiTheme="majorHAnsi"/>
        </w:rPr>
        <w:t xml:space="preserve">1) </w:t>
      </w:r>
      <w:r w:rsidR="00691186">
        <w:rPr>
          <w:rFonts w:asciiTheme="majorHAnsi" w:hAnsiTheme="majorHAnsi"/>
        </w:rPr>
        <w:t xml:space="preserve">1,589 </w:t>
      </w:r>
      <w:r>
        <w:rPr>
          <w:rFonts w:asciiTheme="majorHAnsi" w:hAnsiTheme="majorHAnsi"/>
        </w:rPr>
        <w:t xml:space="preserve">employees of a state, local, tribal or territorial (STLT) health department </w:t>
      </w:r>
      <w:r w:rsidR="00691186">
        <w:rPr>
          <w:rFonts w:asciiTheme="majorHAnsi" w:hAnsiTheme="majorHAnsi"/>
        </w:rPr>
        <w:t xml:space="preserve">subscribing to </w:t>
      </w:r>
      <w:r w:rsidR="00691186" w:rsidRPr="00681A93">
        <w:rPr>
          <w:rFonts w:asciiTheme="majorHAnsi" w:hAnsiTheme="majorHAnsi"/>
        </w:rPr>
        <w:t xml:space="preserve">the </w:t>
      </w:r>
      <w:r w:rsidR="00691186" w:rsidRPr="00FD6FC6">
        <w:rPr>
          <w:rFonts w:asciiTheme="majorHAnsi" w:hAnsiTheme="majorHAnsi"/>
          <w:i/>
        </w:rPr>
        <w:t>CDC Public Health Law News</w:t>
      </w:r>
      <w:r w:rsidR="00691186" w:rsidRPr="00681A93">
        <w:rPr>
          <w:rFonts w:asciiTheme="majorHAnsi" w:hAnsiTheme="majorHAnsi"/>
        </w:rPr>
        <w:t xml:space="preserve"> registered in the </w:t>
      </w:r>
      <w:proofErr w:type="spellStart"/>
      <w:r w:rsidR="00691186" w:rsidRPr="00681A93">
        <w:rPr>
          <w:rFonts w:asciiTheme="majorHAnsi" w:hAnsiTheme="majorHAnsi"/>
        </w:rPr>
        <w:t>GovDelivery</w:t>
      </w:r>
      <w:proofErr w:type="spellEnd"/>
      <w:r w:rsidR="00691186" w:rsidRPr="00681A93">
        <w:rPr>
          <w:rFonts w:asciiTheme="majorHAnsi" w:hAnsiTheme="majorHAnsi"/>
        </w:rPr>
        <w:t xml:space="preserve"> e-mail tool</w:t>
      </w:r>
      <w:r w:rsidR="00691186">
        <w:rPr>
          <w:rFonts w:asciiTheme="majorHAnsi" w:hAnsiTheme="majorHAnsi"/>
        </w:rPr>
        <w:t xml:space="preserve"> </w:t>
      </w:r>
      <w:r>
        <w:rPr>
          <w:rFonts w:asciiTheme="majorHAnsi" w:hAnsiTheme="majorHAnsi"/>
        </w:rPr>
        <w:t xml:space="preserve">and </w:t>
      </w:r>
      <w:r w:rsidR="00251D17">
        <w:rPr>
          <w:rFonts w:asciiTheme="majorHAnsi" w:hAnsiTheme="majorHAnsi"/>
        </w:rPr>
        <w:t>(</w:t>
      </w:r>
      <w:r>
        <w:rPr>
          <w:rFonts w:asciiTheme="majorHAnsi" w:hAnsiTheme="majorHAnsi"/>
        </w:rPr>
        <w:t xml:space="preserve">2) </w:t>
      </w:r>
      <w:r w:rsidR="000C232D">
        <w:rPr>
          <w:rFonts w:asciiTheme="majorHAnsi" w:hAnsiTheme="majorHAnsi"/>
        </w:rPr>
        <w:t>124</w:t>
      </w:r>
      <w:r w:rsidR="008C67C7">
        <w:rPr>
          <w:rFonts w:asciiTheme="majorHAnsi" w:hAnsiTheme="majorHAnsi"/>
        </w:rPr>
        <w:t xml:space="preserve"> </w:t>
      </w:r>
      <w:r>
        <w:rPr>
          <w:rFonts w:asciiTheme="majorHAnsi" w:hAnsiTheme="majorHAnsi"/>
        </w:rPr>
        <w:t xml:space="preserve">attorneys </w:t>
      </w:r>
      <w:r w:rsidR="00691186">
        <w:rPr>
          <w:rFonts w:asciiTheme="majorHAnsi" w:hAnsiTheme="majorHAnsi"/>
        </w:rPr>
        <w:t>providing counsel to</w:t>
      </w:r>
      <w:r>
        <w:rPr>
          <w:rFonts w:asciiTheme="majorHAnsi" w:hAnsiTheme="majorHAnsi"/>
        </w:rPr>
        <w:t xml:space="preserve"> STLT public health agency staff</w:t>
      </w:r>
      <w:r w:rsidR="008C67C7">
        <w:rPr>
          <w:rFonts w:asciiTheme="majorHAnsi" w:hAnsiTheme="majorHAnsi"/>
        </w:rPr>
        <w:t xml:space="preserve"> identified through a roster maintained by the P</w:t>
      </w:r>
      <w:r w:rsidR="002C4FC0">
        <w:rPr>
          <w:rFonts w:asciiTheme="majorHAnsi" w:hAnsiTheme="majorHAnsi"/>
        </w:rPr>
        <w:t xml:space="preserve">ublic </w:t>
      </w:r>
      <w:r w:rsidR="008C67C7">
        <w:rPr>
          <w:rFonts w:asciiTheme="majorHAnsi" w:hAnsiTheme="majorHAnsi"/>
        </w:rPr>
        <w:t>H</w:t>
      </w:r>
      <w:r w:rsidR="002C4FC0">
        <w:rPr>
          <w:rFonts w:asciiTheme="majorHAnsi" w:hAnsiTheme="majorHAnsi"/>
        </w:rPr>
        <w:t xml:space="preserve">ealth </w:t>
      </w:r>
      <w:r w:rsidR="008C67C7">
        <w:rPr>
          <w:rFonts w:asciiTheme="majorHAnsi" w:hAnsiTheme="majorHAnsi"/>
        </w:rPr>
        <w:t>L</w:t>
      </w:r>
      <w:r w:rsidR="002C4FC0">
        <w:rPr>
          <w:rFonts w:asciiTheme="majorHAnsi" w:hAnsiTheme="majorHAnsi"/>
        </w:rPr>
        <w:t xml:space="preserve">aw </w:t>
      </w:r>
      <w:r w:rsidR="008C67C7">
        <w:rPr>
          <w:rFonts w:asciiTheme="majorHAnsi" w:hAnsiTheme="majorHAnsi"/>
        </w:rPr>
        <w:t>P</w:t>
      </w:r>
      <w:r w:rsidR="002C4FC0">
        <w:rPr>
          <w:rFonts w:asciiTheme="majorHAnsi" w:hAnsiTheme="majorHAnsi"/>
        </w:rPr>
        <w:t>rogram</w:t>
      </w:r>
      <w:r>
        <w:rPr>
          <w:rFonts w:asciiTheme="majorHAnsi" w:hAnsiTheme="majorHAnsi"/>
        </w:rPr>
        <w:t xml:space="preserve">. </w:t>
      </w:r>
      <w:r w:rsidR="008C67C7">
        <w:rPr>
          <w:rFonts w:asciiTheme="majorHAnsi" w:hAnsiTheme="majorHAnsi"/>
        </w:rPr>
        <w:t>While all attorneys (</w:t>
      </w:r>
      <w:r w:rsidR="001F4D27">
        <w:rPr>
          <w:rFonts w:asciiTheme="majorHAnsi" w:hAnsiTheme="majorHAnsi"/>
        </w:rPr>
        <w:t>124</w:t>
      </w:r>
      <w:r w:rsidR="008C67C7">
        <w:rPr>
          <w:rFonts w:asciiTheme="majorHAnsi" w:hAnsiTheme="majorHAnsi"/>
        </w:rPr>
        <w:t xml:space="preserve">) providing counsel to STLT public health agencies will be invited to participate in the assessment, </w:t>
      </w:r>
      <w:r w:rsidR="00222B33">
        <w:rPr>
          <w:rFonts w:asciiTheme="majorHAnsi" w:hAnsiTheme="majorHAnsi"/>
        </w:rPr>
        <w:t>a total of 3</w:t>
      </w:r>
      <w:r w:rsidR="000C232D">
        <w:rPr>
          <w:rFonts w:asciiTheme="majorHAnsi" w:hAnsiTheme="majorHAnsi"/>
        </w:rPr>
        <w:t>45</w:t>
      </w:r>
      <w:r w:rsidR="00222B33">
        <w:rPr>
          <w:rFonts w:asciiTheme="majorHAnsi" w:hAnsiTheme="majorHAnsi"/>
        </w:rPr>
        <w:t xml:space="preserve"> (2</w:t>
      </w:r>
      <w:r w:rsidR="000C232D">
        <w:rPr>
          <w:rFonts w:asciiTheme="majorHAnsi" w:hAnsiTheme="majorHAnsi"/>
        </w:rPr>
        <w:t>1</w:t>
      </w:r>
      <w:r w:rsidR="00222B33">
        <w:rPr>
          <w:rFonts w:asciiTheme="majorHAnsi" w:hAnsiTheme="majorHAnsi"/>
        </w:rPr>
        <w:t>%) representatives from</w:t>
      </w:r>
      <w:r w:rsidR="008C67C7">
        <w:rPr>
          <w:rFonts w:asciiTheme="majorHAnsi" w:hAnsiTheme="majorHAnsi"/>
        </w:rPr>
        <w:t xml:space="preserve"> the 1,589 STLT subscribers will be </w:t>
      </w:r>
      <w:r w:rsidR="00222B33">
        <w:rPr>
          <w:rFonts w:asciiTheme="majorHAnsi" w:hAnsiTheme="majorHAnsi"/>
        </w:rPr>
        <w:t>randomly selected</w:t>
      </w:r>
      <w:r w:rsidR="008C67C7">
        <w:rPr>
          <w:rFonts w:asciiTheme="majorHAnsi" w:hAnsiTheme="majorHAnsi"/>
        </w:rPr>
        <w:t xml:space="preserve"> to provide a representative sample that is generalizable to the S</w:t>
      </w:r>
      <w:r w:rsidR="00251D17">
        <w:rPr>
          <w:rFonts w:asciiTheme="majorHAnsi" w:hAnsiTheme="majorHAnsi"/>
        </w:rPr>
        <w:t xml:space="preserve">TLT population of subscribers. </w:t>
      </w:r>
      <w:r w:rsidR="00222B33">
        <w:rPr>
          <w:rFonts w:asciiTheme="majorHAnsi" w:hAnsiTheme="majorHAnsi"/>
        </w:rPr>
        <w:t>This sample</w:t>
      </w:r>
      <w:r w:rsidR="00251D17">
        <w:rPr>
          <w:rFonts w:asciiTheme="majorHAnsi" w:hAnsiTheme="majorHAnsi"/>
        </w:rPr>
        <w:t xml:space="preserve"> provid</w:t>
      </w:r>
      <w:r w:rsidR="00222B33">
        <w:rPr>
          <w:rFonts w:asciiTheme="majorHAnsi" w:hAnsiTheme="majorHAnsi"/>
        </w:rPr>
        <w:t>es</w:t>
      </w:r>
      <w:r w:rsidR="00251D17">
        <w:rPr>
          <w:rFonts w:asciiTheme="majorHAnsi" w:hAnsiTheme="majorHAnsi"/>
        </w:rPr>
        <w:t xml:space="preserve"> a confidence interval (margin of error) of 5 and a confidence level of 95%.</w:t>
      </w:r>
    </w:p>
    <w:p w:rsidR="00251D17" w:rsidRPr="00251D17" w:rsidRDefault="00251D17" w:rsidP="00251D17">
      <w:pPr>
        <w:pStyle w:val="ListParagraph"/>
        <w:rPr>
          <w:rFonts w:asciiTheme="majorHAnsi" w:hAnsiTheme="majorHAnsi"/>
        </w:rPr>
      </w:pPr>
    </w:p>
    <w:p w:rsidR="00FD6FC6" w:rsidRPr="00FD6FC6" w:rsidRDefault="00FD6FC6" w:rsidP="00B97647">
      <w:pPr>
        <w:pStyle w:val="ListParagraph"/>
        <w:rPr>
          <w:rFonts w:asciiTheme="majorHAnsi" w:hAnsiTheme="majorHAnsi"/>
        </w:rPr>
      </w:pPr>
      <w:r>
        <w:rPr>
          <w:rFonts w:asciiTheme="majorHAnsi" w:hAnsiTheme="majorHAnsi"/>
        </w:rPr>
        <w:t xml:space="preserve">There is no way to ensure that the number of responses from the individual groups in Table B-1 will match the estimated </w:t>
      </w:r>
      <w:r>
        <w:rPr>
          <w:rFonts w:asciiTheme="majorHAnsi" w:hAnsiTheme="majorHAnsi"/>
          <w:i/>
        </w:rPr>
        <w:t>N</w:t>
      </w:r>
      <w:r>
        <w:rPr>
          <w:rFonts w:asciiTheme="majorHAnsi" w:hAnsiTheme="majorHAnsi"/>
        </w:rPr>
        <w:t xml:space="preserve">s. </w:t>
      </w:r>
      <w:r w:rsidR="00222B33">
        <w:rPr>
          <w:rFonts w:asciiTheme="majorHAnsi" w:hAnsiTheme="majorHAnsi"/>
        </w:rPr>
        <w:t xml:space="preserve">This is the first time this data collection has been performed. </w:t>
      </w:r>
      <w:r>
        <w:rPr>
          <w:rFonts w:asciiTheme="majorHAnsi" w:hAnsiTheme="majorHAnsi"/>
        </w:rPr>
        <w:t xml:space="preserve">However, </w:t>
      </w:r>
      <w:r w:rsidR="00222B33">
        <w:rPr>
          <w:rFonts w:asciiTheme="majorHAnsi" w:hAnsiTheme="majorHAnsi"/>
        </w:rPr>
        <w:t xml:space="preserve">based upon an </w:t>
      </w:r>
      <w:r>
        <w:rPr>
          <w:rFonts w:asciiTheme="majorHAnsi" w:hAnsiTheme="majorHAnsi"/>
        </w:rPr>
        <w:t>examin</w:t>
      </w:r>
      <w:r w:rsidR="00222B33">
        <w:rPr>
          <w:rFonts w:asciiTheme="majorHAnsi" w:hAnsiTheme="majorHAnsi"/>
        </w:rPr>
        <w:t>ation of the response rates of similar studies, we anticipate a response rate of</w:t>
      </w:r>
      <w:r w:rsidR="000C232D">
        <w:rPr>
          <w:rFonts w:asciiTheme="majorHAnsi" w:hAnsiTheme="majorHAnsi"/>
        </w:rPr>
        <w:t xml:space="preserve"> 80%</w:t>
      </w:r>
      <w:r w:rsidR="00222B33">
        <w:rPr>
          <w:rFonts w:asciiTheme="majorHAnsi" w:hAnsiTheme="majorHAnsi"/>
        </w:rPr>
        <w:t xml:space="preserve"> or higher for this data collection</w:t>
      </w:r>
      <w:r>
        <w:rPr>
          <w:rFonts w:asciiTheme="majorHAnsi" w:hAnsiTheme="majorHAnsi"/>
        </w:rPr>
        <w:t xml:space="preserve">. Any variation from the estimated </w:t>
      </w:r>
      <w:r>
        <w:rPr>
          <w:rFonts w:asciiTheme="majorHAnsi" w:hAnsiTheme="majorHAnsi"/>
          <w:i/>
        </w:rPr>
        <w:t>N</w:t>
      </w:r>
      <w:r>
        <w:rPr>
          <w:rFonts w:asciiTheme="majorHAnsi" w:hAnsiTheme="majorHAnsi"/>
        </w:rPr>
        <w:t xml:space="preserve"> will be noted in the survey results and reports.</w:t>
      </w:r>
    </w:p>
    <w:p w:rsidR="00B97647" w:rsidRDefault="00B97647" w:rsidP="00F52BCC">
      <w:pPr>
        <w:pStyle w:val="ListParagraph"/>
        <w:spacing w:after="0"/>
        <w:rPr>
          <w:rFonts w:asciiTheme="majorHAnsi" w:hAnsiTheme="majorHAnsi"/>
        </w:rPr>
      </w:pPr>
    </w:p>
    <w:p w:rsidR="003635BE" w:rsidRDefault="003635BE" w:rsidP="003635BE">
      <w:pPr>
        <w:spacing w:after="0"/>
        <w:rPr>
          <w:rFonts w:asciiTheme="majorHAnsi" w:hAnsiTheme="majorHAnsi"/>
        </w:rPr>
      </w:pPr>
      <w:r>
        <w:rPr>
          <w:rFonts w:asciiTheme="majorHAnsi" w:hAnsiTheme="majorHAnsi"/>
          <w:b/>
          <w:u w:val="single"/>
        </w:rPr>
        <w:t>Table B</w:t>
      </w:r>
      <w:r w:rsidRPr="00241B17">
        <w:rPr>
          <w:rFonts w:asciiTheme="majorHAnsi" w:hAnsiTheme="majorHAnsi"/>
          <w:b/>
          <w:u w:val="single"/>
        </w:rPr>
        <w:t>-1</w:t>
      </w:r>
      <w:r w:rsidRPr="00241B17">
        <w:rPr>
          <w:rFonts w:asciiTheme="majorHAnsi" w:hAnsiTheme="majorHAnsi"/>
          <w:b/>
        </w:rPr>
        <w:t>:</w:t>
      </w:r>
      <w:r w:rsidRPr="008E0683">
        <w:rPr>
          <w:rFonts w:asciiTheme="majorHAnsi" w:hAnsiTheme="majorHAnsi"/>
        </w:rPr>
        <w:t xml:space="preserve"> </w:t>
      </w:r>
      <w:r>
        <w:rPr>
          <w:rFonts w:asciiTheme="majorHAnsi" w:hAnsiTheme="majorHAnsi"/>
        </w:rPr>
        <w:t>Potential Respondent Universe</w:t>
      </w:r>
    </w:p>
    <w:p w:rsidR="003635BE" w:rsidRDefault="003635BE" w:rsidP="00F52BCC">
      <w:pPr>
        <w:pStyle w:val="ListParagraph"/>
        <w:spacing w:after="0"/>
        <w:rPr>
          <w:rFonts w:asciiTheme="majorHAnsi" w:hAnsiTheme="majorHAnsi"/>
        </w:rPr>
      </w:pPr>
    </w:p>
    <w:tbl>
      <w:tblPr>
        <w:tblStyle w:val="TableGrid"/>
        <w:tblW w:w="0" w:type="auto"/>
        <w:tblInd w:w="18" w:type="dxa"/>
        <w:tblLook w:val="04A0" w:firstRow="1" w:lastRow="0" w:firstColumn="1" w:lastColumn="0" w:noHBand="0" w:noVBand="1"/>
      </w:tblPr>
      <w:tblGrid>
        <w:gridCol w:w="3600"/>
        <w:gridCol w:w="4860"/>
        <w:gridCol w:w="1080"/>
      </w:tblGrid>
      <w:tr w:rsidR="00BC5BB2" w:rsidRPr="006F6856" w:rsidTr="002C0877">
        <w:trPr>
          <w:trHeight w:val="377"/>
        </w:trPr>
        <w:tc>
          <w:tcPr>
            <w:tcW w:w="360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Entity</w:t>
            </w:r>
          </w:p>
        </w:tc>
        <w:tc>
          <w:tcPr>
            <w:tcW w:w="486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Potential Respondent</w:t>
            </w:r>
          </w:p>
        </w:tc>
        <w:tc>
          <w:tcPr>
            <w:tcW w:w="108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N</w:t>
            </w:r>
          </w:p>
        </w:tc>
      </w:tr>
      <w:tr w:rsidR="009D5120" w:rsidRPr="006F6856" w:rsidTr="00E24C20">
        <w:trPr>
          <w:trHeight w:hRule="exact" w:val="750"/>
        </w:trPr>
        <w:tc>
          <w:tcPr>
            <w:tcW w:w="3600" w:type="dxa"/>
            <w:tcBorders>
              <w:top w:val="single" w:sz="12" w:space="0" w:color="auto"/>
              <w:bottom w:val="single" w:sz="4" w:space="0" w:color="auto"/>
            </w:tcBorders>
            <w:vAlign w:val="center"/>
          </w:tcPr>
          <w:p w:rsidR="009D5120" w:rsidRPr="006F6856" w:rsidRDefault="009B34FB" w:rsidP="009D5120">
            <w:pPr>
              <w:pStyle w:val="ListParagraph"/>
              <w:ind w:left="0"/>
              <w:rPr>
                <w:rFonts w:asciiTheme="majorHAnsi" w:hAnsiTheme="majorHAnsi"/>
                <w:sz w:val="20"/>
              </w:rPr>
            </w:pPr>
            <w:r>
              <w:rPr>
                <w:rFonts w:asciiTheme="majorHAnsi" w:hAnsiTheme="majorHAnsi"/>
                <w:sz w:val="20"/>
              </w:rPr>
              <w:t>State, Tribal, Local, an</w:t>
            </w:r>
            <w:r w:rsidR="00E60551">
              <w:rPr>
                <w:rFonts w:asciiTheme="majorHAnsi" w:hAnsiTheme="majorHAnsi"/>
                <w:sz w:val="20"/>
              </w:rPr>
              <w:t>d Territorial Health Departments</w:t>
            </w:r>
          </w:p>
        </w:tc>
        <w:tc>
          <w:tcPr>
            <w:tcW w:w="4860" w:type="dxa"/>
            <w:tcBorders>
              <w:top w:val="single" w:sz="12" w:space="0" w:color="auto"/>
              <w:bottom w:val="single" w:sz="4" w:space="0" w:color="auto"/>
            </w:tcBorders>
            <w:vAlign w:val="center"/>
          </w:tcPr>
          <w:p w:rsidR="009D5120" w:rsidRPr="006F6856" w:rsidRDefault="00B9341B" w:rsidP="00B9341B">
            <w:pPr>
              <w:pStyle w:val="ListParagraph"/>
              <w:ind w:left="0"/>
              <w:rPr>
                <w:rFonts w:asciiTheme="majorHAnsi" w:hAnsiTheme="majorHAnsi"/>
                <w:sz w:val="20"/>
              </w:rPr>
            </w:pPr>
            <w:r>
              <w:rPr>
                <w:rFonts w:asciiTheme="majorHAnsi" w:hAnsiTheme="majorHAnsi"/>
                <w:sz w:val="20"/>
              </w:rPr>
              <w:t xml:space="preserve">STLT </w:t>
            </w:r>
            <w:r w:rsidR="00F2329B">
              <w:rPr>
                <w:rFonts w:asciiTheme="majorHAnsi" w:hAnsiTheme="majorHAnsi"/>
                <w:sz w:val="20"/>
              </w:rPr>
              <w:t>Official or Employee</w:t>
            </w:r>
            <w:r>
              <w:rPr>
                <w:rFonts w:asciiTheme="majorHAnsi" w:hAnsiTheme="majorHAnsi"/>
                <w:sz w:val="20"/>
              </w:rPr>
              <w:t xml:space="preserve"> subscribing to </w:t>
            </w:r>
            <w:r w:rsidRPr="00FD6FC6">
              <w:rPr>
                <w:rFonts w:asciiTheme="majorHAnsi" w:hAnsiTheme="majorHAnsi"/>
                <w:i/>
              </w:rPr>
              <w:t>CDC Public Health Law News</w:t>
            </w:r>
          </w:p>
        </w:tc>
        <w:tc>
          <w:tcPr>
            <w:tcW w:w="1080" w:type="dxa"/>
            <w:tcBorders>
              <w:top w:val="single" w:sz="12" w:space="0" w:color="auto"/>
              <w:bottom w:val="single" w:sz="4" w:space="0" w:color="auto"/>
            </w:tcBorders>
            <w:vAlign w:val="center"/>
          </w:tcPr>
          <w:p w:rsidR="009D5120" w:rsidRPr="006F6856" w:rsidRDefault="00251D17" w:rsidP="000C232D">
            <w:pPr>
              <w:pStyle w:val="ListParagraph"/>
              <w:ind w:left="0"/>
              <w:jc w:val="center"/>
              <w:rPr>
                <w:rFonts w:asciiTheme="majorHAnsi" w:hAnsiTheme="majorHAnsi"/>
                <w:sz w:val="20"/>
              </w:rPr>
            </w:pPr>
            <w:r>
              <w:rPr>
                <w:rFonts w:asciiTheme="majorHAnsi" w:hAnsiTheme="majorHAnsi"/>
                <w:sz w:val="20"/>
              </w:rPr>
              <w:t>3</w:t>
            </w:r>
            <w:r w:rsidR="000C232D">
              <w:rPr>
                <w:rFonts w:asciiTheme="majorHAnsi" w:hAnsiTheme="majorHAnsi"/>
                <w:sz w:val="20"/>
              </w:rPr>
              <w:t>45</w:t>
            </w:r>
          </w:p>
        </w:tc>
      </w:tr>
      <w:tr w:rsidR="00B9341B" w:rsidRPr="006F6856" w:rsidTr="00E24C20">
        <w:trPr>
          <w:trHeight w:hRule="exact" w:val="750"/>
        </w:trPr>
        <w:tc>
          <w:tcPr>
            <w:tcW w:w="3600" w:type="dxa"/>
            <w:tcBorders>
              <w:top w:val="single" w:sz="12" w:space="0" w:color="auto"/>
              <w:bottom w:val="single" w:sz="4" w:space="0" w:color="auto"/>
            </w:tcBorders>
            <w:vAlign w:val="center"/>
          </w:tcPr>
          <w:p w:rsidR="00B9341B" w:rsidRDefault="008C67C7" w:rsidP="009D5120">
            <w:pPr>
              <w:pStyle w:val="ListParagraph"/>
              <w:ind w:left="0"/>
              <w:rPr>
                <w:rFonts w:asciiTheme="majorHAnsi" w:hAnsiTheme="majorHAnsi"/>
                <w:sz w:val="20"/>
              </w:rPr>
            </w:pPr>
            <w:r>
              <w:rPr>
                <w:rFonts w:asciiTheme="majorHAnsi" w:hAnsiTheme="majorHAnsi"/>
                <w:sz w:val="20"/>
              </w:rPr>
              <w:t xml:space="preserve">STLT </w:t>
            </w:r>
            <w:r w:rsidR="00691186">
              <w:rPr>
                <w:rFonts w:asciiTheme="majorHAnsi" w:hAnsiTheme="majorHAnsi"/>
                <w:sz w:val="20"/>
              </w:rPr>
              <w:t>Attorneys</w:t>
            </w:r>
          </w:p>
        </w:tc>
        <w:tc>
          <w:tcPr>
            <w:tcW w:w="4860" w:type="dxa"/>
            <w:tcBorders>
              <w:top w:val="single" w:sz="12" w:space="0" w:color="auto"/>
              <w:bottom w:val="single" w:sz="4" w:space="0" w:color="auto"/>
            </w:tcBorders>
            <w:vAlign w:val="center"/>
          </w:tcPr>
          <w:p w:rsidR="00B9341B" w:rsidRDefault="008C67C7" w:rsidP="00B9341B">
            <w:pPr>
              <w:pStyle w:val="ListParagraph"/>
              <w:ind w:left="0"/>
              <w:rPr>
                <w:rFonts w:asciiTheme="majorHAnsi" w:hAnsiTheme="majorHAnsi"/>
                <w:sz w:val="20"/>
              </w:rPr>
            </w:pPr>
            <w:r>
              <w:rPr>
                <w:rFonts w:asciiTheme="majorHAnsi" w:hAnsiTheme="majorHAnsi"/>
                <w:sz w:val="20"/>
              </w:rPr>
              <w:t>Attorneys serving as counsel to STLT public health agencies</w:t>
            </w:r>
          </w:p>
        </w:tc>
        <w:tc>
          <w:tcPr>
            <w:tcW w:w="1080" w:type="dxa"/>
            <w:tcBorders>
              <w:top w:val="single" w:sz="12" w:space="0" w:color="auto"/>
              <w:bottom w:val="single" w:sz="4" w:space="0" w:color="auto"/>
            </w:tcBorders>
            <w:vAlign w:val="center"/>
          </w:tcPr>
          <w:p w:rsidR="00B9341B" w:rsidRPr="001F4D27" w:rsidRDefault="001F4D27" w:rsidP="00344F07">
            <w:pPr>
              <w:pStyle w:val="ListParagraph"/>
              <w:ind w:left="0"/>
              <w:jc w:val="center"/>
              <w:rPr>
                <w:rFonts w:asciiTheme="majorHAnsi" w:hAnsiTheme="majorHAnsi"/>
                <w:sz w:val="20"/>
              </w:rPr>
            </w:pPr>
            <w:r>
              <w:rPr>
                <w:rFonts w:asciiTheme="majorHAnsi" w:hAnsiTheme="majorHAnsi"/>
                <w:sz w:val="20"/>
              </w:rPr>
              <w:t>124</w:t>
            </w:r>
          </w:p>
        </w:tc>
      </w:tr>
      <w:tr w:rsidR="00053A92" w:rsidRPr="006F6856" w:rsidTr="002C0877">
        <w:trPr>
          <w:trHeight w:hRule="exact" w:val="360"/>
        </w:trPr>
        <w:tc>
          <w:tcPr>
            <w:tcW w:w="8460" w:type="dxa"/>
            <w:gridSpan w:val="2"/>
            <w:tcBorders>
              <w:top w:val="single" w:sz="4" w:space="0" w:color="auto"/>
            </w:tcBorders>
            <w:vAlign w:val="center"/>
          </w:tcPr>
          <w:p w:rsidR="00053A92" w:rsidRPr="00A75D1C" w:rsidRDefault="00053A92" w:rsidP="00344F07">
            <w:pPr>
              <w:pStyle w:val="ListParagraph"/>
              <w:ind w:left="0"/>
              <w:jc w:val="right"/>
              <w:rPr>
                <w:rFonts w:asciiTheme="majorHAnsi" w:hAnsiTheme="majorHAnsi"/>
                <w:b/>
                <w:sz w:val="20"/>
              </w:rPr>
            </w:pPr>
            <w:r w:rsidRPr="00A75D1C">
              <w:rPr>
                <w:rFonts w:asciiTheme="majorHAnsi" w:hAnsiTheme="majorHAnsi"/>
                <w:b/>
                <w:sz w:val="20"/>
              </w:rPr>
              <w:t>Total Universe of Potential Respondents</w:t>
            </w:r>
          </w:p>
        </w:tc>
        <w:tc>
          <w:tcPr>
            <w:tcW w:w="1080" w:type="dxa"/>
            <w:tcBorders>
              <w:top w:val="single" w:sz="4" w:space="0" w:color="auto"/>
            </w:tcBorders>
            <w:vAlign w:val="center"/>
          </w:tcPr>
          <w:p w:rsidR="00053A92" w:rsidRPr="001F4D27" w:rsidRDefault="000C232D" w:rsidP="00344F07">
            <w:pPr>
              <w:pStyle w:val="ListParagraph"/>
              <w:ind w:left="0"/>
              <w:jc w:val="center"/>
              <w:rPr>
                <w:rFonts w:asciiTheme="majorHAnsi" w:hAnsiTheme="majorHAnsi"/>
                <w:b/>
                <w:sz w:val="20"/>
              </w:rPr>
            </w:pPr>
            <w:r>
              <w:rPr>
                <w:rFonts w:asciiTheme="majorHAnsi" w:hAnsiTheme="majorHAnsi"/>
                <w:b/>
                <w:sz w:val="20"/>
              </w:rPr>
              <w:t>469</w:t>
            </w:r>
          </w:p>
        </w:tc>
      </w:tr>
    </w:tbl>
    <w:p w:rsidR="00BC5BB2" w:rsidRDefault="00BC5BB2" w:rsidP="00F52BCC">
      <w:pPr>
        <w:pStyle w:val="ListParagraph"/>
        <w:spacing w:after="0"/>
        <w:rPr>
          <w:rFonts w:asciiTheme="majorHAnsi" w:hAnsiTheme="majorHAnsi"/>
        </w:rPr>
      </w:pPr>
    </w:p>
    <w:p w:rsidR="00F52BCC" w:rsidRDefault="00F52BCC" w:rsidP="00F52BCC">
      <w:pPr>
        <w:pStyle w:val="ListParagraph"/>
        <w:spacing w:after="0"/>
        <w:rPr>
          <w:rFonts w:asciiTheme="majorHAnsi" w:hAnsiTheme="majorHAnsi"/>
        </w:rPr>
      </w:pPr>
    </w:p>
    <w:p w:rsidR="00287E2F" w:rsidRPr="002C0877" w:rsidRDefault="00287E2F" w:rsidP="00B12F51">
      <w:pPr>
        <w:pStyle w:val="ListParagraph"/>
        <w:numPr>
          <w:ilvl w:val="0"/>
          <w:numId w:val="3"/>
        </w:numPr>
        <w:spacing w:after="0"/>
        <w:rPr>
          <w:rFonts w:asciiTheme="majorHAnsi" w:hAnsiTheme="majorHAnsi"/>
          <w:b/>
        </w:rPr>
      </w:pPr>
      <w:r w:rsidRPr="002C0877">
        <w:rPr>
          <w:rFonts w:asciiTheme="majorHAnsi" w:hAnsiTheme="majorHAnsi"/>
          <w:b/>
        </w:rPr>
        <w:t>Procedures for Collecti</w:t>
      </w:r>
      <w:r w:rsidR="00F725B5">
        <w:rPr>
          <w:rFonts w:asciiTheme="majorHAnsi" w:hAnsiTheme="majorHAnsi"/>
          <w:b/>
        </w:rPr>
        <w:t>ng</w:t>
      </w:r>
      <w:r w:rsidRPr="002C0877">
        <w:rPr>
          <w:rFonts w:asciiTheme="majorHAnsi" w:hAnsiTheme="majorHAnsi"/>
          <w:b/>
        </w:rPr>
        <w:t xml:space="preserve"> of Information</w:t>
      </w:r>
      <w:r w:rsidR="00F725B5">
        <w:rPr>
          <w:rFonts w:asciiTheme="majorHAnsi" w:hAnsiTheme="majorHAnsi"/>
          <w:b/>
        </w:rPr>
        <w:t xml:space="preserve"> </w:t>
      </w:r>
    </w:p>
    <w:p w:rsidR="00A00C9C" w:rsidRDefault="00A00C9C" w:rsidP="002F2069">
      <w:pPr>
        <w:pStyle w:val="ListParagraph"/>
        <w:spacing w:after="0"/>
        <w:rPr>
          <w:rFonts w:asciiTheme="majorHAnsi" w:hAnsiTheme="majorHAnsi"/>
        </w:rPr>
      </w:pPr>
      <w:r w:rsidRPr="00681A93">
        <w:rPr>
          <w:rFonts w:asciiTheme="majorHAnsi" w:hAnsiTheme="majorHAnsi"/>
        </w:rPr>
        <w:t>Respondents will complete a one-time web-based survey</w:t>
      </w:r>
      <w:r w:rsidR="008A1639">
        <w:rPr>
          <w:rFonts w:asciiTheme="majorHAnsi" w:hAnsiTheme="majorHAnsi"/>
        </w:rPr>
        <w:t>,</w:t>
      </w:r>
      <w:r w:rsidRPr="00681A93">
        <w:rPr>
          <w:rFonts w:asciiTheme="majorHAnsi" w:hAnsiTheme="majorHAnsi"/>
        </w:rPr>
        <w:t xml:space="preserve"> </w:t>
      </w:r>
      <w:r w:rsidR="004A4DB1">
        <w:rPr>
          <w:rFonts w:asciiTheme="majorHAnsi" w:hAnsiTheme="majorHAnsi"/>
        </w:rPr>
        <w:t xml:space="preserve">and will be recruited through an e-mail </w:t>
      </w:r>
      <w:r w:rsidR="008A1639">
        <w:rPr>
          <w:rFonts w:asciiTheme="majorHAnsi" w:hAnsiTheme="majorHAnsi"/>
        </w:rPr>
        <w:t>sent</w:t>
      </w:r>
      <w:r w:rsidR="004A4DB1">
        <w:rPr>
          <w:rFonts w:asciiTheme="majorHAnsi" w:hAnsiTheme="majorHAnsi"/>
        </w:rPr>
        <w:t xml:space="preserve"> to </w:t>
      </w:r>
      <w:r w:rsidR="008A1639">
        <w:rPr>
          <w:rFonts w:asciiTheme="majorHAnsi" w:hAnsiTheme="majorHAnsi"/>
        </w:rPr>
        <w:t>a random sample of the</w:t>
      </w:r>
      <w:r w:rsidR="004A4DB1">
        <w:rPr>
          <w:rFonts w:asciiTheme="majorHAnsi" w:hAnsiTheme="majorHAnsi"/>
        </w:rPr>
        <w:t xml:space="preserve"> </w:t>
      </w:r>
      <w:r w:rsidR="004A4DB1">
        <w:rPr>
          <w:rFonts w:asciiTheme="majorHAnsi" w:hAnsiTheme="majorHAnsi"/>
          <w:i/>
        </w:rPr>
        <w:t>CDC Public Health Law News</w:t>
      </w:r>
      <w:r w:rsidR="004A4DB1">
        <w:rPr>
          <w:rFonts w:asciiTheme="majorHAnsi" w:hAnsiTheme="majorHAnsi"/>
        </w:rPr>
        <w:t xml:space="preserve"> subscriber list and to attorneys </w:t>
      </w:r>
      <w:r w:rsidR="008A1639">
        <w:rPr>
          <w:rFonts w:asciiTheme="majorHAnsi" w:hAnsiTheme="majorHAnsi"/>
        </w:rPr>
        <w:t>from</w:t>
      </w:r>
      <w:r w:rsidR="004A4DB1">
        <w:rPr>
          <w:rFonts w:asciiTheme="majorHAnsi" w:hAnsiTheme="majorHAnsi"/>
        </w:rPr>
        <w:t xml:space="preserve"> PHLP’s roster of attorneys </w:t>
      </w:r>
      <w:r w:rsidR="008A1639">
        <w:rPr>
          <w:rFonts w:asciiTheme="majorHAnsi" w:hAnsiTheme="majorHAnsi"/>
        </w:rPr>
        <w:t>representing</w:t>
      </w:r>
      <w:r w:rsidR="004A4DB1">
        <w:rPr>
          <w:rFonts w:asciiTheme="majorHAnsi" w:hAnsiTheme="majorHAnsi"/>
        </w:rPr>
        <w:t xml:space="preserve"> STLT </w:t>
      </w:r>
      <w:r w:rsidR="008A1639">
        <w:rPr>
          <w:rFonts w:asciiTheme="majorHAnsi" w:hAnsiTheme="majorHAnsi"/>
        </w:rPr>
        <w:t xml:space="preserve">public </w:t>
      </w:r>
      <w:r w:rsidR="004A4DB1">
        <w:rPr>
          <w:rFonts w:asciiTheme="majorHAnsi" w:hAnsiTheme="majorHAnsi"/>
        </w:rPr>
        <w:t>health agencies</w:t>
      </w:r>
      <w:r w:rsidR="00946E24">
        <w:rPr>
          <w:rFonts w:asciiTheme="majorHAnsi" w:hAnsiTheme="majorHAnsi"/>
        </w:rPr>
        <w:t xml:space="preserve"> </w:t>
      </w:r>
      <w:r w:rsidR="00946E24">
        <w:rPr>
          <w:rFonts w:asciiTheme="majorHAnsi" w:hAnsiTheme="majorHAnsi"/>
          <w:b/>
        </w:rPr>
        <w:t xml:space="preserve">(see Attachment </w:t>
      </w:r>
      <w:r w:rsidR="00275277">
        <w:rPr>
          <w:rFonts w:asciiTheme="majorHAnsi" w:hAnsiTheme="majorHAnsi"/>
          <w:b/>
        </w:rPr>
        <w:t>E</w:t>
      </w:r>
      <w:r w:rsidR="00946E24">
        <w:rPr>
          <w:rFonts w:asciiTheme="majorHAnsi" w:hAnsiTheme="majorHAnsi"/>
          <w:b/>
        </w:rPr>
        <w:t xml:space="preserve"> – Survey Invitation Email)</w:t>
      </w:r>
      <w:r w:rsidR="00946E24">
        <w:rPr>
          <w:rFonts w:asciiTheme="majorHAnsi" w:hAnsiTheme="majorHAnsi"/>
        </w:rPr>
        <w:t>. This e-mail will contain instructions for participating and a link to the online survey and informed consent form</w:t>
      </w:r>
      <w:r w:rsidRPr="00681A93">
        <w:rPr>
          <w:rFonts w:asciiTheme="majorHAnsi" w:hAnsiTheme="majorHAnsi"/>
        </w:rPr>
        <w:t>.</w:t>
      </w:r>
      <w:r w:rsidR="00946E24">
        <w:rPr>
          <w:rFonts w:asciiTheme="majorHAnsi" w:hAnsiTheme="majorHAnsi"/>
        </w:rPr>
        <w:t xml:space="preserve"> Eligible respondents include all </w:t>
      </w:r>
      <w:r w:rsidR="004767A8">
        <w:rPr>
          <w:rFonts w:asciiTheme="majorHAnsi" w:hAnsiTheme="majorHAnsi"/>
        </w:rPr>
        <w:t xml:space="preserve">STLT </w:t>
      </w:r>
      <w:r w:rsidR="008A1639">
        <w:rPr>
          <w:rFonts w:asciiTheme="majorHAnsi" w:hAnsiTheme="majorHAnsi"/>
        </w:rPr>
        <w:t>public health-related agency</w:t>
      </w:r>
      <w:r w:rsidR="004767A8">
        <w:rPr>
          <w:rFonts w:asciiTheme="majorHAnsi" w:hAnsiTheme="majorHAnsi"/>
        </w:rPr>
        <w:t xml:space="preserve"> officials and employees.</w:t>
      </w:r>
      <w:r w:rsidR="004620FE">
        <w:rPr>
          <w:rFonts w:asciiTheme="majorHAnsi" w:hAnsiTheme="majorHAnsi"/>
        </w:rPr>
        <w:t xml:space="preserve"> </w:t>
      </w:r>
    </w:p>
    <w:p w:rsidR="004620FE" w:rsidRDefault="004620FE" w:rsidP="002F2069">
      <w:pPr>
        <w:pStyle w:val="ListParagraph"/>
        <w:spacing w:after="0"/>
        <w:rPr>
          <w:rFonts w:asciiTheme="majorHAnsi" w:hAnsiTheme="majorHAnsi"/>
        </w:rPr>
      </w:pPr>
    </w:p>
    <w:p w:rsidR="00E9461F" w:rsidRDefault="00E9461F" w:rsidP="002F2069">
      <w:pPr>
        <w:pStyle w:val="ListParagraph"/>
        <w:spacing w:after="0"/>
        <w:rPr>
          <w:rFonts w:asciiTheme="majorHAnsi" w:hAnsiTheme="majorHAnsi"/>
        </w:rPr>
      </w:pPr>
    </w:p>
    <w:p w:rsidR="00A00C9C" w:rsidRDefault="00A00C9C" w:rsidP="002F2069">
      <w:pPr>
        <w:pStyle w:val="ListParagraph"/>
        <w:spacing w:after="0"/>
        <w:rPr>
          <w:rFonts w:asciiTheme="majorHAnsi" w:hAnsiTheme="majorHAnsi"/>
        </w:rPr>
      </w:pPr>
      <w:r>
        <w:rPr>
          <w:rFonts w:asciiTheme="majorHAnsi" w:hAnsiTheme="majorHAnsi"/>
        </w:rPr>
        <w:t xml:space="preserve">Data will be collected via Survey Monkey, a web-based questionnaire allowing respondents to complete and submit their responses electronically. This method was chosen to reduce the overall burden on respondents. The survey was designed to collect the minimum information necessary for the purposes of this project (i.e., limited to </w:t>
      </w:r>
      <w:r w:rsidR="006B6925">
        <w:rPr>
          <w:rFonts w:asciiTheme="majorHAnsi" w:hAnsiTheme="majorHAnsi"/>
        </w:rPr>
        <w:t>38</w:t>
      </w:r>
      <w:r>
        <w:rPr>
          <w:rFonts w:asciiTheme="majorHAnsi" w:hAnsiTheme="majorHAnsi"/>
        </w:rPr>
        <w:t xml:space="preserve"> survey questions).</w:t>
      </w:r>
    </w:p>
    <w:p w:rsidR="006C49FE" w:rsidRDefault="006C49FE" w:rsidP="002F2069">
      <w:pPr>
        <w:pStyle w:val="ListParagraph"/>
        <w:spacing w:after="0"/>
        <w:rPr>
          <w:rFonts w:asciiTheme="majorHAnsi" w:hAnsiTheme="majorHAnsi"/>
        </w:rPr>
      </w:pPr>
    </w:p>
    <w:p w:rsidR="006C49FE" w:rsidRDefault="009A6E8E" w:rsidP="002F2069">
      <w:pPr>
        <w:pStyle w:val="ListParagraph"/>
        <w:spacing w:after="0"/>
        <w:rPr>
          <w:rFonts w:asciiTheme="majorHAnsi" w:hAnsiTheme="majorHAnsi"/>
        </w:rPr>
      </w:pPr>
      <w:r>
        <w:rPr>
          <w:rFonts w:asciiTheme="majorHAnsi" w:hAnsiTheme="majorHAnsi"/>
        </w:rPr>
        <w:t xml:space="preserve">The survey will remain open for </w:t>
      </w:r>
      <w:r w:rsidR="00E02062">
        <w:rPr>
          <w:rFonts w:asciiTheme="majorHAnsi" w:hAnsiTheme="majorHAnsi"/>
        </w:rPr>
        <w:t>10</w:t>
      </w:r>
      <w:r>
        <w:rPr>
          <w:rFonts w:asciiTheme="majorHAnsi" w:hAnsiTheme="majorHAnsi"/>
        </w:rPr>
        <w:t xml:space="preserve"> business days to allow ample time for respondents to complete the survey. Reminders will be emailed on day </w:t>
      </w:r>
      <w:r w:rsidR="00E02062">
        <w:rPr>
          <w:rFonts w:asciiTheme="majorHAnsi" w:hAnsiTheme="majorHAnsi"/>
        </w:rPr>
        <w:t>7</w:t>
      </w:r>
      <w:r>
        <w:rPr>
          <w:rFonts w:asciiTheme="majorHAnsi" w:hAnsiTheme="majorHAnsi"/>
        </w:rPr>
        <w:t xml:space="preserve"> of the survey. Reminders will only be used for no</w:t>
      </w:r>
      <w:r w:rsidR="00E02062">
        <w:rPr>
          <w:rFonts w:asciiTheme="majorHAnsi" w:hAnsiTheme="majorHAnsi"/>
        </w:rPr>
        <w:t>n-responde</w:t>
      </w:r>
      <w:r w:rsidR="001A2A54">
        <w:rPr>
          <w:rFonts w:asciiTheme="majorHAnsi" w:hAnsiTheme="majorHAnsi"/>
        </w:rPr>
        <w:t>nt</w:t>
      </w:r>
      <w:r>
        <w:rPr>
          <w:rFonts w:asciiTheme="majorHAnsi" w:hAnsiTheme="majorHAnsi"/>
        </w:rPr>
        <w:t xml:space="preserve">s </w:t>
      </w:r>
      <w:r>
        <w:rPr>
          <w:rFonts w:asciiTheme="majorHAnsi" w:hAnsiTheme="majorHAnsi"/>
          <w:b/>
        </w:rPr>
        <w:t xml:space="preserve">(see Attachment </w:t>
      </w:r>
      <w:r w:rsidR="00275277">
        <w:rPr>
          <w:rFonts w:asciiTheme="majorHAnsi" w:hAnsiTheme="majorHAnsi"/>
          <w:b/>
        </w:rPr>
        <w:t>F</w:t>
      </w:r>
      <w:r>
        <w:rPr>
          <w:rFonts w:asciiTheme="majorHAnsi" w:hAnsiTheme="majorHAnsi"/>
          <w:b/>
        </w:rPr>
        <w:t xml:space="preserve"> – Reminder Email)</w:t>
      </w:r>
      <w:r>
        <w:rPr>
          <w:rFonts w:asciiTheme="majorHAnsi" w:hAnsiTheme="majorHAnsi"/>
        </w:rPr>
        <w:t xml:space="preserve">. </w:t>
      </w:r>
    </w:p>
    <w:p w:rsidR="009A6E8E" w:rsidRDefault="009A6E8E" w:rsidP="002F2069">
      <w:pPr>
        <w:pStyle w:val="ListParagraph"/>
        <w:spacing w:after="0"/>
        <w:rPr>
          <w:rFonts w:asciiTheme="majorHAnsi" w:hAnsiTheme="majorHAnsi"/>
        </w:rPr>
      </w:pPr>
    </w:p>
    <w:p w:rsidR="009A6E8E" w:rsidRDefault="009A6E8E" w:rsidP="00725F5D">
      <w:pPr>
        <w:pStyle w:val="ListParagraph"/>
        <w:spacing w:after="0"/>
        <w:rPr>
          <w:rFonts w:asciiTheme="majorHAnsi" w:hAnsiTheme="majorHAnsi"/>
        </w:rPr>
      </w:pPr>
      <w:r>
        <w:rPr>
          <w:rFonts w:asciiTheme="majorHAnsi" w:hAnsiTheme="majorHAnsi"/>
        </w:rPr>
        <w:t>This survey will be administered one time as an evaluation of STLT</w:t>
      </w:r>
      <w:r w:rsidR="0097304B">
        <w:rPr>
          <w:rFonts w:asciiTheme="majorHAnsi" w:hAnsiTheme="majorHAnsi"/>
        </w:rPr>
        <w:t xml:space="preserve"> public health</w:t>
      </w:r>
      <w:r>
        <w:rPr>
          <w:rFonts w:asciiTheme="majorHAnsi" w:hAnsiTheme="majorHAnsi"/>
        </w:rPr>
        <w:t xml:space="preserve"> law-related training and technical assistance needs. </w:t>
      </w:r>
      <w:r w:rsidR="00725F5D">
        <w:rPr>
          <w:rFonts w:asciiTheme="majorHAnsi" w:hAnsiTheme="majorHAnsi"/>
        </w:rPr>
        <w:t xml:space="preserve">The CDC Public Health Law Program will collect and maintain survey data. </w:t>
      </w:r>
      <w:r w:rsidR="00725F5D" w:rsidRPr="006D1431">
        <w:rPr>
          <w:rFonts w:asciiTheme="majorHAnsi" w:hAnsiTheme="majorHAnsi"/>
        </w:rPr>
        <w:t>Survey data collected by the lead staff will be transferred to an Excel spreadsheet for conduc</w:t>
      </w:r>
      <w:r w:rsidR="00725F5D">
        <w:rPr>
          <w:rFonts w:asciiTheme="majorHAnsi" w:hAnsiTheme="majorHAnsi"/>
        </w:rPr>
        <w:t xml:space="preserve">ting basic descriptive analyses </w:t>
      </w:r>
      <w:r>
        <w:rPr>
          <w:rFonts w:asciiTheme="majorHAnsi" w:hAnsiTheme="majorHAnsi"/>
        </w:rPr>
        <w:t xml:space="preserve">and </w:t>
      </w:r>
      <w:r w:rsidR="00725F5D">
        <w:rPr>
          <w:rFonts w:asciiTheme="majorHAnsi" w:hAnsiTheme="majorHAnsi"/>
        </w:rPr>
        <w:t xml:space="preserve">for </w:t>
      </w:r>
      <w:r>
        <w:rPr>
          <w:rFonts w:asciiTheme="majorHAnsi" w:hAnsiTheme="majorHAnsi"/>
        </w:rPr>
        <w:t>producing data charts and tables for reporting.</w:t>
      </w:r>
    </w:p>
    <w:p w:rsidR="006D1431" w:rsidRDefault="006D1431" w:rsidP="002F2069">
      <w:pPr>
        <w:pStyle w:val="ListParagraph"/>
        <w:spacing w:after="0"/>
        <w:rPr>
          <w:rFonts w:asciiTheme="majorHAnsi" w:hAnsiTheme="majorHAnsi"/>
        </w:rPr>
      </w:pPr>
    </w:p>
    <w:p w:rsidR="00287E2F" w:rsidRPr="00D26A64" w:rsidRDefault="00287E2F" w:rsidP="00B12F51">
      <w:pPr>
        <w:pStyle w:val="ListParagraph"/>
        <w:numPr>
          <w:ilvl w:val="0"/>
          <w:numId w:val="3"/>
        </w:numPr>
        <w:spacing w:after="0"/>
        <w:rPr>
          <w:rFonts w:asciiTheme="majorHAnsi" w:hAnsiTheme="majorHAnsi"/>
          <w:b/>
        </w:rPr>
      </w:pPr>
      <w:r w:rsidRPr="00D26A64">
        <w:rPr>
          <w:rFonts w:asciiTheme="majorHAnsi" w:hAnsiTheme="majorHAnsi"/>
          <w:b/>
        </w:rPr>
        <w:t>Methods to Maximize Response Rates</w:t>
      </w:r>
      <w:r w:rsidR="00F725B5">
        <w:rPr>
          <w:rFonts w:asciiTheme="majorHAnsi" w:hAnsiTheme="majorHAnsi"/>
          <w:b/>
        </w:rPr>
        <w:t xml:space="preserve"> </w:t>
      </w:r>
      <w:r w:rsidRPr="00D26A64">
        <w:rPr>
          <w:rFonts w:asciiTheme="majorHAnsi" w:hAnsiTheme="majorHAnsi"/>
          <w:b/>
        </w:rPr>
        <w:t xml:space="preserve"> </w:t>
      </w:r>
    </w:p>
    <w:p w:rsidR="004620FE" w:rsidRDefault="00414BEE" w:rsidP="004620FE">
      <w:pPr>
        <w:pStyle w:val="ListParagraph"/>
        <w:spacing w:after="0"/>
        <w:rPr>
          <w:rFonts w:asciiTheme="majorHAnsi" w:hAnsiTheme="majorHAnsi"/>
        </w:rPr>
      </w:pPr>
      <w:r>
        <w:rPr>
          <w:rFonts w:asciiTheme="majorHAnsi" w:hAnsiTheme="majorHAnsi"/>
        </w:rPr>
        <w:t xml:space="preserve">A reminder email will be sent to </w:t>
      </w:r>
      <w:r w:rsidR="001A2A54">
        <w:rPr>
          <w:rFonts w:asciiTheme="majorHAnsi" w:hAnsiTheme="majorHAnsi"/>
        </w:rPr>
        <w:t>non-respondents</w:t>
      </w:r>
      <w:r>
        <w:rPr>
          <w:rFonts w:asciiTheme="majorHAnsi" w:hAnsiTheme="majorHAnsi"/>
        </w:rPr>
        <w:t xml:space="preserve"> </w:t>
      </w:r>
      <w:r w:rsidR="001A2A54">
        <w:rPr>
          <w:rFonts w:asciiTheme="majorHAnsi" w:hAnsiTheme="majorHAnsi"/>
        </w:rPr>
        <w:t>3</w:t>
      </w:r>
      <w:r>
        <w:rPr>
          <w:rFonts w:asciiTheme="majorHAnsi" w:hAnsiTheme="majorHAnsi"/>
        </w:rPr>
        <w:t xml:space="preserve"> days before the end of the data collect</w:t>
      </w:r>
      <w:r w:rsidR="001A2A54">
        <w:rPr>
          <w:rFonts w:asciiTheme="majorHAnsi" w:hAnsiTheme="majorHAnsi"/>
        </w:rPr>
        <w:t xml:space="preserve">ion to increase response rates. </w:t>
      </w:r>
      <w:r w:rsidR="004620FE">
        <w:rPr>
          <w:rFonts w:asciiTheme="majorHAnsi" w:hAnsiTheme="majorHAnsi"/>
        </w:rPr>
        <w:t xml:space="preserve">Additionally, lead staff will monitor the number of respondents excluded from the assessment because they are not </w:t>
      </w:r>
      <w:r w:rsidR="004620FE" w:rsidRPr="00681A93">
        <w:rPr>
          <w:rFonts w:asciiTheme="majorHAnsi" w:hAnsiTheme="majorHAnsi"/>
        </w:rPr>
        <w:t>STLT</w:t>
      </w:r>
      <w:r w:rsidR="004620FE" w:rsidRPr="0095481B">
        <w:t xml:space="preserve"> </w:t>
      </w:r>
      <w:r w:rsidR="004620FE" w:rsidRPr="0095481B">
        <w:rPr>
          <w:rFonts w:asciiTheme="majorHAnsi" w:hAnsiTheme="majorHAnsi"/>
        </w:rPr>
        <w:t>public health-related agency</w:t>
      </w:r>
      <w:r w:rsidR="004620FE" w:rsidRPr="00681A93">
        <w:rPr>
          <w:rFonts w:asciiTheme="majorHAnsi" w:hAnsiTheme="majorHAnsi"/>
        </w:rPr>
        <w:t xml:space="preserve"> staff</w:t>
      </w:r>
      <w:r w:rsidR="004620FE">
        <w:rPr>
          <w:rFonts w:asciiTheme="majorHAnsi" w:hAnsiTheme="majorHAnsi"/>
        </w:rPr>
        <w:t>. On business day 5, we will conduct a second sample of subscribers equal to the number of respondents who were excluded in order to maximize the response rate. This This second wave of invitees will receive the same email invitation to participate as the original invitees.</w:t>
      </w:r>
    </w:p>
    <w:p w:rsidR="00F52BCC" w:rsidRDefault="00F52BCC" w:rsidP="00F52BCC">
      <w:pPr>
        <w:pStyle w:val="ListParagraph"/>
        <w:spacing w:after="0"/>
        <w:rPr>
          <w:rFonts w:asciiTheme="majorHAnsi" w:hAnsiTheme="majorHAnsi"/>
        </w:rPr>
      </w:pPr>
    </w:p>
    <w:p w:rsidR="004D36A8" w:rsidRDefault="004D36A8" w:rsidP="00F52BCC">
      <w:pPr>
        <w:pStyle w:val="ListParagraph"/>
        <w:spacing w:after="0"/>
        <w:rPr>
          <w:rFonts w:asciiTheme="majorHAnsi" w:hAnsiTheme="majorHAnsi"/>
        </w:rPr>
      </w:pPr>
      <w:r>
        <w:rPr>
          <w:rFonts w:asciiTheme="majorHAnsi" w:hAnsiTheme="majorHAnsi"/>
        </w:rPr>
        <w:t xml:space="preserve">We plan to leave the survey open </w:t>
      </w:r>
      <w:r w:rsidR="001A2A54">
        <w:rPr>
          <w:rFonts w:asciiTheme="majorHAnsi" w:hAnsiTheme="majorHAnsi"/>
        </w:rPr>
        <w:t>10</w:t>
      </w:r>
      <w:r>
        <w:rPr>
          <w:rFonts w:asciiTheme="majorHAnsi" w:hAnsiTheme="majorHAnsi"/>
        </w:rPr>
        <w:t xml:space="preserve"> business days. </w:t>
      </w:r>
      <w:r w:rsidR="00B87A9B">
        <w:rPr>
          <w:rFonts w:asciiTheme="majorHAnsi" w:hAnsiTheme="majorHAnsi"/>
        </w:rPr>
        <w:t>Higher respon</w:t>
      </w:r>
      <w:r w:rsidR="001A2A54">
        <w:rPr>
          <w:rFonts w:asciiTheme="majorHAnsi" w:hAnsiTheme="majorHAnsi"/>
        </w:rPr>
        <w:t>se</w:t>
      </w:r>
      <w:r w:rsidR="00B87A9B">
        <w:rPr>
          <w:rFonts w:asciiTheme="majorHAnsi" w:hAnsiTheme="majorHAnsi"/>
        </w:rPr>
        <w:t xml:space="preserve"> rates will yield more reliable information; however, no scientific inferenc</w:t>
      </w:r>
      <w:r w:rsidR="001A2A54">
        <w:rPr>
          <w:rFonts w:asciiTheme="majorHAnsi" w:hAnsiTheme="majorHAnsi"/>
        </w:rPr>
        <w:t>es</w:t>
      </w:r>
      <w:r w:rsidR="00B87A9B">
        <w:rPr>
          <w:rFonts w:asciiTheme="majorHAnsi" w:hAnsiTheme="majorHAnsi"/>
        </w:rPr>
        <w:t xml:space="preserve"> will be made.</w:t>
      </w:r>
    </w:p>
    <w:p w:rsidR="00414BEE" w:rsidRDefault="00414BEE" w:rsidP="00F52BCC">
      <w:pPr>
        <w:pStyle w:val="ListParagraph"/>
        <w:spacing w:after="0"/>
        <w:rPr>
          <w:rFonts w:asciiTheme="majorHAnsi" w:hAnsiTheme="majorHAnsi"/>
        </w:rPr>
      </w:pPr>
    </w:p>
    <w:p w:rsidR="00287E2F" w:rsidRPr="005F3FEF" w:rsidRDefault="00287E2F" w:rsidP="00B12F51">
      <w:pPr>
        <w:pStyle w:val="ListParagraph"/>
        <w:numPr>
          <w:ilvl w:val="0"/>
          <w:numId w:val="3"/>
        </w:numPr>
        <w:spacing w:after="0"/>
        <w:rPr>
          <w:rFonts w:asciiTheme="majorHAnsi" w:hAnsiTheme="majorHAnsi"/>
          <w:b/>
        </w:rPr>
      </w:pPr>
      <w:r w:rsidRPr="005F3FEF">
        <w:rPr>
          <w:rFonts w:asciiTheme="majorHAnsi" w:hAnsiTheme="majorHAnsi"/>
          <w:b/>
        </w:rPr>
        <w:t xml:space="preserve">Test of Procedures </w:t>
      </w:r>
    </w:p>
    <w:p w:rsidR="00F52BCC" w:rsidRDefault="00B87A9B" w:rsidP="00F52BCC">
      <w:pPr>
        <w:pStyle w:val="ListParagraph"/>
        <w:spacing w:after="0"/>
        <w:rPr>
          <w:rFonts w:asciiTheme="majorHAnsi" w:hAnsiTheme="majorHAnsi"/>
        </w:rPr>
      </w:pPr>
      <w:r>
        <w:rPr>
          <w:rFonts w:asciiTheme="majorHAnsi" w:hAnsiTheme="majorHAnsi"/>
        </w:rPr>
        <w:t xml:space="preserve">The evaluation will </w:t>
      </w:r>
      <w:r w:rsidR="00EC7777">
        <w:rPr>
          <w:rFonts w:asciiTheme="majorHAnsi" w:hAnsiTheme="majorHAnsi"/>
        </w:rPr>
        <w:t>be conducted remotely. The survey questions were reviewed by members</w:t>
      </w:r>
      <w:r w:rsidR="00EE4657">
        <w:rPr>
          <w:rFonts w:asciiTheme="majorHAnsi" w:hAnsiTheme="majorHAnsi"/>
        </w:rPr>
        <w:t xml:space="preserve"> of</w:t>
      </w:r>
      <w:r w:rsidR="00EC7777">
        <w:rPr>
          <w:rFonts w:asciiTheme="majorHAnsi" w:hAnsiTheme="majorHAnsi"/>
        </w:rPr>
        <w:t xml:space="preserve"> the CDC Law SAG </w:t>
      </w:r>
      <w:r w:rsidR="00697B72">
        <w:rPr>
          <w:rFonts w:asciiTheme="majorHAnsi" w:hAnsiTheme="majorHAnsi"/>
        </w:rPr>
        <w:t xml:space="preserve">and by CDC partners </w:t>
      </w:r>
      <w:r w:rsidR="00EC7777">
        <w:rPr>
          <w:rFonts w:asciiTheme="majorHAnsi" w:hAnsiTheme="majorHAnsi"/>
        </w:rPr>
        <w:t xml:space="preserve">to ensure </w:t>
      </w:r>
      <w:r w:rsidR="00597816">
        <w:rPr>
          <w:rFonts w:asciiTheme="majorHAnsi" w:hAnsiTheme="majorHAnsi"/>
        </w:rPr>
        <w:t xml:space="preserve">content and readability is appropriate. </w:t>
      </w:r>
      <w:r w:rsidR="00EC7777">
        <w:rPr>
          <w:rFonts w:asciiTheme="majorHAnsi" w:hAnsiTheme="majorHAnsi"/>
        </w:rPr>
        <w:t xml:space="preserve">The web-based version of the questionnaire was pilot tested by </w:t>
      </w:r>
      <w:r w:rsidR="00697B72">
        <w:rPr>
          <w:rFonts w:asciiTheme="majorHAnsi" w:hAnsiTheme="majorHAnsi"/>
        </w:rPr>
        <w:t>five</w:t>
      </w:r>
      <w:r w:rsidR="00EC7777">
        <w:rPr>
          <w:rFonts w:asciiTheme="majorHAnsi" w:hAnsiTheme="majorHAnsi"/>
        </w:rPr>
        <w:t xml:space="preserve"> CDC public health practitioners. Feedback from this group was used to refine questions as needed, ensure accurate programming, and establish the time required to complete the survey.</w:t>
      </w:r>
    </w:p>
    <w:p w:rsidR="00F52BCC" w:rsidRDefault="00F52BCC" w:rsidP="00F52BCC">
      <w:pPr>
        <w:pStyle w:val="ListParagraph"/>
        <w:spacing w:after="0"/>
        <w:rPr>
          <w:rFonts w:asciiTheme="majorHAnsi" w:hAnsiTheme="majorHAnsi"/>
        </w:rPr>
      </w:pPr>
    </w:p>
    <w:p w:rsidR="00287E2F" w:rsidRPr="00281795" w:rsidRDefault="00F725B5" w:rsidP="00B12F51">
      <w:pPr>
        <w:pStyle w:val="ListParagraph"/>
        <w:numPr>
          <w:ilvl w:val="0"/>
          <w:numId w:val="3"/>
        </w:numPr>
        <w:spacing w:after="0"/>
        <w:rPr>
          <w:rFonts w:asciiTheme="majorHAnsi" w:hAnsiTheme="majorHAnsi"/>
          <w:b/>
        </w:rPr>
      </w:pPr>
      <w:r>
        <w:rPr>
          <w:rFonts w:asciiTheme="majorHAnsi" w:hAnsiTheme="majorHAnsi"/>
          <w:b/>
        </w:rPr>
        <w:t xml:space="preserve">Contact for </w:t>
      </w:r>
      <w:r w:rsidR="00287E2F" w:rsidRPr="00281795">
        <w:rPr>
          <w:rFonts w:asciiTheme="majorHAnsi" w:hAnsiTheme="majorHAnsi"/>
          <w:b/>
        </w:rPr>
        <w:t xml:space="preserve"> Statistical Aspects and  Data</w:t>
      </w:r>
      <w:r>
        <w:rPr>
          <w:rFonts w:asciiTheme="majorHAnsi" w:hAnsiTheme="majorHAnsi"/>
          <w:b/>
        </w:rPr>
        <w:t xml:space="preserve"> Collection</w:t>
      </w:r>
    </w:p>
    <w:p w:rsidR="005F3FEF" w:rsidRDefault="00A305CE" w:rsidP="005F3FEF">
      <w:pPr>
        <w:tabs>
          <w:tab w:val="left" w:pos="5040"/>
        </w:tabs>
        <w:spacing w:after="0"/>
        <w:ind w:left="720"/>
        <w:rPr>
          <w:rFonts w:asciiTheme="majorHAnsi" w:hAnsiTheme="majorHAnsi"/>
        </w:rPr>
      </w:pPr>
      <w:r>
        <w:rPr>
          <w:rFonts w:asciiTheme="majorHAnsi" w:hAnsiTheme="majorHAnsi"/>
        </w:rPr>
        <w:t xml:space="preserve"> </w:t>
      </w:r>
    </w:p>
    <w:p w:rsidR="003F5913" w:rsidRDefault="00EE4657" w:rsidP="00EE4657">
      <w:pPr>
        <w:spacing w:after="0"/>
        <w:ind w:left="720"/>
        <w:rPr>
          <w:rFonts w:asciiTheme="majorHAnsi" w:hAnsiTheme="majorHAnsi"/>
        </w:rPr>
      </w:pPr>
      <w:r w:rsidRPr="00EE4657">
        <w:rPr>
          <w:rFonts w:asciiTheme="majorHAnsi" w:hAnsiTheme="majorHAnsi"/>
        </w:rPr>
        <w:t>Lindsay</w:t>
      </w:r>
      <w:r>
        <w:rPr>
          <w:rFonts w:asciiTheme="majorHAnsi" w:hAnsiTheme="majorHAnsi"/>
        </w:rPr>
        <w:t xml:space="preserve"> Culp</w:t>
      </w:r>
      <w:r w:rsidR="00FA679C">
        <w:rPr>
          <w:rFonts w:asciiTheme="majorHAnsi" w:hAnsiTheme="majorHAnsi"/>
        </w:rPr>
        <w:t>, JD, MPH</w:t>
      </w:r>
    </w:p>
    <w:p w:rsidR="00EE4657" w:rsidRDefault="00EE4657" w:rsidP="00EE4657">
      <w:pPr>
        <w:spacing w:after="0"/>
        <w:ind w:left="720"/>
        <w:rPr>
          <w:rFonts w:asciiTheme="majorHAnsi" w:hAnsiTheme="majorHAnsi"/>
        </w:rPr>
      </w:pPr>
      <w:r>
        <w:rPr>
          <w:rFonts w:asciiTheme="majorHAnsi" w:hAnsiTheme="majorHAnsi"/>
        </w:rPr>
        <w:t>Public Health Analyst</w:t>
      </w:r>
    </w:p>
    <w:p w:rsidR="00FA679C" w:rsidRDefault="00FA679C" w:rsidP="00EE4657">
      <w:pPr>
        <w:spacing w:after="0"/>
        <w:ind w:left="720"/>
        <w:rPr>
          <w:rFonts w:asciiTheme="majorHAnsi" w:hAnsiTheme="majorHAnsi"/>
        </w:rPr>
      </w:pPr>
      <w:r>
        <w:rPr>
          <w:rFonts w:asciiTheme="majorHAnsi" w:hAnsiTheme="majorHAnsi"/>
        </w:rPr>
        <w:t>Public Health Law Program</w:t>
      </w:r>
    </w:p>
    <w:p w:rsidR="00FA679C" w:rsidRDefault="00FA679C" w:rsidP="00EE4657">
      <w:pPr>
        <w:spacing w:after="0"/>
        <w:ind w:left="720"/>
        <w:rPr>
          <w:rFonts w:asciiTheme="majorHAnsi" w:hAnsiTheme="majorHAnsi"/>
        </w:rPr>
      </w:pPr>
      <w:r>
        <w:rPr>
          <w:rFonts w:asciiTheme="majorHAnsi" w:hAnsiTheme="majorHAnsi"/>
        </w:rPr>
        <w:t>Office for State, Tribal, Local, and Territorial Support</w:t>
      </w:r>
    </w:p>
    <w:p w:rsidR="00FA679C" w:rsidRDefault="00FA679C" w:rsidP="00EE4657">
      <w:pPr>
        <w:spacing w:after="0"/>
        <w:ind w:left="720"/>
        <w:rPr>
          <w:rFonts w:asciiTheme="majorHAnsi" w:hAnsiTheme="majorHAnsi"/>
        </w:rPr>
      </w:pPr>
      <w:r>
        <w:rPr>
          <w:rFonts w:asciiTheme="majorHAnsi" w:hAnsiTheme="majorHAnsi"/>
        </w:rPr>
        <w:t>Centers for Disease Control and Prevention</w:t>
      </w:r>
    </w:p>
    <w:p w:rsidR="00FA679C" w:rsidRDefault="00FA679C" w:rsidP="00EE4657">
      <w:pPr>
        <w:spacing w:after="0"/>
        <w:ind w:left="720"/>
        <w:rPr>
          <w:rFonts w:asciiTheme="majorHAnsi" w:hAnsiTheme="majorHAnsi"/>
        </w:rPr>
      </w:pPr>
    </w:p>
    <w:p w:rsidR="00E9461F" w:rsidRDefault="00E9461F" w:rsidP="00FA679C">
      <w:pPr>
        <w:spacing w:after="0"/>
        <w:ind w:left="720"/>
        <w:rPr>
          <w:rFonts w:asciiTheme="majorHAnsi" w:hAnsiTheme="majorHAnsi"/>
        </w:rPr>
      </w:pPr>
    </w:p>
    <w:p w:rsidR="00FA679C" w:rsidRDefault="00FA679C" w:rsidP="00FA679C">
      <w:pPr>
        <w:spacing w:after="0"/>
        <w:ind w:left="720"/>
        <w:rPr>
          <w:rFonts w:asciiTheme="majorHAnsi" w:hAnsiTheme="majorHAnsi"/>
        </w:rPr>
      </w:pPr>
      <w:r>
        <w:rPr>
          <w:rFonts w:asciiTheme="majorHAnsi" w:hAnsiTheme="majorHAnsi"/>
        </w:rPr>
        <w:t>Montrece Ransom, JD, MPH</w:t>
      </w:r>
    </w:p>
    <w:p w:rsidR="00FA679C" w:rsidRDefault="00FA679C" w:rsidP="00FA679C">
      <w:pPr>
        <w:spacing w:after="0"/>
        <w:ind w:left="720"/>
        <w:rPr>
          <w:rFonts w:asciiTheme="majorHAnsi" w:hAnsiTheme="majorHAnsi"/>
        </w:rPr>
      </w:pPr>
      <w:r>
        <w:rPr>
          <w:rFonts w:asciiTheme="majorHAnsi" w:hAnsiTheme="majorHAnsi"/>
        </w:rPr>
        <w:t>Senior Public Health Analyst</w:t>
      </w:r>
    </w:p>
    <w:p w:rsidR="00FA679C" w:rsidRDefault="00FA679C" w:rsidP="00FA679C">
      <w:pPr>
        <w:spacing w:after="0"/>
        <w:ind w:left="720"/>
        <w:rPr>
          <w:rFonts w:asciiTheme="majorHAnsi" w:hAnsiTheme="majorHAnsi"/>
        </w:rPr>
      </w:pPr>
      <w:r>
        <w:rPr>
          <w:rFonts w:asciiTheme="majorHAnsi" w:hAnsiTheme="majorHAnsi"/>
        </w:rPr>
        <w:t>Public Health Law Program</w:t>
      </w:r>
    </w:p>
    <w:p w:rsidR="00FA679C" w:rsidRDefault="00FA679C" w:rsidP="00FA679C">
      <w:pPr>
        <w:spacing w:after="0"/>
        <w:ind w:left="720"/>
        <w:rPr>
          <w:rFonts w:asciiTheme="majorHAnsi" w:hAnsiTheme="majorHAnsi"/>
        </w:rPr>
      </w:pPr>
      <w:r>
        <w:rPr>
          <w:rFonts w:asciiTheme="majorHAnsi" w:hAnsiTheme="majorHAnsi"/>
        </w:rPr>
        <w:t>Office for State, Tribal, Local, and Territorial Support</w:t>
      </w:r>
    </w:p>
    <w:p w:rsidR="00FA679C" w:rsidRDefault="00FA679C" w:rsidP="00FA679C">
      <w:pPr>
        <w:spacing w:after="0"/>
        <w:ind w:left="720"/>
        <w:rPr>
          <w:rFonts w:asciiTheme="majorHAnsi" w:hAnsiTheme="majorHAnsi"/>
        </w:rPr>
      </w:pPr>
      <w:r>
        <w:rPr>
          <w:rFonts w:asciiTheme="majorHAnsi" w:hAnsiTheme="majorHAnsi"/>
        </w:rPr>
        <w:t>Centers for Disease Control and Prevention</w:t>
      </w:r>
    </w:p>
    <w:p w:rsidR="00FA679C" w:rsidRDefault="00FA679C" w:rsidP="00FA679C">
      <w:pPr>
        <w:spacing w:after="0"/>
        <w:ind w:left="720"/>
        <w:rPr>
          <w:rFonts w:asciiTheme="majorHAnsi" w:hAnsiTheme="majorHAnsi"/>
        </w:rPr>
      </w:pPr>
    </w:p>
    <w:p w:rsidR="00FA679C" w:rsidRDefault="00DE3E99" w:rsidP="00FA679C">
      <w:pPr>
        <w:spacing w:after="0"/>
        <w:ind w:left="720"/>
        <w:rPr>
          <w:rFonts w:asciiTheme="majorHAnsi" w:hAnsiTheme="majorHAnsi"/>
        </w:rPr>
      </w:pPr>
      <w:r>
        <w:rPr>
          <w:rFonts w:asciiTheme="majorHAnsi" w:hAnsiTheme="majorHAnsi"/>
        </w:rPr>
        <w:t>Karen Mumford, PhD</w:t>
      </w:r>
    </w:p>
    <w:p w:rsidR="00DE3E99" w:rsidRDefault="00DE3E99" w:rsidP="00FA679C">
      <w:pPr>
        <w:spacing w:after="0"/>
        <w:ind w:left="720"/>
        <w:rPr>
          <w:rFonts w:asciiTheme="majorHAnsi" w:hAnsiTheme="majorHAnsi"/>
        </w:rPr>
      </w:pPr>
      <w:r>
        <w:rPr>
          <w:rFonts w:asciiTheme="majorHAnsi" w:hAnsiTheme="majorHAnsi"/>
        </w:rPr>
        <w:t>Health Scientist</w:t>
      </w:r>
    </w:p>
    <w:p w:rsidR="00DE3E99" w:rsidRDefault="00DE3E99" w:rsidP="00FA679C">
      <w:pPr>
        <w:spacing w:after="0"/>
        <w:ind w:left="720"/>
        <w:rPr>
          <w:rFonts w:asciiTheme="majorHAnsi" w:hAnsiTheme="majorHAnsi"/>
        </w:rPr>
      </w:pPr>
      <w:r>
        <w:rPr>
          <w:rFonts w:asciiTheme="majorHAnsi" w:hAnsiTheme="majorHAnsi"/>
        </w:rPr>
        <w:t>Research and Outcomes Branch</w:t>
      </w:r>
    </w:p>
    <w:p w:rsidR="00DE3E99" w:rsidRDefault="00DE3E99" w:rsidP="00DE3E99">
      <w:pPr>
        <w:spacing w:after="0"/>
        <w:ind w:left="720"/>
        <w:rPr>
          <w:rFonts w:asciiTheme="majorHAnsi" w:hAnsiTheme="majorHAnsi"/>
        </w:rPr>
      </w:pPr>
      <w:r>
        <w:rPr>
          <w:rFonts w:asciiTheme="majorHAnsi" w:hAnsiTheme="majorHAnsi"/>
        </w:rPr>
        <w:t>Office for State, Tribal, Local, and Territorial Support</w:t>
      </w:r>
    </w:p>
    <w:p w:rsidR="00DE3E99" w:rsidRPr="00EE4657" w:rsidRDefault="00DE3E99" w:rsidP="00DE3E99">
      <w:pPr>
        <w:spacing w:after="0"/>
        <w:ind w:left="720"/>
        <w:rPr>
          <w:rFonts w:asciiTheme="majorHAnsi" w:hAnsiTheme="majorHAnsi"/>
        </w:rPr>
      </w:pPr>
      <w:r>
        <w:rPr>
          <w:rFonts w:asciiTheme="majorHAnsi" w:hAnsiTheme="majorHAnsi"/>
        </w:rPr>
        <w:t>Centers for Disease Control and Prevention</w:t>
      </w:r>
    </w:p>
    <w:p w:rsidR="00E24C20" w:rsidRDefault="00E24C20">
      <w:pPr>
        <w:rPr>
          <w:rFonts w:asciiTheme="majorHAnsi" w:hAnsiTheme="majorHAnsi"/>
          <w:b/>
          <w:sz w:val="28"/>
        </w:rPr>
      </w:pPr>
    </w:p>
    <w:p w:rsidR="00A36419" w:rsidRDefault="00A36419" w:rsidP="00A36419">
      <w:pPr>
        <w:spacing w:after="0"/>
        <w:rPr>
          <w:rFonts w:asciiTheme="majorHAnsi" w:hAnsiTheme="majorHAnsi"/>
          <w:b/>
          <w:sz w:val="28"/>
        </w:rPr>
      </w:pPr>
      <w:r>
        <w:rPr>
          <w:rFonts w:asciiTheme="majorHAnsi" w:hAnsiTheme="majorHAnsi"/>
          <w:b/>
          <w:sz w:val="28"/>
        </w:rPr>
        <w:t>LIST OF ATTACHMENTS</w:t>
      </w:r>
      <w:r w:rsidR="00E24C20">
        <w:rPr>
          <w:rFonts w:asciiTheme="majorHAnsi" w:hAnsiTheme="majorHAnsi"/>
          <w:b/>
          <w:sz w:val="28"/>
        </w:rPr>
        <w:t xml:space="preserve"> – Section B</w:t>
      </w:r>
    </w:p>
    <w:p w:rsidR="006B5E55"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872F10" w:rsidRDefault="00872F10" w:rsidP="00872F10">
      <w:pPr>
        <w:pStyle w:val="ListParagraph"/>
        <w:numPr>
          <w:ilvl w:val="0"/>
          <w:numId w:val="22"/>
        </w:numPr>
        <w:spacing w:after="0" w:line="360" w:lineRule="auto"/>
        <w:rPr>
          <w:rFonts w:asciiTheme="majorHAnsi" w:hAnsiTheme="majorHAnsi"/>
          <w:b/>
        </w:rPr>
      </w:pPr>
      <w:r>
        <w:rPr>
          <w:rFonts w:asciiTheme="majorHAnsi" w:hAnsiTheme="majorHAnsi"/>
          <w:b/>
        </w:rPr>
        <w:t>Survey Invitation Email</w:t>
      </w:r>
    </w:p>
    <w:p w:rsidR="00872F10" w:rsidRPr="00872F10" w:rsidRDefault="00872F10" w:rsidP="00872F10">
      <w:pPr>
        <w:pStyle w:val="ListParagraph"/>
        <w:numPr>
          <w:ilvl w:val="0"/>
          <w:numId w:val="22"/>
        </w:numPr>
        <w:spacing w:after="0" w:line="360" w:lineRule="auto"/>
        <w:rPr>
          <w:rFonts w:asciiTheme="majorHAnsi" w:hAnsiTheme="majorHAnsi"/>
          <w:b/>
        </w:rPr>
      </w:pPr>
      <w:r>
        <w:rPr>
          <w:rFonts w:asciiTheme="majorHAnsi" w:hAnsiTheme="majorHAnsi"/>
          <w:b/>
        </w:rPr>
        <w:t>Reminder Email</w:t>
      </w:r>
    </w:p>
    <w:p w:rsidR="00872F10" w:rsidRPr="00CD1EA8" w:rsidRDefault="00872F10" w:rsidP="006B5E55">
      <w:pPr>
        <w:spacing w:after="0"/>
        <w:rPr>
          <w:rFonts w:asciiTheme="majorHAnsi" w:hAnsiTheme="majorHAnsi"/>
          <w:sz w:val="20"/>
        </w:rPr>
      </w:pPr>
    </w:p>
    <w:p w:rsidR="00A36419" w:rsidRPr="00A36419" w:rsidRDefault="00A36419" w:rsidP="00A36419">
      <w:pPr>
        <w:spacing w:after="0" w:line="360" w:lineRule="auto"/>
        <w:rPr>
          <w:rFonts w:asciiTheme="majorHAnsi" w:hAnsiTheme="majorHAnsi"/>
          <w:b/>
        </w:rPr>
      </w:pPr>
    </w:p>
    <w:p w:rsidR="000E6577" w:rsidRPr="000E6577" w:rsidRDefault="000E6577" w:rsidP="000E6577">
      <w:pPr>
        <w:spacing w:line="360" w:lineRule="auto"/>
        <w:rPr>
          <w:rFonts w:asciiTheme="majorHAnsi" w:hAnsiTheme="majorHAnsi"/>
          <w:b/>
        </w:rPr>
      </w:pPr>
    </w:p>
    <w:sectPr w:rsidR="000E6577" w:rsidRPr="000E6577" w:rsidSect="003E5D57">
      <w:headerReference w:type="default"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D3E" w:rsidRDefault="00ED2D3E" w:rsidP="00716F94">
      <w:pPr>
        <w:spacing w:after="0" w:line="240" w:lineRule="auto"/>
      </w:pPr>
      <w:r>
        <w:separator/>
      </w:r>
    </w:p>
  </w:endnote>
  <w:endnote w:type="continuationSeparator" w:id="0">
    <w:p w:rsidR="00ED2D3E" w:rsidRDefault="00ED2D3E"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328697"/>
      <w:docPartObj>
        <w:docPartGallery w:val="Page Numbers (Bottom of Page)"/>
        <w:docPartUnique/>
      </w:docPartObj>
    </w:sdtPr>
    <w:sdtEndPr>
      <w:rPr>
        <w:noProof/>
      </w:rPr>
    </w:sdtEndPr>
    <w:sdtContent>
      <w:p w:rsidR="00ED2D3E" w:rsidRDefault="00ED2D3E">
        <w:pPr>
          <w:pStyle w:val="Footer"/>
          <w:jc w:val="right"/>
        </w:pPr>
        <w:r>
          <w:fldChar w:fldCharType="begin"/>
        </w:r>
        <w:r>
          <w:instrText xml:space="preserve"> PAGE   \* MERGEFORMAT </w:instrText>
        </w:r>
        <w:r>
          <w:fldChar w:fldCharType="separate"/>
        </w:r>
        <w:r w:rsidR="00213BC1">
          <w:rPr>
            <w:noProof/>
          </w:rPr>
          <w:t>4</w:t>
        </w:r>
        <w:r>
          <w:rPr>
            <w:noProof/>
          </w:rPr>
          <w:fldChar w:fldCharType="end"/>
        </w:r>
      </w:p>
    </w:sdtContent>
  </w:sdt>
  <w:p w:rsidR="00ED2D3E" w:rsidRDefault="00ED2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D3E" w:rsidRDefault="00ED2D3E" w:rsidP="00716F94">
      <w:pPr>
        <w:spacing w:after="0" w:line="240" w:lineRule="auto"/>
      </w:pPr>
      <w:r>
        <w:separator/>
      </w:r>
    </w:p>
  </w:footnote>
  <w:footnote w:type="continuationSeparator" w:id="0">
    <w:p w:rsidR="00ED2D3E" w:rsidRDefault="00ED2D3E"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D3E" w:rsidRPr="00716F94" w:rsidRDefault="00ED2D3E"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730C1E"/>
    <w:multiLevelType w:val="hybridMultilevel"/>
    <w:tmpl w:val="3346518A"/>
    <w:lvl w:ilvl="0" w:tplc="874AB08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3B2917"/>
    <w:multiLevelType w:val="hybridMultilevel"/>
    <w:tmpl w:val="9708A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4"/>
  </w:num>
  <w:num w:numId="3">
    <w:abstractNumId w:val="20"/>
  </w:num>
  <w:num w:numId="4">
    <w:abstractNumId w:val="11"/>
  </w:num>
  <w:num w:numId="5">
    <w:abstractNumId w:val="16"/>
  </w:num>
  <w:num w:numId="6">
    <w:abstractNumId w:val="8"/>
  </w:num>
  <w:num w:numId="7">
    <w:abstractNumId w:val="0"/>
  </w:num>
  <w:num w:numId="8">
    <w:abstractNumId w:val="6"/>
  </w:num>
  <w:num w:numId="9">
    <w:abstractNumId w:val="10"/>
  </w:num>
  <w:num w:numId="10">
    <w:abstractNumId w:val="17"/>
  </w:num>
  <w:num w:numId="11">
    <w:abstractNumId w:val="2"/>
  </w:num>
  <w:num w:numId="12">
    <w:abstractNumId w:val="19"/>
  </w:num>
  <w:num w:numId="13">
    <w:abstractNumId w:val="7"/>
  </w:num>
  <w:num w:numId="14">
    <w:abstractNumId w:val="3"/>
  </w:num>
  <w:num w:numId="15">
    <w:abstractNumId w:val="18"/>
  </w:num>
  <w:num w:numId="16">
    <w:abstractNumId w:val="21"/>
  </w:num>
  <w:num w:numId="17">
    <w:abstractNumId w:val="9"/>
  </w:num>
  <w:num w:numId="18">
    <w:abstractNumId w:val="12"/>
  </w:num>
  <w:num w:numId="19">
    <w:abstractNumId w:val="5"/>
  </w:num>
  <w:num w:numId="20">
    <w:abstractNumId w:val="13"/>
  </w:num>
  <w:num w:numId="21">
    <w:abstractNumId w:val="1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474FB"/>
    <w:rsid w:val="00053A92"/>
    <w:rsid w:val="0005605E"/>
    <w:rsid w:val="00057F36"/>
    <w:rsid w:val="00077816"/>
    <w:rsid w:val="000844E3"/>
    <w:rsid w:val="000A1F30"/>
    <w:rsid w:val="000C18BE"/>
    <w:rsid w:val="000C232D"/>
    <w:rsid w:val="000E6577"/>
    <w:rsid w:val="000E7A19"/>
    <w:rsid w:val="00104A1B"/>
    <w:rsid w:val="001177DD"/>
    <w:rsid w:val="00127A26"/>
    <w:rsid w:val="001308EB"/>
    <w:rsid w:val="001412D4"/>
    <w:rsid w:val="00144F64"/>
    <w:rsid w:val="00151567"/>
    <w:rsid w:val="00163E17"/>
    <w:rsid w:val="00166F9E"/>
    <w:rsid w:val="00187D5A"/>
    <w:rsid w:val="001972D7"/>
    <w:rsid w:val="001A1EC6"/>
    <w:rsid w:val="001A28F6"/>
    <w:rsid w:val="001A2A54"/>
    <w:rsid w:val="001B2831"/>
    <w:rsid w:val="001C0493"/>
    <w:rsid w:val="001C28AD"/>
    <w:rsid w:val="001D7FCB"/>
    <w:rsid w:val="001E2B99"/>
    <w:rsid w:val="001E69B6"/>
    <w:rsid w:val="001F4D27"/>
    <w:rsid w:val="001F4DBB"/>
    <w:rsid w:val="001F7C89"/>
    <w:rsid w:val="0020312D"/>
    <w:rsid w:val="0020495F"/>
    <w:rsid w:val="00206E33"/>
    <w:rsid w:val="00210519"/>
    <w:rsid w:val="00213BC1"/>
    <w:rsid w:val="00217AAC"/>
    <w:rsid w:val="00222B33"/>
    <w:rsid w:val="00223BA0"/>
    <w:rsid w:val="00230CEF"/>
    <w:rsid w:val="00234B18"/>
    <w:rsid w:val="00241B17"/>
    <w:rsid w:val="00241C81"/>
    <w:rsid w:val="00251D17"/>
    <w:rsid w:val="00257A1C"/>
    <w:rsid w:val="0027234C"/>
    <w:rsid w:val="00272E03"/>
    <w:rsid w:val="00275277"/>
    <w:rsid w:val="00281795"/>
    <w:rsid w:val="002850E3"/>
    <w:rsid w:val="00287E2F"/>
    <w:rsid w:val="002A1948"/>
    <w:rsid w:val="002C0877"/>
    <w:rsid w:val="002C2AE2"/>
    <w:rsid w:val="002C4FC0"/>
    <w:rsid w:val="002D0DCE"/>
    <w:rsid w:val="002E2B10"/>
    <w:rsid w:val="002F1502"/>
    <w:rsid w:val="002F169D"/>
    <w:rsid w:val="002F2069"/>
    <w:rsid w:val="002F6F92"/>
    <w:rsid w:val="003041AD"/>
    <w:rsid w:val="0031279F"/>
    <w:rsid w:val="00323D88"/>
    <w:rsid w:val="00336D96"/>
    <w:rsid w:val="00344F07"/>
    <w:rsid w:val="003469C8"/>
    <w:rsid w:val="0034725F"/>
    <w:rsid w:val="00355EA4"/>
    <w:rsid w:val="003635BE"/>
    <w:rsid w:val="00366B5E"/>
    <w:rsid w:val="00372844"/>
    <w:rsid w:val="003C31C9"/>
    <w:rsid w:val="003C4961"/>
    <w:rsid w:val="003C7C5D"/>
    <w:rsid w:val="003D0AD2"/>
    <w:rsid w:val="003E4E7D"/>
    <w:rsid w:val="003E5D57"/>
    <w:rsid w:val="003F5913"/>
    <w:rsid w:val="004024F8"/>
    <w:rsid w:val="0041159A"/>
    <w:rsid w:val="00414BEE"/>
    <w:rsid w:val="004305A8"/>
    <w:rsid w:val="00443CA0"/>
    <w:rsid w:val="00450E14"/>
    <w:rsid w:val="0045499D"/>
    <w:rsid w:val="004620FE"/>
    <w:rsid w:val="00462C65"/>
    <w:rsid w:val="00467B14"/>
    <w:rsid w:val="004705F3"/>
    <w:rsid w:val="00474EDA"/>
    <w:rsid w:val="0047536D"/>
    <w:rsid w:val="004767A8"/>
    <w:rsid w:val="004824FA"/>
    <w:rsid w:val="00484011"/>
    <w:rsid w:val="004841F1"/>
    <w:rsid w:val="004A1E3A"/>
    <w:rsid w:val="004A4DB1"/>
    <w:rsid w:val="004C4AEA"/>
    <w:rsid w:val="004D36A8"/>
    <w:rsid w:val="004E003C"/>
    <w:rsid w:val="004E16EB"/>
    <w:rsid w:val="004E6665"/>
    <w:rsid w:val="004F634E"/>
    <w:rsid w:val="004F67A8"/>
    <w:rsid w:val="00522A50"/>
    <w:rsid w:val="00527225"/>
    <w:rsid w:val="0053557D"/>
    <w:rsid w:val="005463DE"/>
    <w:rsid w:val="00546DC2"/>
    <w:rsid w:val="005542E8"/>
    <w:rsid w:val="00556630"/>
    <w:rsid w:val="0055686D"/>
    <w:rsid w:val="005800EE"/>
    <w:rsid w:val="005869D6"/>
    <w:rsid w:val="00597816"/>
    <w:rsid w:val="005A33F6"/>
    <w:rsid w:val="005A59E5"/>
    <w:rsid w:val="005B7440"/>
    <w:rsid w:val="005C6E9D"/>
    <w:rsid w:val="005E2150"/>
    <w:rsid w:val="005E2995"/>
    <w:rsid w:val="005F3FEF"/>
    <w:rsid w:val="00601392"/>
    <w:rsid w:val="00607F7C"/>
    <w:rsid w:val="006102DA"/>
    <w:rsid w:val="00621F93"/>
    <w:rsid w:val="006315A3"/>
    <w:rsid w:val="00632BEF"/>
    <w:rsid w:val="00637CC1"/>
    <w:rsid w:val="006428E0"/>
    <w:rsid w:val="006579A2"/>
    <w:rsid w:val="00667C89"/>
    <w:rsid w:val="006711EE"/>
    <w:rsid w:val="006809BB"/>
    <w:rsid w:val="006809FD"/>
    <w:rsid w:val="00691186"/>
    <w:rsid w:val="00691D1F"/>
    <w:rsid w:val="00697B72"/>
    <w:rsid w:val="00697BAE"/>
    <w:rsid w:val="006B4DDC"/>
    <w:rsid w:val="006B5E55"/>
    <w:rsid w:val="006B6925"/>
    <w:rsid w:val="006C49FE"/>
    <w:rsid w:val="006D1431"/>
    <w:rsid w:val="006D25A1"/>
    <w:rsid w:val="006D2D55"/>
    <w:rsid w:val="006F6856"/>
    <w:rsid w:val="007145D0"/>
    <w:rsid w:val="00716F94"/>
    <w:rsid w:val="00725F5D"/>
    <w:rsid w:val="00760E12"/>
    <w:rsid w:val="00763CF3"/>
    <w:rsid w:val="00772293"/>
    <w:rsid w:val="00783C75"/>
    <w:rsid w:val="00784619"/>
    <w:rsid w:val="0078627B"/>
    <w:rsid w:val="00794E32"/>
    <w:rsid w:val="007B305A"/>
    <w:rsid w:val="00800993"/>
    <w:rsid w:val="00815C7D"/>
    <w:rsid w:val="00817941"/>
    <w:rsid w:val="008261AB"/>
    <w:rsid w:val="00835CA7"/>
    <w:rsid w:val="008370D4"/>
    <w:rsid w:val="008414AD"/>
    <w:rsid w:val="008428D9"/>
    <w:rsid w:val="00872F10"/>
    <w:rsid w:val="00884DB9"/>
    <w:rsid w:val="0089676F"/>
    <w:rsid w:val="008A1639"/>
    <w:rsid w:val="008C67C7"/>
    <w:rsid w:val="008C67D2"/>
    <w:rsid w:val="008E0683"/>
    <w:rsid w:val="00902DD9"/>
    <w:rsid w:val="00911486"/>
    <w:rsid w:val="009129CA"/>
    <w:rsid w:val="009206B6"/>
    <w:rsid w:val="009263C1"/>
    <w:rsid w:val="00931C02"/>
    <w:rsid w:val="00941B4F"/>
    <w:rsid w:val="00946E24"/>
    <w:rsid w:val="0095481B"/>
    <w:rsid w:val="00963CE3"/>
    <w:rsid w:val="00964F18"/>
    <w:rsid w:val="0097304B"/>
    <w:rsid w:val="00974424"/>
    <w:rsid w:val="00987F76"/>
    <w:rsid w:val="00993088"/>
    <w:rsid w:val="0099664F"/>
    <w:rsid w:val="00997D5D"/>
    <w:rsid w:val="009A0447"/>
    <w:rsid w:val="009A6E8E"/>
    <w:rsid w:val="009B034F"/>
    <w:rsid w:val="009B34FB"/>
    <w:rsid w:val="009B4A51"/>
    <w:rsid w:val="009C28B1"/>
    <w:rsid w:val="009C61AD"/>
    <w:rsid w:val="009D373D"/>
    <w:rsid w:val="009D5120"/>
    <w:rsid w:val="009E1D05"/>
    <w:rsid w:val="00A00C9C"/>
    <w:rsid w:val="00A11B0C"/>
    <w:rsid w:val="00A305CE"/>
    <w:rsid w:val="00A33B35"/>
    <w:rsid w:val="00A36419"/>
    <w:rsid w:val="00A4387C"/>
    <w:rsid w:val="00A578C2"/>
    <w:rsid w:val="00A72652"/>
    <w:rsid w:val="00A75D1C"/>
    <w:rsid w:val="00A809AA"/>
    <w:rsid w:val="00A849B3"/>
    <w:rsid w:val="00A8510D"/>
    <w:rsid w:val="00A86AF3"/>
    <w:rsid w:val="00A90BDC"/>
    <w:rsid w:val="00A95477"/>
    <w:rsid w:val="00A975A9"/>
    <w:rsid w:val="00AA3192"/>
    <w:rsid w:val="00AB3608"/>
    <w:rsid w:val="00AC5C48"/>
    <w:rsid w:val="00AF0CF4"/>
    <w:rsid w:val="00AF2252"/>
    <w:rsid w:val="00B1129F"/>
    <w:rsid w:val="00B11D61"/>
    <w:rsid w:val="00B12F51"/>
    <w:rsid w:val="00B2751E"/>
    <w:rsid w:val="00B3650C"/>
    <w:rsid w:val="00B37EDC"/>
    <w:rsid w:val="00B64BFA"/>
    <w:rsid w:val="00B85DE4"/>
    <w:rsid w:val="00B87A9B"/>
    <w:rsid w:val="00B91A31"/>
    <w:rsid w:val="00B9341B"/>
    <w:rsid w:val="00B97647"/>
    <w:rsid w:val="00BA6DB4"/>
    <w:rsid w:val="00BC2BDF"/>
    <w:rsid w:val="00BC3F3C"/>
    <w:rsid w:val="00BC5BB2"/>
    <w:rsid w:val="00BF3F54"/>
    <w:rsid w:val="00C00697"/>
    <w:rsid w:val="00C0376C"/>
    <w:rsid w:val="00C06D77"/>
    <w:rsid w:val="00C14BA6"/>
    <w:rsid w:val="00C347E7"/>
    <w:rsid w:val="00C3485C"/>
    <w:rsid w:val="00C66DB8"/>
    <w:rsid w:val="00CA1D51"/>
    <w:rsid w:val="00CA2004"/>
    <w:rsid w:val="00CB334D"/>
    <w:rsid w:val="00CB56D5"/>
    <w:rsid w:val="00CD0771"/>
    <w:rsid w:val="00CD1EA8"/>
    <w:rsid w:val="00CF5ABD"/>
    <w:rsid w:val="00CF63CE"/>
    <w:rsid w:val="00D067C1"/>
    <w:rsid w:val="00D13B13"/>
    <w:rsid w:val="00D16E78"/>
    <w:rsid w:val="00D201D3"/>
    <w:rsid w:val="00D26A64"/>
    <w:rsid w:val="00D4221A"/>
    <w:rsid w:val="00D52B9A"/>
    <w:rsid w:val="00D5367E"/>
    <w:rsid w:val="00D7285C"/>
    <w:rsid w:val="00D861ED"/>
    <w:rsid w:val="00D873E0"/>
    <w:rsid w:val="00D94F8B"/>
    <w:rsid w:val="00DA4EA9"/>
    <w:rsid w:val="00DA5988"/>
    <w:rsid w:val="00DC317C"/>
    <w:rsid w:val="00DC4FF2"/>
    <w:rsid w:val="00DC79CC"/>
    <w:rsid w:val="00DE3E99"/>
    <w:rsid w:val="00E02062"/>
    <w:rsid w:val="00E134F4"/>
    <w:rsid w:val="00E23568"/>
    <w:rsid w:val="00E245B5"/>
    <w:rsid w:val="00E24C20"/>
    <w:rsid w:val="00E33E1B"/>
    <w:rsid w:val="00E34D3E"/>
    <w:rsid w:val="00E60551"/>
    <w:rsid w:val="00E81C5E"/>
    <w:rsid w:val="00E83B3C"/>
    <w:rsid w:val="00E8736B"/>
    <w:rsid w:val="00E90275"/>
    <w:rsid w:val="00E925D4"/>
    <w:rsid w:val="00E9461F"/>
    <w:rsid w:val="00E97226"/>
    <w:rsid w:val="00EB63B3"/>
    <w:rsid w:val="00EC7777"/>
    <w:rsid w:val="00ED2D3E"/>
    <w:rsid w:val="00ED6878"/>
    <w:rsid w:val="00EE4657"/>
    <w:rsid w:val="00EF0EC8"/>
    <w:rsid w:val="00EF33CD"/>
    <w:rsid w:val="00F2329B"/>
    <w:rsid w:val="00F300CB"/>
    <w:rsid w:val="00F42C3A"/>
    <w:rsid w:val="00F52BCC"/>
    <w:rsid w:val="00F5313F"/>
    <w:rsid w:val="00F57581"/>
    <w:rsid w:val="00F725B5"/>
    <w:rsid w:val="00F81A48"/>
    <w:rsid w:val="00FA679C"/>
    <w:rsid w:val="00FD17C9"/>
    <w:rsid w:val="00FD1EF0"/>
    <w:rsid w:val="00FD2A5B"/>
    <w:rsid w:val="00FD6FC6"/>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1307">
      <w:bodyDiv w:val="1"/>
      <w:marLeft w:val="0"/>
      <w:marRight w:val="0"/>
      <w:marTop w:val="0"/>
      <w:marBottom w:val="0"/>
      <w:divBdr>
        <w:top w:val="none" w:sz="0" w:space="0" w:color="auto"/>
        <w:left w:val="none" w:sz="0" w:space="0" w:color="auto"/>
        <w:bottom w:val="none" w:sz="0" w:space="0" w:color="auto"/>
        <w:right w:val="none" w:sz="0" w:space="0" w:color="auto"/>
      </w:divBdr>
    </w:div>
    <w:div w:id="767386296">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E1362-F5A4-497F-85FA-C69F22A2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Rasulnia, Bobby (CDC/OSTLTS/DPHPI)</cp:lastModifiedBy>
  <cp:revision>3</cp:revision>
  <cp:lastPrinted>2012-05-11T15:31:00Z</cp:lastPrinted>
  <dcterms:created xsi:type="dcterms:W3CDTF">2012-05-17T18:43:00Z</dcterms:created>
  <dcterms:modified xsi:type="dcterms:W3CDTF">2012-05-17T18:48:00Z</dcterms:modified>
</cp:coreProperties>
</file>