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D7" w:rsidRPr="006566D3" w:rsidRDefault="006165D7" w:rsidP="006165D7">
      <w:pPr>
        <w:jc w:val="center"/>
        <w:rPr>
          <w:rFonts w:asciiTheme="majorHAnsi" w:hAnsiTheme="majorHAnsi" w:cs="Courier New"/>
          <w:b/>
          <w:sz w:val="40"/>
          <w:szCs w:val="40"/>
        </w:rPr>
      </w:pPr>
      <w:r w:rsidRPr="006566D3">
        <w:rPr>
          <w:rFonts w:asciiTheme="majorHAnsi" w:hAnsiTheme="majorHAnsi" w:cs="Courier New"/>
          <w:b/>
          <w:sz w:val="40"/>
          <w:szCs w:val="40"/>
        </w:rPr>
        <w:t xml:space="preserve">Evaluation of a CDC Service </w:t>
      </w:r>
      <w:r w:rsidR="00587B08">
        <w:rPr>
          <w:rFonts w:asciiTheme="majorHAnsi" w:hAnsiTheme="majorHAnsi" w:cs="Courier New"/>
          <w:b/>
          <w:sz w:val="40"/>
          <w:szCs w:val="40"/>
        </w:rPr>
        <w:t>Provided to Public Health Laboratories</w:t>
      </w:r>
      <w:r w:rsidRPr="006566D3">
        <w:rPr>
          <w:rFonts w:asciiTheme="majorHAnsi" w:hAnsiTheme="majorHAnsi" w:cs="Courier New"/>
          <w:b/>
          <w:sz w:val="40"/>
          <w:szCs w:val="40"/>
        </w:rPr>
        <w:t xml:space="preserve"> to Rapidly Identify Multidrug-Resistant Isolates of TB</w:t>
      </w:r>
    </w:p>
    <w:p w:rsidR="006165D7" w:rsidRPr="009B4A51" w:rsidRDefault="006165D7" w:rsidP="006165D7">
      <w:pPr>
        <w:spacing w:after="0"/>
        <w:jc w:val="center"/>
        <w:rPr>
          <w:rFonts w:asciiTheme="majorHAnsi" w:hAnsiTheme="majorHAnsi"/>
          <w:b/>
          <w:sz w:val="40"/>
        </w:rPr>
      </w:pPr>
    </w:p>
    <w:p w:rsidR="006165D7" w:rsidRDefault="006165D7" w:rsidP="006165D7">
      <w:pPr>
        <w:spacing w:after="0"/>
        <w:jc w:val="center"/>
        <w:rPr>
          <w:rFonts w:asciiTheme="majorHAnsi" w:hAnsiTheme="majorHAnsi"/>
          <w:b/>
        </w:rPr>
      </w:pPr>
    </w:p>
    <w:p w:rsidR="006165D7" w:rsidRPr="00AA3192" w:rsidRDefault="006165D7" w:rsidP="006165D7">
      <w:pPr>
        <w:spacing w:after="0"/>
        <w:jc w:val="center"/>
        <w:rPr>
          <w:rFonts w:asciiTheme="majorHAnsi" w:hAnsiTheme="majorHAnsi"/>
        </w:rPr>
      </w:pPr>
      <w:r w:rsidRPr="00AA3192">
        <w:rPr>
          <w:rFonts w:asciiTheme="majorHAnsi" w:hAnsiTheme="majorHAnsi"/>
        </w:rPr>
        <w:t>OSTL</w:t>
      </w:r>
      <w:r>
        <w:rPr>
          <w:rFonts w:asciiTheme="majorHAnsi" w:hAnsiTheme="majorHAnsi"/>
        </w:rPr>
        <w:t>TS Generic Information Collection</w:t>
      </w:r>
      <w:r w:rsidRPr="00AA3192">
        <w:rPr>
          <w:rFonts w:asciiTheme="majorHAnsi" w:hAnsiTheme="majorHAnsi"/>
        </w:rPr>
        <w:t xml:space="preserve"> Request</w:t>
      </w:r>
    </w:p>
    <w:p w:rsidR="006165D7" w:rsidRPr="00AA3192" w:rsidRDefault="006165D7" w:rsidP="006165D7">
      <w:pPr>
        <w:pStyle w:val="Header"/>
        <w:tabs>
          <w:tab w:val="clear" w:pos="4680"/>
        </w:tabs>
        <w:jc w:val="center"/>
      </w:pPr>
      <w:r w:rsidRPr="00AA3192">
        <w:t>OMB No. 0920-0879</w:t>
      </w: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jc w:val="center"/>
        <w:rPr>
          <w:rFonts w:asciiTheme="majorHAnsi" w:hAnsiTheme="majorHAnsi"/>
          <w:b/>
        </w:rPr>
      </w:pPr>
      <w:r w:rsidRPr="00AA3192">
        <w:rPr>
          <w:rFonts w:asciiTheme="majorHAnsi" w:hAnsiTheme="majorHAnsi"/>
          <w:b/>
          <w:sz w:val="32"/>
        </w:rPr>
        <w:t>Supporting Statement – Section A</w:t>
      </w: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jc w:val="center"/>
        <w:rPr>
          <w:rFonts w:asciiTheme="majorHAnsi" w:hAnsiTheme="majorHAnsi"/>
          <w:b/>
        </w:rPr>
      </w:pPr>
      <w:r w:rsidRPr="00AA3192">
        <w:rPr>
          <w:rFonts w:asciiTheme="majorHAnsi" w:hAnsiTheme="majorHAnsi"/>
          <w:b/>
        </w:rPr>
        <w:t>Submitted:</w:t>
      </w:r>
      <w:r w:rsidRPr="00AA3192">
        <w:rPr>
          <w:rFonts w:asciiTheme="majorHAnsi" w:hAnsiTheme="majorHAnsi"/>
        </w:rPr>
        <w:t xml:space="preserve"> </w:t>
      </w:r>
      <w:r w:rsidR="00050EA8">
        <w:rPr>
          <w:rFonts w:asciiTheme="majorHAnsi" w:hAnsiTheme="majorHAnsi"/>
        </w:rPr>
        <w:t xml:space="preserve">January </w:t>
      </w:r>
      <w:r w:rsidR="00AC7762">
        <w:rPr>
          <w:rFonts w:asciiTheme="majorHAnsi" w:hAnsiTheme="majorHAnsi"/>
        </w:rPr>
        <w:t>3</w:t>
      </w:r>
      <w:r w:rsidR="00143129">
        <w:rPr>
          <w:rFonts w:asciiTheme="majorHAnsi" w:hAnsiTheme="majorHAnsi"/>
        </w:rPr>
        <w:t>, 201</w:t>
      </w:r>
      <w:r w:rsidR="00050EA8">
        <w:rPr>
          <w:rFonts w:asciiTheme="majorHAnsi" w:hAnsiTheme="majorHAnsi"/>
        </w:rPr>
        <w:t>2</w:t>
      </w: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Default="006165D7" w:rsidP="006165D7">
      <w:pPr>
        <w:spacing w:after="0"/>
        <w:rPr>
          <w:rFonts w:asciiTheme="majorHAnsi" w:hAnsiTheme="majorHAnsi"/>
          <w:b/>
        </w:rPr>
      </w:pPr>
    </w:p>
    <w:p w:rsidR="006165D7" w:rsidRPr="00667C89" w:rsidRDefault="006165D7" w:rsidP="006165D7">
      <w:pPr>
        <w:spacing w:after="0"/>
        <w:rPr>
          <w:rFonts w:asciiTheme="majorHAnsi" w:hAnsiTheme="majorHAnsi"/>
          <w:b/>
          <w:u w:val="single"/>
        </w:rPr>
      </w:pPr>
      <w:r w:rsidRPr="00667C89">
        <w:rPr>
          <w:rFonts w:asciiTheme="majorHAnsi" w:hAnsiTheme="majorHAnsi"/>
          <w:b/>
          <w:u w:val="single"/>
        </w:rPr>
        <w:t>Program Official/Project Officer</w:t>
      </w:r>
    </w:p>
    <w:p w:rsidR="006165D7" w:rsidRPr="009518C0" w:rsidRDefault="006165D7" w:rsidP="006165D7">
      <w:pPr>
        <w:spacing w:after="0"/>
        <w:rPr>
          <w:rFonts w:asciiTheme="majorHAnsi" w:hAnsiTheme="majorHAnsi"/>
        </w:rPr>
      </w:pPr>
      <w:r>
        <w:rPr>
          <w:rFonts w:asciiTheme="majorHAnsi" w:hAnsiTheme="majorHAnsi"/>
        </w:rPr>
        <w:t>Mitchell Yakrus</w:t>
      </w:r>
      <w:r w:rsidRPr="009518C0">
        <w:rPr>
          <w:rFonts w:asciiTheme="majorHAnsi" w:hAnsiTheme="majorHAnsi"/>
        </w:rPr>
        <w:t xml:space="preserve">, </w:t>
      </w:r>
      <w:r>
        <w:rPr>
          <w:rFonts w:asciiTheme="majorHAnsi" w:hAnsiTheme="majorHAnsi"/>
        </w:rPr>
        <w:t xml:space="preserve">MS, </w:t>
      </w:r>
      <w:r w:rsidRPr="009518C0">
        <w:rPr>
          <w:rFonts w:asciiTheme="majorHAnsi" w:hAnsiTheme="majorHAnsi"/>
        </w:rPr>
        <w:t>MPH</w:t>
      </w:r>
    </w:p>
    <w:p w:rsidR="006165D7" w:rsidRDefault="006165D7" w:rsidP="006165D7">
      <w:pPr>
        <w:spacing w:after="0"/>
        <w:rPr>
          <w:rFonts w:asciiTheme="majorHAnsi" w:hAnsiTheme="majorHAnsi"/>
        </w:rPr>
      </w:pPr>
      <w:r>
        <w:rPr>
          <w:rFonts w:asciiTheme="majorHAnsi" w:hAnsiTheme="majorHAnsi"/>
        </w:rPr>
        <w:t>Microbiologist</w:t>
      </w:r>
    </w:p>
    <w:p w:rsidR="006165D7" w:rsidRDefault="00335454" w:rsidP="006165D7">
      <w:pPr>
        <w:spacing w:after="0"/>
        <w:rPr>
          <w:rFonts w:asciiTheme="majorHAnsi" w:hAnsiTheme="majorHAnsi" w:cs="Arial"/>
        </w:rPr>
      </w:pPr>
      <w:hyperlink r:id="rId6" w:history="1">
        <w:r w:rsidR="006165D7" w:rsidRPr="006566D3">
          <w:rPr>
            <w:rStyle w:val="Hyperlink"/>
            <w:rFonts w:asciiTheme="majorHAnsi" w:hAnsiTheme="majorHAnsi" w:cs="Arial"/>
          </w:rPr>
          <w:t>National Center for HIV/AIDS, Viral Hepatitis, STD, and TB Prevention (NCHHSTP)</w:t>
        </w:r>
      </w:hyperlink>
      <w:r w:rsidR="006165D7" w:rsidRPr="006566D3">
        <w:rPr>
          <w:rFonts w:asciiTheme="majorHAnsi" w:hAnsiTheme="majorHAnsi" w:cs="Arial"/>
        </w:rPr>
        <w:t xml:space="preserve"> </w:t>
      </w:r>
    </w:p>
    <w:p w:rsidR="006165D7" w:rsidRDefault="006165D7" w:rsidP="006165D7">
      <w:pPr>
        <w:spacing w:after="0"/>
        <w:rPr>
          <w:rFonts w:asciiTheme="majorHAnsi" w:hAnsiTheme="majorHAnsi"/>
        </w:rPr>
      </w:pPr>
      <w:r w:rsidRPr="009518C0">
        <w:rPr>
          <w:rFonts w:asciiTheme="majorHAnsi" w:hAnsiTheme="majorHAnsi"/>
        </w:rPr>
        <w:t xml:space="preserve">Division of </w:t>
      </w:r>
      <w:r>
        <w:rPr>
          <w:rFonts w:asciiTheme="majorHAnsi" w:hAnsiTheme="majorHAnsi"/>
        </w:rPr>
        <w:t>Tuberculosis Elimination</w:t>
      </w:r>
    </w:p>
    <w:p w:rsidR="006165D7" w:rsidRPr="009518C0" w:rsidRDefault="006165D7" w:rsidP="006165D7">
      <w:pPr>
        <w:spacing w:after="0"/>
        <w:rPr>
          <w:rFonts w:asciiTheme="majorHAnsi" w:hAnsiTheme="majorHAnsi"/>
        </w:rPr>
      </w:pPr>
      <w:r>
        <w:rPr>
          <w:rFonts w:asciiTheme="majorHAnsi" w:hAnsiTheme="majorHAnsi"/>
        </w:rPr>
        <w:t>Laboratory Branch</w:t>
      </w:r>
    </w:p>
    <w:p w:rsidR="006165D7" w:rsidRPr="009518C0" w:rsidRDefault="006165D7" w:rsidP="006165D7">
      <w:pPr>
        <w:spacing w:after="0"/>
        <w:rPr>
          <w:rFonts w:asciiTheme="majorHAnsi" w:hAnsiTheme="majorHAnsi"/>
        </w:rPr>
      </w:pPr>
      <w:r>
        <w:rPr>
          <w:rFonts w:asciiTheme="majorHAnsi" w:hAnsiTheme="majorHAnsi"/>
        </w:rPr>
        <w:t>1600 Clifton RD</w:t>
      </w:r>
      <w:r w:rsidRPr="009518C0">
        <w:rPr>
          <w:rFonts w:asciiTheme="majorHAnsi" w:hAnsiTheme="majorHAnsi"/>
        </w:rPr>
        <w:t xml:space="preserve">, MS </w:t>
      </w:r>
      <w:r>
        <w:rPr>
          <w:rFonts w:asciiTheme="majorHAnsi" w:hAnsiTheme="majorHAnsi"/>
        </w:rPr>
        <w:t>F08</w:t>
      </w:r>
      <w:r w:rsidRPr="009518C0">
        <w:rPr>
          <w:rFonts w:asciiTheme="majorHAnsi" w:hAnsiTheme="majorHAnsi"/>
        </w:rPr>
        <w:t>, Atlanta, GA 30</w:t>
      </w:r>
      <w:r>
        <w:rPr>
          <w:rFonts w:asciiTheme="majorHAnsi" w:hAnsiTheme="majorHAnsi"/>
        </w:rPr>
        <w:t>333</w:t>
      </w:r>
    </w:p>
    <w:p w:rsidR="006165D7" w:rsidRPr="009518C0" w:rsidRDefault="006165D7" w:rsidP="006165D7">
      <w:pPr>
        <w:spacing w:after="0"/>
        <w:rPr>
          <w:rFonts w:asciiTheme="majorHAnsi" w:hAnsiTheme="majorHAnsi"/>
        </w:rPr>
      </w:pPr>
      <w:r w:rsidRPr="009518C0">
        <w:rPr>
          <w:rFonts w:asciiTheme="majorHAnsi" w:hAnsiTheme="majorHAnsi"/>
        </w:rPr>
        <w:t>Phone: 404-</w:t>
      </w:r>
      <w:r>
        <w:rPr>
          <w:rFonts w:asciiTheme="majorHAnsi" w:hAnsiTheme="majorHAnsi"/>
        </w:rPr>
        <w:t>639-1288</w:t>
      </w:r>
    </w:p>
    <w:p w:rsidR="006165D7" w:rsidRPr="009518C0" w:rsidRDefault="006165D7" w:rsidP="006165D7">
      <w:pPr>
        <w:spacing w:after="0"/>
        <w:rPr>
          <w:rFonts w:asciiTheme="majorHAnsi" w:hAnsiTheme="majorHAnsi"/>
        </w:rPr>
      </w:pPr>
      <w:r w:rsidRPr="009518C0">
        <w:rPr>
          <w:rFonts w:asciiTheme="majorHAnsi" w:hAnsiTheme="majorHAnsi"/>
        </w:rPr>
        <w:t>Fax: 404-</w:t>
      </w:r>
      <w:r>
        <w:rPr>
          <w:rFonts w:asciiTheme="majorHAnsi" w:hAnsiTheme="majorHAnsi"/>
        </w:rPr>
        <w:t>639-1287</w:t>
      </w:r>
    </w:p>
    <w:p w:rsidR="006165D7" w:rsidRDefault="006165D7" w:rsidP="006165D7">
      <w:pPr>
        <w:spacing w:after="0"/>
      </w:pPr>
      <w:r w:rsidRPr="009518C0">
        <w:rPr>
          <w:rFonts w:asciiTheme="majorHAnsi" w:hAnsiTheme="majorHAnsi"/>
        </w:rPr>
        <w:t>Email:</w:t>
      </w:r>
      <w:r>
        <w:rPr>
          <w:rFonts w:asciiTheme="majorHAnsi" w:hAnsiTheme="majorHAnsi"/>
        </w:rPr>
        <w:t xml:space="preserve"> </w:t>
      </w:r>
      <w:hyperlink r:id="rId7" w:history="1">
        <w:r w:rsidRPr="004A5D39">
          <w:rPr>
            <w:rStyle w:val="Hyperlink"/>
            <w:rFonts w:asciiTheme="majorHAnsi" w:hAnsiTheme="majorHAnsi"/>
          </w:rPr>
          <w:t>may2@cdc.gov</w:t>
        </w:r>
      </w:hyperlink>
    </w:p>
    <w:p w:rsidR="006165D7" w:rsidRDefault="006165D7" w:rsidP="006165D7">
      <w:pPr>
        <w:spacing w:after="0"/>
      </w:pPr>
    </w:p>
    <w:p w:rsidR="006165D7" w:rsidRDefault="006165D7" w:rsidP="006165D7">
      <w:pPr>
        <w:spacing w:after="0"/>
      </w:pPr>
    </w:p>
    <w:p w:rsidR="006165D7" w:rsidRDefault="006165D7" w:rsidP="006165D7">
      <w:pPr>
        <w:spacing w:after="0"/>
      </w:pPr>
    </w:p>
    <w:p w:rsidR="006165D7" w:rsidRDefault="006165D7" w:rsidP="006165D7">
      <w:pPr>
        <w:spacing w:after="0"/>
      </w:pPr>
    </w:p>
    <w:p w:rsidR="006165D7" w:rsidRDefault="006165D7" w:rsidP="006165D7">
      <w:pPr>
        <w:spacing w:after="0"/>
      </w:pPr>
    </w:p>
    <w:p w:rsidR="006165D7" w:rsidRDefault="006165D7" w:rsidP="006165D7">
      <w:pPr>
        <w:spacing w:after="0"/>
      </w:pPr>
    </w:p>
    <w:p w:rsidR="006165D7" w:rsidRDefault="006165D7" w:rsidP="006165D7">
      <w:pPr>
        <w:spacing w:after="0"/>
      </w:pPr>
    </w:p>
    <w:p w:rsidR="006165D7" w:rsidRPr="009518C0" w:rsidRDefault="006165D7" w:rsidP="006165D7">
      <w:pPr>
        <w:spacing w:after="0"/>
        <w:rPr>
          <w:rFonts w:asciiTheme="majorHAnsi" w:hAnsiTheme="majorHAnsi"/>
        </w:rPr>
      </w:pPr>
    </w:p>
    <w:p w:rsidR="006165D7" w:rsidRPr="00F52BCC" w:rsidRDefault="006165D7" w:rsidP="006165D7">
      <w:pPr>
        <w:spacing w:after="0"/>
        <w:rPr>
          <w:rFonts w:asciiTheme="majorHAnsi" w:hAnsiTheme="majorHAnsi"/>
          <w:b/>
          <w:sz w:val="28"/>
        </w:rPr>
      </w:pPr>
      <w:r w:rsidRPr="00F52BCC">
        <w:rPr>
          <w:rFonts w:asciiTheme="majorHAnsi" w:hAnsiTheme="majorHAnsi"/>
          <w:b/>
          <w:sz w:val="28"/>
        </w:rPr>
        <w:lastRenderedPageBreak/>
        <w:t>Section A – Justification</w:t>
      </w:r>
    </w:p>
    <w:p w:rsidR="006165D7" w:rsidRDefault="006165D7" w:rsidP="006165D7">
      <w:pPr>
        <w:spacing w:after="0"/>
        <w:rPr>
          <w:rFonts w:asciiTheme="majorHAnsi" w:hAnsiTheme="majorHAnsi"/>
          <w:b/>
        </w:rPr>
      </w:pPr>
    </w:p>
    <w:p w:rsidR="006165D7" w:rsidRPr="00D13B13" w:rsidRDefault="006165D7" w:rsidP="006165D7">
      <w:pPr>
        <w:pStyle w:val="ListParagraph"/>
        <w:numPr>
          <w:ilvl w:val="0"/>
          <w:numId w:val="1"/>
        </w:numPr>
        <w:spacing w:after="0"/>
        <w:rPr>
          <w:rFonts w:asciiTheme="majorHAnsi" w:hAnsiTheme="majorHAnsi"/>
          <w:b/>
        </w:rPr>
      </w:pPr>
      <w:r w:rsidRPr="00D13B13">
        <w:rPr>
          <w:rFonts w:asciiTheme="majorHAnsi" w:hAnsiTheme="majorHAnsi"/>
          <w:b/>
        </w:rPr>
        <w:t>Circumstances Making the Collection of Information Necessary</w:t>
      </w:r>
    </w:p>
    <w:p w:rsidR="006165D7" w:rsidRDefault="006165D7" w:rsidP="006165D7">
      <w:pPr>
        <w:spacing w:after="0"/>
        <w:ind w:left="720"/>
        <w:rPr>
          <w:rFonts w:asciiTheme="majorHAnsi" w:hAnsiTheme="majorHAnsi"/>
          <w:b/>
        </w:rPr>
      </w:pPr>
    </w:p>
    <w:p w:rsidR="006165D7" w:rsidRDefault="006165D7" w:rsidP="006165D7">
      <w:pPr>
        <w:spacing w:after="0"/>
        <w:ind w:left="720"/>
        <w:rPr>
          <w:rFonts w:asciiTheme="majorHAnsi" w:hAnsiTheme="majorHAnsi"/>
          <w:b/>
        </w:rPr>
      </w:pPr>
      <w:r>
        <w:rPr>
          <w:rFonts w:asciiTheme="majorHAnsi" w:hAnsiTheme="majorHAnsi"/>
          <w:b/>
        </w:rPr>
        <w:t>Background</w:t>
      </w:r>
    </w:p>
    <w:p w:rsidR="006165D7" w:rsidRDefault="006165D7" w:rsidP="006165D7">
      <w:pPr>
        <w:pStyle w:val="Header"/>
        <w:tabs>
          <w:tab w:val="clear" w:pos="4680"/>
        </w:tabs>
        <w:spacing w:line="276" w:lineRule="auto"/>
        <w:ind w:left="720"/>
        <w:rPr>
          <w:rFonts w:asciiTheme="majorHAnsi" w:hAnsiTheme="majorHAnsi"/>
        </w:rPr>
      </w:pPr>
      <w:r>
        <w:rPr>
          <w:rFonts w:asciiTheme="majorHAnsi" w:hAnsiTheme="majorHAnsi"/>
        </w:rPr>
        <w:t>This data collection is being conducted using the Generic Information Collection mechanism of the OSTLTS Survey Center (OSC) – OMB No. 0920-0879. The respondent universe for this data collection aligns with that of the OSC. Data will be collected from State and local public health laboratory directors and their designees acting in their official capacities.</w:t>
      </w:r>
    </w:p>
    <w:p w:rsidR="00587B08" w:rsidRDefault="00587B08" w:rsidP="006165D7">
      <w:pPr>
        <w:pStyle w:val="Header"/>
        <w:tabs>
          <w:tab w:val="clear" w:pos="4680"/>
        </w:tabs>
        <w:spacing w:line="276" w:lineRule="auto"/>
        <w:ind w:left="720"/>
        <w:rPr>
          <w:rFonts w:asciiTheme="majorHAnsi" w:hAnsiTheme="majorHAnsi"/>
        </w:rPr>
      </w:pPr>
    </w:p>
    <w:p w:rsidR="00587B08" w:rsidRDefault="00587B08" w:rsidP="00587B08">
      <w:pPr>
        <w:spacing w:before="26" w:after="26"/>
        <w:ind w:left="720"/>
        <w:rPr>
          <w:rFonts w:asciiTheme="majorHAnsi" w:hAnsiTheme="majorHAnsi"/>
        </w:rPr>
      </w:pPr>
      <w:r w:rsidRPr="007B678D">
        <w:rPr>
          <w:rFonts w:asciiTheme="majorHAnsi" w:hAnsiTheme="majorHAnsi"/>
          <w:color w:val="000000"/>
        </w:rPr>
        <w:t>In response to the Advisory Committee for the Elimination of Tuberculosis (ACET) resolution, CDC convened an expert panel of consultants</w:t>
      </w:r>
      <w:r>
        <w:rPr>
          <w:rFonts w:asciiTheme="majorHAnsi" w:hAnsiTheme="majorHAnsi"/>
          <w:color w:val="000000"/>
        </w:rPr>
        <w:t xml:space="preserve"> (see </w:t>
      </w:r>
      <w:r w:rsidRPr="00587B08">
        <w:rPr>
          <w:rFonts w:asciiTheme="majorHAnsi" w:hAnsiTheme="majorHAnsi"/>
          <w:b/>
          <w:color w:val="000000"/>
        </w:rPr>
        <w:t>Attachment A</w:t>
      </w:r>
      <w:r>
        <w:rPr>
          <w:rFonts w:asciiTheme="majorHAnsi" w:hAnsiTheme="majorHAnsi"/>
          <w:color w:val="000000"/>
        </w:rPr>
        <w:t>)</w:t>
      </w:r>
      <w:r w:rsidRPr="007B678D">
        <w:rPr>
          <w:rFonts w:asciiTheme="majorHAnsi" w:hAnsiTheme="majorHAnsi"/>
          <w:color w:val="000000"/>
        </w:rPr>
        <w:t xml:space="preserve"> “to examine the current status of rapid drug resistance testing in the United States, published evidence, and current guidelines and to provide guidance and make recommendations to CDC for developing a system to provide access to rapid drug-susceptibility testing to all TB Control programs in the United States”. The expert panel recommended that procedures for rapidly detecting and reporting discrepancies between the results of molecular and conventional testing must be developed and implemented. Subsequently, in November 2010, ACET unanimously approved a motion stating that “DTBE collect outcome data for all patients whose specimens are submitted to the MDDR service.” To implement ACET recommendations, it is necessary to periodically perform evaluation of the MDDR testing service in order to measure discordance among molecular and conventional drug susceptibility testing performed at CDC and at the local level, to analyze how MDDR results are interpreted and used by healthcare providers, and to collect information regarding patient outcomes. The MDDR testing service must be analyzed to ensure that it is providing the intended impact by rapidly identifying </w:t>
      </w:r>
      <w:r>
        <w:rPr>
          <w:rFonts w:asciiTheme="majorHAnsi" w:hAnsiTheme="majorHAnsi"/>
          <w:color w:val="000000"/>
        </w:rPr>
        <w:t>drug resistance</w:t>
      </w:r>
      <w:r w:rsidRPr="007B678D">
        <w:rPr>
          <w:rFonts w:asciiTheme="majorHAnsi" w:hAnsiTheme="majorHAnsi"/>
          <w:color w:val="000000"/>
        </w:rPr>
        <w:t xml:space="preserve"> and providing easy to interpret results to stakeholders for initiation of treatment. </w:t>
      </w:r>
    </w:p>
    <w:p w:rsidR="006165D7" w:rsidRDefault="006165D7" w:rsidP="006165D7">
      <w:pPr>
        <w:pStyle w:val="Header"/>
        <w:tabs>
          <w:tab w:val="clear" w:pos="4680"/>
        </w:tabs>
        <w:spacing w:line="276" w:lineRule="auto"/>
        <w:ind w:left="720"/>
        <w:rPr>
          <w:rFonts w:asciiTheme="majorHAnsi" w:hAnsiTheme="majorHAnsi"/>
        </w:rPr>
      </w:pPr>
    </w:p>
    <w:p w:rsidR="00587B08" w:rsidRDefault="006165D7" w:rsidP="006165D7">
      <w:pPr>
        <w:spacing w:after="40"/>
        <w:ind w:left="720"/>
        <w:rPr>
          <w:rFonts w:asciiTheme="majorHAnsi" w:hAnsiTheme="majorHAnsi"/>
          <w:color w:val="000000"/>
        </w:rPr>
      </w:pPr>
      <w:r w:rsidRPr="00094555">
        <w:rPr>
          <w:rFonts w:asciiTheme="majorHAnsi" w:hAnsiTheme="majorHAnsi" w:cs="Courier New"/>
        </w:rPr>
        <w:t xml:space="preserve">The Laboratory Branch (LB) in the Division of Tuberculosis Elimination (DTBE) requests </w:t>
      </w:r>
      <w:r w:rsidRPr="00270F15">
        <w:rPr>
          <w:rFonts w:asciiTheme="majorHAnsi" w:hAnsiTheme="majorHAnsi" w:cs="Courier New"/>
        </w:rPr>
        <w:t xml:space="preserve">approval for a new sub-collection information package under the approved generic ICR that supports </w:t>
      </w:r>
      <w:r w:rsidRPr="00270F15">
        <w:rPr>
          <w:rFonts w:asciiTheme="majorHAnsi" w:hAnsiTheme="majorHAnsi"/>
        </w:rPr>
        <w:t>quick evaluation of program impact</w:t>
      </w:r>
      <w:r w:rsidRPr="00270F15">
        <w:rPr>
          <w:rFonts w:asciiTheme="majorHAnsi" w:hAnsiTheme="majorHAnsi" w:cs="Courier New"/>
        </w:rPr>
        <w:t xml:space="preserve">. The LB </w:t>
      </w:r>
      <w:r w:rsidRPr="00270F15">
        <w:rPr>
          <w:rFonts w:asciiTheme="majorHAnsi" w:hAnsiTheme="majorHAnsi"/>
          <w:color w:val="000000"/>
        </w:rPr>
        <w:t xml:space="preserve">offers a service for the molecular detection drug resistance (MDDR) to rapidly identify multidrug-resistant </w:t>
      </w:r>
      <w:r>
        <w:rPr>
          <w:rFonts w:asciiTheme="majorHAnsi" w:hAnsiTheme="majorHAnsi"/>
          <w:color w:val="000000"/>
        </w:rPr>
        <w:t xml:space="preserve">isolates of </w:t>
      </w:r>
      <w:r>
        <w:rPr>
          <w:rFonts w:asciiTheme="majorHAnsi" w:hAnsiTheme="majorHAnsi"/>
          <w:i/>
          <w:color w:val="000000"/>
        </w:rPr>
        <w:t xml:space="preserve">Mycobacterium tuberculosis </w:t>
      </w:r>
      <w:r>
        <w:rPr>
          <w:rFonts w:asciiTheme="majorHAnsi" w:hAnsiTheme="majorHAnsi"/>
          <w:color w:val="000000"/>
        </w:rPr>
        <w:t>Complex (M</w:t>
      </w:r>
      <w:r w:rsidRPr="00270F15">
        <w:rPr>
          <w:rFonts w:asciiTheme="majorHAnsi" w:hAnsiTheme="majorHAnsi"/>
          <w:color w:val="000000"/>
        </w:rPr>
        <w:t>TB</w:t>
      </w:r>
      <w:r>
        <w:rPr>
          <w:rFonts w:asciiTheme="majorHAnsi" w:hAnsiTheme="majorHAnsi"/>
          <w:color w:val="000000"/>
        </w:rPr>
        <w:t>C)</w:t>
      </w:r>
      <w:r w:rsidRPr="00270F15">
        <w:rPr>
          <w:rFonts w:asciiTheme="majorHAnsi" w:hAnsiTheme="majorHAnsi"/>
          <w:color w:val="000000"/>
        </w:rPr>
        <w:t>. This service utilizes DNA sequencing for detection of mutations most frequently associated with rifampin and isoniazid drug resistance.  Additional testing is conducted to identify mutations associated with resistance to the most effective second-line drugs; fluroquinolones, amikacin, kanamycin, and capreomycin. The critical contribution of MDDR tests for TB treatment and control is earlier detection of resistance: they can reliably detect mutations associated with drug resistance in 1 to 2 days.  Not only does this reduce the time to detect rifampin resistance, this also reduces the time from TB diagnosis to the start of treatment. The reduction in the infectious period after diagnosis should have a large impact on public health measures to stop the spread of drug-resistant TB.</w:t>
      </w:r>
    </w:p>
    <w:p w:rsidR="006165D7" w:rsidRDefault="006165D7" w:rsidP="006165D7">
      <w:pPr>
        <w:spacing w:after="40"/>
        <w:ind w:left="720"/>
        <w:rPr>
          <w:rFonts w:asciiTheme="majorHAnsi" w:hAnsiTheme="majorHAnsi" w:cs="Courier New"/>
        </w:rPr>
      </w:pPr>
      <w:r>
        <w:rPr>
          <w:rFonts w:asciiTheme="majorHAnsi" w:hAnsiTheme="majorHAnsi"/>
          <w:color w:val="000000"/>
        </w:rPr>
        <w:lastRenderedPageBreak/>
        <w:t xml:space="preserve"> </w:t>
      </w:r>
      <w:r w:rsidRPr="0004197C">
        <w:rPr>
          <w:rFonts w:asciiTheme="majorHAnsi" w:hAnsiTheme="majorHAnsi" w:cs="Courier New"/>
        </w:rPr>
        <w:t>Information for this collection will be provided by public health laboratories (PHL)</w:t>
      </w:r>
      <w:r>
        <w:rPr>
          <w:rFonts w:asciiTheme="majorHAnsi" w:hAnsiTheme="majorHAnsi" w:cs="Courier New"/>
        </w:rPr>
        <w:t xml:space="preserve"> </w:t>
      </w:r>
      <w:r w:rsidRPr="0004197C">
        <w:rPr>
          <w:rFonts w:asciiTheme="majorHAnsi" w:hAnsiTheme="majorHAnsi" w:cs="Courier New"/>
        </w:rPr>
        <w:t>funded by DTBE cooperative agreements who submit isolates of</w:t>
      </w:r>
      <w:r>
        <w:rPr>
          <w:rFonts w:asciiTheme="majorHAnsi" w:hAnsiTheme="majorHAnsi" w:cs="Courier New"/>
        </w:rPr>
        <w:t xml:space="preserve"> MTBC</w:t>
      </w:r>
      <w:r w:rsidRPr="0004197C">
        <w:rPr>
          <w:rFonts w:asciiTheme="majorHAnsi" w:hAnsiTheme="majorHAnsi" w:cs="Courier New"/>
        </w:rPr>
        <w:t xml:space="preserve"> to CDC for molecular detection of drug resistance (MDDR).</w:t>
      </w:r>
      <w:r>
        <w:rPr>
          <w:rFonts w:asciiTheme="majorHAnsi" w:hAnsiTheme="majorHAnsi" w:cs="Courier New"/>
        </w:rPr>
        <w:t xml:space="preserve"> </w:t>
      </w:r>
      <w:r w:rsidRPr="00094555">
        <w:rPr>
          <w:rFonts w:asciiTheme="majorHAnsi" w:hAnsiTheme="majorHAnsi" w:cs="Courier New"/>
        </w:rPr>
        <w:t xml:space="preserve">Results are reported back to a laboratory contact and, if requested, to TB control or the health care provider. </w:t>
      </w:r>
    </w:p>
    <w:p w:rsidR="006165D7" w:rsidRDefault="006165D7" w:rsidP="006165D7">
      <w:pPr>
        <w:spacing w:after="40"/>
        <w:ind w:left="720"/>
        <w:rPr>
          <w:rFonts w:asciiTheme="majorHAnsi" w:hAnsiTheme="majorHAnsi"/>
        </w:rPr>
      </w:pPr>
    </w:p>
    <w:p w:rsidR="006165D7" w:rsidRPr="001A28F6" w:rsidRDefault="006165D7" w:rsidP="006165D7">
      <w:pPr>
        <w:spacing w:after="0"/>
        <w:ind w:left="720"/>
        <w:rPr>
          <w:rFonts w:asciiTheme="majorHAnsi" w:hAnsiTheme="majorHAnsi"/>
        </w:rPr>
      </w:pPr>
      <w:r>
        <w:rPr>
          <w:rFonts w:asciiTheme="majorHAnsi" w:hAnsiTheme="majorHAnsi"/>
        </w:rPr>
        <w:t xml:space="preserve">This data collection is authorized by Section 301 of the Public Health Service Act (42 U.S.C. </w:t>
      </w:r>
      <w:r w:rsidRPr="001A28F6">
        <w:rPr>
          <w:rFonts w:asciiTheme="majorHAnsi" w:hAnsiTheme="majorHAnsi"/>
        </w:rPr>
        <w:t xml:space="preserve">241) (see </w:t>
      </w:r>
      <w:r w:rsidRPr="001A28F6">
        <w:rPr>
          <w:rFonts w:asciiTheme="majorHAnsi" w:hAnsiTheme="majorHAnsi"/>
          <w:b/>
        </w:rPr>
        <w:t>Attachment</w:t>
      </w:r>
      <w:r w:rsidR="00587B08">
        <w:rPr>
          <w:rFonts w:asciiTheme="majorHAnsi" w:hAnsiTheme="majorHAnsi"/>
          <w:b/>
        </w:rPr>
        <w:t xml:space="preserve"> B</w:t>
      </w:r>
      <w:r w:rsidRPr="001A28F6">
        <w:rPr>
          <w:rFonts w:asciiTheme="majorHAnsi" w:hAnsiTheme="majorHAnsi"/>
        </w:rPr>
        <w:t>).</w:t>
      </w:r>
    </w:p>
    <w:p w:rsidR="006165D7" w:rsidRPr="001A28F6" w:rsidRDefault="006165D7" w:rsidP="006165D7">
      <w:pPr>
        <w:spacing w:after="0"/>
        <w:ind w:left="720"/>
        <w:rPr>
          <w:rFonts w:asciiTheme="majorHAnsi" w:hAnsiTheme="majorHAnsi"/>
        </w:rPr>
      </w:pPr>
    </w:p>
    <w:p w:rsidR="006165D7" w:rsidRDefault="006165D7" w:rsidP="006165D7">
      <w:pPr>
        <w:spacing w:after="0"/>
        <w:ind w:left="720"/>
        <w:rPr>
          <w:rFonts w:asciiTheme="majorHAnsi" w:hAnsiTheme="majorHAnsi"/>
          <w:b/>
        </w:rPr>
      </w:pPr>
      <w:r w:rsidRPr="001A28F6">
        <w:rPr>
          <w:rFonts w:asciiTheme="majorHAnsi" w:hAnsiTheme="majorHAnsi"/>
          <w:b/>
        </w:rPr>
        <w:t>Privacy Impact Assessment</w:t>
      </w:r>
    </w:p>
    <w:p w:rsidR="006165D7" w:rsidRDefault="006165D7" w:rsidP="006165D7">
      <w:pPr>
        <w:spacing w:after="0"/>
        <w:ind w:left="720"/>
        <w:rPr>
          <w:rFonts w:asciiTheme="majorHAnsi" w:hAnsiTheme="majorHAnsi"/>
          <w:b/>
        </w:rPr>
      </w:pPr>
    </w:p>
    <w:p w:rsidR="006165D7" w:rsidRPr="00DB39A3" w:rsidRDefault="006165D7" w:rsidP="006165D7">
      <w:pPr>
        <w:spacing w:after="0"/>
        <w:ind w:left="720"/>
        <w:rPr>
          <w:rFonts w:asciiTheme="majorHAnsi" w:hAnsiTheme="majorHAnsi"/>
        </w:rPr>
      </w:pPr>
      <w:r w:rsidRPr="001A28F6">
        <w:rPr>
          <w:rFonts w:asciiTheme="majorHAnsi" w:hAnsiTheme="majorHAnsi"/>
          <w:u w:val="single"/>
        </w:rPr>
        <w:t>Overview of the Data Collection System</w:t>
      </w:r>
      <w:r w:rsidRPr="001A28F6">
        <w:rPr>
          <w:rFonts w:asciiTheme="majorHAnsi" w:hAnsiTheme="majorHAnsi"/>
        </w:rPr>
        <w:t xml:space="preserve"> – The data collection system consists of a </w:t>
      </w:r>
      <w:r>
        <w:rPr>
          <w:rFonts w:asciiTheme="majorHAnsi" w:hAnsiTheme="majorHAnsi"/>
        </w:rPr>
        <w:t>survey instrument</w:t>
      </w:r>
      <w:r w:rsidRPr="001A28F6">
        <w:rPr>
          <w:rFonts w:asciiTheme="majorHAnsi" w:hAnsiTheme="majorHAnsi"/>
        </w:rPr>
        <w:t xml:space="preserve"> (see </w:t>
      </w:r>
      <w:r w:rsidRPr="001A28F6">
        <w:rPr>
          <w:rFonts w:asciiTheme="majorHAnsi" w:hAnsiTheme="majorHAnsi"/>
          <w:b/>
        </w:rPr>
        <w:t>Attachment</w:t>
      </w:r>
      <w:r w:rsidR="00587B08">
        <w:rPr>
          <w:rFonts w:asciiTheme="majorHAnsi" w:hAnsiTheme="majorHAnsi"/>
          <w:b/>
        </w:rPr>
        <w:t>s C &amp; D</w:t>
      </w:r>
      <w:r w:rsidRPr="001A28F6">
        <w:rPr>
          <w:rFonts w:asciiTheme="majorHAnsi" w:hAnsiTheme="majorHAnsi"/>
        </w:rPr>
        <w:t xml:space="preserve">) designed to </w:t>
      </w:r>
      <w:r>
        <w:rPr>
          <w:rFonts w:asciiTheme="majorHAnsi" w:hAnsiTheme="majorHAnsi"/>
        </w:rPr>
        <w:t>elicit information from</w:t>
      </w:r>
      <w:r w:rsidRPr="001A28F6">
        <w:rPr>
          <w:rFonts w:asciiTheme="majorHAnsi" w:hAnsiTheme="majorHAnsi"/>
        </w:rPr>
        <w:t xml:space="preserve"> </w:t>
      </w:r>
      <w:r>
        <w:rPr>
          <w:rFonts w:asciiTheme="majorHAnsi" w:hAnsiTheme="majorHAnsi"/>
        </w:rPr>
        <w:t xml:space="preserve">Public Health Laboratory Directors or </w:t>
      </w:r>
      <w:r w:rsidR="00A91843">
        <w:rPr>
          <w:rFonts w:asciiTheme="majorHAnsi" w:hAnsiTheme="majorHAnsi"/>
        </w:rPr>
        <w:t xml:space="preserve">their </w:t>
      </w:r>
      <w:r>
        <w:rPr>
          <w:rFonts w:asciiTheme="majorHAnsi" w:hAnsiTheme="majorHAnsi"/>
        </w:rPr>
        <w:t xml:space="preserve">designees </w:t>
      </w:r>
      <w:r w:rsidRPr="001A28F6">
        <w:rPr>
          <w:rFonts w:asciiTheme="majorHAnsi" w:hAnsiTheme="majorHAnsi"/>
        </w:rPr>
        <w:t>regarding their</w:t>
      </w:r>
      <w:r>
        <w:rPr>
          <w:rFonts w:asciiTheme="majorHAnsi" w:hAnsiTheme="majorHAnsi"/>
        </w:rPr>
        <w:t xml:space="preserve"> perceptions and utilization of the MDDR service and </w:t>
      </w:r>
      <w:r w:rsidRPr="00435221">
        <w:rPr>
          <w:rFonts w:asciiTheme="majorHAnsi" w:hAnsiTheme="majorHAnsi" w:cs="Courier New"/>
          <w:bCs/>
        </w:rPr>
        <w:t xml:space="preserve">results for isolates submitted by PHL to the MDDR testing service. </w:t>
      </w:r>
      <w:r w:rsidR="00970EB9">
        <w:rPr>
          <w:rFonts w:asciiTheme="majorHAnsi" w:hAnsiTheme="majorHAnsi" w:cs="Courier New"/>
          <w:bCs/>
        </w:rPr>
        <w:t xml:space="preserve"> </w:t>
      </w:r>
      <w:r>
        <w:rPr>
          <w:rFonts w:asciiTheme="majorHAnsi" w:hAnsiTheme="majorHAnsi" w:cs="Courier New"/>
          <w:bCs/>
        </w:rPr>
        <w:t xml:space="preserve">A separate </w:t>
      </w:r>
      <w:r w:rsidR="00A00699">
        <w:rPr>
          <w:rFonts w:asciiTheme="majorHAnsi" w:hAnsiTheme="majorHAnsi" w:cs="Courier New"/>
          <w:bCs/>
        </w:rPr>
        <w:t xml:space="preserve">word version of the </w:t>
      </w:r>
      <w:r>
        <w:rPr>
          <w:rFonts w:asciiTheme="majorHAnsi" w:hAnsiTheme="majorHAnsi" w:cs="Courier New"/>
          <w:bCs/>
        </w:rPr>
        <w:t xml:space="preserve">data collection instrument </w:t>
      </w:r>
      <w:r w:rsidR="00BA2065">
        <w:rPr>
          <w:rFonts w:asciiTheme="majorHAnsi" w:hAnsiTheme="majorHAnsi" w:cs="Courier New"/>
          <w:bCs/>
        </w:rPr>
        <w:t xml:space="preserve">(see </w:t>
      </w:r>
      <w:r w:rsidR="00BA2065" w:rsidRPr="00E06BA3">
        <w:rPr>
          <w:rFonts w:asciiTheme="majorHAnsi" w:hAnsiTheme="majorHAnsi" w:cs="Courier New"/>
          <w:b/>
          <w:bCs/>
        </w:rPr>
        <w:t>Attachment</w:t>
      </w:r>
      <w:r w:rsidR="00BA2065">
        <w:rPr>
          <w:rFonts w:asciiTheme="majorHAnsi" w:hAnsiTheme="majorHAnsi" w:cs="Courier New"/>
          <w:b/>
          <w:bCs/>
        </w:rPr>
        <w:t>s</w:t>
      </w:r>
      <w:r w:rsidR="00BA2065" w:rsidRPr="00E06BA3">
        <w:rPr>
          <w:rFonts w:asciiTheme="majorHAnsi" w:hAnsiTheme="majorHAnsi" w:cs="Courier New"/>
          <w:b/>
          <w:bCs/>
        </w:rPr>
        <w:t xml:space="preserve"> </w:t>
      </w:r>
      <w:r w:rsidR="00BA2065">
        <w:rPr>
          <w:rFonts w:asciiTheme="majorHAnsi" w:hAnsiTheme="majorHAnsi" w:cs="Courier New"/>
          <w:b/>
          <w:bCs/>
        </w:rPr>
        <w:t>E</w:t>
      </w:r>
      <w:r w:rsidR="00A00699">
        <w:rPr>
          <w:rFonts w:asciiTheme="majorHAnsi" w:hAnsiTheme="majorHAnsi" w:cs="Courier New"/>
          <w:b/>
          <w:bCs/>
        </w:rPr>
        <w:t>)</w:t>
      </w:r>
      <w:r w:rsidR="00BA2065">
        <w:rPr>
          <w:rFonts w:asciiTheme="majorHAnsi" w:hAnsiTheme="majorHAnsi" w:cs="Courier New"/>
          <w:bCs/>
        </w:rPr>
        <w:t xml:space="preserve"> </w:t>
      </w:r>
      <w:r>
        <w:rPr>
          <w:rFonts w:asciiTheme="majorHAnsi" w:hAnsiTheme="majorHAnsi" w:cs="Courier New"/>
          <w:bCs/>
        </w:rPr>
        <w:t>will be sent to PHL for each isolate submitted</w:t>
      </w:r>
      <w:r w:rsidR="00BA2065">
        <w:rPr>
          <w:rFonts w:asciiTheme="majorHAnsi" w:hAnsiTheme="majorHAnsi" w:cs="Courier New"/>
          <w:bCs/>
        </w:rPr>
        <w:t xml:space="preserve">. </w:t>
      </w:r>
      <w:r w:rsidR="00A00699">
        <w:rPr>
          <w:rFonts w:asciiTheme="majorHAnsi" w:hAnsiTheme="majorHAnsi" w:cs="Courier New"/>
          <w:bCs/>
        </w:rPr>
        <w:t xml:space="preserve">In addition, a link to a web version of the data collection instrument (see </w:t>
      </w:r>
      <w:r w:rsidR="00A00699" w:rsidRPr="00A00699">
        <w:rPr>
          <w:rFonts w:asciiTheme="majorHAnsi" w:hAnsiTheme="majorHAnsi" w:cs="Courier New"/>
          <w:b/>
          <w:bCs/>
        </w:rPr>
        <w:t>Attachment F</w:t>
      </w:r>
      <w:r w:rsidR="00A00699">
        <w:rPr>
          <w:rFonts w:asciiTheme="majorHAnsi" w:hAnsiTheme="majorHAnsi" w:cs="Courier New"/>
          <w:bCs/>
        </w:rPr>
        <w:t xml:space="preserve">) will be sent to potential respondents. </w:t>
      </w:r>
      <w:r w:rsidR="00BA2065">
        <w:rPr>
          <w:rFonts w:asciiTheme="majorHAnsi" w:hAnsiTheme="majorHAnsi" w:cs="Courier New"/>
          <w:bCs/>
        </w:rPr>
        <w:t xml:space="preserve">The data collection instrument is designed to collect information on local testing for drug susceptibility in order to measure discordance with MDDR results from CDC. </w:t>
      </w:r>
      <w:r>
        <w:rPr>
          <w:rFonts w:asciiTheme="majorHAnsi" w:hAnsiTheme="majorHAnsi"/>
        </w:rPr>
        <w:t>Both the survey and data collection instruments will be distributed using Snap® S</w:t>
      </w:r>
      <w:r w:rsidR="00587B08">
        <w:rPr>
          <w:rFonts w:asciiTheme="majorHAnsi" w:hAnsiTheme="majorHAnsi"/>
        </w:rPr>
        <w:t xml:space="preserve">urveys software by </w:t>
      </w:r>
      <w:r w:rsidR="00F21CC7">
        <w:rPr>
          <w:rFonts w:asciiTheme="majorHAnsi" w:hAnsiTheme="majorHAnsi"/>
        </w:rPr>
        <w:t>email</w:t>
      </w:r>
      <w:r w:rsidR="00DA5424">
        <w:rPr>
          <w:rFonts w:asciiTheme="majorHAnsi" w:hAnsiTheme="majorHAnsi"/>
        </w:rPr>
        <w:t xml:space="preserve">ing </w:t>
      </w:r>
      <w:r w:rsidR="002E5345">
        <w:rPr>
          <w:rFonts w:asciiTheme="majorHAnsi" w:hAnsiTheme="majorHAnsi"/>
        </w:rPr>
        <w:t xml:space="preserve">potential respondents </w:t>
      </w:r>
      <w:r w:rsidR="00F21CC7">
        <w:rPr>
          <w:rFonts w:asciiTheme="majorHAnsi" w:hAnsiTheme="majorHAnsi"/>
        </w:rPr>
        <w:t>a</w:t>
      </w:r>
      <w:r w:rsidR="0094302F">
        <w:rPr>
          <w:rFonts w:asciiTheme="majorHAnsi" w:hAnsiTheme="majorHAnsi"/>
        </w:rPr>
        <w:t xml:space="preserve"> </w:t>
      </w:r>
      <w:r w:rsidR="00F21CC7">
        <w:rPr>
          <w:rFonts w:asciiTheme="majorHAnsi" w:hAnsiTheme="majorHAnsi"/>
        </w:rPr>
        <w:t>link to the survey instrument</w:t>
      </w:r>
      <w:r w:rsidR="00587B08">
        <w:rPr>
          <w:rFonts w:asciiTheme="majorHAnsi" w:hAnsiTheme="majorHAnsi"/>
        </w:rPr>
        <w:t xml:space="preserve"> </w:t>
      </w:r>
      <w:r w:rsidR="00F21CC7">
        <w:rPr>
          <w:rFonts w:asciiTheme="majorHAnsi" w:hAnsiTheme="majorHAnsi"/>
        </w:rPr>
        <w:t xml:space="preserve">and </w:t>
      </w:r>
      <w:r w:rsidR="00DA5424">
        <w:rPr>
          <w:rFonts w:asciiTheme="majorHAnsi" w:hAnsiTheme="majorHAnsi"/>
        </w:rPr>
        <w:t xml:space="preserve">a </w:t>
      </w:r>
      <w:r w:rsidR="00F21CC7">
        <w:rPr>
          <w:rFonts w:asciiTheme="majorHAnsi" w:hAnsiTheme="majorHAnsi"/>
        </w:rPr>
        <w:t xml:space="preserve">link to </w:t>
      </w:r>
      <w:r w:rsidR="002E5345">
        <w:rPr>
          <w:rFonts w:asciiTheme="majorHAnsi" w:hAnsiTheme="majorHAnsi"/>
        </w:rPr>
        <w:t xml:space="preserve">a </w:t>
      </w:r>
      <w:r w:rsidR="00F21CC7">
        <w:rPr>
          <w:rFonts w:asciiTheme="majorHAnsi" w:hAnsiTheme="majorHAnsi"/>
        </w:rPr>
        <w:t>data collection instrument for each isolate</w:t>
      </w:r>
      <w:r w:rsidR="002E5345">
        <w:rPr>
          <w:rFonts w:asciiTheme="majorHAnsi" w:hAnsiTheme="majorHAnsi"/>
        </w:rPr>
        <w:t xml:space="preserve">. The email will contain instructions for completing the instruments online. </w:t>
      </w:r>
      <w:r>
        <w:rPr>
          <w:rFonts w:asciiTheme="majorHAnsi" w:hAnsiTheme="majorHAnsi"/>
        </w:rPr>
        <w:t xml:space="preserve"> </w:t>
      </w:r>
      <w:r w:rsidR="003B5243">
        <w:rPr>
          <w:rFonts w:asciiTheme="majorHAnsi" w:hAnsiTheme="majorHAnsi"/>
        </w:rPr>
        <w:t xml:space="preserve">Respondents will also be given the choice of filling in Word versions of the instruments that can be returned by either email or fax. </w:t>
      </w:r>
      <w:r>
        <w:rPr>
          <w:rFonts w:asciiTheme="majorHAnsi" w:hAnsiTheme="majorHAnsi"/>
        </w:rPr>
        <w:t>The survey was piloted by nine randomly-selected Public Health Laboratory Directors from PHL who had previously submitted isolates to the MDDR testing service</w:t>
      </w:r>
      <w:r w:rsidRPr="00FE6A5C">
        <w:rPr>
          <w:rFonts w:asciiTheme="majorHAnsi" w:hAnsiTheme="majorHAnsi"/>
        </w:rPr>
        <w:t xml:space="preserve">. </w:t>
      </w:r>
      <w:r>
        <w:rPr>
          <w:rFonts w:asciiTheme="majorHAnsi" w:hAnsiTheme="majorHAnsi"/>
        </w:rPr>
        <w:t xml:space="preserve">Feedback from this group was used to refine questions as needed and establish the estimated time required to complete the survey. </w:t>
      </w:r>
    </w:p>
    <w:p w:rsidR="006165D7" w:rsidRDefault="006165D7" w:rsidP="006165D7">
      <w:pPr>
        <w:spacing w:after="0"/>
        <w:ind w:left="720"/>
        <w:rPr>
          <w:rFonts w:asciiTheme="majorHAnsi" w:hAnsiTheme="majorHAnsi"/>
        </w:rPr>
      </w:pPr>
    </w:p>
    <w:p w:rsidR="006165D7" w:rsidRDefault="006165D7" w:rsidP="006165D7">
      <w:pPr>
        <w:spacing w:after="0"/>
        <w:ind w:left="720"/>
        <w:rPr>
          <w:rFonts w:asciiTheme="majorHAnsi" w:hAnsiTheme="majorHAnsi"/>
        </w:rPr>
      </w:pPr>
      <w:r w:rsidRPr="00D5367E">
        <w:rPr>
          <w:rFonts w:asciiTheme="majorHAnsi" w:hAnsiTheme="majorHAnsi"/>
          <w:u w:val="single"/>
        </w:rPr>
        <w:t>Items of Information to be Collected</w:t>
      </w:r>
      <w:r w:rsidRPr="00D5367E">
        <w:rPr>
          <w:rFonts w:asciiTheme="majorHAnsi" w:hAnsiTheme="majorHAnsi"/>
        </w:rPr>
        <w:t xml:space="preserve"> –</w:t>
      </w:r>
      <w:r>
        <w:rPr>
          <w:rFonts w:asciiTheme="majorHAnsi" w:hAnsiTheme="majorHAnsi"/>
        </w:rPr>
        <w:t xml:space="preserve"> The survey consists of 19 questions with multiple responses for selection. Respondents will be informed to select either one or multiple responses that apply. Some selections are formatted for open-ended responses. </w:t>
      </w:r>
      <w:r w:rsidRPr="00D5367E">
        <w:rPr>
          <w:rFonts w:asciiTheme="majorHAnsi" w:hAnsiTheme="majorHAnsi"/>
        </w:rPr>
        <w:t>The survey will collect information on the following:</w:t>
      </w:r>
    </w:p>
    <w:p w:rsidR="006165D7" w:rsidRPr="00D5367E" w:rsidRDefault="006165D7" w:rsidP="006165D7">
      <w:pPr>
        <w:spacing w:after="0"/>
        <w:ind w:left="720"/>
        <w:rPr>
          <w:rFonts w:asciiTheme="majorHAnsi" w:hAnsiTheme="majorHAnsi"/>
        </w:rPr>
      </w:pPr>
    </w:p>
    <w:p w:rsidR="00C835F1" w:rsidRDefault="00D96EC6" w:rsidP="006165D7">
      <w:pPr>
        <w:pStyle w:val="ListParagraph"/>
        <w:numPr>
          <w:ilvl w:val="0"/>
          <w:numId w:val="2"/>
        </w:numPr>
        <w:spacing w:after="0"/>
        <w:rPr>
          <w:rFonts w:asciiTheme="majorHAnsi" w:hAnsiTheme="majorHAnsi"/>
        </w:rPr>
      </w:pPr>
      <w:r>
        <w:rPr>
          <w:rFonts w:asciiTheme="majorHAnsi" w:hAnsiTheme="majorHAnsi"/>
        </w:rPr>
        <w:t>How Public</w:t>
      </w:r>
      <w:r w:rsidR="004A5777">
        <w:rPr>
          <w:rFonts w:asciiTheme="majorHAnsi" w:hAnsiTheme="majorHAnsi"/>
        </w:rPr>
        <w:t xml:space="preserve"> Health </w:t>
      </w:r>
      <w:r>
        <w:rPr>
          <w:rFonts w:asciiTheme="majorHAnsi" w:hAnsiTheme="majorHAnsi"/>
        </w:rPr>
        <w:t>Laboratory Directors</w:t>
      </w:r>
      <w:r w:rsidR="00A91843">
        <w:rPr>
          <w:rFonts w:asciiTheme="majorHAnsi" w:hAnsiTheme="majorHAnsi"/>
        </w:rPr>
        <w:t xml:space="preserve"> </w:t>
      </w:r>
      <w:r w:rsidR="004A5777">
        <w:rPr>
          <w:rFonts w:asciiTheme="majorHAnsi" w:hAnsiTheme="majorHAnsi"/>
        </w:rPr>
        <w:t>or their designees first received information</w:t>
      </w:r>
      <w:r w:rsidR="006165D7" w:rsidRPr="00C835F1">
        <w:rPr>
          <w:rFonts w:asciiTheme="majorHAnsi" w:hAnsiTheme="majorHAnsi"/>
        </w:rPr>
        <w:t xml:space="preserve"> </w:t>
      </w:r>
      <w:r w:rsidR="004A5777">
        <w:rPr>
          <w:rFonts w:asciiTheme="majorHAnsi" w:hAnsiTheme="majorHAnsi"/>
        </w:rPr>
        <w:t>on the MDDR service offered by CDC.</w:t>
      </w:r>
    </w:p>
    <w:p w:rsidR="004A5777" w:rsidRDefault="004A5777" w:rsidP="004A5777">
      <w:pPr>
        <w:pStyle w:val="ListParagraph"/>
        <w:numPr>
          <w:ilvl w:val="0"/>
          <w:numId w:val="2"/>
        </w:numPr>
        <w:spacing w:after="0"/>
        <w:rPr>
          <w:rFonts w:asciiTheme="majorHAnsi" w:hAnsiTheme="majorHAnsi"/>
        </w:rPr>
      </w:pPr>
      <w:r w:rsidRPr="00C835F1">
        <w:rPr>
          <w:rFonts w:asciiTheme="majorHAnsi" w:hAnsiTheme="majorHAnsi"/>
        </w:rPr>
        <w:t xml:space="preserve">who initiates requests for MDDR testing </w:t>
      </w:r>
    </w:p>
    <w:p w:rsidR="006165D7" w:rsidRPr="00C835F1" w:rsidRDefault="006165D7" w:rsidP="006165D7">
      <w:pPr>
        <w:pStyle w:val="ListParagraph"/>
        <w:numPr>
          <w:ilvl w:val="0"/>
          <w:numId w:val="2"/>
        </w:numPr>
        <w:spacing w:after="0"/>
        <w:rPr>
          <w:rFonts w:asciiTheme="majorHAnsi" w:hAnsiTheme="majorHAnsi"/>
        </w:rPr>
      </w:pPr>
      <w:r w:rsidRPr="00C835F1">
        <w:rPr>
          <w:rFonts w:asciiTheme="majorHAnsi" w:hAnsiTheme="majorHAnsi"/>
        </w:rPr>
        <w:t xml:space="preserve">satisfaction </w:t>
      </w:r>
      <w:r w:rsidR="00C835F1">
        <w:rPr>
          <w:rFonts w:asciiTheme="majorHAnsi" w:hAnsiTheme="majorHAnsi"/>
        </w:rPr>
        <w:t xml:space="preserve">of Public Health </w:t>
      </w:r>
      <w:r w:rsidR="001E4FF3">
        <w:rPr>
          <w:rFonts w:asciiTheme="majorHAnsi" w:hAnsiTheme="majorHAnsi"/>
        </w:rPr>
        <w:t xml:space="preserve">Laboratory Directors or </w:t>
      </w:r>
      <w:r w:rsidR="00883854">
        <w:rPr>
          <w:rFonts w:asciiTheme="majorHAnsi" w:hAnsiTheme="majorHAnsi"/>
        </w:rPr>
        <w:t xml:space="preserve">their </w:t>
      </w:r>
      <w:r w:rsidR="001E4FF3">
        <w:rPr>
          <w:rFonts w:asciiTheme="majorHAnsi" w:hAnsiTheme="majorHAnsi"/>
        </w:rPr>
        <w:t>designees</w:t>
      </w:r>
      <w:r w:rsidR="00883854">
        <w:rPr>
          <w:rFonts w:asciiTheme="majorHAnsi" w:hAnsiTheme="majorHAnsi"/>
        </w:rPr>
        <w:t xml:space="preserve"> </w:t>
      </w:r>
      <w:r w:rsidR="00C835F1">
        <w:rPr>
          <w:rFonts w:asciiTheme="majorHAnsi" w:hAnsiTheme="majorHAnsi"/>
        </w:rPr>
        <w:t>with</w:t>
      </w:r>
      <w:r w:rsidRPr="00C835F1">
        <w:rPr>
          <w:rFonts w:asciiTheme="majorHAnsi" w:hAnsiTheme="majorHAnsi"/>
        </w:rPr>
        <w:t xml:space="preserve"> turnaround time for receiving results from the MDDR testing service </w:t>
      </w:r>
    </w:p>
    <w:p w:rsidR="006165D7" w:rsidRDefault="00C835F1" w:rsidP="006165D7">
      <w:pPr>
        <w:pStyle w:val="ListParagraph"/>
        <w:numPr>
          <w:ilvl w:val="0"/>
          <w:numId w:val="2"/>
        </w:numPr>
        <w:spacing w:after="0"/>
        <w:rPr>
          <w:rFonts w:asciiTheme="majorHAnsi" w:hAnsiTheme="majorHAnsi"/>
        </w:rPr>
      </w:pPr>
      <w:r>
        <w:rPr>
          <w:rFonts w:asciiTheme="majorHAnsi" w:hAnsiTheme="majorHAnsi"/>
        </w:rPr>
        <w:t>reasons</w:t>
      </w:r>
      <w:r w:rsidR="006165D7">
        <w:rPr>
          <w:rFonts w:asciiTheme="majorHAnsi" w:hAnsiTheme="majorHAnsi"/>
        </w:rPr>
        <w:t xml:space="preserve"> </w:t>
      </w:r>
      <w:r w:rsidR="001E4FF3">
        <w:rPr>
          <w:rFonts w:asciiTheme="majorHAnsi" w:hAnsiTheme="majorHAnsi"/>
        </w:rPr>
        <w:t>Public Health</w:t>
      </w:r>
      <w:r w:rsidR="006165D7">
        <w:rPr>
          <w:rFonts w:asciiTheme="majorHAnsi" w:hAnsiTheme="majorHAnsi"/>
        </w:rPr>
        <w:t xml:space="preserve"> </w:t>
      </w:r>
      <w:r w:rsidR="001E4FF3">
        <w:rPr>
          <w:rFonts w:asciiTheme="majorHAnsi" w:hAnsiTheme="majorHAnsi"/>
        </w:rPr>
        <w:t xml:space="preserve">Laboratory Directors  or </w:t>
      </w:r>
      <w:r w:rsidR="00883854">
        <w:rPr>
          <w:rFonts w:asciiTheme="majorHAnsi" w:hAnsiTheme="majorHAnsi"/>
        </w:rPr>
        <w:t xml:space="preserve">their </w:t>
      </w:r>
      <w:r w:rsidR="001E4FF3">
        <w:rPr>
          <w:rFonts w:asciiTheme="majorHAnsi" w:hAnsiTheme="majorHAnsi"/>
        </w:rPr>
        <w:t xml:space="preserve">designees may </w:t>
      </w:r>
      <w:r>
        <w:rPr>
          <w:rFonts w:asciiTheme="majorHAnsi" w:hAnsiTheme="majorHAnsi"/>
        </w:rPr>
        <w:t>delay reporting results from CDC to health care prov</w:t>
      </w:r>
      <w:r w:rsidR="001E4FF3">
        <w:rPr>
          <w:rFonts w:asciiTheme="majorHAnsi" w:hAnsiTheme="majorHAnsi"/>
        </w:rPr>
        <w:t>i</w:t>
      </w:r>
      <w:r>
        <w:rPr>
          <w:rFonts w:asciiTheme="majorHAnsi" w:hAnsiTheme="majorHAnsi"/>
        </w:rPr>
        <w:t>ders</w:t>
      </w:r>
    </w:p>
    <w:p w:rsidR="006165D7" w:rsidRDefault="001E4FF3" w:rsidP="006165D7">
      <w:pPr>
        <w:pStyle w:val="ListParagraph"/>
        <w:numPr>
          <w:ilvl w:val="0"/>
          <w:numId w:val="2"/>
        </w:numPr>
        <w:spacing w:after="0"/>
        <w:rPr>
          <w:rFonts w:asciiTheme="majorHAnsi" w:hAnsiTheme="majorHAnsi"/>
        </w:rPr>
      </w:pPr>
      <w:r>
        <w:rPr>
          <w:rFonts w:asciiTheme="majorHAnsi" w:hAnsiTheme="majorHAnsi"/>
        </w:rPr>
        <w:t>h</w:t>
      </w:r>
      <w:r w:rsidR="006165D7">
        <w:rPr>
          <w:rFonts w:asciiTheme="majorHAnsi" w:hAnsiTheme="majorHAnsi"/>
        </w:rPr>
        <w:t xml:space="preserve">ow </w:t>
      </w:r>
      <w:r>
        <w:rPr>
          <w:rFonts w:asciiTheme="majorHAnsi" w:hAnsiTheme="majorHAnsi"/>
        </w:rPr>
        <w:t xml:space="preserve">Public Health Laboratory Directors or </w:t>
      </w:r>
      <w:r w:rsidR="00883854">
        <w:rPr>
          <w:rFonts w:asciiTheme="majorHAnsi" w:hAnsiTheme="majorHAnsi"/>
        </w:rPr>
        <w:t xml:space="preserve">their </w:t>
      </w:r>
      <w:r>
        <w:rPr>
          <w:rFonts w:asciiTheme="majorHAnsi" w:hAnsiTheme="majorHAnsi"/>
        </w:rPr>
        <w:t>designees report MDDR results from CDC to</w:t>
      </w:r>
      <w:r w:rsidR="006165D7">
        <w:rPr>
          <w:rFonts w:asciiTheme="majorHAnsi" w:hAnsiTheme="majorHAnsi"/>
        </w:rPr>
        <w:t xml:space="preserve"> health care providers </w:t>
      </w:r>
    </w:p>
    <w:p w:rsidR="006165D7" w:rsidRDefault="008F2D74" w:rsidP="006165D7">
      <w:pPr>
        <w:pStyle w:val="ListParagraph"/>
        <w:numPr>
          <w:ilvl w:val="0"/>
          <w:numId w:val="2"/>
        </w:numPr>
        <w:spacing w:after="0"/>
        <w:rPr>
          <w:rFonts w:asciiTheme="majorHAnsi" w:hAnsiTheme="majorHAnsi"/>
        </w:rPr>
      </w:pPr>
      <w:r>
        <w:rPr>
          <w:rFonts w:asciiTheme="majorHAnsi" w:hAnsiTheme="majorHAnsi"/>
        </w:rPr>
        <w:lastRenderedPageBreak/>
        <w:t>how</w:t>
      </w:r>
      <w:r w:rsidR="001E4FF3">
        <w:rPr>
          <w:rFonts w:asciiTheme="majorHAnsi" w:hAnsiTheme="majorHAnsi"/>
        </w:rPr>
        <w:t xml:space="preserve"> Public Health Laboratory Directors or </w:t>
      </w:r>
      <w:r w:rsidR="00883854">
        <w:rPr>
          <w:rFonts w:asciiTheme="majorHAnsi" w:hAnsiTheme="majorHAnsi"/>
        </w:rPr>
        <w:t xml:space="preserve">their </w:t>
      </w:r>
      <w:r w:rsidR="001E4FF3">
        <w:rPr>
          <w:rFonts w:asciiTheme="majorHAnsi" w:hAnsiTheme="majorHAnsi"/>
        </w:rPr>
        <w:t>designees compare MDDR results from CDC with their own local testing</w:t>
      </w:r>
    </w:p>
    <w:p w:rsidR="001E4FF3" w:rsidRDefault="008F2D74" w:rsidP="006165D7">
      <w:pPr>
        <w:pStyle w:val="ListParagraph"/>
        <w:numPr>
          <w:ilvl w:val="0"/>
          <w:numId w:val="2"/>
        </w:numPr>
        <w:spacing w:after="0"/>
        <w:rPr>
          <w:rFonts w:asciiTheme="majorHAnsi" w:hAnsiTheme="majorHAnsi"/>
        </w:rPr>
      </w:pPr>
      <w:r>
        <w:rPr>
          <w:rFonts w:asciiTheme="majorHAnsi" w:hAnsiTheme="majorHAnsi"/>
        </w:rPr>
        <w:t xml:space="preserve"> discordance between MDDR results from CDC and local test</w:t>
      </w:r>
      <w:r w:rsidR="00550CF5">
        <w:rPr>
          <w:rFonts w:asciiTheme="majorHAnsi" w:hAnsiTheme="majorHAnsi"/>
        </w:rPr>
        <w:t xml:space="preserve"> results</w:t>
      </w:r>
      <w:r w:rsidR="00883854" w:rsidRPr="00883854">
        <w:rPr>
          <w:rFonts w:asciiTheme="majorHAnsi" w:hAnsiTheme="majorHAnsi"/>
        </w:rPr>
        <w:t xml:space="preserve"> </w:t>
      </w:r>
      <w:r w:rsidR="00883854">
        <w:rPr>
          <w:rFonts w:asciiTheme="majorHAnsi" w:hAnsiTheme="majorHAnsi"/>
        </w:rPr>
        <w:t>identified by Public Health Laboratory Directors or their designees</w:t>
      </w:r>
    </w:p>
    <w:p w:rsidR="006165D7" w:rsidRDefault="006165D7" w:rsidP="006165D7">
      <w:pPr>
        <w:pStyle w:val="ListParagraph"/>
        <w:numPr>
          <w:ilvl w:val="0"/>
          <w:numId w:val="2"/>
        </w:numPr>
        <w:spacing w:after="0"/>
        <w:rPr>
          <w:rFonts w:asciiTheme="majorHAnsi" w:hAnsiTheme="majorHAnsi"/>
        </w:rPr>
      </w:pPr>
      <w:r>
        <w:rPr>
          <w:rFonts w:asciiTheme="majorHAnsi" w:hAnsiTheme="majorHAnsi"/>
        </w:rPr>
        <w:t xml:space="preserve">actions initiated by </w:t>
      </w:r>
      <w:r w:rsidR="008F2D74">
        <w:rPr>
          <w:rFonts w:asciiTheme="majorHAnsi" w:hAnsiTheme="majorHAnsi"/>
        </w:rPr>
        <w:t xml:space="preserve">Public Health </w:t>
      </w:r>
      <w:r w:rsidR="004A5777">
        <w:rPr>
          <w:rFonts w:asciiTheme="majorHAnsi" w:hAnsiTheme="majorHAnsi"/>
        </w:rPr>
        <w:t xml:space="preserve">Laboratory </w:t>
      </w:r>
      <w:r w:rsidR="00883854">
        <w:rPr>
          <w:rFonts w:asciiTheme="majorHAnsi" w:hAnsiTheme="majorHAnsi"/>
        </w:rPr>
        <w:t>Directors</w:t>
      </w:r>
      <w:r w:rsidR="008F2D74">
        <w:rPr>
          <w:rFonts w:asciiTheme="majorHAnsi" w:hAnsiTheme="majorHAnsi"/>
        </w:rPr>
        <w:t xml:space="preserve"> </w:t>
      </w:r>
      <w:r w:rsidR="00550CF5">
        <w:rPr>
          <w:rFonts w:asciiTheme="majorHAnsi" w:hAnsiTheme="majorHAnsi"/>
        </w:rPr>
        <w:t xml:space="preserve">or </w:t>
      </w:r>
      <w:r w:rsidR="00883854">
        <w:rPr>
          <w:rFonts w:asciiTheme="majorHAnsi" w:hAnsiTheme="majorHAnsi"/>
        </w:rPr>
        <w:t xml:space="preserve">their </w:t>
      </w:r>
      <w:r w:rsidR="008F2D74">
        <w:rPr>
          <w:rFonts w:asciiTheme="majorHAnsi" w:hAnsiTheme="majorHAnsi"/>
        </w:rPr>
        <w:t xml:space="preserve">designees when they have identified discordance </w:t>
      </w:r>
      <w:r>
        <w:rPr>
          <w:rFonts w:asciiTheme="majorHAnsi" w:hAnsiTheme="majorHAnsi"/>
        </w:rPr>
        <w:t xml:space="preserve">between MDDR results from CDC and local test results </w:t>
      </w:r>
    </w:p>
    <w:p w:rsidR="006165D7" w:rsidRDefault="00550CF5" w:rsidP="006165D7">
      <w:pPr>
        <w:pStyle w:val="ListParagraph"/>
        <w:numPr>
          <w:ilvl w:val="0"/>
          <w:numId w:val="2"/>
        </w:numPr>
        <w:spacing w:after="0"/>
        <w:rPr>
          <w:rFonts w:asciiTheme="majorHAnsi" w:hAnsiTheme="majorHAnsi"/>
        </w:rPr>
      </w:pPr>
      <w:r>
        <w:rPr>
          <w:rFonts w:asciiTheme="majorHAnsi" w:hAnsiTheme="majorHAnsi"/>
        </w:rPr>
        <w:t>d</w:t>
      </w:r>
      <w:r w:rsidR="006165D7">
        <w:rPr>
          <w:rFonts w:asciiTheme="majorHAnsi" w:hAnsiTheme="majorHAnsi"/>
        </w:rPr>
        <w:t xml:space="preserve">ecisions by </w:t>
      </w:r>
      <w:r>
        <w:rPr>
          <w:rFonts w:asciiTheme="majorHAnsi" w:hAnsiTheme="majorHAnsi"/>
        </w:rPr>
        <w:t xml:space="preserve">Public Health </w:t>
      </w:r>
      <w:r w:rsidR="00883854">
        <w:rPr>
          <w:rFonts w:asciiTheme="majorHAnsi" w:hAnsiTheme="majorHAnsi"/>
        </w:rPr>
        <w:t>Laboratory Directors</w:t>
      </w:r>
      <w:r w:rsidR="006165D7">
        <w:rPr>
          <w:rFonts w:asciiTheme="majorHAnsi" w:hAnsiTheme="majorHAnsi"/>
        </w:rPr>
        <w:t xml:space="preserve"> </w:t>
      </w:r>
      <w:r>
        <w:rPr>
          <w:rFonts w:asciiTheme="majorHAnsi" w:hAnsiTheme="majorHAnsi"/>
        </w:rPr>
        <w:t>or</w:t>
      </w:r>
      <w:r w:rsidR="00883854">
        <w:rPr>
          <w:rFonts w:asciiTheme="majorHAnsi" w:hAnsiTheme="majorHAnsi"/>
        </w:rPr>
        <w:t xml:space="preserve"> their </w:t>
      </w:r>
      <w:r>
        <w:rPr>
          <w:rFonts w:asciiTheme="majorHAnsi" w:hAnsiTheme="majorHAnsi"/>
        </w:rPr>
        <w:t>designees to perform</w:t>
      </w:r>
      <w:r w:rsidR="006165D7">
        <w:rPr>
          <w:rFonts w:asciiTheme="majorHAnsi" w:hAnsiTheme="majorHAnsi"/>
        </w:rPr>
        <w:t xml:space="preserve"> </w:t>
      </w:r>
      <w:r w:rsidR="00883854">
        <w:rPr>
          <w:rFonts w:asciiTheme="majorHAnsi" w:hAnsiTheme="majorHAnsi"/>
        </w:rPr>
        <w:t>further</w:t>
      </w:r>
      <w:r w:rsidR="006165D7">
        <w:rPr>
          <w:rFonts w:asciiTheme="majorHAnsi" w:hAnsiTheme="majorHAnsi"/>
        </w:rPr>
        <w:t xml:space="preserve"> testing when MDDR results from CDC are the first results available </w:t>
      </w:r>
    </w:p>
    <w:p w:rsidR="006165D7" w:rsidRDefault="004A5777" w:rsidP="006165D7">
      <w:pPr>
        <w:pStyle w:val="ListParagraph"/>
        <w:numPr>
          <w:ilvl w:val="0"/>
          <w:numId w:val="2"/>
        </w:numPr>
        <w:spacing w:after="0"/>
        <w:rPr>
          <w:rFonts w:asciiTheme="majorHAnsi" w:hAnsiTheme="majorHAnsi"/>
        </w:rPr>
      </w:pPr>
      <w:r>
        <w:rPr>
          <w:rFonts w:asciiTheme="majorHAnsi" w:hAnsiTheme="majorHAnsi"/>
        </w:rPr>
        <w:t xml:space="preserve">difficulty </w:t>
      </w:r>
      <w:r w:rsidR="00883854">
        <w:rPr>
          <w:rFonts w:asciiTheme="majorHAnsi" w:hAnsiTheme="majorHAnsi"/>
        </w:rPr>
        <w:t xml:space="preserve"> </w:t>
      </w:r>
      <w:r>
        <w:rPr>
          <w:rFonts w:asciiTheme="majorHAnsi" w:hAnsiTheme="majorHAnsi"/>
        </w:rPr>
        <w:t>Public</w:t>
      </w:r>
      <w:r w:rsidR="00883854">
        <w:rPr>
          <w:rFonts w:asciiTheme="majorHAnsi" w:hAnsiTheme="majorHAnsi"/>
        </w:rPr>
        <w:t xml:space="preserve"> </w:t>
      </w:r>
      <w:r>
        <w:rPr>
          <w:rFonts w:asciiTheme="majorHAnsi" w:hAnsiTheme="majorHAnsi"/>
        </w:rPr>
        <w:t xml:space="preserve"> Health</w:t>
      </w:r>
      <w:r w:rsidR="006165D7">
        <w:rPr>
          <w:rFonts w:asciiTheme="majorHAnsi" w:hAnsiTheme="majorHAnsi"/>
        </w:rPr>
        <w:t xml:space="preserve"> </w:t>
      </w:r>
      <w:r w:rsidR="00883854">
        <w:rPr>
          <w:rFonts w:asciiTheme="majorHAnsi" w:hAnsiTheme="majorHAnsi"/>
        </w:rPr>
        <w:t>Lab</w:t>
      </w:r>
      <w:r>
        <w:rPr>
          <w:rFonts w:asciiTheme="majorHAnsi" w:hAnsiTheme="majorHAnsi"/>
        </w:rPr>
        <w:t>or</w:t>
      </w:r>
      <w:r w:rsidR="00883854">
        <w:rPr>
          <w:rFonts w:asciiTheme="majorHAnsi" w:hAnsiTheme="majorHAnsi"/>
        </w:rPr>
        <w:t xml:space="preserve">atory Directors or their </w:t>
      </w:r>
      <w:r>
        <w:rPr>
          <w:rFonts w:asciiTheme="majorHAnsi" w:hAnsiTheme="majorHAnsi"/>
        </w:rPr>
        <w:t xml:space="preserve"> designees</w:t>
      </w:r>
      <w:r w:rsidR="006165D7">
        <w:rPr>
          <w:rFonts w:asciiTheme="majorHAnsi" w:hAnsiTheme="majorHAnsi"/>
        </w:rPr>
        <w:t xml:space="preserve"> </w:t>
      </w:r>
      <w:r>
        <w:rPr>
          <w:rFonts w:asciiTheme="majorHAnsi" w:hAnsiTheme="majorHAnsi"/>
        </w:rPr>
        <w:t>have</w:t>
      </w:r>
      <w:r w:rsidR="006165D7">
        <w:rPr>
          <w:rFonts w:asciiTheme="majorHAnsi" w:hAnsiTheme="majorHAnsi"/>
        </w:rPr>
        <w:t xml:space="preserve"> interpreting </w:t>
      </w:r>
      <w:r w:rsidR="00883854">
        <w:rPr>
          <w:rFonts w:asciiTheme="majorHAnsi" w:hAnsiTheme="majorHAnsi"/>
        </w:rPr>
        <w:t xml:space="preserve">and discussing </w:t>
      </w:r>
      <w:r w:rsidR="006165D7">
        <w:rPr>
          <w:rFonts w:asciiTheme="majorHAnsi" w:hAnsiTheme="majorHAnsi"/>
        </w:rPr>
        <w:t xml:space="preserve">MDDR results </w:t>
      </w:r>
      <w:r w:rsidR="00883854">
        <w:rPr>
          <w:rFonts w:asciiTheme="majorHAnsi" w:hAnsiTheme="majorHAnsi"/>
        </w:rPr>
        <w:t>from CDC</w:t>
      </w:r>
    </w:p>
    <w:p w:rsidR="006165D7" w:rsidRDefault="006165D7" w:rsidP="006165D7">
      <w:pPr>
        <w:pStyle w:val="ListParagraph"/>
        <w:numPr>
          <w:ilvl w:val="0"/>
          <w:numId w:val="2"/>
        </w:numPr>
        <w:spacing w:after="0"/>
        <w:rPr>
          <w:rFonts w:asciiTheme="majorHAnsi" w:hAnsiTheme="majorHAnsi"/>
        </w:rPr>
      </w:pPr>
      <w:r>
        <w:rPr>
          <w:rFonts w:asciiTheme="majorHAnsi" w:hAnsiTheme="majorHAnsi"/>
        </w:rPr>
        <w:t xml:space="preserve">where </w:t>
      </w:r>
      <w:r w:rsidR="00883854">
        <w:rPr>
          <w:rFonts w:asciiTheme="majorHAnsi" w:hAnsiTheme="majorHAnsi"/>
        </w:rPr>
        <w:t xml:space="preserve"> Public Health Laboratory Directors or their designees</w:t>
      </w:r>
      <w:r>
        <w:rPr>
          <w:rFonts w:asciiTheme="majorHAnsi" w:hAnsiTheme="majorHAnsi"/>
        </w:rPr>
        <w:t xml:space="preserve"> sought additional help if they experienced difficulty interpreting results </w:t>
      </w:r>
    </w:p>
    <w:p w:rsidR="00190DE0" w:rsidRDefault="00190DE0" w:rsidP="00190DE0">
      <w:pPr>
        <w:spacing w:after="0"/>
        <w:rPr>
          <w:rFonts w:asciiTheme="majorHAnsi" w:hAnsiTheme="majorHAnsi"/>
        </w:rPr>
      </w:pPr>
    </w:p>
    <w:p w:rsidR="00190DE0" w:rsidRDefault="00190DE0" w:rsidP="00190DE0">
      <w:pPr>
        <w:spacing w:after="0"/>
        <w:ind w:left="720"/>
        <w:rPr>
          <w:rFonts w:asciiTheme="majorHAnsi" w:hAnsiTheme="majorHAnsi"/>
        </w:rPr>
      </w:pPr>
      <w:r>
        <w:rPr>
          <w:rFonts w:asciiTheme="majorHAnsi" w:hAnsiTheme="majorHAnsi"/>
        </w:rPr>
        <w:t xml:space="preserve">The data collection instrument will be used to collect the following information on each isolate submitted </w:t>
      </w:r>
      <w:r w:rsidR="00EB125E">
        <w:rPr>
          <w:rFonts w:asciiTheme="majorHAnsi" w:hAnsiTheme="majorHAnsi"/>
        </w:rPr>
        <w:t xml:space="preserve">by PHL </w:t>
      </w:r>
      <w:r>
        <w:rPr>
          <w:rFonts w:asciiTheme="majorHAnsi" w:hAnsiTheme="majorHAnsi"/>
        </w:rPr>
        <w:t xml:space="preserve">to the MDDR service </w:t>
      </w:r>
      <w:r w:rsidR="00A91843">
        <w:rPr>
          <w:rFonts w:asciiTheme="majorHAnsi" w:hAnsiTheme="majorHAnsi"/>
        </w:rPr>
        <w:t xml:space="preserve">at CDC </w:t>
      </w:r>
      <w:r>
        <w:rPr>
          <w:rFonts w:asciiTheme="majorHAnsi" w:hAnsiTheme="majorHAnsi"/>
        </w:rPr>
        <w:t>for testing:</w:t>
      </w:r>
    </w:p>
    <w:p w:rsidR="00190DE0" w:rsidRDefault="00190DE0" w:rsidP="00190DE0">
      <w:pPr>
        <w:spacing w:after="0"/>
        <w:ind w:left="720"/>
        <w:rPr>
          <w:rFonts w:asciiTheme="majorHAnsi" w:hAnsiTheme="majorHAnsi"/>
        </w:rPr>
      </w:pPr>
    </w:p>
    <w:p w:rsidR="00190DE0" w:rsidRDefault="00190DE0" w:rsidP="00190DE0">
      <w:pPr>
        <w:spacing w:after="0"/>
        <w:ind w:left="720"/>
        <w:rPr>
          <w:rFonts w:asciiTheme="majorHAnsi" w:hAnsiTheme="majorHAnsi"/>
        </w:rPr>
      </w:pPr>
      <w:r>
        <w:rPr>
          <w:rFonts w:asciiTheme="majorHAnsi" w:hAnsiTheme="majorHAnsi"/>
        </w:rPr>
        <w:t xml:space="preserve">a. </w:t>
      </w:r>
      <w:r w:rsidR="00EB125E">
        <w:rPr>
          <w:rFonts w:asciiTheme="majorHAnsi" w:hAnsiTheme="majorHAnsi"/>
        </w:rPr>
        <w:t xml:space="preserve"> </w:t>
      </w:r>
      <w:r>
        <w:rPr>
          <w:rFonts w:asciiTheme="majorHAnsi" w:hAnsiTheme="majorHAnsi"/>
        </w:rPr>
        <w:t xml:space="preserve"> whether drug susceptibility testing was performed for the isolate locally</w:t>
      </w:r>
    </w:p>
    <w:p w:rsidR="00190DE0" w:rsidRDefault="00190DE0" w:rsidP="00190DE0">
      <w:pPr>
        <w:spacing w:after="0"/>
        <w:ind w:left="720"/>
        <w:rPr>
          <w:rFonts w:asciiTheme="majorHAnsi" w:hAnsiTheme="majorHAnsi"/>
        </w:rPr>
      </w:pPr>
      <w:r>
        <w:rPr>
          <w:rFonts w:asciiTheme="majorHAnsi" w:hAnsiTheme="majorHAnsi"/>
        </w:rPr>
        <w:t xml:space="preserve">b. </w:t>
      </w:r>
      <w:r w:rsidR="00EB125E">
        <w:rPr>
          <w:rFonts w:asciiTheme="majorHAnsi" w:hAnsiTheme="majorHAnsi"/>
        </w:rPr>
        <w:t xml:space="preserve"> </w:t>
      </w:r>
      <w:r>
        <w:rPr>
          <w:rFonts w:asciiTheme="majorHAnsi" w:hAnsiTheme="majorHAnsi"/>
        </w:rPr>
        <w:t xml:space="preserve"> methods used to perform drug susceptibility testing</w:t>
      </w:r>
    </w:p>
    <w:p w:rsidR="00190DE0" w:rsidRDefault="00190DE0" w:rsidP="00190DE0">
      <w:pPr>
        <w:spacing w:after="0"/>
        <w:ind w:left="720"/>
        <w:rPr>
          <w:rFonts w:asciiTheme="majorHAnsi" w:hAnsiTheme="majorHAnsi"/>
        </w:rPr>
      </w:pPr>
      <w:r>
        <w:rPr>
          <w:rFonts w:asciiTheme="majorHAnsi" w:hAnsiTheme="majorHAnsi"/>
        </w:rPr>
        <w:t>c.</w:t>
      </w:r>
      <w:r w:rsidR="00EB125E">
        <w:rPr>
          <w:rFonts w:asciiTheme="majorHAnsi" w:hAnsiTheme="majorHAnsi"/>
        </w:rPr>
        <w:t xml:space="preserve"> </w:t>
      </w:r>
      <w:r>
        <w:rPr>
          <w:rFonts w:asciiTheme="majorHAnsi" w:hAnsiTheme="majorHAnsi"/>
        </w:rPr>
        <w:t xml:space="preserve">  whether the isolate was referred to another laboratory other than CDC for further testing</w:t>
      </w:r>
    </w:p>
    <w:p w:rsidR="00190DE0" w:rsidRPr="00190DE0" w:rsidRDefault="00190DE0" w:rsidP="00190DE0">
      <w:pPr>
        <w:spacing w:after="0"/>
        <w:ind w:left="720"/>
        <w:rPr>
          <w:rFonts w:asciiTheme="majorHAnsi" w:hAnsiTheme="majorHAnsi"/>
        </w:rPr>
      </w:pPr>
      <w:r>
        <w:rPr>
          <w:rFonts w:asciiTheme="majorHAnsi" w:hAnsiTheme="majorHAnsi"/>
        </w:rPr>
        <w:t xml:space="preserve">d. </w:t>
      </w:r>
      <w:r w:rsidR="00EB125E">
        <w:rPr>
          <w:rFonts w:asciiTheme="majorHAnsi" w:hAnsiTheme="majorHAnsi"/>
        </w:rPr>
        <w:t xml:space="preserve">  drug susceptibility results for each isolate from local testing  </w:t>
      </w:r>
    </w:p>
    <w:p w:rsidR="006165D7" w:rsidRDefault="006165D7" w:rsidP="006165D7">
      <w:pPr>
        <w:spacing w:after="0"/>
        <w:ind w:left="720"/>
        <w:rPr>
          <w:rFonts w:asciiTheme="majorHAnsi" w:hAnsiTheme="majorHAnsi"/>
        </w:rPr>
      </w:pPr>
    </w:p>
    <w:p w:rsidR="006165D7" w:rsidRDefault="006165D7" w:rsidP="006165D7">
      <w:pPr>
        <w:spacing w:after="0"/>
        <w:ind w:left="720"/>
        <w:rPr>
          <w:rFonts w:asciiTheme="majorHAnsi" w:hAnsiTheme="majorHAnsi"/>
        </w:rPr>
      </w:pPr>
      <w:r>
        <w:rPr>
          <w:rFonts w:asciiTheme="majorHAnsi" w:hAnsiTheme="majorHAnsi"/>
        </w:rPr>
        <w:t>No individually identifiable information is being collected.</w:t>
      </w:r>
    </w:p>
    <w:p w:rsidR="006165D7" w:rsidRDefault="006165D7" w:rsidP="006165D7">
      <w:pPr>
        <w:spacing w:after="0"/>
        <w:ind w:left="720"/>
        <w:rPr>
          <w:rFonts w:asciiTheme="majorHAnsi" w:hAnsiTheme="majorHAnsi"/>
        </w:rPr>
      </w:pPr>
    </w:p>
    <w:p w:rsidR="006165D7" w:rsidRDefault="006165D7" w:rsidP="006165D7">
      <w:pPr>
        <w:spacing w:after="0"/>
        <w:rPr>
          <w:rFonts w:asciiTheme="majorHAnsi" w:hAnsiTheme="majorHAnsi"/>
        </w:rPr>
      </w:pPr>
    </w:p>
    <w:p w:rsidR="006165D7" w:rsidRPr="00385DD6" w:rsidRDefault="006165D7" w:rsidP="006165D7">
      <w:pPr>
        <w:tabs>
          <w:tab w:val="left" w:pos="-1440"/>
        </w:tabs>
        <w:ind w:left="720"/>
        <w:rPr>
          <w:rFonts w:asciiTheme="majorHAnsi" w:hAnsiTheme="majorHAnsi" w:cs="Courier New"/>
          <w:bCs/>
        </w:rPr>
      </w:pPr>
      <w:r w:rsidRPr="00385DD6">
        <w:rPr>
          <w:rFonts w:asciiTheme="majorHAnsi" w:hAnsiTheme="majorHAnsi"/>
          <w:u w:val="single"/>
        </w:rPr>
        <w:t>Identification of Website(s) and Website Content Directed at Children Under 13 Years of Age</w:t>
      </w:r>
      <w:r w:rsidRPr="00385DD6">
        <w:rPr>
          <w:rFonts w:asciiTheme="majorHAnsi" w:hAnsiTheme="majorHAnsi"/>
        </w:rPr>
        <w:t xml:space="preserve"> – </w:t>
      </w:r>
      <w:r w:rsidRPr="00385DD6">
        <w:rPr>
          <w:rFonts w:asciiTheme="majorHAnsi" w:hAnsiTheme="majorHAnsi" w:cs="Courier New"/>
          <w:bCs/>
        </w:rPr>
        <w:t xml:space="preserve">This information collection does not involve websites or website content directed at children less than 13 years of age. </w:t>
      </w:r>
    </w:p>
    <w:p w:rsidR="006165D7" w:rsidRPr="00F52BCC" w:rsidRDefault="006165D7" w:rsidP="006165D7">
      <w:pPr>
        <w:spacing w:after="0"/>
        <w:ind w:left="720"/>
        <w:rPr>
          <w:rFonts w:asciiTheme="majorHAnsi" w:hAnsiTheme="majorHAnsi"/>
        </w:rPr>
      </w:pPr>
    </w:p>
    <w:p w:rsidR="006165D7" w:rsidRPr="00014361" w:rsidRDefault="006165D7" w:rsidP="006165D7">
      <w:pPr>
        <w:pStyle w:val="ListParagraph"/>
        <w:numPr>
          <w:ilvl w:val="0"/>
          <w:numId w:val="1"/>
        </w:numPr>
        <w:spacing w:after="0"/>
        <w:rPr>
          <w:rFonts w:asciiTheme="majorHAnsi" w:hAnsiTheme="majorHAnsi"/>
          <w:b/>
        </w:rPr>
      </w:pPr>
      <w:r w:rsidRPr="00014361">
        <w:rPr>
          <w:rFonts w:asciiTheme="majorHAnsi" w:hAnsiTheme="majorHAnsi"/>
          <w:b/>
        </w:rPr>
        <w:t>Purpose and Use of the Information Collection</w:t>
      </w:r>
    </w:p>
    <w:p w:rsidR="006165D7" w:rsidRDefault="006165D7" w:rsidP="006165D7">
      <w:pPr>
        <w:spacing w:after="40"/>
        <w:ind w:left="720"/>
        <w:rPr>
          <w:rFonts w:asciiTheme="majorHAnsi" w:hAnsiTheme="majorHAnsi" w:cs="Courier New"/>
        </w:rPr>
      </w:pPr>
      <w:r>
        <w:rPr>
          <w:rFonts w:asciiTheme="majorHAnsi" w:hAnsiTheme="majorHAnsi" w:cs="Courier New"/>
        </w:rPr>
        <w:t>The survey instrument will be used to determine if either Public Health Laboratory Directors or their designees experience difficulty interpreting MDDR results from CDC and what steps they take before these</w:t>
      </w:r>
      <w:r w:rsidRPr="00094555">
        <w:rPr>
          <w:rFonts w:asciiTheme="majorHAnsi" w:hAnsiTheme="majorHAnsi" w:cs="Courier New"/>
        </w:rPr>
        <w:t xml:space="preserve"> results </w:t>
      </w:r>
      <w:r>
        <w:rPr>
          <w:rFonts w:asciiTheme="majorHAnsi" w:hAnsiTheme="majorHAnsi" w:cs="Courier New"/>
        </w:rPr>
        <w:t xml:space="preserve">are reported to health care providers. Information from the survey will also be used to measure customer satisfaction with the MDDR service and to determine where respondents first learned of the availability of the MDDR service. These assessments will enable the LB to measure how effectively they are providing clear and understandable results to their target audience. In addition, by </w:t>
      </w:r>
      <w:r w:rsidR="00335454">
        <w:rPr>
          <w:rFonts w:asciiTheme="majorHAnsi" w:hAnsiTheme="majorHAnsi" w:cs="Courier New"/>
        </w:rPr>
        <w:t>asking</w:t>
      </w:r>
      <w:bookmarkStart w:id="0" w:name="_GoBack"/>
      <w:bookmarkEnd w:id="0"/>
      <w:r>
        <w:rPr>
          <w:rFonts w:asciiTheme="majorHAnsi" w:hAnsiTheme="majorHAnsi" w:cs="Courier New"/>
        </w:rPr>
        <w:t xml:space="preserve"> respondents for information on customer satisfaction and how they learned of the MDDR service, the LB can gauge the effectiveness of service delivery. Collectively, results from the survey are vital to an effective process where the LB can identify areas for program improvement.</w:t>
      </w:r>
    </w:p>
    <w:p w:rsidR="006165D7" w:rsidRDefault="006165D7" w:rsidP="006165D7">
      <w:pPr>
        <w:spacing w:after="40"/>
        <w:ind w:left="720"/>
        <w:rPr>
          <w:rFonts w:asciiTheme="majorHAnsi" w:hAnsiTheme="majorHAnsi" w:cs="Courier New"/>
        </w:rPr>
      </w:pPr>
    </w:p>
    <w:p w:rsidR="00DC0C0B" w:rsidRDefault="006165D7" w:rsidP="006165D7">
      <w:pPr>
        <w:spacing w:after="40"/>
        <w:ind w:left="720"/>
        <w:rPr>
          <w:rFonts w:asciiTheme="majorHAnsi" w:hAnsiTheme="majorHAnsi"/>
          <w:color w:val="000000"/>
        </w:rPr>
      </w:pPr>
      <w:r>
        <w:rPr>
          <w:rFonts w:asciiTheme="majorHAnsi" w:hAnsiTheme="majorHAnsi" w:cs="Courier New"/>
        </w:rPr>
        <w:lastRenderedPageBreak/>
        <w:t xml:space="preserve">The </w:t>
      </w:r>
      <w:r>
        <w:rPr>
          <w:rFonts w:asciiTheme="majorHAnsi" w:hAnsiTheme="majorHAnsi"/>
        </w:rPr>
        <w:t>data collection instrument will be used to</w:t>
      </w:r>
      <w:r w:rsidRPr="00435221">
        <w:rPr>
          <w:rFonts w:asciiTheme="majorHAnsi" w:hAnsiTheme="majorHAnsi" w:cs="Courier New"/>
          <w:bCs/>
        </w:rPr>
        <w:t xml:space="preserve"> obtain local DST</w:t>
      </w:r>
      <w:r>
        <w:rPr>
          <w:rFonts w:asciiTheme="majorHAnsi" w:hAnsiTheme="majorHAnsi" w:cs="Courier New"/>
        </w:rPr>
        <w:t xml:space="preserve"> results for m</w:t>
      </w:r>
      <w:r w:rsidRPr="004B26E8">
        <w:rPr>
          <w:rFonts w:asciiTheme="majorHAnsi" w:hAnsiTheme="majorHAnsi" w:cs="Courier New"/>
        </w:rPr>
        <w:t>easur</w:t>
      </w:r>
      <w:r>
        <w:rPr>
          <w:rFonts w:asciiTheme="majorHAnsi" w:hAnsiTheme="majorHAnsi" w:cs="Courier New"/>
        </w:rPr>
        <w:t>ing</w:t>
      </w:r>
      <w:r w:rsidRPr="004B26E8">
        <w:rPr>
          <w:rFonts w:asciiTheme="majorHAnsi" w:hAnsiTheme="majorHAnsi" w:cs="Courier New"/>
        </w:rPr>
        <w:t xml:space="preserve"> </w:t>
      </w:r>
      <w:r>
        <w:rPr>
          <w:rFonts w:asciiTheme="majorHAnsi" w:hAnsiTheme="majorHAnsi" w:cs="Courier New"/>
        </w:rPr>
        <w:t xml:space="preserve">discordance with </w:t>
      </w:r>
      <w:r w:rsidRPr="004B26E8">
        <w:rPr>
          <w:rFonts w:asciiTheme="majorHAnsi" w:hAnsiTheme="majorHAnsi" w:cs="Courier New"/>
        </w:rPr>
        <w:t xml:space="preserve">MDDR results from CDC. </w:t>
      </w:r>
      <w:r>
        <w:rPr>
          <w:rFonts w:asciiTheme="majorHAnsi" w:hAnsiTheme="majorHAnsi"/>
        </w:rPr>
        <w:t xml:space="preserve"> </w:t>
      </w:r>
      <w:r w:rsidRPr="007B678D">
        <w:rPr>
          <w:rFonts w:asciiTheme="majorHAnsi" w:hAnsiTheme="majorHAnsi"/>
          <w:color w:val="000000"/>
        </w:rPr>
        <w:t xml:space="preserve">To implement ACET recommendations, it is necessary to measure discordance among molecular and conventional drug susceptibility </w:t>
      </w:r>
    </w:p>
    <w:p w:rsidR="006165D7" w:rsidRDefault="006165D7" w:rsidP="006165D7">
      <w:pPr>
        <w:spacing w:after="40"/>
        <w:ind w:left="720"/>
        <w:rPr>
          <w:rFonts w:asciiTheme="majorHAnsi" w:hAnsiTheme="majorHAnsi"/>
        </w:rPr>
      </w:pPr>
      <w:r w:rsidRPr="007B678D">
        <w:rPr>
          <w:rFonts w:asciiTheme="majorHAnsi" w:hAnsiTheme="majorHAnsi"/>
          <w:color w:val="000000"/>
        </w:rPr>
        <w:t>testing performed at CDC and at the local level</w:t>
      </w:r>
      <w:r>
        <w:rPr>
          <w:rFonts w:asciiTheme="majorHAnsi" w:hAnsiTheme="majorHAnsi"/>
          <w:color w:val="000000"/>
        </w:rPr>
        <w:t xml:space="preserve"> since these discrepancies</w:t>
      </w:r>
      <w:r w:rsidRPr="007B678D">
        <w:rPr>
          <w:rFonts w:asciiTheme="majorHAnsi" w:hAnsiTheme="majorHAnsi"/>
          <w:color w:val="000000"/>
        </w:rPr>
        <w:t xml:space="preserve"> </w:t>
      </w:r>
      <w:r>
        <w:rPr>
          <w:rFonts w:asciiTheme="majorHAnsi" w:hAnsiTheme="majorHAnsi"/>
          <w:color w:val="000000"/>
        </w:rPr>
        <w:t>can directly affect treatment decisions by health care providers and patient outcomes.</w:t>
      </w:r>
    </w:p>
    <w:p w:rsidR="006165D7" w:rsidRDefault="006165D7" w:rsidP="006165D7">
      <w:pPr>
        <w:spacing w:after="40"/>
        <w:ind w:left="360"/>
        <w:rPr>
          <w:rFonts w:asciiTheme="majorHAnsi" w:hAnsiTheme="majorHAnsi"/>
        </w:rPr>
      </w:pPr>
    </w:p>
    <w:p w:rsidR="006165D7" w:rsidRDefault="006165D7" w:rsidP="006165D7">
      <w:pPr>
        <w:spacing w:after="40"/>
        <w:ind w:left="360" w:firstLine="360"/>
        <w:rPr>
          <w:rFonts w:asciiTheme="majorHAnsi" w:hAnsiTheme="majorHAnsi"/>
          <w:u w:val="single"/>
        </w:rPr>
      </w:pPr>
      <w:r>
        <w:rPr>
          <w:rFonts w:asciiTheme="majorHAnsi" w:hAnsiTheme="majorHAnsi"/>
          <w:u w:val="single"/>
        </w:rPr>
        <w:t>Privacy Impact Assessment</w:t>
      </w:r>
    </w:p>
    <w:p w:rsidR="006165D7" w:rsidRDefault="006165D7" w:rsidP="006165D7">
      <w:pPr>
        <w:spacing w:after="40"/>
        <w:ind w:left="720"/>
        <w:rPr>
          <w:rFonts w:asciiTheme="majorHAnsi" w:hAnsiTheme="majorHAnsi"/>
        </w:rPr>
      </w:pPr>
      <w:r w:rsidRPr="0004197C">
        <w:rPr>
          <w:rFonts w:asciiTheme="majorHAnsi" w:hAnsiTheme="majorHAnsi" w:cs="Courier New"/>
          <w:bCs/>
        </w:rPr>
        <w:t>Information will be collected electronically. CDC will not receive any personally identifiable information.</w:t>
      </w:r>
      <w:r w:rsidRPr="0004197C">
        <w:rPr>
          <w:rFonts w:asciiTheme="majorHAnsi" w:hAnsiTheme="majorHAnsi"/>
        </w:rPr>
        <w:t xml:space="preserve"> </w:t>
      </w:r>
      <w:r w:rsidRPr="0004197C">
        <w:rPr>
          <w:rFonts w:asciiTheme="majorHAnsi" w:hAnsiTheme="majorHAnsi" w:cs="Courier New"/>
        </w:rPr>
        <w:t>The Laboratory Branch will provide submitter specimen identifier and CDC specimen identification numbers to PHL to facilitate the information collection.</w:t>
      </w:r>
      <w:r>
        <w:rPr>
          <w:rFonts w:asciiTheme="majorHAnsi" w:hAnsiTheme="majorHAnsi" w:cs="Courier New"/>
        </w:rPr>
        <w:t xml:space="preserve"> </w:t>
      </w:r>
      <w:r>
        <w:rPr>
          <w:rFonts w:asciiTheme="majorHAnsi" w:hAnsiTheme="majorHAnsi"/>
        </w:rPr>
        <w:t>Respondents are participating in their official capacity as health officials in state (or District) departments of health.</w:t>
      </w:r>
    </w:p>
    <w:p w:rsidR="006165D7" w:rsidRDefault="006165D7" w:rsidP="006165D7">
      <w:pPr>
        <w:pStyle w:val="ListParagraph"/>
        <w:spacing w:after="0"/>
        <w:rPr>
          <w:rFonts w:asciiTheme="majorHAnsi" w:hAnsiTheme="majorHAnsi"/>
        </w:rPr>
      </w:pPr>
    </w:p>
    <w:p w:rsidR="006165D7" w:rsidRPr="00DC79CC" w:rsidRDefault="006165D7" w:rsidP="006165D7">
      <w:pPr>
        <w:pStyle w:val="ListParagraph"/>
        <w:numPr>
          <w:ilvl w:val="0"/>
          <w:numId w:val="1"/>
        </w:numPr>
        <w:spacing w:after="0"/>
        <w:rPr>
          <w:rFonts w:asciiTheme="majorHAnsi" w:hAnsiTheme="majorHAnsi"/>
          <w:b/>
        </w:rPr>
      </w:pPr>
      <w:r w:rsidRPr="00DC79CC">
        <w:rPr>
          <w:rFonts w:asciiTheme="majorHAnsi" w:hAnsiTheme="majorHAnsi"/>
          <w:b/>
        </w:rPr>
        <w:t>Use of Improved Information Technology and Burden Reduction</w:t>
      </w:r>
    </w:p>
    <w:p w:rsidR="006165D7" w:rsidRDefault="006165D7" w:rsidP="006165D7">
      <w:pPr>
        <w:pStyle w:val="ListParagraph"/>
        <w:spacing w:after="0"/>
        <w:rPr>
          <w:rFonts w:asciiTheme="majorHAnsi" w:hAnsiTheme="majorHAnsi"/>
        </w:rPr>
      </w:pPr>
      <w:r w:rsidRPr="00490E54">
        <w:rPr>
          <w:rFonts w:asciiTheme="majorHAnsi" w:hAnsiTheme="majorHAnsi" w:cs="Courier New"/>
          <w:bCs/>
        </w:rPr>
        <w:t xml:space="preserve">Data collection will be conducted by </w:t>
      </w:r>
      <w:r>
        <w:rPr>
          <w:rFonts w:asciiTheme="majorHAnsi" w:hAnsiTheme="majorHAnsi" w:cs="Courier New"/>
          <w:bCs/>
        </w:rPr>
        <w:t xml:space="preserve">using a web-based survey, using </w:t>
      </w:r>
      <w:r>
        <w:rPr>
          <w:rFonts w:asciiTheme="majorHAnsi" w:hAnsiTheme="majorHAnsi"/>
        </w:rPr>
        <w:t>Snap® Surveys software</w:t>
      </w:r>
      <w:r w:rsidRPr="00490E54">
        <w:rPr>
          <w:rFonts w:asciiTheme="majorHAnsi" w:hAnsiTheme="majorHAnsi" w:cs="Courier New"/>
          <w:bCs/>
        </w:rPr>
        <w:t xml:space="preserve">. </w:t>
      </w:r>
      <w:r>
        <w:rPr>
          <w:rFonts w:asciiTheme="majorHAnsi" w:hAnsiTheme="majorHAnsi" w:cs="Courier New"/>
          <w:bCs/>
        </w:rPr>
        <w:t xml:space="preserve"> Web surveys reduce respondent burden by enabling easy access and completion at a convenient time and location. The online survey will consist of either easy-to-read response selections or embedded text boxes. Skip patterns will be programmed into the survey to direct respondents to appropriate questions. Screen shots of the web-based survey are shown in </w:t>
      </w:r>
      <w:r w:rsidRPr="0022221C">
        <w:rPr>
          <w:rFonts w:asciiTheme="majorHAnsi" w:hAnsiTheme="majorHAnsi" w:cs="Courier New"/>
          <w:b/>
          <w:bCs/>
        </w:rPr>
        <w:t xml:space="preserve">Attachment </w:t>
      </w:r>
      <w:r w:rsidR="00A91843">
        <w:rPr>
          <w:rFonts w:asciiTheme="majorHAnsi" w:hAnsiTheme="majorHAnsi" w:cs="Courier New"/>
          <w:b/>
          <w:bCs/>
        </w:rPr>
        <w:t>D</w:t>
      </w:r>
      <w:r>
        <w:rPr>
          <w:rFonts w:asciiTheme="majorHAnsi" w:hAnsiTheme="majorHAnsi" w:cs="Courier New"/>
          <w:b/>
          <w:bCs/>
        </w:rPr>
        <w:t xml:space="preserve">. </w:t>
      </w:r>
      <w:r w:rsidR="002E03EF">
        <w:rPr>
          <w:rFonts w:asciiTheme="majorHAnsi" w:hAnsiTheme="majorHAnsi"/>
        </w:rPr>
        <w:t xml:space="preserve">Respondents will also be given the choice of filling in Word versions of the instruments that can be returned by either email or fax. </w:t>
      </w:r>
      <w:r w:rsidRPr="00490E54">
        <w:rPr>
          <w:rFonts w:asciiTheme="majorHAnsi" w:hAnsiTheme="majorHAnsi"/>
        </w:rPr>
        <w:t xml:space="preserve"> The</w:t>
      </w:r>
      <w:r>
        <w:rPr>
          <w:rFonts w:asciiTheme="majorHAnsi" w:hAnsiTheme="majorHAnsi"/>
        </w:rPr>
        <w:t xml:space="preserve"> survey was designed to collect the minimum information necessary for the purposes of this project (i.e., limited to 19 survey questions).  </w:t>
      </w:r>
    </w:p>
    <w:p w:rsidR="006165D7"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Efforts to Identify Duplication and Use of Similar Information</w:t>
      </w:r>
    </w:p>
    <w:p w:rsidR="006165D7" w:rsidRPr="00F52BCC" w:rsidRDefault="006165D7" w:rsidP="006165D7">
      <w:pPr>
        <w:pStyle w:val="ListParagraph"/>
        <w:rPr>
          <w:rFonts w:asciiTheme="majorHAnsi" w:hAnsiTheme="majorHAnsi"/>
        </w:rPr>
      </w:pPr>
      <w:r>
        <w:rPr>
          <w:rFonts w:asciiTheme="majorHAnsi" w:hAnsiTheme="majorHAnsi"/>
        </w:rPr>
        <w:t>The information being collected is specific to the CDC MDDR testing service.  Since this service is new and unique, there are no other data collection systems available for evaluation of this service. In addition, a review of the literature did not reveal any similar efforts to measure discordant results for drug susceptibility testing of isolates of MTBC.</w:t>
      </w:r>
    </w:p>
    <w:p w:rsidR="006165D7"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Impact on Small Businesses or Other Entities</w:t>
      </w:r>
    </w:p>
    <w:p w:rsidR="006165D7" w:rsidRDefault="006165D7" w:rsidP="006165D7">
      <w:pPr>
        <w:pStyle w:val="ListParagraph"/>
        <w:spacing w:after="0"/>
        <w:rPr>
          <w:rFonts w:asciiTheme="majorHAnsi" w:hAnsiTheme="majorHAnsi"/>
        </w:rPr>
      </w:pPr>
      <w:r>
        <w:rPr>
          <w:rFonts w:asciiTheme="majorHAnsi" w:hAnsiTheme="majorHAnsi"/>
        </w:rPr>
        <w:t>No small businesses will be involved in this data collection.</w:t>
      </w:r>
    </w:p>
    <w:p w:rsidR="006165D7" w:rsidRDefault="006165D7" w:rsidP="006165D7">
      <w:pPr>
        <w:pStyle w:val="ListParagraph"/>
        <w:spacing w:after="0"/>
        <w:rPr>
          <w:rFonts w:asciiTheme="majorHAnsi" w:hAnsiTheme="majorHAnsi"/>
        </w:rPr>
      </w:pPr>
    </w:p>
    <w:p w:rsidR="006165D7" w:rsidRPr="00E20A33" w:rsidRDefault="006165D7" w:rsidP="006165D7">
      <w:pPr>
        <w:pStyle w:val="ListParagraph"/>
        <w:numPr>
          <w:ilvl w:val="0"/>
          <w:numId w:val="1"/>
        </w:numPr>
        <w:spacing w:after="0"/>
        <w:rPr>
          <w:rFonts w:asciiTheme="majorHAnsi" w:hAnsiTheme="majorHAnsi"/>
        </w:rPr>
      </w:pPr>
      <w:r w:rsidRPr="00E20A33">
        <w:rPr>
          <w:rFonts w:asciiTheme="majorHAnsi" w:hAnsiTheme="majorHAnsi"/>
          <w:b/>
        </w:rPr>
        <w:t>Consequences of Collecting the Information Less Frequently</w:t>
      </w:r>
    </w:p>
    <w:p w:rsidR="006165D7" w:rsidRDefault="006165D7" w:rsidP="006165D7">
      <w:pPr>
        <w:pStyle w:val="ListParagraph"/>
        <w:spacing w:after="0"/>
        <w:rPr>
          <w:rFonts w:asciiTheme="majorHAnsi" w:hAnsiTheme="majorHAnsi" w:cs="Courier New"/>
        </w:rPr>
      </w:pPr>
      <w:r>
        <w:rPr>
          <w:rFonts w:asciiTheme="majorHAnsi" w:hAnsiTheme="majorHAnsi"/>
        </w:rPr>
        <w:t xml:space="preserve">The  purpose of this request is  </w:t>
      </w:r>
      <w:r>
        <w:rPr>
          <w:rFonts w:asciiTheme="majorHAnsi" w:hAnsiTheme="majorHAnsi" w:cs="Courier New"/>
        </w:rPr>
        <w:t>determine if either Public Health Laboratory Directors or their designees experience difficulty interpreting MDDR results from CDC and to identify discordant results for drug susceptibility testing performed at CDC and at the local level. The consequences for not collecting this information would be:</w:t>
      </w:r>
    </w:p>
    <w:p w:rsidR="006165D7" w:rsidRDefault="006165D7" w:rsidP="006165D7">
      <w:pPr>
        <w:pStyle w:val="ListParagraph"/>
        <w:spacing w:after="0"/>
        <w:rPr>
          <w:rFonts w:asciiTheme="majorHAnsi" w:hAnsiTheme="majorHAnsi" w:cs="Courier New"/>
        </w:rPr>
      </w:pPr>
    </w:p>
    <w:p w:rsidR="006165D7" w:rsidRDefault="006165D7" w:rsidP="006165D7">
      <w:pPr>
        <w:pStyle w:val="ListParagraph"/>
        <w:numPr>
          <w:ilvl w:val="0"/>
          <w:numId w:val="8"/>
        </w:numPr>
        <w:spacing w:after="0"/>
        <w:rPr>
          <w:rFonts w:asciiTheme="majorHAnsi" w:hAnsiTheme="majorHAnsi" w:cs="Courier New"/>
        </w:rPr>
      </w:pPr>
      <w:r>
        <w:rPr>
          <w:rFonts w:asciiTheme="majorHAnsi" w:hAnsiTheme="majorHAnsi" w:cs="Courier New"/>
        </w:rPr>
        <w:t>Failure to improve reporting of MDDR test results by not identifying whether  results from the MDDR service are being interpreted correctly by either Public Health Laboratory Directors or their designees</w:t>
      </w:r>
    </w:p>
    <w:p w:rsidR="006165D7" w:rsidRDefault="006165D7" w:rsidP="006165D7">
      <w:pPr>
        <w:pStyle w:val="ListParagraph"/>
        <w:numPr>
          <w:ilvl w:val="0"/>
          <w:numId w:val="8"/>
        </w:numPr>
        <w:spacing w:after="0"/>
        <w:rPr>
          <w:rFonts w:asciiTheme="majorHAnsi" w:hAnsiTheme="majorHAnsi" w:cs="Courier New"/>
        </w:rPr>
      </w:pPr>
      <w:r>
        <w:rPr>
          <w:rFonts w:asciiTheme="majorHAnsi" w:hAnsiTheme="majorHAnsi" w:cs="Courier New"/>
        </w:rPr>
        <w:lastRenderedPageBreak/>
        <w:t xml:space="preserve">Negative patient outcomes if Public Health </w:t>
      </w:r>
      <w:r w:rsidR="00A91843">
        <w:rPr>
          <w:rFonts w:asciiTheme="majorHAnsi" w:hAnsiTheme="majorHAnsi" w:cs="Courier New"/>
        </w:rPr>
        <w:t>Laboratory Directors</w:t>
      </w:r>
      <w:r>
        <w:rPr>
          <w:rFonts w:asciiTheme="majorHAnsi" w:hAnsiTheme="majorHAnsi" w:cs="Courier New"/>
        </w:rPr>
        <w:t xml:space="preserve"> or their designees do not accurately report results to health care providers</w:t>
      </w:r>
    </w:p>
    <w:p w:rsidR="006165D7" w:rsidRDefault="006165D7" w:rsidP="006165D7">
      <w:pPr>
        <w:pStyle w:val="ListParagraph"/>
        <w:spacing w:after="0"/>
        <w:rPr>
          <w:rFonts w:asciiTheme="majorHAnsi" w:hAnsiTheme="majorHAnsi"/>
        </w:rPr>
      </w:pPr>
    </w:p>
    <w:p w:rsidR="006165D7" w:rsidRDefault="006165D7" w:rsidP="006165D7">
      <w:pPr>
        <w:pStyle w:val="ListParagraph"/>
        <w:spacing w:after="0"/>
        <w:rPr>
          <w:rFonts w:asciiTheme="majorHAnsi" w:hAnsiTheme="majorHAnsi"/>
        </w:rPr>
      </w:pPr>
      <w:r w:rsidRPr="0053557D">
        <w:rPr>
          <w:rFonts w:asciiTheme="majorHAnsi" w:hAnsiTheme="majorHAnsi"/>
        </w:rPr>
        <w:t>There are no legal obstacles to reduce the burden.</w:t>
      </w:r>
    </w:p>
    <w:p w:rsidR="006165D7"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Special Circumstances Relating to the Guidelines of 5 CFR 1320.5</w:t>
      </w:r>
    </w:p>
    <w:p w:rsidR="006165D7" w:rsidRDefault="006165D7" w:rsidP="006165D7">
      <w:pPr>
        <w:pStyle w:val="ListParagraph"/>
        <w:spacing w:after="0"/>
        <w:rPr>
          <w:rFonts w:asciiTheme="majorHAnsi" w:hAnsiTheme="majorHAnsi"/>
        </w:rPr>
      </w:pPr>
      <w:r>
        <w:rPr>
          <w:rFonts w:asciiTheme="majorHAnsi" w:hAnsiTheme="majorHAnsi"/>
        </w:rPr>
        <w:t>There are no special circumstances with this information collection package. This request fully complies with the regulation 5 CFR 1320.5.</w:t>
      </w:r>
    </w:p>
    <w:p w:rsidR="006165D7"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Comments in Response to the Federal Register Notice and Efforts to Consult Outside the Agency</w:t>
      </w:r>
    </w:p>
    <w:p w:rsidR="006165D7" w:rsidRPr="00A809AA" w:rsidRDefault="006165D7" w:rsidP="006165D7">
      <w:pPr>
        <w:pStyle w:val="ListParagraph"/>
        <w:autoSpaceDE w:val="0"/>
        <w:autoSpaceDN w:val="0"/>
        <w:adjustRightInd w:val="0"/>
        <w:ind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Pr="00A809AA">
        <w:rPr>
          <w:rFonts w:asciiTheme="majorHAnsi" w:hAnsiTheme="majorHAnsi"/>
        </w:rPr>
        <w:t>A 60-day Federal Register Notice was published in the Federal Register on October 22, 2010, Vol. 75, No. 204; pp. 65353-54.  Two comments were received from the Association of State and Territorial Health Officials (ASTHO), and the National Association of County and City Health Officials (NACCHO)</w:t>
      </w:r>
      <w:r>
        <w:rPr>
          <w:rFonts w:asciiTheme="majorHAnsi" w:hAnsiTheme="majorHAnsi"/>
        </w:rPr>
        <w:t>.</w:t>
      </w:r>
    </w:p>
    <w:p w:rsidR="006165D7" w:rsidRPr="00A809AA" w:rsidRDefault="006165D7" w:rsidP="006165D7">
      <w:pPr>
        <w:pStyle w:val="ListParagraph"/>
        <w:autoSpaceDE w:val="0"/>
        <w:autoSpaceDN w:val="0"/>
        <w:adjustRightInd w:val="0"/>
        <w:ind w:right="720"/>
        <w:rPr>
          <w:rFonts w:asciiTheme="majorHAnsi" w:hAnsiTheme="majorHAnsi"/>
        </w:rPr>
      </w:pPr>
    </w:p>
    <w:p w:rsidR="006165D7" w:rsidRPr="00A809AA" w:rsidRDefault="006165D7" w:rsidP="006165D7">
      <w:pPr>
        <w:pStyle w:val="ListParagraph"/>
        <w:autoSpaceDE w:val="0"/>
        <w:autoSpaceDN w:val="0"/>
        <w:adjustRightInd w:val="0"/>
        <w:ind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6165D7" w:rsidRPr="00A809AA"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Explanation of Any Payment or Gift to Respondents</w:t>
      </w:r>
    </w:p>
    <w:p w:rsidR="006165D7" w:rsidRDefault="006165D7" w:rsidP="006165D7">
      <w:pPr>
        <w:pStyle w:val="ListParagraph"/>
        <w:spacing w:after="0"/>
        <w:rPr>
          <w:rFonts w:asciiTheme="majorHAnsi" w:hAnsiTheme="majorHAnsi"/>
        </w:rPr>
      </w:pPr>
      <w:r>
        <w:rPr>
          <w:rFonts w:asciiTheme="majorHAnsi" w:hAnsiTheme="majorHAnsi"/>
        </w:rPr>
        <w:t>CDC will not provide payments or gifts to respondents.</w:t>
      </w:r>
    </w:p>
    <w:p w:rsidR="006165D7" w:rsidRDefault="006165D7" w:rsidP="006165D7">
      <w:pPr>
        <w:pStyle w:val="ListParagraph"/>
        <w:spacing w:after="0"/>
        <w:rPr>
          <w:rFonts w:asciiTheme="majorHAnsi" w:hAnsiTheme="majorHAnsi"/>
        </w:rPr>
      </w:pPr>
    </w:p>
    <w:p w:rsidR="006165D7" w:rsidRPr="00D16E78" w:rsidRDefault="006165D7" w:rsidP="006165D7">
      <w:pPr>
        <w:pStyle w:val="ListParagraph"/>
        <w:numPr>
          <w:ilvl w:val="0"/>
          <w:numId w:val="1"/>
        </w:numPr>
        <w:spacing w:after="0"/>
        <w:rPr>
          <w:rFonts w:asciiTheme="majorHAnsi" w:hAnsiTheme="majorHAnsi"/>
          <w:b/>
        </w:rPr>
      </w:pPr>
      <w:r w:rsidRPr="00D16E78">
        <w:rPr>
          <w:rFonts w:asciiTheme="majorHAnsi" w:hAnsiTheme="majorHAnsi"/>
          <w:b/>
        </w:rPr>
        <w:t>Assurance of Confidentiality Provided to Respondents</w:t>
      </w:r>
    </w:p>
    <w:p w:rsidR="006165D7" w:rsidRPr="003C31C9" w:rsidRDefault="006165D7" w:rsidP="006165D7">
      <w:pPr>
        <w:pStyle w:val="ListParagraph"/>
        <w:autoSpaceDE w:val="0"/>
        <w:autoSpaceDN w:val="0"/>
        <w:adjustRightInd w:val="0"/>
        <w:ind w:right="720"/>
        <w:rPr>
          <w:rFonts w:asciiTheme="majorHAnsi" w:hAnsiTheme="majorHAnsi"/>
        </w:rPr>
      </w:pPr>
      <w:r w:rsidRPr="003C31C9">
        <w:rPr>
          <w:rFonts w:asciiTheme="majorHAnsi" w:hAnsiTheme="majorHAnsi"/>
        </w:rPr>
        <w:t>The Privacy Act does not apply to this data collection.  Employees of state</w:t>
      </w:r>
      <w:r>
        <w:rPr>
          <w:rFonts w:asciiTheme="majorHAnsi" w:hAnsiTheme="majorHAnsi"/>
        </w:rPr>
        <w:t xml:space="preserve"> and</w:t>
      </w:r>
      <w:r w:rsidRPr="003C31C9">
        <w:rPr>
          <w:rFonts w:asciiTheme="majorHAnsi" w:hAnsiTheme="majorHAnsi"/>
        </w:rPr>
        <w:t xml:space="preserve"> local</w:t>
      </w:r>
      <w:r>
        <w:rPr>
          <w:rFonts w:asciiTheme="majorHAnsi" w:hAnsiTheme="majorHAnsi"/>
        </w:rPr>
        <w:t xml:space="preserve"> </w:t>
      </w:r>
      <w:r w:rsidRPr="003C31C9">
        <w:rPr>
          <w:rFonts w:asciiTheme="majorHAnsi" w:hAnsiTheme="majorHAnsi"/>
        </w:rPr>
        <w:t xml:space="preserve">public health agencies will be speaking from their official roles and will not be asked, nor will they provide individually identifiable information.  </w:t>
      </w:r>
    </w:p>
    <w:p w:rsidR="006165D7" w:rsidRPr="003C31C9" w:rsidRDefault="006165D7" w:rsidP="006165D7">
      <w:pPr>
        <w:pStyle w:val="ListParagraph"/>
        <w:autoSpaceDE w:val="0"/>
        <w:autoSpaceDN w:val="0"/>
        <w:adjustRightInd w:val="0"/>
        <w:ind w:right="720"/>
        <w:rPr>
          <w:rFonts w:asciiTheme="majorHAnsi" w:hAnsiTheme="majorHAnsi"/>
        </w:rPr>
      </w:pPr>
    </w:p>
    <w:p w:rsidR="006165D7" w:rsidRPr="003C31C9" w:rsidRDefault="006165D7" w:rsidP="006165D7">
      <w:pPr>
        <w:pStyle w:val="ListParagraph"/>
        <w:autoSpaceDE w:val="0"/>
        <w:autoSpaceDN w:val="0"/>
        <w:adjustRightInd w:val="0"/>
        <w:ind w:right="720"/>
        <w:outlineLvl w:val="0"/>
        <w:rPr>
          <w:rFonts w:asciiTheme="majorHAnsi" w:hAnsiTheme="majorHAnsi"/>
        </w:rPr>
      </w:pPr>
      <w:r w:rsidRPr="003C31C9">
        <w:rPr>
          <w:rFonts w:asciiTheme="majorHAnsi" w:hAnsiTheme="majorHAnsi"/>
        </w:rPr>
        <w:t>This data collection is not research involving human subjects.</w:t>
      </w:r>
    </w:p>
    <w:p w:rsidR="006165D7" w:rsidRPr="003C31C9"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Justification for Sensitive Questions</w:t>
      </w:r>
    </w:p>
    <w:p w:rsidR="006165D7" w:rsidRDefault="006165D7" w:rsidP="006165D7">
      <w:pPr>
        <w:pStyle w:val="ListParagraph"/>
        <w:spacing w:after="0"/>
        <w:rPr>
          <w:rFonts w:asciiTheme="majorHAnsi" w:hAnsiTheme="majorHAnsi"/>
        </w:rPr>
      </w:pPr>
      <w:r>
        <w:rPr>
          <w:rFonts w:asciiTheme="majorHAnsi" w:hAnsiTheme="majorHAnsi"/>
        </w:rPr>
        <w:t>No sensitive information will be collected.</w:t>
      </w:r>
    </w:p>
    <w:p w:rsidR="006165D7" w:rsidRDefault="006165D7" w:rsidP="006165D7">
      <w:pPr>
        <w:pStyle w:val="ListParagraph"/>
        <w:spacing w:after="0"/>
        <w:rPr>
          <w:rFonts w:asciiTheme="majorHAnsi" w:hAnsiTheme="majorHAnsi"/>
        </w:rPr>
      </w:pPr>
    </w:p>
    <w:p w:rsidR="006165D7" w:rsidRPr="007B305A" w:rsidRDefault="006165D7" w:rsidP="006165D7">
      <w:pPr>
        <w:pStyle w:val="ListParagraph"/>
        <w:numPr>
          <w:ilvl w:val="0"/>
          <w:numId w:val="1"/>
        </w:numPr>
        <w:spacing w:after="0"/>
        <w:rPr>
          <w:rFonts w:asciiTheme="majorHAnsi" w:hAnsiTheme="majorHAnsi"/>
          <w:b/>
        </w:rPr>
      </w:pPr>
      <w:r w:rsidRPr="007B305A">
        <w:rPr>
          <w:rFonts w:asciiTheme="majorHAnsi" w:hAnsiTheme="majorHAnsi"/>
          <w:b/>
        </w:rPr>
        <w:t>Estimates of Annualized Burden Hours and Costs</w:t>
      </w:r>
    </w:p>
    <w:p w:rsidR="006165D7" w:rsidRDefault="006165D7" w:rsidP="006165D7">
      <w:pPr>
        <w:pStyle w:val="ListParagraph"/>
        <w:autoSpaceDE w:val="0"/>
        <w:autoSpaceDN w:val="0"/>
        <w:adjustRightInd w:val="0"/>
        <w:ind w:left="0" w:right="720"/>
        <w:rPr>
          <w:rFonts w:asciiTheme="majorHAnsi" w:hAnsiTheme="majorHAnsi"/>
        </w:rPr>
      </w:pPr>
    </w:p>
    <w:p w:rsidR="006165D7" w:rsidRDefault="006165D7" w:rsidP="006165D7">
      <w:pPr>
        <w:pStyle w:val="ListParagraph"/>
        <w:autoSpaceDE w:val="0"/>
        <w:autoSpaceDN w:val="0"/>
        <w:adjustRightInd w:val="0"/>
        <w:rPr>
          <w:rFonts w:asciiTheme="majorHAnsi" w:hAnsiTheme="majorHAnsi"/>
        </w:rPr>
      </w:pPr>
      <w:r>
        <w:rPr>
          <w:rFonts w:asciiTheme="majorHAnsi" w:hAnsiTheme="majorHAnsi"/>
          <w:color w:val="000000"/>
        </w:rPr>
        <w:t xml:space="preserve">The estimate for burden hours is based on a pilot test of both the survey and data collection instruments by </w:t>
      </w:r>
      <w:r>
        <w:rPr>
          <w:rFonts w:asciiTheme="majorHAnsi" w:hAnsiTheme="majorHAnsi"/>
        </w:rPr>
        <w:t>nine randomly-selected Public Health Laboratory Directors or their designees from PHL who had previously submitted isolates to the MDDR testing service.</w:t>
      </w:r>
    </w:p>
    <w:p w:rsidR="006165D7" w:rsidRDefault="006165D7" w:rsidP="006165D7">
      <w:pPr>
        <w:pStyle w:val="ListParagraph"/>
        <w:autoSpaceDE w:val="0"/>
        <w:autoSpaceDN w:val="0"/>
        <w:adjustRightInd w:val="0"/>
        <w:rPr>
          <w:rFonts w:asciiTheme="majorHAnsi" w:hAnsiTheme="majorHAnsi"/>
        </w:rPr>
      </w:pPr>
    </w:p>
    <w:p w:rsidR="006165D7" w:rsidRDefault="006165D7" w:rsidP="006165D7">
      <w:pPr>
        <w:pStyle w:val="ListParagraph"/>
        <w:autoSpaceDE w:val="0"/>
        <w:autoSpaceDN w:val="0"/>
        <w:adjustRightInd w:val="0"/>
        <w:rPr>
          <w:rFonts w:asciiTheme="majorHAnsi" w:hAnsiTheme="majorHAnsi"/>
        </w:rPr>
      </w:pPr>
      <w:r>
        <w:rPr>
          <w:rFonts w:asciiTheme="majorHAnsi" w:hAnsiTheme="majorHAnsi"/>
        </w:rPr>
        <w:t xml:space="preserve">In the pilot test, the average time to complete the survey including time for reviewing instructions, gathering needed information and completing the survey, was approximately 10 minutes. Based on these results, the estimated time range for actual respondents to complete the survey is 10-15 minutes. For the purposes of estimating burden hours, the upper limit of this range (i.e., 15 minutes) is used for completion of the survey. </w:t>
      </w:r>
    </w:p>
    <w:p w:rsidR="006165D7" w:rsidRDefault="006165D7" w:rsidP="006165D7">
      <w:pPr>
        <w:pStyle w:val="ListParagraph"/>
        <w:autoSpaceDE w:val="0"/>
        <w:autoSpaceDN w:val="0"/>
        <w:adjustRightInd w:val="0"/>
        <w:rPr>
          <w:rFonts w:asciiTheme="majorHAnsi" w:hAnsiTheme="majorHAnsi"/>
        </w:rPr>
      </w:pPr>
    </w:p>
    <w:p w:rsidR="006165D7" w:rsidRDefault="006165D7" w:rsidP="006165D7">
      <w:pPr>
        <w:pStyle w:val="ListParagraph"/>
        <w:autoSpaceDE w:val="0"/>
        <w:autoSpaceDN w:val="0"/>
        <w:adjustRightInd w:val="0"/>
        <w:rPr>
          <w:rFonts w:asciiTheme="majorHAnsi" w:hAnsiTheme="majorHAnsi"/>
          <w:color w:val="000000"/>
        </w:rPr>
      </w:pPr>
      <w:r>
        <w:rPr>
          <w:rFonts w:asciiTheme="majorHAnsi" w:hAnsiTheme="majorHAnsi"/>
        </w:rPr>
        <w:t>The estimated time to complete a data collection instrument for collecting local DST each isolate submitted to the MDDR testing service was approximately 5 minutes. Based on these results, the estimated time range for actual respondents to complete a data collection instrument</w:t>
      </w:r>
      <w:r w:rsidR="009F5DCD">
        <w:rPr>
          <w:rFonts w:asciiTheme="majorHAnsi" w:hAnsiTheme="majorHAnsi"/>
        </w:rPr>
        <w:t xml:space="preserve"> for</w:t>
      </w:r>
      <w:r>
        <w:rPr>
          <w:rFonts w:asciiTheme="majorHAnsi" w:hAnsiTheme="majorHAnsi"/>
        </w:rPr>
        <w:t xml:space="preserve"> each isolate submitted to the MDDR testing service was 5-10 minutes. For purposes of estimating burden hours, the upper limit of this range (i.e., 10 minutes) is used for completion of a data collection instrument.</w:t>
      </w:r>
    </w:p>
    <w:p w:rsidR="006165D7" w:rsidRDefault="006165D7" w:rsidP="006165D7">
      <w:pPr>
        <w:pStyle w:val="ListParagraph"/>
        <w:autoSpaceDE w:val="0"/>
        <w:autoSpaceDN w:val="0"/>
        <w:adjustRightInd w:val="0"/>
        <w:rPr>
          <w:rFonts w:asciiTheme="majorHAnsi" w:hAnsiTheme="majorHAnsi"/>
          <w:color w:val="000000"/>
        </w:rPr>
      </w:pPr>
    </w:p>
    <w:p w:rsidR="007D6E96" w:rsidRDefault="006165D7" w:rsidP="00525D54">
      <w:pPr>
        <w:pStyle w:val="ListParagraph"/>
        <w:autoSpaceDE w:val="0"/>
        <w:autoSpaceDN w:val="0"/>
        <w:adjustRightInd w:val="0"/>
        <w:rPr>
          <w:rFonts w:asciiTheme="majorHAnsi" w:hAnsiTheme="majorHAnsi"/>
          <w:color w:val="000000"/>
        </w:rPr>
      </w:pPr>
      <w:r>
        <w:rPr>
          <w:rFonts w:asciiTheme="majorHAnsi" w:hAnsiTheme="majorHAnsi"/>
          <w:color w:val="000000"/>
        </w:rPr>
        <w:t xml:space="preserve">Survey and data collection instruments will be sent to 43 </w:t>
      </w:r>
      <w:r w:rsidR="00A91843">
        <w:rPr>
          <w:rFonts w:asciiTheme="majorHAnsi" w:hAnsiTheme="majorHAnsi"/>
          <w:color w:val="000000"/>
        </w:rPr>
        <w:t>Public Health Laboratory Directors or their designees</w:t>
      </w:r>
      <w:r>
        <w:rPr>
          <w:rFonts w:asciiTheme="majorHAnsi" w:hAnsiTheme="majorHAnsi"/>
          <w:color w:val="000000"/>
        </w:rPr>
        <w:t xml:space="preserve"> representing PHL (see </w:t>
      </w:r>
      <w:r w:rsidRPr="00F92111">
        <w:rPr>
          <w:rFonts w:asciiTheme="majorHAnsi" w:hAnsiTheme="majorHAnsi"/>
          <w:b/>
          <w:color w:val="000000"/>
        </w:rPr>
        <w:t>Attachment</w:t>
      </w:r>
      <w:r w:rsidR="00D96EC6">
        <w:rPr>
          <w:rFonts w:asciiTheme="majorHAnsi" w:hAnsiTheme="majorHAnsi"/>
          <w:b/>
          <w:color w:val="000000"/>
        </w:rPr>
        <w:t xml:space="preserve"> </w:t>
      </w:r>
      <w:r w:rsidR="00A91843">
        <w:rPr>
          <w:rFonts w:asciiTheme="majorHAnsi" w:hAnsiTheme="majorHAnsi"/>
          <w:b/>
          <w:color w:val="000000"/>
        </w:rPr>
        <w:t>G</w:t>
      </w:r>
      <w:r>
        <w:rPr>
          <w:rFonts w:asciiTheme="majorHAnsi" w:hAnsiTheme="majorHAnsi"/>
          <w:color w:val="000000"/>
        </w:rPr>
        <w:t xml:space="preserve">). The number of data collection instruments that each </w:t>
      </w:r>
      <w:r w:rsidR="00A372B4">
        <w:rPr>
          <w:rFonts w:asciiTheme="majorHAnsi" w:hAnsiTheme="majorHAnsi"/>
          <w:color w:val="000000"/>
        </w:rPr>
        <w:t>potential respondent</w:t>
      </w:r>
      <w:r>
        <w:rPr>
          <w:rFonts w:asciiTheme="majorHAnsi" w:hAnsiTheme="majorHAnsi"/>
          <w:color w:val="000000"/>
        </w:rPr>
        <w:t xml:space="preserve"> will receive range from 1 to 29 based on the number of isolates submitted by each PHL to the MDDR testing service. An average of 7 data collection instruments per PHL will be used for calculation of burden hours.  Estimates for the average hourly wage for respondents are based on the </w:t>
      </w:r>
      <w:r w:rsidRPr="00A849B3">
        <w:rPr>
          <w:rFonts w:asciiTheme="majorHAnsi" w:hAnsiTheme="majorHAnsi"/>
          <w:color w:val="000000"/>
        </w:rPr>
        <w:t>Department of Labor (DOL) National Compensation Survey estimate for management occupations – medical and health services managers in state government</w:t>
      </w:r>
      <w:r>
        <w:rPr>
          <w:rFonts w:asciiTheme="majorHAnsi" w:hAnsiTheme="majorHAnsi"/>
          <w:color w:val="000000"/>
        </w:rPr>
        <w:t xml:space="preserve"> (</w:t>
      </w:r>
      <w:hyperlink r:id="rId8" w:history="1">
        <w:r w:rsidRPr="002A1948">
          <w:rPr>
            <w:rStyle w:val="Hyperlink"/>
            <w:rFonts w:asciiTheme="majorHAnsi" w:hAnsiTheme="majorHAnsi"/>
          </w:rPr>
          <w:t>http://www.bls.gov/ncs/ocs/sp/nctb1349.pdf</w:t>
        </w:r>
      </w:hyperlink>
      <w:r>
        <w:rPr>
          <w:rFonts w:asciiTheme="majorHAnsi" w:hAnsiTheme="majorHAnsi"/>
          <w:color w:val="000000"/>
        </w:rPr>
        <w:t>). Based on DOL data, a</w:t>
      </w:r>
      <w:r w:rsidRPr="002A1948">
        <w:rPr>
          <w:rFonts w:asciiTheme="majorHAnsi" w:hAnsiTheme="majorHAnsi"/>
          <w:color w:val="000000"/>
        </w:rPr>
        <w:t xml:space="preserve">n average hourly wage of $57.11 is estimated for all </w:t>
      </w:r>
      <w:r>
        <w:rPr>
          <w:rFonts w:asciiTheme="majorHAnsi" w:hAnsiTheme="majorHAnsi"/>
          <w:color w:val="000000"/>
        </w:rPr>
        <w:t>43</w:t>
      </w:r>
      <w:r w:rsidRPr="002A1948">
        <w:rPr>
          <w:rFonts w:asciiTheme="majorHAnsi" w:hAnsiTheme="majorHAnsi"/>
          <w:color w:val="000000"/>
        </w:rPr>
        <w:t xml:space="preserve"> respondents. </w:t>
      </w:r>
      <w:r>
        <w:rPr>
          <w:rFonts w:asciiTheme="majorHAnsi" w:hAnsiTheme="majorHAnsi"/>
          <w:color w:val="000000"/>
        </w:rPr>
        <w:t xml:space="preserve">Table A-12 shows estimated burden and cost information for each </w:t>
      </w:r>
      <w:r w:rsidR="00A372B4">
        <w:rPr>
          <w:rFonts w:asciiTheme="majorHAnsi" w:hAnsiTheme="majorHAnsi"/>
          <w:color w:val="000000"/>
        </w:rPr>
        <w:t>Public Health Laboratory Director or their designee</w:t>
      </w:r>
      <w:r>
        <w:rPr>
          <w:rFonts w:asciiTheme="majorHAnsi" w:hAnsiTheme="majorHAnsi"/>
          <w:color w:val="000000"/>
        </w:rPr>
        <w:t xml:space="preserve"> to complete the MDDR </w:t>
      </w:r>
      <w:r w:rsidR="007D6E96">
        <w:rPr>
          <w:rFonts w:asciiTheme="majorHAnsi" w:hAnsiTheme="majorHAnsi"/>
          <w:color w:val="000000"/>
        </w:rPr>
        <w:t>s</w:t>
      </w:r>
      <w:r>
        <w:rPr>
          <w:rFonts w:asciiTheme="majorHAnsi" w:hAnsiTheme="majorHAnsi"/>
          <w:color w:val="000000"/>
        </w:rPr>
        <w:t>urvey</w:t>
      </w:r>
      <w:r w:rsidR="007D6E96">
        <w:rPr>
          <w:rFonts w:asciiTheme="majorHAnsi" w:hAnsiTheme="majorHAnsi"/>
          <w:color w:val="000000"/>
        </w:rPr>
        <w:t xml:space="preserve"> and data collection instruments</w:t>
      </w:r>
      <w:r>
        <w:rPr>
          <w:rFonts w:asciiTheme="majorHAnsi" w:hAnsiTheme="majorHAnsi"/>
          <w:color w:val="000000"/>
        </w:rPr>
        <w:t xml:space="preserve">. </w:t>
      </w: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color w:val="000000"/>
        </w:rPr>
      </w:pPr>
    </w:p>
    <w:p w:rsidR="00525D54" w:rsidRDefault="00525D54" w:rsidP="00525D54">
      <w:pPr>
        <w:pStyle w:val="ListParagraph"/>
        <w:autoSpaceDE w:val="0"/>
        <w:autoSpaceDN w:val="0"/>
        <w:adjustRightInd w:val="0"/>
        <w:rPr>
          <w:rFonts w:asciiTheme="majorHAnsi" w:hAnsiTheme="majorHAnsi"/>
          <w:b/>
          <w:u w:val="single"/>
        </w:rPr>
      </w:pPr>
    </w:p>
    <w:p w:rsidR="006165D7" w:rsidRDefault="006165D7" w:rsidP="006165D7">
      <w:pPr>
        <w:pStyle w:val="ListParagraph"/>
        <w:autoSpaceDE w:val="0"/>
        <w:autoSpaceDN w:val="0"/>
        <w:adjustRightInd w:val="0"/>
        <w:ind w:left="0" w:right="720"/>
        <w:rPr>
          <w:rFonts w:asciiTheme="majorHAnsi" w:hAnsiTheme="majorHAnsi"/>
        </w:rPr>
      </w:pPr>
      <w:r w:rsidRPr="008E0683">
        <w:rPr>
          <w:rFonts w:asciiTheme="majorHAnsi" w:hAnsiTheme="majorHAnsi"/>
          <w:b/>
          <w:u w:val="single"/>
        </w:rPr>
        <w:t>Table A-12</w:t>
      </w:r>
      <w:r w:rsidRPr="008E0683">
        <w:rPr>
          <w:rFonts w:asciiTheme="majorHAnsi" w:hAnsiTheme="majorHAnsi"/>
          <w:b/>
        </w:rPr>
        <w:t>:</w:t>
      </w:r>
      <w:r w:rsidRPr="003C31C9">
        <w:rPr>
          <w:rFonts w:asciiTheme="majorHAnsi" w:hAnsiTheme="majorHAnsi"/>
        </w:rPr>
        <w:t xml:space="preserve"> </w:t>
      </w:r>
      <w:r>
        <w:rPr>
          <w:rFonts w:asciiTheme="majorHAnsi" w:hAnsiTheme="majorHAnsi"/>
        </w:rPr>
        <w:t>Estimated</w:t>
      </w:r>
      <w:r w:rsidRPr="003C31C9">
        <w:rPr>
          <w:rFonts w:asciiTheme="majorHAnsi" w:hAnsiTheme="majorHAnsi"/>
        </w:rPr>
        <w:t xml:space="preserve"> </w:t>
      </w:r>
      <w:r>
        <w:rPr>
          <w:rFonts w:asciiTheme="majorHAnsi" w:hAnsiTheme="majorHAnsi"/>
        </w:rPr>
        <w:t>A</w:t>
      </w:r>
      <w:r w:rsidRPr="003C31C9">
        <w:rPr>
          <w:rFonts w:asciiTheme="majorHAnsi" w:hAnsiTheme="majorHAnsi"/>
        </w:rPr>
        <w:t xml:space="preserve">nnualized </w:t>
      </w:r>
      <w:r>
        <w:rPr>
          <w:rFonts w:asciiTheme="majorHAnsi" w:hAnsiTheme="majorHAnsi"/>
        </w:rPr>
        <w:t>Burden Hours and Costs to Respondents</w:t>
      </w:r>
      <w:r w:rsidRPr="003C31C9">
        <w:rPr>
          <w:rFonts w:asciiTheme="majorHAnsi" w:hAnsiTheme="majorHAnsi"/>
        </w:rPr>
        <w:t xml:space="preserve"> </w:t>
      </w:r>
      <w:r>
        <w:rPr>
          <w:rFonts w:asciiTheme="majorHAnsi" w:hAnsiTheme="majorHAnsi"/>
        </w:rPr>
        <w:t xml:space="preserve">– </w:t>
      </w:r>
      <w:r w:rsidR="00250A23">
        <w:rPr>
          <w:rFonts w:asciiTheme="majorHAnsi" w:hAnsiTheme="majorHAnsi"/>
        </w:rPr>
        <w:t>MDDR</w:t>
      </w:r>
      <w:r>
        <w:rPr>
          <w:rFonts w:asciiTheme="majorHAnsi" w:hAnsiTheme="majorHAnsi"/>
        </w:rPr>
        <w:t xml:space="preserve"> Survey</w:t>
      </w:r>
      <w:r w:rsidR="0054578C">
        <w:rPr>
          <w:rFonts w:asciiTheme="majorHAnsi" w:hAnsiTheme="majorHAnsi"/>
        </w:rPr>
        <w:t xml:space="preserve"> and Data Collection Instruments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1170"/>
        <w:gridCol w:w="1260"/>
        <w:gridCol w:w="1260"/>
        <w:gridCol w:w="1350"/>
        <w:gridCol w:w="1080"/>
        <w:gridCol w:w="810"/>
        <w:gridCol w:w="1368"/>
      </w:tblGrid>
      <w:tr w:rsidR="00165F20" w:rsidRPr="006F6856" w:rsidTr="007D6E96">
        <w:trPr>
          <w:trHeight w:val="1493"/>
        </w:trPr>
        <w:tc>
          <w:tcPr>
            <w:tcW w:w="1260" w:type="dxa"/>
            <w:tcBorders>
              <w:bottom w:val="single" w:sz="12" w:space="0" w:color="000000"/>
            </w:tcBorders>
            <w:shd w:val="clear" w:color="auto" w:fill="D9D9D9" w:themeFill="background1" w:themeFillShade="D9"/>
            <w:vAlign w:val="center"/>
          </w:tcPr>
          <w:p w:rsidR="00165F20" w:rsidRPr="00165F20" w:rsidRDefault="00165F20" w:rsidP="00587B08">
            <w:pPr>
              <w:jc w:val="center"/>
              <w:rPr>
                <w:rFonts w:asciiTheme="majorHAnsi" w:hAnsiTheme="majorHAnsi"/>
                <w:b/>
                <w:sz w:val="16"/>
                <w:szCs w:val="16"/>
              </w:rPr>
            </w:pPr>
            <w:r w:rsidRPr="00165F20">
              <w:rPr>
                <w:rFonts w:asciiTheme="majorHAnsi" w:hAnsiTheme="majorHAnsi"/>
                <w:b/>
                <w:sz w:val="16"/>
                <w:szCs w:val="16"/>
              </w:rPr>
              <w:t>Type of Respondent</w:t>
            </w:r>
          </w:p>
        </w:tc>
        <w:tc>
          <w:tcPr>
            <w:tcW w:w="1170" w:type="dxa"/>
            <w:tcBorders>
              <w:bottom w:val="single" w:sz="12" w:space="0" w:color="000000"/>
            </w:tcBorders>
            <w:shd w:val="clear" w:color="auto" w:fill="D9D9D9" w:themeFill="background1" w:themeFillShade="D9"/>
            <w:vAlign w:val="center"/>
          </w:tcPr>
          <w:p w:rsidR="00165F20" w:rsidRPr="00165F20" w:rsidRDefault="00165F20" w:rsidP="00587B08">
            <w:pPr>
              <w:jc w:val="center"/>
              <w:rPr>
                <w:rFonts w:asciiTheme="majorHAnsi" w:hAnsiTheme="majorHAnsi"/>
                <w:b/>
                <w:sz w:val="16"/>
                <w:szCs w:val="16"/>
              </w:rPr>
            </w:pPr>
            <w:r w:rsidRPr="00165F20">
              <w:rPr>
                <w:rFonts w:asciiTheme="majorHAnsi" w:hAnsiTheme="majorHAnsi"/>
                <w:b/>
                <w:sz w:val="16"/>
                <w:szCs w:val="16"/>
              </w:rPr>
              <w:t>Instrument</w:t>
            </w:r>
          </w:p>
        </w:tc>
        <w:tc>
          <w:tcPr>
            <w:tcW w:w="1260" w:type="dxa"/>
            <w:tcBorders>
              <w:bottom w:val="single" w:sz="12" w:space="0" w:color="000000"/>
            </w:tcBorders>
            <w:shd w:val="clear" w:color="auto" w:fill="D9D9D9" w:themeFill="background1" w:themeFillShade="D9"/>
            <w:vAlign w:val="center"/>
          </w:tcPr>
          <w:p w:rsidR="00165F20" w:rsidRPr="00165F20" w:rsidRDefault="00165F20" w:rsidP="00587B08">
            <w:pPr>
              <w:jc w:val="center"/>
              <w:rPr>
                <w:rFonts w:asciiTheme="majorHAnsi" w:hAnsiTheme="majorHAnsi"/>
                <w:b/>
                <w:sz w:val="16"/>
                <w:szCs w:val="16"/>
              </w:rPr>
            </w:pPr>
            <w:r w:rsidRPr="00165F20">
              <w:rPr>
                <w:rFonts w:asciiTheme="majorHAnsi" w:hAnsiTheme="majorHAnsi"/>
                <w:b/>
                <w:sz w:val="16"/>
                <w:szCs w:val="16"/>
              </w:rPr>
              <w:t>No. of Respondents</w:t>
            </w:r>
          </w:p>
        </w:tc>
        <w:tc>
          <w:tcPr>
            <w:tcW w:w="1260" w:type="dxa"/>
            <w:tcBorders>
              <w:bottom w:val="single" w:sz="12" w:space="0" w:color="000000"/>
            </w:tcBorders>
            <w:shd w:val="clear" w:color="auto" w:fill="D9D9D9" w:themeFill="background1" w:themeFillShade="D9"/>
            <w:vAlign w:val="center"/>
          </w:tcPr>
          <w:p w:rsidR="00165F20" w:rsidRPr="00165F20" w:rsidRDefault="00165F20" w:rsidP="00587B08">
            <w:pPr>
              <w:jc w:val="center"/>
              <w:rPr>
                <w:rFonts w:asciiTheme="majorHAnsi" w:hAnsiTheme="majorHAnsi"/>
                <w:b/>
                <w:sz w:val="16"/>
                <w:szCs w:val="16"/>
              </w:rPr>
            </w:pPr>
            <w:r w:rsidRPr="00165F20">
              <w:rPr>
                <w:rFonts w:asciiTheme="majorHAnsi" w:hAnsiTheme="majorHAnsi"/>
                <w:b/>
                <w:sz w:val="16"/>
                <w:szCs w:val="16"/>
              </w:rPr>
              <w:t>No. of Responses per Respondent</w:t>
            </w:r>
          </w:p>
        </w:tc>
        <w:tc>
          <w:tcPr>
            <w:tcW w:w="1350" w:type="dxa"/>
            <w:tcBorders>
              <w:bottom w:val="single" w:sz="12" w:space="0" w:color="000000"/>
            </w:tcBorders>
            <w:shd w:val="clear" w:color="auto" w:fill="D9D9D9" w:themeFill="background1" w:themeFillShade="D9"/>
            <w:vAlign w:val="center"/>
          </w:tcPr>
          <w:p w:rsidR="00165F20" w:rsidRPr="00165F20" w:rsidRDefault="00165F20" w:rsidP="00587B08">
            <w:pPr>
              <w:jc w:val="center"/>
              <w:rPr>
                <w:rFonts w:asciiTheme="majorHAnsi" w:hAnsiTheme="majorHAnsi"/>
                <w:b/>
                <w:sz w:val="16"/>
                <w:szCs w:val="16"/>
              </w:rPr>
            </w:pPr>
            <w:r w:rsidRPr="00165F20">
              <w:rPr>
                <w:rFonts w:asciiTheme="majorHAnsi" w:hAnsiTheme="majorHAnsi"/>
                <w:b/>
                <w:sz w:val="16"/>
                <w:szCs w:val="16"/>
              </w:rPr>
              <w:t>Average Burden per Response (in hours)</w:t>
            </w:r>
          </w:p>
        </w:tc>
        <w:tc>
          <w:tcPr>
            <w:tcW w:w="1080" w:type="dxa"/>
            <w:tcBorders>
              <w:bottom w:val="single" w:sz="12" w:space="0" w:color="000000"/>
            </w:tcBorders>
            <w:shd w:val="clear" w:color="auto" w:fill="D9D9D9" w:themeFill="background1" w:themeFillShade="D9"/>
            <w:vAlign w:val="center"/>
          </w:tcPr>
          <w:p w:rsidR="00165F20" w:rsidRPr="00165F20" w:rsidRDefault="00165F20" w:rsidP="00587B08">
            <w:pPr>
              <w:jc w:val="center"/>
              <w:rPr>
                <w:rFonts w:asciiTheme="majorHAnsi" w:hAnsiTheme="majorHAnsi"/>
                <w:b/>
                <w:sz w:val="16"/>
                <w:szCs w:val="16"/>
              </w:rPr>
            </w:pPr>
            <w:r w:rsidRPr="00165F20">
              <w:rPr>
                <w:rFonts w:asciiTheme="majorHAnsi" w:hAnsiTheme="majorHAnsi"/>
                <w:b/>
                <w:sz w:val="16"/>
                <w:szCs w:val="16"/>
              </w:rPr>
              <w:t>Total Burden Hours</w:t>
            </w:r>
          </w:p>
        </w:tc>
        <w:tc>
          <w:tcPr>
            <w:tcW w:w="810" w:type="dxa"/>
            <w:tcBorders>
              <w:bottom w:val="single" w:sz="12" w:space="0" w:color="000000"/>
            </w:tcBorders>
            <w:shd w:val="clear" w:color="auto" w:fill="D9D9D9" w:themeFill="background1" w:themeFillShade="D9"/>
            <w:vAlign w:val="center"/>
          </w:tcPr>
          <w:p w:rsidR="00165F20" w:rsidRPr="00165F20" w:rsidRDefault="00165F20" w:rsidP="00587B08">
            <w:pPr>
              <w:jc w:val="center"/>
              <w:rPr>
                <w:rFonts w:asciiTheme="majorHAnsi" w:hAnsiTheme="majorHAnsi"/>
                <w:b/>
                <w:sz w:val="16"/>
                <w:szCs w:val="16"/>
              </w:rPr>
            </w:pPr>
            <w:r w:rsidRPr="00165F20">
              <w:rPr>
                <w:rFonts w:asciiTheme="majorHAnsi" w:hAnsiTheme="majorHAnsi"/>
                <w:b/>
                <w:sz w:val="16"/>
                <w:szCs w:val="16"/>
              </w:rPr>
              <w:t>Hourly Wage Rate</w:t>
            </w:r>
          </w:p>
        </w:tc>
        <w:tc>
          <w:tcPr>
            <w:tcW w:w="1368" w:type="dxa"/>
            <w:tcBorders>
              <w:bottom w:val="single" w:sz="12" w:space="0" w:color="000000"/>
            </w:tcBorders>
            <w:shd w:val="clear" w:color="auto" w:fill="D9D9D9" w:themeFill="background1" w:themeFillShade="D9"/>
            <w:vAlign w:val="center"/>
          </w:tcPr>
          <w:p w:rsidR="00165F20" w:rsidRPr="00165F20" w:rsidRDefault="00165F20" w:rsidP="00587B08">
            <w:pPr>
              <w:jc w:val="center"/>
              <w:rPr>
                <w:rFonts w:asciiTheme="majorHAnsi" w:hAnsiTheme="majorHAnsi"/>
                <w:b/>
                <w:sz w:val="16"/>
                <w:szCs w:val="16"/>
              </w:rPr>
            </w:pPr>
            <w:r w:rsidRPr="00165F20">
              <w:rPr>
                <w:rFonts w:asciiTheme="majorHAnsi" w:hAnsiTheme="majorHAnsi"/>
                <w:b/>
                <w:sz w:val="16"/>
                <w:szCs w:val="16"/>
              </w:rPr>
              <w:t>Total Respondent Costs</w:t>
            </w:r>
          </w:p>
        </w:tc>
      </w:tr>
      <w:tr w:rsidR="00165F20" w:rsidRPr="00525D54" w:rsidTr="007D6E96">
        <w:trPr>
          <w:trHeight w:val="1518"/>
        </w:trPr>
        <w:tc>
          <w:tcPr>
            <w:tcW w:w="1260" w:type="dxa"/>
            <w:tcBorders>
              <w:top w:val="single" w:sz="12" w:space="0" w:color="000000"/>
            </w:tcBorders>
            <w:vAlign w:val="center"/>
          </w:tcPr>
          <w:p w:rsidR="00165F20" w:rsidRPr="006F6856" w:rsidRDefault="00165F20" w:rsidP="00587B08">
            <w:pPr>
              <w:rPr>
                <w:rFonts w:asciiTheme="majorHAnsi" w:hAnsiTheme="majorHAnsi"/>
                <w:sz w:val="20"/>
              </w:rPr>
            </w:pPr>
            <w:r>
              <w:rPr>
                <w:rFonts w:asciiTheme="majorHAnsi" w:hAnsiTheme="majorHAnsi"/>
                <w:sz w:val="20"/>
              </w:rPr>
              <w:t xml:space="preserve">Public Health Laboratory Directors or their designees </w:t>
            </w:r>
          </w:p>
        </w:tc>
        <w:tc>
          <w:tcPr>
            <w:tcW w:w="1170" w:type="dxa"/>
            <w:tcBorders>
              <w:top w:val="single" w:sz="12" w:space="0" w:color="000000"/>
            </w:tcBorders>
            <w:vAlign w:val="center"/>
          </w:tcPr>
          <w:p w:rsidR="00165F20" w:rsidRPr="00525D54" w:rsidRDefault="00165F20" w:rsidP="00587B08">
            <w:pPr>
              <w:rPr>
                <w:rFonts w:asciiTheme="majorHAnsi" w:hAnsiTheme="majorHAnsi"/>
                <w:sz w:val="18"/>
                <w:szCs w:val="18"/>
              </w:rPr>
            </w:pPr>
            <w:r w:rsidRPr="00525D54">
              <w:rPr>
                <w:rFonts w:asciiTheme="majorHAnsi" w:hAnsiTheme="majorHAnsi"/>
                <w:sz w:val="18"/>
                <w:szCs w:val="18"/>
              </w:rPr>
              <w:t>Survey</w:t>
            </w:r>
          </w:p>
        </w:tc>
        <w:tc>
          <w:tcPr>
            <w:tcW w:w="1260" w:type="dxa"/>
            <w:tcBorders>
              <w:top w:val="single" w:sz="12" w:space="0" w:color="000000"/>
            </w:tcBorders>
            <w:vAlign w:val="center"/>
          </w:tcPr>
          <w:p w:rsidR="00165F20" w:rsidRPr="00525D54" w:rsidRDefault="00165F20" w:rsidP="00587B08">
            <w:pPr>
              <w:jc w:val="center"/>
              <w:rPr>
                <w:rFonts w:asciiTheme="majorHAnsi" w:hAnsiTheme="majorHAnsi"/>
                <w:sz w:val="18"/>
                <w:szCs w:val="18"/>
              </w:rPr>
            </w:pPr>
            <w:r w:rsidRPr="00525D54">
              <w:rPr>
                <w:rFonts w:asciiTheme="majorHAnsi" w:hAnsiTheme="majorHAnsi"/>
                <w:sz w:val="18"/>
                <w:szCs w:val="18"/>
              </w:rPr>
              <w:t>43</w:t>
            </w:r>
          </w:p>
        </w:tc>
        <w:tc>
          <w:tcPr>
            <w:tcW w:w="1260" w:type="dxa"/>
            <w:tcBorders>
              <w:top w:val="single" w:sz="12" w:space="0" w:color="000000"/>
            </w:tcBorders>
            <w:vAlign w:val="center"/>
          </w:tcPr>
          <w:p w:rsidR="00165F20" w:rsidRPr="00525D54" w:rsidRDefault="00165F20" w:rsidP="00587B08">
            <w:pPr>
              <w:jc w:val="center"/>
              <w:rPr>
                <w:rFonts w:asciiTheme="majorHAnsi" w:hAnsiTheme="majorHAnsi"/>
                <w:sz w:val="18"/>
                <w:szCs w:val="18"/>
              </w:rPr>
            </w:pPr>
            <w:r w:rsidRPr="00525D54">
              <w:rPr>
                <w:rFonts w:asciiTheme="majorHAnsi" w:hAnsiTheme="majorHAnsi"/>
                <w:sz w:val="18"/>
                <w:szCs w:val="18"/>
              </w:rPr>
              <w:t>1</w:t>
            </w:r>
          </w:p>
        </w:tc>
        <w:tc>
          <w:tcPr>
            <w:tcW w:w="1350" w:type="dxa"/>
            <w:tcBorders>
              <w:top w:val="single" w:sz="12" w:space="0" w:color="000000"/>
            </w:tcBorders>
            <w:vAlign w:val="center"/>
          </w:tcPr>
          <w:p w:rsidR="00165F20" w:rsidRPr="00525D54" w:rsidRDefault="00165F20" w:rsidP="00587B08">
            <w:pPr>
              <w:jc w:val="center"/>
              <w:rPr>
                <w:rFonts w:asciiTheme="majorHAnsi" w:hAnsiTheme="majorHAnsi"/>
                <w:sz w:val="18"/>
                <w:szCs w:val="18"/>
              </w:rPr>
            </w:pPr>
            <w:r w:rsidRPr="00525D54">
              <w:rPr>
                <w:rFonts w:asciiTheme="majorHAnsi" w:hAnsiTheme="majorHAnsi"/>
                <w:sz w:val="18"/>
                <w:szCs w:val="18"/>
              </w:rPr>
              <w:t>15/60</w:t>
            </w:r>
          </w:p>
        </w:tc>
        <w:tc>
          <w:tcPr>
            <w:tcW w:w="1080" w:type="dxa"/>
            <w:tcBorders>
              <w:top w:val="single" w:sz="12" w:space="0" w:color="000000"/>
            </w:tcBorders>
            <w:vAlign w:val="center"/>
          </w:tcPr>
          <w:p w:rsidR="00165F20" w:rsidRPr="00525D54" w:rsidRDefault="00165F20" w:rsidP="00587B08">
            <w:pPr>
              <w:jc w:val="center"/>
              <w:rPr>
                <w:rFonts w:asciiTheme="majorHAnsi" w:hAnsiTheme="majorHAnsi"/>
                <w:sz w:val="18"/>
                <w:szCs w:val="18"/>
              </w:rPr>
            </w:pPr>
            <w:r w:rsidRPr="00525D54">
              <w:rPr>
                <w:rFonts w:asciiTheme="majorHAnsi" w:hAnsiTheme="majorHAnsi"/>
                <w:sz w:val="18"/>
                <w:szCs w:val="18"/>
              </w:rPr>
              <w:t>11</w:t>
            </w:r>
          </w:p>
        </w:tc>
        <w:tc>
          <w:tcPr>
            <w:tcW w:w="810" w:type="dxa"/>
            <w:tcBorders>
              <w:top w:val="single" w:sz="12" w:space="0" w:color="000000"/>
            </w:tcBorders>
            <w:vAlign w:val="center"/>
          </w:tcPr>
          <w:p w:rsidR="00165F20" w:rsidRPr="00525D54" w:rsidRDefault="00165F20" w:rsidP="00587B08">
            <w:pPr>
              <w:jc w:val="center"/>
              <w:rPr>
                <w:rFonts w:asciiTheme="majorHAnsi" w:hAnsiTheme="majorHAnsi"/>
                <w:sz w:val="18"/>
                <w:szCs w:val="18"/>
              </w:rPr>
            </w:pPr>
            <w:r w:rsidRPr="00525D54">
              <w:rPr>
                <w:rFonts w:asciiTheme="majorHAnsi" w:hAnsiTheme="majorHAnsi"/>
                <w:sz w:val="18"/>
                <w:szCs w:val="18"/>
              </w:rPr>
              <w:t>$57.11</w:t>
            </w:r>
          </w:p>
        </w:tc>
        <w:tc>
          <w:tcPr>
            <w:tcW w:w="1368" w:type="dxa"/>
            <w:tcBorders>
              <w:top w:val="single" w:sz="12" w:space="0" w:color="000000"/>
            </w:tcBorders>
            <w:vAlign w:val="center"/>
          </w:tcPr>
          <w:p w:rsidR="00165F20" w:rsidRPr="00525D54" w:rsidRDefault="00165F20" w:rsidP="00587B08">
            <w:pPr>
              <w:jc w:val="right"/>
              <w:rPr>
                <w:rFonts w:asciiTheme="majorHAnsi" w:hAnsiTheme="majorHAnsi"/>
                <w:sz w:val="18"/>
                <w:szCs w:val="18"/>
              </w:rPr>
            </w:pPr>
            <w:r w:rsidRPr="00525D54">
              <w:rPr>
                <w:rFonts w:asciiTheme="majorHAnsi" w:hAnsiTheme="majorHAnsi"/>
                <w:sz w:val="18"/>
                <w:szCs w:val="18"/>
              </w:rPr>
              <w:t>$628.21</w:t>
            </w:r>
          </w:p>
        </w:tc>
      </w:tr>
      <w:tr w:rsidR="00165F20" w:rsidRPr="006F6856" w:rsidTr="007D6E96">
        <w:tc>
          <w:tcPr>
            <w:tcW w:w="1260" w:type="dxa"/>
            <w:tcBorders>
              <w:top w:val="single" w:sz="12" w:space="0" w:color="000000"/>
            </w:tcBorders>
            <w:vAlign w:val="center"/>
          </w:tcPr>
          <w:p w:rsidR="00165F20" w:rsidRDefault="00165F20" w:rsidP="00587B08">
            <w:pPr>
              <w:rPr>
                <w:rFonts w:asciiTheme="majorHAnsi" w:hAnsiTheme="majorHAnsi"/>
                <w:sz w:val="20"/>
              </w:rPr>
            </w:pPr>
            <w:r>
              <w:rPr>
                <w:rFonts w:asciiTheme="majorHAnsi" w:hAnsiTheme="majorHAnsi"/>
                <w:sz w:val="20"/>
              </w:rPr>
              <w:t>Public Health Laboratory Directors or their designees</w:t>
            </w:r>
          </w:p>
        </w:tc>
        <w:tc>
          <w:tcPr>
            <w:tcW w:w="1170" w:type="dxa"/>
            <w:tcBorders>
              <w:top w:val="single" w:sz="12" w:space="0" w:color="000000"/>
            </w:tcBorders>
            <w:vAlign w:val="center"/>
          </w:tcPr>
          <w:p w:rsidR="00165F20" w:rsidRPr="00525D54" w:rsidRDefault="00165F20" w:rsidP="00587B08">
            <w:pPr>
              <w:rPr>
                <w:rFonts w:asciiTheme="majorHAnsi" w:hAnsiTheme="majorHAnsi"/>
                <w:sz w:val="18"/>
                <w:szCs w:val="18"/>
              </w:rPr>
            </w:pPr>
            <w:r w:rsidRPr="00525D54">
              <w:rPr>
                <w:rFonts w:asciiTheme="majorHAnsi" w:hAnsiTheme="majorHAnsi"/>
                <w:sz w:val="18"/>
                <w:szCs w:val="18"/>
              </w:rPr>
              <w:t>Data Collection Form</w:t>
            </w:r>
          </w:p>
        </w:tc>
        <w:tc>
          <w:tcPr>
            <w:tcW w:w="1260" w:type="dxa"/>
            <w:tcBorders>
              <w:top w:val="single" w:sz="12" w:space="0" w:color="000000"/>
            </w:tcBorders>
            <w:vAlign w:val="center"/>
          </w:tcPr>
          <w:p w:rsidR="00165F20" w:rsidRPr="00525D54" w:rsidRDefault="00165F20" w:rsidP="00587B08">
            <w:pPr>
              <w:jc w:val="center"/>
              <w:rPr>
                <w:rFonts w:asciiTheme="majorHAnsi" w:hAnsiTheme="majorHAnsi"/>
                <w:sz w:val="18"/>
                <w:szCs w:val="18"/>
              </w:rPr>
            </w:pPr>
            <w:r w:rsidRPr="00525D54">
              <w:rPr>
                <w:rFonts w:asciiTheme="majorHAnsi" w:hAnsiTheme="majorHAnsi"/>
                <w:sz w:val="18"/>
                <w:szCs w:val="18"/>
              </w:rPr>
              <w:t>43</w:t>
            </w:r>
          </w:p>
        </w:tc>
        <w:tc>
          <w:tcPr>
            <w:tcW w:w="1260" w:type="dxa"/>
            <w:tcBorders>
              <w:top w:val="single" w:sz="12" w:space="0" w:color="000000"/>
            </w:tcBorders>
            <w:vAlign w:val="center"/>
          </w:tcPr>
          <w:p w:rsidR="00165F20" w:rsidRPr="00525D54" w:rsidRDefault="00165F20" w:rsidP="00587B08">
            <w:pPr>
              <w:jc w:val="center"/>
              <w:rPr>
                <w:rFonts w:asciiTheme="majorHAnsi" w:hAnsiTheme="majorHAnsi"/>
                <w:sz w:val="18"/>
                <w:szCs w:val="18"/>
              </w:rPr>
            </w:pPr>
            <w:r w:rsidRPr="00525D54">
              <w:rPr>
                <w:rFonts w:asciiTheme="majorHAnsi" w:hAnsiTheme="majorHAnsi"/>
                <w:sz w:val="18"/>
                <w:szCs w:val="18"/>
              </w:rPr>
              <w:t>7</w:t>
            </w:r>
          </w:p>
        </w:tc>
        <w:tc>
          <w:tcPr>
            <w:tcW w:w="1350" w:type="dxa"/>
            <w:tcBorders>
              <w:top w:val="single" w:sz="12" w:space="0" w:color="000000"/>
            </w:tcBorders>
            <w:vAlign w:val="center"/>
          </w:tcPr>
          <w:p w:rsidR="00165F20" w:rsidRPr="00525D54" w:rsidRDefault="00165F20" w:rsidP="00587B08">
            <w:pPr>
              <w:jc w:val="center"/>
              <w:rPr>
                <w:rFonts w:asciiTheme="majorHAnsi" w:hAnsiTheme="majorHAnsi"/>
                <w:sz w:val="18"/>
                <w:szCs w:val="18"/>
              </w:rPr>
            </w:pPr>
            <w:r w:rsidRPr="00525D54">
              <w:rPr>
                <w:rFonts w:asciiTheme="majorHAnsi" w:hAnsiTheme="majorHAnsi"/>
                <w:sz w:val="18"/>
                <w:szCs w:val="18"/>
              </w:rPr>
              <w:t>10/60</w:t>
            </w:r>
          </w:p>
        </w:tc>
        <w:tc>
          <w:tcPr>
            <w:tcW w:w="1080" w:type="dxa"/>
            <w:tcBorders>
              <w:top w:val="single" w:sz="12" w:space="0" w:color="000000"/>
            </w:tcBorders>
            <w:vAlign w:val="center"/>
          </w:tcPr>
          <w:p w:rsidR="00165F20" w:rsidRPr="00525D54" w:rsidRDefault="00165F20" w:rsidP="00587B08">
            <w:pPr>
              <w:jc w:val="center"/>
              <w:rPr>
                <w:rFonts w:asciiTheme="majorHAnsi" w:hAnsiTheme="majorHAnsi"/>
                <w:sz w:val="18"/>
                <w:szCs w:val="18"/>
              </w:rPr>
            </w:pPr>
            <w:r w:rsidRPr="00525D54">
              <w:rPr>
                <w:rFonts w:asciiTheme="majorHAnsi" w:hAnsiTheme="majorHAnsi"/>
                <w:sz w:val="18"/>
                <w:szCs w:val="18"/>
              </w:rPr>
              <w:t>50</w:t>
            </w:r>
          </w:p>
        </w:tc>
        <w:tc>
          <w:tcPr>
            <w:tcW w:w="810" w:type="dxa"/>
            <w:tcBorders>
              <w:top w:val="single" w:sz="12" w:space="0" w:color="000000"/>
            </w:tcBorders>
            <w:vAlign w:val="center"/>
          </w:tcPr>
          <w:p w:rsidR="00165F20" w:rsidRPr="00525D54" w:rsidRDefault="00165F20" w:rsidP="00587B08">
            <w:pPr>
              <w:jc w:val="center"/>
              <w:rPr>
                <w:rFonts w:asciiTheme="majorHAnsi" w:hAnsiTheme="majorHAnsi"/>
                <w:sz w:val="18"/>
                <w:szCs w:val="18"/>
              </w:rPr>
            </w:pPr>
            <w:r w:rsidRPr="00525D54">
              <w:rPr>
                <w:rFonts w:asciiTheme="majorHAnsi" w:hAnsiTheme="majorHAnsi"/>
                <w:sz w:val="18"/>
                <w:szCs w:val="18"/>
              </w:rPr>
              <w:t>$57.11</w:t>
            </w:r>
          </w:p>
        </w:tc>
        <w:tc>
          <w:tcPr>
            <w:tcW w:w="1368" w:type="dxa"/>
            <w:tcBorders>
              <w:top w:val="single" w:sz="12" w:space="0" w:color="000000"/>
            </w:tcBorders>
            <w:vAlign w:val="center"/>
          </w:tcPr>
          <w:p w:rsidR="00165F20" w:rsidRPr="00525D54" w:rsidRDefault="00525D54" w:rsidP="00587B08">
            <w:pPr>
              <w:jc w:val="right"/>
              <w:rPr>
                <w:rFonts w:asciiTheme="majorHAnsi" w:hAnsiTheme="majorHAnsi"/>
                <w:sz w:val="18"/>
                <w:szCs w:val="18"/>
              </w:rPr>
            </w:pPr>
            <w:r w:rsidRPr="00525D54">
              <w:rPr>
                <w:rFonts w:asciiTheme="majorHAnsi" w:hAnsiTheme="majorHAnsi"/>
                <w:sz w:val="18"/>
                <w:szCs w:val="18"/>
              </w:rPr>
              <w:t>$</w:t>
            </w:r>
            <w:r w:rsidR="00165F20" w:rsidRPr="00525D54">
              <w:rPr>
                <w:rFonts w:asciiTheme="majorHAnsi" w:hAnsiTheme="majorHAnsi"/>
                <w:sz w:val="18"/>
                <w:szCs w:val="18"/>
              </w:rPr>
              <w:t>2</w:t>
            </w:r>
            <w:r w:rsidRPr="00525D54">
              <w:rPr>
                <w:rFonts w:asciiTheme="majorHAnsi" w:hAnsiTheme="majorHAnsi"/>
                <w:sz w:val="18"/>
                <w:szCs w:val="18"/>
              </w:rPr>
              <w:t>,</w:t>
            </w:r>
            <w:r w:rsidR="00165F20" w:rsidRPr="00525D54">
              <w:rPr>
                <w:rFonts w:asciiTheme="majorHAnsi" w:hAnsiTheme="majorHAnsi"/>
                <w:sz w:val="18"/>
                <w:szCs w:val="18"/>
              </w:rPr>
              <w:t>885.50</w:t>
            </w:r>
          </w:p>
        </w:tc>
      </w:tr>
      <w:tr w:rsidR="00165F20" w:rsidRPr="007D6E96" w:rsidTr="007D6E96">
        <w:trPr>
          <w:trHeight w:hRule="exact" w:val="432"/>
        </w:trPr>
        <w:tc>
          <w:tcPr>
            <w:tcW w:w="2430" w:type="dxa"/>
            <w:gridSpan w:val="2"/>
            <w:vAlign w:val="center"/>
          </w:tcPr>
          <w:p w:rsidR="006165D7" w:rsidRPr="00525D54" w:rsidRDefault="006165D7" w:rsidP="00587B08">
            <w:pPr>
              <w:spacing w:after="0"/>
              <w:jc w:val="right"/>
              <w:rPr>
                <w:rFonts w:asciiTheme="majorHAnsi" w:hAnsiTheme="majorHAnsi"/>
                <w:b/>
                <w:sz w:val="18"/>
                <w:szCs w:val="18"/>
              </w:rPr>
            </w:pPr>
            <w:r w:rsidRPr="00525D54">
              <w:rPr>
                <w:rFonts w:asciiTheme="majorHAnsi" w:hAnsiTheme="majorHAnsi"/>
                <w:b/>
                <w:sz w:val="18"/>
                <w:szCs w:val="18"/>
              </w:rPr>
              <w:t>TOTALS</w:t>
            </w:r>
          </w:p>
        </w:tc>
        <w:tc>
          <w:tcPr>
            <w:tcW w:w="1260" w:type="dxa"/>
            <w:vAlign w:val="center"/>
          </w:tcPr>
          <w:p w:rsidR="006165D7" w:rsidRPr="00525D54" w:rsidRDefault="00525D54" w:rsidP="00587B08">
            <w:pPr>
              <w:spacing w:after="0"/>
              <w:jc w:val="center"/>
              <w:rPr>
                <w:rFonts w:asciiTheme="majorHAnsi" w:hAnsiTheme="majorHAnsi"/>
                <w:b/>
                <w:sz w:val="18"/>
                <w:szCs w:val="18"/>
              </w:rPr>
            </w:pPr>
            <w:r w:rsidRPr="00525D54">
              <w:rPr>
                <w:rFonts w:asciiTheme="majorHAnsi" w:hAnsiTheme="majorHAnsi"/>
                <w:b/>
                <w:sz w:val="18"/>
                <w:szCs w:val="18"/>
              </w:rPr>
              <w:t>43</w:t>
            </w:r>
          </w:p>
        </w:tc>
        <w:tc>
          <w:tcPr>
            <w:tcW w:w="1260" w:type="dxa"/>
            <w:shd w:val="clear" w:color="auto" w:fill="auto"/>
            <w:vAlign w:val="center"/>
          </w:tcPr>
          <w:p w:rsidR="006165D7" w:rsidRPr="00525D54" w:rsidRDefault="0054578C" w:rsidP="00587B08">
            <w:pPr>
              <w:spacing w:after="0"/>
              <w:jc w:val="center"/>
              <w:rPr>
                <w:rFonts w:asciiTheme="majorHAnsi" w:hAnsiTheme="majorHAnsi"/>
                <w:b/>
                <w:sz w:val="18"/>
                <w:szCs w:val="18"/>
              </w:rPr>
            </w:pPr>
            <w:r w:rsidRPr="00525D54">
              <w:rPr>
                <w:rFonts w:asciiTheme="majorHAnsi" w:hAnsiTheme="majorHAnsi"/>
                <w:b/>
                <w:sz w:val="18"/>
                <w:szCs w:val="18"/>
              </w:rPr>
              <w:t>8</w:t>
            </w:r>
          </w:p>
        </w:tc>
        <w:tc>
          <w:tcPr>
            <w:tcW w:w="1350" w:type="dxa"/>
            <w:shd w:val="clear" w:color="auto" w:fill="D9D9D9" w:themeFill="background1" w:themeFillShade="D9"/>
            <w:vAlign w:val="center"/>
          </w:tcPr>
          <w:p w:rsidR="006165D7" w:rsidRPr="00525D54" w:rsidRDefault="006165D7" w:rsidP="00587B08">
            <w:pPr>
              <w:spacing w:after="0"/>
              <w:jc w:val="center"/>
              <w:rPr>
                <w:rFonts w:asciiTheme="majorHAnsi" w:hAnsiTheme="majorHAnsi"/>
                <w:b/>
                <w:sz w:val="18"/>
                <w:szCs w:val="18"/>
              </w:rPr>
            </w:pPr>
          </w:p>
        </w:tc>
        <w:tc>
          <w:tcPr>
            <w:tcW w:w="1080" w:type="dxa"/>
            <w:vAlign w:val="center"/>
          </w:tcPr>
          <w:p w:rsidR="006165D7" w:rsidRPr="00525D54" w:rsidRDefault="007D6E96" w:rsidP="002E03EF">
            <w:pPr>
              <w:spacing w:after="0"/>
              <w:jc w:val="center"/>
              <w:rPr>
                <w:rFonts w:asciiTheme="majorHAnsi" w:hAnsiTheme="majorHAnsi"/>
                <w:b/>
                <w:sz w:val="18"/>
                <w:szCs w:val="18"/>
              </w:rPr>
            </w:pPr>
            <w:r w:rsidRPr="00525D54">
              <w:rPr>
                <w:rFonts w:asciiTheme="majorHAnsi" w:hAnsiTheme="majorHAnsi"/>
                <w:b/>
                <w:sz w:val="18"/>
                <w:szCs w:val="18"/>
              </w:rPr>
              <w:t>6</w:t>
            </w:r>
            <w:r w:rsidR="002E03EF">
              <w:rPr>
                <w:rFonts w:asciiTheme="majorHAnsi" w:hAnsiTheme="majorHAnsi"/>
                <w:b/>
                <w:sz w:val="18"/>
                <w:szCs w:val="18"/>
              </w:rPr>
              <w:t>1</w:t>
            </w:r>
          </w:p>
        </w:tc>
        <w:tc>
          <w:tcPr>
            <w:tcW w:w="810" w:type="dxa"/>
            <w:shd w:val="clear" w:color="auto" w:fill="D9D9D9" w:themeFill="background1" w:themeFillShade="D9"/>
            <w:vAlign w:val="center"/>
          </w:tcPr>
          <w:p w:rsidR="006165D7" w:rsidRPr="00525D54" w:rsidRDefault="006165D7" w:rsidP="00587B08">
            <w:pPr>
              <w:spacing w:after="0"/>
              <w:jc w:val="center"/>
              <w:rPr>
                <w:rFonts w:asciiTheme="majorHAnsi" w:hAnsiTheme="majorHAnsi"/>
                <w:b/>
                <w:sz w:val="18"/>
                <w:szCs w:val="18"/>
              </w:rPr>
            </w:pPr>
          </w:p>
        </w:tc>
        <w:tc>
          <w:tcPr>
            <w:tcW w:w="1368" w:type="dxa"/>
            <w:vAlign w:val="center"/>
          </w:tcPr>
          <w:p w:rsidR="006165D7" w:rsidRPr="00525D54" w:rsidRDefault="00525D54" w:rsidP="00587B08">
            <w:pPr>
              <w:spacing w:after="0"/>
              <w:jc w:val="right"/>
              <w:rPr>
                <w:rFonts w:asciiTheme="majorHAnsi" w:hAnsiTheme="majorHAnsi"/>
                <w:b/>
                <w:sz w:val="18"/>
                <w:szCs w:val="18"/>
              </w:rPr>
            </w:pPr>
            <w:r w:rsidRPr="00525D54">
              <w:rPr>
                <w:rFonts w:asciiTheme="majorHAnsi" w:hAnsiTheme="majorHAnsi"/>
                <w:b/>
                <w:sz w:val="18"/>
                <w:szCs w:val="18"/>
              </w:rPr>
              <w:t>$3,513.71</w:t>
            </w:r>
          </w:p>
        </w:tc>
      </w:tr>
    </w:tbl>
    <w:p w:rsidR="006165D7" w:rsidRDefault="006165D7" w:rsidP="006165D7">
      <w:pPr>
        <w:pStyle w:val="ListParagraph"/>
        <w:autoSpaceDE w:val="0"/>
        <w:autoSpaceDN w:val="0"/>
        <w:adjustRightInd w:val="0"/>
        <w:ind w:left="0" w:right="720"/>
        <w:rPr>
          <w:rFonts w:asciiTheme="majorHAnsi" w:hAnsiTheme="majorHAnsi"/>
          <w:b/>
          <w:u w:val="single"/>
        </w:rPr>
      </w:pPr>
    </w:p>
    <w:p w:rsidR="006165D7" w:rsidRDefault="006165D7" w:rsidP="006165D7">
      <w:pPr>
        <w:pStyle w:val="ListParagraph"/>
        <w:autoSpaceDE w:val="0"/>
        <w:autoSpaceDN w:val="0"/>
        <w:adjustRightInd w:val="0"/>
        <w:ind w:right="720"/>
        <w:rPr>
          <w:rFonts w:asciiTheme="majorHAnsi" w:hAnsiTheme="majorHAnsi"/>
          <w:u w:val="single"/>
        </w:rPr>
      </w:pPr>
    </w:p>
    <w:p w:rsidR="006165D7" w:rsidRPr="003C31C9" w:rsidRDefault="006165D7" w:rsidP="006165D7">
      <w:pPr>
        <w:pStyle w:val="ListParagraph"/>
        <w:numPr>
          <w:ilvl w:val="0"/>
          <w:numId w:val="1"/>
        </w:numPr>
        <w:spacing w:after="0"/>
        <w:rPr>
          <w:rFonts w:asciiTheme="majorHAnsi" w:hAnsiTheme="majorHAnsi"/>
          <w:b/>
        </w:rPr>
      </w:pPr>
      <w:r w:rsidRPr="003C31C9">
        <w:rPr>
          <w:rFonts w:asciiTheme="majorHAnsi" w:hAnsiTheme="majorHAnsi"/>
          <w:b/>
        </w:rPr>
        <w:t>Estimates of Other Total Annual Cost Burden to Respondents and Record Keepers</w:t>
      </w:r>
    </w:p>
    <w:p w:rsidR="006165D7" w:rsidRDefault="006165D7" w:rsidP="006165D7">
      <w:pPr>
        <w:pStyle w:val="CM89"/>
        <w:spacing w:line="228" w:lineRule="atLeast"/>
        <w:ind w:left="72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participate in each survey.</w:t>
      </w:r>
    </w:p>
    <w:p w:rsidR="006165D7" w:rsidRPr="00911486" w:rsidRDefault="006165D7" w:rsidP="006165D7">
      <w:pPr>
        <w:pStyle w:val="Default"/>
        <w:ind w:left="720"/>
      </w:pPr>
    </w:p>
    <w:p w:rsidR="006165D7" w:rsidRPr="005F3FEF" w:rsidRDefault="006165D7" w:rsidP="006165D7">
      <w:pPr>
        <w:pStyle w:val="ListParagraph"/>
        <w:numPr>
          <w:ilvl w:val="0"/>
          <w:numId w:val="1"/>
        </w:numPr>
        <w:spacing w:after="0"/>
        <w:rPr>
          <w:rFonts w:asciiTheme="majorHAnsi" w:hAnsiTheme="majorHAnsi"/>
          <w:b/>
        </w:rPr>
      </w:pPr>
      <w:r w:rsidRPr="005F3FEF">
        <w:rPr>
          <w:rFonts w:asciiTheme="majorHAnsi" w:hAnsiTheme="majorHAnsi"/>
          <w:b/>
        </w:rPr>
        <w:t>Annualized Cost to the Federal Government</w:t>
      </w:r>
    </w:p>
    <w:p w:rsidR="006165D7" w:rsidRPr="008E0683" w:rsidRDefault="006165D7" w:rsidP="006165D7">
      <w:pPr>
        <w:pStyle w:val="ListParagraph"/>
        <w:autoSpaceDE w:val="0"/>
        <w:autoSpaceDN w:val="0"/>
        <w:adjustRightInd w:val="0"/>
        <w:ind w:right="720"/>
        <w:rPr>
          <w:rFonts w:asciiTheme="majorHAnsi" w:hAnsiTheme="majorHAnsi"/>
        </w:rPr>
      </w:pPr>
      <w:r w:rsidRPr="008E0683">
        <w:rPr>
          <w:rFonts w:asciiTheme="majorHAnsi" w:hAnsiTheme="majorHAnsi"/>
        </w:rPr>
        <w:t xml:space="preserve">There are no equipment or overhead costs.  </w:t>
      </w:r>
      <w:r>
        <w:rPr>
          <w:rFonts w:asciiTheme="majorHAnsi" w:hAnsiTheme="majorHAnsi"/>
        </w:rPr>
        <w:t xml:space="preserve">Contractors are not being used to support this data collection. </w:t>
      </w:r>
      <w:r w:rsidRPr="008E0683">
        <w:rPr>
          <w:rFonts w:asciiTheme="majorHAnsi" w:hAnsiTheme="majorHAnsi"/>
        </w:rPr>
        <w:t>The only cost to the federal government would be the salary of CDC staff supporting the data collection activities and associated tasks.</w:t>
      </w:r>
    </w:p>
    <w:p w:rsidR="006165D7" w:rsidRPr="008E0683" w:rsidRDefault="006165D7" w:rsidP="006165D7">
      <w:pPr>
        <w:pStyle w:val="ListParagraph"/>
        <w:autoSpaceDE w:val="0"/>
        <w:autoSpaceDN w:val="0"/>
        <w:adjustRightInd w:val="0"/>
        <w:ind w:right="720"/>
        <w:rPr>
          <w:rFonts w:asciiTheme="majorHAnsi" w:hAnsiTheme="majorHAnsi"/>
        </w:rPr>
      </w:pPr>
    </w:p>
    <w:p w:rsidR="006165D7" w:rsidRDefault="006165D7" w:rsidP="006165D7">
      <w:pPr>
        <w:pStyle w:val="ListParagraph"/>
        <w:autoSpaceDE w:val="0"/>
        <w:autoSpaceDN w:val="0"/>
        <w:adjustRightInd w:val="0"/>
        <w:ind w:right="720"/>
        <w:rPr>
          <w:rFonts w:asciiTheme="majorHAnsi" w:hAnsiTheme="majorHAnsi"/>
        </w:rPr>
      </w:pPr>
      <w:r>
        <w:rPr>
          <w:rFonts w:asciiTheme="majorHAnsi" w:hAnsiTheme="majorHAnsi"/>
          <w:color w:val="000000"/>
        </w:rPr>
        <w:t>The lead staff from the LB for this project consists of a Microbiologist and Team Leaders from the Laboratory Capacity and Reference Teams.  The lead staff will collect the data; code, enter, and prepare the data for analysis; conduct data analyse</w:t>
      </w:r>
      <w:r w:rsidRPr="004841F1">
        <w:rPr>
          <w:rFonts w:asciiTheme="majorHAnsi" w:hAnsiTheme="majorHAnsi"/>
          <w:color w:val="000000"/>
        </w:rPr>
        <w:t>s and prepare the evaluation report</w:t>
      </w:r>
      <w:r>
        <w:rPr>
          <w:rFonts w:asciiTheme="majorHAnsi" w:hAnsiTheme="majorHAnsi"/>
          <w:color w:val="000000"/>
        </w:rPr>
        <w:t xml:space="preserve">. Hourly rates of $43.70 for GS-13 (step 3), $51.81 for GS-14 (step 3) and $72.37 for GS-15(step 10) </w:t>
      </w:r>
      <w:r w:rsidRPr="006C4DA7">
        <w:rPr>
          <w:rFonts w:asciiTheme="majorHAnsi" w:hAnsiTheme="majorHAnsi"/>
          <w:color w:val="000000"/>
        </w:rPr>
        <w:t xml:space="preserve">were used to estimate staff costs. </w:t>
      </w:r>
      <w:r w:rsidRPr="006C4DA7">
        <w:rPr>
          <w:rFonts w:asciiTheme="majorHAnsi" w:hAnsiTheme="majorHAnsi"/>
        </w:rPr>
        <w:t>The estimated cost to the federal government is $18,248.80.  Table</w:t>
      </w:r>
      <w:r w:rsidRPr="008261AB">
        <w:rPr>
          <w:rFonts w:asciiTheme="majorHAnsi" w:hAnsiTheme="majorHAnsi"/>
        </w:rPr>
        <w:t xml:space="preserve"> A-14</w:t>
      </w:r>
      <w:r w:rsidRPr="00344F07">
        <w:rPr>
          <w:rFonts w:asciiTheme="majorHAnsi" w:hAnsiTheme="majorHAnsi"/>
        </w:rPr>
        <w:t xml:space="preserve"> describes how this cost estimate was calculated.</w:t>
      </w:r>
    </w:p>
    <w:p w:rsidR="006165D7" w:rsidRDefault="006165D7" w:rsidP="006165D7">
      <w:pPr>
        <w:pStyle w:val="ListParagraph"/>
        <w:autoSpaceDE w:val="0"/>
        <w:autoSpaceDN w:val="0"/>
        <w:adjustRightInd w:val="0"/>
        <w:ind w:right="720"/>
        <w:rPr>
          <w:rFonts w:asciiTheme="majorHAnsi" w:hAnsiTheme="majorHAnsi"/>
        </w:rPr>
      </w:pPr>
    </w:p>
    <w:p w:rsidR="006165D7" w:rsidRDefault="006165D7" w:rsidP="006165D7">
      <w:pPr>
        <w:pStyle w:val="ListParagraph"/>
        <w:autoSpaceDE w:val="0"/>
        <w:autoSpaceDN w:val="0"/>
        <w:adjustRightInd w:val="0"/>
        <w:ind w:right="720"/>
        <w:rPr>
          <w:rFonts w:asciiTheme="majorHAnsi" w:hAnsiTheme="majorHAnsi"/>
        </w:rPr>
      </w:pPr>
    </w:p>
    <w:p w:rsidR="00525D54" w:rsidRDefault="00525D54" w:rsidP="006165D7">
      <w:pPr>
        <w:pStyle w:val="ListParagraph"/>
        <w:autoSpaceDE w:val="0"/>
        <w:autoSpaceDN w:val="0"/>
        <w:adjustRightInd w:val="0"/>
        <w:ind w:right="720"/>
        <w:rPr>
          <w:rFonts w:asciiTheme="majorHAnsi" w:hAnsiTheme="majorHAnsi"/>
        </w:rPr>
      </w:pPr>
    </w:p>
    <w:p w:rsidR="00525D54" w:rsidRDefault="00525D54" w:rsidP="006165D7">
      <w:pPr>
        <w:pStyle w:val="ListParagraph"/>
        <w:autoSpaceDE w:val="0"/>
        <w:autoSpaceDN w:val="0"/>
        <w:adjustRightInd w:val="0"/>
        <w:ind w:right="720"/>
        <w:rPr>
          <w:rFonts w:asciiTheme="majorHAnsi" w:hAnsiTheme="majorHAnsi"/>
        </w:rPr>
      </w:pPr>
    </w:p>
    <w:p w:rsidR="00525D54" w:rsidRDefault="00525D54" w:rsidP="006165D7">
      <w:pPr>
        <w:pStyle w:val="ListParagraph"/>
        <w:autoSpaceDE w:val="0"/>
        <w:autoSpaceDN w:val="0"/>
        <w:adjustRightInd w:val="0"/>
        <w:ind w:right="720"/>
        <w:rPr>
          <w:rFonts w:asciiTheme="majorHAnsi" w:hAnsiTheme="majorHAnsi"/>
        </w:rPr>
      </w:pPr>
    </w:p>
    <w:p w:rsidR="00525D54" w:rsidRDefault="00525D54" w:rsidP="006165D7">
      <w:pPr>
        <w:spacing w:after="0"/>
        <w:rPr>
          <w:rFonts w:asciiTheme="majorHAnsi" w:hAnsiTheme="majorHAnsi"/>
          <w:b/>
          <w:u w:val="single"/>
        </w:rPr>
      </w:pPr>
    </w:p>
    <w:p w:rsidR="006165D7" w:rsidRDefault="007D6E96" w:rsidP="006165D7">
      <w:pPr>
        <w:spacing w:after="0"/>
        <w:rPr>
          <w:rFonts w:asciiTheme="majorHAnsi" w:hAnsiTheme="majorHAnsi"/>
        </w:rPr>
      </w:pPr>
      <w:r>
        <w:rPr>
          <w:rFonts w:asciiTheme="majorHAnsi" w:hAnsiTheme="majorHAnsi"/>
          <w:b/>
          <w:u w:val="single"/>
        </w:rPr>
        <w:t>T</w:t>
      </w:r>
      <w:r w:rsidR="006165D7" w:rsidRPr="00241B17">
        <w:rPr>
          <w:rFonts w:asciiTheme="majorHAnsi" w:hAnsiTheme="majorHAnsi"/>
          <w:b/>
          <w:u w:val="single"/>
        </w:rPr>
        <w:t>able A-1</w:t>
      </w:r>
      <w:r>
        <w:rPr>
          <w:rFonts w:asciiTheme="majorHAnsi" w:hAnsiTheme="majorHAnsi"/>
          <w:b/>
          <w:u w:val="single"/>
        </w:rPr>
        <w:t>4</w:t>
      </w:r>
      <w:r w:rsidR="006165D7" w:rsidRPr="00241B17">
        <w:rPr>
          <w:rFonts w:asciiTheme="majorHAnsi" w:hAnsiTheme="majorHAnsi"/>
          <w:b/>
        </w:rPr>
        <w:t>:</w:t>
      </w:r>
      <w:r w:rsidR="006165D7" w:rsidRPr="008E0683">
        <w:rPr>
          <w:rFonts w:asciiTheme="majorHAnsi" w:hAnsiTheme="majorHAnsi"/>
        </w:rPr>
        <w:t xml:space="preserve"> Estimated Annualized Cost to the Federal Government</w:t>
      </w:r>
    </w:p>
    <w:p w:rsidR="006165D7" w:rsidRDefault="006165D7" w:rsidP="006165D7">
      <w:pPr>
        <w:spacing w:after="0"/>
        <w:rPr>
          <w:rFonts w:asciiTheme="majorHAnsi" w:hAnsiTheme="majorHAnsi"/>
        </w:rPr>
      </w:pPr>
    </w:p>
    <w:tbl>
      <w:tblPr>
        <w:tblStyle w:val="TableGrid"/>
        <w:tblW w:w="0" w:type="auto"/>
        <w:tblLook w:val="04A0" w:firstRow="1" w:lastRow="0" w:firstColumn="1" w:lastColumn="0" w:noHBand="0" w:noVBand="1"/>
      </w:tblPr>
      <w:tblGrid>
        <w:gridCol w:w="4518"/>
        <w:gridCol w:w="1980"/>
        <w:gridCol w:w="1620"/>
        <w:gridCol w:w="1458"/>
      </w:tblGrid>
      <w:tr w:rsidR="006165D7" w:rsidRPr="004841F1" w:rsidTr="00587B08">
        <w:trPr>
          <w:trHeight w:val="593"/>
        </w:trPr>
        <w:tc>
          <w:tcPr>
            <w:tcW w:w="4518" w:type="dxa"/>
            <w:tcBorders>
              <w:bottom w:val="single" w:sz="12" w:space="0" w:color="auto"/>
            </w:tcBorders>
            <w:shd w:val="clear" w:color="auto" w:fill="D9D9D9" w:themeFill="background1" w:themeFillShade="D9"/>
            <w:vAlign w:val="center"/>
          </w:tcPr>
          <w:p w:rsidR="006165D7" w:rsidRPr="004841F1" w:rsidRDefault="006165D7" w:rsidP="00587B08">
            <w:pPr>
              <w:jc w:val="center"/>
              <w:rPr>
                <w:rFonts w:asciiTheme="majorHAnsi" w:hAnsiTheme="majorHAnsi"/>
                <w:b/>
                <w:sz w:val="20"/>
              </w:rPr>
            </w:pPr>
            <w:r w:rsidRPr="004841F1">
              <w:rPr>
                <w:rFonts w:asciiTheme="majorHAnsi" w:hAnsiTheme="majorHAnsi"/>
                <w:b/>
                <w:sz w:val="20"/>
              </w:rPr>
              <w:t>Staff (FTE)</w:t>
            </w:r>
          </w:p>
        </w:tc>
        <w:tc>
          <w:tcPr>
            <w:tcW w:w="1980" w:type="dxa"/>
            <w:tcBorders>
              <w:bottom w:val="single" w:sz="12" w:space="0" w:color="auto"/>
            </w:tcBorders>
            <w:shd w:val="clear" w:color="auto" w:fill="D9D9D9" w:themeFill="background1" w:themeFillShade="D9"/>
            <w:vAlign w:val="center"/>
          </w:tcPr>
          <w:p w:rsidR="006165D7" w:rsidRPr="004841F1" w:rsidRDefault="006165D7" w:rsidP="00587B08">
            <w:pPr>
              <w:jc w:val="center"/>
              <w:rPr>
                <w:rFonts w:asciiTheme="majorHAnsi" w:hAnsiTheme="majorHAnsi"/>
                <w:b/>
                <w:sz w:val="20"/>
              </w:rPr>
            </w:pPr>
            <w:r>
              <w:rPr>
                <w:rFonts w:asciiTheme="majorHAnsi" w:hAnsiTheme="majorHAnsi"/>
                <w:b/>
                <w:sz w:val="20"/>
              </w:rPr>
              <w:t>Average Hours per Collection</w:t>
            </w:r>
          </w:p>
        </w:tc>
        <w:tc>
          <w:tcPr>
            <w:tcW w:w="1620" w:type="dxa"/>
            <w:tcBorders>
              <w:bottom w:val="single" w:sz="12" w:space="0" w:color="auto"/>
            </w:tcBorders>
            <w:shd w:val="clear" w:color="auto" w:fill="D9D9D9" w:themeFill="background1" w:themeFillShade="D9"/>
            <w:vAlign w:val="center"/>
          </w:tcPr>
          <w:p w:rsidR="006165D7" w:rsidRPr="004841F1" w:rsidRDefault="006165D7" w:rsidP="00587B08">
            <w:pPr>
              <w:jc w:val="center"/>
              <w:rPr>
                <w:rFonts w:asciiTheme="majorHAnsi" w:hAnsiTheme="majorHAnsi"/>
                <w:b/>
                <w:sz w:val="20"/>
              </w:rPr>
            </w:pPr>
            <w:r>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6165D7" w:rsidRPr="004841F1" w:rsidRDefault="006165D7" w:rsidP="00587B08">
            <w:pPr>
              <w:jc w:val="center"/>
              <w:rPr>
                <w:rFonts w:asciiTheme="majorHAnsi" w:hAnsiTheme="majorHAnsi"/>
                <w:b/>
                <w:sz w:val="20"/>
              </w:rPr>
            </w:pPr>
            <w:r>
              <w:rPr>
                <w:rFonts w:asciiTheme="majorHAnsi" w:hAnsiTheme="majorHAnsi"/>
                <w:b/>
                <w:sz w:val="20"/>
              </w:rPr>
              <w:t>Average Cost</w:t>
            </w:r>
          </w:p>
        </w:tc>
      </w:tr>
      <w:tr w:rsidR="006165D7" w:rsidRPr="004841F1" w:rsidTr="00587B08">
        <w:tc>
          <w:tcPr>
            <w:tcW w:w="4518" w:type="dxa"/>
            <w:tcBorders>
              <w:top w:val="single" w:sz="12" w:space="0" w:color="auto"/>
            </w:tcBorders>
          </w:tcPr>
          <w:p w:rsidR="006165D7" w:rsidRPr="004824FA" w:rsidRDefault="006165D7" w:rsidP="00587B08">
            <w:pPr>
              <w:rPr>
                <w:rFonts w:asciiTheme="majorHAnsi" w:hAnsiTheme="majorHAnsi"/>
                <w:b/>
                <w:sz w:val="20"/>
              </w:rPr>
            </w:pPr>
            <w:r>
              <w:rPr>
                <w:rFonts w:asciiTheme="majorHAnsi" w:hAnsiTheme="majorHAnsi"/>
                <w:b/>
                <w:sz w:val="20"/>
              </w:rPr>
              <w:t>Microbiologist (GS-13)</w:t>
            </w:r>
          </w:p>
          <w:p w:rsidR="006165D7" w:rsidRPr="004841F1" w:rsidRDefault="006165D7" w:rsidP="00587B08">
            <w:pPr>
              <w:rPr>
                <w:rFonts w:asciiTheme="majorHAnsi" w:hAnsiTheme="majorHAnsi"/>
                <w:sz w:val="20"/>
              </w:rPr>
            </w:pPr>
            <w:r>
              <w:rPr>
                <w:rFonts w:asciiTheme="majorHAnsi" w:hAnsiTheme="majorHAnsi"/>
                <w:sz w:val="20"/>
              </w:rPr>
              <w:t>Instrument development, pilot testing, OMB package preparation, data collection, data coding and entry, quality control, data analysis, report preparation</w:t>
            </w:r>
          </w:p>
        </w:tc>
        <w:tc>
          <w:tcPr>
            <w:tcW w:w="1980" w:type="dxa"/>
            <w:tcBorders>
              <w:top w:val="single" w:sz="12" w:space="0" w:color="auto"/>
            </w:tcBorders>
          </w:tcPr>
          <w:p w:rsidR="006165D7" w:rsidRPr="004841F1" w:rsidRDefault="006165D7" w:rsidP="00587B08">
            <w:pPr>
              <w:jc w:val="center"/>
              <w:rPr>
                <w:rFonts w:asciiTheme="majorHAnsi" w:hAnsiTheme="majorHAnsi"/>
                <w:sz w:val="20"/>
              </w:rPr>
            </w:pPr>
            <w:r>
              <w:rPr>
                <w:rFonts w:asciiTheme="majorHAnsi" w:hAnsiTheme="majorHAnsi"/>
                <w:sz w:val="20"/>
              </w:rPr>
              <w:t>780 hours</w:t>
            </w:r>
          </w:p>
        </w:tc>
        <w:tc>
          <w:tcPr>
            <w:tcW w:w="1620" w:type="dxa"/>
            <w:tcBorders>
              <w:top w:val="single" w:sz="12" w:space="0" w:color="auto"/>
            </w:tcBorders>
          </w:tcPr>
          <w:p w:rsidR="006165D7" w:rsidRPr="004841F1" w:rsidRDefault="006165D7" w:rsidP="00587B08">
            <w:pPr>
              <w:jc w:val="center"/>
              <w:rPr>
                <w:rFonts w:asciiTheme="majorHAnsi" w:hAnsiTheme="majorHAnsi"/>
                <w:sz w:val="20"/>
              </w:rPr>
            </w:pPr>
            <w:r>
              <w:rPr>
                <w:rFonts w:asciiTheme="majorHAnsi" w:hAnsiTheme="majorHAnsi"/>
                <w:sz w:val="20"/>
              </w:rPr>
              <w:t>$50.69</w:t>
            </w:r>
          </w:p>
        </w:tc>
        <w:tc>
          <w:tcPr>
            <w:tcW w:w="1458" w:type="dxa"/>
            <w:tcBorders>
              <w:top w:val="single" w:sz="12" w:space="0" w:color="auto"/>
            </w:tcBorders>
          </w:tcPr>
          <w:p w:rsidR="006165D7" w:rsidRPr="004841F1" w:rsidRDefault="006165D7" w:rsidP="00587B08">
            <w:pPr>
              <w:jc w:val="center"/>
              <w:rPr>
                <w:rFonts w:asciiTheme="majorHAnsi" w:hAnsiTheme="majorHAnsi"/>
                <w:sz w:val="20"/>
              </w:rPr>
            </w:pPr>
            <w:r>
              <w:rPr>
                <w:rFonts w:asciiTheme="majorHAnsi" w:hAnsiTheme="majorHAnsi"/>
                <w:sz w:val="20"/>
              </w:rPr>
              <w:t>$39,538.20</w:t>
            </w:r>
          </w:p>
        </w:tc>
      </w:tr>
      <w:tr w:rsidR="006165D7" w:rsidRPr="004841F1" w:rsidTr="00587B08">
        <w:tc>
          <w:tcPr>
            <w:tcW w:w="4518" w:type="dxa"/>
          </w:tcPr>
          <w:p w:rsidR="006165D7" w:rsidRPr="00A72652" w:rsidRDefault="006165D7" w:rsidP="00587B08">
            <w:pPr>
              <w:rPr>
                <w:rFonts w:asciiTheme="majorHAnsi" w:hAnsiTheme="majorHAnsi"/>
                <w:sz w:val="20"/>
              </w:rPr>
            </w:pPr>
            <w:r>
              <w:rPr>
                <w:rFonts w:asciiTheme="majorHAnsi" w:hAnsiTheme="majorHAnsi"/>
                <w:b/>
                <w:sz w:val="20"/>
              </w:rPr>
              <w:t>Microbiologist</w:t>
            </w:r>
            <w:r w:rsidRPr="00A72652">
              <w:rPr>
                <w:rFonts w:asciiTheme="majorHAnsi" w:hAnsiTheme="majorHAnsi"/>
                <w:b/>
                <w:sz w:val="20"/>
              </w:rPr>
              <w:t xml:space="preserve"> (GS-1</w:t>
            </w:r>
            <w:r>
              <w:rPr>
                <w:rFonts w:asciiTheme="majorHAnsi" w:hAnsiTheme="majorHAnsi"/>
                <w:b/>
                <w:sz w:val="20"/>
              </w:rPr>
              <w:t>4</w:t>
            </w:r>
            <w:r w:rsidRPr="00A72652">
              <w:rPr>
                <w:rFonts w:asciiTheme="majorHAnsi" w:hAnsiTheme="majorHAnsi"/>
                <w:b/>
                <w:sz w:val="20"/>
              </w:rPr>
              <w:t>)</w:t>
            </w:r>
            <w:r>
              <w:rPr>
                <w:rFonts w:asciiTheme="majorHAnsi" w:hAnsiTheme="majorHAnsi"/>
                <w:b/>
                <w:sz w:val="20"/>
              </w:rPr>
              <w:t>, Team lead, Laboratory Capacity Team</w:t>
            </w:r>
          </w:p>
          <w:p w:rsidR="006165D7" w:rsidRPr="00A72652" w:rsidRDefault="006165D7" w:rsidP="00587B08">
            <w:pPr>
              <w:rPr>
                <w:rFonts w:asciiTheme="majorHAnsi" w:hAnsiTheme="majorHAnsi"/>
                <w:sz w:val="20"/>
              </w:rPr>
            </w:pPr>
            <w:r>
              <w:rPr>
                <w:rFonts w:asciiTheme="majorHAnsi" w:hAnsiTheme="majorHAnsi"/>
                <w:sz w:val="20"/>
              </w:rPr>
              <w:t>Instrument development, pilot testing, OMB package preparation, report preparation</w:t>
            </w:r>
          </w:p>
        </w:tc>
        <w:tc>
          <w:tcPr>
            <w:tcW w:w="1980" w:type="dxa"/>
          </w:tcPr>
          <w:p w:rsidR="006165D7" w:rsidRPr="00A72652" w:rsidRDefault="006165D7" w:rsidP="00587B08">
            <w:pPr>
              <w:jc w:val="center"/>
              <w:rPr>
                <w:rFonts w:asciiTheme="majorHAnsi" w:hAnsiTheme="majorHAnsi"/>
                <w:sz w:val="20"/>
              </w:rPr>
            </w:pPr>
            <w:r>
              <w:rPr>
                <w:rFonts w:asciiTheme="majorHAnsi" w:hAnsiTheme="majorHAnsi"/>
                <w:sz w:val="20"/>
              </w:rPr>
              <w:t>130</w:t>
            </w:r>
            <w:r w:rsidRPr="00A72652">
              <w:rPr>
                <w:rFonts w:asciiTheme="majorHAnsi" w:hAnsiTheme="majorHAnsi"/>
                <w:sz w:val="20"/>
              </w:rPr>
              <w:t xml:space="preserve"> hours</w:t>
            </w:r>
          </w:p>
        </w:tc>
        <w:tc>
          <w:tcPr>
            <w:tcW w:w="1620" w:type="dxa"/>
          </w:tcPr>
          <w:p w:rsidR="006165D7" w:rsidRPr="00A72652" w:rsidRDefault="006165D7" w:rsidP="00587B08">
            <w:pPr>
              <w:jc w:val="center"/>
              <w:rPr>
                <w:rFonts w:asciiTheme="majorHAnsi" w:hAnsiTheme="majorHAnsi"/>
                <w:sz w:val="20"/>
              </w:rPr>
            </w:pPr>
            <w:r w:rsidRPr="00A72652">
              <w:rPr>
                <w:rFonts w:asciiTheme="majorHAnsi" w:hAnsiTheme="majorHAnsi"/>
                <w:sz w:val="20"/>
              </w:rPr>
              <w:t>$</w:t>
            </w:r>
            <w:r>
              <w:rPr>
                <w:rFonts w:asciiTheme="majorHAnsi" w:hAnsiTheme="majorHAnsi"/>
                <w:sz w:val="20"/>
              </w:rPr>
              <w:t>51.81</w:t>
            </w:r>
          </w:p>
        </w:tc>
        <w:tc>
          <w:tcPr>
            <w:tcW w:w="1458" w:type="dxa"/>
          </w:tcPr>
          <w:p w:rsidR="006165D7" w:rsidRPr="00A72652" w:rsidRDefault="006165D7" w:rsidP="00587B08">
            <w:pPr>
              <w:jc w:val="center"/>
              <w:rPr>
                <w:rFonts w:asciiTheme="majorHAnsi" w:hAnsiTheme="majorHAnsi"/>
                <w:sz w:val="20"/>
              </w:rPr>
            </w:pPr>
            <w:r w:rsidRPr="00A72652">
              <w:rPr>
                <w:rFonts w:asciiTheme="majorHAnsi" w:hAnsiTheme="majorHAnsi"/>
                <w:sz w:val="20"/>
              </w:rPr>
              <w:t>$</w:t>
            </w:r>
            <w:r>
              <w:rPr>
                <w:rFonts w:asciiTheme="majorHAnsi" w:hAnsiTheme="majorHAnsi"/>
                <w:sz w:val="20"/>
              </w:rPr>
              <w:t>6735</w:t>
            </w:r>
            <w:r w:rsidRPr="00A72652">
              <w:rPr>
                <w:rFonts w:asciiTheme="majorHAnsi" w:hAnsiTheme="majorHAnsi"/>
                <w:sz w:val="20"/>
              </w:rPr>
              <w:t>.</w:t>
            </w:r>
            <w:r>
              <w:rPr>
                <w:rFonts w:asciiTheme="majorHAnsi" w:hAnsiTheme="majorHAnsi"/>
                <w:sz w:val="20"/>
              </w:rPr>
              <w:t>3</w:t>
            </w:r>
            <w:r w:rsidRPr="00A72652">
              <w:rPr>
                <w:rFonts w:asciiTheme="majorHAnsi" w:hAnsiTheme="majorHAnsi"/>
                <w:sz w:val="20"/>
              </w:rPr>
              <w:t>0</w:t>
            </w:r>
          </w:p>
        </w:tc>
      </w:tr>
      <w:tr w:rsidR="006165D7" w:rsidRPr="007B305A" w:rsidTr="00587B08">
        <w:tc>
          <w:tcPr>
            <w:tcW w:w="4518" w:type="dxa"/>
          </w:tcPr>
          <w:p w:rsidR="006165D7" w:rsidRPr="007B305A" w:rsidRDefault="006165D7" w:rsidP="00587B08">
            <w:pPr>
              <w:rPr>
                <w:rFonts w:asciiTheme="majorHAnsi" w:hAnsiTheme="majorHAnsi"/>
                <w:b/>
                <w:sz w:val="20"/>
              </w:rPr>
            </w:pPr>
            <w:r>
              <w:rPr>
                <w:rFonts w:asciiTheme="majorHAnsi" w:hAnsiTheme="majorHAnsi"/>
                <w:b/>
                <w:sz w:val="20"/>
              </w:rPr>
              <w:t>Research Microbiologist</w:t>
            </w:r>
            <w:r w:rsidRPr="007B305A">
              <w:rPr>
                <w:rFonts w:asciiTheme="majorHAnsi" w:hAnsiTheme="majorHAnsi"/>
                <w:b/>
                <w:sz w:val="20"/>
              </w:rPr>
              <w:t xml:space="preserve"> (GS-1</w:t>
            </w:r>
            <w:r>
              <w:rPr>
                <w:rFonts w:asciiTheme="majorHAnsi" w:hAnsiTheme="majorHAnsi"/>
                <w:b/>
                <w:sz w:val="20"/>
              </w:rPr>
              <w:t>5</w:t>
            </w:r>
            <w:r w:rsidRPr="007B305A">
              <w:rPr>
                <w:rFonts w:asciiTheme="majorHAnsi" w:hAnsiTheme="majorHAnsi"/>
                <w:b/>
                <w:sz w:val="20"/>
              </w:rPr>
              <w:t>)</w:t>
            </w:r>
          </w:p>
          <w:p w:rsidR="006165D7" w:rsidRPr="007B305A" w:rsidRDefault="006165D7" w:rsidP="00587B08">
            <w:pPr>
              <w:rPr>
                <w:rFonts w:asciiTheme="majorHAnsi" w:hAnsiTheme="majorHAnsi"/>
                <w:sz w:val="20"/>
              </w:rPr>
            </w:pPr>
            <w:r>
              <w:rPr>
                <w:rFonts w:asciiTheme="majorHAnsi" w:hAnsiTheme="majorHAnsi"/>
                <w:sz w:val="20"/>
              </w:rPr>
              <w:t>Consultation, i</w:t>
            </w:r>
            <w:r w:rsidRPr="007B305A">
              <w:rPr>
                <w:rFonts w:asciiTheme="majorHAnsi" w:hAnsiTheme="majorHAnsi"/>
                <w:sz w:val="20"/>
              </w:rPr>
              <w:t>nstrument development</w:t>
            </w:r>
            <w:r>
              <w:rPr>
                <w:rFonts w:asciiTheme="majorHAnsi" w:hAnsiTheme="majorHAnsi"/>
                <w:sz w:val="20"/>
              </w:rPr>
              <w:t>, and report preparation</w:t>
            </w:r>
            <w:r w:rsidRPr="007B305A">
              <w:rPr>
                <w:rFonts w:asciiTheme="majorHAnsi" w:hAnsiTheme="majorHAnsi"/>
                <w:sz w:val="20"/>
              </w:rPr>
              <w:t xml:space="preserve"> consultation</w:t>
            </w:r>
            <w:r>
              <w:rPr>
                <w:rFonts w:asciiTheme="majorHAnsi" w:hAnsiTheme="majorHAnsi"/>
                <w:sz w:val="20"/>
              </w:rPr>
              <w:t>.</w:t>
            </w:r>
          </w:p>
        </w:tc>
        <w:tc>
          <w:tcPr>
            <w:tcW w:w="1980" w:type="dxa"/>
          </w:tcPr>
          <w:p w:rsidR="006165D7" w:rsidRPr="007B305A" w:rsidRDefault="006165D7" w:rsidP="00587B08">
            <w:pPr>
              <w:jc w:val="center"/>
              <w:rPr>
                <w:rFonts w:asciiTheme="majorHAnsi" w:hAnsiTheme="majorHAnsi"/>
                <w:sz w:val="20"/>
              </w:rPr>
            </w:pPr>
            <w:r>
              <w:rPr>
                <w:rFonts w:asciiTheme="majorHAnsi" w:hAnsiTheme="majorHAnsi"/>
                <w:sz w:val="20"/>
              </w:rPr>
              <w:t>52</w:t>
            </w:r>
            <w:r w:rsidRPr="007B305A">
              <w:rPr>
                <w:rFonts w:asciiTheme="majorHAnsi" w:hAnsiTheme="majorHAnsi"/>
                <w:sz w:val="20"/>
              </w:rPr>
              <w:t xml:space="preserve"> hours</w:t>
            </w:r>
          </w:p>
        </w:tc>
        <w:tc>
          <w:tcPr>
            <w:tcW w:w="1620" w:type="dxa"/>
          </w:tcPr>
          <w:p w:rsidR="006165D7" w:rsidRPr="007B305A" w:rsidRDefault="006165D7" w:rsidP="00587B08">
            <w:pPr>
              <w:jc w:val="center"/>
              <w:rPr>
                <w:rFonts w:asciiTheme="majorHAnsi" w:hAnsiTheme="majorHAnsi"/>
                <w:sz w:val="20"/>
              </w:rPr>
            </w:pPr>
            <w:r w:rsidRPr="007B305A">
              <w:rPr>
                <w:rFonts w:asciiTheme="majorHAnsi" w:hAnsiTheme="majorHAnsi"/>
                <w:sz w:val="20"/>
              </w:rPr>
              <w:t>$</w:t>
            </w:r>
            <w:r>
              <w:rPr>
                <w:rFonts w:asciiTheme="majorHAnsi" w:hAnsiTheme="majorHAnsi"/>
                <w:sz w:val="20"/>
              </w:rPr>
              <w:t>72.37</w:t>
            </w:r>
          </w:p>
        </w:tc>
        <w:tc>
          <w:tcPr>
            <w:tcW w:w="1458" w:type="dxa"/>
          </w:tcPr>
          <w:p w:rsidR="006165D7" w:rsidRPr="007B305A" w:rsidRDefault="006165D7" w:rsidP="00587B08">
            <w:pPr>
              <w:jc w:val="center"/>
              <w:rPr>
                <w:rFonts w:asciiTheme="majorHAnsi" w:hAnsiTheme="majorHAnsi"/>
                <w:sz w:val="20"/>
              </w:rPr>
            </w:pPr>
            <w:r w:rsidRPr="007B305A">
              <w:rPr>
                <w:rFonts w:asciiTheme="majorHAnsi" w:hAnsiTheme="majorHAnsi"/>
                <w:sz w:val="20"/>
              </w:rPr>
              <w:t>$</w:t>
            </w:r>
            <w:r>
              <w:rPr>
                <w:rFonts w:asciiTheme="majorHAnsi" w:hAnsiTheme="majorHAnsi"/>
                <w:sz w:val="20"/>
              </w:rPr>
              <w:t>3763.24</w:t>
            </w:r>
          </w:p>
        </w:tc>
      </w:tr>
      <w:tr w:rsidR="006165D7" w:rsidRPr="004841F1" w:rsidTr="00587B08">
        <w:trPr>
          <w:trHeight w:val="332"/>
        </w:trPr>
        <w:tc>
          <w:tcPr>
            <w:tcW w:w="8118" w:type="dxa"/>
            <w:gridSpan w:val="3"/>
            <w:vAlign w:val="center"/>
          </w:tcPr>
          <w:p w:rsidR="006165D7" w:rsidRPr="007B305A" w:rsidRDefault="006165D7" w:rsidP="00587B08">
            <w:pPr>
              <w:jc w:val="right"/>
              <w:rPr>
                <w:rFonts w:asciiTheme="majorHAnsi" w:hAnsiTheme="majorHAnsi"/>
                <w:b/>
                <w:sz w:val="20"/>
              </w:rPr>
            </w:pPr>
            <w:r w:rsidRPr="007B305A">
              <w:rPr>
                <w:rFonts w:asciiTheme="majorHAnsi" w:hAnsiTheme="majorHAnsi"/>
                <w:b/>
                <w:sz w:val="20"/>
              </w:rPr>
              <w:t>Estimated Total Cost of Information Collection</w:t>
            </w:r>
          </w:p>
        </w:tc>
        <w:tc>
          <w:tcPr>
            <w:tcW w:w="1458" w:type="dxa"/>
            <w:vAlign w:val="center"/>
          </w:tcPr>
          <w:p w:rsidR="006165D7" w:rsidRPr="007B305A" w:rsidRDefault="006165D7" w:rsidP="00587B08">
            <w:pPr>
              <w:jc w:val="center"/>
              <w:rPr>
                <w:rFonts w:asciiTheme="majorHAnsi" w:hAnsiTheme="majorHAnsi"/>
                <w:b/>
                <w:sz w:val="20"/>
              </w:rPr>
            </w:pPr>
            <w:r>
              <w:rPr>
                <w:rFonts w:asciiTheme="majorHAnsi" w:hAnsiTheme="majorHAnsi"/>
                <w:b/>
                <w:sz w:val="20"/>
              </w:rPr>
              <w:t>$50,036.74</w:t>
            </w:r>
          </w:p>
        </w:tc>
      </w:tr>
    </w:tbl>
    <w:p w:rsidR="006165D7" w:rsidRDefault="006165D7" w:rsidP="006165D7">
      <w:pPr>
        <w:spacing w:after="0"/>
        <w:rPr>
          <w:rFonts w:asciiTheme="majorHAnsi" w:hAnsiTheme="majorHAnsi"/>
        </w:rPr>
      </w:pPr>
    </w:p>
    <w:p w:rsidR="006165D7" w:rsidRPr="003C7C5D" w:rsidRDefault="006165D7" w:rsidP="006165D7">
      <w:pPr>
        <w:pStyle w:val="ListParagraph"/>
        <w:numPr>
          <w:ilvl w:val="0"/>
          <w:numId w:val="1"/>
        </w:numPr>
        <w:spacing w:after="0"/>
        <w:rPr>
          <w:rFonts w:asciiTheme="majorHAnsi" w:hAnsiTheme="majorHAnsi"/>
          <w:b/>
        </w:rPr>
      </w:pPr>
      <w:r w:rsidRPr="003C7C5D">
        <w:rPr>
          <w:rFonts w:asciiTheme="majorHAnsi" w:hAnsiTheme="majorHAnsi"/>
          <w:b/>
        </w:rPr>
        <w:t>Explanation for Program Changes or Adjustments</w:t>
      </w:r>
    </w:p>
    <w:p w:rsidR="006165D7" w:rsidRDefault="006165D7" w:rsidP="006165D7">
      <w:pPr>
        <w:pStyle w:val="ListParagraph"/>
        <w:spacing w:after="0"/>
        <w:rPr>
          <w:rFonts w:asciiTheme="majorHAnsi" w:hAnsiTheme="majorHAnsi"/>
        </w:rPr>
      </w:pPr>
      <w:r>
        <w:rPr>
          <w:rFonts w:asciiTheme="majorHAnsi" w:hAnsiTheme="majorHAnsi"/>
        </w:rPr>
        <w:t>This is a new data collection.</w:t>
      </w:r>
    </w:p>
    <w:p w:rsidR="006165D7" w:rsidRDefault="006165D7" w:rsidP="006165D7">
      <w:pPr>
        <w:pStyle w:val="ListParagraph"/>
        <w:spacing w:after="0"/>
        <w:rPr>
          <w:rFonts w:asciiTheme="majorHAnsi" w:hAnsiTheme="majorHAnsi"/>
        </w:rPr>
      </w:pPr>
    </w:p>
    <w:p w:rsidR="006165D7" w:rsidRPr="00EF33CD" w:rsidRDefault="006165D7" w:rsidP="006165D7">
      <w:pPr>
        <w:pStyle w:val="ListParagraph"/>
        <w:numPr>
          <w:ilvl w:val="0"/>
          <w:numId w:val="1"/>
        </w:numPr>
        <w:spacing w:after="0"/>
        <w:rPr>
          <w:rFonts w:asciiTheme="majorHAnsi" w:hAnsiTheme="majorHAnsi"/>
          <w:b/>
        </w:rPr>
      </w:pPr>
      <w:r w:rsidRPr="00EF33CD">
        <w:rPr>
          <w:rFonts w:asciiTheme="majorHAnsi" w:hAnsiTheme="majorHAnsi"/>
          <w:b/>
        </w:rPr>
        <w:t>Plans for Tabulation and Publication and Project Time Schedule</w:t>
      </w:r>
    </w:p>
    <w:p w:rsidR="006165D7" w:rsidRDefault="006165D7" w:rsidP="006165D7">
      <w:pPr>
        <w:pStyle w:val="ListParagraph"/>
        <w:spacing w:after="0"/>
        <w:rPr>
          <w:rFonts w:asciiTheme="majorHAnsi" w:hAnsiTheme="majorHAnsi"/>
        </w:rPr>
      </w:pPr>
      <w:r>
        <w:rPr>
          <w:rFonts w:asciiTheme="majorHAnsi" w:hAnsiTheme="majorHAnsi"/>
        </w:rPr>
        <w:t>Results of this data collection will be prepared for publication in a peer-reviewed journal. Concurrently, CDC lead staff will externally communicate results to Health Officials representing PHL.</w:t>
      </w:r>
    </w:p>
    <w:p w:rsidR="006165D7" w:rsidRDefault="006165D7" w:rsidP="006165D7">
      <w:pPr>
        <w:pStyle w:val="ListParagraph"/>
        <w:spacing w:after="0"/>
        <w:rPr>
          <w:rFonts w:asciiTheme="majorHAnsi" w:hAnsiTheme="majorHAnsi"/>
        </w:rPr>
      </w:pPr>
    </w:p>
    <w:p w:rsidR="006165D7" w:rsidRPr="000A71DF" w:rsidRDefault="006165D7" w:rsidP="006165D7">
      <w:pPr>
        <w:spacing w:after="0"/>
        <w:ind w:firstLine="720"/>
        <w:rPr>
          <w:rFonts w:asciiTheme="majorHAnsi" w:hAnsiTheme="majorHAnsi"/>
          <w:sz w:val="24"/>
          <w:u w:val="single"/>
        </w:rPr>
      </w:pPr>
      <w:r>
        <w:rPr>
          <w:rFonts w:asciiTheme="majorHAnsi" w:hAnsiTheme="majorHAnsi"/>
          <w:sz w:val="24"/>
          <w:u w:val="single"/>
        </w:rPr>
        <w:t>Project Time Schedule</w:t>
      </w:r>
    </w:p>
    <w:p w:rsidR="006165D7" w:rsidRPr="000A71DF" w:rsidRDefault="006165D7" w:rsidP="006165D7">
      <w:pPr>
        <w:pStyle w:val="ListParagraph"/>
        <w:numPr>
          <w:ilvl w:val="0"/>
          <w:numId w:val="5"/>
        </w:numPr>
        <w:tabs>
          <w:tab w:val="right" w:leader="dot" w:pos="9360"/>
        </w:tabs>
        <w:spacing w:after="0"/>
        <w:ind w:left="1440"/>
        <w:rPr>
          <w:rFonts w:asciiTheme="majorHAnsi" w:hAnsiTheme="majorHAnsi"/>
        </w:rPr>
      </w:pPr>
      <w:r w:rsidRPr="000A71DF">
        <w:rPr>
          <w:rFonts w:asciiTheme="majorHAnsi" w:hAnsiTheme="majorHAnsi"/>
        </w:rPr>
        <w:t>Design survey questionnaire</w:t>
      </w:r>
      <w:r w:rsidRPr="000A71DF">
        <w:rPr>
          <w:rFonts w:asciiTheme="majorHAnsi" w:hAnsiTheme="majorHAnsi"/>
        </w:rPr>
        <w:tab/>
        <w:t>(COMPLETE)</w:t>
      </w:r>
    </w:p>
    <w:p w:rsidR="006165D7" w:rsidRPr="000A71DF" w:rsidRDefault="006165D7" w:rsidP="006165D7">
      <w:pPr>
        <w:pStyle w:val="ListParagraph"/>
        <w:numPr>
          <w:ilvl w:val="0"/>
          <w:numId w:val="6"/>
        </w:numPr>
        <w:tabs>
          <w:tab w:val="right" w:leader="dot" w:pos="9360"/>
        </w:tabs>
        <w:spacing w:after="0"/>
        <w:ind w:left="1440"/>
        <w:rPr>
          <w:rFonts w:asciiTheme="majorHAnsi" w:hAnsiTheme="majorHAnsi"/>
        </w:rPr>
      </w:pPr>
      <w:r w:rsidRPr="000A71DF">
        <w:rPr>
          <w:rFonts w:asciiTheme="majorHAnsi" w:hAnsiTheme="majorHAnsi"/>
        </w:rPr>
        <w:t>Develop survey protocol, instructions, and analysis plan</w:t>
      </w:r>
      <w:r w:rsidRPr="000A71DF">
        <w:rPr>
          <w:rFonts w:asciiTheme="majorHAnsi" w:hAnsiTheme="majorHAnsi"/>
        </w:rPr>
        <w:tab/>
        <w:t>(COMPLETE)</w:t>
      </w:r>
    </w:p>
    <w:p w:rsidR="006165D7" w:rsidRPr="000A71DF" w:rsidRDefault="006165D7" w:rsidP="006165D7">
      <w:pPr>
        <w:pStyle w:val="ListParagraph"/>
        <w:numPr>
          <w:ilvl w:val="0"/>
          <w:numId w:val="7"/>
        </w:numPr>
        <w:tabs>
          <w:tab w:val="right" w:leader="dot" w:pos="9360"/>
        </w:tabs>
        <w:spacing w:after="0"/>
        <w:ind w:left="1440"/>
        <w:rPr>
          <w:rFonts w:asciiTheme="majorHAnsi" w:hAnsiTheme="majorHAnsi"/>
        </w:rPr>
      </w:pPr>
      <w:r w:rsidRPr="000A71DF">
        <w:rPr>
          <w:rFonts w:asciiTheme="majorHAnsi" w:hAnsiTheme="majorHAnsi"/>
        </w:rPr>
        <w:t>Pilot test survey questionnaire</w:t>
      </w:r>
      <w:r w:rsidRPr="000A71DF">
        <w:rPr>
          <w:rFonts w:asciiTheme="majorHAnsi" w:hAnsiTheme="majorHAnsi"/>
        </w:rPr>
        <w:tab/>
        <w:t>(</w:t>
      </w:r>
      <w:r>
        <w:rPr>
          <w:rFonts w:asciiTheme="majorHAnsi" w:hAnsiTheme="majorHAnsi"/>
        </w:rPr>
        <w:t>COMPLETE</w:t>
      </w:r>
      <w:r w:rsidRPr="000A71DF">
        <w:rPr>
          <w:rFonts w:asciiTheme="majorHAnsi" w:hAnsiTheme="majorHAnsi"/>
        </w:rPr>
        <w:t>)</w:t>
      </w:r>
    </w:p>
    <w:p w:rsidR="006165D7" w:rsidRPr="000A71DF" w:rsidRDefault="006165D7" w:rsidP="006165D7">
      <w:pPr>
        <w:pStyle w:val="ListParagraph"/>
        <w:numPr>
          <w:ilvl w:val="0"/>
          <w:numId w:val="7"/>
        </w:numPr>
        <w:tabs>
          <w:tab w:val="right" w:leader="dot" w:pos="9360"/>
        </w:tabs>
        <w:spacing w:after="0"/>
        <w:ind w:left="1440"/>
        <w:rPr>
          <w:rFonts w:asciiTheme="majorHAnsi" w:hAnsiTheme="majorHAnsi"/>
        </w:rPr>
      </w:pPr>
      <w:r w:rsidRPr="000A71DF">
        <w:rPr>
          <w:rFonts w:asciiTheme="majorHAnsi" w:hAnsiTheme="majorHAnsi"/>
        </w:rPr>
        <w:t>Prepare OMB package</w:t>
      </w:r>
      <w:r w:rsidRPr="000A71DF">
        <w:rPr>
          <w:rFonts w:asciiTheme="majorHAnsi" w:hAnsiTheme="majorHAnsi"/>
        </w:rPr>
        <w:tab/>
        <w:t>(</w:t>
      </w:r>
      <w:r>
        <w:rPr>
          <w:rFonts w:asciiTheme="majorHAnsi" w:hAnsiTheme="majorHAnsi"/>
        </w:rPr>
        <w:t>COMPLETE</w:t>
      </w:r>
      <w:r w:rsidRPr="000A71DF">
        <w:rPr>
          <w:rFonts w:asciiTheme="majorHAnsi" w:hAnsiTheme="majorHAnsi"/>
        </w:rPr>
        <w:t>)</w:t>
      </w:r>
    </w:p>
    <w:p w:rsidR="006165D7" w:rsidRPr="000A71DF" w:rsidRDefault="006165D7" w:rsidP="006165D7">
      <w:pPr>
        <w:pStyle w:val="ListParagraph"/>
        <w:numPr>
          <w:ilvl w:val="0"/>
          <w:numId w:val="7"/>
        </w:numPr>
        <w:tabs>
          <w:tab w:val="right" w:leader="dot" w:pos="9360"/>
        </w:tabs>
        <w:spacing w:after="0"/>
        <w:ind w:left="1440"/>
        <w:rPr>
          <w:rFonts w:asciiTheme="majorHAnsi" w:hAnsiTheme="majorHAnsi"/>
        </w:rPr>
      </w:pPr>
      <w:r w:rsidRPr="000A71DF">
        <w:rPr>
          <w:rFonts w:asciiTheme="majorHAnsi" w:hAnsiTheme="majorHAnsi"/>
        </w:rPr>
        <w:t>Submit OMB package</w:t>
      </w:r>
      <w:r w:rsidRPr="000A71DF">
        <w:rPr>
          <w:rFonts w:asciiTheme="majorHAnsi" w:hAnsiTheme="majorHAnsi"/>
        </w:rPr>
        <w:tab/>
        <w:t>(</w:t>
      </w:r>
      <w:r>
        <w:rPr>
          <w:rFonts w:asciiTheme="majorHAnsi" w:hAnsiTheme="majorHAnsi"/>
        </w:rPr>
        <w:t>COMPLETE</w:t>
      </w:r>
      <w:r w:rsidRPr="000A71DF">
        <w:rPr>
          <w:rFonts w:asciiTheme="majorHAnsi" w:hAnsiTheme="majorHAnsi"/>
        </w:rPr>
        <w:t>)</w:t>
      </w:r>
    </w:p>
    <w:p w:rsidR="006165D7" w:rsidRPr="000A71DF" w:rsidRDefault="006165D7" w:rsidP="006165D7">
      <w:pPr>
        <w:pStyle w:val="ListParagraph"/>
        <w:numPr>
          <w:ilvl w:val="0"/>
          <w:numId w:val="4"/>
        </w:numPr>
        <w:tabs>
          <w:tab w:val="right" w:leader="dot" w:pos="9360"/>
        </w:tabs>
        <w:spacing w:after="0"/>
        <w:ind w:left="1440"/>
        <w:rPr>
          <w:rFonts w:asciiTheme="majorHAnsi" w:hAnsiTheme="majorHAnsi"/>
        </w:rPr>
      </w:pPr>
      <w:r w:rsidRPr="000A71DF">
        <w:rPr>
          <w:rFonts w:asciiTheme="majorHAnsi" w:hAnsiTheme="majorHAnsi"/>
        </w:rPr>
        <w:t>OMB approval</w:t>
      </w:r>
      <w:r w:rsidRPr="000A71DF">
        <w:rPr>
          <w:rFonts w:asciiTheme="majorHAnsi" w:hAnsiTheme="majorHAnsi"/>
        </w:rPr>
        <w:tab/>
        <w:t>(</w:t>
      </w:r>
      <w:r>
        <w:rPr>
          <w:rFonts w:asciiTheme="majorHAnsi" w:hAnsiTheme="majorHAnsi"/>
        </w:rPr>
        <w:t>TBD</w:t>
      </w:r>
      <w:r w:rsidRPr="000A71DF">
        <w:rPr>
          <w:rFonts w:asciiTheme="majorHAnsi" w:hAnsiTheme="majorHAnsi"/>
        </w:rPr>
        <w:t>)</w:t>
      </w:r>
    </w:p>
    <w:p w:rsidR="006165D7" w:rsidRDefault="006165D7" w:rsidP="006165D7">
      <w:pPr>
        <w:pStyle w:val="ListParagraph"/>
        <w:numPr>
          <w:ilvl w:val="0"/>
          <w:numId w:val="4"/>
        </w:numPr>
        <w:tabs>
          <w:tab w:val="right" w:leader="dot" w:pos="9360"/>
        </w:tabs>
        <w:spacing w:after="0"/>
        <w:ind w:left="1440"/>
        <w:rPr>
          <w:rFonts w:asciiTheme="majorHAnsi" w:hAnsiTheme="majorHAnsi"/>
        </w:rPr>
      </w:pPr>
      <w:r w:rsidRPr="000A71DF">
        <w:rPr>
          <w:rFonts w:asciiTheme="majorHAnsi" w:hAnsiTheme="majorHAnsi"/>
        </w:rPr>
        <w:t>Conduct survey</w:t>
      </w:r>
      <w:r w:rsidRPr="000A71DF">
        <w:rPr>
          <w:rFonts w:asciiTheme="majorHAnsi" w:hAnsiTheme="majorHAnsi"/>
        </w:rPr>
        <w:tab/>
        <w:t>(</w:t>
      </w:r>
      <w:r>
        <w:rPr>
          <w:rFonts w:asciiTheme="majorHAnsi" w:hAnsiTheme="majorHAnsi"/>
        </w:rPr>
        <w:t>Survey open 4 weeks</w:t>
      </w:r>
      <w:r w:rsidRPr="000A71DF">
        <w:rPr>
          <w:rFonts w:asciiTheme="majorHAnsi" w:hAnsiTheme="majorHAnsi"/>
        </w:rPr>
        <w:t>)</w:t>
      </w:r>
    </w:p>
    <w:p w:rsidR="00BA623E" w:rsidRPr="000A71DF" w:rsidRDefault="00BA623E" w:rsidP="006165D7">
      <w:pPr>
        <w:pStyle w:val="ListParagraph"/>
        <w:numPr>
          <w:ilvl w:val="0"/>
          <w:numId w:val="4"/>
        </w:numPr>
        <w:tabs>
          <w:tab w:val="right" w:leader="dot" w:pos="9360"/>
        </w:tabs>
        <w:spacing w:after="0"/>
        <w:ind w:left="1440"/>
        <w:rPr>
          <w:rFonts w:asciiTheme="majorHAnsi" w:hAnsiTheme="majorHAnsi"/>
        </w:rPr>
      </w:pPr>
      <w:r>
        <w:rPr>
          <w:rFonts w:asciiTheme="majorHAnsi" w:hAnsiTheme="majorHAnsi"/>
        </w:rPr>
        <w:t>Completion of Data Collection Forms…………………………………….(4 weeks)</w:t>
      </w:r>
    </w:p>
    <w:p w:rsidR="006165D7" w:rsidRPr="000A71DF" w:rsidRDefault="006165D7" w:rsidP="006165D7">
      <w:pPr>
        <w:pStyle w:val="ListParagraph"/>
        <w:numPr>
          <w:ilvl w:val="0"/>
          <w:numId w:val="4"/>
        </w:numPr>
        <w:tabs>
          <w:tab w:val="right" w:leader="dot" w:pos="9360"/>
        </w:tabs>
        <w:spacing w:after="0"/>
        <w:ind w:left="1440"/>
        <w:rPr>
          <w:rFonts w:asciiTheme="majorHAnsi" w:hAnsiTheme="majorHAnsi"/>
        </w:rPr>
      </w:pPr>
      <w:r w:rsidRPr="000A71DF">
        <w:rPr>
          <w:rFonts w:asciiTheme="majorHAnsi" w:hAnsiTheme="majorHAnsi"/>
        </w:rPr>
        <w:t>Collect, code, enter, quality control, and analyze data</w:t>
      </w:r>
      <w:r w:rsidRPr="000A71DF">
        <w:rPr>
          <w:rFonts w:asciiTheme="majorHAnsi" w:hAnsiTheme="majorHAnsi"/>
        </w:rPr>
        <w:tab/>
        <w:t>(</w:t>
      </w:r>
      <w:r>
        <w:rPr>
          <w:rFonts w:asciiTheme="majorHAnsi" w:hAnsiTheme="majorHAnsi"/>
        </w:rPr>
        <w:t>2 weeks</w:t>
      </w:r>
      <w:r w:rsidRPr="000A71DF">
        <w:rPr>
          <w:rFonts w:asciiTheme="majorHAnsi" w:hAnsiTheme="majorHAnsi"/>
        </w:rPr>
        <w:t>)</w:t>
      </w:r>
    </w:p>
    <w:p w:rsidR="006165D7" w:rsidRPr="000A71DF" w:rsidRDefault="006165D7" w:rsidP="006165D7">
      <w:pPr>
        <w:pStyle w:val="ListParagraph"/>
        <w:numPr>
          <w:ilvl w:val="0"/>
          <w:numId w:val="4"/>
        </w:numPr>
        <w:tabs>
          <w:tab w:val="right" w:leader="dot" w:pos="9360"/>
        </w:tabs>
        <w:spacing w:after="0"/>
        <w:ind w:left="1440"/>
        <w:rPr>
          <w:rFonts w:asciiTheme="majorHAnsi" w:hAnsiTheme="majorHAnsi"/>
        </w:rPr>
      </w:pPr>
      <w:r w:rsidRPr="000A71DF">
        <w:rPr>
          <w:rFonts w:asciiTheme="majorHAnsi" w:hAnsiTheme="majorHAnsi"/>
        </w:rPr>
        <w:t>Prepare report</w:t>
      </w:r>
      <w:r w:rsidRPr="000A71DF">
        <w:rPr>
          <w:rFonts w:asciiTheme="majorHAnsi" w:hAnsiTheme="majorHAnsi"/>
        </w:rPr>
        <w:tab/>
        <w:t>(</w:t>
      </w:r>
      <w:r>
        <w:rPr>
          <w:rFonts w:asciiTheme="majorHAnsi" w:hAnsiTheme="majorHAnsi"/>
        </w:rPr>
        <w:t>2 weeks</w:t>
      </w:r>
      <w:r w:rsidRPr="000A71DF">
        <w:rPr>
          <w:rFonts w:asciiTheme="majorHAnsi" w:hAnsiTheme="majorHAnsi"/>
        </w:rPr>
        <w:t>)</w:t>
      </w:r>
    </w:p>
    <w:p w:rsidR="006165D7" w:rsidRPr="000A71DF" w:rsidRDefault="006165D7" w:rsidP="006165D7">
      <w:pPr>
        <w:pStyle w:val="ListParagraph"/>
        <w:numPr>
          <w:ilvl w:val="0"/>
          <w:numId w:val="4"/>
        </w:numPr>
        <w:tabs>
          <w:tab w:val="right" w:leader="dot" w:pos="9360"/>
        </w:tabs>
        <w:spacing w:after="0"/>
        <w:ind w:left="1440"/>
        <w:rPr>
          <w:rFonts w:asciiTheme="majorHAnsi" w:hAnsiTheme="majorHAnsi"/>
        </w:rPr>
      </w:pPr>
      <w:r w:rsidRPr="000A71DF">
        <w:rPr>
          <w:rFonts w:asciiTheme="majorHAnsi" w:hAnsiTheme="majorHAnsi"/>
        </w:rPr>
        <w:t>Disseminate results</w:t>
      </w:r>
      <w:r>
        <w:rPr>
          <w:rFonts w:asciiTheme="majorHAnsi" w:hAnsiTheme="majorHAnsi"/>
        </w:rPr>
        <w:t>/reports</w:t>
      </w:r>
      <w:r w:rsidRPr="000A71DF">
        <w:rPr>
          <w:rFonts w:asciiTheme="majorHAnsi" w:hAnsiTheme="majorHAnsi"/>
        </w:rPr>
        <w:tab/>
        <w:t>(</w:t>
      </w:r>
      <w:r>
        <w:rPr>
          <w:rFonts w:asciiTheme="majorHAnsi" w:hAnsiTheme="majorHAnsi"/>
        </w:rPr>
        <w:t>Date TBD</w:t>
      </w:r>
      <w:r w:rsidRPr="000A71DF">
        <w:rPr>
          <w:rFonts w:asciiTheme="majorHAnsi" w:hAnsiTheme="majorHAnsi"/>
        </w:rPr>
        <w:t>)</w:t>
      </w:r>
    </w:p>
    <w:p w:rsidR="006165D7"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Reason(s) Display of OMB Expiration Date is Inappropriate</w:t>
      </w:r>
    </w:p>
    <w:p w:rsidR="006165D7" w:rsidRDefault="006165D7" w:rsidP="006165D7">
      <w:pPr>
        <w:pStyle w:val="ListParagraph"/>
        <w:spacing w:after="0"/>
        <w:rPr>
          <w:rFonts w:asciiTheme="majorHAnsi" w:hAnsiTheme="majorHAnsi"/>
        </w:rPr>
      </w:pPr>
      <w:r>
        <w:rPr>
          <w:rFonts w:asciiTheme="majorHAnsi" w:hAnsiTheme="majorHAnsi"/>
        </w:rPr>
        <w:t>CDC does not request exemption from display of the OMB expiration date.</w:t>
      </w:r>
    </w:p>
    <w:p w:rsidR="006165D7" w:rsidRDefault="006165D7" w:rsidP="006165D7">
      <w:pPr>
        <w:pStyle w:val="ListParagraph"/>
        <w:spacing w:after="0"/>
        <w:rPr>
          <w:rFonts w:asciiTheme="majorHAnsi" w:hAnsiTheme="majorHAnsi"/>
        </w:rPr>
      </w:pPr>
    </w:p>
    <w:p w:rsidR="006165D7" w:rsidRPr="00D26A64" w:rsidRDefault="006165D7" w:rsidP="006165D7">
      <w:pPr>
        <w:pStyle w:val="ListParagraph"/>
        <w:numPr>
          <w:ilvl w:val="0"/>
          <w:numId w:val="1"/>
        </w:numPr>
        <w:spacing w:after="0"/>
        <w:rPr>
          <w:rFonts w:asciiTheme="majorHAnsi" w:hAnsiTheme="majorHAnsi"/>
          <w:b/>
        </w:rPr>
      </w:pPr>
      <w:r w:rsidRPr="00D26A64">
        <w:rPr>
          <w:rFonts w:asciiTheme="majorHAnsi" w:hAnsiTheme="majorHAnsi"/>
          <w:b/>
        </w:rPr>
        <w:t>Exceptions to Certification for Paperwork Reduction Act Submissions</w:t>
      </w:r>
    </w:p>
    <w:p w:rsidR="006165D7" w:rsidRDefault="006165D7" w:rsidP="006165D7">
      <w:pPr>
        <w:pStyle w:val="ListParagraph"/>
        <w:spacing w:after="0"/>
        <w:rPr>
          <w:rFonts w:asciiTheme="majorHAnsi" w:hAnsiTheme="majorHAnsi"/>
        </w:rPr>
      </w:pPr>
      <w:r>
        <w:rPr>
          <w:rFonts w:asciiTheme="majorHAnsi" w:hAnsiTheme="majorHAnsi"/>
        </w:rPr>
        <w:t>There are no exceptions to the certification.</w:t>
      </w:r>
    </w:p>
    <w:p w:rsidR="006165D7" w:rsidRDefault="006165D7" w:rsidP="006165D7">
      <w:pPr>
        <w:rPr>
          <w:rFonts w:asciiTheme="majorHAnsi" w:hAnsiTheme="majorHAnsi"/>
          <w:b/>
          <w:sz w:val="28"/>
        </w:rPr>
      </w:pPr>
    </w:p>
    <w:p w:rsidR="006165D7" w:rsidRDefault="006165D7" w:rsidP="006165D7">
      <w:pPr>
        <w:rPr>
          <w:rFonts w:asciiTheme="majorHAnsi" w:hAnsiTheme="majorHAnsi"/>
          <w:b/>
          <w:sz w:val="28"/>
        </w:rPr>
      </w:pPr>
      <w:r>
        <w:rPr>
          <w:rFonts w:asciiTheme="majorHAnsi" w:hAnsiTheme="majorHAnsi"/>
          <w:b/>
          <w:sz w:val="28"/>
        </w:rPr>
        <w:t>LIST OF ATTACHMENTS – Section A</w:t>
      </w:r>
    </w:p>
    <w:p w:rsidR="006165D7" w:rsidRPr="00CD1EA8" w:rsidRDefault="006165D7" w:rsidP="006165D7">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6165D7" w:rsidRPr="00A36419" w:rsidRDefault="006165D7" w:rsidP="006165D7">
      <w:pPr>
        <w:spacing w:after="0" w:line="360" w:lineRule="auto"/>
        <w:rPr>
          <w:rFonts w:asciiTheme="majorHAnsi" w:hAnsiTheme="majorHAnsi"/>
          <w:b/>
        </w:rPr>
      </w:pPr>
    </w:p>
    <w:p w:rsidR="00A91843" w:rsidRDefault="00A91843" w:rsidP="006165D7">
      <w:pPr>
        <w:pStyle w:val="ListParagraph"/>
        <w:numPr>
          <w:ilvl w:val="0"/>
          <w:numId w:val="3"/>
        </w:numPr>
        <w:spacing w:after="0" w:line="360" w:lineRule="auto"/>
        <w:rPr>
          <w:rFonts w:asciiTheme="majorHAnsi" w:hAnsiTheme="majorHAnsi"/>
          <w:b/>
        </w:rPr>
      </w:pPr>
      <w:r>
        <w:rPr>
          <w:rFonts w:asciiTheme="majorHAnsi" w:hAnsiTheme="majorHAnsi"/>
          <w:b/>
        </w:rPr>
        <w:t>Report of Expert Consultations on Rapid Molecular Testing to Detect Drug-Resistant Tuberculosis in the United States</w:t>
      </w:r>
    </w:p>
    <w:p w:rsidR="006165D7" w:rsidRPr="00A36419" w:rsidRDefault="006165D7" w:rsidP="006165D7">
      <w:pPr>
        <w:pStyle w:val="ListParagraph"/>
        <w:numPr>
          <w:ilvl w:val="0"/>
          <w:numId w:val="3"/>
        </w:numPr>
        <w:spacing w:after="0" w:line="360" w:lineRule="auto"/>
        <w:rPr>
          <w:rFonts w:asciiTheme="majorHAnsi" w:hAnsiTheme="majorHAnsi"/>
          <w:b/>
        </w:rPr>
      </w:pPr>
      <w:r w:rsidRPr="00A36419">
        <w:rPr>
          <w:rFonts w:asciiTheme="majorHAnsi" w:hAnsiTheme="majorHAnsi"/>
          <w:b/>
        </w:rPr>
        <w:t xml:space="preserve">Authorizing </w:t>
      </w:r>
      <w:r>
        <w:rPr>
          <w:rFonts w:asciiTheme="majorHAnsi" w:hAnsiTheme="majorHAnsi"/>
          <w:b/>
        </w:rPr>
        <w:t>L</w:t>
      </w:r>
      <w:r w:rsidRPr="00A36419">
        <w:rPr>
          <w:rFonts w:asciiTheme="majorHAnsi" w:hAnsiTheme="majorHAnsi"/>
          <w:b/>
        </w:rPr>
        <w:t>aw</w:t>
      </w:r>
    </w:p>
    <w:p w:rsidR="006165D7" w:rsidRDefault="006165D7" w:rsidP="006165D7">
      <w:pPr>
        <w:pStyle w:val="ListParagraph"/>
        <w:numPr>
          <w:ilvl w:val="0"/>
          <w:numId w:val="3"/>
        </w:numPr>
        <w:spacing w:line="360" w:lineRule="auto"/>
        <w:rPr>
          <w:rFonts w:asciiTheme="majorHAnsi" w:hAnsiTheme="majorHAnsi"/>
          <w:b/>
        </w:rPr>
      </w:pPr>
      <w:r>
        <w:rPr>
          <w:rFonts w:asciiTheme="majorHAnsi" w:hAnsiTheme="majorHAnsi"/>
          <w:b/>
        </w:rPr>
        <w:t>Survey Instrument-Word version</w:t>
      </w:r>
    </w:p>
    <w:p w:rsidR="006165D7" w:rsidRDefault="006165D7" w:rsidP="006165D7">
      <w:pPr>
        <w:pStyle w:val="ListParagraph"/>
        <w:numPr>
          <w:ilvl w:val="0"/>
          <w:numId w:val="3"/>
        </w:numPr>
        <w:spacing w:line="360" w:lineRule="auto"/>
        <w:rPr>
          <w:rFonts w:asciiTheme="majorHAnsi" w:hAnsiTheme="majorHAnsi"/>
          <w:b/>
        </w:rPr>
      </w:pPr>
      <w:r>
        <w:rPr>
          <w:rFonts w:asciiTheme="majorHAnsi" w:hAnsiTheme="majorHAnsi"/>
          <w:b/>
        </w:rPr>
        <w:t xml:space="preserve">Survey Instrument-Web </w:t>
      </w:r>
      <w:r w:rsidR="00B73178">
        <w:rPr>
          <w:rFonts w:asciiTheme="majorHAnsi" w:hAnsiTheme="majorHAnsi"/>
          <w:b/>
        </w:rPr>
        <w:t>shot</w:t>
      </w:r>
    </w:p>
    <w:p w:rsidR="006165D7" w:rsidRDefault="006165D7" w:rsidP="006165D7">
      <w:pPr>
        <w:pStyle w:val="ListParagraph"/>
        <w:numPr>
          <w:ilvl w:val="0"/>
          <w:numId w:val="3"/>
        </w:numPr>
        <w:spacing w:line="360" w:lineRule="auto"/>
        <w:rPr>
          <w:rFonts w:asciiTheme="majorHAnsi" w:hAnsiTheme="majorHAnsi"/>
          <w:b/>
        </w:rPr>
      </w:pPr>
      <w:r>
        <w:rPr>
          <w:rFonts w:asciiTheme="majorHAnsi" w:hAnsiTheme="majorHAnsi"/>
          <w:b/>
        </w:rPr>
        <w:t>Data Collection Instrument-Word version</w:t>
      </w:r>
    </w:p>
    <w:p w:rsidR="006165D7" w:rsidRDefault="006165D7" w:rsidP="006165D7">
      <w:pPr>
        <w:pStyle w:val="ListParagraph"/>
        <w:numPr>
          <w:ilvl w:val="0"/>
          <w:numId w:val="3"/>
        </w:numPr>
        <w:spacing w:line="360" w:lineRule="auto"/>
        <w:rPr>
          <w:rFonts w:asciiTheme="majorHAnsi" w:hAnsiTheme="majorHAnsi"/>
          <w:b/>
        </w:rPr>
      </w:pPr>
      <w:r>
        <w:rPr>
          <w:rFonts w:asciiTheme="majorHAnsi" w:hAnsiTheme="majorHAnsi"/>
          <w:b/>
        </w:rPr>
        <w:t xml:space="preserve">Data Collection Instrument-Web </w:t>
      </w:r>
      <w:r w:rsidR="00BD78F9">
        <w:rPr>
          <w:rFonts w:asciiTheme="majorHAnsi" w:hAnsiTheme="majorHAnsi"/>
          <w:b/>
        </w:rPr>
        <w:t>shot</w:t>
      </w:r>
    </w:p>
    <w:p w:rsidR="006165D7" w:rsidRPr="001B3E55" w:rsidRDefault="006165D7" w:rsidP="006165D7">
      <w:pPr>
        <w:pStyle w:val="ListParagraph"/>
        <w:numPr>
          <w:ilvl w:val="0"/>
          <w:numId w:val="3"/>
        </w:numPr>
        <w:spacing w:before="26" w:after="154" w:line="360" w:lineRule="auto"/>
        <w:rPr>
          <w:rFonts w:asciiTheme="majorHAnsi" w:hAnsiTheme="majorHAnsi"/>
          <w:b/>
        </w:rPr>
      </w:pPr>
      <w:r w:rsidRPr="001B3E55">
        <w:rPr>
          <w:rFonts w:asciiTheme="majorHAnsi" w:hAnsiTheme="majorHAnsi" w:cs="Courier New"/>
          <w:b/>
          <w:color w:val="000000"/>
        </w:rPr>
        <w:t xml:space="preserve">Public Health Laboratories and Isolates of </w:t>
      </w:r>
      <w:r w:rsidRPr="001B3E55">
        <w:rPr>
          <w:rFonts w:asciiTheme="majorHAnsi" w:hAnsiTheme="majorHAnsi" w:cs="Courier New"/>
          <w:b/>
          <w:i/>
          <w:color w:val="000000"/>
        </w:rPr>
        <w:t>Mycobacterium tuberculosis</w:t>
      </w:r>
      <w:r w:rsidRPr="001B3E55">
        <w:rPr>
          <w:rFonts w:asciiTheme="majorHAnsi" w:hAnsiTheme="majorHAnsi" w:cs="Courier New"/>
          <w:b/>
          <w:color w:val="000000"/>
        </w:rPr>
        <w:t xml:space="preserve"> Complex submitted to the MDDR Testing Service</w:t>
      </w:r>
    </w:p>
    <w:p w:rsidR="00FB2724" w:rsidRDefault="00FB2724"/>
    <w:sectPr w:rsidR="00FB2724" w:rsidSect="00FB2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DF51B8"/>
    <w:multiLevelType w:val="hybridMultilevel"/>
    <w:tmpl w:val="77905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165D7"/>
    <w:rsid w:val="00050EA8"/>
    <w:rsid w:val="0010212A"/>
    <w:rsid w:val="00143129"/>
    <w:rsid w:val="00165F20"/>
    <w:rsid w:val="00166853"/>
    <w:rsid w:val="00190DE0"/>
    <w:rsid w:val="001E4FF3"/>
    <w:rsid w:val="00250A23"/>
    <w:rsid w:val="002A4177"/>
    <w:rsid w:val="002E03EF"/>
    <w:rsid w:val="002E5345"/>
    <w:rsid w:val="00335454"/>
    <w:rsid w:val="003B5243"/>
    <w:rsid w:val="003E6B20"/>
    <w:rsid w:val="004A5777"/>
    <w:rsid w:val="00525D54"/>
    <w:rsid w:val="0054578C"/>
    <w:rsid w:val="00550CF5"/>
    <w:rsid w:val="00587B08"/>
    <w:rsid w:val="006165D7"/>
    <w:rsid w:val="006921AA"/>
    <w:rsid w:val="007D6E96"/>
    <w:rsid w:val="00825FC0"/>
    <w:rsid w:val="00883854"/>
    <w:rsid w:val="008F2D74"/>
    <w:rsid w:val="0094302F"/>
    <w:rsid w:val="00970EB9"/>
    <w:rsid w:val="009F5DCD"/>
    <w:rsid w:val="00A00699"/>
    <w:rsid w:val="00A372B4"/>
    <w:rsid w:val="00A91843"/>
    <w:rsid w:val="00AC7762"/>
    <w:rsid w:val="00B73178"/>
    <w:rsid w:val="00BA2065"/>
    <w:rsid w:val="00BA623E"/>
    <w:rsid w:val="00BD33A2"/>
    <w:rsid w:val="00BD78F9"/>
    <w:rsid w:val="00C146DD"/>
    <w:rsid w:val="00C835F1"/>
    <w:rsid w:val="00D347A6"/>
    <w:rsid w:val="00D96EC6"/>
    <w:rsid w:val="00DA5424"/>
    <w:rsid w:val="00DC0C0B"/>
    <w:rsid w:val="00EB125E"/>
    <w:rsid w:val="00F21CC7"/>
    <w:rsid w:val="00FB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5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5D7"/>
  </w:style>
  <w:style w:type="character" w:styleId="Hyperlink">
    <w:name w:val="Hyperlink"/>
    <w:basedOn w:val="DefaultParagraphFont"/>
    <w:uiPriority w:val="99"/>
    <w:unhideWhenUsed/>
    <w:rsid w:val="006165D7"/>
    <w:rPr>
      <w:color w:val="0000FF" w:themeColor="hyperlink"/>
      <w:u w:val="single"/>
    </w:rPr>
  </w:style>
  <w:style w:type="paragraph" w:styleId="ListParagraph">
    <w:name w:val="List Paragraph"/>
    <w:basedOn w:val="Normal"/>
    <w:uiPriority w:val="34"/>
    <w:qFormat/>
    <w:rsid w:val="006165D7"/>
    <w:pPr>
      <w:ind w:left="720"/>
      <w:contextualSpacing/>
    </w:pPr>
  </w:style>
  <w:style w:type="table" w:styleId="TableGrid">
    <w:name w:val="Table Grid"/>
    <w:basedOn w:val="TableNormal"/>
    <w:uiPriority w:val="59"/>
    <w:rsid w:val="006165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65D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6165D7"/>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cs/ocs/sp/nctb1349.pdf" TargetMode="External"/><Relationship Id="rId3" Type="http://schemas.microsoft.com/office/2007/relationships/stylesWithEffects" Target="stylesWithEffects.xml"/><Relationship Id="rId7" Type="http://schemas.openxmlformats.org/officeDocument/2006/relationships/hyperlink" Target="mailto:may2@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hhstp.cdc.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10</Pages>
  <Words>2967</Words>
  <Characters>16915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may2</dc:creator>
  <cp:keywords/>
  <dc:description/>
  <cp:lastModifiedBy>Yakrus, Mitchell (CDC/OID/NCHHSTP)</cp:lastModifiedBy>
  <cp:revision>19</cp:revision>
  <dcterms:created xsi:type="dcterms:W3CDTF">2011-11-21T16:51:00Z</dcterms:created>
  <dcterms:modified xsi:type="dcterms:W3CDTF">2012-01-09T18:04:00Z</dcterms:modified>
</cp:coreProperties>
</file>