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11" w:rsidRDefault="00E25B11"/>
    <w:p w:rsidR="00E25B11" w:rsidRDefault="00E25B11"/>
    <w:p w:rsidR="00E25B11" w:rsidRDefault="000414F8" w:rsidP="00E25B11">
      <w:pPr>
        <w:jc w:val="right"/>
      </w:pPr>
      <w:r>
        <w:t>November</w:t>
      </w:r>
      <w:r w:rsidR="00E25B11">
        <w:t xml:space="preserve"> </w:t>
      </w:r>
      <w:r w:rsidR="009B775A">
        <w:t>23</w:t>
      </w:r>
      <w:r w:rsidR="00E25B11">
        <w:t>, 2011</w:t>
      </w:r>
    </w:p>
    <w:p w:rsidR="00E25B11" w:rsidRDefault="00E25B11"/>
    <w:p w:rsidR="00E25B11" w:rsidRDefault="00E25B11"/>
    <w:p w:rsidR="0061732D" w:rsidRDefault="000414F8" w:rsidP="005C1A83">
      <w:pPr>
        <w:spacing w:after="120"/>
      </w:pPr>
      <w:r>
        <w:t>Th</w:t>
      </w:r>
      <w:r w:rsidR="0061732D">
        <w:t xml:space="preserve">is memo provides information on NSF’s and </w:t>
      </w:r>
      <w:r>
        <w:t>NORC</w:t>
      </w:r>
      <w:r w:rsidR="0061732D">
        <w:t>’s</w:t>
      </w:r>
      <w:r>
        <w:t xml:space="preserve"> responses to the OMB feedback received on November 7, 2011. The OMB feedback </w:t>
      </w:r>
      <w:r w:rsidR="0061732D">
        <w:t xml:space="preserve">and NSF/NORC response are </w:t>
      </w:r>
      <w:r w:rsidR="00877FA2">
        <w:t>detailed</w:t>
      </w:r>
      <w:r w:rsidR="0061732D">
        <w:t xml:space="preserve"> below and organized around topics in hopes of facilitating easy identification</w:t>
      </w:r>
      <w:r>
        <w:t xml:space="preserve"> in the full, revised OMB draft. The original set of comments is </w:t>
      </w:r>
      <w:r w:rsidR="00877FA2">
        <w:t xml:space="preserve">also included </w:t>
      </w:r>
      <w:r>
        <w:t xml:space="preserve">at the end of this memo.  </w:t>
      </w:r>
    </w:p>
    <w:p w:rsidR="0061732D" w:rsidRDefault="0061732D" w:rsidP="005C1A83">
      <w:pPr>
        <w:spacing w:after="120"/>
        <w:jc w:val="center"/>
        <w:rPr>
          <w:b/>
          <w:bCs/>
          <w:caps/>
          <w:u w:val="single"/>
        </w:rPr>
      </w:pPr>
    </w:p>
    <w:p w:rsidR="009D5B3A" w:rsidRPr="0061732D" w:rsidRDefault="0061732D" w:rsidP="005C1A83">
      <w:pPr>
        <w:spacing w:after="120"/>
        <w:rPr>
          <w:b/>
          <w:bCs/>
          <w:caps/>
          <w:sz w:val="24"/>
          <w:szCs w:val="24"/>
        </w:rPr>
      </w:pPr>
      <w:r w:rsidRPr="0061732D">
        <w:rPr>
          <w:b/>
          <w:bCs/>
          <w:caps/>
          <w:sz w:val="24"/>
          <w:szCs w:val="24"/>
        </w:rPr>
        <w:t xml:space="preserve">1. </w:t>
      </w:r>
      <w:r w:rsidR="009D5B3A" w:rsidRPr="0061732D">
        <w:rPr>
          <w:b/>
          <w:bCs/>
          <w:caps/>
          <w:sz w:val="24"/>
          <w:szCs w:val="24"/>
        </w:rPr>
        <w:t>Design and Methodology</w:t>
      </w:r>
    </w:p>
    <w:p w:rsidR="00C72363" w:rsidRPr="0061732D" w:rsidRDefault="009B775A" w:rsidP="005C1A83">
      <w:pPr>
        <w:pStyle w:val="ListParagraph"/>
        <w:numPr>
          <w:ilvl w:val="0"/>
          <w:numId w:val="21"/>
        </w:numPr>
        <w:spacing w:after="120"/>
        <w:ind w:left="540"/>
        <w:rPr>
          <w:u w:val="single"/>
        </w:rPr>
      </w:pPr>
      <w:r>
        <w:rPr>
          <w:b/>
          <w:sz w:val="24"/>
          <w:szCs w:val="24"/>
          <w:u w:val="single"/>
        </w:rPr>
        <w:t>O</w:t>
      </w:r>
      <w:r w:rsidR="0061732D" w:rsidRPr="00035A25">
        <w:rPr>
          <w:b/>
          <w:sz w:val="24"/>
          <w:szCs w:val="24"/>
          <w:u w:val="single"/>
        </w:rPr>
        <w:t>M</w:t>
      </w:r>
      <w:r>
        <w:rPr>
          <w:b/>
          <w:sz w:val="24"/>
          <w:szCs w:val="24"/>
          <w:u w:val="single"/>
        </w:rPr>
        <w:t>B</w:t>
      </w:r>
      <w:r w:rsidR="0061732D">
        <w:rPr>
          <w:u w:val="single"/>
        </w:rPr>
        <w:br/>
      </w:r>
      <w:r w:rsidR="000414F8" w:rsidRPr="00715ED0">
        <w:t xml:space="preserve">We would encourage that for future cohorts efforts be taken now to ensure that the applicant and selection process data are scrutinized to be sure that any limitations (e.g., the use of subjective selection criteria) be considered and addressed as feasible to provide even stronger control groups in the future (e.g., thinking about how to “objectify” some of the more subjective selection elements).   To that end, documenting lessons learned during the current evaluation may be useful.  </w:t>
      </w:r>
    </w:p>
    <w:p w:rsidR="00CE1C3F" w:rsidRPr="00035A25" w:rsidRDefault="0061732D" w:rsidP="005C1A83">
      <w:pPr>
        <w:pStyle w:val="ListParagraph"/>
        <w:tabs>
          <w:tab w:val="left" w:pos="540"/>
        </w:tabs>
        <w:spacing w:after="120"/>
        <w:ind w:left="540"/>
        <w:rPr>
          <w:b/>
          <w:caps/>
          <w:sz w:val="24"/>
          <w:szCs w:val="24"/>
          <w:u w:val="single"/>
        </w:rPr>
      </w:pPr>
      <w:r w:rsidRPr="00035A25">
        <w:rPr>
          <w:b/>
          <w:caps/>
          <w:sz w:val="24"/>
          <w:szCs w:val="24"/>
          <w:u w:val="single"/>
        </w:rPr>
        <w:t>NSF/NORC</w:t>
      </w:r>
      <w:r w:rsidR="00370F4F" w:rsidRPr="00035A25">
        <w:rPr>
          <w:b/>
          <w:caps/>
          <w:sz w:val="24"/>
          <w:szCs w:val="24"/>
          <w:u w:val="single"/>
        </w:rPr>
        <w:t xml:space="preserve"> </w:t>
      </w:r>
      <w:r w:rsidR="00715ED0" w:rsidRPr="00035A25">
        <w:rPr>
          <w:b/>
          <w:caps/>
          <w:sz w:val="24"/>
          <w:szCs w:val="24"/>
          <w:u w:val="single"/>
        </w:rPr>
        <w:t>Response</w:t>
      </w:r>
    </w:p>
    <w:p w:rsidR="000414F8" w:rsidRDefault="00C72363" w:rsidP="005C1A83">
      <w:pPr>
        <w:pStyle w:val="ListParagraph"/>
        <w:tabs>
          <w:tab w:val="left" w:pos="540"/>
        </w:tabs>
        <w:spacing w:after="120"/>
        <w:ind w:left="540"/>
      </w:pPr>
      <w:r w:rsidRPr="005A3388">
        <w:t xml:space="preserve">NSF will consider </w:t>
      </w:r>
      <w:r w:rsidR="00715ED0" w:rsidRPr="005A3388">
        <w:t xml:space="preserve">the result of the evaluation and seek ways to implement lessons learned into the GRFP </w:t>
      </w:r>
      <w:r w:rsidR="000414F8" w:rsidRPr="005A3388">
        <w:t xml:space="preserve">review </w:t>
      </w:r>
      <w:r w:rsidR="00715ED0" w:rsidRPr="005A3388">
        <w:t>process</w:t>
      </w:r>
      <w:r w:rsidR="00877FA2">
        <w:t>, in particular the applicant and selection process</w:t>
      </w:r>
      <w:r w:rsidR="00715ED0" w:rsidRPr="005A3388">
        <w:t>.</w:t>
      </w:r>
      <w:r w:rsidR="005A3388">
        <w:t xml:space="preserve"> NORC wil</w:t>
      </w:r>
      <w:r w:rsidR="002A00BB">
        <w:t xml:space="preserve">l keep track of lessons learned </w:t>
      </w:r>
      <w:r w:rsidR="00877FA2">
        <w:t xml:space="preserve">during the evaluation </w:t>
      </w:r>
      <w:r w:rsidR="002A00BB">
        <w:t xml:space="preserve">and will provide a set of suggestions to NSF for future efforts. </w:t>
      </w:r>
    </w:p>
    <w:p w:rsidR="000C775A" w:rsidRPr="000C775A" w:rsidRDefault="0061732D" w:rsidP="005C1A83">
      <w:pPr>
        <w:pStyle w:val="ListParagraph"/>
        <w:numPr>
          <w:ilvl w:val="0"/>
          <w:numId w:val="21"/>
        </w:numPr>
        <w:spacing w:after="120"/>
        <w:ind w:left="540"/>
      </w:pPr>
      <w:r w:rsidRPr="00035A25">
        <w:rPr>
          <w:b/>
          <w:sz w:val="24"/>
          <w:szCs w:val="24"/>
          <w:u w:val="single"/>
        </w:rPr>
        <w:t>OMB</w:t>
      </w:r>
      <w:r>
        <w:br/>
      </w:r>
      <w:r w:rsidR="000414F8" w:rsidRPr="000C775A">
        <w:t xml:space="preserve">There is no differentiation in the discussion of response rates and locating strategies for older and more recent cohorts.  Past NSF evaluations have suffered from an inability to locate older cohorts, potentially introducing significant bias into the results.  Therefore, we would like to see NSF go through the exercise of estimating response rates by treatment and control group by cohort.  We’d also like to different aspects of locating strategies emphasized for the older and newer and treatment and control groups.  </w:t>
      </w:r>
    </w:p>
    <w:p w:rsidR="0061732D" w:rsidRPr="00035A25" w:rsidRDefault="0061732D" w:rsidP="005C1A83">
      <w:pPr>
        <w:tabs>
          <w:tab w:val="left" w:pos="540"/>
        </w:tabs>
        <w:spacing w:after="120"/>
        <w:rPr>
          <w:b/>
          <w:caps/>
          <w:sz w:val="24"/>
          <w:szCs w:val="24"/>
          <w:u w:val="single"/>
        </w:rPr>
      </w:pPr>
      <w:r w:rsidRPr="00035A25">
        <w:rPr>
          <w:caps/>
          <w:sz w:val="24"/>
          <w:szCs w:val="24"/>
        </w:rPr>
        <w:tab/>
      </w:r>
      <w:r w:rsidRPr="00035A25">
        <w:rPr>
          <w:b/>
          <w:caps/>
          <w:sz w:val="24"/>
          <w:szCs w:val="24"/>
          <w:u w:val="single"/>
        </w:rPr>
        <w:t>NSF/NORC Response</w:t>
      </w:r>
    </w:p>
    <w:p w:rsidR="0061732D" w:rsidRDefault="00C67151" w:rsidP="005C1A83">
      <w:pPr>
        <w:tabs>
          <w:tab w:val="left" w:pos="540"/>
        </w:tabs>
        <w:spacing w:after="120"/>
        <w:ind w:left="540"/>
      </w:pPr>
      <w:r>
        <w:t xml:space="preserve">The following </w:t>
      </w:r>
      <w:r w:rsidR="00C64F18">
        <w:t xml:space="preserve">explanation </w:t>
      </w:r>
      <w:r w:rsidR="0061732D">
        <w:t>ha</w:t>
      </w:r>
      <w:r>
        <w:t>s</w:t>
      </w:r>
      <w:r w:rsidR="0061732D">
        <w:t xml:space="preserve"> been added to </w:t>
      </w:r>
      <w:r w:rsidR="00C64F18">
        <w:t xml:space="preserve">Section </w:t>
      </w:r>
      <w:r w:rsidR="00C64F18" w:rsidRPr="001D160F">
        <w:t>B.</w:t>
      </w:r>
      <w:r w:rsidR="00C64F18">
        <w:t xml:space="preserve">3 of </w:t>
      </w:r>
      <w:r w:rsidR="0061732D">
        <w:t>the OMB package</w:t>
      </w:r>
      <w:r w:rsidR="00C64F18">
        <w:t>,</w:t>
      </w:r>
      <w:r w:rsidR="0061732D">
        <w:t xml:space="preserve"> elaborating on locating strategies and how these </w:t>
      </w:r>
      <w:r w:rsidR="00C64F18">
        <w:t>may</w:t>
      </w:r>
      <w:r w:rsidR="0061732D">
        <w:t xml:space="preserve"> be tailored to the quality of lo</w:t>
      </w:r>
      <w:r>
        <w:t>cating data within each cohort:</w:t>
      </w:r>
    </w:p>
    <w:p w:rsidR="00C64F18" w:rsidRDefault="00C64F18" w:rsidP="005C1A83">
      <w:pPr>
        <w:spacing w:after="120"/>
        <w:ind w:left="540"/>
      </w:pPr>
      <w:r>
        <w:t>~~~~~~~~~~~~~~~~~~~~~~~~~~~~~~~~~~~~~~~~~~~~~~</w:t>
      </w:r>
    </w:p>
    <w:p w:rsidR="00C64F18" w:rsidRPr="00C64F18" w:rsidRDefault="00C64F18" w:rsidP="005C1A83">
      <w:pPr>
        <w:pStyle w:val="NORCHeading4"/>
        <w:spacing w:before="0" w:after="120"/>
        <w:ind w:firstLine="540"/>
        <w:rPr>
          <w:rFonts w:asciiTheme="minorHAnsi" w:hAnsiTheme="minorHAnsi" w:cstheme="minorHAnsi"/>
          <w:color w:val="auto"/>
        </w:rPr>
      </w:pPr>
      <w:r w:rsidRPr="00C64F18">
        <w:rPr>
          <w:rFonts w:asciiTheme="minorHAnsi" w:hAnsiTheme="minorHAnsi" w:cstheme="minorHAnsi"/>
          <w:color w:val="auto"/>
        </w:rPr>
        <w:t>Locating</w:t>
      </w:r>
    </w:p>
    <w:p w:rsidR="00C64F18" w:rsidRPr="00C64F18" w:rsidRDefault="00C64F18" w:rsidP="005C1A83">
      <w:pPr>
        <w:pStyle w:val="NORCTextNoIndent"/>
        <w:spacing w:after="120"/>
        <w:ind w:left="540"/>
        <w:rPr>
          <w:rFonts w:asciiTheme="minorHAnsi" w:hAnsiTheme="minorHAnsi" w:cstheme="minorHAnsi"/>
          <w:color w:val="auto"/>
          <w:sz w:val="22"/>
          <w:szCs w:val="22"/>
        </w:rPr>
      </w:pPr>
      <w:r w:rsidRPr="00C64F18">
        <w:rPr>
          <w:rFonts w:asciiTheme="minorHAnsi" w:hAnsiTheme="minorHAnsi" w:cstheme="minorHAnsi"/>
          <w:color w:val="auto"/>
          <w:sz w:val="22"/>
          <w:szCs w:val="22"/>
        </w:rPr>
        <w:t xml:space="preserve">Accurate address and telephone contact information are essential for notifying sample members of their selection in the study and further prompting for survey completion. Because we will be using the GRFP applicant records as the data source for sample member contact information captured at the time of applying to the program, the locating strategy has been designed to </w:t>
      </w:r>
      <w:r w:rsidRPr="00C64F18">
        <w:rPr>
          <w:rFonts w:asciiTheme="minorHAnsi" w:hAnsiTheme="minorHAnsi" w:cstheme="minorHAnsi"/>
          <w:color w:val="auto"/>
          <w:sz w:val="22"/>
          <w:szCs w:val="22"/>
        </w:rPr>
        <w:lastRenderedPageBreak/>
        <w:t>handle varying degrees of outdated information. Past NORC studies have found that 80% of located cases ultimately go on to complete the survey when following such a prompting strategy. Therefore</w:t>
      </w:r>
      <w:r w:rsidR="005C1A83">
        <w:rPr>
          <w:rFonts w:asciiTheme="minorHAnsi" w:hAnsiTheme="minorHAnsi" w:cstheme="minorHAnsi"/>
          <w:color w:val="auto"/>
          <w:sz w:val="22"/>
          <w:szCs w:val="22"/>
        </w:rPr>
        <w:t>,</w:t>
      </w:r>
      <w:r w:rsidRPr="00C64F18">
        <w:rPr>
          <w:rFonts w:asciiTheme="minorHAnsi" w:hAnsiTheme="minorHAnsi" w:cstheme="minorHAnsi"/>
          <w:color w:val="auto"/>
          <w:sz w:val="22"/>
          <w:szCs w:val="22"/>
        </w:rPr>
        <w:t xml:space="preserve"> to target a 65% response</w:t>
      </w:r>
      <w:r w:rsidR="005C1A83">
        <w:rPr>
          <w:rFonts w:asciiTheme="minorHAnsi" w:hAnsiTheme="minorHAnsi" w:cstheme="minorHAnsi"/>
          <w:color w:val="auto"/>
          <w:sz w:val="22"/>
          <w:szCs w:val="22"/>
        </w:rPr>
        <w:t>,</w:t>
      </w:r>
      <w:r w:rsidRPr="00C64F18">
        <w:rPr>
          <w:rFonts w:asciiTheme="minorHAnsi" w:hAnsiTheme="minorHAnsi" w:cstheme="minorHAnsi"/>
          <w:color w:val="auto"/>
          <w:sz w:val="22"/>
          <w:szCs w:val="22"/>
        </w:rPr>
        <w:t xml:space="preserve"> NORC will need to locate 75-85% of sample members within each cohort. To accomplish this, NORC will use a multi-stage strategy for locating sample members that will be responsive to varying amounts of locating information within any given cohort.</w:t>
      </w:r>
    </w:p>
    <w:p w:rsidR="00C64F18" w:rsidRPr="00C64F18" w:rsidRDefault="00C64F18" w:rsidP="005C1A83">
      <w:pPr>
        <w:pStyle w:val="NORCTextNoIndent"/>
        <w:spacing w:after="120"/>
        <w:ind w:left="540"/>
        <w:rPr>
          <w:rFonts w:asciiTheme="minorHAnsi" w:hAnsiTheme="minorHAnsi" w:cstheme="minorHAnsi"/>
          <w:color w:val="auto"/>
          <w:sz w:val="22"/>
          <w:szCs w:val="22"/>
        </w:rPr>
      </w:pPr>
      <w:r w:rsidRPr="00C64F18">
        <w:rPr>
          <w:rFonts w:asciiTheme="minorHAnsi" w:hAnsiTheme="minorHAnsi" w:cstheme="minorHAnsi"/>
          <w:color w:val="auto"/>
          <w:sz w:val="22"/>
          <w:szCs w:val="22"/>
        </w:rPr>
        <w:t>As noted, NSF will provide contact information from GRFP applicant records, including names and birthdates for all cases. For many cases, available information will also include social security numbers</w:t>
      </w:r>
      <w:r w:rsidR="005C1A83">
        <w:rPr>
          <w:rFonts w:asciiTheme="minorHAnsi" w:hAnsiTheme="minorHAnsi" w:cstheme="minorHAnsi"/>
          <w:color w:val="auto"/>
          <w:sz w:val="22"/>
          <w:szCs w:val="22"/>
        </w:rPr>
        <w:t xml:space="preserve"> (SSN)</w:t>
      </w:r>
      <w:r w:rsidRPr="00C64F18">
        <w:rPr>
          <w:rFonts w:asciiTheme="minorHAnsi" w:hAnsiTheme="minorHAnsi" w:cstheme="minorHAnsi"/>
          <w:color w:val="auto"/>
          <w:sz w:val="22"/>
          <w:szCs w:val="22"/>
        </w:rPr>
        <w:t xml:space="preserve">, address information, phone numbers, email addresses, and educational institutions (i.e., intended graduate school, current or previous college or university). Cases with incomplete contact information and cases with outdated contact information will be submitted for locating.  </w:t>
      </w:r>
    </w:p>
    <w:p w:rsidR="00C64F18" w:rsidRPr="00C64F18" w:rsidRDefault="00C64F18" w:rsidP="005C1A83">
      <w:pPr>
        <w:pStyle w:val="NORCTextNoIndent"/>
        <w:spacing w:after="120"/>
        <w:ind w:left="540"/>
        <w:rPr>
          <w:rFonts w:asciiTheme="minorHAnsi" w:hAnsiTheme="minorHAnsi" w:cstheme="minorHAnsi"/>
          <w:color w:val="auto"/>
          <w:sz w:val="22"/>
          <w:szCs w:val="22"/>
        </w:rPr>
      </w:pPr>
      <w:r w:rsidRPr="00C64F18">
        <w:rPr>
          <w:rFonts w:asciiTheme="minorHAnsi" w:hAnsiTheme="minorHAnsi" w:cstheme="minorHAnsi"/>
          <w:color w:val="auto"/>
          <w:sz w:val="22"/>
          <w:szCs w:val="22"/>
        </w:rPr>
        <w:t xml:space="preserve">Our primary locating tools will include </w:t>
      </w:r>
      <w:proofErr w:type="spellStart"/>
      <w:r w:rsidRPr="00C64F18">
        <w:rPr>
          <w:rFonts w:asciiTheme="minorHAnsi" w:hAnsiTheme="minorHAnsi" w:cstheme="minorHAnsi"/>
          <w:color w:val="auto"/>
          <w:sz w:val="22"/>
          <w:szCs w:val="22"/>
        </w:rPr>
        <w:t>Accurint</w:t>
      </w:r>
      <w:proofErr w:type="spellEnd"/>
      <w:r w:rsidRPr="00C64F18">
        <w:rPr>
          <w:rFonts w:asciiTheme="minorHAnsi" w:hAnsiTheme="minorHAnsi" w:cstheme="minorHAnsi"/>
          <w:color w:val="auto"/>
          <w:sz w:val="22"/>
          <w:szCs w:val="22"/>
        </w:rPr>
        <w:t xml:space="preserve"> and LinkedIn searches. </w:t>
      </w:r>
      <w:proofErr w:type="spellStart"/>
      <w:r w:rsidRPr="00C64F18">
        <w:rPr>
          <w:rFonts w:asciiTheme="minorHAnsi" w:hAnsiTheme="minorHAnsi" w:cstheme="minorHAnsi"/>
          <w:color w:val="auto"/>
          <w:sz w:val="22"/>
          <w:szCs w:val="22"/>
        </w:rPr>
        <w:t>Accurint</w:t>
      </w:r>
      <w:proofErr w:type="spellEnd"/>
      <w:r w:rsidRPr="00C64F18">
        <w:rPr>
          <w:rFonts w:asciiTheme="minorHAnsi" w:hAnsiTheme="minorHAnsi" w:cstheme="minorHAnsi"/>
          <w:color w:val="auto"/>
          <w:sz w:val="22"/>
          <w:szCs w:val="22"/>
        </w:rPr>
        <w:t xml:space="preserve"> is a locating service that maintains a database of national information. When there is a match, the </w:t>
      </w:r>
      <w:proofErr w:type="spellStart"/>
      <w:r w:rsidRPr="00C64F18">
        <w:rPr>
          <w:rFonts w:asciiTheme="minorHAnsi" w:hAnsiTheme="minorHAnsi" w:cstheme="minorHAnsi"/>
          <w:color w:val="auto"/>
          <w:sz w:val="22"/>
          <w:szCs w:val="22"/>
        </w:rPr>
        <w:t>Accurint</w:t>
      </w:r>
      <w:proofErr w:type="spellEnd"/>
      <w:r w:rsidRPr="00C64F18">
        <w:rPr>
          <w:rFonts w:asciiTheme="minorHAnsi" w:hAnsiTheme="minorHAnsi" w:cstheme="minorHAnsi"/>
          <w:color w:val="auto"/>
          <w:sz w:val="22"/>
          <w:szCs w:val="22"/>
        </w:rPr>
        <w:t xml:space="preserve"> search yields address, phone, and/or email information. Previous NORC studies with populations similar to GRFP applicants have been able to locate 60% of their sample using </w:t>
      </w:r>
      <w:proofErr w:type="spellStart"/>
      <w:r w:rsidRPr="00C64F18">
        <w:rPr>
          <w:rFonts w:asciiTheme="minorHAnsi" w:hAnsiTheme="minorHAnsi" w:cstheme="minorHAnsi"/>
          <w:color w:val="auto"/>
          <w:sz w:val="22"/>
          <w:szCs w:val="22"/>
        </w:rPr>
        <w:t>Accurint</w:t>
      </w:r>
      <w:proofErr w:type="spellEnd"/>
      <w:r w:rsidRPr="00C64F18">
        <w:rPr>
          <w:rFonts w:asciiTheme="minorHAnsi" w:hAnsiTheme="minorHAnsi" w:cstheme="minorHAnsi"/>
          <w:color w:val="auto"/>
          <w:sz w:val="22"/>
          <w:szCs w:val="22"/>
        </w:rPr>
        <w:t xml:space="preserve"> searches.  Because </w:t>
      </w:r>
      <w:proofErr w:type="spellStart"/>
      <w:r w:rsidRPr="00C64F18">
        <w:rPr>
          <w:rFonts w:asciiTheme="minorHAnsi" w:hAnsiTheme="minorHAnsi" w:cstheme="minorHAnsi"/>
          <w:color w:val="auto"/>
          <w:sz w:val="22"/>
          <w:szCs w:val="22"/>
        </w:rPr>
        <w:t>Accurint</w:t>
      </w:r>
      <w:proofErr w:type="spellEnd"/>
      <w:r w:rsidRPr="00C64F18">
        <w:rPr>
          <w:rFonts w:asciiTheme="minorHAnsi" w:hAnsiTheme="minorHAnsi" w:cstheme="minorHAnsi"/>
          <w:color w:val="auto"/>
          <w:sz w:val="22"/>
          <w:szCs w:val="22"/>
        </w:rPr>
        <w:t xml:space="preserve"> searches rely on SSN and birthdate information, LinkedIn will additionally be used for cases that lack these critical information fields. LinkedIn searches have been found to be highly successful in locating profiles of professionals when using academic institution information.  NORC estimates that an additional 15-20% of the sample can be located through LinkedIn searches. LinkedIn is a professional networking web site where individuals create profiles listing their academic and professional credentials. Often these profiles list current employers, and/or contact emails and phone numbers. NORC has developed methods of searching LinkedIn profile pages using educational institution information listed on profile pages. These searches will be used to identify cases where sample members profiles list a current employer, current educational institution, or where there is contact information listed. Locators will then enter this information into our cases management system. This information will also be used to guide academic directory and employer directory searches. </w:t>
      </w:r>
    </w:p>
    <w:p w:rsidR="00C64F18" w:rsidRPr="00C64F18" w:rsidRDefault="00C64F18" w:rsidP="005C1A83">
      <w:pPr>
        <w:pStyle w:val="NORCTextNoIndent"/>
        <w:spacing w:after="120"/>
        <w:ind w:left="540"/>
        <w:rPr>
          <w:rFonts w:asciiTheme="minorHAnsi" w:hAnsiTheme="minorHAnsi" w:cstheme="minorHAnsi"/>
          <w:b/>
          <w:i/>
          <w:color w:val="auto"/>
          <w:sz w:val="22"/>
          <w:szCs w:val="22"/>
        </w:rPr>
      </w:pPr>
      <w:r w:rsidRPr="00C64F18">
        <w:rPr>
          <w:rFonts w:asciiTheme="minorHAnsi" w:hAnsiTheme="minorHAnsi" w:cstheme="minorHAnsi"/>
          <w:color w:val="auto"/>
          <w:sz w:val="22"/>
          <w:szCs w:val="22"/>
        </w:rPr>
        <w:t xml:space="preserve">These locating strategies will be employed during two phases of the study: prior to data collection (i.e., Pre-field), and during data collection. </w:t>
      </w:r>
    </w:p>
    <w:p w:rsidR="00C64F18" w:rsidRPr="00C64F18" w:rsidRDefault="00C64F18" w:rsidP="005C1A83">
      <w:pPr>
        <w:pStyle w:val="NORCTextNoIndent"/>
        <w:spacing w:after="120"/>
        <w:ind w:firstLine="540"/>
        <w:rPr>
          <w:rFonts w:asciiTheme="minorHAnsi" w:hAnsiTheme="minorHAnsi" w:cstheme="minorHAnsi"/>
          <w:b/>
          <w:i/>
          <w:color w:val="auto"/>
          <w:sz w:val="22"/>
          <w:szCs w:val="22"/>
        </w:rPr>
      </w:pPr>
      <w:r w:rsidRPr="00C64F18">
        <w:rPr>
          <w:rFonts w:asciiTheme="minorHAnsi" w:hAnsiTheme="minorHAnsi" w:cstheme="minorHAnsi"/>
          <w:b/>
          <w:i/>
          <w:color w:val="auto"/>
          <w:sz w:val="22"/>
          <w:szCs w:val="22"/>
        </w:rPr>
        <w:t>Pre-field Locating</w:t>
      </w:r>
    </w:p>
    <w:p w:rsidR="00C64F18" w:rsidRPr="00C64F18" w:rsidRDefault="00C64F18" w:rsidP="005C1A83">
      <w:pPr>
        <w:pStyle w:val="NORCTextNoIndent"/>
        <w:spacing w:after="120"/>
        <w:ind w:left="540"/>
        <w:rPr>
          <w:rFonts w:asciiTheme="minorHAnsi" w:hAnsiTheme="minorHAnsi" w:cstheme="minorHAnsi"/>
          <w:color w:val="auto"/>
          <w:sz w:val="22"/>
          <w:szCs w:val="22"/>
        </w:rPr>
      </w:pPr>
      <w:r w:rsidRPr="00C64F18">
        <w:rPr>
          <w:rFonts w:asciiTheme="minorHAnsi" w:hAnsiTheme="minorHAnsi" w:cstheme="minorHAnsi"/>
          <w:color w:val="auto"/>
          <w:sz w:val="22"/>
          <w:szCs w:val="22"/>
        </w:rPr>
        <w:t xml:space="preserve">The locating strategy is based on the assumption that current address information may be incomplete for a portion of the sample. To account for this, pre-field locating will be conducted using </w:t>
      </w:r>
      <w:proofErr w:type="spellStart"/>
      <w:r w:rsidRPr="00C64F18">
        <w:rPr>
          <w:rFonts w:asciiTheme="minorHAnsi" w:hAnsiTheme="minorHAnsi" w:cstheme="minorHAnsi"/>
          <w:color w:val="auto"/>
          <w:sz w:val="22"/>
          <w:szCs w:val="22"/>
        </w:rPr>
        <w:t>Accurint</w:t>
      </w:r>
      <w:proofErr w:type="spellEnd"/>
      <w:r w:rsidRPr="00C64F18">
        <w:rPr>
          <w:rFonts w:asciiTheme="minorHAnsi" w:hAnsiTheme="minorHAnsi" w:cstheme="minorHAnsi"/>
          <w:color w:val="auto"/>
          <w:sz w:val="22"/>
          <w:szCs w:val="22"/>
        </w:rPr>
        <w:t xml:space="preserve">. In addition, with NSF’s support, NORC may contact coordinating officials at GRFP-sponsoring institutions to request updated contact information for more recent cohorts who may still be </w:t>
      </w:r>
      <w:r w:rsidR="00A638C3">
        <w:rPr>
          <w:rFonts w:asciiTheme="minorHAnsi" w:hAnsiTheme="minorHAnsi" w:cstheme="minorHAnsi"/>
          <w:color w:val="auto"/>
          <w:sz w:val="22"/>
          <w:szCs w:val="22"/>
        </w:rPr>
        <w:t>currently-enrolled</w:t>
      </w:r>
      <w:r w:rsidRPr="00C64F18">
        <w:rPr>
          <w:rFonts w:asciiTheme="minorHAnsi" w:hAnsiTheme="minorHAnsi" w:cstheme="minorHAnsi"/>
          <w:color w:val="auto"/>
          <w:sz w:val="22"/>
          <w:szCs w:val="22"/>
        </w:rPr>
        <w:t xml:space="preserve"> graduate students. </w:t>
      </w:r>
    </w:p>
    <w:p w:rsidR="00C64F18" w:rsidRPr="00C64F18" w:rsidRDefault="00C64F18" w:rsidP="005C1A83">
      <w:pPr>
        <w:pStyle w:val="NORCTextNoIndent"/>
        <w:spacing w:after="120"/>
        <w:ind w:firstLine="540"/>
        <w:rPr>
          <w:rFonts w:asciiTheme="minorHAnsi" w:hAnsiTheme="minorHAnsi" w:cstheme="minorHAnsi"/>
          <w:b/>
          <w:i/>
          <w:color w:val="auto"/>
          <w:sz w:val="22"/>
          <w:szCs w:val="22"/>
        </w:rPr>
      </w:pPr>
      <w:r w:rsidRPr="00C64F18">
        <w:rPr>
          <w:rFonts w:asciiTheme="minorHAnsi" w:hAnsiTheme="minorHAnsi" w:cstheme="minorHAnsi"/>
          <w:b/>
          <w:i/>
          <w:color w:val="auto"/>
          <w:sz w:val="22"/>
          <w:szCs w:val="22"/>
        </w:rPr>
        <w:t>Locating during Data Collection</w:t>
      </w:r>
    </w:p>
    <w:p w:rsidR="00C64F18" w:rsidRPr="00C64F18" w:rsidRDefault="00C64F18" w:rsidP="005C1A83">
      <w:pPr>
        <w:pStyle w:val="NORCTextNoIndent"/>
        <w:spacing w:after="120"/>
        <w:ind w:left="540"/>
        <w:rPr>
          <w:rFonts w:asciiTheme="minorHAnsi" w:hAnsiTheme="minorHAnsi" w:cstheme="minorHAnsi"/>
          <w:color w:val="auto"/>
          <w:sz w:val="22"/>
          <w:szCs w:val="22"/>
        </w:rPr>
      </w:pPr>
      <w:r w:rsidRPr="00C64F18">
        <w:rPr>
          <w:rFonts w:asciiTheme="minorHAnsi" w:hAnsiTheme="minorHAnsi" w:cstheme="minorHAnsi"/>
          <w:color w:val="auto"/>
          <w:sz w:val="22"/>
          <w:szCs w:val="22"/>
        </w:rPr>
        <w:t xml:space="preserve">Once the survey is in the field, we will mail letters to addresses obtained through </w:t>
      </w:r>
      <w:proofErr w:type="spellStart"/>
      <w:r w:rsidRPr="00C64F18">
        <w:rPr>
          <w:rFonts w:asciiTheme="minorHAnsi" w:hAnsiTheme="minorHAnsi" w:cstheme="minorHAnsi"/>
          <w:color w:val="auto"/>
          <w:sz w:val="22"/>
          <w:szCs w:val="22"/>
        </w:rPr>
        <w:t>Accurint</w:t>
      </w:r>
      <w:proofErr w:type="spellEnd"/>
      <w:r w:rsidRPr="00C64F18">
        <w:rPr>
          <w:rFonts w:asciiTheme="minorHAnsi" w:hAnsiTheme="minorHAnsi" w:cstheme="minorHAnsi"/>
          <w:color w:val="auto"/>
          <w:sz w:val="22"/>
          <w:szCs w:val="22"/>
        </w:rPr>
        <w:t xml:space="preserve"> searches or from applicant data and send out an email prompt. Cases having mail returned as undeliverable or invalid email addresses or phone numbers will be designated for more intensive locating treatments. These cases will be forwarded to NORC’s locating department, where staff will conduct additional </w:t>
      </w:r>
      <w:proofErr w:type="spellStart"/>
      <w:r w:rsidRPr="00C64F18">
        <w:rPr>
          <w:rFonts w:asciiTheme="minorHAnsi" w:hAnsiTheme="minorHAnsi" w:cstheme="minorHAnsi"/>
          <w:color w:val="auto"/>
          <w:sz w:val="22"/>
          <w:szCs w:val="22"/>
        </w:rPr>
        <w:t>Accurint</w:t>
      </w:r>
      <w:proofErr w:type="spellEnd"/>
      <w:r w:rsidRPr="00C64F18">
        <w:rPr>
          <w:rFonts w:asciiTheme="minorHAnsi" w:hAnsiTheme="minorHAnsi" w:cstheme="minorHAnsi"/>
          <w:color w:val="auto"/>
          <w:sz w:val="22"/>
          <w:szCs w:val="22"/>
        </w:rPr>
        <w:t xml:space="preserve"> individual searches.</w:t>
      </w:r>
    </w:p>
    <w:p w:rsidR="00C64F18" w:rsidRPr="00C64F18" w:rsidRDefault="00C64F18" w:rsidP="005C1A83">
      <w:pPr>
        <w:pStyle w:val="NORCTextNoIndent"/>
        <w:spacing w:after="120"/>
        <w:ind w:left="540"/>
        <w:rPr>
          <w:rFonts w:asciiTheme="minorHAnsi" w:hAnsiTheme="minorHAnsi" w:cstheme="minorHAnsi"/>
          <w:color w:val="auto"/>
          <w:sz w:val="22"/>
          <w:szCs w:val="22"/>
        </w:rPr>
      </w:pPr>
      <w:r w:rsidRPr="00C64F18">
        <w:rPr>
          <w:rFonts w:asciiTheme="minorHAnsi" w:hAnsiTheme="minorHAnsi" w:cstheme="minorHAnsi"/>
          <w:color w:val="auto"/>
          <w:sz w:val="22"/>
          <w:szCs w:val="22"/>
        </w:rPr>
        <w:t xml:space="preserve">In addition, NORC will use LinkedIn searches using  educational institution data contained in the applicant files  (including BA institution, current institution, and intended graduate institution at </w:t>
      </w:r>
      <w:r w:rsidRPr="00C64F18">
        <w:rPr>
          <w:rFonts w:asciiTheme="minorHAnsi" w:hAnsiTheme="minorHAnsi" w:cstheme="minorHAnsi"/>
          <w:color w:val="auto"/>
          <w:sz w:val="22"/>
          <w:szCs w:val="22"/>
        </w:rPr>
        <w:lastRenderedPageBreak/>
        <w:t xml:space="preserve">the time they submitted the GRFP application) to locate sample members on LinkedIn using automated search techniques. Locators will manually review LinkedIn profiles for new contact information, including: email, phone, current employer, and current location. For older cohorts, LinkedIn searches will be necessary to determine updated location information.  For example, where LinkedIn searches produce an affiliation with an educational institution, the information will be used to conduct academic directory searches.  </w:t>
      </w:r>
    </w:p>
    <w:p w:rsidR="00C64F18" w:rsidRPr="00C64F18" w:rsidRDefault="00C64F18" w:rsidP="005C1A83">
      <w:pPr>
        <w:pStyle w:val="NORCTextNoIndent"/>
        <w:spacing w:after="120"/>
        <w:ind w:left="540"/>
        <w:rPr>
          <w:rFonts w:asciiTheme="minorHAnsi" w:hAnsiTheme="minorHAnsi" w:cstheme="minorHAnsi"/>
          <w:color w:val="auto"/>
          <w:sz w:val="22"/>
          <w:szCs w:val="22"/>
        </w:rPr>
      </w:pPr>
      <w:r w:rsidRPr="00C64F18">
        <w:rPr>
          <w:rFonts w:asciiTheme="minorHAnsi" w:hAnsiTheme="minorHAnsi" w:cstheme="minorHAnsi"/>
          <w:color w:val="auto"/>
          <w:sz w:val="22"/>
          <w:szCs w:val="22"/>
        </w:rPr>
        <w:t>NORC expects that more recent cohorts will have more up-to-date information and will require less intensive locating efforts in comparison to older cohorts.  For older cohorts, employing LinkedIn searches will likely be necessary to locate 75% to 85% of sample members. Location rates within cohorts, as well within awardee status group will be monitored throughout the data collection period, and the locating strategies applied as necessary.</w:t>
      </w:r>
    </w:p>
    <w:p w:rsidR="00C64F18" w:rsidRDefault="00C64F18" w:rsidP="005C1A83">
      <w:pPr>
        <w:spacing w:after="120"/>
        <w:ind w:left="540"/>
      </w:pPr>
      <w:r>
        <w:t>~~~~~~~~~~~~~~~~~~~~~~~~~~~~~~~~~~~~~~~~~~~~~~</w:t>
      </w:r>
    </w:p>
    <w:p w:rsidR="000414F8" w:rsidRPr="00B13EB8" w:rsidRDefault="00C67151" w:rsidP="005C1A83">
      <w:pPr>
        <w:pStyle w:val="ListParagraph"/>
        <w:numPr>
          <w:ilvl w:val="0"/>
          <w:numId w:val="21"/>
        </w:numPr>
        <w:spacing w:after="120"/>
        <w:ind w:left="540"/>
      </w:pPr>
      <w:r w:rsidRPr="001A0AA7">
        <w:rPr>
          <w:b/>
          <w:sz w:val="24"/>
          <w:szCs w:val="24"/>
          <w:u w:val="single"/>
        </w:rPr>
        <w:t>OMB</w:t>
      </w:r>
      <w:r>
        <w:br/>
      </w:r>
      <w:r w:rsidR="000414F8" w:rsidRPr="00B13EB8">
        <w:t xml:space="preserve">In addition, NSF needs to design in a nonresponse bias analysis, especially for the older cohorts. </w:t>
      </w:r>
    </w:p>
    <w:p w:rsidR="000414F8" w:rsidRDefault="000414F8" w:rsidP="005C1A83">
      <w:pPr>
        <w:spacing w:after="120"/>
        <w:rPr>
          <w:color w:val="1F497D"/>
        </w:rPr>
      </w:pPr>
    </w:p>
    <w:p w:rsidR="00C67151" w:rsidRPr="001A0AA7" w:rsidRDefault="00C67151" w:rsidP="005C1A83">
      <w:pPr>
        <w:tabs>
          <w:tab w:val="left" w:pos="540"/>
        </w:tabs>
        <w:spacing w:after="120"/>
        <w:rPr>
          <w:b/>
          <w:caps/>
          <w:sz w:val="24"/>
          <w:szCs w:val="24"/>
          <w:u w:val="single"/>
        </w:rPr>
      </w:pPr>
      <w:r w:rsidRPr="001A0AA7">
        <w:rPr>
          <w:caps/>
          <w:sz w:val="24"/>
          <w:szCs w:val="24"/>
        </w:rPr>
        <w:tab/>
      </w:r>
      <w:r w:rsidRPr="001A0AA7">
        <w:rPr>
          <w:b/>
          <w:caps/>
          <w:sz w:val="24"/>
          <w:szCs w:val="24"/>
          <w:u w:val="single"/>
        </w:rPr>
        <w:t>NSF/NORC Response</w:t>
      </w:r>
    </w:p>
    <w:p w:rsidR="00233231" w:rsidRDefault="00C67151" w:rsidP="005C1A83">
      <w:pPr>
        <w:tabs>
          <w:tab w:val="left" w:pos="-4950"/>
        </w:tabs>
        <w:spacing w:after="120"/>
        <w:ind w:left="540"/>
      </w:pPr>
      <w:r>
        <w:t>Additional t</w:t>
      </w:r>
      <w:r w:rsidR="00B13EB8">
        <w:t xml:space="preserve">ext has been </w:t>
      </w:r>
      <w:r w:rsidR="00A638C3">
        <w:t>added</w:t>
      </w:r>
      <w:r>
        <w:t xml:space="preserve"> </w:t>
      </w:r>
      <w:r w:rsidR="00B13EB8">
        <w:t xml:space="preserve">to Section B.4. “GRFP Follow-Up Survey: Tests of Procedures” containing a description of the </w:t>
      </w:r>
      <w:r w:rsidR="00A638C3">
        <w:t xml:space="preserve">how NORC will address and correct for </w:t>
      </w:r>
      <w:r w:rsidR="00B13EB8">
        <w:t xml:space="preserve">nonresponse bias.  </w:t>
      </w:r>
      <w:r w:rsidR="00233231">
        <w:t xml:space="preserve">The following has been added to the OMB package, Section B.4: </w:t>
      </w:r>
    </w:p>
    <w:p w:rsidR="00FE7FDD" w:rsidRDefault="00FE7FDD" w:rsidP="005C1A83">
      <w:pPr>
        <w:spacing w:after="120"/>
        <w:ind w:left="540"/>
      </w:pPr>
      <w:r>
        <w:t>~~~~~~~~~~~~~~~~~~~~~~~~~~~~~~~~~~~~~~~~~~~~~~</w:t>
      </w:r>
    </w:p>
    <w:p w:rsidR="00FE7FDD" w:rsidRDefault="00FE7FDD" w:rsidP="005C1A83">
      <w:pPr>
        <w:spacing w:after="120"/>
        <w:ind w:firstLine="540"/>
        <w:rPr>
          <w:rFonts w:asciiTheme="minorHAnsi" w:hAnsiTheme="minorHAnsi" w:cstheme="minorHAnsi"/>
          <w:b/>
          <w:i/>
        </w:rPr>
      </w:pPr>
      <w:r>
        <w:rPr>
          <w:rFonts w:asciiTheme="minorHAnsi" w:hAnsiTheme="minorHAnsi" w:cstheme="minorHAnsi"/>
          <w:b/>
          <w:i/>
        </w:rPr>
        <w:t>Nonresponse Bias Analysis</w:t>
      </w:r>
    </w:p>
    <w:p w:rsidR="00FE7FDD" w:rsidRDefault="00FE7FDD" w:rsidP="005C1A83">
      <w:pPr>
        <w:pStyle w:val="NORC-BodyDoubleSpacedTimes"/>
        <w:spacing w:after="120" w:line="240" w:lineRule="auto"/>
        <w:ind w:left="540"/>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High nonresponse overall or differential response rates between the treatment and control groups, and/or between older and newer cohorts can jeopardize the integrity of a study. The contractor plans to conduct a series of comparisons to assess the extent to which nonresponse has resulted in the respondent sample being different from the original baseline sample</w:t>
      </w:r>
      <w:r>
        <w:rPr>
          <w:rFonts w:asciiTheme="minorHAnsi" w:hAnsiTheme="minorHAnsi" w:cstheme="minorHAnsi"/>
          <w:color w:val="000000" w:themeColor="text1"/>
          <w:sz w:val="22"/>
          <w:szCs w:val="22"/>
        </w:rPr>
        <w:t>.</w:t>
      </w:r>
    </w:p>
    <w:p w:rsidR="00FE7FDD" w:rsidRPr="008B3CF3" w:rsidRDefault="00FE7FDD" w:rsidP="005C1A83">
      <w:pPr>
        <w:pStyle w:val="NORC-BodyDoubleSpacedTimes"/>
        <w:spacing w:after="120" w:line="240" w:lineRule="auto"/>
        <w:ind w:left="540"/>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 xml:space="preserve">NORC will employ </w:t>
      </w:r>
      <w:r>
        <w:rPr>
          <w:rFonts w:asciiTheme="minorHAnsi" w:hAnsiTheme="minorHAnsi" w:cstheme="minorHAnsi"/>
          <w:color w:val="000000" w:themeColor="text1"/>
          <w:sz w:val="22"/>
          <w:szCs w:val="22"/>
        </w:rPr>
        <w:t>different</w:t>
      </w:r>
      <w:r w:rsidRPr="008B3CF3">
        <w:rPr>
          <w:rFonts w:asciiTheme="minorHAnsi" w:hAnsiTheme="minorHAnsi" w:cstheme="minorHAnsi"/>
          <w:color w:val="000000" w:themeColor="text1"/>
          <w:sz w:val="22"/>
          <w:szCs w:val="22"/>
        </w:rPr>
        <w:t xml:space="preserve"> approaches to </w:t>
      </w:r>
      <w:r>
        <w:rPr>
          <w:rFonts w:asciiTheme="minorHAnsi" w:hAnsiTheme="minorHAnsi" w:cstheme="minorHAnsi"/>
          <w:color w:val="000000" w:themeColor="text1"/>
          <w:sz w:val="22"/>
          <w:szCs w:val="22"/>
        </w:rPr>
        <w:t>examining</w:t>
      </w:r>
      <w:r w:rsidRPr="008B3CF3">
        <w:rPr>
          <w:rFonts w:asciiTheme="minorHAnsi" w:hAnsiTheme="minorHAnsi" w:cstheme="minorHAnsi"/>
          <w:color w:val="000000" w:themeColor="text1"/>
          <w:sz w:val="22"/>
          <w:szCs w:val="22"/>
        </w:rPr>
        <w:t xml:space="preserve"> non-response bias and accounting for it in the final analysis. Two potential options for our non-response bias tests are the Confidence Interval Bias Test and Cochran’s Bias Test.</w:t>
      </w:r>
      <w:r w:rsidRPr="008B3CF3">
        <w:rPr>
          <w:rStyle w:val="FootnoteReference"/>
          <w:rFonts w:asciiTheme="minorHAnsi" w:eastAsiaTheme="majorEastAsia" w:hAnsiTheme="minorHAnsi" w:cstheme="minorHAnsi"/>
          <w:color w:val="000000" w:themeColor="text1"/>
          <w:sz w:val="22"/>
          <w:szCs w:val="22"/>
        </w:rPr>
        <w:footnoteReference w:id="1"/>
      </w:r>
      <w:r w:rsidRPr="008B3CF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 </w:t>
      </w:r>
      <w:r w:rsidRPr="008B3CF3">
        <w:rPr>
          <w:rFonts w:asciiTheme="minorHAnsi" w:hAnsiTheme="minorHAnsi" w:cstheme="minorHAnsi"/>
          <w:color w:val="000000" w:themeColor="text1"/>
          <w:sz w:val="22"/>
          <w:szCs w:val="22"/>
        </w:rPr>
        <w:t xml:space="preserve">For the Confidence Interval Bias Test, variables such as demographic characteristics will be </w:t>
      </w:r>
      <w:r>
        <w:rPr>
          <w:rFonts w:asciiTheme="minorHAnsi" w:hAnsiTheme="minorHAnsi" w:cstheme="minorHAnsi"/>
          <w:color w:val="000000" w:themeColor="text1"/>
          <w:sz w:val="22"/>
          <w:szCs w:val="22"/>
        </w:rPr>
        <w:t>compared for the original baseline sample and the respondent sample</w:t>
      </w:r>
      <w:r w:rsidRPr="008B3CF3">
        <w:rPr>
          <w:rFonts w:asciiTheme="minorHAnsi" w:hAnsiTheme="minorHAnsi" w:cstheme="minorHAnsi"/>
          <w:color w:val="000000" w:themeColor="text1"/>
          <w:sz w:val="22"/>
          <w:szCs w:val="22"/>
        </w:rPr>
        <w:t xml:space="preserve">.  A confidence interval (CI) around the mean value among the responders will be calculated and compared to the mean value of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sample—if the mean of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 falls within the CI, this suggests that the responders are sufficiently similar to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 and that </w:t>
      </w:r>
      <w:r>
        <w:rPr>
          <w:rFonts w:asciiTheme="minorHAnsi" w:hAnsiTheme="minorHAnsi" w:cstheme="minorHAnsi"/>
          <w:color w:val="000000" w:themeColor="text1"/>
          <w:sz w:val="22"/>
          <w:szCs w:val="22"/>
        </w:rPr>
        <w:t xml:space="preserve">it is not necessary to correct for </w:t>
      </w:r>
      <w:r w:rsidRPr="008B3CF3">
        <w:rPr>
          <w:rFonts w:asciiTheme="minorHAnsi" w:hAnsiTheme="minorHAnsi" w:cstheme="minorHAnsi"/>
          <w:color w:val="000000" w:themeColor="text1"/>
          <w:sz w:val="22"/>
          <w:szCs w:val="22"/>
        </w:rPr>
        <w:t>nonresponse bias.</w:t>
      </w:r>
    </w:p>
    <w:p w:rsidR="00FE7FDD" w:rsidRPr="008B3CF3" w:rsidRDefault="00FE7FDD" w:rsidP="005C1A83">
      <w:pPr>
        <w:pStyle w:val="NORC-BodyDoubleSpacedTimes"/>
        <w:spacing w:after="120" w:line="240" w:lineRule="auto"/>
        <w:ind w:left="540"/>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t xml:space="preserve">A more rigorous test to detect bias is the Cochran Bias Test, which is calculated by taking the difference of the mean of the responders and the mean of the </w:t>
      </w:r>
      <w:r>
        <w:rPr>
          <w:rFonts w:asciiTheme="minorHAnsi" w:hAnsiTheme="minorHAnsi" w:cstheme="minorHAnsi"/>
          <w:color w:val="000000" w:themeColor="text1"/>
          <w:sz w:val="22"/>
          <w:szCs w:val="22"/>
        </w:rPr>
        <w:t>baseline</w:t>
      </w:r>
      <w:r w:rsidRPr="008B3CF3">
        <w:rPr>
          <w:rFonts w:asciiTheme="minorHAnsi" w:hAnsiTheme="minorHAnsi" w:cstheme="minorHAnsi"/>
          <w:color w:val="000000" w:themeColor="text1"/>
          <w:sz w:val="22"/>
          <w:szCs w:val="22"/>
        </w:rPr>
        <w:t xml:space="preserve"> sample and dividing it by the standard error of the responders. A resulting bias of greater than 0.10 is considered problematic. It is important to note, however, that the Cochran test is extremely sensitive and leads to the conclusion of bias on most factors being tested. Thus, it is important to consider more than one type of bias test to determine if bias exists. </w:t>
      </w:r>
    </w:p>
    <w:p w:rsidR="00FE7FDD" w:rsidRPr="008B3CF3" w:rsidRDefault="00FE7FDD" w:rsidP="005C1A83">
      <w:pPr>
        <w:pStyle w:val="NORC-BodyDoubleSpacedTimes"/>
        <w:spacing w:after="120" w:line="240" w:lineRule="auto"/>
        <w:ind w:left="540"/>
        <w:rPr>
          <w:rFonts w:asciiTheme="minorHAnsi" w:hAnsiTheme="minorHAnsi" w:cstheme="minorHAnsi"/>
          <w:color w:val="000000" w:themeColor="text1"/>
          <w:sz w:val="22"/>
          <w:szCs w:val="22"/>
        </w:rPr>
      </w:pPr>
      <w:r w:rsidRPr="008B3CF3">
        <w:rPr>
          <w:rFonts w:asciiTheme="minorHAnsi" w:hAnsiTheme="minorHAnsi" w:cstheme="minorHAnsi"/>
          <w:color w:val="000000" w:themeColor="text1"/>
          <w:sz w:val="22"/>
          <w:szCs w:val="22"/>
        </w:rPr>
        <w:lastRenderedPageBreak/>
        <w:t>If non-response bias appears to be an issue, NORC plans to re-weight the sample data according to each respondent’s likelihood or propensity of being a respondent. A logistic regression using baseline characteristics is used to predict the probability of being a respondent. Respondents in the sample with characteristics that most often are associated with nonresponse would effectively receive a higher weight to make up for their low incidence in the sample. These steps are essential to ensuring that our final estimates are not biased by the under-representation of any important subgroups, particularly the older cohorts.</w:t>
      </w:r>
      <w:r>
        <w:rPr>
          <w:rFonts w:asciiTheme="minorHAnsi" w:hAnsiTheme="minorHAnsi" w:cstheme="minorHAnsi"/>
          <w:color w:val="000000" w:themeColor="text1"/>
          <w:sz w:val="22"/>
          <w:szCs w:val="22"/>
        </w:rPr>
        <w:t xml:space="preserve"> Where such methods are used, they will, of course, be carefully noted in the final report.</w:t>
      </w:r>
    </w:p>
    <w:p w:rsidR="00FE7FDD" w:rsidRDefault="00FE7FDD" w:rsidP="005C1A83">
      <w:pPr>
        <w:spacing w:after="120"/>
        <w:ind w:left="540"/>
      </w:pPr>
      <w:r>
        <w:t>~~~~~~~~~~~~~~~~~~~~~~~~~~~~~~~~~~~~~~~~~~~~~~</w:t>
      </w:r>
    </w:p>
    <w:p w:rsidR="000414F8" w:rsidRPr="00A45DF6" w:rsidRDefault="00233231" w:rsidP="005C1A83">
      <w:pPr>
        <w:pStyle w:val="ListParagraph"/>
        <w:numPr>
          <w:ilvl w:val="0"/>
          <w:numId w:val="21"/>
        </w:numPr>
        <w:spacing w:after="120"/>
        <w:ind w:left="540"/>
      </w:pPr>
      <w:r w:rsidRPr="001A0AA7">
        <w:rPr>
          <w:b/>
          <w:sz w:val="24"/>
          <w:szCs w:val="24"/>
          <w:u w:val="single"/>
        </w:rPr>
        <w:t>OMB</w:t>
      </w:r>
      <w:r>
        <w:br/>
      </w:r>
      <w:r w:rsidR="000414F8" w:rsidRPr="00A45DF6">
        <w:t>In terms of study power, we appreciate the MDE estimates but would also like to know what effect size you would reasonably expect to see overall and for key analytical subgroups based on the literature.  It also would be helpful to know what effect sizes NSF would define as policy or programmatically significant</w:t>
      </w:r>
      <w:r w:rsidR="00A45DF6" w:rsidRPr="00A45DF6">
        <w:t>.</w:t>
      </w:r>
    </w:p>
    <w:p w:rsidR="00233231" w:rsidRPr="001A0AA7" w:rsidRDefault="00233231" w:rsidP="005C1A83">
      <w:pPr>
        <w:tabs>
          <w:tab w:val="left" w:pos="540"/>
        </w:tabs>
        <w:spacing w:after="120"/>
        <w:rPr>
          <w:b/>
          <w:caps/>
          <w:sz w:val="24"/>
          <w:szCs w:val="24"/>
          <w:u w:val="single"/>
        </w:rPr>
      </w:pPr>
      <w:r w:rsidRPr="001A0AA7">
        <w:rPr>
          <w:caps/>
          <w:sz w:val="24"/>
          <w:szCs w:val="24"/>
        </w:rPr>
        <w:tab/>
      </w:r>
      <w:r w:rsidRPr="001A0AA7">
        <w:rPr>
          <w:b/>
          <w:caps/>
          <w:sz w:val="24"/>
          <w:szCs w:val="24"/>
          <w:u w:val="single"/>
        </w:rPr>
        <w:t>NSF/NORC Response</w:t>
      </w:r>
    </w:p>
    <w:p w:rsidR="00233231" w:rsidRDefault="00233231" w:rsidP="005C1A83">
      <w:pPr>
        <w:pStyle w:val="ListParagraph"/>
        <w:tabs>
          <w:tab w:val="left" w:pos="540"/>
        </w:tabs>
        <w:spacing w:after="120"/>
        <w:ind w:left="540"/>
      </w:pPr>
      <w:r>
        <w:t xml:space="preserve">Additional text and tables have been inserted to </w:t>
      </w:r>
      <w:r w:rsidR="00A45DF6" w:rsidRPr="003B2AAA">
        <w:t>Section B.1. “GRFP Follow-Up Survey: Sampling Methodology</w:t>
      </w:r>
      <w:r>
        <w:t>.</w:t>
      </w:r>
      <w:r w:rsidR="00A45DF6" w:rsidRPr="003B2AAA">
        <w:t xml:space="preserve">” The </w:t>
      </w:r>
      <w:r>
        <w:t>revisions</w:t>
      </w:r>
      <w:r w:rsidR="00A45DF6" w:rsidRPr="003B2AAA">
        <w:t xml:space="preserve"> </w:t>
      </w:r>
      <w:r>
        <w:t xml:space="preserve">better </w:t>
      </w:r>
      <w:r w:rsidR="00A45DF6" w:rsidRPr="003B2AAA">
        <w:t xml:space="preserve">situate the </w:t>
      </w:r>
      <w:r>
        <w:t>p</w:t>
      </w:r>
      <w:r w:rsidR="00A45DF6" w:rsidRPr="003B2AAA">
        <w:t xml:space="preserve">ower </w:t>
      </w:r>
      <w:r>
        <w:t>a</w:t>
      </w:r>
      <w:r w:rsidR="00A45DF6" w:rsidRPr="003B2AAA">
        <w:t xml:space="preserve">nalysis in context by examining the literature for effect sizes, and the </w:t>
      </w:r>
      <w:r>
        <w:t xml:space="preserve">sample required to </w:t>
      </w:r>
      <w:r w:rsidR="00A45DF6" w:rsidRPr="003B2AAA">
        <w:t>achieve a ran</w:t>
      </w:r>
      <w:r w:rsidR="003B2AAA" w:rsidRPr="003B2AAA">
        <w:t>ge of anticipated effect sizes</w:t>
      </w:r>
      <w:r w:rsidR="00A45DF6" w:rsidRPr="003B2AAA">
        <w:t xml:space="preserve">.  </w:t>
      </w:r>
      <w:r w:rsidRPr="003B2AAA">
        <w:t>These revisions provide more complete information on the planned sample size, in total and specific sub-group populations, in relation to detecting estimated effects.</w:t>
      </w:r>
    </w:p>
    <w:p w:rsidR="00AC2BE1" w:rsidRDefault="00233231" w:rsidP="005C1A83">
      <w:pPr>
        <w:pStyle w:val="ListParagraph"/>
        <w:tabs>
          <w:tab w:val="left" w:pos="540"/>
        </w:tabs>
        <w:spacing w:after="120"/>
        <w:ind w:left="540"/>
      </w:pPr>
      <w:r>
        <w:t xml:space="preserve">The following </w:t>
      </w:r>
      <w:r w:rsidR="00AC2BE1">
        <w:t xml:space="preserve">text in Section B.1 has been revised to address these concerns.  Note that Tables B.1 – </w:t>
      </w:r>
      <w:r w:rsidR="001344A2">
        <w:t>B.</w:t>
      </w:r>
      <w:r w:rsidR="00AC2BE1">
        <w:t>4 accompan</w:t>
      </w:r>
      <w:r w:rsidR="001344A2">
        <w:t>y</w:t>
      </w:r>
      <w:r w:rsidR="00AC2BE1">
        <w:t xml:space="preserve"> the text in the OMB package</w:t>
      </w:r>
      <w:r w:rsidR="001344A2">
        <w:t xml:space="preserve"> but are</w:t>
      </w:r>
      <w:r w:rsidR="00AC2BE1">
        <w:t xml:space="preserve"> not shown below:</w:t>
      </w:r>
    </w:p>
    <w:p w:rsidR="00AC2BE1" w:rsidRDefault="00AC2BE1" w:rsidP="005C1A83">
      <w:pPr>
        <w:spacing w:after="120"/>
        <w:ind w:left="540"/>
      </w:pPr>
      <w:r>
        <w:t>~~~~~~~~~~~~~~~~~~~~~~~~~~~~~~~~~~~~~~~~~~~~~~</w:t>
      </w:r>
    </w:p>
    <w:p w:rsidR="00AC2BE1" w:rsidRPr="00AC2BE1" w:rsidRDefault="00AC2BE1" w:rsidP="005C1A83">
      <w:pPr>
        <w:pStyle w:val="NORCTextNoIndent"/>
        <w:spacing w:after="120"/>
        <w:ind w:left="540"/>
        <w:rPr>
          <w:rFonts w:asciiTheme="minorHAnsi" w:hAnsiTheme="minorHAnsi" w:cstheme="minorHAnsi"/>
          <w:color w:val="auto"/>
          <w:sz w:val="22"/>
          <w:szCs w:val="22"/>
        </w:rPr>
      </w:pPr>
      <w:r w:rsidRPr="00AC2BE1">
        <w:rPr>
          <w:rFonts w:asciiTheme="minorHAnsi" w:hAnsiTheme="minorHAnsi" w:cstheme="minorHAnsi"/>
          <w:color w:val="auto"/>
          <w:sz w:val="22"/>
          <w:szCs w:val="22"/>
        </w:rPr>
        <w:t xml:space="preserve">The sampling data file will contain unit-record identifiers, application information and QG rankings for all eligible GRFP applicants who received the fellowship or honorable mention award from four cohorts based on program application year: 1994-1998 (Cohort 1), 1999-2004 (Cohort 2), 2005-2008 (Cohort 3), and 2009-2011 (Cohort 4). </w:t>
      </w:r>
    </w:p>
    <w:p w:rsidR="00AC2BE1" w:rsidRPr="00AC2BE1" w:rsidRDefault="00AC2BE1" w:rsidP="005C1A83">
      <w:pPr>
        <w:pStyle w:val="NORCTextNoIndent"/>
        <w:spacing w:after="120"/>
        <w:ind w:left="540"/>
        <w:rPr>
          <w:rFonts w:asciiTheme="minorHAnsi" w:hAnsiTheme="minorHAnsi" w:cstheme="minorHAnsi"/>
          <w:color w:val="auto"/>
          <w:sz w:val="22"/>
          <w:szCs w:val="22"/>
        </w:rPr>
      </w:pPr>
      <w:r w:rsidRPr="00AC2BE1">
        <w:rPr>
          <w:rFonts w:asciiTheme="minorHAnsi" w:hAnsiTheme="minorHAnsi" w:cstheme="minorHAnsi"/>
          <w:color w:val="auto"/>
          <w:sz w:val="22"/>
          <w:szCs w:val="22"/>
        </w:rPr>
        <w:t xml:space="preserve">The main sampling frame is the list of GRFP Fellows and Honorable Mentions for 1994 – 2011. As shown in Table B.1.1, we propose to select a </w:t>
      </w:r>
      <w:r w:rsidR="001224BB">
        <w:rPr>
          <w:rFonts w:asciiTheme="minorHAnsi" w:hAnsiTheme="minorHAnsi" w:cstheme="minorHAnsi"/>
          <w:color w:val="auto"/>
          <w:sz w:val="22"/>
          <w:szCs w:val="22"/>
        </w:rPr>
        <w:t xml:space="preserve">random </w:t>
      </w:r>
      <w:r w:rsidRPr="00AC2BE1">
        <w:rPr>
          <w:rFonts w:asciiTheme="minorHAnsi" w:hAnsiTheme="minorHAnsi" w:cstheme="minorHAnsi"/>
          <w:color w:val="auto"/>
          <w:sz w:val="22"/>
          <w:szCs w:val="22"/>
        </w:rPr>
        <w:t>sample of 13,188 cases from Cohorts 1 through 4 (1,099 QG1 Fellows, 1,099 QG2 Fellows, and 1,099 QG2 Honorable Mentions per cohort). A</w:t>
      </w:r>
      <w:r w:rsidR="001224BB">
        <w:rPr>
          <w:rFonts w:asciiTheme="minorHAnsi" w:hAnsiTheme="minorHAnsi" w:cstheme="minorHAnsi"/>
          <w:color w:val="auto"/>
          <w:sz w:val="22"/>
          <w:szCs w:val="22"/>
        </w:rPr>
        <w:t>ssuming a</w:t>
      </w:r>
      <w:r w:rsidRPr="00AC2BE1">
        <w:rPr>
          <w:rFonts w:asciiTheme="minorHAnsi" w:hAnsiTheme="minorHAnsi" w:cstheme="minorHAnsi"/>
          <w:color w:val="auto"/>
          <w:sz w:val="22"/>
          <w:szCs w:val="22"/>
        </w:rPr>
        <w:t xml:space="preserve"> 65% overall response rate for GRFP Fellows and Honorable Mentions</w:t>
      </w:r>
      <w:r w:rsidR="001224BB">
        <w:rPr>
          <w:rFonts w:asciiTheme="minorHAnsi" w:hAnsiTheme="minorHAnsi" w:cstheme="minorHAnsi"/>
          <w:color w:val="auto"/>
          <w:sz w:val="22"/>
          <w:szCs w:val="22"/>
        </w:rPr>
        <w:t>, we</w:t>
      </w:r>
      <w:r w:rsidRPr="00AC2BE1">
        <w:rPr>
          <w:rFonts w:asciiTheme="minorHAnsi" w:hAnsiTheme="minorHAnsi" w:cstheme="minorHAnsi"/>
          <w:color w:val="auto"/>
          <w:sz w:val="22"/>
          <w:szCs w:val="22"/>
        </w:rPr>
        <w:t xml:space="preserve"> will </w:t>
      </w:r>
      <w:r w:rsidR="001224BB">
        <w:rPr>
          <w:rFonts w:asciiTheme="minorHAnsi" w:hAnsiTheme="minorHAnsi" w:cstheme="minorHAnsi"/>
          <w:color w:val="auto"/>
          <w:sz w:val="22"/>
          <w:szCs w:val="22"/>
        </w:rPr>
        <w:t>obtain</w:t>
      </w:r>
      <w:r w:rsidRPr="00AC2BE1">
        <w:rPr>
          <w:rFonts w:asciiTheme="minorHAnsi" w:hAnsiTheme="minorHAnsi" w:cstheme="minorHAnsi"/>
          <w:color w:val="auto"/>
          <w:sz w:val="22"/>
          <w:szCs w:val="22"/>
        </w:rPr>
        <w:t xml:space="preserve"> 8,568 completed questionnaires (714 QG1 Fellows, 714 QG2 Fellows, and 714 QG2 Honorable Mentions per cohort). Table B.1.2 additionally shows expected completes for specific sub-group populations without oversampling of minorities and disabled, pooling the four cohorts. The fewest expected completes are from disabled individuals, with expected 574 disabled and 7,994 others across the entire sample.</w:t>
      </w:r>
    </w:p>
    <w:p w:rsidR="00AC2BE1" w:rsidRPr="00AC2BE1" w:rsidRDefault="00AC2BE1" w:rsidP="005C1A83">
      <w:pPr>
        <w:pStyle w:val="NORCTextNoIndent"/>
        <w:spacing w:after="120"/>
        <w:ind w:left="540"/>
        <w:rPr>
          <w:rFonts w:asciiTheme="minorHAnsi" w:hAnsiTheme="minorHAnsi" w:cstheme="minorHAnsi"/>
          <w:color w:val="auto"/>
          <w:sz w:val="22"/>
          <w:szCs w:val="22"/>
        </w:rPr>
      </w:pPr>
      <w:r w:rsidRPr="00AC2BE1">
        <w:rPr>
          <w:rFonts w:asciiTheme="minorHAnsi" w:hAnsiTheme="minorHAnsi" w:cstheme="minorHAnsi"/>
          <w:color w:val="auto"/>
          <w:sz w:val="22"/>
          <w:szCs w:val="22"/>
        </w:rPr>
        <w:t>The sampling plan was designed to select a sample large enough to make statistically valid estimates of program outcomes in answering RQ1 (</w:t>
      </w:r>
      <w:r w:rsidRPr="00AC2BE1">
        <w:rPr>
          <w:rFonts w:asciiTheme="minorHAnsi" w:hAnsiTheme="minorHAnsi" w:cstheme="minorHAnsi"/>
          <w:i/>
          <w:iCs/>
          <w:color w:val="auto"/>
          <w:sz w:val="22"/>
          <w:szCs w:val="22"/>
        </w:rPr>
        <w:t>What is the impact of the GRFP fellowship on the graduate school experience?</w:t>
      </w:r>
      <w:r w:rsidRPr="00AC2BE1">
        <w:rPr>
          <w:rFonts w:asciiTheme="minorHAnsi" w:hAnsiTheme="minorHAnsi" w:cstheme="minorHAnsi"/>
          <w:color w:val="auto"/>
          <w:sz w:val="22"/>
          <w:szCs w:val="22"/>
        </w:rPr>
        <w:t>), RQ2 (</w:t>
      </w:r>
      <w:r w:rsidRPr="00AC2BE1">
        <w:rPr>
          <w:rFonts w:asciiTheme="minorHAnsi" w:hAnsiTheme="minorHAnsi" w:cstheme="minorHAnsi"/>
          <w:i/>
          <w:iCs/>
          <w:color w:val="auto"/>
          <w:sz w:val="22"/>
          <w:szCs w:val="22"/>
        </w:rPr>
        <w:t>What is the impact of the GRFP fellowship on career outcomes?</w:t>
      </w:r>
      <w:r w:rsidRPr="00AC2BE1">
        <w:rPr>
          <w:rFonts w:asciiTheme="minorHAnsi" w:hAnsiTheme="minorHAnsi" w:cstheme="minorHAnsi"/>
          <w:color w:val="auto"/>
          <w:sz w:val="22"/>
          <w:szCs w:val="22"/>
        </w:rPr>
        <w:t>), and RQ4 (</w:t>
      </w:r>
      <w:r w:rsidRPr="00AC2BE1">
        <w:rPr>
          <w:rFonts w:asciiTheme="minorHAnsi" w:hAnsiTheme="minorHAnsi" w:cstheme="minorHAnsi"/>
          <w:i/>
          <w:iCs/>
          <w:color w:val="auto"/>
          <w:sz w:val="22"/>
          <w:szCs w:val="22"/>
        </w:rPr>
        <w:t>Is the program design effective in meeting program goals?</w:t>
      </w:r>
      <w:r w:rsidRPr="00AC2BE1">
        <w:rPr>
          <w:rFonts w:asciiTheme="minorHAnsi" w:hAnsiTheme="minorHAnsi" w:cstheme="minorHAnsi"/>
          <w:color w:val="auto"/>
          <w:sz w:val="22"/>
          <w:szCs w:val="22"/>
        </w:rPr>
        <w:t xml:space="preserve">). A variety of analytic techniques will be used to address the research questions. While the size of the analytic sample, minimum detectable effects, and statistical power vary with the specifications of a given comparison, it is important to broadly assess statistical power and minimum detectable effects for a given sample to determine if each is sufficient for answering the research questions. </w:t>
      </w:r>
    </w:p>
    <w:p w:rsidR="00AC2BE1" w:rsidRPr="00AC2BE1" w:rsidRDefault="00AC2BE1" w:rsidP="005C1A83">
      <w:pPr>
        <w:pStyle w:val="NORCTextNoIndent"/>
        <w:spacing w:after="120"/>
        <w:ind w:left="540"/>
        <w:rPr>
          <w:rFonts w:asciiTheme="minorHAnsi" w:hAnsiTheme="minorHAnsi" w:cstheme="minorHAnsi"/>
          <w:color w:val="auto"/>
          <w:sz w:val="22"/>
          <w:szCs w:val="22"/>
        </w:rPr>
      </w:pPr>
      <w:r w:rsidRPr="00AC2BE1">
        <w:rPr>
          <w:rFonts w:asciiTheme="minorHAnsi" w:hAnsiTheme="minorHAnsi" w:cstheme="minorHAnsi"/>
          <w:color w:val="auto"/>
          <w:sz w:val="22"/>
          <w:szCs w:val="22"/>
        </w:rPr>
        <w:lastRenderedPageBreak/>
        <w:t>In some cases, comparisons will be based on the full sample pooled across all four cohorts, such as when examining the overall impact of the GRFP fellowship on the graduate school experience (RQ1). Here comparisons will be made among all current and former graduate students, spanning all four cohorts. In other cases, comparisons will be between sub-samples defined according to specific cohorts or population characteristics. For example, when examining the impacts of the GRFP fellowship on career outcomes (RQ2), comparisons will be made within a sub-sample comprised of former graduate students (Cohort 1 and Cohort 2 applicants). When examining GRFP program goals (RQ4), comparisons will be made within a given cohort, or between sub-populations defined according to population characteristics (e.g., minority vs. other, female vs. male, disabled vs. other).</w:t>
      </w:r>
      <w:r w:rsidRPr="00AC2BE1">
        <w:rPr>
          <w:rStyle w:val="FootnoteReference"/>
          <w:rFonts w:asciiTheme="minorHAnsi" w:eastAsiaTheme="majorEastAsia" w:hAnsiTheme="minorHAnsi" w:cstheme="minorHAnsi"/>
          <w:color w:val="auto"/>
          <w:sz w:val="22"/>
          <w:szCs w:val="22"/>
        </w:rPr>
        <w:footnoteReference w:id="2"/>
      </w:r>
      <w:r w:rsidRPr="00AC2BE1">
        <w:rPr>
          <w:rFonts w:asciiTheme="minorHAnsi" w:hAnsiTheme="minorHAnsi" w:cstheme="minorHAnsi"/>
          <w:color w:val="auto"/>
          <w:sz w:val="22"/>
          <w:szCs w:val="22"/>
        </w:rPr>
        <w:t xml:space="preserve">  </w:t>
      </w:r>
    </w:p>
    <w:p w:rsidR="00AC2BE1" w:rsidRPr="00AC2BE1" w:rsidRDefault="00AC2BE1" w:rsidP="005C1A83">
      <w:pPr>
        <w:spacing w:after="120"/>
        <w:ind w:left="540"/>
        <w:rPr>
          <w:rFonts w:asciiTheme="minorHAnsi" w:hAnsiTheme="minorHAnsi" w:cstheme="minorHAnsi"/>
        </w:rPr>
      </w:pPr>
      <w:r w:rsidRPr="00AC2BE1">
        <w:rPr>
          <w:rFonts w:asciiTheme="minorHAnsi" w:hAnsiTheme="minorHAnsi" w:cstheme="minorHAnsi"/>
        </w:rPr>
        <w:t xml:space="preserve">Table B.1.3 provides information on the effect sizes </w:t>
      </w:r>
      <w:r w:rsidR="001224BB">
        <w:rPr>
          <w:rFonts w:asciiTheme="minorHAnsi" w:hAnsiTheme="minorHAnsi" w:cstheme="minorHAnsi"/>
        </w:rPr>
        <w:t>that can be detected,</w:t>
      </w:r>
      <w:r w:rsidRPr="00AC2BE1">
        <w:rPr>
          <w:rFonts w:asciiTheme="minorHAnsi" w:hAnsiTheme="minorHAnsi" w:cstheme="minorHAnsi"/>
        </w:rPr>
        <w:t xml:space="preserve"> based on the expected number of respondents for pooled samples and sub-samples, following conventional standards of an 80 percent level of statistical power and a 95 percent confidence level (alpha=0.05) for different comparisons. For comparisons based on the pooled sample of 2,856 completed questionnaires in each comparison group (Cohorts 1 – 4 QG1 Fellows, QG2 Fellows, and QG2 Honorable Mentions) and an expected estimate of 50 percent for a particular outcome across the full sample of cases, we would be able to detect a 3.7 </w:t>
      </w:r>
      <w:r w:rsidRPr="00AC2BE1" w:rsidDel="00D57CF6">
        <w:rPr>
          <w:rFonts w:asciiTheme="minorHAnsi" w:hAnsiTheme="minorHAnsi" w:cstheme="minorHAnsi"/>
        </w:rPr>
        <w:t>percentage point difference between two groups.</w:t>
      </w:r>
      <w:r w:rsidRPr="00AC2BE1">
        <w:rPr>
          <w:rFonts w:asciiTheme="minorHAnsi" w:hAnsiTheme="minorHAnsi" w:cstheme="minorHAnsi"/>
        </w:rPr>
        <w:t xml:space="preserve"> </w:t>
      </w:r>
      <w:r w:rsidRPr="00AC2BE1" w:rsidDel="00D57CF6">
        <w:rPr>
          <w:rFonts w:asciiTheme="minorHAnsi" w:hAnsiTheme="minorHAnsi" w:cstheme="minorHAnsi"/>
        </w:rPr>
        <w:t xml:space="preserve">If the expected estimate for a particular variable of interest is 90 percent, we could detect a </w:t>
      </w:r>
      <w:r w:rsidRPr="00AC2BE1">
        <w:rPr>
          <w:rFonts w:asciiTheme="minorHAnsi" w:hAnsiTheme="minorHAnsi" w:cstheme="minorHAnsi"/>
        </w:rPr>
        <w:t>2.1</w:t>
      </w:r>
      <w:r w:rsidRPr="00AC2BE1" w:rsidDel="00D57CF6">
        <w:rPr>
          <w:rFonts w:asciiTheme="minorHAnsi" w:hAnsiTheme="minorHAnsi" w:cstheme="minorHAnsi"/>
        </w:rPr>
        <w:t xml:space="preserve"> percentage point difference.</w:t>
      </w:r>
      <w:r w:rsidRPr="00AC2BE1">
        <w:rPr>
          <w:rFonts w:asciiTheme="minorHAnsi" w:hAnsiTheme="minorHAnsi" w:cstheme="minorHAnsi"/>
        </w:rPr>
        <w:t xml:space="preserve">  </w:t>
      </w:r>
    </w:p>
    <w:p w:rsidR="00AC2BE1" w:rsidRPr="00AC2BE1" w:rsidRDefault="00AC2BE1" w:rsidP="005C1A83">
      <w:pPr>
        <w:spacing w:after="120"/>
        <w:ind w:left="540"/>
        <w:rPr>
          <w:rFonts w:asciiTheme="minorHAnsi" w:hAnsiTheme="minorHAnsi" w:cstheme="minorHAnsi"/>
        </w:rPr>
      </w:pPr>
      <w:r w:rsidRPr="00AC2BE1">
        <w:rPr>
          <w:rFonts w:asciiTheme="minorHAnsi" w:hAnsiTheme="minorHAnsi" w:cstheme="minorHAnsi"/>
        </w:rPr>
        <w:t xml:space="preserve">The fewest expected completes from a key comparison group is among disabled students (n=574) compared with nondisabled respondents (n=7,812). Based on these estimates, </w:t>
      </w:r>
      <w:r w:rsidRPr="00AC2BE1" w:rsidDel="00D57CF6">
        <w:rPr>
          <w:rFonts w:asciiTheme="minorHAnsi" w:hAnsiTheme="minorHAnsi" w:cstheme="minorHAnsi"/>
        </w:rPr>
        <w:t xml:space="preserve">we could detect a </w:t>
      </w:r>
      <w:r w:rsidRPr="00AC2BE1">
        <w:rPr>
          <w:rFonts w:asciiTheme="minorHAnsi" w:hAnsiTheme="minorHAnsi" w:cstheme="minorHAnsi"/>
        </w:rPr>
        <w:t>6.0</w:t>
      </w:r>
      <w:r w:rsidRPr="00AC2BE1" w:rsidDel="00D57CF6">
        <w:rPr>
          <w:rFonts w:asciiTheme="minorHAnsi" w:hAnsiTheme="minorHAnsi" w:cstheme="minorHAnsi"/>
        </w:rPr>
        <w:t xml:space="preserve"> percent</w:t>
      </w:r>
      <w:r w:rsidRPr="00AC2BE1">
        <w:rPr>
          <w:rFonts w:asciiTheme="minorHAnsi" w:hAnsiTheme="minorHAnsi" w:cstheme="minorHAnsi"/>
        </w:rPr>
        <w:t>age</w:t>
      </w:r>
      <w:r w:rsidRPr="00AC2BE1" w:rsidDel="00D57CF6">
        <w:rPr>
          <w:rFonts w:asciiTheme="minorHAnsi" w:hAnsiTheme="minorHAnsi" w:cstheme="minorHAnsi"/>
        </w:rPr>
        <w:t xml:space="preserve"> point difference</w:t>
      </w:r>
      <w:r w:rsidRPr="00AC2BE1">
        <w:rPr>
          <w:rFonts w:asciiTheme="minorHAnsi" w:hAnsiTheme="minorHAnsi" w:cstheme="minorHAnsi"/>
        </w:rPr>
        <w:t xml:space="preserve"> if the expected outcome estimate is 50 percent and a 3.2 percentage point difference if the expected outcome estimate is 90 percent.  Table B.1.3 provides equivalent information on other comparison groups. </w:t>
      </w:r>
    </w:p>
    <w:p w:rsidR="00AC2BE1" w:rsidRPr="00AC2BE1" w:rsidRDefault="00AC2BE1" w:rsidP="005C1A83">
      <w:pPr>
        <w:spacing w:after="120"/>
        <w:ind w:left="540"/>
        <w:rPr>
          <w:rFonts w:asciiTheme="minorHAnsi" w:hAnsiTheme="minorHAnsi" w:cstheme="minorHAnsi"/>
        </w:rPr>
      </w:pPr>
      <w:r w:rsidRPr="00AC2BE1">
        <w:rPr>
          <w:rFonts w:asciiTheme="minorHAnsi" w:hAnsiTheme="minorHAnsi" w:cstheme="minorHAnsi"/>
        </w:rPr>
        <w:t xml:space="preserve">To provide context for the minimum detectable effects in our study, we examined past studies of GRFP applicants </w:t>
      </w:r>
      <w:r w:rsidRPr="00AC2BE1">
        <w:t>to see what differences have been reported in the literature</w:t>
      </w:r>
      <w:r w:rsidR="001224BB">
        <w:t xml:space="preserve">. This enables us to </w:t>
      </w:r>
      <w:r w:rsidRPr="00AC2BE1">
        <w:t>determine if our sample size will be sufficient to support the planned analyses</w:t>
      </w:r>
      <w:r w:rsidRPr="00AC2BE1">
        <w:rPr>
          <w:rFonts w:asciiTheme="minorHAnsi" w:hAnsiTheme="minorHAnsi" w:cstheme="minorHAnsi"/>
        </w:rPr>
        <w:t xml:space="preserve">. While the following review focuses on Ph.D. completion rates as a useful point of reference to past studies, it is important to note that this evaluation will examine a sizable number of different outcomes related to graduate education, careers, and professional productivity. </w:t>
      </w:r>
    </w:p>
    <w:p w:rsidR="00AC2BE1" w:rsidRPr="00AC2BE1" w:rsidRDefault="00AC2BE1" w:rsidP="005C1A83">
      <w:pPr>
        <w:spacing w:after="120"/>
        <w:ind w:left="540"/>
        <w:rPr>
          <w:rFonts w:asciiTheme="minorHAnsi" w:hAnsiTheme="minorHAnsi" w:cstheme="minorHAnsi"/>
        </w:rPr>
      </w:pPr>
      <w:r w:rsidRPr="00AC2BE1">
        <w:rPr>
          <w:rFonts w:asciiTheme="minorHAnsi" w:hAnsiTheme="minorHAnsi" w:cstheme="minorHAnsi"/>
        </w:rPr>
        <w:t>The most recent comprehensive evaluation of the GRFP (Goldsmith, et al., 2002) provided evidence of mean differences between QG1 Fellows, QG2 Fellows, and QG2 Honorable Mention recipients. Results indicate</w:t>
      </w:r>
      <w:r w:rsidR="001224BB">
        <w:rPr>
          <w:rFonts w:asciiTheme="minorHAnsi" w:hAnsiTheme="minorHAnsi" w:cstheme="minorHAnsi"/>
        </w:rPr>
        <w:t>d</w:t>
      </w:r>
      <w:r w:rsidRPr="00AC2BE1">
        <w:rPr>
          <w:rFonts w:asciiTheme="minorHAnsi" w:hAnsiTheme="minorHAnsi" w:cstheme="minorHAnsi"/>
        </w:rPr>
        <w:t xml:space="preserve"> that, for example, Ph.D. completion rates by 1999 among 1979-1988 GRFP applicants were 75.3 percent for QG1 Fellows, 69.4 percent among for QG2 Fellows, and 66.0 percent for QG2 Honorable Mentions, suggesting a 3.4 percentage point program effect among comparable QG2 applicants.</w:t>
      </w:r>
      <w:r w:rsidRPr="00AC2BE1">
        <w:rPr>
          <w:rStyle w:val="FootnoteReference"/>
          <w:rFonts w:asciiTheme="minorHAnsi" w:eastAsiaTheme="majorEastAsia" w:hAnsiTheme="minorHAnsi" w:cstheme="minorHAnsi"/>
        </w:rPr>
        <w:footnoteReference w:id="3"/>
      </w:r>
      <w:r w:rsidRPr="00AC2BE1">
        <w:rPr>
          <w:rFonts w:asciiTheme="minorHAnsi" w:hAnsiTheme="minorHAnsi" w:cstheme="minorHAnsi"/>
        </w:rPr>
        <w:t xml:space="preserve"> This difference would not be significant at the 95% confidence level, given the power of the proposed sample to detect differences between quality groups within a single cohort. However, if differences of similar size were found in two or more of the 5-year cohorts</w:t>
      </w:r>
      <w:r w:rsidR="001224BB">
        <w:rPr>
          <w:rFonts w:asciiTheme="minorHAnsi" w:hAnsiTheme="minorHAnsi" w:cstheme="minorHAnsi"/>
        </w:rPr>
        <w:t>,</w:t>
      </w:r>
      <w:r w:rsidRPr="00AC2BE1">
        <w:rPr>
          <w:rFonts w:asciiTheme="minorHAnsi" w:hAnsiTheme="minorHAnsi" w:cstheme="minorHAnsi"/>
        </w:rPr>
        <w:t xml:space="preserve"> the pooled cohort comparisons would have sufficient power for the difference to be significant at the 95% confidence level. The GRFP evaluation will examine Ph.D. completion rates among all but the most recent cohort of applicants. </w:t>
      </w:r>
    </w:p>
    <w:p w:rsidR="00AC2BE1" w:rsidRPr="00AC2BE1" w:rsidRDefault="00AC2BE1" w:rsidP="005C1A83">
      <w:pPr>
        <w:spacing w:after="120"/>
        <w:ind w:left="540"/>
        <w:rPr>
          <w:rFonts w:asciiTheme="minorHAnsi" w:hAnsiTheme="minorHAnsi" w:cstheme="minorHAnsi"/>
        </w:rPr>
      </w:pPr>
      <w:r w:rsidRPr="00AC2BE1">
        <w:rPr>
          <w:rFonts w:asciiTheme="minorHAnsi" w:hAnsiTheme="minorHAnsi" w:cstheme="minorHAnsi"/>
        </w:rPr>
        <w:lastRenderedPageBreak/>
        <w:t xml:space="preserve">The Goldsmith, et al. (2002) evaluation </w:t>
      </w:r>
      <w:r w:rsidR="001224BB">
        <w:rPr>
          <w:rFonts w:asciiTheme="minorHAnsi" w:hAnsiTheme="minorHAnsi" w:cstheme="minorHAnsi"/>
        </w:rPr>
        <w:t xml:space="preserve">also </w:t>
      </w:r>
      <w:r w:rsidRPr="00AC2BE1">
        <w:rPr>
          <w:rFonts w:asciiTheme="minorHAnsi" w:hAnsiTheme="minorHAnsi" w:cstheme="minorHAnsi"/>
        </w:rPr>
        <w:t xml:space="preserve">reported gender differences in Ph.D. completion rates by 1999 among the 1979-1988 GRFP applicants. The results showed 70.5 percent of male QG1 Fellows completed their Ph.D. by 1999, while 70.2 percent of QG2 Fellows and 67.5 percent of QG2 Honorable Mentions did so, indicating a 2.7 percentage point program effect.  A difference of this magnitude among QG2 males would not </w:t>
      </w:r>
      <w:r w:rsidR="001224BB">
        <w:rPr>
          <w:rFonts w:asciiTheme="minorHAnsi" w:hAnsiTheme="minorHAnsi" w:cstheme="minorHAnsi"/>
        </w:rPr>
        <w:t>be significant at the</w:t>
      </w:r>
      <w:r w:rsidRPr="00AC2BE1">
        <w:rPr>
          <w:rFonts w:asciiTheme="minorHAnsi" w:hAnsiTheme="minorHAnsi" w:cstheme="minorHAnsi"/>
        </w:rPr>
        <w:t xml:space="preserve"> 95% confidence </w:t>
      </w:r>
      <w:r w:rsidR="001224BB">
        <w:rPr>
          <w:rFonts w:asciiTheme="minorHAnsi" w:hAnsiTheme="minorHAnsi" w:cstheme="minorHAnsi"/>
        </w:rPr>
        <w:t>level,</w:t>
      </w:r>
      <w:r w:rsidRPr="00AC2BE1">
        <w:rPr>
          <w:rFonts w:asciiTheme="minorHAnsi" w:hAnsiTheme="minorHAnsi" w:cstheme="minorHAnsi"/>
        </w:rPr>
        <w:t xml:space="preserve"> if all cohorts were pooled. The differences in Ph.D. completion rates were larger among females, with a 9.8 percentage point difference between QG2 Fellows and Honorable Mentions (68.3 vs. 58.5 percent); female completion rates were 73.3 percent for QG1 Fellows, 68.3 percent for QG2 Fellows, and 58.5 percent for QG Honorable Mentions.</w:t>
      </w:r>
      <w:r w:rsidRPr="00AC2BE1">
        <w:rPr>
          <w:rStyle w:val="FootnoteReference"/>
          <w:rFonts w:asciiTheme="minorHAnsi" w:eastAsiaTheme="majorEastAsia" w:hAnsiTheme="minorHAnsi" w:cstheme="minorHAnsi"/>
        </w:rPr>
        <w:footnoteReference w:id="4"/>
      </w:r>
      <w:r w:rsidRPr="00AC2BE1">
        <w:rPr>
          <w:rFonts w:asciiTheme="minorHAnsi" w:hAnsiTheme="minorHAnsi" w:cstheme="minorHAnsi"/>
        </w:rPr>
        <w:t xml:space="preserve"> In contrast to males, differences of this size would be detected with 95% confidence even within cohorts.</w:t>
      </w:r>
    </w:p>
    <w:p w:rsidR="00AC2BE1" w:rsidRPr="00AC2BE1" w:rsidRDefault="00AC2BE1" w:rsidP="005C1A83">
      <w:pPr>
        <w:spacing w:after="120"/>
        <w:ind w:left="540"/>
        <w:rPr>
          <w:rFonts w:asciiTheme="minorHAnsi" w:hAnsiTheme="minorHAnsi" w:cstheme="minorHAnsi"/>
        </w:rPr>
      </w:pPr>
      <w:r w:rsidRPr="00AC2BE1">
        <w:rPr>
          <w:rFonts w:asciiTheme="minorHAnsi" w:hAnsiTheme="minorHAnsi" w:cstheme="minorHAnsi"/>
        </w:rPr>
        <w:t>Baker (1998) also examined gender and race differences in Ph.D. completion by 1988 among 1972 – 1981 GRFP applicants. Baker's findings indicate that rates of Ph.D. completion favored male GRFP applicants over their female counterparts by 4.5 percentage points among QG1 Fellows (77.4 vs. 72.9 percent), 9.1 percentage points among QG2 Fellows (73.6 vs. 64.5 percent), and 9.8 percentage points among QG2 Honorable Mentions (67.0 vs. 57.2 percent). Among QG2 applicants, male Fellows differed from male Honorable Mentions by 6.6 percentage points (73.6 vs. 67.0 percent), while female Fellows and Honorable Mentions differed by 7.3 percentage points (64.5 vs. 57.2 percent), again indicating a larger program effect among female applicants. Differences of this magnitude would be detected with the pooled sample of cohort 1 and cohort 2 in the current design.</w:t>
      </w:r>
    </w:p>
    <w:p w:rsidR="00AC2BE1" w:rsidRPr="00AC2BE1" w:rsidRDefault="00AC2BE1" w:rsidP="005C1A83">
      <w:pPr>
        <w:spacing w:after="120"/>
        <w:ind w:left="540"/>
        <w:rPr>
          <w:rFonts w:cstheme="minorHAnsi"/>
        </w:rPr>
      </w:pPr>
      <w:r w:rsidRPr="00AC2BE1">
        <w:rPr>
          <w:rFonts w:cstheme="minorHAnsi"/>
        </w:rPr>
        <w:t xml:space="preserve">Because the evaluation will include several different outcome measures and the analyses will compare a variety of different groups, Table B.1.4 presents the sample sizes required to detect a range of anticipated effect sizes based on mean differences between groups.  Cohen's </w:t>
      </w:r>
      <w:r w:rsidRPr="00AC2BE1">
        <w:rPr>
          <w:rFonts w:cstheme="minorHAnsi"/>
          <w:i/>
        </w:rPr>
        <w:t>d</w:t>
      </w:r>
      <w:r w:rsidRPr="00AC2BE1">
        <w:rPr>
          <w:rFonts w:cstheme="minorHAnsi"/>
        </w:rPr>
        <w:t xml:space="preserve"> metric for effect sizes (calculated as the mean difference between groups divided by the overall sample standard deviation) is frequently used to estimate </w:t>
      </w:r>
      <w:r w:rsidR="001224BB">
        <w:rPr>
          <w:rFonts w:cstheme="minorHAnsi"/>
        </w:rPr>
        <w:t xml:space="preserve">the </w:t>
      </w:r>
      <w:r w:rsidRPr="00AC2BE1">
        <w:rPr>
          <w:rFonts w:cstheme="minorHAnsi"/>
        </w:rPr>
        <w:t>sample sizes</w:t>
      </w:r>
      <w:r w:rsidR="001224BB">
        <w:rPr>
          <w:rFonts w:cstheme="minorHAnsi"/>
        </w:rPr>
        <w:t xml:space="preserve"> needed to detect such an effect. Note</w:t>
      </w:r>
      <w:r w:rsidRPr="00AC2BE1">
        <w:rPr>
          <w:rFonts w:cstheme="minorHAnsi"/>
        </w:rPr>
        <w:t xml:space="preserve"> </w:t>
      </w:r>
      <w:r w:rsidR="001224BB">
        <w:rPr>
          <w:rFonts w:cstheme="minorHAnsi"/>
        </w:rPr>
        <w:t xml:space="preserve">that </w:t>
      </w:r>
      <w:r w:rsidRPr="00AC2BE1">
        <w:rPr>
          <w:rFonts w:cstheme="minorHAnsi"/>
        </w:rPr>
        <w:t>a smaller value necessitates a larger sample size. Following Cohen’s conventions, a mean difference between two groups of 0.20 is considered small and would be detectable for samples of 393 or more cases within each comparison group.</w:t>
      </w:r>
    </w:p>
    <w:p w:rsidR="00AC2BE1" w:rsidRPr="00AC2BE1" w:rsidRDefault="00AC2BE1" w:rsidP="005C1A83">
      <w:pPr>
        <w:spacing w:after="120"/>
        <w:ind w:left="540"/>
        <w:rPr>
          <w:rFonts w:cstheme="minorHAnsi"/>
        </w:rPr>
      </w:pPr>
      <w:r w:rsidRPr="00AC2BE1">
        <w:rPr>
          <w:rFonts w:cstheme="minorHAnsi"/>
        </w:rPr>
        <w:t xml:space="preserve">In combination with the previous tables, it is evident that the proposed sample will be sufficient to detect effect sizes (mean differences between two groups) as small as 0.10 for pooled sample comparisons between QG1 Fellows, QG2 Fellows, and QG2 Honorable Mentions, and for comparisons between males and females. For pooled sample comparisons between disabled versus others, minorities versus other cases, or other sub-sample comparisons, the proposed sample will be sufficient to detect effect sizes between 0.10 and 0.20.   </w:t>
      </w:r>
    </w:p>
    <w:p w:rsidR="00AC2BE1" w:rsidRDefault="00AC2BE1" w:rsidP="005C1A83">
      <w:pPr>
        <w:spacing w:after="120"/>
        <w:ind w:left="540"/>
      </w:pPr>
      <w:r>
        <w:t>~~~~~~~~~~~~~~~~~~~~~~~~~~~~~~~~~~~~~~~~~~~~~~</w:t>
      </w:r>
    </w:p>
    <w:p w:rsidR="000414F8" w:rsidRPr="00A45DF6" w:rsidRDefault="001A0AA7" w:rsidP="005C1A83">
      <w:pPr>
        <w:pStyle w:val="ListParagraph"/>
        <w:numPr>
          <w:ilvl w:val="0"/>
          <w:numId w:val="21"/>
        </w:numPr>
        <w:spacing w:after="120"/>
        <w:ind w:left="540"/>
      </w:pPr>
      <w:r w:rsidRPr="001A0AA7">
        <w:rPr>
          <w:b/>
          <w:sz w:val="24"/>
          <w:szCs w:val="24"/>
          <w:u w:val="single"/>
        </w:rPr>
        <w:t>OMB</w:t>
      </w:r>
      <w:r>
        <w:br/>
      </w:r>
      <w:r w:rsidR="000414F8" w:rsidRPr="00A45DF6">
        <w:t xml:space="preserve">We suggest replacing the word “impact” in SS B.4.II, where the institutional data collection is discussed, since we do not think that this study measures impacts on institutions.  </w:t>
      </w:r>
    </w:p>
    <w:p w:rsidR="001A0AA7" w:rsidRPr="001A0AA7" w:rsidRDefault="001A0AA7" w:rsidP="005C1A83">
      <w:pPr>
        <w:tabs>
          <w:tab w:val="left" w:pos="540"/>
        </w:tabs>
        <w:spacing w:after="120"/>
        <w:rPr>
          <w:b/>
          <w:caps/>
          <w:sz w:val="24"/>
          <w:szCs w:val="24"/>
          <w:u w:val="single"/>
        </w:rPr>
      </w:pPr>
      <w:r w:rsidRPr="001A0AA7">
        <w:rPr>
          <w:caps/>
          <w:sz w:val="24"/>
          <w:szCs w:val="24"/>
        </w:rPr>
        <w:tab/>
      </w:r>
      <w:r w:rsidRPr="001A0AA7">
        <w:rPr>
          <w:b/>
          <w:caps/>
          <w:sz w:val="24"/>
          <w:szCs w:val="24"/>
          <w:u w:val="single"/>
        </w:rPr>
        <w:t>NSF/NORC Response</w:t>
      </w:r>
    </w:p>
    <w:p w:rsidR="000414F8" w:rsidRDefault="00A45DF6" w:rsidP="005C1A83">
      <w:pPr>
        <w:pStyle w:val="ListParagraph"/>
        <w:tabs>
          <w:tab w:val="left" w:pos="-17550"/>
          <w:tab w:val="left" w:pos="-17460"/>
        </w:tabs>
        <w:spacing w:after="120"/>
        <w:ind w:left="540"/>
      </w:pPr>
      <w:r>
        <w:t xml:space="preserve">Appropriate revisions have been made throughout the OMB package. </w:t>
      </w:r>
    </w:p>
    <w:p w:rsidR="00A45DF6" w:rsidRDefault="00A45DF6" w:rsidP="005C1A83">
      <w:pPr>
        <w:spacing w:after="120"/>
        <w:rPr>
          <w:rFonts w:ascii="Tahoma" w:hAnsi="Tahoma" w:cs="Tahoma"/>
          <w:b/>
          <w:bCs/>
          <w:color w:val="1F497D"/>
          <w:sz w:val="20"/>
          <w:szCs w:val="20"/>
        </w:rPr>
      </w:pPr>
    </w:p>
    <w:p w:rsidR="00C64F18" w:rsidRDefault="00C64F18" w:rsidP="005C1A83">
      <w:pPr>
        <w:spacing w:after="120"/>
        <w:rPr>
          <w:b/>
          <w:bCs/>
          <w:caps/>
          <w:sz w:val="24"/>
          <w:szCs w:val="24"/>
        </w:rPr>
      </w:pPr>
      <w:r>
        <w:rPr>
          <w:b/>
          <w:bCs/>
          <w:caps/>
          <w:sz w:val="24"/>
          <w:szCs w:val="24"/>
        </w:rPr>
        <w:br w:type="page"/>
      </w:r>
    </w:p>
    <w:p w:rsidR="001C1A86" w:rsidRPr="0061732D" w:rsidRDefault="001C1A86" w:rsidP="005C1A83">
      <w:pPr>
        <w:spacing w:after="120"/>
        <w:rPr>
          <w:b/>
          <w:bCs/>
          <w:caps/>
          <w:sz w:val="24"/>
          <w:szCs w:val="24"/>
        </w:rPr>
      </w:pPr>
      <w:r>
        <w:rPr>
          <w:b/>
          <w:bCs/>
          <w:caps/>
          <w:sz w:val="24"/>
          <w:szCs w:val="24"/>
        </w:rPr>
        <w:lastRenderedPageBreak/>
        <w:t>2</w:t>
      </w:r>
      <w:r w:rsidRPr="0061732D">
        <w:rPr>
          <w:b/>
          <w:bCs/>
          <w:caps/>
          <w:sz w:val="24"/>
          <w:szCs w:val="24"/>
        </w:rPr>
        <w:t xml:space="preserve">. </w:t>
      </w:r>
      <w:r>
        <w:rPr>
          <w:b/>
          <w:bCs/>
          <w:caps/>
          <w:sz w:val="24"/>
          <w:szCs w:val="24"/>
        </w:rPr>
        <w:t>SURVEY INSTRUMENT</w:t>
      </w:r>
    </w:p>
    <w:p w:rsidR="00A45DF6" w:rsidRPr="00A45DF6" w:rsidRDefault="001C1A86" w:rsidP="005C1A83">
      <w:pPr>
        <w:pStyle w:val="ListParagraph"/>
        <w:numPr>
          <w:ilvl w:val="0"/>
          <w:numId w:val="17"/>
        </w:numPr>
        <w:spacing w:after="120"/>
        <w:ind w:left="540"/>
      </w:pPr>
      <w:r w:rsidRPr="001C1A86">
        <w:rPr>
          <w:b/>
          <w:sz w:val="24"/>
          <w:szCs w:val="24"/>
          <w:u w:val="single"/>
        </w:rPr>
        <w:t>OMB</w:t>
      </w:r>
      <w:r w:rsidR="00035A25">
        <w:rPr>
          <w:b/>
          <w:sz w:val="24"/>
          <w:szCs w:val="24"/>
          <w:u w:val="single"/>
        </w:rPr>
        <w:t xml:space="preserve"> – survey length</w:t>
      </w:r>
      <w:r>
        <w:br/>
      </w:r>
      <w:proofErr w:type="gramStart"/>
      <w:r w:rsidR="000414F8" w:rsidRPr="00A45DF6">
        <w:t>It</w:t>
      </w:r>
      <w:proofErr w:type="gramEnd"/>
      <w:r w:rsidR="000414F8" w:rsidRPr="00A45DF6">
        <w:t xml:space="preserve"> is rather long, and therefore has a high risk of dropouts and item non-response.</w:t>
      </w:r>
    </w:p>
    <w:p w:rsidR="001C1A86" w:rsidRPr="001A0AA7" w:rsidRDefault="001C1A86" w:rsidP="005C1A83">
      <w:pPr>
        <w:tabs>
          <w:tab w:val="left" w:pos="540"/>
        </w:tabs>
        <w:spacing w:after="120"/>
        <w:rPr>
          <w:b/>
          <w:caps/>
          <w:sz w:val="24"/>
          <w:szCs w:val="24"/>
          <w:u w:val="single"/>
        </w:rPr>
      </w:pPr>
      <w:r w:rsidRPr="001A0AA7">
        <w:rPr>
          <w:caps/>
          <w:sz w:val="24"/>
          <w:szCs w:val="24"/>
        </w:rPr>
        <w:tab/>
      </w:r>
      <w:r w:rsidRPr="001A0AA7">
        <w:rPr>
          <w:b/>
          <w:caps/>
          <w:sz w:val="24"/>
          <w:szCs w:val="24"/>
          <w:u w:val="single"/>
        </w:rPr>
        <w:t>NSF/NORC Response</w:t>
      </w:r>
    </w:p>
    <w:p w:rsidR="00357965" w:rsidRDefault="009B3370" w:rsidP="005C1A83">
      <w:pPr>
        <w:tabs>
          <w:tab w:val="left" w:pos="-17550"/>
        </w:tabs>
        <w:spacing w:after="120"/>
        <w:ind w:left="540"/>
      </w:pPr>
      <w:r w:rsidRPr="009B3370">
        <w:t xml:space="preserve">An initial </w:t>
      </w:r>
      <w:r w:rsidR="003B2AAA" w:rsidRPr="009B3370">
        <w:t>pretest focused</w:t>
      </w:r>
      <w:r w:rsidR="00A45DF6" w:rsidRPr="009B3370">
        <w:t xml:space="preserve"> on the administratio</w:t>
      </w:r>
      <w:r w:rsidRPr="009B3370">
        <w:t xml:space="preserve">n time of the instrument, resulting in a range of </w:t>
      </w:r>
      <w:r w:rsidR="00A45DF6" w:rsidRPr="009B3370">
        <w:t>30-40 minutes. </w:t>
      </w:r>
      <w:r w:rsidR="000C7A73">
        <w:t xml:space="preserve">The survey revisions discussed below under section 2b document questions that have been eliminated or consolidated, to address OMB concerns. </w:t>
      </w:r>
      <w:r w:rsidR="009B775A">
        <w:t xml:space="preserve">Revisions to the survey following cognitive testing will </w:t>
      </w:r>
      <w:r w:rsidR="000C7A73">
        <w:t xml:space="preserve">also </w:t>
      </w:r>
      <w:r w:rsidR="00A45DF6" w:rsidRPr="009B3370">
        <w:t>get administration time down to 30 minutes or less which is a typical threshold for participa</w:t>
      </w:r>
      <w:r w:rsidR="00357965">
        <w:t>n</w:t>
      </w:r>
      <w:r w:rsidR="00A45DF6" w:rsidRPr="009B3370">
        <w:t>t</w:t>
      </w:r>
      <w:r w:rsidR="00357965">
        <w:t>s</w:t>
      </w:r>
      <w:r w:rsidRPr="009B3370">
        <w:t xml:space="preserve">. </w:t>
      </w:r>
    </w:p>
    <w:p w:rsidR="00535482" w:rsidRPr="009B3370" w:rsidRDefault="009B3370" w:rsidP="005C1A83">
      <w:pPr>
        <w:tabs>
          <w:tab w:val="left" w:pos="-17550"/>
        </w:tabs>
        <w:spacing w:after="120"/>
        <w:ind w:left="540"/>
      </w:pPr>
      <w:r w:rsidRPr="009B3370">
        <w:t xml:space="preserve">Cognitive testing also will be used as a tool </w:t>
      </w:r>
      <w:r w:rsidR="000C7A73">
        <w:t>to</w:t>
      </w:r>
      <w:r w:rsidRPr="009B3370">
        <w:t xml:space="preserve"> explore the respondent’s understanding of the survey questions and the cognitive processing to formulate an answer. Feedback collected during cognitive testing will include suggestions for improving the survey and reduce respondent burden. </w:t>
      </w:r>
      <w:r w:rsidR="00357965">
        <w:t xml:space="preserve"> </w:t>
      </w:r>
      <w:r w:rsidRPr="009B3370">
        <w:t xml:space="preserve">Additional explanation </w:t>
      </w:r>
      <w:r w:rsidR="00357965">
        <w:t>of the</w:t>
      </w:r>
      <w:r w:rsidR="00357965" w:rsidRPr="009B3370">
        <w:t xml:space="preserve"> approach to be</w:t>
      </w:r>
      <w:r w:rsidR="00357965">
        <w:t xml:space="preserve"> taken during cognitive testing</w:t>
      </w:r>
      <w:r w:rsidR="00357965" w:rsidRPr="009B3370">
        <w:t xml:space="preserve"> </w:t>
      </w:r>
      <w:r w:rsidR="00357965">
        <w:t xml:space="preserve">is </w:t>
      </w:r>
      <w:r w:rsidRPr="009B3370">
        <w:t xml:space="preserve">provided </w:t>
      </w:r>
      <w:r w:rsidR="00357965">
        <w:t>below in section 2d.</w:t>
      </w:r>
    </w:p>
    <w:p w:rsidR="00A45DF6" w:rsidRPr="00746E35" w:rsidRDefault="002522F7" w:rsidP="005C1A83">
      <w:pPr>
        <w:pStyle w:val="ListParagraph"/>
        <w:numPr>
          <w:ilvl w:val="0"/>
          <w:numId w:val="17"/>
        </w:numPr>
        <w:spacing w:after="120"/>
        <w:ind w:left="540"/>
      </w:pPr>
      <w:r w:rsidRPr="00035A25">
        <w:rPr>
          <w:b/>
          <w:sz w:val="24"/>
          <w:szCs w:val="24"/>
          <w:u w:val="single"/>
        </w:rPr>
        <w:t>OMB</w:t>
      </w:r>
      <w:r w:rsidR="00035A25" w:rsidRPr="00035A25">
        <w:rPr>
          <w:b/>
          <w:sz w:val="24"/>
          <w:szCs w:val="24"/>
          <w:u w:val="single"/>
        </w:rPr>
        <w:t xml:space="preserve"> – control </w:t>
      </w:r>
      <w:proofErr w:type="gramStart"/>
      <w:r w:rsidR="00035A25">
        <w:rPr>
          <w:b/>
          <w:sz w:val="24"/>
          <w:szCs w:val="24"/>
          <w:u w:val="single"/>
        </w:rPr>
        <w:t>groups</w:t>
      </w:r>
      <w:proofErr w:type="gramEnd"/>
      <w:r w:rsidRPr="00035A25">
        <w:rPr>
          <w:b/>
          <w:sz w:val="24"/>
          <w:szCs w:val="24"/>
          <w:u w:val="single"/>
        </w:rPr>
        <w:br/>
      </w:r>
      <w:r w:rsidR="00535482" w:rsidRPr="00746E35">
        <w:t>[The survey]</w:t>
      </w:r>
      <w:r w:rsidR="000414F8" w:rsidRPr="00746E35">
        <w:t xml:space="preserve"> does not ask the same questions of both the test and the control groups, calling into question its analytic power.  </w:t>
      </w:r>
    </w:p>
    <w:p w:rsidR="00535482" w:rsidRPr="00746E35" w:rsidRDefault="00535482" w:rsidP="005C1A83">
      <w:pPr>
        <w:pStyle w:val="ListParagraph"/>
        <w:spacing w:after="120"/>
        <w:ind w:left="540"/>
      </w:pPr>
      <w:r w:rsidRPr="00746E35">
        <w:t xml:space="preserve">Survey instrument should become completely parallel between the test and control groups.  This could be done by removing questions that explicitly ask about only the experiences of the fellows or by re-writing these questions to allow the control group to answer them as well.  For instance and returning to question A5.3, you could consider asking “[Agree or Disagree] I had a variety of research projects from which to choose.”  Since you are considering the fellow and honorable mention groups to be matched samples, you could then analyze these data under the assumption that any difference was due to the fellowship program.  </w:t>
      </w:r>
    </w:p>
    <w:p w:rsidR="00370F4F" w:rsidRPr="00746E35" w:rsidRDefault="00370F4F" w:rsidP="005C1A83">
      <w:pPr>
        <w:pStyle w:val="ListParagraph"/>
        <w:spacing w:after="120"/>
        <w:ind w:left="540"/>
      </w:pPr>
      <w:r w:rsidRPr="00746E35">
        <w:t xml:space="preserve">For those questions that you do not want to make parallel between the test and control groups, we suggest you add them to a student interview protocol for the implementation/qualitative portion of the research project.  We believe that qualitative data derived from a purposeful sample may be the best way to get the information needed for RQ 4 that you had planned on deriving from the survey.  A purposeful sample of both fellows and non-applicants (who are in the same academic department as a fellow) will allow a focus on how fellows contribute passively to their academic departments and programs.  </w:t>
      </w:r>
    </w:p>
    <w:p w:rsidR="002522F7" w:rsidRPr="001A0AA7" w:rsidRDefault="002522F7" w:rsidP="005C1A83">
      <w:pPr>
        <w:tabs>
          <w:tab w:val="left" w:pos="540"/>
        </w:tabs>
        <w:spacing w:after="120"/>
        <w:rPr>
          <w:b/>
          <w:caps/>
          <w:sz w:val="24"/>
          <w:szCs w:val="24"/>
          <w:u w:val="single"/>
        </w:rPr>
      </w:pPr>
      <w:r w:rsidRPr="001A0AA7">
        <w:rPr>
          <w:caps/>
          <w:sz w:val="24"/>
          <w:szCs w:val="24"/>
        </w:rPr>
        <w:tab/>
      </w:r>
      <w:r w:rsidRPr="001A0AA7">
        <w:rPr>
          <w:b/>
          <w:caps/>
          <w:sz w:val="24"/>
          <w:szCs w:val="24"/>
          <w:u w:val="single"/>
        </w:rPr>
        <w:t>NSF/NORC Response</w:t>
      </w:r>
    </w:p>
    <w:p w:rsidR="002522F7" w:rsidRPr="007E3961" w:rsidRDefault="004D70C7" w:rsidP="005C1A83">
      <w:pPr>
        <w:pStyle w:val="ListParagraph"/>
        <w:tabs>
          <w:tab w:val="left" w:pos="540"/>
        </w:tabs>
        <w:spacing w:after="120"/>
        <w:ind w:left="540"/>
      </w:pPr>
      <w:r>
        <w:t>T</w:t>
      </w:r>
      <w:r w:rsidR="002522F7">
        <w:t xml:space="preserve">he Follow-up Survey </w:t>
      </w:r>
      <w:r>
        <w:t xml:space="preserve">has been revised </w:t>
      </w:r>
      <w:r w:rsidR="002522F7">
        <w:t xml:space="preserve">and </w:t>
      </w:r>
      <w:r>
        <w:t>NSF/NORC will</w:t>
      </w:r>
      <w:r w:rsidR="002522F7">
        <w:t xml:space="preserve"> look to the analysis of the data to identify program effects (differences due to the fellowship program). The only remaining survey questions to be asked </w:t>
      </w:r>
      <w:r w:rsidR="002522F7">
        <w:rPr>
          <w:i/>
        </w:rPr>
        <w:t xml:space="preserve">only </w:t>
      </w:r>
      <w:r w:rsidR="002522F7">
        <w:t xml:space="preserve">of Fellows are required to identify respondents who may have been awarded the Fellowship but chose to decline the award. Because the sampling file is based solely on program application data, this question is necessary to define the appropriate survey skip patterns.   </w:t>
      </w:r>
    </w:p>
    <w:p w:rsidR="002522F7" w:rsidRDefault="002522F7" w:rsidP="005C1A83">
      <w:pPr>
        <w:pStyle w:val="ListParagraph"/>
        <w:tabs>
          <w:tab w:val="left" w:pos="540"/>
        </w:tabs>
        <w:spacing w:after="120"/>
        <w:ind w:left="540"/>
      </w:pPr>
      <w:r>
        <w:t xml:space="preserve">In most cases, those questions from Section I, Part A that were to be asked only of Fellowship recipients, have been moved Section II of the survey which collects information on graduate student experiences and will be administered to the full set of Fellows and Honorable Mentions.   However, in some cases, it became apparent that the information being asked by the Section I question was already captured elsewhere; such items were removed from the survey. </w:t>
      </w:r>
    </w:p>
    <w:p w:rsidR="00F54240" w:rsidRPr="00A22594" w:rsidRDefault="005B0C0C" w:rsidP="005C1A83">
      <w:pPr>
        <w:spacing w:after="120"/>
        <w:ind w:left="540"/>
      </w:pPr>
      <w:r>
        <w:lastRenderedPageBreak/>
        <w:t>For tracking purposes, Table 1 at the end of this memo lists those survey ques</w:t>
      </w:r>
      <w:r w:rsidR="00A22594">
        <w:t>tions that have been eliminated</w:t>
      </w:r>
      <w:r>
        <w:t>. Table 2 lists the q</w:t>
      </w:r>
      <w:r w:rsidRPr="005B0C0C">
        <w:t>uestions that have been moved</w:t>
      </w:r>
      <w:r>
        <w:t>, along with the original and new location. Table 3 identifies those questions that have been revised, along with the location of the item</w:t>
      </w:r>
      <w:r w:rsidR="00A22594">
        <w:t>.</w:t>
      </w:r>
      <w:r>
        <w:t xml:space="preserve"> Finally, Table 4 </w:t>
      </w:r>
      <w:r w:rsidR="004049DD">
        <w:t xml:space="preserve">presents the </w:t>
      </w:r>
      <w:r w:rsidR="00A22594">
        <w:t xml:space="preserve">items that have been moved </w:t>
      </w:r>
      <w:r w:rsidR="00A22594">
        <w:rPr>
          <w:i/>
        </w:rPr>
        <w:t>and</w:t>
      </w:r>
      <w:r w:rsidR="00A22594">
        <w:t xml:space="preserve"> revise</w:t>
      </w:r>
      <w:r w:rsidR="000C7A73">
        <w:t>d</w:t>
      </w:r>
      <w:r w:rsidR="00A22594">
        <w:t xml:space="preserve">. </w:t>
      </w:r>
      <w:r w:rsidR="000C7A73">
        <w:t>A rationale for the revisions is provided in a</w:t>
      </w:r>
      <w:r w:rsidR="00C0510F">
        <w:t>ll</w:t>
      </w:r>
      <w:r w:rsidR="00A22594">
        <w:t xml:space="preserve"> </w:t>
      </w:r>
      <w:r w:rsidR="000C7A73">
        <w:t xml:space="preserve">the </w:t>
      </w:r>
      <w:r w:rsidR="00A22594">
        <w:t>table</w:t>
      </w:r>
      <w:r w:rsidR="00C0510F">
        <w:t>s</w:t>
      </w:r>
      <w:r w:rsidR="00A22594">
        <w:t>.</w:t>
      </w:r>
    </w:p>
    <w:p w:rsidR="00A45DF6" w:rsidRPr="00746E35" w:rsidRDefault="00035A25" w:rsidP="005C1A83">
      <w:pPr>
        <w:pStyle w:val="ListParagraph"/>
        <w:numPr>
          <w:ilvl w:val="0"/>
          <w:numId w:val="17"/>
        </w:numPr>
        <w:spacing w:after="120"/>
        <w:ind w:left="540"/>
      </w:pPr>
      <w:r w:rsidRPr="002522F7">
        <w:rPr>
          <w:b/>
          <w:sz w:val="24"/>
          <w:szCs w:val="24"/>
          <w:u w:val="single"/>
        </w:rPr>
        <w:t>OMB</w:t>
      </w:r>
      <w:r>
        <w:rPr>
          <w:b/>
          <w:sz w:val="24"/>
          <w:szCs w:val="24"/>
          <w:u w:val="single"/>
        </w:rPr>
        <w:t xml:space="preserve"> - reliability</w:t>
      </w:r>
      <w:r w:rsidRPr="00746E35">
        <w:t xml:space="preserve"> </w:t>
      </w:r>
      <w:r>
        <w:br/>
      </w:r>
      <w:r w:rsidR="000414F8" w:rsidRPr="00746E35">
        <w:t xml:space="preserve">The survey asks a number of speculative questions that do not lend themselves to any sort of reliability.  On this last point, we are referring to questions such as A5.3, which ask respondents to indicate whether receiving the GRFP award </w:t>
      </w:r>
      <w:r w:rsidR="000414F8" w:rsidRPr="00035A25">
        <w:rPr>
          <w:i/>
          <w:iCs/>
        </w:rPr>
        <w:t xml:space="preserve">improved </w:t>
      </w:r>
      <w:r w:rsidR="000414F8" w:rsidRPr="00746E35">
        <w:t xml:space="preserve">their opportunities to choose their research project.  Since the rules of the GRFP prohibit previous graduate experience before the fellow applies for the grant, questions such as this ask the respondents to compare their lives to an un-lived hypothetical.  A question such as this will not produce externally reliable data.  </w:t>
      </w:r>
    </w:p>
    <w:p w:rsidR="00035A25" w:rsidRPr="001A0AA7" w:rsidRDefault="00035A25" w:rsidP="005C1A83">
      <w:pPr>
        <w:tabs>
          <w:tab w:val="left" w:pos="540"/>
        </w:tabs>
        <w:spacing w:after="120"/>
        <w:rPr>
          <w:b/>
          <w:caps/>
          <w:sz w:val="24"/>
          <w:szCs w:val="24"/>
          <w:u w:val="single"/>
        </w:rPr>
      </w:pPr>
      <w:r w:rsidRPr="001A0AA7">
        <w:rPr>
          <w:caps/>
          <w:sz w:val="24"/>
          <w:szCs w:val="24"/>
        </w:rPr>
        <w:tab/>
      </w:r>
      <w:r w:rsidRPr="001A0AA7">
        <w:rPr>
          <w:b/>
          <w:caps/>
          <w:sz w:val="24"/>
          <w:szCs w:val="24"/>
          <w:u w:val="single"/>
        </w:rPr>
        <w:t>NSF/NORC Response</w:t>
      </w:r>
    </w:p>
    <w:p w:rsidR="000414F8" w:rsidRDefault="00035A25" w:rsidP="005C1A83">
      <w:pPr>
        <w:spacing w:after="120"/>
        <w:ind w:left="540"/>
      </w:pPr>
      <w:r>
        <w:t xml:space="preserve">NORC has </w:t>
      </w:r>
      <w:r w:rsidR="0029177C">
        <w:t>revised the survey accordingly (see response given to the previous item).</w:t>
      </w:r>
    </w:p>
    <w:p w:rsidR="0029177C" w:rsidRDefault="0029177C" w:rsidP="005C1A83">
      <w:pPr>
        <w:spacing w:after="120"/>
        <w:ind w:left="540"/>
      </w:pPr>
      <w:r>
        <w:t xml:space="preserve">As a point of clarification, please note that the GRFP </w:t>
      </w:r>
      <w:r w:rsidRPr="0029177C">
        <w:rPr>
          <w:i/>
        </w:rPr>
        <w:t>does</w:t>
      </w:r>
      <w:r>
        <w:t xml:space="preserve"> allow applicants to have up</w:t>
      </w:r>
      <w:r w:rsidR="006639F1">
        <w:t xml:space="preserve"> to</w:t>
      </w:r>
      <w:r>
        <w:t>, but no</w:t>
      </w:r>
      <w:r w:rsidR="004C2C51">
        <w:t>t</w:t>
      </w:r>
      <w:r>
        <w:t xml:space="preserve"> more than, twelve months of full-time graduate study. </w:t>
      </w:r>
    </w:p>
    <w:p w:rsidR="00535482" w:rsidRPr="00746E35" w:rsidRDefault="00035A25" w:rsidP="005C1A83">
      <w:pPr>
        <w:pStyle w:val="ListParagraph"/>
        <w:numPr>
          <w:ilvl w:val="0"/>
          <w:numId w:val="17"/>
        </w:numPr>
        <w:spacing w:after="120"/>
        <w:ind w:left="540"/>
      </w:pPr>
      <w:r w:rsidRPr="00035A25">
        <w:rPr>
          <w:b/>
          <w:sz w:val="24"/>
          <w:szCs w:val="24"/>
          <w:u w:val="single"/>
        </w:rPr>
        <w:t>OMB</w:t>
      </w:r>
      <w:r>
        <w:rPr>
          <w:b/>
          <w:sz w:val="24"/>
          <w:szCs w:val="24"/>
          <w:u w:val="single"/>
        </w:rPr>
        <w:t xml:space="preserve"> – cognitive testing</w:t>
      </w:r>
      <w:r w:rsidRPr="00746E35">
        <w:t xml:space="preserve"> </w:t>
      </w:r>
      <w:r>
        <w:br/>
      </w:r>
      <w:r w:rsidR="000414F8" w:rsidRPr="00746E35">
        <w:t xml:space="preserve">We believe that the remainder of the survey (after applying the above alterations) could benefit from cognitive pre-testing, and suggest that you write such a procedure into your PRA request.  Cognitive lab testing will allow you to find areas of redundancy and increase component validity across the questionnaire.  We specifically suggest that you focus cognitive testing on Part II (Graduate School Experiences) Sections C and D, as well as Part III questions 28 and 29.  While we understand that you took many of these categories from previous surveys, a greater effort should be made to tie the possible response categories to your research questions while reducing the overall burden placed on the respondents. </w:t>
      </w:r>
    </w:p>
    <w:p w:rsidR="00035A25" w:rsidRPr="001A0AA7" w:rsidRDefault="00035A25" w:rsidP="005C1A83">
      <w:pPr>
        <w:tabs>
          <w:tab w:val="left" w:pos="540"/>
        </w:tabs>
        <w:spacing w:after="120"/>
        <w:rPr>
          <w:b/>
          <w:caps/>
          <w:sz w:val="24"/>
          <w:szCs w:val="24"/>
          <w:u w:val="single"/>
        </w:rPr>
      </w:pPr>
      <w:r w:rsidRPr="001A0AA7">
        <w:rPr>
          <w:caps/>
          <w:sz w:val="24"/>
          <w:szCs w:val="24"/>
        </w:rPr>
        <w:tab/>
      </w:r>
      <w:r w:rsidRPr="001A0AA7">
        <w:rPr>
          <w:b/>
          <w:caps/>
          <w:sz w:val="24"/>
          <w:szCs w:val="24"/>
          <w:u w:val="single"/>
        </w:rPr>
        <w:t>NSF/NORC Response</w:t>
      </w:r>
    </w:p>
    <w:p w:rsidR="00E43AC8" w:rsidRDefault="00035A25" w:rsidP="005C1A83">
      <w:pPr>
        <w:spacing w:after="120"/>
        <w:ind w:left="540"/>
      </w:pPr>
      <w:r>
        <w:t>NORC has provided a</w:t>
      </w:r>
      <w:r w:rsidR="00E43AC8" w:rsidRPr="009B3370">
        <w:t xml:space="preserve">dditional explanation in the OMB </w:t>
      </w:r>
      <w:r>
        <w:t>package</w:t>
      </w:r>
      <w:r w:rsidR="009E6A59">
        <w:t>, Section B.4,</w:t>
      </w:r>
      <w:r w:rsidR="00E43AC8" w:rsidRPr="009B3370">
        <w:t xml:space="preserve"> </w:t>
      </w:r>
      <w:r w:rsidR="0029177C" w:rsidRPr="009B3370">
        <w:t>regarding the</w:t>
      </w:r>
      <w:r w:rsidR="00E43AC8" w:rsidRPr="009B3370">
        <w:t xml:space="preserve"> approach to be</w:t>
      </w:r>
      <w:r>
        <w:t xml:space="preserve"> taken during cognitive testing, as follows:</w:t>
      </w:r>
    </w:p>
    <w:p w:rsidR="001B11D3" w:rsidRDefault="001B11D3" w:rsidP="005C1A83">
      <w:pPr>
        <w:spacing w:after="120"/>
        <w:ind w:left="540"/>
      </w:pPr>
      <w:r>
        <w:t>~~~~~~~~~~~~~~~~~~~~~~~~~~~~~~~~~~~~~~~~~~~~~~</w:t>
      </w:r>
    </w:p>
    <w:p w:rsidR="001B11D3" w:rsidRPr="00B62DC9" w:rsidRDefault="001B11D3" w:rsidP="005C1A83">
      <w:pPr>
        <w:spacing w:after="120"/>
        <w:ind w:firstLine="540"/>
        <w:rPr>
          <w:rFonts w:asciiTheme="minorHAnsi" w:hAnsiTheme="minorHAnsi" w:cstheme="minorHAnsi"/>
          <w:b/>
          <w:i/>
        </w:rPr>
      </w:pPr>
      <w:r w:rsidRPr="00B62DC9">
        <w:rPr>
          <w:rFonts w:asciiTheme="minorHAnsi" w:hAnsiTheme="minorHAnsi" w:cstheme="minorHAnsi"/>
          <w:b/>
          <w:i/>
        </w:rPr>
        <w:t>Pilot and Cognitive Testing</w:t>
      </w:r>
    </w:p>
    <w:p w:rsidR="001B11D3" w:rsidRDefault="001B11D3" w:rsidP="005C1A83">
      <w:pPr>
        <w:spacing w:after="120"/>
        <w:ind w:left="540"/>
        <w:rPr>
          <w:rFonts w:asciiTheme="minorHAnsi" w:hAnsiTheme="minorHAnsi" w:cstheme="minorHAnsi"/>
        </w:rPr>
      </w:pPr>
      <w:r w:rsidRPr="00B62DC9">
        <w:rPr>
          <w:rFonts w:asciiTheme="minorHAnsi" w:hAnsiTheme="minorHAnsi" w:cstheme="minorHAnsi"/>
        </w:rPr>
        <w:t>The</w:t>
      </w:r>
      <w:r w:rsidRPr="00CC4792">
        <w:rPr>
          <w:rFonts w:asciiTheme="minorHAnsi" w:hAnsiTheme="minorHAnsi" w:cstheme="minorHAnsi"/>
        </w:rPr>
        <w:t xml:space="preserve"> survey was time tested with five individuals. Complete pilot testing with up to </w:t>
      </w:r>
      <w:r>
        <w:rPr>
          <w:rFonts w:asciiTheme="minorHAnsi" w:hAnsiTheme="minorHAnsi" w:cstheme="minorHAnsi"/>
        </w:rPr>
        <w:t>nine</w:t>
      </w:r>
      <w:r w:rsidRPr="00CC4792">
        <w:rPr>
          <w:rFonts w:asciiTheme="minorHAnsi" w:hAnsiTheme="minorHAnsi" w:cstheme="minorHAnsi"/>
        </w:rPr>
        <w:t xml:space="preserve"> respondents will occur in </w:t>
      </w:r>
      <w:r>
        <w:rPr>
          <w:rFonts w:asciiTheme="minorHAnsi" w:hAnsiTheme="minorHAnsi" w:cstheme="minorHAnsi"/>
        </w:rPr>
        <w:t xml:space="preserve">December </w:t>
      </w:r>
      <w:r w:rsidRPr="00CC4792">
        <w:rPr>
          <w:rFonts w:asciiTheme="minorHAnsi" w:hAnsiTheme="minorHAnsi" w:cstheme="minorHAnsi"/>
        </w:rPr>
        <w:t>and will gather respondent comments on directions, clarity of items and overall logic of the programmed Web survey. Results from this pilot test will be used to refine the survey.</w:t>
      </w:r>
    </w:p>
    <w:p w:rsidR="001B11D3" w:rsidRDefault="001B11D3" w:rsidP="005C1A83">
      <w:pPr>
        <w:spacing w:after="120"/>
        <w:ind w:left="540"/>
      </w:pPr>
      <w:r>
        <w:t xml:space="preserve">Cognitive testing also will be used as a tool </w:t>
      </w:r>
      <w:r w:rsidR="000C7A73">
        <w:t>to</w:t>
      </w:r>
      <w:r>
        <w:t xml:space="preserve"> explore the respondent’s understanding of the survey questions and the cognitive processing to formulate an answer. The scripted and unscripted cognitive probing during the interview will be directed towards understanding these issues.  NORC will conduct five cognitive interviews. After each interview, respondents will be asked to provide feedback on the interview including respondent’s overall interview experience, suggestions for improving the survey, and an open question and answer period for the respondent and interviewer. </w:t>
      </w:r>
    </w:p>
    <w:p w:rsidR="001B11D3" w:rsidRDefault="001B11D3" w:rsidP="005C1A83">
      <w:pPr>
        <w:spacing w:after="120"/>
        <w:ind w:left="540"/>
      </w:pPr>
      <w:r>
        <w:lastRenderedPageBreak/>
        <w:t>The factors that will be examined during the cognitive interviews include:  respondent understanding of the task/questions, respondent burden, interview timings, incorporating feedback from interviewers/respondents on problems with the instruments.  Some specific questions that will guide the cognitive testing include:</w:t>
      </w:r>
    </w:p>
    <w:p w:rsidR="001B11D3" w:rsidRDefault="001B11D3" w:rsidP="005C1A83">
      <w:pPr>
        <w:pStyle w:val="ListParagraph"/>
        <w:numPr>
          <w:ilvl w:val="0"/>
          <w:numId w:val="28"/>
        </w:numPr>
        <w:spacing w:after="120"/>
      </w:pPr>
      <w:r>
        <w:t>Do respondents have any difficulty comprehending the survey questions?</w:t>
      </w:r>
    </w:p>
    <w:p w:rsidR="001B11D3" w:rsidRDefault="001B11D3" w:rsidP="005C1A83">
      <w:pPr>
        <w:pStyle w:val="ListParagraph"/>
        <w:numPr>
          <w:ilvl w:val="0"/>
          <w:numId w:val="28"/>
        </w:numPr>
        <w:spacing w:after="120"/>
      </w:pPr>
      <w:r>
        <w:t>Are there any survey</w:t>
      </w:r>
      <w:r w:rsidR="000C7A73">
        <w:t xml:space="preserve"> questions that can be improved or</w:t>
      </w:r>
      <w:r>
        <w:t xml:space="preserve"> clarified?</w:t>
      </w:r>
    </w:p>
    <w:p w:rsidR="001B11D3" w:rsidRDefault="001B11D3" w:rsidP="005C1A83">
      <w:pPr>
        <w:pStyle w:val="ListParagraph"/>
        <w:numPr>
          <w:ilvl w:val="0"/>
          <w:numId w:val="28"/>
        </w:numPr>
        <w:spacing w:after="120"/>
      </w:pPr>
      <w:r>
        <w:t>Are there any additional survey questions that should be included?</w:t>
      </w:r>
    </w:p>
    <w:p w:rsidR="001B11D3" w:rsidRDefault="001B11D3" w:rsidP="005C1A83">
      <w:pPr>
        <w:pStyle w:val="ListParagraph"/>
        <w:numPr>
          <w:ilvl w:val="0"/>
          <w:numId w:val="28"/>
        </w:numPr>
        <w:spacing w:after="120"/>
      </w:pPr>
      <w:r>
        <w:t>How burdensome is the survey and has burden been reduced as much as possible?</w:t>
      </w:r>
    </w:p>
    <w:p w:rsidR="001B11D3" w:rsidRDefault="001B11D3" w:rsidP="005C1A83">
      <w:pPr>
        <w:pStyle w:val="ListParagraph"/>
        <w:numPr>
          <w:ilvl w:val="0"/>
          <w:numId w:val="28"/>
        </w:numPr>
        <w:spacing w:after="120"/>
      </w:pPr>
      <w:r>
        <w:t xml:space="preserve">Can respondents provide accurate responses to survey questions that ask about events that may be more than a few years in the past?  </w:t>
      </w:r>
    </w:p>
    <w:p w:rsidR="001B11D3" w:rsidRDefault="001B11D3" w:rsidP="005C1A83">
      <w:pPr>
        <w:pStyle w:val="ListParagraph"/>
        <w:numPr>
          <w:ilvl w:val="0"/>
          <w:numId w:val="28"/>
        </w:numPr>
        <w:spacing w:after="120"/>
      </w:pPr>
      <w:r>
        <w:t>Has all relevant feedback from respondents and cognitive interviewers been incorporated?</w:t>
      </w:r>
    </w:p>
    <w:p w:rsidR="001B11D3" w:rsidRDefault="001B11D3" w:rsidP="005C1A83">
      <w:pPr>
        <w:pStyle w:val="ListParagraph"/>
        <w:numPr>
          <w:ilvl w:val="0"/>
          <w:numId w:val="28"/>
        </w:numPr>
        <w:spacing w:after="120"/>
      </w:pPr>
      <w:r>
        <w:t>Is the timing of the instruments within the appropriate parameters?</w:t>
      </w:r>
    </w:p>
    <w:p w:rsidR="001B11D3" w:rsidRDefault="001B11D3" w:rsidP="000C7A73">
      <w:pPr>
        <w:spacing w:after="120"/>
        <w:ind w:left="547"/>
      </w:pPr>
      <w:r>
        <w:t xml:space="preserve">The cognitive interviews </w:t>
      </w:r>
      <w:r w:rsidR="000C7A73">
        <w:t xml:space="preserve">provide valuable information on issues </w:t>
      </w:r>
      <w:r>
        <w:t xml:space="preserve">with the GRFP survey. Following the set of five interviews, data will be examined and materials will be revised in order to address the issues that emerge from testing.   </w:t>
      </w:r>
      <w:r>
        <w:br/>
        <w:t>~~~~~~~~~~~~~~~~~~~~~~~~~~~~~~~~~~~~~~~~~~~~~~</w:t>
      </w:r>
    </w:p>
    <w:p w:rsidR="00A45DF6" w:rsidRPr="000E17A4" w:rsidRDefault="000E17A4" w:rsidP="005C1A83">
      <w:pPr>
        <w:spacing w:after="120"/>
        <w:rPr>
          <w:b/>
          <w:bCs/>
          <w:caps/>
          <w:sz w:val="24"/>
          <w:szCs w:val="24"/>
        </w:rPr>
      </w:pPr>
      <w:r>
        <w:rPr>
          <w:b/>
          <w:bCs/>
          <w:caps/>
          <w:sz w:val="24"/>
          <w:szCs w:val="24"/>
        </w:rPr>
        <w:t>3.</w:t>
      </w:r>
      <w:r w:rsidRPr="0061732D">
        <w:rPr>
          <w:b/>
          <w:bCs/>
          <w:caps/>
          <w:sz w:val="24"/>
          <w:szCs w:val="24"/>
        </w:rPr>
        <w:t xml:space="preserve"> </w:t>
      </w:r>
      <w:r>
        <w:rPr>
          <w:b/>
          <w:bCs/>
          <w:caps/>
          <w:sz w:val="24"/>
          <w:szCs w:val="24"/>
        </w:rPr>
        <w:t>interview protocols</w:t>
      </w:r>
    </w:p>
    <w:p w:rsidR="000414F8" w:rsidRPr="00746E35" w:rsidRDefault="000E17A4" w:rsidP="005C1A83">
      <w:pPr>
        <w:spacing w:after="120"/>
        <w:ind w:left="540"/>
      </w:pPr>
      <w:r w:rsidRPr="001A0AA7">
        <w:rPr>
          <w:b/>
          <w:sz w:val="24"/>
          <w:szCs w:val="24"/>
          <w:u w:val="single"/>
        </w:rPr>
        <w:t>OMB</w:t>
      </w:r>
      <w:r w:rsidRPr="00746E35">
        <w:t xml:space="preserve"> </w:t>
      </w:r>
      <w:r>
        <w:br/>
      </w:r>
      <w:r w:rsidR="000414F8" w:rsidRPr="00746E35">
        <w:t xml:space="preserve">We believe further pretesting of the interview protocols is necessary, particularly for flow.  Most of the protocols jump from one major topic (say program administration) to another (i.e. the experiences of the fellows) and back; semi structured interviews work best if they feel like a natural discussion.  The faculty protocol is the only one that seems to flow well, and should be used as a model.  </w:t>
      </w:r>
    </w:p>
    <w:p w:rsidR="000E17A4" w:rsidRPr="001A0AA7" w:rsidRDefault="000E17A4" w:rsidP="005C1A83">
      <w:pPr>
        <w:tabs>
          <w:tab w:val="left" w:pos="540"/>
        </w:tabs>
        <w:spacing w:after="120"/>
        <w:rPr>
          <w:b/>
          <w:caps/>
          <w:sz w:val="24"/>
          <w:szCs w:val="24"/>
          <w:u w:val="single"/>
        </w:rPr>
      </w:pPr>
      <w:r w:rsidRPr="001A0AA7">
        <w:rPr>
          <w:caps/>
          <w:sz w:val="24"/>
          <w:szCs w:val="24"/>
        </w:rPr>
        <w:tab/>
      </w:r>
      <w:r w:rsidRPr="001A0AA7">
        <w:rPr>
          <w:b/>
          <w:caps/>
          <w:sz w:val="24"/>
          <w:szCs w:val="24"/>
          <w:u w:val="single"/>
        </w:rPr>
        <w:t>NSF/NORC Response</w:t>
      </w:r>
    </w:p>
    <w:p w:rsidR="00AC2BE1" w:rsidRDefault="00AC2BE1" w:rsidP="005C1A83">
      <w:pPr>
        <w:spacing w:after="120"/>
        <w:ind w:left="540"/>
      </w:pPr>
      <w:r>
        <w:t>The following</w:t>
      </w:r>
      <w:r w:rsidRPr="009B3370">
        <w:t xml:space="preserve"> explanation </w:t>
      </w:r>
      <w:r>
        <w:t xml:space="preserve">is included in </w:t>
      </w:r>
      <w:r w:rsidRPr="009B3370">
        <w:t xml:space="preserve">the OMB </w:t>
      </w:r>
      <w:r>
        <w:t xml:space="preserve">package, Section II, B.4, </w:t>
      </w:r>
      <w:r w:rsidRPr="009B3370">
        <w:t>as</w:t>
      </w:r>
      <w:r>
        <w:t xml:space="preserve"> follows: </w:t>
      </w:r>
    </w:p>
    <w:p w:rsidR="00AC2BE1" w:rsidRDefault="00AC2BE1" w:rsidP="005C1A83">
      <w:pPr>
        <w:spacing w:after="120"/>
        <w:ind w:left="540"/>
      </w:pPr>
      <w:r>
        <w:t>~~~~~~~~~~~~~~~~~~~~~~~~~~~~~~~~~~~~~~~~~~~~~~</w:t>
      </w:r>
    </w:p>
    <w:p w:rsidR="00AC2BE1" w:rsidRDefault="00AC2BE1" w:rsidP="005C1A83">
      <w:pPr>
        <w:spacing w:after="120"/>
        <w:ind w:left="540"/>
      </w:pPr>
      <w:r w:rsidRPr="00CC4792">
        <w:rPr>
          <w:rFonts w:asciiTheme="minorHAnsi" w:hAnsiTheme="minorHAnsi" w:cstheme="minorHAnsi"/>
        </w:rPr>
        <w:t xml:space="preserve">Interview protocols will be tested via cognitive interviews with faculty and administrators at graduate institutions similar to those selected for the site visit. This iterative cognitive interviewing process will allow NORC’s qualitative research experts to quickly identify which questions yield answers relevant to the identified research questions, and which </w:t>
      </w:r>
      <w:r w:rsidR="009B775A">
        <w:rPr>
          <w:rFonts w:asciiTheme="minorHAnsi" w:hAnsiTheme="minorHAnsi" w:cstheme="minorHAnsi"/>
        </w:rPr>
        <w:t xml:space="preserve">need to be revised or replaced to improve clarity and flow. </w:t>
      </w:r>
      <w:r w:rsidRPr="00CC4792">
        <w:rPr>
          <w:rFonts w:asciiTheme="minorHAnsi" w:hAnsiTheme="minorHAnsi" w:cstheme="minorHAnsi"/>
        </w:rPr>
        <w:t xml:space="preserve">NORC will pilot test the </w:t>
      </w:r>
      <w:r w:rsidRPr="002D0C2E">
        <w:t xml:space="preserve">three </w:t>
      </w:r>
      <w:r w:rsidRPr="00CC4792">
        <w:rPr>
          <w:rFonts w:asciiTheme="minorHAnsi" w:hAnsiTheme="minorHAnsi" w:cstheme="minorHAnsi"/>
        </w:rPr>
        <w:t xml:space="preserve">interview protocols with at least </w:t>
      </w:r>
      <w:r w:rsidRPr="002D0C2E">
        <w:t xml:space="preserve">two </w:t>
      </w:r>
      <w:r w:rsidRPr="00CC4792">
        <w:rPr>
          <w:rFonts w:asciiTheme="minorHAnsi" w:hAnsiTheme="minorHAnsi" w:cstheme="minorHAnsi"/>
        </w:rPr>
        <w:t xml:space="preserve">participants </w:t>
      </w:r>
      <w:r w:rsidR="009B775A">
        <w:rPr>
          <w:rFonts w:asciiTheme="minorHAnsi" w:hAnsiTheme="minorHAnsi" w:cstheme="minorHAnsi"/>
        </w:rPr>
        <w:t xml:space="preserve">per </w:t>
      </w:r>
      <w:r w:rsidRPr="002D0C2E">
        <w:t>protocol (i.e., at least six total participants) prior to the site visits</w:t>
      </w:r>
      <w:r w:rsidRPr="00CC4792">
        <w:rPr>
          <w:rFonts w:asciiTheme="minorHAnsi" w:hAnsiTheme="minorHAnsi" w:cstheme="minorHAnsi"/>
        </w:rPr>
        <w:t>.</w:t>
      </w:r>
      <w:r w:rsidRPr="00AF2A1E">
        <w:t xml:space="preserve"> </w:t>
      </w:r>
      <w:r w:rsidRPr="002D0C2E">
        <w:t>NORC will consult with NSF before selecting appropriate local institution</w:t>
      </w:r>
      <w:r w:rsidR="000C7A73">
        <w:t>s</w:t>
      </w:r>
      <w:r w:rsidRPr="002D0C2E">
        <w:t xml:space="preserve"> for pilot testing to make sure that </w:t>
      </w:r>
      <w:r w:rsidR="000C7A73">
        <w:t>NORC does</w:t>
      </w:r>
      <w:r w:rsidRPr="002D0C2E">
        <w:t xml:space="preserve"> not select an institution that would more appropriately be included in the full study.</w:t>
      </w:r>
    </w:p>
    <w:p w:rsidR="00AC2BE1" w:rsidRDefault="00AC2BE1" w:rsidP="00AC2BE1">
      <w:pPr>
        <w:ind w:left="540"/>
      </w:pPr>
      <w:r>
        <w:t>~~~~~~~~~~~~~~~~~~~~~~~~~~~~~~~~~~~~~~~~~~~~~~</w:t>
      </w:r>
    </w:p>
    <w:p w:rsidR="000E17A4" w:rsidRDefault="000E17A4" w:rsidP="000E17A4">
      <w:pPr>
        <w:ind w:left="540"/>
      </w:pPr>
    </w:p>
    <w:p w:rsidR="000E17A4" w:rsidRDefault="000E17A4">
      <w:pPr>
        <w:spacing w:after="200" w:line="276" w:lineRule="auto"/>
        <w:rPr>
          <w:color w:val="1F497D"/>
        </w:rPr>
      </w:pPr>
    </w:p>
    <w:p w:rsidR="003237E2" w:rsidRDefault="00136543">
      <w:pPr>
        <w:spacing w:after="200" w:line="276" w:lineRule="auto"/>
        <w:rPr>
          <w:color w:val="1F497D"/>
        </w:rPr>
        <w:sectPr w:rsidR="003237E2" w:rsidSect="003237E2">
          <w:footerReference w:type="default" r:id="rId8"/>
          <w:headerReference w:type="first" r:id="rId9"/>
          <w:footerReference w:type="first" r:id="rId10"/>
          <w:pgSz w:w="12240" w:h="15840"/>
          <w:pgMar w:top="1440" w:right="1440" w:bottom="1440" w:left="1440" w:header="720" w:footer="720" w:gutter="0"/>
          <w:cols w:space="720"/>
          <w:titlePg/>
          <w:docGrid w:linePitch="360"/>
        </w:sectPr>
      </w:pPr>
      <w:r>
        <w:rPr>
          <w:color w:val="1F497D"/>
        </w:rPr>
        <w:br w:type="page"/>
      </w:r>
    </w:p>
    <w:p w:rsidR="00951B92" w:rsidRDefault="00951B92">
      <w:pPr>
        <w:pBdr>
          <w:bottom w:val="single" w:sz="6" w:space="1" w:color="auto"/>
        </w:pBdr>
        <w:spacing w:after="200" w:line="276" w:lineRule="auto"/>
        <w:rPr>
          <w:b/>
          <w:caps/>
          <w:sz w:val="24"/>
          <w:szCs w:val="24"/>
        </w:rPr>
      </w:pPr>
      <w:r>
        <w:rPr>
          <w:b/>
          <w:caps/>
          <w:sz w:val="24"/>
          <w:szCs w:val="24"/>
        </w:rPr>
        <w:lastRenderedPageBreak/>
        <w:t>Survey revisions</w:t>
      </w:r>
    </w:p>
    <w:p w:rsidR="00951B92" w:rsidRPr="00645AD4" w:rsidRDefault="00951B92" w:rsidP="00BD6A9F">
      <w:pPr>
        <w:spacing w:after="120" w:line="276" w:lineRule="auto"/>
        <w:rPr>
          <w:b/>
          <w:sz w:val="24"/>
          <w:szCs w:val="24"/>
        </w:rPr>
      </w:pPr>
      <w:proofErr w:type="gramStart"/>
      <w:r w:rsidRPr="00645AD4">
        <w:rPr>
          <w:b/>
          <w:sz w:val="24"/>
          <w:szCs w:val="24"/>
        </w:rPr>
        <w:t>Table 1.</w:t>
      </w:r>
      <w:proofErr w:type="gramEnd"/>
      <w:r w:rsidRPr="00645AD4">
        <w:rPr>
          <w:b/>
          <w:caps/>
          <w:sz w:val="24"/>
          <w:szCs w:val="24"/>
        </w:rPr>
        <w:t xml:space="preserve"> </w:t>
      </w:r>
      <w:r w:rsidRPr="00645AD4">
        <w:rPr>
          <w:b/>
          <w:sz w:val="24"/>
          <w:szCs w:val="24"/>
        </w:rPr>
        <w:t>Questions that have been deleted</w:t>
      </w:r>
    </w:p>
    <w:tbl>
      <w:tblPr>
        <w:tblW w:w="5000" w:type="pct"/>
        <w:tblLook w:val="04A0"/>
      </w:tblPr>
      <w:tblGrid>
        <w:gridCol w:w="2544"/>
        <w:gridCol w:w="4375"/>
        <w:gridCol w:w="2657"/>
      </w:tblGrid>
      <w:tr w:rsidR="00EC45F0" w:rsidRPr="00EC45F0" w:rsidTr="000C7A73">
        <w:trPr>
          <w:trHeight w:val="315"/>
        </w:trPr>
        <w:tc>
          <w:tcPr>
            <w:tcW w:w="1328" w:type="pct"/>
            <w:tcBorders>
              <w:top w:val="single" w:sz="4" w:space="0" w:color="auto"/>
              <w:left w:val="single" w:sz="4" w:space="0" w:color="auto"/>
              <w:bottom w:val="single" w:sz="8" w:space="0" w:color="auto"/>
              <w:right w:val="single" w:sz="4" w:space="0" w:color="auto"/>
            </w:tcBorders>
            <w:shd w:val="pct20" w:color="auto" w:fill="auto"/>
            <w:vAlign w:val="center"/>
            <w:hideMark/>
          </w:tcPr>
          <w:p w:rsidR="00EC45F0" w:rsidRPr="00EC45F0" w:rsidRDefault="00EC45F0" w:rsidP="00EC45F0">
            <w:pPr>
              <w:rPr>
                <w:rFonts w:cs="Calibri"/>
                <w:b/>
                <w:color w:val="000000"/>
                <w:sz w:val="20"/>
                <w:szCs w:val="20"/>
              </w:rPr>
            </w:pPr>
            <w:r w:rsidRPr="00EC45F0">
              <w:rPr>
                <w:rFonts w:eastAsia="Calibri" w:cs="Calibri"/>
                <w:b/>
                <w:color w:val="000000"/>
                <w:sz w:val="20"/>
                <w:szCs w:val="20"/>
              </w:rPr>
              <w:t>Original placement</w:t>
            </w:r>
          </w:p>
        </w:tc>
        <w:tc>
          <w:tcPr>
            <w:tcW w:w="2284" w:type="pct"/>
            <w:tcBorders>
              <w:top w:val="single" w:sz="4" w:space="0" w:color="auto"/>
              <w:left w:val="nil"/>
              <w:bottom w:val="single" w:sz="8" w:space="0" w:color="auto"/>
              <w:right w:val="single" w:sz="4" w:space="0" w:color="auto"/>
            </w:tcBorders>
            <w:shd w:val="pct20" w:color="auto" w:fill="auto"/>
            <w:vAlign w:val="center"/>
            <w:hideMark/>
          </w:tcPr>
          <w:p w:rsidR="00EC45F0" w:rsidRPr="00EC45F0" w:rsidRDefault="00EC45F0" w:rsidP="00EC45F0">
            <w:pPr>
              <w:rPr>
                <w:rFonts w:cs="Calibri"/>
                <w:b/>
                <w:color w:val="000000"/>
                <w:sz w:val="20"/>
                <w:szCs w:val="20"/>
              </w:rPr>
            </w:pPr>
            <w:r w:rsidRPr="00EC45F0">
              <w:rPr>
                <w:rFonts w:eastAsia="Calibri" w:cs="Calibri"/>
                <w:b/>
                <w:color w:val="000000"/>
                <w:sz w:val="20"/>
                <w:szCs w:val="20"/>
              </w:rPr>
              <w:t>Original Question(s)</w:t>
            </w:r>
          </w:p>
        </w:tc>
        <w:tc>
          <w:tcPr>
            <w:tcW w:w="1387" w:type="pct"/>
            <w:tcBorders>
              <w:top w:val="single" w:sz="4" w:space="0" w:color="auto"/>
              <w:left w:val="nil"/>
              <w:bottom w:val="single" w:sz="8" w:space="0" w:color="auto"/>
              <w:right w:val="single" w:sz="4" w:space="0" w:color="auto"/>
            </w:tcBorders>
            <w:shd w:val="pct20" w:color="auto" w:fill="auto"/>
            <w:vAlign w:val="center"/>
            <w:hideMark/>
          </w:tcPr>
          <w:p w:rsidR="00EC45F0" w:rsidRPr="00EC45F0" w:rsidRDefault="00EC45F0" w:rsidP="00EC45F0">
            <w:pPr>
              <w:rPr>
                <w:rFonts w:cs="Calibri"/>
                <w:b/>
                <w:color w:val="000000"/>
                <w:sz w:val="20"/>
                <w:szCs w:val="20"/>
              </w:rPr>
            </w:pPr>
            <w:r w:rsidRPr="00EC45F0">
              <w:rPr>
                <w:rFonts w:eastAsia="Calibri" w:cs="Calibri"/>
                <w:b/>
                <w:color w:val="000000"/>
                <w:sz w:val="20"/>
                <w:szCs w:val="20"/>
              </w:rPr>
              <w:t>Rationale</w:t>
            </w:r>
          </w:p>
        </w:tc>
      </w:tr>
      <w:tr w:rsidR="00EC45F0" w:rsidRPr="00EC45F0" w:rsidTr="000C7A73">
        <w:trPr>
          <w:trHeight w:val="855"/>
        </w:trPr>
        <w:tc>
          <w:tcPr>
            <w:tcW w:w="1328" w:type="pct"/>
            <w:tcBorders>
              <w:top w:val="nil"/>
              <w:left w:val="single" w:sz="4" w:space="0" w:color="auto"/>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Section A #4, item 2&amp;3</w:t>
            </w:r>
          </w:p>
        </w:tc>
        <w:tc>
          <w:tcPr>
            <w:tcW w:w="2284" w:type="pct"/>
            <w:tcBorders>
              <w:top w:val="nil"/>
              <w:left w:val="nil"/>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“Having the GRFP award on my CV helped/will help me in my job search”;  “Having the GRFP award on my CV helped/will help in getting additional financial support”</w:t>
            </w:r>
          </w:p>
        </w:tc>
        <w:tc>
          <w:tcPr>
            <w:tcW w:w="1387" w:type="pct"/>
            <w:tcBorders>
              <w:top w:val="nil"/>
              <w:left w:val="nil"/>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Speculative question</w:t>
            </w:r>
          </w:p>
        </w:tc>
      </w:tr>
      <w:tr w:rsidR="00EC45F0" w:rsidRPr="00EC45F0" w:rsidTr="000C7A73">
        <w:trPr>
          <w:trHeight w:val="1320"/>
        </w:trPr>
        <w:tc>
          <w:tcPr>
            <w:tcW w:w="1328" w:type="pct"/>
            <w:tcBorders>
              <w:top w:val="nil"/>
              <w:left w:val="single" w:sz="4" w:space="0" w:color="auto"/>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Section A #5, item 1 &amp;2</w:t>
            </w:r>
          </w:p>
        </w:tc>
        <w:tc>
          <w:tcPr>
            <w:tcW w:w="2284" w:type="pct"/>
            <w:tcBorders>
              <w:top w:val="nil"/>
              <w:left w:val="nil"/>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“Without receiving the GRFP award I would not have attended graduate school”; “Without receiving the GRFP award I would not have pursued graduate work in a STEM field”</w:t>
            </w:r>
          </w:p>
        </w:tc>
        <w:tc>
          <w:tcPr>
            <w:tcW w:w="1387" w:type="pct"/>
            <w:tcBorders>
              <w:top w:val="nil"/>
              <w:left w:val="nil"/>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Speculative question</w:t>
            </w:r>
          </w:p>
        </w:tc>
      </w:tr>
      <w:tr w:rsidR="00EC45F0" w:rsidRPr="00EC45F0" w:rsidTr="000C7A73">
        <w:trPr>
          <w:trHeight w:val="915"/>
        </w:trPr>
        <w:tc>
          <w:tcPr>
            <w:tcW w:w="1328" w:type="pct"/>
            <w:tcBorders>
              <w:top w:val="nil"/>
              <w:left w:val="single" w:sz="4" w:space="0" w:color="auto"/>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Section A #5, item 3</w:t>
            </w:r>
          </w:p>
        </w:tc>
        <w:tc>
          <w:tcPr>
            <w:tcW w:w="2284" w:type="pct"/>
            <w:tcBorders>
              <w:top w:val="nil"/>
              <w:left w:val="nil"/>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“Receiving the GRFP award improved my opportunities to choose my research projects”</w:t>
            </w:r>
          </w:p>
        </w:tc>
        <w:tc>
          <w:tcPr>
            <w:tcW w:w="1387" w:type="pct"/>
            <w:tcBorders>
              <w:top w:val="nil"/>
              <w:left w:val="nil"/>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Similar question asked in Sec. C, 3b, item 2.</w:t>
            </w:r>
          </w:p>
        </w:tc>
      </w:tr>
      <w:tr w:rsidR="00EC45F0" w:rsidRPr="00EC45F0" w:rsidTr="000C7A73">
        <w:trPr>
          <w:trHeight w:val="720"/>
        </w:trPr>
        <w:tc>
          <w:tcPr>
            <w:tcW w:w="1328" w:type="pct"/>
            <w:tcBorders>
              <w:top w:val="nil"/>
              <w:left w:val="single" w:sz="4" w:space="0" w:color="auto"/>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Section A #5, item 4</w:t>
            </w:r>
          </w:p>
        </w:tc>
        <w:tc>
          <w:tcPr>
            <w:tcW w:w="2284" w:type="pct"/>
            <w:tcBorders>
              <w:top w:val="nil"/>
              <w:left w:val="nil"/>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“Receiving the GRFP award improved my opportunities to work with faculty on their research projects”</w:t>
            </w:r>
          </w:p>
        </w:tc>
        <w:tc>
          <w:tcPr>
            <w:tcW w:w="1387" w:type="pct"/>
            <w:tcBorders>
              <w:top w:val="nil"/>
              <w:left w:val="nil"/>
              <w:bottom w:val="single" w:sz="4" w:space="0" w:color="auto"/>
              <w:right w:val="single" w:sz="4" w:space="0" w:color="auto"/>
            </w:tcBorders>
            <w:shd w:val="clear" w:color="auto" w:fill="auto"/>
            <w:hideMark/>
          </w:tcPr>
          <w:p w:rsidR="00EC45F0" w:rsidRPr="00EC45F0" w:rsidRDefault="00EC45F0" w:rsidP="00EC45F0">
            <w:pPr>
              <w:rPr>
                <w:rFonts w:cs="Calibri"/>
                <w:color w:val="000000"/>
                <w:sz w:val="20"/>
                <w:szCs w:val="20"/>
              </w:rPr>
            </w:pPr>
            <w:r w:rsidRPr="00EC45F0">
              <w:rPr>
                <w:rFonts w:eastAsia="Calibri" w:cs="Calibri"/>
                <w:color w:val="000000"/>
                <w:sz w:val="20"/>
                <w:szCs w:val="20"/>
              </w:rPr>
              <w:t>Similar question asked in Sec. C, 3b, item 3; and Sec. C, 3c, all items.</w:t>
            </w:r>
          </w:p>
        </w:tc>
      </w:tr>
      <w:tr w:rsidR="003B0769" w:rsidRPr="00EC45F0" w:rsidTr="000C7A73">
        <w:trPr>
          <w:trHeight w:val="720"/>
        </w:trPr>
        <w:tc>
          <w:tcPr>
            <w:tcW w:w="1328" w:type="pc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#6</w:t>
            </w:r>
          </w:p>
        </w:tc>
        <w:tc>
          <w:tcPr>
            <w:tcW w:w="2284"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“Did receiving the GRFP award influence your choice of which graduate institution to attend?</w:t>
            </w:r>
          </w:p>
        </w:tc>
        <w:tc>
          <w:tcPr>
            <w:tcW w:w="1387" w:type="pct"/>
            <w:tcBorders>
              <w:top w:val="nil"/>
              <w:left w:val="nil"/>
              <w:bottom w:val="single" w:sz="4" w:space="0" w:color="auto"/>
              <w:right w:val="single" w:sz="4" w:space="0" w:color="auto"/>
            </w:tcBorders>
            <w:shd w:val="clear" w:color="auto" w:fill="auto"/>
            <w:hideMark/>
          </w:tcPr>
          <w:p w:rsidR="003B0769" w:rsidRPr="00EC45F0" w:rsidRDefault="003B0769" w:rsidP="001D160F">
            <w:pPr>
              <w:rPr>
                <w:rFonts w:cs="Calibri"/>
                <w:color w:val="000000"/>
                <w:sz w:val="20"/>
                <w:szCs w:val="20"/>
              </w:rPr>
            </w:pPr>
            <w:r w:rsidRPr="00EC45F0">
              <w:rPr>
                <w:rFonts w:eastAsia="Calibri" w:cs="Calibri"/>
                <w:color w:val="000000"/>
                <w:sz w:val="20"/>
                <w:szCs w:val="20"/>
              </w:rPr>
              <w:t>Cannot be applied to test and control groups</w:t>
            </w:r>
          </w:p>
        </w:tc>
      </w:tr>
      <w:tr w:rsidR="003B0769" w:rsidRPr="00EC45F0" w:rsidTr="000C7A73">
        <w:trPr>
          <w:trHeight w:val="825"/>
        </w:trPr>
        <w:tc>
          <w:tcPr>
            <w:tcW w:w="1328" w:type="pc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#6a, items 1&amp;2</w:t>
            </w:r>
          </w:p>
        </w:tc>
        <w:tc>
          <w:tcPr>
            <w:tcW w:w="2284"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“The award enabled me to enroll in a more selective institution”; “The award enabled me to enroll in an institution I would have not been able to afford”</w:t>
            </w:r>
          </w:p>
        </w:tc>
        <w:tc>
          <w:tcPr>
            <w:tcW w:w="1387"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We can assess selectivity and cost differences between Fellows and honorable mentions based on institutional data.</w:t>
            </w:r>
          </w:p>
        </w:tc>
      </w:tr>
      <w:tr w:rsidR="003B0769" w:rsidRPr="00EC45F0" w:rsidTr="000C7A73">
        <w:trPr>
          <w:trHeight w:val="720"/>
        </w:trPr>
        <w:tc>
          <w:tcPr>
            <w:tcW w:w="1328" w:type="pct"/>
            <w:vMerge w:val="restar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#6a, item 3</w:t>
            </w:r>
          </w:p>
        </w:tc>
        <w:tc>
          <w:tcPr>
            <w:tcW w:w="2284" w:type="pct"/>
            <w:vMerge w:val="restar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 The award enabled me to enroll in an institution with better opportunities to research”</w:t>
            </w:r>
          </w:p>
        </w:tc>
        <w:tc>
          <w:tcPr>
            <w:tcW w:w="1387" w:type="pct"/>
            <w:vMerge w:val="restar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cs="Calibri"/>
                <w:color w:val="000000"/>
                <w:sz w:val="20"/>
                <w:szCs w:val="20"/>
              </w:rPr>
              <w:t>This is sufficiently captured elsewhere.</w:t>
            </w:r>
          </w:p>
        </w:tc>
      </w:tr>
      <w:tr w:rsidR="003B0769" w:rsidRPr="00EC45F0" w:rsidTr="000C7A73">
        <w:trPr>
          <w:trHeight w:val="720"/>
        </w:trPr>
        <w:tc>
          <w:tcPr>
            <w:tcW w:w="1328" w:type="pct"/>
            <w:vMerge/>
            <w:tcBorders>
              <w:top w:val="nil"/>
              <w:left w:val="single" w:sz="4" w:space="0" w:color="auto"/>
              <w:bottom w:val="single" w:sz="4" w:space="0" w:color="auto"/>
              <w:right w:val="single" w:sz="4" w:space="0" w:color="auto"/>
            </w:tcBorders>
            <w:vAlign w:val="center"/>
            <w:hideMark/>
          </w:tcPr>
          <w:p w:rsidR="003B0769" w:rsidRPr="00EC45F0" w:rsidRDefault="003B0769" w:rsidP="00EC45F0">
            <w:pPr>
              <w:rPr>
                <w:rFonts w:cs="Calibri"/>
                <w:color w:val="000000"/>
                <w:sz w:val="20"/>
                <w:szCs w:val="20"/>
              </w:rPr>
            </w:pPr>
          </w:p>
        </w:tc>
        <w:tc>
          <w:tcPr>
            <w:tcW w:w="2284" w:type="pct"/>
            <w:vMerge/>
            <w:tcBorders>
              <w:top w:val="nil"/>
              <w:left w:val="single" w:sz="4" w:space="0" w:color="auto"/>
              <w:bottom w:val="single" w:sz="4" w:space="0" w:color="auto"/>
              <w:right w:val="single" w:sz="4" w:space="0" w:color="auto"/>
            </w:tcBorders>
            <w:vAlign w:val="center"/>
            <w:hideMark/>
          </w:tcPr>
          <w:p w:rsidR="003B0769" w:rsidRPr="00EC45F0" w:rsidRDefault="003B0769" w:rsidP="00EC45F0">
            <w:pPr>
              <w:rPr>
                <w:rFonts w:cs="Calibri"/>
                <w:color w:val="000000"/>
                <w:sz w:val="20"/>
                <w:szCs w:val="20"/>
              </w:rPr>
            </w:pPr>
          </w:p>
        </w:tc>
        <w:tc>
          <w:tcPr>
            <w:tcW w:w="1387" w:type="pct"/>
            <w:vMerge/>
            <w:tcBorders>
              <w:top w:val="nil"/>
              <w:left w:val="single" w:sz="4" w:space="0" w:color="auto"/>
              <w:bottom w:val="single" w:sz="4" w:space="0" w:color="auto"/>
              <w:right w:val="single" w:sz="4" w:space="0" w:color="auto"/>
            </w:tcBorders>
            <w:vAlign w:val="center"/>
            <w:hideMark/>
          </w:tcPr>
          <w:p w:rsidR="003B0769" w:rsidRPr="00EC45F0" w:rsidRDefault="003B0769" w:rsidP="00EC45F0">
            <w:pPr>
              <w:rPr>
                <w:rFonts w:cs="Calibri"/>
                <w:color w:val="000000"/>
                <w:sz w:val="20"/>
                <w:szCs w:val="20"/>
              </w:rPr>
            </w:pPr>
          </w:p>
        </w:tc>
      </w:tr>
      <w:tr w:rsidR="003B0769" w:rsidRPr="00EC45F0" w:rsidTr="000C7A73">
        <w:trPr>
          <w:trHeight w:val="720"/>
        </w:trPr>
        <w:tc>
          <w:tcPr>
            <w:tcW w:w="1328" w:type="pc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#7a</w:t>
            </w:r>
          </w:p>
        </w:tc>
        <w:tc>
          <w:tcPr>
            <w:tcW w:w="2284"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“To what extent did the GRFP award enable you to transfer or change institutions?”</w:t>
            </w:r>
          </w:p>
        </w:tc>
        <w:tc>
          <w:tcPr>
            <w:tcW w:w="1387" w:type="pct"/>
            <w:tcBorders>
              <w:top w:val="nil"/>
              <w:left w:val="nil"/>
              <w:bottom w:val="single" w:sz="4" w:space="0" w:color="auto"/>
              <w:right w:val="single" w:sz="4" w:space="0" w:color="auto"/>
            </w:tcBorders>
            <w:shd w:val="clear" w:color="auto" w:fill="auto"/>
            <w:hideMark/>
          </w:tcPr>
          <w:p w:rsidR="003B0769" w:rsidRPr="00EC45F0" w:rsidRDefault="003B0769" w:rsidP="001D160F">
            <w:pPr>
              <w:rPr>
                <w:rFonts w:cs="Calibri"/>
                <w:color w:val="000000"/>
                <w:sz w:val="20"/>
                <w:szCs w:val="20"/>
              </w:rPr>
            </w:pPr>
            <w:r w:rsidRPr="00EC45F0">
              <w:rPr>
                <w:rFonts w:eastAsia="Calibri" w:cs="Calibri"/>
                <w:color w:val="000000"/>
                <w:sz w:val="20"/>
                <w:szCs w:val="20"/>
              </w:rPr>
              <w:t>Cannot be applied to test and control groups</w:t>
            </w:r>
          </w:p>
        </w:tc>
      </w:tr>
      <w:tr w:rsidR="003B0769" w:rsidRPr="00EC45F0" w:rsidTr="000C7A73">
        <w:trPr>
          <w:trHeight w:val="720"/>
        </w:trPr>
        <w:tc>
          <w:tcPr>
            <w:tcW w:w="1328" w:type="pc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#8, items 2</w:t>
            </w:r>
          </w:p>
        </w:tc>
        <w:tc>
          <w:tcPr>
            <w:tcW w:w="2284"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“The GRFP award supported my living expenses</w:t>
            </w:r>
          </w:p>
        </w:tc>
        <w:tc>
          <w:tcPr>
            <w:tcW w:w="1387" w:type="pct"/>
            <w:tcBorders>
              <w:top w:val="nil"/>
              <w:left w:val="nil"/>
              <w:bottom w:val="single" w:sz="4" w:space="0" w:color="auto"/>
              <w:right w:val="single" w:sz="4" w:space="0" w:color="auto"/>
            </w:tcBorders>
            <w:shd w:val="clear" w:color="auto" w:fill="auto"/>
            <w:hideMark/>
          </w:tcPr>
          <w:p w:rsidR="003B0769" w:rsidRPr="00EC45F0" w:rsidRDefault="003B0769" w:rsidP="001D160F">
            <w:pPr>
              <w:rPr>
                <w:rFonts w:cs="Calibri"/>
                <w:color w:val="000000"/>
                <w:sz w:val="20"/>
                <w:szCs w:val="20"/>
              </w:rPr>
            </w:pPr>
            <w:r w:rsidRPr="00EC45F0">
              <w:rPr>
                <w:rFonts w:eastAsia="Calibri" w:cs="Calibri"/>
                <w:color w:val="000000"/>
                <w:sz w:val="20"/>
                <w:szCs w:val="20"/>
              </w:rPr>
              <w:t>Cannot be applied to test and control groups</w:t>
            </w:r>
          </w:p>
        </w:tc>
      </w:tr>
      <w:tr w:rsidR="003B0769" w:rsidRPr="00EC45F0" w:rsidTr="000C7A73">
        <w:trPr>
          <w:trHeight w:val="720"/>
        </w:trPr>
        <w:tc>
          <w:tcPr>
            <w:tcW w:w="1328" w:type="pc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#8, item 3</w:t>
            </w:r>
          </w:p>
        </w:tc>
        <w:tc>
          <w:tcPr>
            <w:tcW w:w="2284"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“The GRFP award would be better if it lasted more than 3 years”</w:t>
            </w:r>
          </w:p>
        </w:tc>
        <w:tc>
          <w:tcPr>
            <w:tcW w:w="1387" w:type="pct"/>
            <w:tcBorders>
              <w:top w:val="nil"/>
              <w:left w:val="nil"/>
              <w:bottom w:val="single" w:sz="4" w:space="0" w:color="auto"/>
              <w:right w:val="single" w:sz="4" w:space="0" w:color="auto"/>
            </w:tcBorders>
            <w:shd w:val="clear" w:color="auto" w:fill="auto"/>
            <w:hideMark/>
          </w:tcPr>
          <w:p w:rsidR="003B0769" w:rsidRPr="00EC45F0" w:rsidRDefault="003B0769" w:rsidP="001D160F">
            <w:pPr>
              <w:rPr>
                <w:rFonts w:cs="Calibri"/>
                <w:color w:val="000000"/>
                <w:sz w:val="20"/>
                <w:szCs w:val="20"/>
              </w:rPr>
            </w:pPr>
            <w:r w:rsidRPr="00EC45F0">
              <w:rPr>
                <w:rFonts w:eastAsia="Calibri" w:cs="Calibri"/>
                <w:color w:val="000000"/>
                <w:sz w:val="20"/>
                <w:szCs w:val="20"/>
              </w:rPr>
              <w:t>Cannot be applied to test and control groups</w:t>
            </w:r>
          </w:p>
        </w:tc>
      </w:tr>
      <w:tr w:rsidR="003B0769" w:rsidRPr="00EC45F0" w:rsidTr="000C7A73">
        <w:trPr>
          <w:trHeight w:val="720"/>
        </w:trPr>
        <w:tc>
          <w:tcPr>
            <w:tcW w:w="1328" w:type="pc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#8, item 4</w:t>
            </w:r>
          </w:p>
        </w:tc>
        <w:tc>
          <w:tcPr>
            <w:tcW w:w="2284"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“The GRFP award would be better if it did not have a service requirement”</w:t>
            </w:r>
          </w:p>
        </w:tc>
        <w:tc>
          <w:tcPr>
            <w:tcW w:w="1387" w:type="pct"/>
            <w:tcBorders>
              <w:top w:val="nil"/>
              <w:left w:val="nil"/>
              <w:bottom w:val="single" w:sz="4" w:space="0" w:color="auto"/>
              <w:right w:val="single" w:sz="4" w:space="0" w:color="auto"/>
            </w:tcBorders>
            <w:shd w:val="clear" w:color="auto" w:fill="auto"/>
            <w:hideMark/>
          </w:tcPr>
          <w:p w:rsidR="003B0769" w:rsidRPr="00EC45F0" w:rsidRDefault="003B0769" w:rsidP="001D160F">
            <w:pPr>
              <w:rPr>
                <w:rFonts w:cs="Calibri"/>
                <w:color w:val="000000"/>
                <w:sz w:val="20"/>
                <w:szCs w:val="20"/>
              </w:rPr>
            </w:pPr>
            <w:r w:rsidRPr="00EC45F0">
              <w:rPr>
                <w:rFonts w:eastAsia="Calibri" w:cs="Calibri"/>
                <w:color w:val="000000"/>
                <w:sz w:val="20"/>
                <w:szCs w:val="20"/>
              </w:rPr>
              <w:t>Cannot be applied to test and control groups</w:t>
            </w:r>
          </w:p>
        </w:tc>
      </w:tr>
    </w:tbl>
    <w:p w:rsidR="00EC45F0" w:rsidRDefault="00EC45F0">
      <w:r>
        <w:br w:type="page"/>
      </w:r>
    </w:p>
    <w:p w:rsidR="00EC45F0" w:rsidRDefault="00EC45F0" w:rsidP="00BD6A9F">
      <w:pPr>
        <w:spacing w:after="120" w:line="276" w:lineRule="auto"/>
        <w:rPr>
          <w:sz w:val="24"/>
          <w:szCs w:val="24"/>
        </w:rPr>
      </w:pPr>
      <w:proofErr w:type="gramStart"/>
      <w:r w:rsidRPr="00951B92">
        <w:rPr>
          <w:b/>
          <w:sz w:val="24"/>
          <w:szCs w:val="24"/>
        </w:rPr>
        <w:lastRenderedPageBreak/>
        <w:t>Table 1.</w:t>
      </w:r>
      <w:proofErr w:type="gramEnd"/>
      <w:r>
        <w:rPr>
          <w:b/>
          <w:caps/>
          <w:sz w:val="24"/>
          <w:szCs w:val="24"/>
        </w:rPr>
        <w:t xml:space="preserve"> </w:t>
      </w:r>
      <w:r w:rsidRPr="00EC45F0">
        <w:rPr>
          <w:i/>
          <w:sz w:val="24"/>
          <w:szCs w:val="24"/>
        </w:rPr>
        <w:t>Continued</w:t>
      </w:r>
    </w:p>
    <w:tbl>
      <w:tblPr>
        <w:tblW w:w="5000" w:type="pct"/>
        <w:tblLook w:val="04A0"/>
      </w:tblPr>
      <w:tblGrid>
        <w:gridCol w:w="2544"/>
        <w:gridCol w:w="4375"/>
        <w:gridCol w:w="2657"/>
      </w:tblGrid>
      <w:tr w:rsidR="00EC45F0" w:rsidRPr="00EC45F0" w:rsidTr="000C7A73">
        <w:trPr>
          <w:trHeight w:val="315"/>
        </w:trPr>
        <w:tc>
          <w:tcPr>
            <w:tcW w:w="1328" w:type="pct"/>
            <w:tcBorders>
              <w:top w:val="single" w:sz="4" w:space="0" w:color="auto"/>
              <w:left w:val="single" w:sz="4" w:space="0" w:color="auto"/>
              <w:bottom w:val="single" w:sz="8" w:space="0" w:color="auto"/>
              <w:right w:val="single" w:sz="4" w:space="0" w:color="auto"/>
            </w:tcBorders>
            <w:shd w:val="pct20" w:color="auto" w:fill="auto"/>
            <w:vAlign w:val="center"/>
            <w:hideMark/>
          </w:tcPr>
          <w:p w:rsidR="00EC45F0" w:rsidRPr="00BD6A9F" w:rsidRDefault="00EC45F0" w:rsidP="00EC45F0">
            <w:pPr>
              <w:rPr>
                <w:rFonts w:cs="Calibri"/>
                <w:b/>
                <w:color w:val="000000"/>
                <w:sz w:val="20"/>
                <w:szCs w:val="20"/>
              </w:rPr>
            </w:pPr>
            <w:r w:rsidRPr="00BD6A9F">
              <w:rPr>
                <w:rFonts w:eastAsia="Calibri" w:cs="Calibri"/>
                <w:b/>
                <w:color w:val="000000"/>
                <w:sz w:val="20"/>
                <w:szCs w:val="20"/>
              </w:rPr>
              <w:t>Original placement</w:t>
            </w:r>
          </w:p>
        </w:tc>
        <w:tc>
          <w:tcPr>
            <w:tcW w:w="2284" w:type="pct"/>
            <w:tcBorders>
              <w:top w:val="single" w:sz="4" w:space="0" w:color="auto"/>
              <w:left w:val="nil"/>
              <w:bottom w:val="single" w:sz="8" w:space="0" w:color="auto"/>
              <w:right w:val="single" w:sz="4" w:space="0" w:color="auto"/>
            </w:tcBorders>
            <w:shd w:val="pct20" w:color="auto" w:fill="auto"/>
            <w:vAlign w:val="center"/>
            <w:hideMark/>
          </w:tcPr>
          <w:p w:rsidR="00EC45F0" w:rsidRPr="00BD6A9F" w:rsidRDefault="00EC45F0" w:rsidP="00EC45F0">
            <w:pPr>
              <w:rPr>
                <w:rFonts w:cs="Calibri"/>
                <w:b/>
                <w:color w:val="000000"/>
                <w:sz w:val="20"/>
                <w:szCs w:val="20"/>
              </w:rPr>
            </w:pPr>
            <w:r w:rsidRPr="00BD6A9F">
              <w:rPr>
                <w:rFonts w:eastAsia="Calibri" w:cs="Calibri"/>
                <w:b/>
                <w:color w:val="000000"/>
                <w:sz w:val="20"/>
                <w:szCs w:val="20"/>
              </w:rPr>
              <w:t>Original Question(s)</w:t>
            </w:r>
          </w:p>
        </w:tc>
        <w:tc>
          <w:tcPr>
            <w:tcW w:w="1387" w:type="pct"/>
            <w:tcBorders>
              <w:top w:val="single" w:sz="4" w:space="0" w:color="auto"/>
              <w:left w:val="nil"/>
              <w:bottom w:val="single" w:sz="8" w:space="0" w:color="auto"/>
              <w:right w:val="single" w:sz="4" w:space="0" w:color="auto"/>
            </w:tcBorders>
            <w:shd w:val="pct20" w:color="auto" w:fill="auto"/>
            <w:vAlign w:val="center"/>
            <w:hideMark/>
          </w:tcPr>
          <w:p w:rsidR="00EC45F0" w:rsidRPr="00BD6A9F" w:rsidRDefault="00EC45F0" w:rsidP="00EC45F0">
            <w:pPr>
              <w:rPr>
                <w:rFonts w:cs="Calibri"/>
                <w:b/>
                <w:color w:val="000000"/>
                <w:sz w:val="20"/>
                <w:szCs w:val="20"/>
              </w:rPr>
            </w:pPr>
            <w:r w:rsidRPr="00BD6A9F">
              <w:rPr>
                <w:rFonts w:eastAsia="Calibri" w:cs="Calibri"/>
                <w:b/>
                <w:color w:val="000000"/>
                <w:sz w:val="20"/>
                <w:szCs w:val="20"/>
              </w:rPr>
              <w:t>Rationale</w:t>
            </w:r>
          </w:p>
        </w:tc>
      </w:tr>
      <w:tr w:rsidR="003B0769" w:rsidRPr="00EC45F0" w:rsidTr="000C7A73">
        <w:trPr>
          <w:trHeight w:val="720"/>
        </w:trPr>
        <w:tc>
          <w:tcPr>
            <w:tcW w:w="1328" w:type="pc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#8, item 5</w:t>
            </w:r>
          </w:p>
        </w:tc>
        <w:tc>
          <w:tcPr>
            <w:tcW w:w="2284"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 xml:space="preserve">“The GRFP award would be better if it allowed me to enroll at a foreign institution” </w:t>
            </w:r>
          </w:p>
        </w:tc>
        <w:tc>
          <w:tcPr>
            <w:tcW w:w="1387" w:type="pct"/>
            <w:tcBorders>
              <w:top w:val="nil"/>
              <w:left w:val="nil"/>
              <w:bottom w:val="single" w:sz="4" w:space="0" w:color="auto"/>
              <w:right w:val="single" w:sz="4" w:space="0" w:color="auto"/>
            </w:tcBorders>
            <w:shd w:val="clear" w:color="auto" w:fill="auto"/>
            <w:hideMark/>
          </w:tcPr>
          <w:p w:rsidR="003B0769" w:rsidRPr="00EC45F0" w:rsidRDefault="003B0769" w:rsidP="001D160F">
            <w:pPr>
              <w:rPr>
                <w:rFonts w:cs="Calibri"/>
                <w:color w:val="000000"/>
                <w:sz w:val="20"/>
                <w:szCs w:val="20"/>
              </w:rPr>
            </w:pPr>
            <w:r w:rsidRPr="00EC45F0">
              <w:rPr>
                <w:rFonts w:eastAsia="Calibri" w:cs="Calibri"/>
                <w:color w:val="000000"/>
                <w:sz w:val="20"/>
                <w:szCs w:val="20"/>
              </w:rPr>
              <w:t>Cannot be applied to test and control groups</w:t>
            </w:r>
          </w:p>
        </w:tc>
      </w:tr>
      <w:tr w:rsidR="003B0769" w:rsidRPr="00EC45F0" w:rsidTr="000C7A73">
        <w:trPr>
          <w:trHeight w:val="720"/>
        </w:trPr>
        <w:tc>
          <w:tcPr>
            <w:tcW w:w="1328" w:type="pc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#8, item 6</w:t>
            </w:r>
          </w:p>
        </w:tc>
        <w:tc>
          <w:tcPr>
            <w:tcW w:w="2284"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“The GFFP award would be better if it allowed me to concurrently accept other federal fellowship money”</w:t>
            </w:r>
          </w:p>
        </w:tc>
        <w:tc>
          <w:tcPr>
            <w:tcW w:w="1387" w:type="pct"/>
            <w:tcBorders>
              <w:top w:val="nil"/>
              <w:left w:val="nil"/>
              <w:bottom w:val="single" w:sz="4" w:space="0" w:color="auto"/>
              <w:right w:val="single" w:sz="4" w:space="0" w:color="auto"/>
            </w:tcBorders>
            <w:shd w:val="clear" w:color="auto" w:fill="auto"/>
            <w:hideMark/>
          </w:tcPr>
          <w:p w:rsidR="003B0769" w:rsidRPr="00EC45F0" w:rsidRDefault="003B0769" w:rsidP="001D160F">
            <w:pPr>
              <w:rPr>
                <w:rFonts w:cs="Calibri"/>
                <w:color w:val="000000"/>
                <w:sz w:val="20"/>
                <w:szCs w:val="20"/>
              </w:rPr>
            </w:pPr>
            <w:r w:rsidRPr="00EC45F0">
              <w:rPr>
                <w:rFonts w:eastAsia="Calibri" w:cs="Calibri"/>
                <w:color w:val="000000"/>
                <w:sz w:val="20"/>
                <w:szCs w:val="20"/>
              </w:rPr>
              <w:t>Cannot be applied to test and control groups</w:t>
            </w:r>
          </w:p>
        </w:tc>
      </w:tr>
      <w:tr w:rsidR="003B0769" w:rsidRPr="00EC45F0" w:rsidTr="000C7A73">
        <w:trPr>
          <w:trHeight w:val="720"/>
        </w:trPr>
        <w:tc>
          <w:tcPr>
            <w:tcW w:w="1328" w:type="pc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#9</w:t>
            </w:r>
          </w:p>
        </w:tc>
        <w:tc>
          <w:tcPr>
            <w:tcW w:w="2284"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“To which three of the potential five years during your graduate study did you (do you intend to) apply your GRFP funding?</w:t>
            </w:r>
          </w:p>
        </w:tc>
        <w:tc>
          <w:tcPr>
            <w:tcW w:w="1387"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Cannot be applied to test and control groups</w:t>
            </w:r>
          </w:p>
        </w:tc>
      </w:tr>
      <w:tr w:rsidR="003B0769" w:rsidRPr="00EC45F0" w:rsidTr="000C7A73">
        <w:trPr>
          <w:trHeight w:val="720"/>
        </w:trPr>
        <w:tc>
          <w:tcPr>
            <w:tcW w:w="1328" w:type="pct"/>
            <w:tcBorders>
              <w:top w:val="nil"/>
              <w:left w:val="single" w:sz="4" w:space="0" w:color="auto"/>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#10</w:t>
            </w:r>
          </w:p>
        </w:tc>
        <w:tc>
          <w:tcPr>
            <w:tcW w:w="2284"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“Please select from the dropdown list and identify which other awards you received during your 5 years of eligibility”</w:t>
            </w:r>
          </w:p>
        </w:tc>
        <w:tc>
          <w:tcPr>
            <w:tcW w:w="1387" w:type="pct"/>
            <w:tcBorders>
              <w:top w:val="nil"/>
              <w:left w:val="nil"/>
              <w:bottom w:val="single" w:sz="4"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Cannot be applied to test and control groups</w:t>
            </w:r>
          </w:p>
        </w:tc>
      </w:tr>
      <w:tr w:rsidR="003B0769" w:rsidRPr="00EC45F0" w:rsidTr="000C7A73">
        <w:trPr>
          <w:trHeight w:val="720"/>
        </w:trPr>
        <w:tc>
          <w:tcPr>
            <w:tcW w:w="1328" w:type="pct"/>
            <w:tcBorders>
              <w:top w:val="nil"/>
              <w:left w:val="single" w:sz="4" w:space="0" w:color="auto"/>
              <w:bottom w:val="single" w:sz="8"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Section A #11</w:t>
            </w:r>
          </w:p>
        </w:tc>
        <w:tc>
          <w:tcPr>
            <w:tcW w:w="2284" w:type="pct"/>
            <w:tcBorders>
              <w:top w:val="nil"/>
              <w:left w:val="nil"/>
              <w:bottom w:val="single" w:sz="8"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“For which years did you receive another award?”</w:t>
            </w:r>
          </w:p>
        </w:tc>
        <w:tc>
          <w:tcPr>
            <w:tcW w:w="1387" w:type="pct"/>
            <w:tcBorders>
              <w:top w:val="nil"/>
              <w:left w:val="nil"/>
              <w:bottom w:val="single" w:sz="8" w:space="0" w:color="auto"/>
              <w:right w:val="single" w:sz="4" w:space="0" w:color="auto"/>
            </w:tcBorders>
            <w:shd w:val="clear" w:color="auto" w:fill="auto"/>
            <w:hideMark/>
          </w:tcPr>
          <w:p w:rsidR="003B0769" w:rsidRPr="00EC45F0" w:rsidRDefault="003B0769" w:rsidP="00EC45F0">
            <w:pPr>
              <w:rPr>
                <w:rFonts w:cs="Calibri"/>
                <w:color w:val="000000"/>
                <w:sz w:val="20"/>
                <w:szCs w:val="20"/>
              </w:rPr>
            </w:pPr>
            <w:r w:rsidRPr="00EC45F0">
              <w:rPr>
                <w:rFonts w:eastAsia="Calibri" w:cs="Calibri"/>
                <w:color w:val="000000"/>
                <w:sz w:val="20"/>
                <w:szCs w:val="20"/>
              </w:rPr>
              <w:t>Cannot be applied to test and control groups</w:t>
            </w:r>
          </w:p>
        </w:tc>
      </w:tr>
    </w:tbl>
    <w:p w:rsidR="00BD6A9F" w:rsidRDefault="00BD6A9F" w:rsidP="00BD6A9F">
      <w:pPr>
        <w:spacing w:after="200" w:line="276" w:lineRule="auto"/>
        <w:rPr>
          <w:b/>
          <w:sz w:val="24"/>
          <w:szCs w:val="24"/>
        </w:rPr>
      </w:pPr>
    </w:p>
    <w:p w:rsidR="00BD6A9F" w:rsidRDefault="00BD6A9F" w:rsidP="00BD6A9F">
      <w:pPr>
        <w:spacing w:after="120" w:line="276" w:lineRule="auto"/>
        <w:rPr>
          <w:sz w:val="24"/>
          <w:szCs w:val="24"/>
        </w:rPr>
      </w:pPr>
      <w:proofErr w:type="gramStart"/>
      <w:r w:rsidRPr="00951B92">
        <w:rPr>
          <w:b/>
          <w:sz w:val="24"/>
          <w:szCs w:val="24"/>
        </w:rPr>
        <w:t xml:space="preserve">Table </w:t>
      </w:r>
      <w:r>
        <w:rPr>
          <w:b/>
          <w:sz w:val="24"/>
          <w:szCs w:val="24"/>
        </w:rPr>
        <w:t>2</w:t>
      </w:r>
      <w:r w:rsidRPr="00951B92">
        <w:rPr>
          <w:b/>
          <w:sz w:val="24"/>
          <w:szCs w:val="24"/>
        </w:rPr>
        <w:t>.</w:t>
      </w:r>
      <w:proofErr w:type="gramEnd"/>
      <w:r>
        <w:rPr>
          <w:b/>
          <w:caps/>
          <w:sz w:val="24"/>
          <w:szCs w:val="24"/>
        </w:rPr>
        <w:t xml:space="preserve"> </w:t>
      </w:r>
      <w:r w:rsidRPr="00951B92">
        <w:rPr>
          <w:sz w:val="24"/>
          <w:szCs w:val="24"/>
        </w:rPr>
        <w:t xml:space="preserve">Questions that have been </w:t>
      </w:r>
      <w:r>
        <w:rPr>
          <w:sz w:val="24"/>
          <w:szCs w:val="24"/>
        </w:rPr>
        <w:t>moved</w:t>
      </w:r>
    </w:p>
    <w:tbl>
      <w:tblPr>
        <w:tblW w:w="5000" w:type="pct"/>
        <w:tblLook w:val="04A0"/>
      </w:tblPr>
      <w:tblGrid>
        <w:gridCol w:w="2059"/>
        <w:gridCol w:w="2819"/>
        <w:gridCol w:w="2170"/>
        <w:gridCol w:w="2528"/>
      </w:tblGrid>
      <w:tr w:rsidR="00BD6A9F" w:rsidRPr="00BD6A9F" w:rsidTr="000C7A73">
        <w:trPr>
          <w:trHeight w:val="350"/>
        </w:trPr>
        <w:tc>
          <w:tcPr>
            <w:tcW w:w="1075"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BD6A9F" w:rsidRPr="00BD6A9F" w:rsidRDefault="00BD6A9F" w:rsidP="00BD6A9F">
            <w:pPr>
              <w:rPr>
                <w:rFonts w:cs="Calibri"/>
                <w:b/>
                <w:color w:val="000000"/>
                <w:sz w:val="20"/>
                <w:szCs w:val="20"/>
              </w:rPr>
            </w:pPr>
            <w:r w:rsidRPr="00BD6A9F">
              <w:rPr>
                <w:rFonts w:cs="Calibri"/>
                <w:b/>
                <w:color w:val="000000"/>
                <w:sz w:val="20"/>
                <w:szCs w:val="20"/>
              </w:rPr>
              <w:t>Original Placement</w:t>
            </w:r>
          </w:p>
        </w:tc>
        <w:tc>
          <w:tcPr>
            <w:tcW w:w="1472" w:type="pct"/>
            <w:tcBorders>
              <w:top w:val="single" w:sz="4" w:space="0" w:color="auto"/>
              <w:left w:val="nil"/>
              <w:bottom w:val="single" w:sz="4" w:space="0" w:color="auto"/>
              <w:right w:val="single" w:sz="4" w:space="0" w:color="auto"/>
            </w:tcBorders>
            <w:shd w:val="pct20" w:color="auto" w:fill="auto"/>
            <w:vAlign w:val="center"/>
            <w:hideMark/>
          </w:tcPr>
          <w:p w:rsidR="00BD6A9F" w:rsidRPr="00BD6A9F" w:rsidRDefault="00BD6A9F" w:rsidP="00BD6A9F">
            <w:pPr>
              <w:rPr>
                <w:rFonts w:cs="Calibri"/>
                <w:b/>
                <w:color w:val="000000"/>
                <w:sz w:val="20"/>
                <w:szCs w:val="20"/>
              </w:rPr>
            </w:pPr>
            <w:r w:rsidRPr="00BD6A9F">
              <w:rPr>
                <w:rFonts w:cs="Calibri"/>
                <w:b/>
                <w:color w:val="000000"/>
                <w:sz w:val="20"/>
                <w:szCs w:val="20"/>
              </w:rPr>
              <w:t>Original Question</w:t>
            </w:r>
          </w:p>
        </w:tc>
        <w:tc>
          <w:tcPr>
            <w:tcW w:w="1133" w:type="pct"/>
            <w:tcBorders>
              <w:top w:val="single" w:sz="4" w:space="0" w:color="auto"/>
              <w:left w:val="nil"/>
              <w:bottom w:val="single" w:sz="4" w:space="0" w:color="auto"/>
              <w:right w:val="single" w:sz="4" w:space="0" w:color="auto"/>
            </w:tcBorders>
            <w:shd w:val="pct20" w:color="auto" w:fill="auto"/>
            <w:vAlign w:val="center"/>
            <w:hideMark/>
          </w:tcPr>
          <w:p w:rsidR="00BD6A9F" w:rsidRPr="00BD6A9F" w:rsidRDefault="00BD6A9F" w:rsidP="00BD6A9F">
            <w:pPr>
              <w:rPr>
                <w:rFonts w:cs="Calibri"/>
                <w:b/>
                <w:color w:val="000000"/>
                <w:sz w:val="20"/>
                <w:szCs w:val="20"/>
              </w:rPr>
            </w:pPr>
            <w:r w:rsidRPr="00BD6A9F">
              <w:rPr>
                <w:rFonts w:cs="Calibri"/>
                <w:b/>
                <w:color w:val="000000"/>
                <w:sz w:val="20"/>
                <w:szCs w:val="20"/>
              </w:rPr>
              <w:t>New placement</w:t>
            </w:r>
          </w:p>
        </w:tc>
        <w:tc>
          <w:tcPr>
            <w:tcW w:w="1320" w:type="pct"/>
            <w:tcBorders>
              <w:top w:val="single" w:sz="4" w:space="0" w:color="auto"/>
              <w:left w:val="nil"/>
              <w:bottom w:val="single" w:sz="4" w:space="0" w:color="auto"/>
              <w:right w:val="single" w:sz="4" w:space="0" w:color="auto"/>
            </w:tcBorders>
            <w:shd w:val="pct20" w:color="auto" w:fill="auto"/>
            <w:vAlign w:val="center"/>
            <w:hideMark/>
          </w:tcPr>
          <w:p w:rsidR="00BD6A9F" w:rsidRPr="00BD6A9F" w:rsidRDefault="00BD6A9F" w:rsidP="00BD6A9F">
            <w:pPr>
              <w:rPr>
                <w:rFonts w:cs="Calibri"/>
                <w:b/>
                <w:color w:val="000000"/>
                <w:sz w:val="20"/>
                <w:szCs w:val="20"/>
              </w:rPr>
            </w:pPr>
            <w:r w:rsidRPr="00BD6A9F">
              <w:rPr>
                <w:rFonts w:cs="Calibri"/>
                <w:b/>
                <w:color w:val="000000"/>
                <w:sz w:val="20"/>
                <w:szCs w:val="20"/>
              </w:rPr>
              <w:t>Rationale</w:t>
            </w:r>
          </w:p>
        </w:tc>
      </w:tr>
      <w:tr w:rsidR="00BD6A9F" w:rsidRPr="00BD6A9F" w:rsidTr="000C7A73">
        <w:trPr>
          <w:trHeight w:val="1020"/>
        </w:trPr>
        <w:tc>
          <w:tcPr>
            <w:tcW w:w="1075" w:type="pct"/>
            <w:tcBorders>
              <w:top w:val="nil"/>
              <w:left w:val="single" w:sz="4" w:space="0" w:color="auto"/>
              <w:bottom w:val="single" w:sz="4" w:space="0" w:color="auto"/>
              <w:right w:val="single" w:sz="4" w:space="0" w:color="auto"/>
            </w:tcBorders>
            <w:shd w:val="clear" w:color="auto" w:fill="auto"/>
            <w:hideMark/>
          </w:tcPr>
          <w:p w:rsidR="00BD6A9F" w:rsidRPr="00BD6A9F" w:rsidRDefault="00BD6A9F" w:rsidP="00BD6A9F">
            <w:pPr>
              <w:rPr>
                <w:rFonts w:cs="Calibri"/>
                <w:color w:val="000000"/>
                <w:sz w:val="20"/>
                <w:szCs w:val="20"/>
              </w:rPr>
            </w:pPr>
            <w:r w:rsidRPr="00BD6A9F">
              <w:rPr>
                <w:rFonts w:cs="Calibri"/>
                <w:color w:val="000000"/>
                <w:sz w:val="20"/>
                <w:szCs w:val="20"/>
              </w:rPr>
              <w:t>Section A #7</w:t>
            </w:r>
          </w:p>
        </w:tc>
        <w:tc>
          <w:tcPr>
            <w:tcW w:w="1472" w:type="pct"/>
            <w:tcBorders>
              <w:top w:val="nil"/>
              <w:left w:val="nil"/>
              <w:bottom w:val="single" w:sz="4" w:space="0" w:color="auto"/>
              <w:right w:val="single" w:sz="4" w:space="0" w:color="auto"/>
            </w:tcBorders>
            <w:shd w:val="clear" w:color="auto" w:fill="auto"/>
            <w:hideMark/>
          </w:tcPr>
          <w:p w:rsidR="00BD6A9F" w:rsidRPr="00BD6A9F" w:rsidRDefault="00BD6A9F" w:rsidP="00BD6A9F">
            <w:pPr>
              <w:rPr>
                <w:rFonts w:cs="Calibri"/>
                <w:color w:val="000000"/>
                <w:sz w:val="20"/>
                <w:szCs w:val="20"/>
              </w:rPr>
            </w:pPr>
            <w:r w:rsidRPr="00BD6A9F">
              <w:rPr>
                <w:rFonts w:cs="Calibri"/>
                <w:color w:val="000000"/>
                <w:sz w:val="20"/>
                <w:szCs w:val="20"/>
              </w:rPr>
              <w:t>“Did you change or transfer institutions at any time during your graduate study?”</w:t>
            </w:r>
          </w:p>
        </w:tc>
        <w:tc>
          <w:tcPr>
            <w:tcW w:w="1133" w:type="pct"/>
            <w:tcBorders>
              <w:top w:val="nil"/>
              <w:left w:val="nil"/>
              <w:bottom w:val="single" w:sz="4" w:space="0" w:color="auto"/>
              <w:right w:val="single" w:sz="4" w:space="0" w:color="auto"/>
            </w:tcBorders>
            <w:shd w:val="clear" w:color="auto" w:fill="auto"/>
            <w:hideMark/>
          </w:tcPr>
          <w:p w:rsidR="00BD6A9F" w:rsidRPr="00BD6A9F" w:rsidRDefault="00BD6A9F" w:rsidP="00BD6A9F">
            <w:pPr>
              <w:rPr>
                <w:rFonts w:cs="Calibri"/>
                <w:color w:val="000000"/>
                <w:sz w:val="20"/>
                <w:szCs w:val="20"/>
              </w:rPr>
            </w:pPr>
            <w:r w:rsidRPr="00BD6A9F">
              <w:rPr>
                <w:rFonts w:cs="Calibri"/>
                <w:color w:val="000000"/>
                <w:sz w:val="20"/>
                <w:szCs w:val="20"/>
              </w:rPr>
              <w:t>Sec. B, 1e</w:t>
            </w:r>
          </w:p>
        </w:tc>
        <w:tc>
          <w:tcPr>
            <w:tcW w:w="1320" w:type="pct"/>
            <w:tcBorders>
              <w:top w:val="nil"/>
              <w:left w:val="nil"/>
              <w:bottom w:val="single" w:sz="4" w:space="0" w:color="auto"/>
              <w:right w:val="single" w:sz="4" w:space="0" w:color="auto"/>
            </w:tcBorders>
            <w:shd w:val="clear" w:color="auto" w:fill="auto"/>
            <w:hideMark/>
          </w:tcPr>
          <w:p w:rsidR="00BD6A9F" w:rsidRPr="00BD6A9F" w:rsidRDefault="00BD6A9F" w:rsidP="00BD6A9F">
            <w:pPr>
              <w:rPr>
                <w:rFonts w:cs="Calibri"/>
                <w:color w:val="000000"/>
                <w:sz w:val="20"/>
                <w:szCs w:val="20"/>
              </w:rPr>
            </w:pPr>
            <w:r w:rsidRPr="00BD6A9F">
              <w:rPr>
                <w:rFonts w:cs="Calibri"/>
                <w:color w:val="000000"/>
                <w:sz w:val="20"/>
                <w:szCs w:val="20"/>
              </w:rPr>
              <w:t>Section A will now only pertain to fellowship recipients</w:t>
            </w:r>
          </w:p>
        </w:tc>
      </w:tr>
      <w:tr w:rsidR="00BD6A9F" w:rsidRPr="00BD6A9F" w:rsidTr="000C7A73">
        <w:trPr>
          <w:trHeight w:val="1275"/>
        </w:trPr>
        <w:tc>
          <w:tcPr>
            <w:tcW w:w="1075" w:type="pct"/>
            <w:tcBorders>
              <w:top w:val="nil"/>
              <w:left w:val="single" w:sz="4" w:space="0" w:color="auto"/>
              <w:bottom w:val="single" w:sz="4" w:space="0" w:color="auto"/>
              <w:right w:val="single" w:sz="4" w:space="0" w:color="auto"/>
            </w:tcBorders>
            <w:shd w:val="clear" w:color="auto" w:fill="auto"/>
            <w:hideMark/>
          </w:tcPr>
          <w:p w:rsidR="00BD6A9F" w:rsidRPr="00BD6A9F" w:rsidRDefault="00BD6A9F" w:rsidP="00BD6A9F">
            <w:pPr>
              <w:rPr>
                <w:rFonts w:cs="Calibri"/>
                <w:color w:val="000000"/>
                <w:sz w:val="20"/>
                <w:szCs w:val="20"/>
              </w:rPr>
            </w:pPr>
            <w:r w:rsidRPr="00BD6A9F">
              <w:rPr>
                <w:rFonts w:cs="Calibri"/>
                <w:color w:val="000000"/>
                <w:sz w:val="20"/>
                <w:szCs w:val="20"/>
              </w:rPr>
              <w:t>Section A #10</w:t>
            </w:r>
          </w:p>
        </w:tc>
        <w:tc>
          <w:tcPr>
            <w:tcW w:w="1472" w:type="pct"/>
            <w:tcBorders>
              <w:top w:val="nil"/>
              <w:left w:val="nil"/>
              <w:bottom w:val="single" w:sz="4" w:space="0" w:color="auto"/>
              <w:right w:val="single" w:sz="4" w:space="0" w:color="auto"/>
            </w:tcBorders>
            <w:shd w:val="clear" w:color="auto" w:fill="auto"/>
            <w:hideMark/>
          </w:tcPr>
          <w:p w:rsidR="00BD6A9F" w:rsidRPr="00BD6A9F" w:rsidRDefault="003B0769" w:rsidP="00BD6A9F">
            <w:pPr>
              <w:rPr>
                <w:rFonts w:cs="Calibri"/>
                <w:color w:val="000000"/>
                <w:sz w:val="20"/>
                <w:szCs w:val="20"/>
              </w:rPr>
            </w:pPr>
            <w:r>
              <w:rPr>
                <w:rFonts w:cs="Calibri"/>
                <w:color w:val="000000"/>
                <w:sz w:val="20"/>
                <w:szCs w:val="20"/>
              </w:rPr>
              <w:t>“</w:t>
            </w:r>
            <w:r w:rsidR="00BD6A9F" w:rsidRPr="00BD6A9F">
              <w:rPr>
                <w:rFonts w:cs="Calibri"/>
                <w:color w:val="000000"/>
                <w:sz w:val="20"/>
                <w:szCs w:val="20"/>
              </w:rPr>
              <w:t>Did you receive another fellowship or sponsored program award at any time during this five year period?”</w:t>
            </w:r>
          </w:p>
        </w:tc>
        <w:tc>
          <w:tcPr>
            <w:tcW w:w="1133" w:type="pct"/>
            <w:tcBorders>
              <w:top w:val="nil"/>
              <w:left w:val="nil"/>
              <w:bottom w:val="single" w:sz="4" w:space="0" w:color="auto"/>
              <w:right w:val="single" w:sz="4" w:space="0" w:color="auto"/>
            </w:tcBorders>
            <w:shd w:val="clear" w:color="auto" w:fill="auto"/>
            <w:hideMark/>
          </w:tcPr>
          <w:p w:rsidR="00BD6A9F" w:rsidRPr="00BD6A9F" w:rsidRDefault="00BD6A9F" w:rsidP="00BD6A9F">
            <w:pPr>
              <w:rPr>
                <w:rFonts w:cs="Calibri"/>
                <w:color w:val="000000"/>
                <w:sz w:val="20"/>
                <w:szCs w:val="20"/>
              </w:rPr>
            </w:pPr>
            <w:r w:rsidRPr="00BD6A9F">
              <w:rPr>
                <w:rFonts w:cs="Calibri"/>
                <w:color w:val="000000"/>
                <w:sz w:val="20"/>
                <w:szCs w:val="20"/>
              </w:rPr>
              <w:t>Section A follows after question 3</w:t>
            </w:r>
          </w:p>
        </w:tc>
        <w:tc>
          <w:tcPr>
            <w:tcW w:w="1320" w:type="pct"/>
            <w:tcBorders>
              <w:top w:val="nil"/>
              <w:left w:val="nil"/>
              <w:bottom w:val="single" w:sz="4" w:space="0" w:color="auto"/>
              <w:right w:val="single" w:sz="4" w:space="0" w:color="auto"/>
            </w:tcBorders>
            <w:shd w:val="clear" w:color="auto" w:fill="auto"/>
            <w:hideMark/>
          </w:tcPr>
          <w:p w:rsidR="00BD6A9F" w:rsidRPr="00BD6A9F" w:rsidRDefault="00BD6A9F" w:rsidP="00BD6A9F">
            <w:pPr>
              <w:rPr>
                <w:rFonts w:cs="Calibri"/>
                <w:color w:val="000000"/>
                <w:sz w:val="20"/>
                <w:szCs w:val="20"/>
              </w:rPr>
            </w:pPr>
            <w:r w:rsidRPr="00BD6A9F">
              <w:rPr>
                <w:rFonts w:cs="Calibri"/>
                <w:color w:val="000000"/>
                <w:sz w:val="20"/>
                <w:szCs w:val="20"/>
              </w:rPr>
              <w:t> </w:t>
            </w:r>
          </w:p>
        </w:tc>
      </w:tr>
      <w:tr w:rsidR="00BD6A9F" w:rsidRPr="00BD6A9F" w:rsidTr="000C7A73">
        <w:trPr>
          <w:trHeight w:val="1530"/>
        </w:trPr>
        <w:tc>
          <w:tcPr>
            <w:tcW w:w="1075" w:type="pct"/>
            <w:tcBorders>
              <w:top w:val="nil"/>
              <w:left w:val="single" w:sz="4" w:space="0" w:color="auto"/>
              <w:bottom w:val="single" w:sz="4" w:space="0" w:color="auto"/>
              <w:right w:val="single" w:sz="4" w:space="0" w:color="auto"/>
            </w:tcBorders>
            <w:shd w:val="clear" w:color="auto" w:fill="auto"/>
            <w:hideMark/>
          </w:tcPr>
          <w:p w:rsidR="00BD6A9F" w:rsidRPr="00BD6A9F" w:rsidRDefault="00BD6A9F" w:rsidP="00BD6A9F">
            <w:pPr>
              <w:rPr>
                <w:rFonts w:cs="Calibri"/>
                <w:color w:val="000000"/>
                <w:sz w:val="20"/>
                <w:szCs w:val="20"/>
              </w:rPr>
            </w:pPr>
            <w:r w:rsidRPr="00BD6A9F">
              <w:rPr>
                <w:rFonts w:cs="Calibri"/>
                <w:color w:val="000000"/>
                <w:sz w:val="20"/>
                <w:szCs w:val="20"/>
              </w:rPr>
              <w:t>Section A #12</w:t>
            </w:r>
          </w:p>
        </w:tc>
        <w:tc>
          <w:tcPr>
            <w:tcW w:w="1472" w:type="pct"/>
            <w:tcBorders>
              <w:top w:val="nil"/>
              <w:left w:val="nil"/>
              <w:bottom w:val="single" w:sz="4" w:space="0" w:color="auto"/>
              <w:right w:val="single" w:sz="4" w:space="0" w:color="auto"/>
            </w:tcBorders>
            <w:shd w:val="clear" w:color="auto" w:fill="auto"/>
            <w:hideMark/>
          </w:tcPr>
          <w:p w:rsidR="00BD6A9F" w:rsidRPr="00BD6A9F" w:rsidRDefault="003B0769" w:rsidP="00BD6A9F">
            <w:pPr>
              <w:rPr>
                <w:rFonts w:cs="Calibri"/>
                <w:color w:val="000000"/>
                <w:sz w:val="20"/>
                <w:szCs w:val="20"/>
              </w:rPr>
            </w:pPr>
            <w:r>
              <w:rPr>
                <w:rFonts w:cs="Calibri"/>
                <w:color w:val="000000"/>
                <w:sz w:val="20"/>
                <w:szCs w:val="20"/>
              </w:rPr>
              <w:t>“</w:t>
            </w:r>
            <w:r w:rsidR="00BD6A9F" w:rsidRPr="00BD6A9F">
              <w:rPr>
                <w:rFonts w:cs="Calibri"/>
                <w:color w:val="000000"/>
                <w:sz w:val="20"/>
                <w:szCs w:val="20"/>
              </w:rPr>
              <w:t>In your field, are there other fellowships or other sources of student support that are more desirable than the NSF Graduate Research Fellowship?”</w:t>
            </w:r>
          </w:p>
        </w:tc>
        <w:tc>
          <w:tcPr>
            <w:tcW w:w="1133" w:type="pct"/>
            <w:tcBorders>
              <w:top w:val="nil"/>
              <w:left w:val="nil"/>
              <w:bottom w:val="single" w:sz="4" w:space="0" w:color="auto"/>
              <w:right w:val="single" w:sz="4" w:space="0" w:color="auto"/>
            </w:tcBorders>
            <w:shd w:val="clear" w:color="auto" w:fill="auto"/>
            <w:hideMark/>
          </w:tcPr>
          <w:p w:rsidR="00BD6A9F" w:rsidRPr="00BD6A9F" w:rsidRDefault="00BD6A9F" w:rsidP="00BD6A9F">
            <w:pPr>
              <w:rPr>
                <w:rFonts w:cs="Calibri"/>
                <w:color w:val="000000"/>
                <w:sz w:val="20"/>
                <w:szCs w:val="20"/>
              </w:rPr>
            </w:pPr>
            <w:r w:rsidRPr="00BD6A9F">
              <w:rPr>
                <w:rFonts w:cs="Calibri"/>
                <w:color w:val="000000"/>
                <w:sz w:val="20"/>
                <w:szCs w:val="20"/>
              </w:rPr>
              <w:t>Section A follows after question 3</w:t>
            </w:r>
          </w:p>
        </w:tc>
        <w:tc>
          <w:tcPr>
            <w:tcW w:w="1320" w:type="pct"/>
            <w:tcBorders>
              <w:top w:val="nil"/>
              <w:left w:val="nil"/>
              <w:bottom w:val="single" w:sz="4" w:space="0" w:color="auto"/>
              <w:right w:val="single" w:sz="4" w:space="0" w:color="auto"/>
            </w:tcBorders>
            <w:shd w:val="clear" w:color="auto" w:fill="auto"/>
            <w:hideMark/>
          </w:tcPr>
          <w:p w:rsidR="00BD6A9F" w:rsidRPr="00BD6A9F" w:rsidRDefault="00BD6A9F" w:rsidP="00BD6A9F">
            <w:pPr>
              <w:rPr>
                <w:rFonts w:cs="Calibri"/>
                <w:color w:val="000000"/>
                <w:sz w:val="20"/>
                <w:szCs w:val="20"/>
              </w:rPr>
            </w:pPr>
            <w:r w:rsidRPr="00BD6A9F">
              <w:rPr>
                <w:rFonts w:cs="Calibri"/>
                <w:color w:val="000000"/>
                <w:sz w:val="20"/>
                <w:szCs w:val="20"/>
              </w:rPr>
              <w:t> </w:t>
            </w:r>
          </w:p>
        </w:tc>
      </w:tr>
    </w:tbl>
    <w:p w:rsidR="00A6486D" w:rsidRDefault="00A6486D" w:rsidP="00A6486D">
      <w:pPr>
        <w:spacing w:after="120" w:line="276" w:lineRule="auto"/>
        <w:rPr>
          <w:b/>
          <w:sz w:val="24"/>
          <w:szCs w:val="24"/>
        </w:rPr>
      </w:pPr>
    </w:p>
    <w:p w:rsidR="00A6486D" w:rsidRPr="00645AD4" w:rsidRDefault="00A6486D" w:rsidP="00A6486D">
      <w:pPr>
        <w:spacing w:after="120" w:line="276" w:lineRule="auto"/>
        <w:rPr>
          <w:b/>
          <w:sz w:val="24"/>
          <w:szCs w:val="24"/>
        </w:rPr>
      </w:pPr>
      <w:proofErr w:type="gramStart"/>
      <w:r w:rsidRPr="00645AD4">
        <w:rPr>
          <w:b/>
          <w:sz w:val="24"/>
          <w:szCs w:val="24"/>
        </w:rPr>
        <w:t>Table 3.</w:t>
      </w:r>
      <w:proofErr w:type="gramEnd"/>
      <w:r w:rsidRPr="00645AD4">
        <w:rPr>
          <w:b/>
          <w:caps/>
          <w:sz w:val="24"/>
          <w:szCs w:val="24"/>
        </w:rPr>
        <w:t xml:space="preserve"> </w:t>
      </w:r>
      <w:r w:rsidRPr="00645AD4">
        <w:rPr>
          <w:b/>
          <w:sz w:val="24"/>
          <w:szCs w:val="24"/>
        </w:rPr>
        <w:t>Questions that have been revised</w:t>
      </w:r>
    </w:p>
    <w:tbl>
      <w:tblPr>
        <w:tblW w:w="5000" w:type="pct"/>
        <w:tblLook w:val="04A0"/>
      </w:tblPr>
      <w:tblGrid>
        <w:gridCol w:w="3549"/>
        <w:gridCol w:w="3405"/>
        <w:gridCol w:w="2622"/>
      </w:tblGrid>
      <w:tr w:rsidR="00A6486D" w:rsidRPr="00A6486D" w:rsidTr="000C7A73">
        <w:trPr>
          <w:trHeight w:val="300"/>
        </w:trPr>
        <w:tc>
          <w:tcPr>
            <w:tcW w:w="1853" w:type="pct"/>
            <w:tcBorders>
              <w:top w:val="single" w:sz="4" w:space="0" w:color="auto"/>
              <w:left w:val="single" w:sz="4" w:space="0" w:color="auto"/>
              <w:bottom w:val="single" w:sz="4" w:space="0" w:color="auto"/>
              <w:right w:val="single" w:sz="4" w:space="0" w:color="auto"/>
            </w:tcBorders>
            <w:shd w:val="pct20" w:color="auto" w:fill="auto"/>
            <w:hideMark/>
          </w:tcPr>
          <w:p w:rsidR="00A6486D" w:rsidRPr="00A6486D" w:rsidRDefault="00A6486D" w:rsidP="00A6486D">
            <w:pPr>
              <w:rPr>
                <w:rFonts w:cs="Calibri"/>
                <w:b/>
                <w:color w:val="000000"/>
                <w:sz w:val="20"/>
                <w:szCs w:val="20"/>
              </w:rPr>
            </w:pPr>
            <w:r w:rsidRPr="00A6486D">
              <w:rPr>
                <w:rFonts w:cs="Calibri"/>
                <w:b/>
                <w:color w:val="000000"/>
                <w:sz w:val="20"/>
                <w:szCs w:val="20"/>
              </w:rPr>
              <w:t>Placement</w:t>
            </w:r>
          </w:p>
        </w:tc>
        <w:tc>
          <w:tcPr>
            <w:tcW w:w="1778" w:type="pct"/>
            <w:tcBorders>
              <w:top w:val="single" w:sz="4" w:space="0" w:color="auto"/>
              <w:left w:val="nil"/>
              <w:bottom w:val="single" w:sz="4" w:space="0" w:color="auto"/>
              <w:right w:val="single" w:sz="4" w:space="0" w:color="auto"/>
            </w:tcBorders>
            <w:shd w:val="pct20" w:color="auto" w:fill="auto"/>
            <w:hideMark/>
          </w:tcPr>
          <w:p w:rsidR="00A6486D" w:rsidRPr="00A6486D" w:rsidRDefault="00A6486D" w:rsidP="00A6486D">
            <w:pPr>
              <w:rPr>
                <w:rFonts w:cs="Calibri"/>
                <w:b/>
                <w:color w:val="000000"/>
                <w:sz w:val="20"/>
                <w:szCs w:val="20"/>
              </w:rPr>
            </w:pPr>
            <w:r w:rsidRPr="00A6486D">
              <w:rPr>
                <w:rFonts w:cs="Calibri"/>
                <w:b/>
                <w:color w:val="000000"/>
                <w:sz w:val="20"/>
                <w:szCs w:val="20"/>
              </w:rPr>
              <w:t>Original Question</w:t>
            </w:r>
          </w:p>
        </w:tc>
        <w:tc>
          <w:tcPr>
            <w:tcW w:w="1369" w:type="pct"/>
            <w:tcBorders>
              <w:top w:val="single" w:sz="4" w:space="0" w:color="auto"/>
              <w:left w:val="nil"/>
              <w:bottom w:val="single" w:sz="4" w:space="0" w:color="auto"/>
              <w:right w:val="single" w:sz="4" w:space="0" w:color="auto"/>
            </w:tcBorders>
            <w:shd w:val="pct20" w:color="auto" w:fill="auto"/>
            <w:hideMark/>
          </w:tcPr>
          <w:p w:rsidR="00A6486D" w:rsidRPr="00A6486D" w:rsidRDefault="00A6486D" w:rsidP="00A6486D">
            <w:pPr>
              <w:rPr>
                <w:rFonts w:cs="Calibri"/>
                <w:b/>
                <w:color w:val="000000"/>
                <w:sz w:val="20"/>
                <w:szCs w:val="20"/>
              </w:rPr>
            </w:pPr>
            <w:r w:rsidRPr="00A6486D">
              <w:rPr>
                <w:rFonts w:cs="Calibri"/>
                <w:b/>
                <w:color w:val="000000"/>
                <w:sz w:val="20"/>
                <w:szCs w:val="20"/>
              </w:rPr>
              <w:t>New wording</w:t>
            </w:r>
          </w:p>
        </w:tc>
      </w:tr>
      <w:tr w:rsidR="00A6486D" w:rsidRPr="00A6486D" w:rsidTr="000C7A73">
        <w:trPr>
          <w:trHeight w:val="1785"/>
        </w:trPr>
        <w:tc>
          <w:tcPr>
            <w:tcW w:w="1853" w:type="pct"/>
            <w:tcBorders>
              <w:top w:val="nil"/>
              <w:left w:val="single" w:sz="4" w:space="0" w:color="auto"/>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Section C #3a item 1</w:t>
            </w:r>
          </w:p>
        </w:tc>
        <w:tc>
          <w:tcPr>
            <w:tcW w:w="1778" w:type="pct"/>
            <w:tcBorders>
              <w:top w:val="nil"/>
              <w:left w:val="nil"/>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 xml:space="preserve">My department offered </w:t>
            </w:r>
            <w:r w:rsidRPr="00A6486D">
              <w:rPr>
                <w:rFonts w:cs="Calibri"/>
                <w:b/>
                <w:bCs/>
                <w:color w:val="000000"/>
                <w:sz w:val="20"/>
                <w:szCs w:val="20"/>
              </w:rPr>
              <w:t>sufficient</w:t>
            </w:r>
            <w:r w:rsidRPr="00A6486D">
              <w:rPr>
                <w:rFonts w:cs="Calibri"/>
                <w:color w:val="000000"/>
                <w:sz w:val="20"/>
                <w:szCs w:val="20"/>
              </w:rPr>
              <w:t xml:space="preserve"> enrichment activities (seminars, colloquia, social events, etc.) in addition to regular classes</w:t>
            </w:r>
          </w:p>
        </w:tc>
        <w:tc>
          <w:tcPr>
            <w:tcW w:w="1369" w:type="pct"/>
            <w:tcBorders>
              <w:top w:val="nil"/>
              <w:left w:val="nil"/>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 xml:space="preserve">My department offered a </w:t>
            </w:r>
            <w:r w:rsidRPr="00A6486D">
              <w:rPr>
                <w:rFonts w:cs="Calibri"/>
                <w:b/>
                <w:bCs/>
                <w:color w:val="000000"/>
                <w:sz w:val="20"/>
                <w:szCs w:val="20"/>
              </w:rPr>
              <w:t>variety of</w:t>
            </w:r>
            <w:r w:rsidRPr="00A6486D">
              <w:rPr>
                <w:rFonts w:cs="Calibri"/>
                <w:color w:val="000000"/>
                <w:sz w:val="20"/>
                <w:szCs w:val="20"/>
              </w:rPr>
              <w:t xml:space="preserve"> enrichment activities (seminars, colloquia, social events, etc.) in addition to regular classes</w:t>
            </w:r>
          </w:p>
        </w:tc>
      </w:tr>
    </w:tbl>
    <w:p w:rsidR="00A6486D" w:rsidRPr="00645AD4" w:rsidRDefault="00A6486D" w:rsidP="00A6486D">
      <w:pPr>
        <w:spacing w:after="120" w:line="276" w:lineRule="auto"/>
        <w:rPr>
          <w:b/>
          <w:sz w:val="24"/>
          <w:szCs w:val="24"/>
        </w:rPr>
      </w:pPr>
      <w:proofErr w:type="gramStart"/>
      <w:r w:rsidRPr="00645AD4">
        <w:rPr>
          <w:b/>
          <w:sz w:val="24"/>
          <w:szCs w:val="24"/>
        </w:rPr>
        <w:lastRenderedPageBreak/>
        <w:t>Table 4.</w:t>
      </w:r>
      <w:proofErr w:type="gramEnd"/>
      <w:r w:rsidRPr="00645AD4">
        <w:rPr>
          <w:b/>
          <w:caps/>
          <w:sz w:val="24"/>
          <w:szCs w:val="24"/>
        </w:rPr>
        <w:t xml:space="preserve"> </w:t>
      </w:r>
      <w:r w:rsidRPr="00645AD4">
        <w:rPr>
          <w:b/>
          <w:sz w:val="24"/>
          <w:szCs w:val="24"/>
        </w:rPr>
        <w:t xml:space="preserve">Questions that have been moved </w:t>
      </w:r>
      <w:r w:rsidRPr="00645AD4">
        <w:rPr>
          <w:b/>
          <w:i/>
          <w:sz w:val="24"/>
          <w:szCs w:val="24"/>
        </w:rPr>
        <w:t xml:space="preserve">and </w:t>
      </w:r>
      <w:r w:rsidRPr="00645AD4">
        <w:rPr>
          <w:b/>
          <w:sz w:val="24"/>
          <w:szCs w:val="24"/>
        </w:rPr>
        <w:t>revised</w:t>
      </w:r>
    </w:p>
    <w:tbl>
      <w:tblPr>
        <w:tblW w:w="5000" w:type="pct"/>
        <w:tblLook w:val="04A0"/>
      </w:tblPr>
      <w:tblGrid>
        <w:gridCol w:w="2523"/>
        <w:gridCol w:w="2422"/>
        <w:gridCol w:w="2459"/>
        <w:gridCol w:w="2172"/>
      </w:tblGrid>
      <w:tr w:rsidR="00A6486D" w:rsidRPr="00A6486D" w:rsidTr="00645AD4">
        <w:trPr>
          <w:trHeight w:val="350"/>
        </w:trPr>
        <w:tc>
          <w:tcPr>
            <w:tcW w:w="1317" w:type="pct"/>
            <w:tcBorders>
              <w:top w:val="single" w:sz="4" w:space="0" w:color="auto"/>
              <w:left w:val="single" w:sz="4" w:space="0" w:color="auto"/>
              <w:bottom w:val="single" w:sz="4" w:space="0" w:color="auto"/>
              <w:right w:val="single" w:sz="4" w:space="0" w:color="auto"/>
            </w:tcBorders>
            <w:shd w:val="pct20" w:color="auto" w:fill="auto"/>
            <w:vAlign w:val="bottom"/>
            <w:hideMark/>
          </w:tcPr>
          <w:p w:rsidR="00A6486D" w:rsidRPr="00A6486D" w:rsidRDefault="00A6486D" w:rsidP="00A6486D">
            <w:pPr>
              <w:rPr>
                <w:rFonts w:cs="Calibri"/>
                <w:b/>
                <w:color w:val="000000"/>
                <w:sz w:val="20"/>
                <w:szCs w:val="20"/>
              </w:rPr>
            </w:pPr>
            <w:r w:rsidRPr="00A6486D">
              <w:rPr>
                <w:rFonts w:cs="Calibri"/>
                <w:b/>
                <w:color w:val="000000"/>
                <w:sz w:val="20"/>
                <w:szCs w:val="20"/>
              </w:rPr>
              <w:t>Original Placement</w:t>
            </w:r>
          </w:p>
        </w:tc>
        <w:tc>
          <w:tcPr>
            <w:tcW w:w="1264" w:type="pct"/>
            <w:tcBorders>
              <w:top w:val="single" w:sz="4" w:space="0" w:color="auto"/>
              <w:left w:val="nil"/>
              <w:bottom w:val="single" w:sz="4" w:space="0" w:color="auto"/>
              <w:right w:val="single" w:sz="4" w:space="0" w:color="auto"/>
            </w:tcBorders>
            <w:shd w:val="pct20" w:color="auto" w:fill="auto"/>
            <w:vAlign w:val="bottom"/>
            <w:hideMark/>
          </w:tcPr>
          <w:p w:rsidR="00A6486D" w:rsidRPr="00A6486D" w:rsidRDefault="00A6486D" w:rsidP="00A6486D">
            <w:pPr>
              <w:rPr>
                <w:rFonts w:cs="Calibri"/>
                <w:b/>
                <w:color w:val="000000"/>
                <w:sz w:val="20"/>
                <w:szCs w:val="20"/>
              </w:rPr>
            </w:pPr>
            <w:r w:rsidRPr="00A6486D">
              <w:rPr>
                <w:rFonts w:cs="Calibri"/>
                <w:b/>
                <w:color w:val="000000"/>
                <w:sz w:val="20"/>
                <w:szCs w:val="20"/>
              </w:rPr>
              <w:t>Original Question</w:t>
            </w:r>
          </w:p>
        </w:tc>
        <w:tc>
          <w:tcPr>
            <w:tcW w:w="1284" w:type="pct"/>
            <w:tcBorders>
              <w:top w:val="single" w:sz="4" w:space="0" w:color="auto"/>
              <w:left w:val="nil"/>
              <w:bottom w:val="single" w:sz="4" w:space="0" w:color="auto"/>
              <w:right w:val="single" w:sz="4" w:space="0" w:color="auto"/>
            </w:tcBorders>
            <w:shd w:val="pct20" w:color="auto" w:fill="auto"/>
            <w:vAlign w:val="bottom"/>
            <w:hideMark/>
          </w:tcPr>
          <w:p w:rsidR="00A6486D" w:rsidRPr="00A6486D" w:rsidRDefault="00A6486D" w:rsidP="00A6486D">
            <w:pPr>
              <w:rPr>
                <w:rFonts w:cs="Calibri"/>
                <w:b/>
                <w:color w:val="000000"/>
                <w:sz w:val="20"/>
                <w:szCs w:val="20"/>
              </w:rPr>
            </w:pPr>
            <w:r w:rsidRPr="00A6486D">
              <w:rPr>
                <w:rFonts w:cs="Calibri"/>
                <w:b/>
                <w:color w:val="000000"/>
                <w:sz w:val="20"/>
                <w:szCs w:val="20"/>
              </w:rPr>
              <w:t xml:space="preserve">New placement </w:t>
            </w:r>
            <w:r>
              <w:rPr>
                <w:rFonts w:cs="Calibri"/>
                <w:b/>
                <w:color w:val="000000"/>
                <w:sz w:val="20"/>
                <w:szCs w:val="20"/>
              </w:rPr>
              <w:t>&amp;</w:t>
            </w:r>
            <w:r w:rsidRPr="00A6486D">
              <w:rPr>
                <w:rFonts w:cs="Calibri"/>
                <w:b/>
                <w:color w:val="000000"/>
                <w:sz w:val="20"/>
                <w:szCs w:val="20"/>
              </w:rPr>
              <w:t xml:space="preserve"> question</w:t>
            </w:r>
          </w:p>
        </w:tc>
        <w:tc>
          <w:tcPr>
            <w:tcW w:w="1134" w:type="pct"/>
            <w:tcBorders>
              <w:top w:val="single" w:sz="4" w:space="0" w:color="auto"/>
              <w:left w:val="nil"/>
              <w:bottom w:val="single" w:sz="4" w:space="0" w:color="auto"/>
              <w:right w:val="single" w:sz="4" w:space="0" w:color="auto"/>
            </w:tcBorders>
            <w:shd w:val="pct20" w:color="auto" w:fill="auto"/>
            <w:vAlign w:val="bottom"/>
            <w:hideMark/>
          </w:tcPr>
          <w:p w:rsidR="00A6486D" w:rsidRPr="00A6486D" w:rsidRDefault="00A6486D" w:rsidP="00A6486D">
            <w:pPr>
              <w:rPr>
                <w:rFonts w:cs="Calibri"/>
                <w:b/>
                <w:color w:val="000000"/>
                <w:sz w:val="20"/>
                <w:szCs w:val="20"/>
              </w:rPr>
            </w:pPr>
            <w:r w:rsidRPr="00A6486D">
              <w:rPr>
                <w:rFonts w:cs="Calibri"/>
                <w:b/>
                <w:color w:val="000000"/>
                <w:sz w:val="20"/>
                <w:szCs w:val="20"/>
              </w:rPr>
              <w:t>Rationale</w:t>
            </w:r>
          </w:p>
        </w:tc>
      </w:tr>
      <w:tr w:rsidR="00A6486D" w:rsidRPr="00A6486D" w:rsidTr="00645AD4">
        <w:trPr>
          <w:trHeight w:val="1260"/>
        </w:trPr>
        <w:tc>
          <w:tcPr>
            <w:tcW w:w="1317" w:type="pct"/>
            <w:tcBorders>
              <w:top w:val="single" w:sz="4" w:space="0" w:color="auto"/>
              <w:left w:val="single" w:sz="4" w:space="0" w:color="auto"/>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Section A #4, item 1</w:t>
            </w:r>
          </w:p>
          <w:p w:rsidR="00A6486D" w:rsidRPr="00A6486D" w:rsidRDefault="00A6486D" w:rsidP="00A6486D">
            <w:pPr>
              <w:rPr>
                <w:rFonts w:cs="Calibri"/>
                <w:color w:val="000000"/>
                <w:sz w:val="20"/>
                <w:szCs w:val="20"/>
              </w:rPr>
            </w:pPr>
            <w:r w:rsidRPr="00A6486D">
              <w:rPr>
                <w:rFonts w:cs="Calibri"/>
                <w:color w:val="000000"/>
                <w:sz w:val="20"/>
                <w:szCs w:val="20"/>
              </w:rPr>
              <w:t> </w:t>
            </w:r>
          </w:p>
        </w:tc>
        <w:tc>
          <w:tcPr>
            <w:tcW w:w="1264" w:type="pct"/>
            <w:tcBorders>
              <w:top w:val="single" w:sz="4" w:space="0" w:color="auto"/>
              <w:left w:val="nil"/>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“Peers considered me a good student”</w:t>
            </w:r>
          </w:p>
          <w:p w:rsidR="00A6486D" w:rsidRPr="00A6486D" w:rsidRDefault="00A6486D" w:rsidP="00A6486D">
            <w:pPr>
              <w:rPr>
                <w:rFonts w:cs="Calibri"/>
                <w:color w:val="000000"/>
                <w:sz w:val="20"/>
                <w:szCs w:val="20"/>
              </w:rPr>
            </w:pPr>
            <w:r w:rsidRPr="00A6486D">
              <w:rPr>
                <w:rFonts w:cs="Calibri"/>
                <w:color w:val="000000"/>
                <w:sz w:val="20"/>
                <w:szCs w:val="20"/>
              </w:rPr>
              <w:t> </w:t>
            </w:r>
          </w:p>
        </w:tc>
        <w:tc>
          <w:tcPr>
            <w:tcW w:w="1284" w:type="pct"/>
            <w:tcBorders>
              <w:top w:val="single" w:sz="4" w:space="0" w:color="auto"/>
              <w:left w:val="nil"/>
              <w:bottom w:val="single" w:sz="4" w:space="0" w:color="auto"/>
              <w:right w:val="single" w:sz="4" w:space="0" w:color="auto"/>
            </w:tcBorders>
            <w:shd w:val="clear" w:color="auto" w:fill="auto"/>
            <w:hideMark/>
          </w:tcPr>
          <w:p w:rsidR="007B2B40" w:rsidRDefault="00A6486D" w:rsidP="00A6486D">
            <w:pPr>
              <w:rPr>
                <w:rFonts w:cs="Calibri"/>
                <w:color w:val="000000"/>
                <w:sz w:val="20"/>
                <w:szCs w:val="20"/>
              </w:rPr>
            </w:pPr>
            <w:r w:rsidRPr="00A6486D">
              <w:rPr>
                <w:rFonts w:cs="Calibri"/>
                <w:color w:val="000000"/>
                <w:sz w:val="20"/>
                <w:szCs w:val="20"/>
              </w:rPr>
              <w:t xml:space="preserve">Section C #3a item #12 </w:t>
            </w:r>
          </w:p>
          <w:p w:rsidR="007B2B40" w:rsidRDefault="007B2B40" w:rsidP="00A6486D">
            <w:pPr>
              <w:rPr>
                <w:rFonts w:cs="Calibri"/>
                <w:color w:val="000000"/>
                <w:sz w:val="20"/>
                <w:szCs w:val="20"/>
              </w:rPr>
            </w:pPr>
          </w:p>
          <w:p w:rsidR="00A6486D" w:rsidRPr="00A6486D" w:rsidRDefault="00A6486D" w:rsidP="00A6486D">
            <w:pPr>
              <w:rPr>
                <w:rFonts w:cs="Calibri"/>
                <w:color w:val="000000"/>
                <w:sz w:val="20"/>
                <w:szCs w:val="20"/>
              </w:rPr>
            </w:pPr>
            <w:r w:rsidRPr="00A6486D">
              <w:rPr>
                <w:rFonts w:cs="Calibri"/>
                <w:color w:val="000000"/>
                <w:sz w:val="20"/>
                <w:szCs w:val="20"/>
              </w:rPr>
              <w:t>“My peers  considered me a good student”</w:t>
            </w:r>
          </w:p>
          <w:p w:rsidR="00A6486D" w:rsidRPr="00A6486D" w:rsidRDefault="00A6486D" w:rsidP="00A6486D">
            <w:pPr>
              <w:rPr>
                <w:rFonts w:cs="Calibri"/>
                <w:color w:val="000000"/>
                <w:sz w:val="20"/>
                <w:szCs w:val="20"/>
              </w:rPr>
            </w:pPr>
            <w:r w:rsidRPr="00A6486D">
              <w:rPr>
                <w:rFonts w:cs="Calibri"/>
                <w:color w:val="000000"/>
                <w:sz w:val="20"/>
                <w:szCs w:val="20"/>
              </w:rPr>
              <w:t> </w:t>
            </w:r>
          </w:p>
        </w:tc>
        <w:tc>
          <w:tcPr>
            <w:tcW w:w="1134" w:type="pct"/>
            <w:tcBorders>
              <w:top w:val="single" w:sz="4" w:space="0" w:color="auto"/>
              <w:left w:val="nil"/>
              <w:bottom w:val="single" w:sz="4" w:space="0" w:color="auto"/>
              <w:right w:val="single" w:sz="4" w:space="0" w:color="auto"/>
            </w:tcBorders>
            <w:shd w:val="clear" w:color="auto" w:fill="auto"/>
            <w:hideMark/>
          </w:tcPr>
          <w:p w:rsidR="007B2B40" w:rsidRPr="00A6486D" w:rsidRDefault="007B2B40" w:rsidP="007B2B40">
            <w:pPr>
              <w:rPr>
                <w:rFonts w:cs="Calibri"/>
                <w:color w:val="000000"/>
                <w:sz w:val="20"/>
                <w:szCs w:val="20"/>
              </w:rPr>
            </w:pPr>
            <w:r>
              <w:rPr>
                <w:rFonts w:cs="Calibri"/>
                <w:color w:val="000000"/>
                <w:sz w:val="20"/>
                <w:szCs w:val="20"/>
              </w:rPr>
              <w:t>Revised</w:t>
            </w:r>
            <w:r w:rsidRPr="00A6486D">
              <w:rPr>
                <w:rFonts w:cs="Calibri"/>
                <w:color w:val="000000"/>
                <w:sz w:val="20"/>
                <w:szCs w:val="20"/>
              </w:rPr>
              <w:t xml:space="preserve"> question appl</w:t>
            </w:r>
            <w:r>
              <w:rPr>
                <w:rFonts w:cs="Calibri"/>
                <w:color w:val="000000"/>
                <w:sz w:val="20"/>
                <w:szCs w:val="20"/>
              </w:rPr>
              <w:t>ies</w:t>
            </w:r>
            <w:r w:rsidRPr="00A6486D">
              <w:rPr>
                <w:rFonts w:cs="Calibri"/>
                <w:color w:val="000000"/>
                <w:sz w:val="20"/>
                <w:szCs w:val="20"/>
              </w:rPr>
              <w:t xml:space="preserve"> to test and control groups</w:t>
            </w:r>
            <w:r>
              <w:rPr>
                <w:rFonts w:cs="Calibri"/>
                <w:color w:val="000000"/>
                <w:sz w:val="20"/>
                <w:szCs w:val="20"/>
              </w:rPr>
              <w:t>.</w:t>
            </w:r>
          </w:p>
          <w:p w:rsidR="00A6486D" w:rsidRPr="00A6486D" w:rsidRDefault="00A6486D" w:rsidP="00A6486D">
            <w:pPr>
              <w:rPr>
                <w:rFonts w:cs="Calibri"/>
                <w:color w:val="000000"/>
                <w:sz w:val="20"/>
                <w:szCs w:val="20"/>
              </w:rPr>
            </w:pPr>
          </w:p>
        </w:tc>
      </w:tr>
      <w:tr w:rsidR="00A6486D" w:rsidRPr="00A6486D" w:rsidTr="00645AD4">
        <w:trPr>
          <w:trHeight w:val="1512"/>
        </w:trPr>
        <w:tc>
          <w:tcPr>
            <w:tcW w:w="1317" w:type="pct"/>
            <w:tcBorders>
              <w:top w:val="single" w:sz="4" w:space="0" w:color="auto"/>
              <w:left w:val="single" w:sz="4" w:space="0" w:color="auto"/>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Section A #5 item 5</w:t>
            </w:r>
          </w:p>
          <w:p w:rsidR="00A6486D" w:rsidRPr="00A6486D" w:rsidRDefault="00A6486D" w:rsidP="00A6486D">
            <w:pPr>
              <w:rPr>
                <w:rFonts w:cs="Calibri"/>
                <w:color w:val="000000"/>
                <w:sz w:val="20"/>
                <w:szCs w:val="20"/>
              </w:rPr>
            </w:pPr>
            <w:r w:rsidRPr="00A6486D">
              <w:rPr>
                <w:rFonts w:cs="Calibri"/>
                <w:color w:val="000000"/>
                <w:sz w:val="20"/>
                <w:szCs w:val="20"/>
              </w:rPr>
              <w:t> </w:t>
            </w:r>
          </w:p>
        </w:tc>
        <w:tc>
          <w:tcPr>
            <w:tcW w:w="1264" w:type="pct"/>
            <w:tcBorders>
              <w:top w:val="single" w:sz="4" w:space="0" w:color="auto"/>
              <w:left w:val="nil"/>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“The GRFP award enabled me to change departments during my graduate studies”</w:t>
            </w:r>
          </w:p>
          <w:p w:rsidR="00A6486D" w:rsidRPr="00A6486D" w:rsidRDefault="00A6486D" w:rsidP="00A6486D">
            <w:pPr>
              <w:rPr>
                <w:rFonts w:cs="Calibri"/>
                <w:color w:val="000000"/>
                <w:sz w:val="20"/>
                <w:szCs w:val="20"/>
              </w:rPr>
            </w:pPr>
            <w:r w:rsidRPr="00A6486D">
              <w:rPr>
                <w:rFonts w:cs="Calibri"/>
                <w:color w:val="000000"/>
                <w:sz w:val="20"/>
                <w:szCs w:val="20"/>
              </w:rPr>
              <w:t> </w:t>
            </w:r>
          </w:p>
        </w:tc>
        <w:tc>
          <w:tcPr>
            <w:tcW w:w="1284" w:type="pct"/>
            <w:tcBorders>
              <w:top w:val="single" w:sz="4" w:space="0" w:color="auto"/>
              <w:left w:val="nil"/>
              <w:bottom w:val="single" w:sz="4" w:space="0" w:color="auto"/>
              <w:right w:val="single" w:sz="4" w:space="0" w:color="auto"/>
            </w:tcBorders>
            <w:shd w:val="clear" w:color="auto" w:fill="auto"/>
            <w:hideMark/>
          </w:tcPr>
          <w:p w:rsidR="00A6486D" w:rsidRPr="00A6486D" w:rsidRDefault="007B2B40" w:rsidP="00A6486D">
            <w:pPr>
              <w:rPr>
                <w:rFonts w:cs="Calibri"/>
                <w:color w:val="000000"/>
                <w:sz w:val="20"/>
                <w:szCs w:val="20"/>
              </w:rPr>
            </w:pPr>
            <w:r>
              <w:rPr>
                <w:rFonts w:cs="Calibri"/>
                <w:color w:val="000000"/>
                <w:sz w:val="20"/>
                <w:szCs w:val="20"/>
              </w:rPr>
              <w:t>Sec. C, 3b, item 14</w:t>
            </w:r>
          </w:p>
          <w:p w:rsidR="007B2B40" w:rsidRDefault="007B2B40" w:rsidP="00A6486D">
            <w:pPr>
              <w:rPr>
                <w:rFonts w:cs="Calibri"/>
                <w:color w:val="000000"/>
                <w:sz w:val="20"/>
                <w:szCs w:val="20"/>
              </w:rPr>
            </w:pPr>
          </w:p>
          <w:p w:rsidR="00A6486D" w:rsidRPr="00A6486D" w:rsidRDefault="00A6486D" w:rsidP="00A6486D">
            <w:pPr>
              <w:rPr>
                <w:rFonts w:cs="Calibri"/>
                <w:color w:val="000000"/>
                <w:sz w:val="20"/>
                <w:szCs w:val="20"/>
              </w:rPr>
            </w:pPr>
            <w:r w:rsidRPr="00A6486D">
              <w:rPr>
                <w:rFonts w:cs="Calibri"/>
                <w:color w:val="000000"/>
                <w:sz w:val="20"/>
                <w:szCs w:val="20"/>
              </w:rPr>
              <w:t>“The program made it easy to change departments”</w:t>
            </w:r>
          </w:p>
        </w:tc>
        <w:tc>
          <w:tcPr>
            <w:tcW w:w="1134" w:type="pct"/>
            <w:tcBorders>
              <w:top w:val="single" w:sz="4" w:space="0" w:color="auto"/>
              <w:left w:val="nil"/>
              <w:bottom w:val="single" w:sz="4" w:space="0" w:color="auto"/>
              <w:right w:val="single" w:sz="4" w:space="0" w:color="auto"/>
            </w:tcBorders>
            <w:shd w:val="clear" w:color="auto" w:fill="auto"/>
            <w:hideMark/>
          </w:tcPr>
          <w:p w:rsidR="00A6486D" w:rsidRPr="00A6486D" w:rsidRDefault="007B2B40" w:rsidP="00A6486D">
            <w:pPr>
              <w:rPr>
                <w:rFonts w:cs="Calibri"/>
                <w:color w:val="000000"/>
                <w:sz w:val="20"/>
                <w:szCs w:val="20"/>
              </w:rPr>
            </w:pPr>
            <w:r>
              <w:rPr>
                <w:rFonts w:cs="Calibri"/>
                <w:color w:val="000000"/>
                <w:sz w:val="20"/>
                <w:szCs w:val="20"/>
              </w:rPr>
              <w:t>Revised</w:t>
            </w:r>
            <w:r w:rsidRPr="00A6486D">
              <w:rPr>
                <w:rFonts w:cs="Calibri"/>
                <w:color w:val="000000"/>
                <w:sz w:val="20"/>
                <w:szCs w:val="20"/>
              </w:rPr>
              <w:t xml:space="preserve"> </w:t>
            </w:r>
            <w:r w:rsidR="00A6486D" w:rsidRPr="00A6486D">
              <w:rPr>
                <w:rFonts w:cs="Calibri"/>
                <w:color w:val="000000"/>
                <w:sz w:val="20"/>
                <w:szCs w:val="20"/>
              </w:rPr>
              <w:t xml:space="preserve">question </w:t>
            </w:r>
            <w:r w:rsidRPr="00A6486D">
              <w:rPr>
                <w:rFonts w:cs="Calibri"/>
                <w:color w:val="000000"/>
                <w:sz w:val="20"/>
                <w:szCs w:val="20"/>
              </w:rPr>
              <w:t>appl</w:t>
            </w:r>
            <w:r>
              <w:rPr>
                <w:rFonts w:cs="Calibri"/>
                <w:color w:val="000000"/>
                <w:sz w:val="20"/>
                <w:szCs w:val="20"/>
              </w:rPr>
              <w:t>ies</w:t>
            </w:r>
            <w:r w:rsidRPr="00A6486D">
              <w:rPr>
                <w:rFonts w:cs="Calibri"/>
                <w:color w:val="000000"/>
                <w:sz w:val="20"/>
                <w:szCs w:val="20"/>
              </w:rPr>
              <w:t xml:space="preserve"> </w:t>
            </w:r>
            <w:r w:rsidR="00A6486D" w:rsidRPr="00A6486D">
              <w:rPr>
                <w:rFonts w:cs="Calibri"/>
                <w:color w:val="000000"/>
                <w:sz w:val="20"/>
                <w:szCs w:val="20"/>
              </w:rPr>
              <w:t>to test and control groups</w:t>
            </w:r>
          </w:p>
          <w:p w:rsidR="00A6486D" w:rsidRPr="00A6486D" w:rsidRDefault="00A6486D" w:rsidP="00A6486D">
            <w:pPr>
              <w:rPr>
                <w:rFonts w:cs="Calibri"/>
                <w:color w:val="000000"/>
                <w:sz w:val="20"/>
                <w:szCs w:val="20"/>
              </w:rPr>
            </w:pPr>
            <w:r w:rsidRPr="00A6486D">
              <w:rPr>
                <w:rFonts w:cs="Calibri"/>
                <w:color w:val="000000"/>
                <w:sz w:val="20"/>
                <w:szCs w:val="20"/>
              </w:rPr>
              <w:t> </w:t>
            </w:r>
          </w:p>
        </w:tc>
      </w:tr>
      <w:tr w:rsidR="00A6486D" w:rsidRPr="00A6486D" w:rsidTr="00645AD4">
        <w:trPr>
          <w:trHeight w:val="1257"/>
        </w:trPr>
        <w:tc>
          <w:tcPr>
            <w:tcW w:w="1317" w:type="pct"/>
            <w:tcBorders>
              <w:top w:val="single" w:sz="4" w:space="0" w:color="auto"/>
              <w:left w:val="single" w:sz="4" w:space="0" w:color="auto"/>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Section A #5 item 6</w:t>
            </w:r>
          </w:p>
          <w:p w:rsidR="00A6486D" w:rsidRPr="00A6486D" w:rsidRDefault="00A6486D" w:rsidP="00A6486D">
            <w:pPr>
              <w:rPr>
                <w:rFonts w:cs="Calibri"/>
                <w:color w:val="000000"/>
                <w:sz w:val="20"/>
                <w:szCs w:val="20"/>
              </w:rPr>
            </w:pPr>
            <w:r w:rsidRPr="00A6486D">
              <w:rPr>
                <w:rFonts w:cs="Calibri"/>
                <w:color w:val="000000"/>
                <w:sz w:val="20"/>
                <w:szCs w:val="20"/>
              </w:rPr>
              <w:t> </w:t>
            </w:r>
          </w:p>
        </w:tc>
        <w:tc>
          <w:tcPr>
            <w:tcW w:w="1264" w:type="pct"/>
            <w:tcBorders>
              <w:top w:val="single" w:sz="4" w:space="0" w:color="auto"/>
              <w:left w:val="nil"/>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“The GRFP award enhanced my opportunity to work with a variety of different faculty on their research”</w:t>
            </w:r>
          </w:p>
          <w:p w:rsidR="00A6486D" w:rsidRPr="00A6486D" w:rsidRDefault="00A6486D" w:rsidP="00A6486D">
            <w:pPr>
              <w:rPr>
                <w:rFonts w:cs="Calibri"/>
                <w:color w:val="000000"/>
                <w:sz w:val="20"/>
                <w:szCs w:val="20"/>
              </w:rPr>
            </w:pPr>
            <w:r w:rsidRPr="00A6486D">
              <w:rPr>
                <w:rFonts w:cs="Calibri"/>
                <w:color w:val="000000"/>
                <w:sz w:val="20"/>
                <w:szCs w:val="20"/>
              </w:rPr>
              <w:t> </w:t>
            </w:r>
          </w:p>
        </w:tc>
        <w:tc>
          <w:tcPr>
            <w:tcW w:w="1284" w:type="pct"/>
            <w:tcBorders>
              <w:top w:val="single" w:sz="4" w:space="0" w:color="auto"/>
              <w:left w:val="nil"/>
              <w:bottom w:val="single" w:sz="4" w:space="0" w:color="auto"/>
              <w:right w:val="single" w:sz="4" w:space="0" w:color="auto"/>
            </w:tcBorders>
            <w:shd w:val="clear" w:color="auto" w:fill="auto"/>
            <w:hideMark/>
          </w:tcPr>
          <w:p w:rsidR="00A6486D" w:rsidRDefault="00A6486D" w:rsidP="00A6486D">
            <w:pPr>
              <w:rPr>
                <w:rFonts w:cs="Calibri"/>
                <w:color w:val="000000"/>
                <w:sz w:val="20"/>
                <w:szCs w:val="20"/>
              </w:rPr>
            </w:pPr>
            <w:r w:rsidRPr="00A6486D">
              <w:rPr>
                <w:rFonts w:cs="Calibri"/>
                <w:color w:val="000000"/>
                <w:sz w:val="20"/>
                <w:szCs w:val="20"/>
              </w:rPr>
              <w:t xml:space="preserve">Sec. C, 3b, item 15. </w:t>
            </w:r>
          </w:p>
          <w:p w:rsidR="00A6486D" w:rsidRPr="00A6486D" w:rsidRDefault="00A6486D" w:rsidP="00A6486D">
            <w:pPr>
              <w:rPr>
                <w:rFonts w:cs="Calibri"/>
                <w:color w:val="000000"/>
                <w:sz w:val="20"/>
                <w:szCs w:val="20"/>
              </w:rPr>
            </w:pPr>
          </w:p>
          <w:p w:rsidR="00A6486D" w:rsidRPr="00A6486D" w:rsidRDefault="00A6486D" w:rsidP="00A6486D">
            <w:pPr>
              <w:rPr>
                <w:rFonts w:cs="Calibri"/>
                <w:color w:val="000000"/>
                <w:sz w:val="20"/>
                <w:szCs w:val="20"/>
              </w:rPr>
            </w:pPr>
            <w:r w:rsidRPr="00A6486D">
              <w:rPr>
                <w:rFonts w:cs="Calibri"/>
                <w:color w:val="000000"/>
                <w:sz w:val="20"/>
                <w:szCs w:val="20"/>
              </w:rPr>
              <w:t>“</w:t>
            </w:r>
            <w:r w:rsidRPr="00A6486D">
              <w:rPr>
                <w:rFonts w:cs="Calibri"/>
                <w:sz w:val="20"/>
                <w:szCs w:val="20"/>
              </w:rPr>
              <w:t>The program made it easy to change advisors”</w:t>
            </w:r>
          </w:p>
        </w:tc>
        <w:tc>
          <w:tcPr>
            <w:tcW w:w="1134" w:type="pct"/>
            <w:tcBorders>
              <w:top w:val="single" w:sz="4" w:space="0" w:color="auto"/>
              <w:left w:val="nil"/>
              <w:bottom w:val="single" w:sz="4" w:space="0" w:color="auto"/>
              <w:right w:val="single" w:sz="4" w:space="0" w:color="auto"/>
            </w:tcBorders>
            <w:shd w:val="clear" w:color="auto" w:fill="auto"/>
            <w:hideMark/>
          </w:tcPr>
          <w:p w:rsidR="00A6486D" w:rsidRPr="00A6486D" w:rsidRDefault="007B2B40" w:rsidP="00A6486D">
            <w:pPr>
              <w:rPr>
                <w:rFonts w:cs="Calibri"/>
                <w:color w:val="000000"/>
                <w:sz w:val="20"/>
                <w:szCs w:val="20"/>
              </w:rPr>
            </w:pPr>
            <w:r>
              <w:rPr>
                <w:rFonts w:cs="Calibri"/>
                <w:color w:val="000000"/>
                <w:sz w:val="20"/>
                <w:szCs w:val="20"/>
              </w:rPr>
              <w:t>Revised</w:t>
            </w:r>
            <w:r w:rsidRPr="00A6486D">
              <w:rPr>
                <w:rFonts w:cs="Calibri"/>
                <w:color w:val="000000"/>
                <w:sz w:val="20"/>
                <w:szCs w:val="20"/>
              </w:rPr>
              <w:t xml:space="preserve"> </w:t>
            </w:r>
            <w:r w:rsidR="00A6486D" w:rsidRPr="00A6486D">
              <w:rPr>
                <w:rFonts w:cs="Calibri"/>
                <w:color w:val="000000"/>
                <w:sz w:val="20"/>
                <w:szCs w:val="20"/>
              </w:rPr>
              <w:t>question appl</w:t>
            </w:r>
            <w:r>
              <w:rPr>
                <w:rFonts w:cs="Calibri"/>
                <w:color w:val="000000"/>
                <w:sz w:val="20"/>
                <w:szCs w:val="20"/>
              </w:rPr>
              <w:t>ies</w:t>
            </w:r>
            <w:r w:rsidR="00A6486D" w:rsidRPr="00A6486D">
              <w:rPr>
                <w:rFonts w:cs="Calibri"/>
                <w:color w:val="000000"/>
                <w:sz w:val="20"/>
                <w:szCs w:val="20"/>
              </w:rPr>
              <w:t xml:space="preserve"> to test and control groups</w:t>
            </w:r>
          </w:p>
          <w:p w:rsidR="00A6486D" w:rsidRPr="00A6486D" w:rsidRDefault="00A6486D" w:rsidP="00A6486D">
            <w:pPr>
              <w:rPr>
                <w:rFonts w:cs="Calibri"/>
                <w:color w:val="000000"/>
                <w:sz w:val="20"/>
                <w:szCs w:val="20"/>
              </w:rPr>
            </w:pPr>
            <w:r w:rsidRPr="00A6486D">
              <w:rPr>
                <w:rFonts w:cs="Calibri"/>
                <w:color w:val="000000"/>
                <w:sz w:val="20"/>
                <w:szCs w:val="20"/>
              </w:rPr>
              <w:t> </w:t>
            </w:r>
          </w:p>
        </w:tc>
      </w:tr>
      <w:tr w:rsidR="00A6486D" w:rsidRPr="00A6486D" w:rsidTr="00645AD4">
        <w:trPr>
          <w:trHeight w:val="3915"/>
        </w:trPr>
        <w:tc>
          <w:tcPr>
            <w:tcW w:w="1317" w:type="pct"/>
            <w:tcBorders>
              <w:top w:val="single" w:sz="4" w:space="0" w:color="auto"/>
              <w:left w:val="single" w:sz="4" w:space="0" w:color="auto"/>
              <w:bottom w:val="single" w:sz="4" w:space="0" w:color="000000"/>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Section A #6a items 4-11</w:t>
            </w:r>
          </w:p>
        </w:tc>
        <w:tc>
          <w:tcPr>
            <w:tcW w:w="1264" w:type="pct"/>
            <w:tcBorders>
              <w:top w:val="single" w:sz="4" w:space="0" w:color="auto"/>
              <w:left w:val="nil"/>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 Select the ways in which receiving the GRFP award influenced your choice of which graduate institution to attend”</w:t>
            </w:r>
          </w:p>
          <w:p w:rsidR="00A6486D" w:rsidRPr="00A6486D" w:rsidRDefault="00A6486D" w:rsidP="00A6486D">
            <w:pPr>
              <w:rPr>
                <w:rFonts w:cs="Calibri"/>
                <w:color w:val="000000"/>
                <w:sz w:val="20"/>
                <w:szCs w:val="20"/>
              </w:rPr>
            </w:pPr>
            <w:r w:rsidRPr="00A6486D">
              <w:rPr>
                <w:rFonts w:cs="Calibri"/>
                <w:color w:val="000000"/>
                <w:sz w:val="20"/>
                <w:szCs w:val="20"/>
              </w:rPr>
              <w:t> </w:t>
            </w:r>
          </w:p>
          <w:p w:rsidR="00A6486D" w:rsidRPr="00A6486D" w:rsidRDefault="00A6486D" w:rsidP="00A6486D">
            <w:pPr>
              <w:rPr>
                <w:rFonts w:cs="Calibri"/>
                <w:color w:val="000000"/>
                <w:sz w:val="20"/>
                <w:szCs w:val="20"/>
              </w:rPr>
            </w:pPr>
            <w:r w:rsidRPr="00A6486D">
              <w:rPr>
                <w:rFonts w:cs="Calibri"/>
                <w:color w:val="000000"/>
                <w:sz w:val="20"/>
                <w:szCs w:val="20"/>
              </w:rPr>
              <w:t>Ex item: “ The award enabled me to enroll in an institution in order to work with a specific faculty member”</w:t>
            </w:r>
          </w:p>
          <w:p w:rsidR="00A6486D" w:rsidRPr="00A6486D" w:rsidRDefault="00A6486D" w:rsidP="00A6486D">
            <w:pPr>
              <w:rPr>
                <w:rFonts w:cs="Calibri"/>
                <w:color w:val="000000"/>
                <w:sz w:val="20"/>
                <w:szCs w:val="20"/>
              </w:rPr>
            </w:pPr>
            <w:r w:rsidRPr="00A6486D">
              <w:rPr>
                <w:rFonts w:cs="Calibri"/>
                <w:color w:val="000000"/>
                <w:sz w:val="20"/>
                <w:szCs w:val="20"/>
              </w:rPr>
              <w:t> </w:t>
            </w:r>
          </w:p>
        </w:tc>
        <w:tc>
          <w:tcPr>
            <w:tcW w:w="1284" w:type="pct"/>
            <w:tcBorders>
              <w:top w:val="single" w:sz="4" w:space="0" w:color="auto"/>
              <w:left w:val="nil"/>
              <w:bottom w:val="single" w:sz="4" w:space="0" w:color="auto"/>
              <w:right w:val="single" w:sz="4" w:space="0" w:color="auto"/>
            </w:tcBorders>
            <w:shd w:val="clear" w:color="auto" w:fill="auto"/>
            <w:hideMark/>
          </w:tcPr>
          <w:p w:rsidR="007B2B40" w:rsidRDefault="00A6486D" w:rsidP="00A6486D">
            <w:pPr>
              <w:rPr>
                <w:rFonts w:cs="Calibri"/>
                <w:color w:val="000000"/>
                <w:sz w:val="20"/>
                <w:szCs w:val="20"/>
              </w:rPr>
            </w:pPr>
            <w:r w:rsidRPr="00A6486D">
              <w:rPr>
                <w:rFonts w:cs="Calibri"/>
                <w:color w:val="000000"/>
                <w:sz w:val="20"/>
                <w:szCs w:val="20"/>
              </w:rPr>
              <w:t xml:space="preserve">Sec. C, 7. </w:t>
            </w:r>
          </w:p>
          <w:p w:rsidR="007B2B40" w:rsidRDefault="007B2B40" w:rsidP="00A6486D">
            <w:pPr>
              <w:rPr>
                <w:rFonts w:cs="Calibri"/>
                <w:color w:val="000000"/>
                <w:sz w:val="20"/>
                <w:szCs w:val="20"/>
              </w:rPr>
            </w:pPr>
          </w:p>
          <w:p w:rsidR="007B2B40" w:rsidRDefault="00A6486D" w:rsidP="00A6486D">
            <w:pPr>
              <w:rPr>
                <w:rFonts w:cs="Calibri"/>
                <w:color w:val="000000"/>
                <w:sz w:val="20"/>
                <w:szCs w:val="20"/>
              </w:rPr>
            </w:pPr>
            <w:r w:rsidRPr="00A6486D">
              <w:rPr>
                <w:rFonts w:cs="Calibri"/>
                <w:color w:val="000000"/>
                <w:sz w:val="20"/>
                <w:szCs w:val="20"/>
              </w:rPr>
              <w:t>“Reflecting on your graduate school enrollment decision, to what extent do you agree or disagree with the following statements?</w:t>
            </w:r>
          </w:p>
          <w:p w:rsidR="00A6486D" w:rsidRDefault="00A6486D" w:rsidP="00A6486D">
            <w:pPr>
              <w:rPr>
                <w:rFonts w:cs="Calibri"/>
                <w:color w:val="000000"/>
                <w:sz w:val="20"/>
                <w:szCs w:val="20"/>
              </w:rPr>
            </w:pPr>
            <w:r w:rsidRPr="00A6486D">
              <w:rPr>
                <w:rFonts w:cs="Calibri"/>
                <w:color w:val="000000"/>
                <w:sz w:val="20"/>
                <w:szCs w:val="20"/>
              </w:rPr>
              <w:t>I decided to enroll in my particular graduate institution</w:t>
            </w:r>
            <w:r w:rsidR="007B2B40">
              <w:rPr>
                <w:rFonts w:cs="Calibri"/>
                <w:color w:val="000000"/>
                <w:sz w:val="20"/>
                <w:szCs w:val="20"/>
              </w:rPr>
              <w:t>...</w:t>
            </w:r>
          </w:p>
          <w:p w:rsidR="00A6486D" w:rsidRPr="00A6486D" w:rsidRDefault="00A6486D" w:rsidP="00A6486D">
            <w:pPr>
              <w:rPr>
                <w:rFonts w:cs="Calibri"/>
                <w:color w:val="000000"/>
                <w:sz w:val="20"/>
                <w:szCs w:val="20"/>
              </w:rPr>
            </w:pPr>
            <w:r w:rsidRPr="00A6486D">
              <w:rPr>
                <w:rFonts w:cs="Calibri"/>
                <w:color w:val="000000"/>
                <w:sz w:val="20"/>
                <w:szCs w:val="20"/>
              </w:rPr>
              <w:t> </w:t>
            </w:r>
          </w:p>
          <w:p w:rsidR="00A6486D" w:rsidRPr="00A6486D" w:rsidRDefault="00A6486D" w:rsidP="00A6486D">
            <w:pPr>
              <w:rPr>
                <w:rFonts w:cs="Calibri"/>
                <w:color w:val="000000"/>
                <w:sz w:val="20"/>
                <w:szCs w:val="20"/>
              </w:rPr>
            </w:pPr>
            <w:r w:rsidRPr="00A6486D">
              <w:rPr>
                <w:rFonts w:cs="Calibri"/>
                <w:color w:val="000000"/>
                <w:sz w:val="20"/>
                <w:szCs w:val="20"/>
              </w:rPr>
              <w:t xml:space="preserve">Ex item: “ </w:t>
            </w:r>
            <w:r w:rsidRPr="00A6486D">
              <w:rPr>
                <w:rFonts w:cs="Calibri"/>
                <w:sz w:val="20"/>
                <w:szCs w:val="20"/>
              </w:rPr>
              <w:t>To work with a specific faculty member</w:t>
            </w:r>
            <w:r w:rsidRPr="00A6486D">
              <w:rPr>
                <w:rFonts w:cs="Calibri"/>
                <w:color w:val="000000"/>
                <w:sz w:val="20"/>
                <w:szCs w:val="20"/>
              </w:rPr>
              <w:t>”</w:t>
            </w:r>
          </w:p>
        </w:tc>
        <w:tc>
          <w:tcPr>
            <w:tcW w:w="1134" w:type="pct"/>
            <w:tcBorders>
              <w:top w:val="single" w:sz="4" w:space="0" w:color="auto"/>
              <w:left w:val="nil"/>
              <w:bottom w:val="single" w:sz="4" w:space="0" w:color="auto"/>
              <w:right w:val="single" w:sz="4" w:space="0" w:color="auto"/>
            </w:tcBorders>
            <w:shd w:val="clear" w:color="auto" w:fill="auto"/>
            <w:hideMark/>
          </w:tcPr>
          <w:p w:rsidR="00A6486D" w:rsidRPr="00A6486D" w:rsidRDefault="007B2B40" w:rsidP="00A6486D">
            <w:pPr>
              <w:rPr>
                <w:rFonts w:cs="Calibri"/>
                <w:color w:val="000000"/>
                <w:sz w:val="20"/>
                <w:szCs w:val="20"/>
              </w:rPr>
            </w:pPr>
            <w:r>
              <w:rPr>
                <w:rFonts w:cs="Calibri"/>
                <w:color w:val="000000"/>
                <w:sz w:val="20"/>
                <w:szCs w:val="20"/>
              </w:rPr>
              <w:t>Revised</w:t>
            </w:r>
            <w:r w:rsidRPr="00A6486D">
              <w:rPr>
                <w:rFonts w:cs="Calibri"/>
                <w:color w:val="000000"/>
                <w:sz w:val="20"/>
                <w:szCs w:val="20"/>
              </w:rPr>
              <w:t xml:space="preserve"> question</w:t>
            </w:r>
            <w:r>
              <w:rPr>
                <w:rFonts w:cs="Calibri"/>
                <w:color w:val="000000"/>
                <w:sz w:val="20"/>
                <w:szCs w:val="20"/>
              </w:rPr>
              <w:t>s</w:t>
            </w:r>
            <w:r w:rsidRPr="00A6486D">
              <w:rPr>
                <w:rFonts w:cs="Calibri"/>
                <w:color w:val="000000"/>
                <w:sz w:val="20"/>
                <w:szCs w:val="20"/>
              </w:rPr>
              <w:t xml:space="preserve"> apply </w:t>
            </w:r>
            <w:r w:rsidR="00A6486D" w:rsidRPr="00A6486D">
              <w:rPr>
                <w:rFonts w:cs="Calibri"/>
                <w:color w:val="000000"/>
                <w:sz w:val="20"/>
                <w:szCs w:val="20"/>
              </w:rPr>
              <w:t>to test and control groups</w:t>
            </w:r>
          </w:p>
          <w:p w:rsidR="00A6486D" w:rsidRPr="00A6486D" w:rsidRDefault="00A6486D" w:rsidP="00A6486D">
            <w:pPr>
              <w:rPr>
                <w:rFonts w:cs="Calibri"/>
                <w:color w:val="000000"/>
                <w:sz w:val="20"/>
                <w:szCs w:val="20"/>
              </w:rPr>
            </w:pPr>
            <w:r w:rsidRPr="00A6486D">
              <w:rPr>
                <w:rFonts w:cs="Calibri"/>
                <w:color w:val="000000"/>
                <w:sz w:val="20"/>
                <w:szCs w:val="20"/>
              </w:rPr>
              <w:t> </w:t>
            </w:r>
          </w:p>
          <w:p w:rsidR="00A6486D" w:rsidRPr="00A6486D" w:rsidRDefault="00A6486D" w:rsidP="00A6486D">
            <w:pPr>
              <w:rPr>
                <w:rFonts w:cs="Calibri"/>
                <w:color w:val="000000"/>
                <w:sz w:val="20"/>
                <w:szCs w:val="20"/>
              </w:rPr>
            </w:pPr>
            <w:r w:rsidRPr="00A6486D">
              <w:rPr>
                <w:rFonts w:cs="Calibri"/>
                <w:color w:val="000000"/>
                <w:sz w:val="20"/>
                <w:szCs w:val="20"/>
              </w:rPr>
              <w:t> </w:t>
            </w:r>
          </w:p>
          <w:p w:rsidR="00A6486D" w:rsidRPr="00A6486D" w:rsidRDefault="00A6486D" w:rsidP="00A6486D">
            <w:pPr>
              <w:rPr>
                <w:rFonts w:cs="Calibri"/>
                <w:color w:val="000000"/>
                <w:sz w:val="20"/>
                <w:szCs w:val="20"/>
              </w:rPr>
            </w:pPr>
            <w:r w:rsidRPr="00A6486D">
              <w:rPr>
                <w:rFonts w:cs="Calibri"/>
                <w:color w:val="000000"/>
                <w:sz w:val="20"/>
                <w:szCs w:val="20"/>
              </w:rPr>
              <w:t> </w:t>
            </w:r>
          </w:p>
        </w:tc>
      </w:tr>
      <w:tr w:rsidR="00A6486D" w:rsidRPr="00A6486D" w:rsidTr="00645AD4">
        <w:trPr>
          <w:trHeight w:val="825"/>
        </w:trPr>
        <w:tc>
          <w:tcPr>
            <w:tcW w:w="1317" w:type="pct"/>
            <w:tcBorders>
              <w:top w:val="nil"/>
              <w:left w:val="single" w:sz="4" w:space="0" w:color="auto"/>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Section A #8 item 1</w:t>
            </w:r>
          </w:p>
        </w:tc>
        <w:tc>
          <w:tcPr>
            <w:tcW w:w="1264" w:type="pct"/>
            <w:tcBorders>
              <w:top w:val="single" w:sz="4" w:space="0" w:color="auto"/>
              <w:left w:val="nil"/>
              <w:bottom w:val="single" w:sz="4" w:space="0" w:color="auto"/>
              <w:right w:val="single" w:sz="4" w:space="0" w:color="auto"/>
            </w:tcBorders>
            <w:shd w:val="clear" w:color="auto" w:fill="auto"/>
            <w:hideMark/>
          </w:tcPr>
          <w:p w:rsidR="00A6486D" w:rsidRPr="00A6486D" w:rsidRDefault="00A6486D" w:rsidP="007B2B40">
            <w:pPr>
              <w:rPr>
                <w:rFonts w:cs="Calibri"/>
                <w:color w:val="000000"/>
                <w:sz w:val="20"/>
                <w:szCs w:val="20"/>
              </w:rPr>
            </w:pPr>
            <w:r w:rsidRPr="00A6486D">
              <w:rPr>
                <w:rFonts w:cs="Calibri"/>
                <w:color w:val="000000"/>
                <w:sz w:val="20"/>
                <w:szCs w:val="20"/>
              </w:rPr>
              <w:t>“I was an asset to faculty projects since I had my own GRFP funding</w:t>
            </w:r>
            <w:r w:rsidR="007B2B40">
              <w:rPr>
                <w:rFonts w:cs="Calibri"/>
                <w:color w:val="000000"/>
                <w:sz w:val="20"/>
                <w:szCs w:val="20"/>
              </w:rPr>
              <w:t>.</w:t>
            </w:r>
            <w:r w:rsidRPr="00A6486D">
              <w:rPr>
                <w:rFonts w:cs="Calibri"/>
                <w:b/>
                <w:bCs/>
                <w:color w:val="000000"/>
                <w:sz w:val="20"/>
                <w:szCs w:val="20"/>
                <w:vertAlign w:val="superscript"/>
              </w:rPr>
              <w:t>”</w:t>
            </w:r>
          </w:p>
        </w:tc>
        <w:tc>
          <w:tcPr>
            <w:tcW w:w="1284" w:type="pct"/>
            <w:tcBorders>
              <w:top w:val="single" w:sz="4" w:space="0" w:color="auto"/>
              <w:left w:val="nil"/>
              <w:bottom w:val="single" w:sz="4" w:space="0" w:color="auto"/>
              <w:right w:val="single" w:sz="4" w:space="0" w:color="auto"/>
            </w:tcBorders>
            <w:shd w:val="clear" w:color="auto" w:fill="auto"/>
            <w:hideMark/>
          </w:tcPr>
          <w:p w:rsidR="00A6486D" w:rsidRPr="00A6486D" w:rsidRDefault="00A6486D" w:rsidP="00A6486D">
            <w:pPr>
              <w:rPr>
                <w:rFonts w:cs="Calibri"/>
                <w:color w:val="000000"/>
                <w:sz w:val="20"/>
                <w:szCs w:val="20"/>
              </w:rPr>
            </w:pPr>
            <w:r w:rsidRPr="00A6486D">
              <w:rPr>
                <w:rFonts w:cs="Calibri"/>
                <w:color w:val="000000"/>
                <w:sz w:val="20"/>
                <w:szCs w:val="20"/>
              </w:rPr>
              <w:t>Sec. C, 3c, item 12. “Faculty considered me an asset to their projects”</w:t>
            </w:r>
          </w:p>
        </w:tc>
        <w:tc>
          <w:tcPr>
            <w:tcW w:w="1134" w:type="pct"/>
            <w:tcBorders>
              <w:top w:val="single" w:sz="4" w:space="0" w:color="auto"/>
              <w:left w:val="nil"/>
              <w:bottom w:val="single" w:sz="4" w:space="0" w:color="auto"/>
              <w:right w:val="single" w:sz="4" w:space="0" w:color="auto"/>
            </w:tcBorders>
            <w:shd w:val="clear" w:color="auto" w:fill="auto"/>
            <w:hideMark/>
          </w:tcPr>
          <w:p w:rsidR="00A6486D" w:rsidRPr="00A6486D" w:rsidRDefault="007B2B40" w:rsidP="00A6486D">
            <w:pPr>
              <w:rPr>
                <w:rFonts w:cs="Calibri"/>
                <w:color w:val="000000"/>
                <w:sz w:val="20"/>
                <w:szCs w:val="20"/>
              </w:rPr>
            </w:pPr>
            <w:r>
              <w:rPr>
                <w:rFonts w:cs="Calibri"/>
                <w:color w:val="000000"/>
                <w:sz w:val="20"/>
                <w:szCs w:val="20"/>
              </w:rPr>
              <w:t>Revised</w:t>
            </w:r>
            <w:r w:rsidRPr="00A6486D">
              <w:rPr>
                <w:rFonts w:cs="Calibri"/>
                <w:color w:val="000000"/>
                <w:sz w:val="20"/>
                <w:szCs w:val="20"/>
              </w:rPr>
              <w:t xml:space="preserve"> question </w:t>
            </w:r>
            <w:r w:rsidR="00A6486D" w:rsidRPr="00A6486D">
              <w:rPr>
                <w:rFonts w:cs="Calibri"/>
                <w:color w:val="000000"/>
                <w:sz w:val="20"/>
                <w:szCs w:val="20"/>
              </w:rPr>
              <w:t>applies to test and control groups</w:t>
            </w:r>
          </w:p>
        </w:tc>
      </w:tr>
    </w:tbl>
    <w:p w:rsidR="00EC45F0" w:rsidRDefault="00EC45F0" w:rsidP="000414F8">
      <w:pPr>
        <w:pBdr>
          <w:bottom w:val="single" w:sz="6" w:space="1" w:color="auto"/>
        </w:pBdr>
        <w:rPr>
          <w:b/>
          <w:caps/>
          <w:sz w:val="24"/>
          <w:szCs w:val="24"/>
        </w:rPr>
      </w:pPr>
    </w:p>
    <w:p w:rsidR="004B5E45" w:rsidRDefault="004B5E45" w:rsidP="000414F8">
      <w:pPr>
        <w:pBdr>
          <w:bottom w:val="single" w:sz="6" w:space="1" w:color="auto"/>
        </w:pBdr>
        <w:rPr>
          <w:b/>
          <w:caps/>
          <w:sz w:val="24"/>
          <w:szCs w:val="24"/>
        </w:rPr>
      </w:pPr>
    </w:p>
    <w:p w:rsidR="004B5E45" w:rsidRDefault="004B5E45" w:rsidP="000414F8">
      <w:pPr>
        <w:pBdr>
          <w:bottom w:val="single" w:sz="6" w:space="1" w:color="auto"/>
        </w:pBdr>
        <w:rPr>
          <w:b/>
          <w:caps/>
          <w:sz w:val="24"/>
          <w:szCs w:val="24"/>
        </w:rPr>
      </w:pPr>
    </w:p>
    <w:p w:rsidR="004B5E45" w:rsidRDefault="004B5E45" w:rsidP="000414F8">
      <w:pPr>
        <w:pBdr>
          <w:bottom w:val="single" w:sz="6" w:space="1" w:color="auto"/>
        </w:pBdr>
        <w:rPr>
          <w:b/>
          <w:caps/>
          <w:sz w:val="24"/>
          <w:szCs w:val="24"/>
        </w:rPr>
      </w:pPr>
    </w:p>
    <w:p w:rsidR="004B5E45" w:rsidRDefault="004B5E45" w:rsidP="000414F8">
      <w:pPr>
        <w:pBdr>
          <w:bottom w:val="single" w:sz="6" w:space="1" w:color="auto"/>
        </w:pBdr>
        <w:rPr>
          <w:b/>
          <w:caps/>
          <w:sz w:val="24"/>
          <w:szCs w:val="24"/>
        </w:rPr>
      </w:pPr>
    </w:p>
    <w:p w:rsidR="004B5E45" w:rsidRDefault="004B5E45" w:rsidP="000414F8">
      <w:pPr>
        <w:pBdr>
          <w:bottom w:val="single" w:sz="6" w:space="1" w:color="auto"/>
        </w:pBdr>
        <w:rPr>
          <w:b/>
          <w:caps/>
          <w:sz w:val="24"/>
          <w:szCs w:val="24"/>
        </w:rPr>
      </w:pPr>
    </w:p>
    <w:p w:rsidR="004B5E45" w:rsidRDefault="004B5E45" w:rsidP="000414F8">
      <w:pPr>
        <w:pBdr>
          <w:bottom w:val="single" w:sz="6" w:space="1" w:color="auto"/>
        </w:pBdr>
        <w:rPr>
          <w:b/>
          <w:caps/>
          <w:sz w:val="24"/>
          <w:szCs w:val="24"/>
        </w:rPr>
      </w:pPr>
    </w:p>
    <w:p w:rsidR="004B5E45" w:rsidRDefault="004B5E45" w:rsidP="000414F8">
      <w:pPr>
        <w:pBdr>
          <w:bottom w:val="single" w:sz="6" w:space="1" w:color="auto"/>
        </w:pBdr>
        <w:rPr>
          <w:b/>
          <w:caps/>
          <w:sz w:val="24"/>
          <w:szCs w:val="24"/>
        </w:rPr>
      </w:pPr>
    </w:p>
    <w:p w:rsidR="00A6486D" w:rsidRDefault="00A6486D" w:rsidP="000414F8">
      <w:pPr>
        <w:pBdr>
          <w:bottom w:val="single" w:sz="6" w:space="1" w:color="auto"/>
        </w:pBdr>
        <w:rPr>
          <w:b/>
          <w:caps/>
          <w:sz w:val="24"/>
          <w:szCs w:val="24"/>
        </w:rPr>
      </w:pPr>
    </w:p>
    <w:p w:rsidR="00BD6A9F" w:rsidRDefault="00BD6A9F" w:rsidP="000414F8">
      <w:pPr>
        <w:pBdr>
          <w:bottom w:val="single" w:sz="6" w:space="1" w:color="auto"/>
        </w:pBdr>
        <w:rPr>
          <w:b/>
          <w:caps/>
          <w:sz w:val="24"/>
          <w:szCs w:val="24"/>
        </w:rPr>
      </w:pPr>
    </w:p>
    <w:p w:rsidR="00951B92" w:rsidRPr="00951B92" w:rsidRDefault="00951B92" w:rsidP="000414F8">
      <w:pPr>
        <w:pBdr>
          <w:bottom w:val="single" w:sz="6" w:space="1" w:color="auto"/>
        </w:pBdr>
        <w:rPr>
          <w:b/>
          <w:caps/>
          <w:color w:val="1F497D"/>
          <w:sz w:val="24"/>
          <w:szCs w:val="24"/>
        </w:rPr>
      </w:pPr>
      <w:r w:rsidRPr="00951B92">
        <w:rPr>
          <w:b/>
          <w:caps/>
          <w:sz w:val="24"/>
          <w:szCs w:val="24"/>
        </w:rPr>
        <w:lastRenderedPageBreak/>
        <w:t xml:space="preserve">OMB feedback received on November 7, 2011.  </w:t>
      </w:r>
    </w:p>
    <w:p w:rsidR="00951B92" w:rsidRDefault="00951B92" w:rsidP="000414F8">
      <w:pPr>
        <w:rPr>
          <w:color w:val="1F497D"/>
        </w:rPr>
      </w:pPr>
    </w:p>
    <w:p w:rsidR="000414F8" w:rsidRDefault="000414F8" w:rsidP="000414F8">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Mar, Sharon </w:t>
      </w:r>
      <w:hyperlink r:id="rId11" w:history="1">
        <w:r>
          <w:rPr>
            <w:rStyle w:val="Hyperlink"/>
            <w:rFonts w:ascii="Tahoma" w:hAnsi="Tahoma" w:cs="Tahoma"/>
            <w:sz w:val="20"/>
            <w:szCs w:val="20"/>
          </w:rPr>
          <w:t>[mailto:Sharon_Mar@omb.eop.gov]</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Thursday, November 03, 2011 1:55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Plimpton, Suzanne H</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Earle, Janice M.</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OMB Comments on GRFP Evaluation</w:t>
      </w:r>
    </w:p>
    <w:p w:rsidR="000414F8" w:rsidRDefault="000414F8" w:rsidP="000414F8">
      <w:pPr>
        <w:rPr>
          <w:rFonts w:cs="Calibri"/>
        </w:rPr>
      </w:pPr>
    </w:p>
    <w:p w:rsidR="000414F8" w:rsidRPr="00746E35" w:rsidRDefault="000414F8" w:rsidP="00645AD4">
      <w:pPr>
        <w:spacing w:after="120"/>
      </w:pPr>
      <w:r w:rsidRPr="00746E35">
        <w:t>Janice and Suzanne,</w:t>
      </w:r>
    </w:p>
    <w:p w:rsidR="000414F8" w:rsidRPr="00746E35" w:rsidRDefault="000414F8" w:rsidP="00645AD4">
      <w:pPr>
        <w:spacing w:after="120"/>
      </w:pPr>
      <w:r w:rsidRPr="00746E35">
        <w:t>First I want to note that we were very happy with the overall improvements on design and methodology for the GRFP evaluation since OMB’s last review of this collection.  We particularly appreciated the efforts to identify plausible control groups.  Since in many respects, we want to view GRFP as a model evaluation, we are providing you with the below comments for consideration that we believe will strengthen the GRFP evaluation.  Once NSF has had the opportunity to go over our comments, we are more than happy to get on a conference call (if needed) and go over any questions that NSF may still have.   </w:t>
      </w:r>
    </w:p>
    <w:p w:rsidR="000414F8" w:rsidRPr="00746E35" w:rsidRDefault="000414F8" w:rsidP="00645AD4">
      <w:pPr>
        <w:spacing w:after="120"/>
        <w:rPr>
          <w:b/>
          <w:bCs/>
          <w:u w:val="single"/>
        </w:rPr>
      </w:pPr>
      <w:r w:rsidRPr="00746E35">
        <w:rPr>
          <w:b/>
          <w:bCs/>
          <w:u w:val="single"/>
        </w:rPr>
        <w:t>Design and Methodology:</w:t>
      </w:r>
    </w:p>
    <w:p w:rsidR="000414F8" w:rsidRPr="00746E35" w:rsidRDefault="000414F8" w:rsidP="00645AD4">
      <w:pPr>
        <w:spacing w:after="120"/>
      </w:pPr>
      <w:r w:rsidRPr="00746E35">
        <w:t>We would encourage that for future cohorts efforts be taken now to ensure that the applicant and selection process data are scrutinized to be sure that any limitations (e.g., the use of subjective selection criteria) be considered and addressed as feasible to provide even stronger control groups in the future (e.g., thinking about how to “objectify” some of the more subjective selection elements).   To that end, documenting lessons learned during the current evaluation may be useful.</w:t>
      </w:r>
    </w:p>
    <w:p w:rsidR="000414F8" w:rsidRPr="00746E35" w:rsidRDefault="000414F8" w:rsidP="00645AD4">
      <w:pPr>
        <w:spacing w:after="120"/>
      </w:pPr>
      <w:r w:rsidRPr="00746E35">
        <w:t xml:space="preserve">We have several comments on the proposed design.  There is no differentiation in the discussion of response rates and locating strategies for older and more recent cohorts.  Past NSF evaluations have suffered from an inability to locate older cohorts, potentially introducing significant bias into the results.  Therefore, we would like to see NSF go through the exercise of estimating response rates by treatment and control group by cohort.  We’d also like to different aspects of locating strategies emphasized for the older and newer and treatment and control groups.  </w:t>
      </w:r>
    </w:p>
    <w:p w:rsidR="000414F8" w:rsidRPr="00746E35" w:rsidRDefault="000414F8" w:rsidP="00645AD4">
      <w:pPr>
        <w:spacing w:after="120"/>
      </w:pPr>
      <w:r w:rsidRPr="00746E35">
        <w:t>In addition, NSF needs to design in a nonresponse bias analysis, especially for the older cohorts.</w:t>
      </w:r>
    </w:p>
    <w:p w:rsidR="000414F8" w:rsidRPr="00746E35" w:rsidRDefault="000414F8" w:rsidP="00645AD4">
      <w:pPr>
        <w:spacing w:after="120"/>
      </w:pPr>
      <w:r w:rsidRPr="00746E35">
        <w:t>In terms of study power, we appreciate the MDE estimates but would also like to know what effect size you would reasonably expect to see overall and for key analytical subgroups based on the literature.  It also would be helpful to know what effect sizes NSF would define as policy or programmatically significant.</w:t>
      </w:r>
    </w:p>
    <w:p w:rsidR="000414F8" w:rsidRPr="00746E35" w:rsidRDefault="000414F8" w:rsidP="00645AD4">
      <w:pPr>
        <w:spacing w:after="120"/>
      </w:pPr>
      <w:r w:rsidRPr="00746E35">
        <w:t xml:space="preserve">We suggest replacing the word “impact” in SS B.4.II, where the institutional data collection is discussed, since we do not think that this study measures impacts on institutions.  </w:t>
      </w:r>
    </w:p>
    <w:p w:rsidR="000414F8" w:rsidRPr="00746E35" w:rsidRDefault="000414F8" w:rsidP="00645AD4">
      <w:pPr>
        <w:spacing w:after="120"/>
        <w:rPr>
          <w:b/>
          <w:bCs/>
          <w:u w:val="single"/>
        </w:rPr>
      </w:pPr>
      <w:r w:rsidRPr="00746E35">
        <w:rPr>
          <w:b/>
          <w:bCs/>
          <w:u w:val="single"/>
        </w:rPr>
        <w:t>Survey Instrument:</w:t>
      </w:r>
    </w:p>
    <w:p w:rsidR="000414F8" w:rsidRPr="00746E35" w:rsidRDefault="000414F8" w:rsidP="00645AD4">
      <w:pPr>
        <w:spacing w:after="120"/>
      </w:pPr>
      <w:r w:rsidRPr="00746E35">
        <w:t xml:space="preserve">We see three major issues with the survey instrument: </w:t>
      </w:r>
    </w:p>
    <w:p w:rsidR="000414F8" w:rsidRPr="00746E35" w:rsidRDefault="000414F8" w:rsidP="00AB333A">
      <w:pPr>
        <w:pStyle w:val="ListParagraph"/>
        <w:numPr>
          <w:ilvl w:val="0"/>
          <w:numId w:val="33"/>
        </w:numPr>
        <w:spacing w:after="120"/>
      </w:pPr>
      <w:r w:rsidRPr="00746E35">
        <w:t>It is rather long, and therefore has a high risk of dropouts and item non-response.</w:t>
      </w:r>
    </w:p>
    <w:p w:rsidR="000414F8" w:rsidRPr="00746E35" w:rsidRDefault="000414F8" w:rsidP="00AB333A">
      <w:pPr>
        <w:pStyle w:val="ListParagraph"/>
        <w:numPr>
          <w:ilvl w:val="0"/>
          <w:numId w:val="33"/>
        </w:numPr>
        <w:spacing w:after="120"/>
      </w:pPr>
      <w:r w:rsidRPr="00746E35">
        <w:t xml:space="preserve">It does not ask the same questions of both the test and the control groups, calling into question its analytic power.  </w:t>
      </w:r>
    </w:p>
    <w:p w:rsidR="000414F8" w:rsidRPr="00746E35" w:rsidRDefault="000414F8" w:rsidP="00AB333A">
      <w:pPr>
        <w:pStyle w:val="ListParagraph"/>
        <w:numPr>
          <w:ilvl w:val="0"/>
          <w:numId w:val="33"/>
        </w:numPr>
        <w:spacing w:after="120"/>
      </w:pPr>
      <w:r w:rsidRPr="00746E35">
        <w:t xml:space="preserve">The survey asks a number of speculative questions that do not lend themselves to any sort of reliability.  On this last point, we are referring to questions such as A5.3, which ask respondents to indicate whether receiving the GRFP award </w:t>
      </w:r>
      <w:r w:rsidRPr="00AB333A">
        <w:rPr>
          <w:i/>
          <w:iCs/>
        </w:rPr>
        <w:t xml:space="preserve">improved </w:t>
      </w:r>
      <w:r w:rsidRPr="00746E35">
        <w:t xml:space="preserve">their opportunities to </w:t>
      </w:r>
      <w:r w:rsidRPr="00746E35">
        <w:lastRenderedPageBreak/>
        <w:t xml:space="preserve">choose their research project.  Since the rules of the GRFP prohibit previous graduate experience before the fellow applies for the grant, questions such as this ask the respondents to compare their lives to an un-lived hypothetical.  A question such as this will not produce externally reliable data.  </w:t>
      </w:r>
    </w:p>
    <w:p w:rsidR="000414F8" w:rsidRPr="00746E35" w:rsidRDefault="000414F8" w:rsidP="00AB333A">
      <w:pPr>
        <w:spacing w:after="120"/>
      </w:pPr>
      <w:r w:rsidRPr="00746E35">
        <w:t xml:space="preserve">To address these issues we recommend NSF consider the below three options, which, taken together should greatly improve not only the survey instrument but overall design of the research project.  </w:t>
      </w:r>
    </w:p>
    <w:p w:rsidR="000414F8" w:rsidRPr="00746E35" w:rsidRDefault="000414F8" w:rsidP="00AB333A">
      <w:pPr>
        <w:pStyle w:val="ListParagraph"/>
        <w:numPr>
          <w:ilvl w:val="0"/>
          <w:numId w:val="34"/>
        </w:numPr>
        <w:spacing w:after="120"/>
      </w:pPr>
      <w:bookmarkStart w:id="0" w:name="_GoBack"/>
      <w:r w:rsidRPr="00746E35">
        <w:t>Survey instrument should become completely parallel between the test and control groups.  This could be done by removing questions that explicitly ask about only the experiences of the fellows or by re-writing these questions to allow the control group to answer them as well.  For instance and returning to question A5.3, you could consider asking “[Agree or Disagree] I had a variety of research projects from which to choose.”  Since you are considering the fellow and honorable mention groups to be matched samples, you could then analyze these data under the assumption that any difference was due to the fellowship program.</w:t>
      </w:r>
    </w:p>
    <w:p w:rsidR="000414F8" w:rsidRPr="00746E35" w:rsidRDefault="000414F8" w:rsidP="00AB333A">
      <w:pPr>
        <w:pStyle w:val="ListParagraph"/>
        <w:numPr>
          <w:ilvl w:val="0"/>
          <w:numId w:val="34"/>
        </w:numPr>
        <w:spacing w:after="120"/>
      </w:pPr>
      <w:r w:rsidRPr="00746E35">
        <w:t>For those questions that you do not want to make parallel between the test and control groups, we suggest you add them to a student interview protocol for the implementation/qualitative portion of the research project.  We believe that qualitative data derived from a purposeful sample may be the best way to get the information needed for RQ 4 that you had planned on deriving from the survey.  A purposeful sample of both fellows and non-applicants (who are in the same academic department as a fellow) will allow a focus on how fellows contribute passively to their academic departments and programs.</w:t>
      </w:r>
    </w:p>
    <w:p w:rsidR="000414F8" w:rsidRPr="00746E35" w:rsidRDefault="000414F8" w:rsidP="00AB333A">
      <w:pPr>
        <w:pStyle w:val="ListParagraph"/>
        <w:numPr>
          <w:ilvl w:val="0"/>
          <w:numId w:val="34"/>
        </w:numPr>
        <w:spacing w:after="120"/>
      </w:pPr>
      <w:r w:rsidRPr="00746E35">
        <w:t xml:space="preserve">We believe that the remainder of the survey (after applying the above alterations) could benefit from cognitive pre-testing, and suggest that you write such a procedure into your PRA request.  Cognitive lab testing will allow you to find areas of redundancy and increase component validity across the questionnaire.  We specifically suggest that you focus cognitive testing on Part II (Graduate School Experiences) Sections C and D, as well as Part III questions 28 and 29.  While we understand that you took many of these categories from previous surveys, a greater effort should be made to tie the possible response categories to your research questions while reducing the overall burden placed on the respondents. </w:t>
      </w:r>
    </w:p>
    <w:bookmarkEnd w:id="0"/>
    <w:p w:rsidR="000414F8" w:rsidRPr="00746E35" w:rsidRDefault="000414F8" w:rsidP="00645AD4">
      <w:pPr>
        <w:spacing w:after="120"/>
      </w:pPr>
      <w:r w:rsidRPr="00746E35">
        <w:rPr>
          <w:b/>
          <w:bCs/>
          <w:u w:val="single"/>
        </w:rPr>
        <w:t>Interview Protocols:</w:t>
      </w:r>
      <w:r w:rsidRPr="00746E35">
        <w:t xml:space="preserve">       </w:t>
      </w:r>
    </w:p>
    <w:p w:rsidR="000414F8" w:rsidRPr="00746E35" w:rsidRDefault="000414F8" w:rsidP="00645AD4">
      <w:pPr>
        <w:spacing w:after="120"/>
      </w:pPr>
      <w:r w:rsidRPr="00746E35">
        <w:t>We believe further pretesting of the interview protocols is necessary, particularly for flow.  Most of the protocols jump from one major topic (say program administration) to another (i.e. the experiences of the fellows) and back; semi structured interviews work best if they feel like a natural discussion.  The faculty protocol is the only one that seems to flow well, and should be used as a model.   </w:t>
      </w:r>
    </w:p>
    <w:p w:rsidR="000414F8" w:rsidRPr="00746E35" w:rsidRDefault="000414F8" w:rsidP="00645AD4">
      <w:pPr>
        <w:spacing w:after="120"/>
      </w:pPr>
    </w:p>
    <w:p w:rsidR="000414F8" w:rsidRPr="00746E35" w:rsidRDefault="000414F8" w:rsidP="000414F8"/>
    <w:p w:rsidR="00E25B11" w:rsidRPr="00746E35" w:rsidRDefault="00E25B11" w:rsidP="005C5FE7">
      <w:pPr>
        <w:tabs>
          <w:tab w:val="left" w:pos="5869"/>
          <w:tab w:val="left" w:pos="13176"/>
        </w:tabs>
        <w:rPr>
          <w:b/>
        </w:rPr>
      </w:pPr>
    </w:p>
    <w:sectPr w:rsidR="00E25B11" w:rsidRPr="00746E35" w:rsidSect="003237E2">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CF4" w:rsidRDefault="007F1CF4" w:rsidP="00E25B11">
      <w:r>
        <w:separator/>
      </w:r>
    </w:p>
  </w:endnote>
  <w:endnote w:type="continuationSeparator" w:id="0">
    <w:p w:rsidR="007F1CF4" w:rsidRDefault="007F1CF4" w:rsidP="00E25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088938"/>
      <w:docPartObj>
        <w:docPartGallery w:val="Page Numbers (Bottom of Page)"/>
        <w:docPartUnique/>
      </w:docPartObj>
    </w:sdtPr>
    <w:sdtContent>
      <w:p w:rsidR="001D160F" w:rsidRDefault="00DB3F81">
        <w:pPr>
          <w:pStyle w:val="Footer"/>
          <w:jc w:val="right"/>
        </w:pPr>
        <w:r>
          <w:fldChar w:fldCharType="begin"/>
        </w:r>
        <w:r w:rsidR="001D160F">
          <w:instrText xml:space="preserve"> PAGE   \* MERGEFORMAT </w:instrText>
        </w:r>
        <w:r>
          <w:fldChar w:fldCharType="separate"/>
        </w:r>
        <w:r w:rsidR="00B9096B">
          <w:rPr>
            <w:noProof/>
          </w:rPr>
          <w:t>14</w:t>
        </w:r>
        <w:r>
          <w:rPr>
            <w:noProof/>
          </w:rPr>
          <w:fldChar w:fldCharType="end"/>
        </w:r>
      </w:p>
    </w:sdtContent>
  </w:sdt>
  <w:p w:rsidR="001D160F" w:rsidRDefault="001D16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088939"/>
      <w:docPartObj>
        <w:docPartGallery w:val="Page Numbers (Bottom of Page)"/>
        <w:docPartUnique/>
      </w:docPartObj>
    </w:sdtPr>
    <w:sdtContent>
      <w:p w:rsidR="001D160F" w:rsidRDefault="00DB3F81">
        <w:pPr>
          <w:pStyle w:val="Footer"/>
          <w:jc w:val="right"/>
        </w:pPr>
        <w:r>
          <w:fldChar w:fldCharType="begin"/>
        </w:r>
        <w:r w:rsidR="001D160F">
          <w:instrText xml:space="preserve"> PAGE   \* MERGEFORMAT </w:instrText>
        </w:r>
        <w:r>
          <w:fldChar w:fldCharType="separate"/>
        </w:r>
        <w:r w:rsidR="00B9096B">
          <w:rPr>
            <w:noProof/>
          </w:rPr>
          <w:t>1</w:t>
        </w:r>
        <w:r>
          <w:rPr>
            <w:noProof/>
          </w:rPr>
          <w:fldChar w:fldCharType="end"/>
        </w:r>
      </w:p>
    </w:sdtContent>
  </w:sdt>
  <w:p w:rsidR="001D160F" w:rsidRDefault="001D1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CF4" w:rsidRDefault="007F1CF4" w:rsidP="00E25B11">
      <w:r>
        <w:separator/>
      </w:r>
    </w:p>
  </w:footnote>
  <w:footnote w:type="continuationSeparator" w:id="0">
    <w:p w:rsidR="007F1CF4" w:rsidRDefault="007F1CF4" w:rsidP="00E25B11">
      <w:r>
        <w:continuationSeparator/>
      </w:r>
    </w:p>
  </w:footnote>
  <w:footnote w:id="1">
    <w:p w:rsidR="001D160F" w:rsidRDefault="001D160F" w:rsidP="00FE7FDD">
      <w:pPr>
        <w:pStyle w:val="FootnoteText"/>
      </w:pPr>
      <w:r>
        <w:rPr>
          <w:rStyle w:val="FootnoteReference"/>
          <w:rFonts w:eastAsiaTheme="majorEastAsia"/>
        </w:rPr>
        <w:footnoteRef/>
      </w:r>
      <w:r>
        <w:t xml:space="preserve"> </w:t>
      </w:r>
      <w:r w:rsidRPr="001D6E67">
        <w:t>Cochran, William G.</w:t>
      </w:r>
      <w:r>
        <w:rPr>
          <w:rStyle w:val="citation"/>
        </w:rPr>
        <w:t xml:space="preserve"> (1977). </w:t>
      </w:r>
      <w:r>
        <w:rPr>
          <w:rStyle w:val="citation"/>
          <w:i/>
          <w:iCs/>
        </w:rPr>
        <w:t>Sampling techniques</w:t>
      </w:r>
      <w:r>
        <w:rPr>
          <w:rStyle w:val="citation"/>
        </w:rPr>
        <w:t xml:space="preserve"> (Third </w:t>
      </w:r>
      <w:proofErr w:type="gramStart"/>
      <w:r>
        <w:rPr>
          <w:rStyle w:val="citation"/>
        </w:rPr>
        <w:t>ed</w:t>
      </w:r>
      <w:proofErr w:type="gramEnd"/>
      <w:r>
        <w:rPr>
          <w:rStyle w:val="citation"/>
        </w:rPr>
        <w:t>.). NY: Wiley.</w:t>
      </w:r>
    </w:p>
  </w:footnote>
  <w:footnote w:id="2">
    <w:p w:rsidR="001D160F" w:rsidRPr="001344A2" w:rsidRDefault="001D160F" w:rsidP="001344A2">
      <w:pPr>
        <w:spacing w:after="120"/>
        <w:rPr>
          <w:sz w:val="20"/>
          <w:szCs w:val="20"/>
        </w:rPr>
      </w:pPr>
      <w:r>
        <w:rPr>
          <w:rStyle w:val="FootnoteReference"/>
          <w:rFonts w:eastAsiaTheme="majorEastAsia"/>
        </w:rPr>
        <w:footnoteRef/>
      </w:r>
      <w:r>
        <w:t xml:space="preserve"> </w:t>
      </w:r>
      <w:r w:rsidRPr="001344A2">
        <w:rPr>
          <w:sz w:val="20"/>
          <w:szCs w:val="20"/>
        </w:rPr>
        <w:t>See Table C.1 for additional details on data sources per specific analysis.</w:t>
      </w:r>
    </w:p>
  </w:footnote>
  <w:footnote w:id="3">
    <w:p w:rsidR="001D160F" w:rsidRPr="00797EB9" w:rsidRDefault="001D160F" w:rsidP="00AC2BE1">
      <w:pPr>
        <w:pStyle w:val="FootnoteText"/>
        <w:rPr>
          <w:sz w:val="20"/>
          <w:szCs w:val="20"/>
        </w:rPr>
      </w:pPr>
      <w:r w:rsidRPr="001344A2">
        <w:rPr>
          <w:rStyle w:val="FootnoteReference"/>
          <w:rFonts w:eastAsiaTheme="majorEastAsia"/>
          <w:sz w:val="20"/>
          <w:szCs w:val="20"/>
        </w:rPr>
        <w:footnoteRef/>
      </w:r>
      <w:r w:rsidRPr="001344A2">
        <w:rPr>
          <w:sz w:val="20"/>
          <w:szCs w:val="20"/>
        </w:rPr>
        <w:t xml:space="preserve"> See Goldsmith, et al. (2002), Table G14, p.141. </w:t>
      </w:r>
      <w:hyperlink r:id="rId1" w:history="1">
        <w:r w:rsidRPr="001344A2">
          <w:rPr>
            <w:rStyle w:val="Hyperlink"/>
            <w:sz w:val="20"/>
            <w:szCs w:val="20"/>
          </w:rPr>
          <w:t>http://www.nsf.gov/pubs/2002/nsf02080/nsf02080.pdf</w:t>
        </w:r>
      </w:hyperlink>
      <w:r w:rsidRPr="001344A2">
        <w:rPr>
          <w:sz w:val="20"/>
          <w:szCs w:val="20"/>
        </w:rPr>
        <w:t>.</w:t>
      </w:r>
      <w:r>
        <w:rPr>
          <w:sz w:val="20"/>
          <w:szCs w:val="20"/>
        </w:rPr>
        <w:t xml:space="preserve"> </w:t>
      </w:r>
    </w:p>
  </w:footnote>
  <w:footnote w:id="4">
    <w:p w:rsidR="001D160F" w:rsidRPr="00797EB9" w:rsidRDefault="001D160F" w:rsidP="00AC2BE1">
      <w:pPr>
        <w:pStyle w:val="FootnoteText"/>
        <w:rPr>
          <w:sz w:val="20"/>
          <w:szCs w:val="20"/>
        </w:rPr>
      </w:pPr>
      <w:r w:rsidRPr="00797EB9">
        <w:rPr>
          <w:rStyle w:val="FootnoteReference"/>
          <w:rFonts w:eastAsiaTheme="majorEastAsia"/>
          <w:sz w:val="20"/>
          <w:szCs w:val="20"/>
        </w:rPr>
        <w:footnoteRef/>
      </w:r>
      <w:r w:rsidRPr="00797EB9">
        <w:rPr>
          <w:sz w:val="20"/>
          <w:szCs w:val="20"/>
        </w:rPr>
        <w:t xml:space="preserve"> See Goldsmith, et al. (2002), Table G9, p.136. </w:t>
      </w:r>
      <w:hyperlink r:id="rId2" w:history="1">
        <w:r w:rsidRPr="0065229E">
          <w:rPr>
            <w:rStyle w:val="Hyperlink"/>
            <w:sz w:val="20"/>
            <w:szCs w:val="20"/>
          </w:rPr>
          <w:t>http://www.nsf.gov/pubs/2002/nsf02080/nsf02080.pdf</w:t>
        </w:r>
      </w:hyperlink>
      <w:r>
        <w:rPr>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0F" w:rsidRDefault="001D160F">
    <w:pPr>
      <w:pStyle w:val="Header"/>
    </w:pPr>
    <w:r w:rsidRPr="00E25B11">
      <w:rPr>
        <w:noProof/>
      </w:rPr>
      <w:drawing>
        <wp:inline distT="0" distB="0" distL="0" distR="0">
          <wp:extent cx="5943600" cy="8959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89598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0F" w:rsidRDefault="001D160F">
    <w:pPr>
      <w:pStyle w:val="Header"/>
    </w:pPr>
    <w:r w:rsidRPr="00E25B11">
      <w:rPr>
        <w:noProof/>
      </w:rPr>
      <w:drawing>
        <wp:inline distT="0" distB="0" distL="0" distR="0">
          <wp:extent cx="5943600" cy="8959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8959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33403"/>
    <w:multiLevelType w:val="hybridMultilevel"/>
    <w:tmpl w:val="7E2CF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920ACD"/>
    <w:multiLevelType w:val="hybridMultilevel"/>
    <w:tmpl w:val="21A88D7A"/>
    <w:lvl w:ilvl="0" w:tplc="51BC2C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379B3"/>
    <w:multiLevelType w:val="hybridMultilevel"/>
    <w:tmpl w:val="23E800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4442828"/>
    <w:multiLevelType w:val="hybridMultilevel"/>
    <w:tmpl w:val="A55095D4"/>
    <w:lvl w:ilvl="0" w:tplc="6D6E7A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45412"/>
    <w:multiLevelType w:val="hybridMultilevel"/>
    <w:tmpl w:val="F5E4F5D6"/>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74D99"/>
    <w:multiLevelType w:val="hybridMultilevel"/>
    <w:tmpl w:val="35B856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1BA4218F"/>
    <w:multiLevelType w:val="hybridMultilevel"/>
    <w:tmpl w:val="0DE67030"/>
    <w:lvl w:ilvl="0" w:tplc="8DF2F9E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B37FF9"/>
    <w:multiLevelType w:val="hybridMultilevel"/>
    <w:tmpl w:val="6DCE0A2C"/>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5ED23B0"/>
    <w:multiLevelType w:val="hybridMultilevel"/>
    <w:tmpl w:val="AE627C64"/>
    <w:lvl w:ilvl="0" w:tplc="CAB8A5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1B1AFA"/>
    <w:multiLevelType w:val="hybridMultilevel"/>
    <w:tmpl w:val="996895E4"/>
    <w:lvl w:ilvl="0" w:tplc="D0A4A3A0">
      <w:start w:val="11"/>
      <w:numFmt w:val="decimal"/>
      <w:lvlText w:val="%1."/>
      <w:lvlJc w:val="left"/>
      <w:pPr>
        <w:ind w:left="360" w:hanging="360"/>
      </w:pPr>
      <w:rPr>
        <w:rFonts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896AE1"/>
    <w:multiLevelType w:val="hybridMultilevel"/>
    <w:tmpl w:val="0248F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C190434"/>
    <w:multiLevelType w:val="hybridMultilevel"/>
    <w:tmpl w:val="FBDCECEE"/>
    <w:lvl w:ilvl="0" w:tplc="F196B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9F75CF"/>
    <w:multiLevelType w:val="hybridMultilevel"/>
    <w:tmpl w:val="23F2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3A017C"/>
    <w:multiLevelType w:val="hybridMultilevel"/>
    <w:tmpl w:val="364A43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0990B3C"/>
    <w:multiLevelType w:val="hybridMultilevel"/>
    <w:tmpl w:val="3974A864"/>
    <w:lvl w:ilvl="0" w:tplc="A79EC822">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E57FD8"/>
    <w:multiLevelType w:val="hybridMultilevel"/>
    <w:tmpl w:val="C3A8AEFC"/>
    <w:lvl w:ilvl="0" w:tplc="CAB8A5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F7F49"/>
    <w:multiLevelType w:val="hybridMultilevel"/>
    <w:tmpl w:val="029C5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1B5396"/>
    <w:multiLevelType w:val="hybridMultilevel"/>
    <w:tmpl w:val="EC227C86"/>
    <w:lvl w:ilvl="0" w:tplc="CAB8A5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060952"/>
    <w:multiLevelType w:val="hybridMultilevel"/>
    <w:tmpl w:val="9DD43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8C3DC0"/>
    <w:multiLevelType w:val="multilevel"/>
    <w:tmpl w:val="3EACD4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A83253"/>
    <w:multiLevelType w:val="hybridMultilevel"/>
    <w:tmpl w:val="35AC95DA"/>
    <w:lvl w:ilvl="0" w:tplc="B836844E">
      <w:start w:val="1"/>
      <w:numFmt w:val="bullet"/>
      <w:lvlText w:val=""/>
      <w:lvlJc w:val="left"/>
      <w:pPr>
        <w:ind w:left="990" w:hanging="360"/>
      </w:pPr>
      <w:rPr>
        <w:rFonts w:ascii="Symbol" w:hAnsi="Symbol"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521388F"/>
    <w:multiLevelType w:val="hybridMultilevel"/>
    <w:tmpl w:val="EF985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FE66B3"/>
    <w:multiLevelType w:val="hybridMultilevel"/>
    <w:tmpl w:val="54DE2792"/>
    <w:lvl w:ilvl="0" w:tplc="894EE7F2">
      <w:start w:val="1"/>
      <w:numFmt w:val="lowerLetter"/>
      <w:lvlText w:val="%1."/>
      <w:lvlJc w:val="left"/>
      <w:pPr>
        <w:ind w:left="720" w:hanging="360"/>
      </w:pPr>
      <w:rPr>
        <w:rFonts w:ascii="Calibri" w:eastAsia="Times New Roman" w:hAnsi="Calibri" w:cs="Times New Roman"/>
        <w:b/>
      </w:rPr>
    </w:lvl>
    <w:lvl w:ilvl="1" w:tplc="04090019">
      <w:start w:val="1"/>
      <w:numFmt w:val="lowerLetter"/>
      <w:lvlText w:val="%2."/>
      <w:lvlJc w:val="left"/>
      <w:pPr>
        <w:ind w:left="1440" w:hanging="360"/>
      </w:pPr>
    </w:lvl>
    <w:lvl w:ilvl="2" w:tplc="FAFC2306">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B0669E8"/>
    <w:multiLevelType w:val="hybridMultilevel"/>
    <w:tmpl w:val="8EF6FBC2"/>
    <w:lvl w:ilvl="0" w:tplc="CAB8A5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47A43"/>
    <w:multiLevelType w:val="hybridMultilevel"/>
    <w:tmpl w:val="5584364C"/>
    <w:lvl w:ilvl="0" w:tplc="CAB8A5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B47B04"/>
    <w:multiLevelType w:val="hybridMultilevel"/>
    <w:tmpl w:val="CACCB0F0"/>
    <w:lvl w:ilvl="0" w:tplc="7AC415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C52AFB"/>
    <w:multiLevelType w:val="hybridMultilevel"/>
    <w:tmpl w:val="C090EB5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8AE3487"/>
    <w:multiLevelType w:val="hybridMultilevel"/>
    <w:tmpl w:val="63B23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36139A"/>
    <w:multiLevelType w:val="hybridMultilevel"/>
    <w:tmpl w:val="5142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D6C64"/>
    <w:multiLevelType w:val="hybridMultilevel"/>
    <w:tmpl w:val="0FEE7000"/>
    <w:lvl w:ilvl="0" w:tplc="894EE7F2">
      <w:start w:val="1"/>
      <w:numFmt w:val="lowerLetter"/>
      <w:lvlText w:val="%1."/>
      <w:lvlJc w:val="left"/>
      <w:pPr>
        <w:ind w:left="720" w:hanging="360"/>
      </w:pPr>
      <w:rPr>
        <w:rFonts w:ascii="Calibri" w:eastAsia="Times New Roman" w:hAnsi="Calibr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9719C8"/>
    <w:multiLevelType w:val="hybridMultilevel"/>
    <w:tmpl w:val="61741698"/>
    <w:lvl w:ilvl="0" w:tplc="9FBEB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0"/>
  </w:num>
  <w:num w:numId="4">
    <w:abstractNumId w:val="18"/>
  </w:num>
  <w:num w:numId="5">
    <w:abstractNumId w:val="10"/>
  </w:num>
  <w:num w:numId="6">
    <w:abstractNumId w:val="27"/>
  </w:num>
  <w:num w:numId="7">
    <w:abstractNumId w:val="23"/>
  </w:num>
  <w:num w:numId="8">
    <w:abstractNumId w:val="30"/>
  </w:num>
  <w:num w:numId="9">
    <w:abstractNumId w:val="3"/>
  </w:num>
  <w:num w:numId="10">
    <w:abstractNumId w:val="11"/>
  </w:num>
  <w:num w:numId="11">
    <w:abstractNumId w:val="24"/>
  </w:num>
  <w:num w:numId="12">
    <w:abstractNumId w:val="8"/>
  </w:num>
  <w:num w:numId="13">
    <w:abstractNumId w:val="15"/>
  </w:num>
  <w:num w:numId="14">
    <w:abstractNumId w:val="17"/>
  </w:num>
  <w:num w:numId="15">
    <w:abstractNumId w:val="20"/>
  </w:num>
  <w:num w:numId="16">
    <w:abstractNumId w:val="9"/>
  </w:num>
  <w:num w:numId="17">
    <w:abstractNumId w:val="2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6"/>
  </w:num>
  <w:num w:numId="21">
    <w:abstractNumId w:val="25"/>
  </w:num>
  <w:num w:numId="22">
    <w:abstractNumId w:val="7"/>
  </w:num>
  <w:num w:numId="23">
    <w:abstractNumId w:val="14"/>
  </w:num>
  <w:num w:numId="24">
    <w:abstractNumId w:val="28"/>
  </w:num>
  <w:num w:numId="25">
    <w:abstractNumId w:val="19"/>
  </w:num>
  <w:num w:numId="26">
    <w:abstractNumId w:val="12"/>
  </w:num>
  <w:num w:numId="27">
    <w:abstractNumId w:val="6"/>
  </w:num>
  <w:num w:numId="28">
    <w:abstractNumId w:val="5"/>
  </w:num>
  <w:num w:numId="29">
    <w:abstractNumId w:val="2"/>
  </w:num>
  <w:num w:numId="30">
    <w:abstractNumId w:val="21"/>
  </w:num>
  <w:num w:numId="31">
    <w:abstractNumId w:val="22"/>
  </w:num>
  <w:num w:numId="32">
    <w:abstractNumId w:val="29"/>
  </w:num>
  <w:num w:numId="33">
    <w:abstractNumId w:val="13"/>
  </w:num>
  <w:num w:numId="3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865BAB"/>
    <w:rsid w:val="00006A60"/>
    <w:rsid w:val="00035A25"/>
    <w:rsid w:val="000414F8"/>
    <w:rsid w:val="00061B7C"/>
    <w:rsid w:val="000C775A"/>
    <w:rsid w:val="000C7A73"/>
    <w:rsid w:val="000E17A4"/>
    <w:rsid w:val="001224BB"/>
    <w:rsid w:val="001344A2"/>
    <w:rsid w:val="00136543"/>
    <w:rsid w:val="001A0AA7"/>
    <w:rsid w:val="001B11D3"/>
    <w:rsid w:val="001C1A86"/>
    <w:rsid w:val="001D160F"/>
    <w:rsid w:val="00233231"/>
    <w:rsid w:val="002502FF"/>
    <w:rsid w:val="002522F7"/>
    <w:rsid w:val="0029177C"/>
    <w:rsid w:val="002A00BB"/>
    <w:rsid w:val="002D5322"/>
    <w:rsid w:val="00311A94"/>
    <w:rsid w:val="003237E2"/>
    <w:rsid w:val="0032591C"/>
    <w:rsid w:val="00341D14"/>
    <w:rsid w:val="00357965"/>
    <w:rsid w:val="00370F4F"/>
    <w:rsid w:val="003B0769"/>
    <w:rsid w:val="003B2AAA"/>
    <w:rsid w:val="004049DD"/>
    <w:rsid w:val="00422E61"/>
    <w:rsid w:val="00477EB7"/>
    <w:rsid w:val="004B5E45"/>
    <w:rsid w:val="004C2C51"/>
    <w:rsid w:val="004D6D94"/>
    <w:rsid w:val="004D70C7"/>
    <w:rsid w:val="00511107"/>
    <w:rsid w:val="00535482"/>
    <w:rsid w:val="005A3388"/>
    <w:rsid w:val="005B0C0C"/>
    <w:rsid w:val="005C1A83"/>
    <w:rsid w:val="005C5FE7"/>
    <w:rsid w:val="005D6D6C"/>
    <w:rsid w:val="0061732D"/>
    <w:rsid w:val="00645AD4"/>
    <w:rsid w:val="006639F1"/>
    <w:rsid w:val="006A6C67"/>
    <w:rsid w:val="00704345"/>
    <w:rsid w:val="00715ED0"/>
    <w:rsid w:val="00746E35"/>
    <w:rsid w:val="007650FA"/>
    <w:rsid w:val="00795355"/>
    <w:rsid w:val="007B2B40"/>
    <w:rsid w:val="007E0BFC"/>
    <w:rsid w:val="007E3961"/>
    <w:rsid w:val="007F1CF4"/>
    <w:rsid w:val="00801656"/>
    <w:rsid w:val="00814B22"/>
    <w:rsid w:val="00861606"/>
    <w:rsid w:val="00865BAB"/>
    <w:rsid w:val="00877FA2"/>
    <w:rsid w:val="0089726E"/>
    <w:rsid w:val="008C44D0"/>
    <w:rsid w:val="008D37D8"/>
    <w:rsid w:val="00901346"/>
    <w:rsid w:val="0095093D"/>
    <w:rsid w:val="00951B92"/>
    <w:rsid w:val="009A3366"/>
    <w:rsid w:val="009B3370"/>
    <w:rsid w:val="009B775A"/>
    <w:rsid w:val="009D5B3A"/>
    <w:rsid w:val="009E6A59"/>
    <w:rsid w:val="00A22594"/>
    <w:rsid w:val="00A45DF6"/>
    <w:rsid w:val="00A638C3"/>
    <w:rsid w:val="00A6486D"/>
    <w:rsid w:val="00AA46B9"/>
    <w:rsid w:val="00AA5D53"/>
    <w:rsid w:val="00AB333A"/>
    <w:rsid w:val="00AC2BE1"/>
    <w:rsid w:val="00B05920"/>
    <w:rsid w:val="00B07355"/>
    <w:rsid w:val="00B13EB8"/>
    <w:rsid w:val="00B62F4A"/>
    <w:rsid w:val="00B75CAF"/>
    <w:rsid w:val="00B9096B"/>
    <w:rsid w:val="00BC5532"/>
    <w:rsid w:val="00BC6E93"/>
    <w:rsid w:val="00BD6A9F"/>
    <w:rsid w:val="00C01843"/>
    <w:rsid w:val="00C0510F"/>
    <w:rsid w:val="00C64F18"/>
    <w:rsid w:val="00C67151"/>
    <w:rsid w:val="00C72363"/>
    <w:rsid w:val="00CB6E48"/>
    <w:rsid w:val="00CE10F0"/>
    <w:rsid w:val="00CE1C3F"/>
    <w:rsid w:val="00D65D93"/>
    <w:rsid w:val="00D7474D"/>
    <w:rsid w:val="00DB3F81"/>
    <w:rsid w:val="00E25B11"/>
    <w:rsid w:val="00E43AC8"/>
    <w:rsid w:val="00EC45F0"/>
    <w:rsid w:val="00ED5E68"/>
    <w:rsid w:val="00F54240"/>
    <w:rsid w:val="00FE4770"/>
    <w:rsid w:val="00FE7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BAB"/>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D65D93"/>
    <w:pPr>
      <w:keepNext/>
      <w:spacing w:before="240" w:after="60" w:line="276" w:lineRule="auto"/>
      <w:outlineLvl w:val="0"/>
    </w:pPr>
    <w:rPr>
      <w:rFonts w:ascii="Cambria" w:eastAsia="Calibri" w:hAnsi="Cambria"/>
      <w:b/>
      <w:bCs/>
      <w:kern w:val="32"/>
      <w:sz w:val="32"/>
      <w:szCs w:val="32"/>
    </w:rPr>
  </w:style>
  <w:style w:type="paragraph" w:styleId="Heading2">
    <w:name w:val="heading 2"/>
    <w:basedOn w:val="Normal"/>
    <w:next w:val="Normal"/>
    <w:link w:val="Heading2Char"/>
    <w:uiPriority w:val="9"/>
    <w:semiHidden/>
    <w:unhideWhenUsed/>
    <w:qFormat/>
    <w:rsid w:val="00AC2B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13E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BAB"/>
    <w:pPr>
      <w:ind w:left="720"/>
    </w:pPr>
  </w:style>
  <w:style w:type="table" w:styleId="TableGrid">
    <w:name w:val="Table Grid"/>
    <w:basedOn w:val="TableNormal"/>
    <w:uiPriority w:val="59"/>
    <w:rsid w:val="007F42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65D93"/>
    <w:rPr>
      <w:rFonts w:ascii="Cambria" w:eastAsia="Calibri" w:hAnsi="Cambria" w:cs="Times New Roman"/>
      <w:b/>
      <w:bCs/>
      <w:kern w:val="32"/>
      <w:sz w:val="32"/>
      <w:szCs w:val="32"/>
    </w:rPr>
  </w:style>
  <w:style w:type="paragraph" w:customStyle="1" w:styleId="Default">
    <w:name w:val="Default"/>
    <w:rsid w:val="00D65D93"/>
    <w:pPr>
      <w:widowControl w:val="0"/>
      <w:autoSpaceDE w:val="0"/>
      <w:autoSpaceDN w:val="0"/>
      <w:adjustRightInd w:val="0"/>
      <w:spacing w:after="0" w:line="240" w:lineRule="auto"/>
    </w:pPr>
    <w:rPr>
      <w:rFonts w:ascii="Arial" w:eastAsia="Calibri" w:hAnsi="Arial" w:cs="Arial"/>
      <w:color w:val="000000"/>
      <w:sz w:val="24"/>
      <w:szCs w:val="24"/>
    </w:rPr>
  </w:style>
  <w:style w:type="paragraph" w:customStyle="1" w:styleId="CM58">
    <w:name w:val="CM58"/>
    <w:basedOn w:val="Default"/>
    <w:next w:val="Default"/>
    <w:rsid w:val="00D65D93"/>
    <w:pPr>
      <w:spacing w:line="240" w:lineRule="atLeast"/>
    </w:pPr>
    <w:rPr>
      <w:rFonts w:ascii="Times New Roman" w:hAnsi="Times New Roman" w:cs="Times New Roman"/>
      <w:color w:val="auto"/>
    </w:rPr>
  </w:style>
  <w:style w:type="paragraph" w:customStyle="1" w:styleId="CM112">
    <w:name w:val="CM112"/>
    <w:basedOn w:val="Default"/>
    <w:next w:val="Default"/>
    <w:rsid w:val="00D65D93"/>
    <w:pPr>
      <w:spacing w:after="83"/>
    </w:pPr>
    <w:rPr>
      <w:rFonts w:ascii="Times New Roman" w:hAnsi="Times New Roman" w:cs="Times New Roman"/>
      <w:color w:val="auto"/>
    </w:rPr>
  </w:style>
  <w:style w:type="paragraph" w:styleId="BalloonText">
    <w:name w:val="Balloon Text"/>
    <w:basedOn w:val="Normal"/>
    <w:link w:val="BalloonTextChar"/>
    <w:uiPriority w:val="99"/>
    <w:semiHidden/>
    <w:unhideWhenUsed/>
    <w:rsid w:val="00D65D93"/>
    <w:rPr>
      <w:rFonts w:ascii="Tahoma" w:hAnsi="Tahoma" w:cs="Tahoma"/>
      <w:sz w:val="16"/>
      <w:szCs w:val="16"/>
    </w:rPr>
  </w:style>
  <w:style w:type="character" w:customStyle="1" w:styleId="BalloonTextChar">
    <w:name w:val="Balloon Text Char"/>
    <w:basedOn w:val="DefaultParagraphFont"/>
    <w:link w:val="BalloonText"/>
    <w:uiPriority w:val="99"/>
    <w:semiHidden/>
    <w:rsid w:val="00D65D93"/>
    <w:rPr>
      <w:rFonts w:ascii="Tahoma" w:eastAsia="Times New Roman" w:hAnsi="Tahoma" w:cs="Tahoma"/>
      <w:sz w:val="16"/>
      <w:szCs w:val="16"/>
    </w:rPr>
  </w:style>
  <w:style w:type="paragraph" w:styleId="Header">
    <w:name w:val="header"/>
    <w:basedOn w:val="Normal"/>
    <w:link w:val="HeaderChar"/>
    <w:uiPriority w:val="99"/>
    <w:unhideWhenUsed/>
    <w:rsid w:val="00E25B11"/>
    <w:pPr>
      <w:tabs>
        <w:tab w:val="center" w:pos="4680"/>
        <w:tab w:val="right" w:pos="9360"/>
      </w:tabs>
    </w:pPr>
  </w:style>
  <w:style w:type="character" w:customStyle="1" w:styleId="HeaderChar">
    <w:name w:val="Header Char"/>
    <w:basedOn w:val="DefaultParagraphFont"/>
    <w:link w:val="Header"/>
    <w:uiPriority w:val="99"/>
    <w:rsid w:val="00E25B11"/>
    <w:rPr>
      <w:rFonts w:ascii="Calibri" w:eastAsia="Times New Roman" w:hAnsi="Calibri" w:cs="Times New Roman"/>
    </w:rPr>
  </w:style>
  <w:style w:type="paragraph" w:styleId="Footer">
    <w:name w:val="footer"/>
    <w:basedOn w:val="Normal"/>
    <w:link w:val="FooterChar"/>
    <w:uiPriority w:val="99"/>
    <w:unhideWhenUsed/>
    <w:rsid w:val="00E25B11"/>
    <w:pPr>
      <w:tabs>
        <w:tab w:val="center" w:pos="4680"/>
        <w:tab w:val="right" w:pos="9360"/>
      </w:tabs>
    </w:pPr>
  </w:style>
  <w:style w:type="character" w:customStyle="1" w:styleId="FooterChar">
    <w:name w:val="Footer Char"/>
    <w:basedOn w:val="DefaultParagraphFont"/>
    <w:link w:val="Footer"/>
    <w:uiPriority w:val="99"/>
    <w:rsid w:val="00E25B11"/>
    <w:rPr>
      <w:rFonts w:ascii="Calibri" w:eastAsia="Times New Roman" w:hAnsi="Calibri" w:cs="Times New Roman"/>
    </w:rPr>
  </w:style>
  <w:style w:type="character" w:styleId="Hyperlink">
    <w:name w:val="Hyperlink"/>
    <w:basedOn w:val="DefaultParagraphFont"/>
    <w:unhideWhenUsed/>
    <w:rsid w:val="000414F8"/>
    <w:rPr>
      <w:color w:val="0000FF"/>
      <w:u w:val="single"/>
    </w:rPr>
  </w:style>
  <w:style w:type="character" w:customStyle="1" w:styleId="Heading4Char">
    <w:name w:val="Heading 4 Char"/>
    <w:basedOn w:val="DefaultParagraphFont"/>
    <w:link w:val="Heading4"/>
    <w:uiPriority w:val="9"/>
    <w:semiHidden/>
    <w:rsid w:val="00B13EB8"/>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rsid w:val="00A45DF6"/>
    <w:rPr>
      <w:rFonts w:cs="Calibri"/>
      <w:color w:val="000000"/>
    </w:rPr>
  </w:style>
  <w:style w:type="character" w:customStyle="1" w:styleId="FootnoteTextChar">
    <w:name w:val="Footnote Text Char"/>
    <w:basedOn w:val="DefaultParagraphFont"/>
    <w:link w:val="FootnoteText"/>
    <w:uiPriority w:val="99"/>
    <w:rsid w:val="00A45DF6"/>
    <w:rPr>
      <w:rFonts w:ascii="Calibri" w:eastAsia="Times New Roman" w:hAnsi="Calibri" w:cs="Calibri"/>
      <w:color w:val="000000"/>
    </w:rPr>
  </w:style>
  <w:style w:type="character" w:styleId="FootnoteReference">
    <w:name w:val="footnote reference"/>
    <w:basedOn w:val="DefaultParagraphFont"/>
    <w:uiPriority w:val="99"/>
    <w:rsid w:val="00A45DF6"/>
    <w:rPr>
      <w:vertAlign w:val="superscript"/>
    </w:rPr>
  </w:style>
  <w:style w:type="character" w:styleId="CommentReference">
    <w:name w:val="annotation reference"/>
    <w:basedOn w:val="DefaultParagraphFont"/>
    <w:uiPriority w:val="99"/>
    <w:semiHidden/>
    <w:rsid w:val="009B3370"/>
    <w:rPr>
      <w:sz w:val="16"/>
      <w:szCs w:val="16"/>
    </w:rPr>
  </w:style>
  <w:style w:type="paragraph" w:styleId="CommentText">
    <w:name w:val="annotation text"/>
    <w:basedOn w:val="Normal"/>
    <w:link w:val="CommentTextChar"/>
    <w:uiPriority w:val="99"/>
    <w:semiHidden/>
    <w:rsid w:val="009B3370"/>
    <w:rPr>
      <w:rFonts w:cs="Calibri"/>
      <w:color w:val="000000"/>
    </w:rPr>
  </w:style>
  <w:style w:type="character" w:customStyle="1" w:styleId="CommentTextChar">
    <w:name w:val="Comment Text Char"/>
    <w:basedOn w:val="DefaultParagraphFont"/>
    <w:link w:val="CommentText"/>
    <w:uiPriority w:val="99"/>
    <w:semiHidden/>
    <w:rsid w:val="009B3370"/>
    <w:rPr>
      <w:rFonts w:ascii="Calibri" w:eastAsia="Times New Roman" w:hAnsi="Calibri" w:cs="Calibri"/>
      <w:color w:val="000000"/>
    </w:rPr>
  </w:style>
  <w:style w:type="character" w:customStyle="1" w:styleId="citation">
    <w:name w:val="citation"/>
    <w:basedOn w:val="DefaultParagraphFont"/>
    <w:rsid w:val="00FE7FDD"/>
  </w:style>
  <w:style w:type="paragraph" w:customStyle="1" w:styleId="NORC-BodyDoubleSpacedTimes">
    <w:name w:val="NORC-Body Double Spaced (Times)"/>
    <w:rsid w:val="00FE7FDD"/>
    <w:pPr>
      <w:spacing w:after="140" w:line="48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1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CTextNoIndent">
    <w:name w:val="NORC Text No Indent"/>
    <w:link w:val="NORCTextNoIndentChar"/>
    <w:rsid w:val="00AC2BE1"/>
    <w:pPr>
      <w:spacing w:after="180" w:line="240" w:lineRule="auto"/>
    </w:pPr>
    <w:rPr>
      <w:rFonts w:ascii="Garamond" w:eastAsia="Times New Roman" w:hAnsi="Garamond" w:cs="Calibri"/>
      <w:color w:val="000000"/>
      <w:sz w:val="24"/>
      <w:szCs w:val="24"/>
    </w:rPr>
  </w:style>
  <w:style w:type="character" w:customStyle="1" w:styleId="NORCTextNoIndentChar">
    <w:name w:val="NORC Text No Indent Char"/>
    <w:basedOn w:val="DefaultParagraphFont"/>
    <w:link w:val="NORCTextNoIndent"/>
    <w:rsid w:val="00AC2BE1"/>
    <w:rPr>
      <w:rFonts w:ascii="Garamond" w:eastAsia="Times New Roman" w:hAnsi="Garamond" w:cs="Calibri"/>
      <w:color w:val="000000"/>
      <w:sz w:val="24"/>
      <w:szCs w:val="24"/>
    </w:rPr>
  </w:style>
  <w:style w:type="paragraph" w:customStyle="1" w:styleId="NORCTableSubheading">
    <w:name w:val="NORC Table Subheading"/>
    <w:basedOn w:val="Normal"/>
    <w:rsid w:val="00AC2BE1"/>
    <w:pPr>
      <w:spacing w:before="60" w:after="60"/>
      <w:jc w:val="center"/>
    </w:pPr>
    <w:rPr>
      <w:rFonts w:ascii="Arial" w:hAnsi="Arial" w:cs="Calibri"/>
      <w:b/>
      <w:color w:val="000000"/>
      <w:sz w:val="18"/>
      <w:szCs w:val="24"/>
    </w:rPr>
  </w:style>
  <w:style w:type="character" w:customStyle="1" w:styleId="Heading2Char">
    <w:name w:val="Heading 2 Char"/>
    <w:basedOn w:val="DefaultParagraphFont"/>
    <w:link w:val="Heading2"/>
    <w:uiPriority w:val="9"/>
    <w:semiHidden/>
    <w:rsid w:val="00AC2BE1"/>
    <w:rPr>
      <w:rFonts w:asciiTheme="majorHAnsi" w:eastAsiaTheme="majorEastAsia" w:hAnsiTheme="majorHAnsi" w:cstheme="majorBidi"/>
      <w:b/>
      <w:bCs/>
      <w:color w:val="4F81BD" w:themeColor="accent1"/>
      <w:sz w:val="26"/>
      <w:szCs w:val="26"/>
    </w:rPr>
  </w:style>
  <w:style w:type="paragraph" w:customStyle="1" w:styleId="NORCHeading4">
    <w:name w:val="NORC Heading 4"/>
    <w:basedOn w:val="Normal"/>
    <w:rsid w:val="00C64F18"/>
    <w:pPr>
      <w:keepNext/>
      <w:spacing w:before="180" w:after="60"/>
    </w:pPr>
    <w:rPr>
      <w:rFonts w:ascii="Arial" w:hAnsi="Arial" w:cs="Calibri"/>
      <w:b/>
      <w: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BAB"/>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D65D93"/>
    <w:pPr>
      <w:keepNext/>
      <w:spacing w:before="240" w:after="60" w:line="276" w:lineRule="auto"/>
      <w:outlineLvl w:val="0"/>
    </w:pPr>
    <w:rPr>
      <w:rFonts w:ascii="Cambria" w:eastAsia="Calibri" w:hAnsi="Cambria"/>
      <w:b/>
      <w:bCs/>
      <w:kern w:val="32"/>
      <w:sz w:val="32"/>
      <w:szCs w:val="32"/>
    </w:rPr>
  </w:style>
  <w:style w:type="paragraph" w:styleId="Heading2">
    <w:name w:val="heading 2"/>
    <w:basedOn w:val="Normal"/>
    <w:next w:val="Normal"/>
    <w:link w:val="Heading2Char"/>
    <w:uiPriority w:val="9"/>
    <w:semiHidden/>
    <w:unhideWhenUsed/>
    <w:qFormat/>
    <w:rsid w:val="00AC2B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13EB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BAB"/>
    <w:pPr>
      <w:ind w:left="720"/>
    </w:pPr>
  </w:style>
  <w:style w:type="table" w:styleId="TableGrid">
    <w:name w:val="Table Grid"/>
    <w:basedOn w:val="TableNormal"/>
    <w:uiPriority w:val="59"/>
    <w:rsid w:val="007F42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65D93"/>
    <w:rPr>
      <w:rFonts w:ascii="Cambria" w:eastAsia="Calibri" w:hAnsi="Cambria" w:cs="Times New Roman"/>
      <w:b/>
      <w:bCs/>
      <w:kern w:val="32"/>
      <w:sz w:val="32"/>
      <w:szCs w:val="32"/>
    </w:rPr>
  </w:style>
  <w:style w:type="paragraph" w:customStyle="1" w:styleId="Default">
    <w:name w:val="Default"/>
    <w:rsid w:val="00D65D93"/>
    <w:pPr>
      <w:widowControl w:val="0"/>
      <w:autoSpaceDE w:val="0"/>
      <w:autoSpaceDN w:val="0"/>
      <w:adjustRightInd w:val="0"/>
      <w:spacing w:after="0" w:line="240" w:lineRule="auto"/>
    </w:pPr>
    <w:rPr>
      <w:rFonts w:ascii="Arial" w:eastAsia="Calibri" w:hAnsi="Arial" w:cs="Arial"/>
      <w:color w:val="000000"/>
      <w:sz w:val="24"/>
      <w:szCs w:val="24"/>
    </w:rPr>
  </w:style>
  <w:style w:type="paragraph" w:customStyle="1" w:styleId="CM58">
    <w:name w:val="CM58"/>
    <w:basedOn w:val="Default"/>
    <w:next w:val="Default"/>
    <w:rsid w:val="00D65D93"/>
    <w:pPr>
      <w:spacing w:line="240" w:lineRule="atLeast"/>
    </w:pPr>
    <w:rPr>
      <w:rFonts w:ascii="Times New Roman" w:hAnsi="Times New Roman" w:cs="Times New Roman"/>
      <w:color w:val="auto"/>
    </w:rPr>
  </w:style>
  <w:style w:type="paragraph" w:customStyle="1" w:styleId="CM112">
    <w:name w:val="CM112"/>
    <w:basedOn w:val="Default"/>
    <w:next w:val="Default"/>
    <w:rsid w:val="00D65D93"/>
    <w:pPr>
      <w:spacing w:after="83"/>
    </w:pPr>
    <w:rPr>
      <w:rFonts w:ascii="Times New Roman" w:hAnsi="Times New Roman" w:cs="Times New Roman"/>
      <w:color w:val="auto"/>
    </w:rPr>
  </w:style>
  <w:style w:type="paragraph" w:styleId="BalloonText">
    <w:name w:val="Balloon Text"/>
    <w:basedOn w:val="Normal"/>
    <w:link w:val="BalloonTextChar"/>
    <w:uiPriority w:val="99"/>
    <w:semiHidden/>
    <w:unhideWhenUsed/>
    <w:rsid w:val="00D65D93"/>
    <w:rPr>
      <w:rFonts w:ascii="Tahoma" w:hAnsi="Tahoma" w:cs="Tahoma"/>
      <w:sz w:val="16"/>
      <w:szCs w:val="16"/>
    </w:rPr>
  </w:style>
  <w:style w:type="character" w:customStyle="1" w:styleId="BalloonTextChar">
    <w:name w:val="Balloon Text Char"/>
    <w:basedOn w:val="DefaultParagraphFont"/>
    <w:link w:val="BalloonText"/>
    <w:uiPriority w:val="99"/>
    <w:semiHidden/>
    <w:rsid w:val="00D65D93"/>
    <w:rPr>
      <w:rFonts w:ascii="Tahoma" w:eastAsia="Times New Roman" w:hAnsi="Tahoma" w:cs="Tahoma"/>
      <w:sz w:val="16"/>
      <w:szCs w:val="16"/>
    </w:rPr>
  </w:style>
  <w:style w:type="paragraph" w:styleId="Header">
    <w:name w:val="header"/>
    <w:basedOn w:val="Normal"/>
    <w:link w:val="HeaderChar"/>
    <w:uiPriority w:val="99"/>
    <w:unhideWhenUsed/>
    <w:rsid w:val="00E25B11"/>
    <w:pPr>
      <w:tabs>
        <w:tab w:val="center" w:pos="4680"/>
        <w:tab w:val="right" w:pos="9360"/>
      </w:tabs>
    </w:pPr>
  </w:style>
  <w:style w:type="character" w:customStyle="1" w:styleId="HeaderChar">
    <w:name w:val="Header Char"/>
    <w:basedOn w:val="DefaultParagraphFont"/>
    <w:link w:val="Header"/>
    <w:uiPriority w:val="99"/>
    <w:rsid w:val="00E25B11"/>
    <w:rPr>
      <w:rFonts w:ascii="Calibri" w:eastAsia="Times New Roman" w:hAnsi="Calibri" w:cs="Times New Roman"/>
    </w:rPr>
  </w:style>
  <w:style w:type="paragraph" w:styleId="Footer">
    <w:name w:val="footer"/>
    <w:basedOn w:val="Normal"/>
    <w:link w:val="FooterChar"/>
    <w:uiPriority w:val="99"/>
    <w:unhideWhenUsed/>
    <w:rsid w:val="00E25B11"/>
    <w:pPr>
      <w:tabs>
        <w:tab w:val="center" w:pos="4680"/>
        <w:tab w:val="right" w:pos="9360"/>
      </w:tabs>
    </w:pPr>
  </w:style>
  <w:style w:type="character" w:customStyle="1" w:styleId="FooterChar">
    <w:name w:val="Footer Char"/>
    <w:basedOn w:val="DefaultParagraphFont"/>
    <w:link w:val="Footer"/>
    <w:uiPriority w:val="99"/>
    <w:rsid w:val="00E25B11"/>
    <w:rPr>
      <w:rFonts w:ascii="Calibri" w:eastAsia="Times New Roman" w:hAnsi="Calibri" w:cs="Times New Roman"/>
    </w:rPr>
  </w:style>
  <w:style w:type="character" w:styleId="Hyperlink">
    <w:name w:val="Hyperlink"/>
    <w:basedOn w:val="DefaultParagraphFont"/>
    <w:unhideWhenUsed/>
    <w:rsid w:val="000414F8"/>
    <w:rPr>
      <w:color w:val="0000FF"/>
      <w:u w:val="single"/>
    </w:rPr>
  </w:style>
  <w:style w:type="character" w:customStyle="1" w:styleId="Heading4Char">
    <w:name w:val="Heading 4 Char"/>
    <w:basedOn w:val="DefaultParagraphFont"/>
    <w:link w:val="Heading4"/>
    <w:uiPriority w:val="9"/>
    <w:semiHidden/>
    <w:rsid w:val="00B13EB8"/>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rsid w:val="00A45DF6"/>
    <w:rPr>
      <w:rFonts w:cs="Calibri"/>
      <w:color w:val="000000"/>
    </w:rPr>
  </w:style>
  <w:style w:type="character" w:customStyle="1" w:styleId="FootnoteTextChar">
    <w:name w:val="Footnote Text Char"/>
    <w:basedOn w:val="DefaultParagraphFont"/>
    <w:link w:val="FootnoteText"/>
    <w:uiPriority w:val="99"/>
    <w:rsid w:val="00A45DF6"/>
    <w:rPr>
      <w:rFonts w:ascii="Calibri" w:eastAsia="Times New Roman" w:hAnsi="Calibri" w:cs="Calibri"/>
      <w:color w:val="000000"/>
    </w:rPr>
  </w:style>
  <w:style w:type="character" w:styleId="FootnoteReference">
    <w:name w:val="footnote reference"/>
    <w:basedOn w:val="DefaultParagraphFont"/>
    <w:uiPriority w:val="99"/>
    <w:rsid w:val="00A45DF6"/>
    <w:rPr>
      <w:vertAlign w:val="superscript"/>
    </w:rPr>
  </w:style>
  <w:style w:type="character" w:styleId="CommentReference">
    <w:name w:val="annotation reference"/>
    <w:basedOn w:val="DefaultParagraphFont"/>
    <w:uiPriority w:val="99"/>
    <w:semiHidden/>
    <w:rsid w:val="009B3370"/>
    <w:rPr>
      <w:sz w:val="16"/>
      <w:szCs w:val="16"/>
    </w:rPr>
  </w:style>
  <w:style w:type="paragraph" w:styleId="CommentText">
    <w:name w:val="annotation text"/>
    <w:basedOn w:val="Normal"/>
    <w:link w:val="CommentTextChar"/>
    <w:uiPriority w:val="99"/>
    <w:semiHidden/>
    <w:rsid w:val="009B3370"/>
    <w:rPr>
      <w:rFonts w:cs="Calibri"/>
      <w:color w:val="000000"/>
    </w:rPr>
  </w:style>
  <w:style w:type="character" w:customStyle="1" w:styleId="CommentTextChar">
    <w:name w:val="Comment Text Char"/>
    <w:basedOn w:val="DefaultParagraphFont"/>
    <w:link w:val="CommentText"/>
    <w:uiPriority w:val="99"/>
    <w:semiHidden/>
    <w:rsid w:val="009B3370"/>
    <w:rPr>
      <w:rFonts w:ascii="Calibri" w:eastAsia="Times New Roman" w:hAnsi="Calibri" w:cs="Calibri"/>
      <w:color w:val="000000"/>
    </w:rPr>
  </w:style>
  <w:style w:type="character" w:customStyle="1" w:styleId="citation">
    <w:name w:val="citation"/>
    <w:basedOn w:val="DefaultParagraphFont"/>
    <w:rsid w:val="00FE7FDD"/>
  </w:style>
  <w:style w:type="paragraph" w:customStyle="1" w:styleId="NORC-BodyDoubleSpacedTimes">
    <w:name w:val="NORC-Body Double Spaced (Times)"/>
    <w:rsid w:val="00FE7FDD"/>
    <w:pPr>
      <w:spacing w:after="140" w:line="48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951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CTextNoIndent">
    <w:name w:val="NORC Text No Indent"/>
    <w:link w:val="NORCTextNoIndentChar"/>
    <w:rsid w:val="00AC2BE1"/>
    <w:pPr>
      <w:spacing w:after="180" w:line="240" w:lineRule="auto"/>
    </w:pPr>
    <w:rPr>
      <w:rFonts w:ascii="Garamond" w:eastAsia="Times New Roman" w:hAnsi="Garamond" w:cs="Calibri"/>
      <w:color w:val="000000"/>
      <w:sz w:val="24"/>
      <w:szCs w:val="24"/>
    </w:rPr>
  </w:style>
  <w:style w:type="character" w:customStyle="1" w:styleId="NORCTextNoIndentChar">
    <w:name w:val="NORC Text No Indent Char"/>
    <w:basedOn w:val="DefaultParagraphFont"/>
    <w:link w:val="NORCTextNoIndent"/>
    <w:rsid w:val="00AC2BE1"/>
    <w:rPr>
      <w:rFonts w:ascii="Garamond" w:eastAsia="Times New Roman" w:hAnsi="Garamond" w:cs="Calibri"/>
      <w:color w:val="000000"/>
      <w:sz w:val="24"/>
      <w:szCs w:val="24"/>
    </w:rPr>
  </w:style>
  <w:style w:type="paragraph" w:customStyle="1" w:styleId="NORCTableSubheading">
    <w:name w:val="NORC Table Subheading"/>
    <w:basedOn w:val="Normal"/>
    <w:rsid w:val="00AC2BE1"/>
    <w:pPr>
      <w:spacing w:before="60" w:after="60"/>
      <w:jc w:val="center"/>
    </w:pPr>
    <w:rPr>
      <w:rFonts w:ascii="Arial" w:hAnsi="Arial" w:cs="Calibri"/>
      <w:b/>
      <w:color w:val="000000"/>
      <w:sz w:val="18"/>
      <w:szCs w:val="24"/>
    </w:rPr>
  </w:style>
  <w:style w:type="character" w:customStyle="1" w:styleId="Heading2Char">
    <w:name w:val="Heading 2 Char"/>
    <w:basedOn w:val="DefaultParagraphFont"/>
    <w:link w:val="Heading2"/>
    <w:uiPriority w:val="9"/>
    <w:semiHidden/>
    <w:rsid w:val="00AC2BE1"/>
    <w:rPr>
      <w:rFonts w:asciiTheme="majorHAnsi" w:eastAsiaTheme="majorEastAsia" w:hAnsiTheme="majorHAnsi" w:cstheme="majorBidi"/>
      <w:b/>
      <w:bCs/>
      <w:color w:val="4F81BD" w:themeColor="accent1"/>
      <w:sz w:val="26"/>
      <w:szCs w:val="26"/>
    </w:rPr>
  </w:style>
  <w:style w:type="paragraph" w:customStyle="1" w:styleId="NORCHeading4">
    <w:name w:val="NORC Heading 4"/>
    <w:basedOn w:val="Normal"/>
    <w:rsid w:val="00C64F18"/>
    <w:pPr>
      <w:keepNext/>
      <w:spacing w:before="180" w:after="60"/>
    </w:pPr>
    <w:rPr>
      <w:rFonts w:ascii="Arial" w:hAnsi="Arial" w:cs="Calibri"/>
      <w:b/>
      <w:i/>
      <w:color w:val="000000"/>
    </w:rPr>
  </w:style>
</w:styles>
</file>

<file path=word/webSettings.xml><?xml version="1.0" encoding="utf-8"?>
<w:webSettings xmlns:r="http://schemas.openxmlformats.org/officeDocument/2006/relationships" xmlns:w="http://schemas.openxmlformats.org/wordprocessingml/2006/main">
  <w:divs>
    <w:div w:id="217403866">
      <w:bodyDiv w:val="1"/>
      <w:marLeft w:val="0"/>
      <w:marRight w:val="0"/>
      <w:marTop w:val="0"/>
      <w:marBottom w:val="0"/>
      <w:divBdr>
        <w:top w:val="none" w:sz="0" w:space="0" w:color="auto"/>
        <w:left w:val="none" w:sz="0" w:space="0" w:color="auto"/>
        <w:bottom w:val="none" w:sz="0" w:space="0" w:color="auto"/>
        <w:right w:val="none" w:sz="0" w:space="0" w:color="auto"/>
      </w:divBdr>
    </w:div>
    <w:div w:id="435373058">
      <w:bodyDiv w:val="1"/>
      <w:marLeft w:val="0"/>
      <w:marRight w:val="0"/>
      <w:marTop w:val="0"/>
      <w:marBottom w:val="0"/>
      <w:divBdr>
        <w:top w:val="none" w:sz="0" w:space="0" w:color="auto"/>
        <w:left w:val="none" w:sz="0" w:space="0" w:color="auto"/>
        <w:bottom w:val="none" w:sz="0" w:space="0" w:color="auto"/>
        <w:right w:val="none" w:sz="0" w:space="0" w:color="auto"/>
      </w:divBdr>
    </w:div>
    <w:div w:id="550190151">
      <w:bodyDiv w:val="1"/>
      <w:marLeft w:val="0"/>
      <w:marRight w:val="0"/>
      <w:marTop w:val="0"/>
      <w:marBottom w:val="0"/>
      <w:divBdr>
        <w:top w:val="none" w:sz="0" w:space="0" w:color="auto"/>
        <w:left w:val="none" w:sz="0" w:space="0" w:color="auto"/>
        <w:bottom w:val="none" w:sz="0" w:space="0" w:color="auto"/>
        <w:right w:val="none" w:sz="0" w:space="0" w:color="auto"/>
      </w:divBdr>
    </w:div>
    <w:div w:id="586578549">
      <w:bodyDiv w:val="1"/>
      <w:marLeft w:val="0"/>
      <w:marRight w:val="0"/>
      <w:marTop w:val="0"/>
      <w:marBottom w:val="450"/>
      <w:divBdr>
        <w:top w:val="none" w:sz="0" w:space="0" w:color="auto"/>
        <w:left w:val="none" w:sz="0" w:space="0" w:color="auto"/>
        <w:bottom w:val="none" w:sz="0" w:space="0" w:color="auto"/>
        <w:right w:val="none" w:sz="0" w:space="0" w:color="auto"/>
      </w:divBdr>
      <w:divsChild>
        <w:div w:id="1718166314">
          <w:marLeft w:val="0"/>
          <w:marRight w:val="0"/>
          <w:marTop w:val="0"/>
          <w:marBottom w:val="0"/>
          <w:divBdr>
            <w:top w:val="none" w:sz="0" w:space="0" w:color="auto"/>
            <w:left w:val="none" w:sz="0" w:space="0" w:color="auto"/>
            <w:bottom w:val="none" w:sz="0" w:space="0" w:color="auto"/>
            <w:right w:val="none" w:sz="0" w:space="0" w:color="auto"/>
          </w:divBdr>
          <w:divsChild>
            <w:div w:id="1968702827">
              <w:marLeft w:val="0"/>
              <w:marRight w:val="0"/>
              <w:marTop w:val="0"/>
              <w:marBottom w:val="0"/>
              <w:divBdr>
                <w:top w:val="none" w:sz="0" w:space="0" w:color="auto"/>
                <w:left w:val="none" w:sz="0" w:space="0" w:color="auto"/>
                <w:bottom w:val="none" w:sz="0" w:space="0" w:color="auto"/>
                <w:right w:val="none" w:sz="0" w:space="0" w:color="auto"/>
              </w:divBdr>
              <w:divsChild>
                <w:div w:id="591669978">
                  <w:marLeft w:val="0"/>
                  <w:marRight w:val="0"/>
                  <w:marTop w:val="0"/>
                  <w:marBottom w:val="0"/>
                  <w:divBdr>
                    <w:top w:val="single" w:sz="18" w:space="0" w:color="DAB14A"/>
                    <w:left w:val="none" w:sz="0" w:space="0" w:color="auto"/>
                    <w:bottom w:val="none" w:sz="0" w:space="0" w:color="auto"/>
                    <w:right w:val="none" w:sz="0" w:space="0" w:color="auto"/>
                  </w:divBdr>
                  <w:divsChild>
                    <w:div w:id="617878667">
                      <w:marLeft w:val="375"/>
                      <w:marRight w:val="109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85517509">
      <w:bodyDiv w:val="1"/>
      <w:marLeft w:val="0"/>
      <w:marRight w:val="0"/>
      <w:marTop w:val="0"/>
      <w:marBottom w:val="0"/>
      <w:divBdr>
        <w:top w:val="none" w:sz="0" w:space="0" w:color="auto"/>
        <w:left w:val="none" w:sz="0" w:space="0" w:color="auto"/>
        <w:bottom w:val="none" w:sz="0" w:space="0" w:color="auto"/>
        <w:right w:val="none" w:sz="0" w:space="0" w:color="auto"/>
      </w:divBdr>
    </w:div>
    <w:div w:id="1122766899">
      <w:bodyDiv w:val="1"/>
      <w:marLeft w:val="0"/>
      <w:marRight w:val="0"/>
      <w:marTop w:val="0"/>
      <w:marBottom w:val="0"/>
      <w:divBdr>
        <w:top w:val="none" w:sz="0" w:space="0" w:color="auto"/>
        <w:left w:val="none" w:sz="0" w:space="0" w:color="auto"/>
        <w:bottom w:val="none" w:sz="0" w:space="0" w:color="auto"/>
        <w:right w:val="none" w:sz="0" w:space="0" w:color="auto"/>
      </w:divBdr>
    </w:div>
    <w:div w:id="1240793154">
      <w:bodyDiv w:val="1"/>
      <w:marLeft w:val="0"/>
      <w:marRight w:val="0"/>
      <w:marTop w:val="0"/>
      <w:marBottom w:val="0"/>
      <w:divBdr>
        <w:top w:val="none" w:sz="0" w:space="0" w:color="auto"/>
        <w:left w:val="none" w:sz="0" w:space="0" w:color="auto"/>
        <w:bottom w:val="none" w:sz="0" w:space="0" w:color="auto"/>
        <w:right w:val="none" w:sz="0" w:space="0" w:color="auto"/>
      </w:divBdr>
    </w:div>
    <w:div w:id="1263076252">
      <w:bodyDiv w:val="1"/>
      <w:marLeft w:val="0"/>
      <w:marRight w:val="0"/>
      <w:marTop w:val="0"/>
      <w:marBottom w:val="0"/>
      <w:divBdr>
        <w:top w:val="none" w:sz="0" w:space="0" w:color="auto"/>
        <w:left w:val="none" w:sz="0" w:space="0" w:color="auto"/>
        <w:bottom w:val="none" w:sz="0" w:space="0" w:color="auto"/>
        <w:right w:val="none" w:sz="0" w:space="0" w:color="auto"/>
      </w:divBdr>
    </w:div>
    <w:div w:id="1407529193">
      <w:bodyDiv w:val="1"/>
      <w:marLeft w:val="0"/>
      <w:marRight w:val="0"/>
      <w:marTop w:val="0"/>
      <w:marBottom w:val="0"/>
      <w:divBdr>
        <w:top w:val="none" w:sz="0" w:space="0" w:color="auto"/>
        <w:left w:val="none" w:sz="0" w:space="0" w:color="auto"/>
        <w:bottom w:val="none" w:sz="0" w:space="0" w:color="auto"/>
        <w:right w:val="none" w:sz="0" w:space="0" w:color="auto"/>
      </w:divBdr>
    </w:div>
    <w:div w:id="16308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to:Sharon_Mar@omb.eop.gov]"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sf.gov/pubs/2002/nsf02080/nsf02080.pdf" TargetMode="External"/><Relationship Id="rId1" Type="http://schemas.openxmlformats.org/officeDocument/2006/relationships/hyperlink" Target="http://www.nsf.gov/pubs/2002/nsf02080/nsf0208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09CD-2DC7-4357-BEC3-7B581C87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6015</Words>
  <Characters>34292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40227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JHLIGHTB</dc:creator>
  <cp:keywords/>
  <dc:description/>
  <cp:lastModifiedBy>Carol F. Stoel</cp:lastModifiedBy>
  <cp:revision>2</cp:revision>
  <cp:lastPrinted>2011-11-23T01:04:00Z</cp:lastPrinted>
  <dcterms:created xsi:type="dcterms:W3CDTF">2011-12-01T18:34:00Z</dcterms:created>
  <dcterms:modified xsi:type="dcterms:W3CDTF">2011-12-01T18:34:00Z</dcterms:modified>
</cp:coreProperties>
</file>