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AB6" w:rsidRPr="00CE0476" w:rsidRDefault="00185AB6">
      <w:pPr>
        <w:pStyle w:val="Heading2"/>
      </w:pPr>
      <w:r w:rsidRPr="00CE0476">
        <w:tab/>
        <w:t>SUPPORTING STATEMENT FOR</w:t>
      </w:r>
    </w:p>
    <w:p w:rsidR="00185AB6" w:rsidRPr="00CE0476" w:rsidRDefault="00185AB6">
      <w:pPr>
        <w:tabs>
          <w:tab w:val="center" w:pos="4680"/>
        </w:tabs>
        <w:rPr>
          <w:b/>
          <w:sz w:val="22"/>
        </w:rPr>
      </w:pPr>
      <w:r w:rsidRPr="00CE0476">
        <w:rPr>
          <w:b/>
          <w:sz w:val="22"/>
        </w:rPr>
        <w:tab/>
        <w:t xml:space="preserve">PAPERWORK REDUCTION ACT SUBMISSION UNDER 5 </w:t>
      </w:r>
      <w:proofErr w:type="spellStart"/>
      <w:r w:rsidRPr="00CE0476">
        <w:rPr>
          <w:b/>
          <w:sz w:val="22"/>
        </w:rPr>
        <w:t>CFR</w:t>
      </w:r>
      <w:proofErr w:type="spellEnd"/>
      <w:r w:rsidRPr="00CE0476">
        <w:rPr>
          <w:b/>
          <w:sz w:val="22"/>
        </w:rPr>
        <w:t xml:space="preserve"> PART 1320</w:t>
      </w:r>
    </w:p>
    <w:p w:rsidR="00185AB6" w:rsidRPr="00CE0476" w:rsidRDefault="00185AB6">
      <w:pPr>
        <w:jc w:val="center"/>
        <w:rPr>
          <w:b/>
          <w:sz w:val="22"/>
        </w:rPr>
      </w:pPr>
      <w:r w:rsidRPr="00CE0476">
        <w:rPr>
          <w:b/>
          <w:sz w:val="22"/>
        </w:rPr>
        <w:tab/>
        <w:t>INFORMATION COLLECTION: 2133-</w:t>
      </w:r>
      <w:r w:rsidR="00CE0476" w:rsidRPr="00CE0476">
        <w:rPr>
          <w:b/>
          <w:sz w:val="22"/>
        </w:rPr>
        <w:t>0535</w:t>
      </w:r>
    </w:p>
    <w:p w:rsidR="00CE0476" w:rsidRPr="00CE0476" w:rsidRDefault="00CE0476">
      <w:pPr>
        <w:jc w:val="center"/>
        <w:rPr>
          <w:b/>
          <w:sz w:val="22"/>
        </w:rPr>
      </w:pPr>
    </w:p>
    <w:p w:rsidR="00CE0476" w:rsidRPr="00CE0476" w:rsidRDefault="00CE0476">
      <w:pPr>
        <w:jc w:val="center"/>
        <w:rPr>
          <w:b/>
          <w:sz w:val="22"/>
        </w:rPr>
      </w:pPr>
    </w:p>
    <w:p w:rsidR="00185AB6" w:rsidRPr="00CE0476" w:rsidRDefault="00185AB6">
      <w:pPr>
        <w:rPr>
          <w:sz w:val="22"/>
        </w:rPr>
      </w:pPr>
      <w:r w:rsidRPr="00CE0476">
        <w:rPr>
          <w:b/>
          <w:sz w:val="22"/>
        </w:rPr>
        <w:t>Justification</w:t>
      </w:r>
    </w:p>
    <w:p w:rsidR="00185AB6" w:rsidRPr="00CE0476" w:rsidRDefault="00185AB6">
      <w:pPr>
        <w:rPr>
          <w:sz w:val="22"/>
        </w:rPr>
      </w:pPr>
    </w:p>
    <w:p w:rsidR="00185AB6" w:rsidRPr="00CE0476" w:rsidRDefault="00185AB6">
      <w:pPr>
        <w:tabs>
          <w:tab w:val="left" w:pos="-1440"/>
        </w:tabs>
        <w:ind w:left="720" w:hanging="720"/>
        <w:rPr>
          <w:sz w:val="22"/>
        </w:rPr>
      </w:pPr>
      <w:r w:rsidRPr="00CE0476">
        <w:rPr>
          <w:sz w:val="22"/>
        </w:rPr>
        <w:t>1.</w:t>
      </w:r>
      <w:r w:rsidRPr="00CE0476">
        <w:rPr>
          <w:sz w:val="22"/>
        </w:rPr>
        <w:tab/>
      </w:r>
      <w:r w:rsidRPr="00CE0476">
        <w:rPr>
          <w:b/>
          <w:sz w:val="22"/>
        </w:rPr>
        <w:t>Explain the circumstances that make the collection of information necessary</w:t>
      </w:r>
      <w:r w:rsidR="00C4530D" w:rsidRPr="00CE0476">
        <w:rPr>
          <w:b/>
          <w:sz w:val="22"/>
        </w:rPr>
        <w:t xml:space="preserve">.  </w:t>
      </w:r>
      <w:r w:rsidRPr="00CE0476">
        <w:rPr>
          <w:b/>
          <w:sz w:val="22"/>
        </w:rPr>
        <w:t>Identify any legal or administrative requirements that necessitate the collection.  Attach a copy of the appropriate section of each statute and regulation mandating or authorizing the collection of information</w:t>
      </w:r>
      <w:r w:rsidRPr="00CE0476">
        <w:rPr>
          <w:sz w:val="22"/>
        </w:rPr>
        <w:t>.</w:t>
      </w:r>
    </w:p>
    <w:p w:rsidR="00185AB6" w:rsidRPr="00CE0476" w:rsidRDefault="00185AB6">
      <w:pPr>
        <w:pStyle w:val="BodyTextIndent"/>
        <w:rPr>
          <w:sz w:val="22"/>
        </w:rPr>
      </w:pPr>
    </w:p>
    <w:p w:rsidR="00185AB6" w:rsidRPr="00CE0476" w:rsidRDefault="00185AB6">
      <w:pPr>
        <w:autoSpaceDE w:val="0"/>
        <w:autoSpaceDN w:val="0"/>
        <w:adjustRightInd w:val="0"/>
        <w:ind w:left="720"/>
      </w:pPr>
      <w:r w:rsidRPr="00CE0476">
        <w:rPr>
          <w:sz w:val="22"/>
        </w:rPr>
        <w:t>Section 109 of the Maritime Transportation Security Act of 2002 (</w:t>
      </w:r>
      <w:proofErr w:type="spellStart"/>
      <w:r w:rsidRPr="00CE0476">
        <w:rPr>
          <w:sz w:val="22"/>
        </w:rPr>
        <w:t>MTSA</w:t>
      </w:r>
      <w:proofErr w:type="spellEnd"/>
      <w:r w:rsidRPr="00CE0476">
        <w:rPr>
          <w:sz w:val="22"/>
        </w:rPr>
        <w:t>) (</w:t>
      </w:r>
      <w:proofErr w:type="spellStart"/>
      <w:r w:rsidRPr="00CE0476">
        <w:rPr>
          <w:sz w:val="22"/>
        </w:rPr>
        <w:t>P.L.</w:t>
      </w:r>
      <w:proofErr w:type="spellEnd"/>
      <w:r w:rsidRPr="00CE0476">
        <w:rPr>
          <w:sz w:val="22"/>
        </w:rPr>
        <w:t xml:space="preserve"> 107-295) </w:t>
      </w:r>
      <w:r w:rsidR="001E7992" w:rsidRPr="00CE0476">
        <w:rPr>
          <w:sz w:val="22"/>
        </w:rPr>
        <w:t>required</w:t>
      </w:r>
      <w:r w:rsidRPr="00CE0476">
        <w:rPr>
          <w:sz w:val="22"/>
        </w:rPr>
        <w:t xml:space="preserve"> the Secretary of Transportation </w:t>
      </w:r>
      <w:r w:rsidR="001E7992" w:rsidRPr="00CE0476">
        <w:rPr>
          <w:sz w:val="22"/>
        </w:rPr>
        <w:t>to develop</w:t>
      </w:r>
      <w:r w:rsidRPr="00CE0476">
        <w:rPr>
          <w:sz w:val="22"/>
        </w:rPr>
        <w:t xml:space="preserve"> “standards and curriculum to allow for the training and certification of maritime security professionals.”  The Secretary of Transportation delegated </w:t>
      </w:r>
      <w:proofErr w:type="gramStart"/>
      <w:r w:rsidRPr="00CE0476">
        <w:rPr>
          <w:sz w:val="22"/>
        </w:rPr>
        <w:t>th</w:t>
      </w:r>
      <w:r w:rsidR="001E7992" w:rsidRPr="00CE0476">
        <w:rPr>
          <w:sz w:val="22"/>
        </w:rPr>
        <w:t>is</w:t>
      </w:r>
      <w:r w:rsidRPr="00CE0476">
        <w:rPr>
          <w:sz w:val="22"/>
        </w:rPr>
        <w:t xml:space="preserve"> </w:t>
      </w:r>
      <w:r w:rsidR="00C4530D" w:rsidRPr="00CE0476">
        <w:rPr>
          <w:sz w:val="22"/>
        </w:rPr>
        <w:t>a</w:t>
      </w:r>
      <w:proofErr w:type="gramEnd"/>
      <w:r w:rsidRPr="00CE0476">
        <w:rPr>
          <w:sz w:val="22"/>
        </w:rPr>
        <w:t xml:space="preserve"> mandate to the Maritime Administration (MARAD) and the United States Merchant Marine Academy, which developed the required standards and curriculum.  </w:t>
      </w:r>
      <w:r w:rsidR="001E7992" w:rsidRPr="00CE0476">
        <w:rPr>
          <w:sz w:val="22"/>
        </w:rPr>
        <w:t>T</w:t>
      </w:r>
      <w:r w:rsidRPr="00CE0476">
        <w:rPr>
          <w:sz w:val="22"/>
        </w:rPr>
        <w:t xml:space="preserve">o assist parties implementing the education and training provisions of the </w:t>
      </w:r>
      <w:proofErr w:type="spellStart"/>
      <w:r w:rsidRPr="00CE0476">
        <w:rPr>
          <w:sz w:val="22"/>
        </w:rPr>
        <w:t>MTSA</w:t>
      </w:r>
      <w:proofErr w:type="spellEnd"/>
      <w:r w:rsidRPr="00CE0476">
        <w:rPr>
          <w:sz w:val="22"/>
        </w:rPr>
        <w:t>, MARAD, in conjunction with the U.S. Coast Guard, developed a voluntary program of maritime security course approval.  This program, in which course providers submit their course curricula and descriptions of their operations for review, provide</w:t>
      </w:r>
      <w:r w:rsidR="001E7992" w:rsidRPr="00CE0476">
        <w:rPr>
          <w:sz w:val="22"/>
        </w:rPr>
        <w:t>s</w:t>
      </w:r>
      <w:r w:rsidRPr="00CE0476">
        <w:rPr>
          <w:sz w:val="22"/>
        </w:rPr>
        <w:t xml:space="preserve"> a means through which providers may have their courses approved as incorporating the standards and curriculum developed under Section 109 of the </w:t>
      </w:r>
      <w:proofErr w:type="spellStart"/>
      <w:r w:rsidRPr="00CE0476">
        <w:rPr>
          <w:sz w:val="22"/>
        </w:rPr>
        <w:t>MTSA</w:t>
      </w:r>
      <w:proofErr w:type="spellEnd"/>
      <w:r w:rsidRPr="00CE0476">
        <w:rPr>
          <w:sz w:val="22"/>
        </w:rPr>
        <w:t>.</w:t>
      </w:r>
    </w:p>
    <w:p w:rsidR="00185AB6" w:rsidRPr="00CE0476" w:rsidRDefault="00185AB6">
      <w:pPr>
        <w:ind w:left="720"/>
        <w:rPr>
          <w:sz w:val="22"/>
        </w:rPr>
      </w:pPr>
    </w:p>
    <w:p w:rsidR="00185AB6" w:rsidRPr="00CE0476" w:rsidRDefault="00185AB6">
      <w:pPr>
        <w:ind w:left="720"/>
        <w:rPr>
          <w:sz w:val="22"/>
        </w:rPr>
      </w:pPr>
      <w:r w:rsidRPr="00CE0476">
        <w:rPr>
          <w:sz w:val="22"/>
        </w:rPr>
        <w:t>This collection satisfies the Secretary of Transportation’s National Security goal.</w:t>
      </w:r>
    </w:p>
    <w:p w:rsidR="00185AB6" w:rsidRPr="00CE0476" w:rsidRDefault="00185AB6">
      <w:pPr>
        <w:ind w:left="720"/>
        <w:rPr>
          <w:sz w:val="22"/>
        </w:rPr>
      </w:pPr>
    </w:p>
    <w:p w:rsidR="00185AB6" w:rsidRPr="00CE0476" w:rsidRDefault="00185AB6">
      <w:pPr>
        <w:tabs>
          <w:tab w:val="left" w:pos="-1440"/>
        </w:tabs>
        <w:ind w:left="720" w:hanging="720"/>
        <w:rPr>
          <w:sz w:val="22"/>
        </w:rPr>
      </w:pPr>
      <w:r w:rsidRPr="00CE0476">
        <w:rPr>
          <w:sz w:val="22"/>
        </w:rPr>
        <w:t>2</w:t>
      </w:r>
      <w:r w:rsidRPr="00CE0476">
        <w:rPr>
          <w:b/>
          <w:sz w:val="22"/>
        </w:rPr>
        <w:t>.</w:t>
      </w:r>
      <w:r w:rsidRPr="00CE0476">
        <w:rPr>
          <w:b/>
          <w:sz w:val="22"/>
        </w:rPr>
        <w:tab/>
        <w:t xml:space="preserve">Indicate how, by whom, and for what purpose the information is to </w:t>
      </w:r>
      <w:proofErr w:type="gramStart"/>
      <w:r w:rsidRPr="00CE0476">
        <w:rPr>
          <w:b/>
          <w:sz w:val="22"/>
        </w:rPr>
        <w:t>be used</w:t>
      </w:r>
      <w:proofErr w:type="gramEnd"/>
      <w:r w:rsidRPr="00CE0476">
        <w:rPr>
          <w:b/>
          <w:sz w:val="22"/>
        </w:rPr>
        <w:t>.  Except for a new collection, indicate the actual use the agency has made of the information received from the current collection</w:t>
      </w:r>
      <w:r w:rsidRPr="00CE0476">
        <w:rPr>
          <w:sz w:val="22"/>
        </w:rPr>
        <w:t>.</w:t>
      </w:r>
    </w:p>
    <w:p w:rsidR="00185AB6" w:rsidRPr="00CE0476" w:rsidRDefault="00185AB6">
      <w:pPr>
        <w:tabs>
          <w:tab w:val="left" w:pos="-1440"/>
        </w:tabs>
        <w:ind w:left="720" w:hanging="720"/>
        <w:rPr>
          <w:sz w:val="22"/>
        </w:rPr>
      </w:pPr>
    </w:p>
    <w:p w:rsidR="00185AB6" w:rsidRPr="00CE0476" w:rsidRDefault="00185AB6">
      <w:pPr>
        <w:tabs>
          <w:tab w:val="left" w:pos="-1440"/>
        </w:tabs>
        <w:ind w:left="720"/>
        <w:rPr>
          <w:sz w:val="22"/>
        </w:rPr>
      </w:pPr>
      <w:r w:rsidRPr="00CE0476">
        <w:rPr>
          <w:sz w:val="22"/>
        </w:rPr>
        <w:t xml:space="preserve">The </w:t>
      </w:r>
      <w:proofErr w:type="gramStart"/>
      <w:r w:rsidRPr="00CE0476">
        <w:rPr>
          <w:sz w:val="22"/>
        </w:rPr>
        <w:t xml:space="preserve">information provided </w:t>
      </w:r>
      <w:r w:rsidR="001E7992" w:rsidRPr="00CE0476">
        <w:rPr>
          <w:sz w:val="22"/>
        </w:rPr>
        <w:t xml:space="preserve">is </w:t>
      </w:r>
      <w:r w:rsidRPr="00CE0476">
        <w:rPr>
          <w:sz w:val="22"/>
        </w:rPr>
        <w:t xml:space="preserve">used by the Maritime Administration and the United States Coast Guard to review maritime security training courses and determine if they meet the standards and curriculum developed under Section 109 of </w:t>
      </w:r>
      <w:proofErr w:type="spellStart"/>
      <w:r w:rsidRPr="00CE0476">
        <w:rPr>
          <w:sz w:val="22"/>
        </w:rPr>
        <w:t>MTSA</w:t>
      </w:r>
      <w:proofErr w:type="spellEnd"/>
      <w:proofErr w:type="gramEnd"/>
      <w:r w:rsidR="00C4530D" w:rsidRPr="00CE0476">
        <w:rPr>
          <w:sz w:val="22"/>
        </w:rPr>
        <w:t xml:space="preserve">.  </w:t>
      </w:r>
      <w:r w:rsidR="001E7992" w:rsidRPr="00CE0476">
        <w:rPr>
          <w:sz w:val="22"/>
        </w:rPr>
        <w:t>MARAD uses the information to monitor courses available nationwide.</w:t>
      </w:r>
    </w:p>
    <w:p w:rsidR="002B6519" w:rsidRPr="00CE0476" w:rsidRDefault="002B6519">
      <w:pPr>
        <w:tabs>
          <w:tab w:val="left" w:pos="-1440"/>
        </w:tabs>
        <w:ind w:left="720"/>
        <w:rPr>
          <w:sz w:val="22"/>
        </w:rPr>
      </w:pPr>
    </w:p>
    <w:p w:rsidR="00185AB6" w:rsidRPr="00CE0476" w:rsidRDefault="00185AB6">
      <w:pPr>
        <w:tabs>
          <w:tab w:val="left" w:pos="-1440"/>
        </w:tabs>
        <w:ind w:left="720" w:hanging="720"/>
        <w:rPr>
          <w:sz w:val="22"/>
        </w:rPr>
      </w:pPr>
      <w:r w:rsidRPr="00CE0476">
        <w:rPr>
          <w:sz w:val="22"/>
        </w:rPr>
        <w:t>3.</w:t>
      </w:r>
      <w:r w:rsidRPr="00CE0476">
        <w:rPr>
          <w:sz w:val="22"/>
        </w:rPr>
        <w:tab/>
      </w:r>
      <w:r w:rsidRPr="00CE0476">
        <w:rPr>
          <w:b/>
          <w:sz w:val="22"/>
        </w:rPr>
        <w:t xml:space="preserve">Describe whether, and to what extent, the collection of information involves the use of automated, electronic, mechanical, or other technological collection techniques or other forms of information technology.  </w:t>
      </w:r>
      <w:proofErr w:type="gramStart"/>
      <w:r w:rsidRPr="00CE0476">
        <w:rPr>
          <w:b/>
          <w:sz w:val="22"/>
        </w:rPr>
        <w:t>Also</w:t>
      </w:r>
      <w:proofErr w:type="gramEnd"/>
      <w:r w:rsidRPr="00CE0476">
        <w:rPr>
          <w:b/>
          <w:sz w:val="22"/>
        </w:rPr>
        <w:t xml:space="preserve"> describe any consideration of using information technology to reduce burden</w:t>
      </w:r>
      <w:r w:rsidRPr="00CE0476">
        <w:rPr>
          <w:sz w:val="22"/>
        </w:rPr>
        <w:t>.</w:t>
      </w:r>
    </w:p>
    <w:p w:rsidR="00185AB6" w:rsidRPr="00CE0476" w:rsidRDefault="00185AB6">
      <w:pPr>
        <w:tabs>
          <w:tab w:val="left" w:pos="-1440"/>
        </w:tabs>
        <w:ind w:left="720" w:hanging="720"/>
        <w:rPr>
          <w:sz w:val="22"/>
        </w:rPr>
      </w:pPr>
    </w:p>
    <w:p w:rsidR="00185AB6" w:rsidRPr="00CE0476" w:rsidRDefault="00185AB6">
      <w:pPr>
        <w:pStyle w:val="a"/>
        <w:tabs>
          <w:tab w:val="left" w:pos="-1440"/>
        </w:tabs>
        <w:ind w:left="720" w:firstLine="0"/>
        <w:rPr>
          <w:sz w:val="22"/>
        </w:rPr>
      </w:pPr>
      <w:r w:rsidRPr="00CE0476">
        <w:rPr>
          <w:sz w:val="22"/>
        </w:rPr>
        <w:t xml:space="preserve">MARAD </w:t>
      </w:r>
      <w:r w:rsidR="001E7992" w:rsidRPr="00CE0476">
        <w:rPr>
          <w:sz w:val="22"/>
        </w:rPr>
        <w:t xml:space="preserve">has </w:t>
      </w:r>
      <w:r w:rsidRPr="00CE0476">
        <w:rPr>
          <w:sz w:val="22"/>
        </w:rPr>
        <w:t>establish</w:t>
      </w:r>
      <w:r w:rsidR="001E7992" w:rsidRPr="00CE0476">
        <w:rPr>
          <w:sz w:val="22"/>
        </w:rPr>
        <w:t>ed</w:t>
      </w:r>
      <w:r w:rsidRPr="00CE0476">
        <w:rPr>
          <w:sz w:val="22"/>
        </w:rPr>
        <w:t xml:space="preserve"> a system for electronic submission of information by course providers.  Communication regarding the status of submissions and the granting or denial of certification </w:t>
      </w:r>
      <w:proofErr w:type="gramStart"/>
      <w:r w:rsidR="001E7992" w:rsidRPr="00CE0476">
        <w:rPr>
          <w:sz w:val="22"/>
        </w:rPr>
        <w:t xml:space="preserve">is </w:t>
      </w:r>
      <w:r w:rsidRPr="00CE0476">
        <w:rPr>
          <w:sz w:val="22"/>
        </w:rPr>
        <w:t>conducted</w:t>
      </w:r>
      <w:proofErr w:type="gramEnd"/>
      <w:r w:rsidRPr="00CE0476">
        <w:rPr>
          <w:sz w:val="22"/>
        </w:rPr>
        <w:t xml:space="preserve"> electronically.  </w:t>
      </w:r>
      <w:r w:rsidR="001E7992" w:rsidRPr="00CE0476">
        <w:rPr>
          <w:sz w:val="22"/>
        </w:rPr>
        <w:t xml:space="preserve">Almost all </w:t>
      </w:r>
      <w:r w:rsidRPr="00CE0476">
        <w:rPr>
          <w:sz w:val="22"/>
        </w:rPr>
        <w:t xml:space="preserve">submissions </w:t>
      </w:r>
      <w:proofErr w:type="gramStart"/>
      <w:r w:rsidR="001E7992" w:rsidRPr="00CE0476">
        <w:rPr>
          <w:sz w:val="22"/>
        </w:rPr>
        <w:t>have been</w:t>
      </w:r>
      <w:r w:rsidRPr="00CE0476">
        <w:rPr>
          <w:sz w:val="22"/>
        </w:rPr>
        <w:t xml:space="preserve"> sent</w:t>
      </w:r>
      <w:proofErr w:type="gramEnd"/>
      <w:r w:rsidRPr="00CE0476">
        <w:rPr>
          <w:sz w:val="22"/>
        </w:rPr>
        <w:t xml:space="preserve"> electronically; however, </w:t>
      </w:r>
      <w:r w:rsidR="001E7992" w:rsidRPr="00CE0476">
        <w:rPr>
          <w:sz w:val="22"/>
        </w:rPr>
        <w:t xml:space="preserve">there is </w:t>
      </w:r>
      <w:r w:rsidRPr="00CE0476">
        <w:rPr>
          <w:sz w:val="22"/>
        </w:rPr>
        <w:t>an alternative method of manual submission used by respondents for whom electronic submission would constitute a burden.</w:t>
      </w:r>
    </w:p>
    <w:p w:rsidR="00185AB6" w:rsidRPr="00CE0476" w:rsidRDefault="00185AB6">
      <w:pPr>
        <w:pStyle w:val="a"/>
        <w:tabs>
          <w:tab w:val="left" w:pos="-1440"/>
        </w:tabs>
        <w:ind w:left="720" w:firstLine="0"/>
        <w:rPr>
          <w:sz w:val="22"/>
        </w:rPr>
      </w:pPr>
    </w:p>
    <w:p w:rsidR="00185AB6" w:rsidRPr="00CE0476" w:rsidRDefault="00185AB6">
      <w:pPr>
        <w:numPr>
          <w:ilvl w:val="0"/>
          <w:numId w:val="5"/>
        </w:numPr>
        <w:tabs>
          <w:tab w:val="left" w:pos="-1440"/>
        </w:tabs>
        <w:rPr>
          <w:sz w:val="22"/>
        </w:rPr>
      </w:pPr>
      <w:r w:rsidRPr="00CE0476">
        <w:rPr>
          <w:b/>
          <w:sz w:val="22"/>
        </w:rPr>
        <w:t>Describe efforts to identify duplication.  Show specifically why any similar information already available cannot be used or modified for use for the purposes described in item 2 above</w:t>
      </w:r>
      <w:r w:rsidRPr="00CE0476">
        <w:rPr>
          <w:sz w:val="22"/>
        </w:rPr>
        <w:t>.</w:t>
      </w:r>
    </w:p>
    <w:p w:rsidR="00185AB6" w:rsidRPr="00CE0476" w:rsidRDefault="00185AB6">
      <w:pPr>
        <w:tabs>
          <w:tab w:val="left" w:pos="-1440"/>
        </w:tabs>
        <w:ind w:left="720" w:hanging="720"/>
        <w:rPr>
          <w:sz w:val="22"/>
        </w:rPr>
      </w:pPr>
    </w:p>
    <w:p w:rsidR="00185AB6" w:rsidRPr="00CE0476" w:rsidRDefault="00185AB6">
      <w:pPr>
        <w:tabs>
          <w:tab w:val="left" w:pos="-1440"/>
        </w:tabs>
        <w:ind w:left="720"/>
        <w:rPr>
          <w:sz w:val="22"/>
        </w:rPr>
      </w:pPr>
      <w:r w:rsidRPr="00CE0476">
        <w:rPr>
          <w:sz w:val="22"/>
        </w:rPr>
        <w:lastRenderedPageBreak/>
        <w:t>MARAD ha</w:t>
      </w:r>
      <w:r w:rsidR="00CE0476" w:rsidRPr="00CE0476">
        <w:rPr>
          <w:sz w:val="22"/>
        </w:rPr>
        <w:t>d</w:t>
      </w:r>
      <w:r w:rsidRPr="00CE0476">
        <w:rPr>
          <w:sz w:val="22"/>
        </w:rPr>
        <w:t xml:space="preserve"> never collected information from maritime security training course providers</w:t>
      </w:r>
      <w:r w:rsidR="00CE0476" w:rsidRPr="00CE0476">
        <w:rPr>
          <w:sz w:val="22"/>
        </w:rPr>
        <w:t xml:space="preserve"> before</w:t>
      </w:r>
      <w:proofErr w:type="gramStart"/>
      <w:r w:rsidRPr="00CE0476">
        <w:rPr>
          <w:sz w:val="22"/>
        </w:rPr>
        <w:t>.</w:t>
      </w:r>
      <w:r w:rsidR="00CE0476" w:rsidRPr="00CE0476">
        <w:rPr>
          <w:sz w:val="22"/>
        </w:rPr>
        <w:t xml:space="preserve"> </w:t>
      </w:r>
      <w:proofErr w:type="gramEnd"/>
      <w:r w:rsidR="00CE0476" w:rsidRPr="00CE0476">
        <w:rPr>
          <w:sz w:val="22"/>
        </w:rPr>
        <w:t xml:space="preserve">It has been determined that the data </w:t>
      </w:r>
      <w:proofErr w:type="gramStart"/>
      <w:r w:rsidR="00CE0476" w:rsidRPr="00CE0476">
        <w:rPr>
          <w:sz w:val="22"/>
        </w:rPr>
        <w:t>being requested</w:t>
      </w:r>
      <w:proofErr w:type="gramEnd"/>
      <w:r w:rsidR="00CE0476" w:rsidRPr="00CE0476">
        <w:rPr>
          <w:sz w:val="22"/>
        </w:rPr>
        <w:t xml:space="preserve"> from the applicants is unique to the program. </w:t>
      </w:r>
    </w:p>
    <w:p w:rsidR="00185AB6" w:rsidRPr="00CE0476" w:rsidRDefault="00185AB6">
      <w:pPr>
        <w:tabs>
          <w:tab w:val="left" w:pos="-1440"/>
        </w:tabs>
        <w:ind w:left="720"/>
        <w:rPr>
          <w:sz w:val="22"/>
        </w:rPr>
      </w:pPr>
    </w:p>
    <w:p w:rsidR="00185AB6" w:rsidRPr="00CE0476" w:rsidRDefault="00185AB6">
      <w:pPr>
        <w:tabs>
          <w:tab w:val="left" w:pos="-1440"/>
        </w:tabs>
        <w:ind w:left="720" w:hanging="720"/>
        <w:rPr>
          <w:sz w:val="22"/>
        </w:rPr>
      </w:pPr>
      <w:r w:rsidRPr="00CE0476">
        <w:rPr>
          <w:sz w:val="22"/>
        </w:rPr>
        <w:t>5.</w:t>
      </w:r>
      <w:r w:rsidRPr="00CE0476">
        <w:rPr>
          <w:sz w:val="22"/>
        </w:rPr>
        <w:tab/>
      </w:r>
      <w:r w:rsidRPr="00CE0476">
        <w:rPr>
          <w:b/>
          <w:sz w:val="22"/>
        </w:rPr>
        <w:t>If the collection of information involves small businesses or other small entities, describe the methods used to minimize burden</w:t>
      </w:r>
      <w:r w:rsidRPr="00CE0476">
        <w:rPr>
          <w:sz w:val="22"/>
        </w:rPr>
        <w:t>.</w:t>
      </w:r>
    </w:p>
    <w:p w:rsidR="00185AB6" w:rsidRPr="00CE0476" w:rsidRDefault="00185AB6">
      <w:pPr>
        <w:tabs>
          <w:tab w:val="left" w:pos="-1440"/>
        </w:tabs>
        <w:ind w:left="720"/>
        <w:rPr>
          <w:sz w:val="22"/>
        </w:rPr>
      </w:pPr>
    </w:p>
    <w:p w:rsidR="00185AB6" w:rsidRPr="00CE0476" w:rsidRDefault="00185AB6">
      <w:pPr>
        <w:tabs>
          <w:tab w:val="left" w:pos="-1440"/>
        </w:tabs>
        <w:ind w:left="720" w:hanging="720"/>
        <w:rPr>
          <w:sz w:val="22"/>
        </w:rPr>
      </w:pPr>
      <w:r w:rsidRPr="00CE0476">
        <w:rPr>
          <w:sz w:val="22"/>
        </w:rPr>
        <w:tab/>
      </w:r>
      <w:r w:rsidR="00624354" w:rsidRPr="00CE0476">
        <w:rPr>
          <w:sz w:val="22"/>
        </w:rPr>
        <w:t xml:space="preserve">Several </w:t>
      </w:r>
      <w:r w:rsidRPr="00CE0476">
        <w:rPr>
          <w:sz w:val="22"/>
        </w:rPr>
        <w:t xml:space="preserve">businesses or other small entities </w:t>
      </w:r>
      <w:r w:rsidR="00624354" w:rsidRPr="00CE0476">
        <w:rPr>
          <w:sz w:val="22"/>
        </w:rPr>
        <w:t>are</w:t>
      </w:r>
      <w:r w:rsidRPr="00CE0476">
        <w:rPr>
          <w:sz w:val="22"/>
        </w:rPr>
        <w:t xml:space="preserve"> among the respondents to this collection.  To minimize the burden of providing the information to be collected, </w:t>
      </w:r>
      <w:r w:rsidR="00624354" w:rsidRPr="00CE0476">
        <w:rPr>
          <w:sz w:val="22"/>
        </w:rPr>
        <w:t xml:space="preserve">MARAD uses </w:t>
      </w:r>
      <w:r w:rsidRPr="00CE0476">
        <w:rPr>
          <w:sz w:val="22"/>
        </w:rPr>
        <w:t xml:space="preserve">electronic submission procedures.  Furthermore, the content of the information collection </w:t>
      </w:r>
      <w:proofErr w:type="gramStart"/>
      <w:r w:rsidRPr="00CE0476">
        <w:rPr>
          <w:sz w:val="22"/>
        </w:rPr>
        <w:t>will be based</w:t>
      </w:r>
      <w:proofErr w:type="gramEnd"/>
      <w:r w:rsidRPr="00CE0476">
        <w:rPr>
          <w:sz w:val="22"/>
        </w:rPr>
        <w:t xml:space="preserve"> on widely available model courses that provide explicit guidance on the content expected in applications for course approval.</w:t>
      </w:r>
    </w:p>
    <w:p w:rsidR="00185AB6" w:rsidRPr="00CE0476" w:rsidRDefault="00185AB6">
      <w:pPr>
        <w:tabs>
          <w:tab w:val="left" w:pos="-1440"/>
        </w:tabs>
        <w:ind w:left="720" w:hanging="720"/>
        <w:rPr>
          <w:sz w:val="22"/>
        </w:rPr>
      </w:pPr>
    </w:p>
    <w:p w:rsidR="00185AB6" w:rsidRPr="00CE0476" w:rsidRDefault="00185AB6">
      <w:pPr>
        <w:tabs>
          <w:tab w:val="left" w:pos="-1440"/>
        </w:tabs>
        <w:ind w:left="720" w:hanging="720"/>
        <w:rPr>
          <w:sz w:val="22"/>
        </w:rPr>
      </w:pPr>
      <w:proofErr w:type="gramStart"/>
      <w:r w:rsidRPr="00CE0476">
        <w:rPr>
          <w:b/>
          <w:sz w:val="22"/>
        </w:rPr>
        <w:t xml:space="preserve">6. </w:t>
      </w:r>
      <w:r w:rsidRPr="00CE0476">
        <w:rPr>
          <w:b/>
          <w:sz w:val="22"/>
        </w:rPr>
        <w:tab/>
        <w:t>Describe the consequence to Federal program or policy activities if the collection is not conducted or is conducted less frequently, as well as any technical or legal obstacles to reducing the burden</w:t>
      </w:r>
      <w:r w:rsidRPr="00CE0476">
        <w:rPr>
          <w:sz w:val="22"/>
        </w:rPr>
        <w:t>.</w:t>
      </w:r>
      <w:proofErr w:type="gramEnd"/>
    </w:p>
    <w:p w:rsidR="00185AB6" w:rsidRPr="00CE0476" w:rsidRDefault="00185AB6">
      <w:pPr>
        <w:pStyle w:val="BodyTextIndent3"/>
        <w:tabs>
          <w:tab w:val="left" w:pos="-1440"/>
        </w:tabs>
      </w:pPr>
    </w:p>
    <w:p w:rsidR="00185AB6" w:rsidRPr="00CE0476" w:rsidRDefault="002C6391">
      <w:pPr>
        <w:pStyle w:val="BodyTextIndent3"/>
        <w:tabs>
          <w:tab w:val="left" w:pos="-1440"/>
        </w:tabs>
      </w:pPr>
      <w:r w:rsidRPr="00CE0476">
        <w:t xml:space="preserve">If this collection </w:t>
      </w:r>
      <w:proofErr w:type="gramStart"/>
      <w:r w:rsidRPr="00CE0476">
        <w:t>is not conducted</w:t>
      </w:r>
      <w:proofErr w:type="gramEnd"/>
      <w:r w:rsidRPr="00CE0476">
        <w:t>, maritime security personnel who must comply with the regulations will lack key information on where to obtain this training</w:t>
      </w:r>
      <w:r w:rsidR="00C4530D" w:rsidRPr="00CE0476">
        <w:t xml:space="preserve">.  </w:t>
      </w:r>
      <w:r w:rsidR="00185AB6" w:rsidRPr="00CE0476">
        <w:t xml:space="preserve">The </w:t>
      </w:r>
      <w:proofErr w:type="spellStart"/>
      <w:r w:rsidR="00185AB6" w:rsidRPr="00CE0476">
        <w:t>MTSA</w:t>
      </w:r>
      <w:proofErr w:type="spellEnd"/>
      <w:r w:rsidR="00185AB6" w:rsidRPr="00CE0476">
        <w:t xml:space="preserve"> regulations require training for maritime security personnel.  Th</w:t>
      </w:r>
      <w:r w:rsidRPr="00CE0476">
        <w:t xml:space="preserve">is information collection </w:t>
      </w:r>
      <w:r w:rsidR="00185AB6" w:rsidRPr="00CE0476">
        <w:t>program facilitate</w:t>
      </w:r>
      <w:r w:rsidRPr="00CE0476">
        <w:t>s</w:t>
      </w:r>
      <w:r w:rsidR="00185AB6" w:rsidRPr="00CE0476">
        <w:t xml:space="preserve"> the training of maritime security personnel </w:t>
      </w:r>
      <w:r w:rsidR="00CD118D" w:rsidRPr="00CE0476">
        <w:t xml:space="preserve">by </w:t>
      </w:r>
      <w:r w:rsidRPr="00CE0476">
        <w:t>informing</w:t>
      </w:r>
      <w:r w:rsidR="00185AB6" w:rsidRPr="00CE0476">
        <w:t xml:space="preserve"> facility and vessel operators which training course providers </w:t>
      </w:r>
      <w:r w:rsidRPr="00CE0476">
        <w:t>meet</w:t>
      </w:r>
      <w:r w:rsidR="00185AB6" w:rsidRPr="00CE0476">
        <w:t xml:space="preserve"> the </w:t>
      </w:r>
      <w:proofErr w:type="spellStart"/>
      <w:r w:rsidR="00185AB6" w:rsidRPr="00CE0476">
        <w:t>MTSA</w:t>
      </w:r>
      <w:proofErr w:type="spellEnd"/>
      <w:r w:rsidR="00185AB6" w:rsidRPr="00CE0476">
        <w:t xml:space="preserve"> Section 109 training and curriculum standards.  </w:t>
      </w:r>
    </w:p>
    <w:p w:rsidR="00185AB6" w:rsidRPr="00CE0476" w:rsidRDefault="00185AB6">
      <w:pPr>
        <w:tabs>
          <w:tab w:val="left" w:pos="-1440"/>
        </w:tabs>
        <w:rPr>
          <w:sz w:val="22"/>
        </w:rPr>
      </w:pPr>
    </w:p>
    <w:p w:rsidR="00185AB6" w:rsidRPr="00CE0476" w:rsidRDefault="00185AB6">
      <w:pPr>
        <w:tabs>
          <w:tab w:val="left" w:pos="-1440"/>
        </w:tabs>
        <w:ind w:left="720" w:hanging="720"/>
        <w:rPr>
          <w:sz w:val="22"/>
        </w:rPr>
      </w:pPr>
      <w:r w:rsidRPr="00CE0476">
        <w:rPr>
          <w:sz w:val="22"/>
        </w:rPr>
        <w:t>7.</w:t>
      </w:r>
      <w:r w:rsidRPr="00CE0476">
        <w:rPr>
          <w:sz w:val="22"/>
        </w:rPr>
        <w:tab/>
      </w:r>
      <w:r w:rsidRPr="00CE0476">
        <w:rPr>
          <w:b/>
          <w:sz w:val="22"/>
        </w:rPr>
        <w:t>Explain any special circumstances that would affect the manner of information collection.</w:t>
      </w:r>
    </w:p>
    <w:p w:rsidR="00185AB6" w:rsidRPr="00CE0476" w:rsidRDefault="00185AB6">
      <w:pPr>
        <w:rPr>
          <w:sz w:val="22"/>
        </w:rPr>
      </w:pPr>
    </w:p>
    <w:p w:rsidR="00185AB6" w:rsidRPr="00CE0476" w:rsidRDefault="00185AB6">
      <w:pPr>
        <w:rPr>
          <w:sz w:val="22"/>
        </w:rPr>
      </w:pPr>
      <w:r w:rsidRPr="00CE0476">
        <w:rPr>
          <w:sz w:val="22"/>
        </w:rPr>
        <w:tab/>
        <w:t>None</w:t>
      </w:r>
    </w:p>
    <w:p w:rsidR="00185AB6" w:rsidRPr="00CE0476" w:rsidRDefault="00185AB6">
      <w:pPr>
        <w:tabs>
          <w:tab w:val="left" w:pos="-1440"/>
        </w:tabs>
        <w:rPr>
          <w:b/>
          <w:sz w:val="22"/>
        </w:rPr>
      </w:pPr>
    </w:p>
    <w:p w:rsidR="00185AB6" w:rsidRPr="00CE0476" w:rsidRDefault="00185AB6">
      <w:pPr>
        <w:tabs>
          <w:tab w:val="left" w:pos="-1440"/>
        </w:tabs>
        <w:rPr>
          <w:b/>
          <w:sz w:val="22"/>
        </w:rPr>
      </w:pPr>
      <w:r w:rsidRPr="00CE0476">
        <w:rPr>
          <w:b/>
          <w:sz w:val="22"/>
        </w:rPr>
        <w:tab/>
        <w:t xml:space="preserve">Explain any special circumstances that would cause an information collection to be </w:t>
      </w:r>
    </w:p>
    <w:p w:rsidR="00185AB6" w:rsidRPr="00CE0476" w:rsidRDefault="00185AB6">
      <w:pPr>
        <w:tabs>
          <w:tab w:val="left" w:pos="-1440"/>
        </w:tabs>
        <w:rPr>
          <w:b/>
          <w:sz w:val="22"/>
        </w:rPr>
      </w:pPr>
      <w:r w:rsidRPr="00CE0476">
        <w:rPr>
          <w:b/>
          <w:sz w:val="22"/>
        </w:rPr>
        <w:tab/>
      </w:r>
      <w:proofErr w:type="gramStart"/>
      <w:r w:rsidRPr="00CE0476">
        <w:rPr>
          <w:b/>
          <w:sz w:val="22"/>
        </w:rPr>
        <w:t>conducted</w:t>
      </w:r>
      <w:proofErr w:type="gramEnd"/>
      <w:r w:rsidRPr="00CE0476">
        <w:rPr>
          <w:b/>
          <w:sz w:val="22"/>
        </w:rPr>
        <w:t xml:space="preserve"> in a manner:</w:t>
      </w:r>
    </w:p>
    <w:p w:rsidR="00185AB6" w:rsidRPr="00CE0476" w:rsidRDefault="00185AB6" w:rsidP="002B6519">
      <w:pPr>
        <w:numPr>
          <w:ilvl w:val="0"/>
          <w:numId w:val="12"/>
        </w:numPr>
        <w:tabs>
          <w:tab w:val="left" w:pos="-1440"/>
          <w:tab w:val="left" w:pos="1080"/>
        </w:tabs>
        <w:ind w:left="1080"/>
        <w:rPr>
          <w:sz w:val="22"/>
        </w:rPr>
      </w:pPr>
      <w:r w:rsidRPr="00CE0476">
        <w:rPr>
          <w:b/>
          <w:sz w:val="22"/>
        </w:rPr>
        <w:t>requiring respondents to report information to the agency more often than quarterly;</w:t>
      </w:r>
    </w:p>
    <w:p w:rsidR="00185AB6" w:rsidRPr="00CE0476" w:rsidRDefault="00185AB6" w:rsidP="002B6519">
      <w:pPr>
        <w:numPr>
          <w:ilvl w:val="0"/>
          <w:numId w:val="12"/>
        </w:numPr>
        <w:tabs>
          <w:tab w:val="left" w:pos="-1440"/>
          <w:tab w:val="left" w:pos="1080"/>
        </w:tabs>
        <w:ind w:left="1080"/>
        <w:rPr>
          <w:sz w:val="22"/>
        </w:rPr>
      </w:pPr>
      <w:r w:rsidRPr="00CE0476">
        <w:rPr>
          <w:b/>
          <w:sz w:val="22"/>
        </w:rPr>
        <w:t>requiring respondents to prepare a written response to a collection of information in fewer than 30 days after receipt of it;</w:t>
      </w:r>
    </w:p>
    <w:p w:rsidR="00185AB6" w:rsidRPr="00CE0476" w:rsidRDefault="00185AB6" w:rsidP="002B6519">
      <w:pPr>
        <w:numPr>
          <w:ilvl w:val="0"/>
          <w:numId w:val="12"/>
        </w:numPr>
        <w:tabs>
          <w:tab w:val="left" w:pos="-1440"/>
          <w:tab w:val="left" w:pos="1080"/>
        </w:tabs>
        <w:ind w:left="1080"/>
        <w:rPr>
          <w:sz w:val="22"/>
        </w:rPr>
      </w:pPr>
      <w:r w:rsidRPr="00CE0476">
        <w:rPr>
          <w:b/>
          <w:sz w:val="22"/>
        </w:rPr>
        <w:t>requiring respondents to submit more than an original and two copies of any document;</w:t>
      </w:r>
    </w:p>
    <w:p w:rsidR="00185AB6" w:rsidRPr="00CE0476" w:rsidRDefault="00185AB6" w:rsidP="002B6519">
      <w:pPr>
        <w:numPr>
          <w:ilvl w:val="0"/>
          <w:numId w:val="12"/>
        </w:numPr>
        <w:tabs>
          <w:tab w:val="left" w:pos="-1440"/>
          <w:tab w:val="left" w:pos="1080"/>
        </w:tabs>
        <w:ind w:left="1080"/>
        <w:rPr>
          <w:sz w:val="22"/>
        </w:rPr>
      </w:pPr>
      <w:r w:rsidRPr="00CE0476">
        <w:rPr>
          <w:b/>
          <w:sz w:val="22"/>
        </w:rPr>
        <w:t>requiring respondents to retain records, other than health, medical, government contract, grant-in-aid, or tax records for more than three years;</w:t>
      </w:r>
    </w:p>
    <w:p w:rsidR="00185AB6" w:rsidRPr="00CE0476" w:rsidRDefault="00185AB6" w:rsidP="002B6519">
      <w:pPr>
        <w:numPr>
          <w:ilvl w:val="0"/>
          <w:numId w:val="12"/>
        </w:numPr>
        <w:tabs>
          <w:tab w:val="left" w:pos="-1440"/>
          <w:tab w:val="left" w:pos="1080"/>
        </w:tabs>
        <w:ind w:left="1080"/>
        <w:rPr>
          <w:sz w:val="22"/>
        </w:rPr>
      </w:pPr>
      <w:r w:rsidRPr="00CE0476">
        <w:rPr>
          <w:b/>
          <w:sz w:val="22"/>
        </w:rPr>
        <w:t>in connection with a statistical survey, that is not designed to produce valid and reliable results that can be generalized to the universe of study;</w:t>
      </w:r>
    </w:p>
    <w:p w:rsidR="00185AB6" w:rsidRPr="00CE0476" w:rsidRDefault="00185AB6" w:rsidP="002B6519">
      <w:pPr>
        <w:numPr>
          <w:ilvl w:val="0"/>
          <w:numId w:val="12"/>
        </w:numPr>
        <w:tabs>
          <w:tab w:val="left" w:pos="-1440"/>
          <w:tab w:val="left" w:pos="1080"/>
        </w:tabs>
        <w:ind w:left="1080"/>
        <w:rPr>
          <w:sz w:val="22"/>
        </w:rPr>
      </w:pPr>
      <w:r w:rsidRPr="00CE0476">
        <w:rPr>
          <w:b/>
          <w:sz w:val="22"/>
        </w:rPr>
        <w:t>requiring the use of a statistical data classification that has not been reviewed and approved by OMB;</w:t>
      </w:r>
    </w:p>
    <w:p w:rsidR="00185AB6" w:rsidRPr="00CE0476" w:rsidRDefault="00185AB6" w:rsidP="002B6519">
      <w:pPr>
        <w:numPr>
          <w:ilvl w:val="0"/>
          <w:numId w:val="12"/>
        </w:numPr>
        <w:tabs>
          <w:tab w:val="left" w:pos="-1440"/>
          <w:tab w:val="left" w:pos="1080"/>
        </w:tabs>
        <w:ind w:left="1080"/>
        <w:rPr>
          <w:sz w:val="22"/>
        </w:rPr>
      </w:pPr>
      <w:r w:rsidRPr="00CE0476">
        <w:rPr>
          <w:b/>
          <w:sz w:val="22"/>
        </w:rPr>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00185AB6" w:rsidRPr="00CE0476" w:rsidRDefault="00185AB6" w:rsidP="002B6519">
      <w:pPr>
        <w:numPr>
          <w:ilvl w:val="0"/>
          <w:numId w:val="12"/>
        </w:numPr>
        <w:tabs>
          <w:tab w:val="left" w:pos="-1440"/>
          <w:tab w:val="left" w:pos="1080"/>
        </w:tabs>
        <w:ind w:left="1080"/>
        <w:rPr>
          <w:sz w:val="22"/>
        </w:rPr>
      </w:pPr>
      <w:r w:rsidRPr="00CE0476">
        <w:rPr>
          <w:b/>
          <w:sz w:val="22"/>
        </w:rPr>
        <w:t>requiring respondents to submit proprietary trade secret, or other confidential information unless the agency can demonstrate that it has instituted procedures to protect the information’s confidentiality to the extent permitted by law.</w:t>
      </w:r>
    </w:p>
    <w:p w:rsidR="00185AB6" w:rsidRPr="00CE0476" w:rsidRDefault="00185AB6">
      <w:pPr>
        <w:rPr>
          <w:sz w:val="22"/>
        </w:rPr>
      </w:pPr>
    </w:p>
    <w:p w:rsidR="00185AB6" w:rsidRPr="00CE0476" w:rsidRDefault="00185AB6">
      <w:pPr>
        <w:ind w:left="360" w:firstLine="360"/>
        <w:rPr>
          <w:sz w:val="22"/>
        </w:rPr>
      </w:pPr>
      <w:r w:rsidRPr="00CE0476">
        <w:rPr>
          <w:sz w:val="22"/>
        </w:rPr>
        <w:t>None</w:t>
      </w:r>
    </w:p>
    <w:p w:rsidR="00185AB6" w:rsidRPr="00CE0476" w:rsidRDefault="00185AB6">
      <w:pPr>
        <w:ind w:left="360" w:firstLine="360"/>
        <w:rPr>
          <w:sz w:val="22"/>
        </w:rPr>
      </w:pPr>
    </w:p>
    <w:p w:rsidR="00185AB6" w:rsidRPr="00CE0476" w:rsidRDefault="00185AB6">
      <w:pPr>
        <w:tabs>
          <w:tab w:val="left" w:pos="-1440"/>
        </w:tabs>
        <w:ind w:left="720" w:hanging="720"/>
        <w:rPr>
          <w:sz w:val="22"/>
        </w:rPr>
      </w:pPr>
      <w:r w:rsidRPr="00CE0476">
        <w:rPr>
          <w:sz w:val="22"/>
        </w:rPr>
        <w:lastRenderedPageBreak/>
        <w:t>8.</w:t>
      </w:r>
      <w:r w:rsidRPr="00CE0476">
        <w:rPr>
          <w:sz w:val="22"/>
        </w:rPr>
        <w:tab/>
      </w:r>
      <w:r w:rsidRPr="00CE0476">
        <w:rPr>
          <w:b/>
          <w:sz w:val="22"/>
        </w:rPr>
        <w:t xml:space="preserve">If applicable, provide a copy and identify the date and page number of publication in the </w:t>
      </w:r>
      <w:r w:rsidRPr="00CE0476">
        <w:rPr>
          <w:b/>
          <w:sz w:val="22"/>
          <w:u w:val="single"/>
        </w:rPr>
        <w:t>Federal</w:t>
      </w:r>
      <w:r w:rsidRPr="00CE0476">
        <w:rPr>
          <w:b/>
          <w:sz w:val="22"/>
        </w:rPr>
        <w:t xml:space="preserve"> </w:t>
      </w:r>
      <w:r w:rsidRPr="00CE0476">
        <w:rPr>
          <w:b/>
          <w:sz w:val="22"/>
          <w:u w:val="single"/>
        </w:rPr>
        <w:t>Register</w:t>
      </w:r>
      <w:r w:rsidRPr="00CE0476">
        <w:rPr>
          <w:b/>
          <w:sz w:val="22"/>
        </w:rPr>
        <w:t xml:space="preserve"> of the agency’s notice required by </w:t>
      </w:r>
      <w:proofErr w:type="gramStart"/>
      <w:r w:rsidRPr="00CE0476">
        <w:rPr>
          <w:b/>
          <w:sz w:val="22"/>
        </w:rPr>
        <w:t>5</w:t>
      </w:r>
      <w:proofErr w:type="gramEnd"/>
      <w:r w:rsidRPr="00CE0476">
        <w:rPr>
          <w:b/>
          <w:sz w:val="22"/>
        </w:rPr>
        <w:t xml:space="preserve"> </w:t>
      </w:r>
      <w:proofErr w:type="spellStart"/>
      <w:r w:rsidRPr="00CE0476">
        <w:rPr>
          <w:b/>
          <w:sz w:val="22"/>
        </w:rPr>
        <w:t>CFR</w:t>
      </w:r>
      <w:proofErr w:type="spellEnd"/>
      <w:r w:rsidRPr="00CE0476">
        <w:rPr>
          <w:b/>
          <w:sz w:val="22"/>
        </w:rPr>
        <w:t xml:space="preserve"> 1320.8(d), soli</w:t>
      </w:r>
      <w:r w:rsidRPr="00CE0476">
        <w:rPr>
          <w:b/>
          <w:sz w:val="22"/>
        </w:rPr>
        <w:softHyphen/>
        <w:t>cit</w:t>
      </w:r>
      <w:r w:rsidRPr="00CE0476">
        <w:rPr>
          <w:b/>
          <w:sz w:val="22"/>
        </w:rPr>
        <w:softHyphen/>
        <w: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CE0476">
        <w:rPr>
          <w:sz w:val="22"/>
        </w:rPr>
        <w:t>.</w:t>
      </w:r>
    </w:p>
    <w:p w:rsidR="00185AB6" w:rsidRPr="00CE0476" w:rsidRDefault="00185AB6">
      <w:pPr>
        <w:rPr>
          <w:sz w:val="22"/>
        </w:rPr>
      </w:pPr>
    </w:p>
    <w:p w:rsidR="00185AB6" w:rsidRPr="00CE0476" w:rsidRDefault="00185AB6">
      <w:pPr>
        <w:ind w:left="720"/>
        <w:rPr>
          <w:b/>
          <w:sz w:val="22"/>
        </w:rPr>
      </w:pPr>
      <w:r w:rsidRPr="00CE0476">
        <w:rPr>
          <w:b/>
          <w:sz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85AB6" w:rsidRPr="00CE0476" w:rsidRDefault="00185AB6">
      <w:pPr>
        <w:rPr>
          <w:b/>
          <w:sz w:val="22"/>
        </w:rPr>
      </w:pPr>
    </w:p>
    <w:p w:rsidR="00185AB6" w:rsidRPr="00CE0476" w:rsidRDefault="00185AB6">
      <w:pPr>
        <w:ind w:left="720"/>
        <w:rPr>
          <w:b/>
          <w:sz w:val="22"/>
        </w:rPr>
      </w:pPr>
      <w:r w:rsidRPr="00CE0476">
        <w:rPr>
          <w:b/>
          <w:sz w:val="22"/>
        </w:rPr>
        <w:t xml:space="preserve">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w:t>
      </w:r>
      <w:proofErr w:type="gramStart"/>
      <w:r w:rsidRPr="00CE0476">
        <w:rPr>
          <w:b/>
          <w:sz w:val="22"/>
        </w:rPr>
        <w:t>should be explained</w:t>
      </w:r>
      <w:proofErr w:type="gramEnd"/>
      <w:r w:rsidRPr="00CE0476">
        <w:rPr>
          <w:b/>
          <w:sz w:val="22"/>
        </w:rPr>
        <w:t>.</w:t>
      </w:r>
    </w:p>
    <w:p w:rsidR="00185AB6" w:rsidRPr="00CE0476" w:rsidRDefault="00185AB6">
      <w:pPr>
        <w:ind w:left="720"/>
        <w:rPr>
          <w:b/>
          <w:sz w:val="22"/>
        </w:rPr>
      </w:pPr>
    </w:p>
    <w:p w:rsidR="00185AB6" w:rsidRPr="00081982" w:rsidRDefault="00185AB6">
      <w:pPr>
        <w:tabs>
          <w:tab w:val="left" w:pos="-1440"/>
        </w:tabs>
        <w:ind w:left="720" w:hanging="720"/>
        <w:rPr>
          <w:sz w:val="22"/>
        </w:rPr>
      </w:pPr>
      <w:r w:rsidRPr="00CE0476">
        <w:rPr>
          <w:sz w:val="22"/>
        </w:rPr>
        <w:tab/>
      </w:r>
      <w:r w:rsidRPr="00081982">
        <w:rPr>
          <w:sz w:val="22"/>
        </w:rPr>
        <w:t>MARAD published a 60-day notice and request for comments on this information collection in the Federal Register on</w:t>
      </w:r>
      <w:r w:rsidR="000C007A" w:rsidRPr="00081982">
        <w:rPr>
          <w:sz w:val="22"/>
        </w:rPr>
        <w:t xml:space="preserve"> </w:t>
      </w:r>
      <w:r w:rsidR="00081982" w:rsidRPr="00081982">
        <w:rPr>
          <w:sz w:val="22"/>
        </w:rPr>
        <w:t>May 18, 2011</w:t>
      </w:r>
      <w:r w:rsidRPr="00081982">
        <w:rPr>
          <w:sz w:val="22"/>
        </w:rPr>
        <w:t>,</w:t>
      </w:r>
      <w:r w:rsidR="000C007A" w:rsidRPr="00081982">
        <w:rPr>
          <w:sz w:val="22"/>
        </w:rPr>
        <w:t xml:space="preserve"> </w:t>
      </w:r>
      <w:r w:rsidRPr="00081982">
        <w:rPr>
          <w:sz w:val="22"/>
        </w:rPr>
        <w:t xml:space="preserve">indicating comments </w:t>
      </w:r>
      <w:proofErr w:type="gramStart"/>
      <w:r w:rsidRPr="00081982">
        <w:rPr>
          <w:sz w:val="22"/>
        </w:rPr>
        <w:t>should be submitted</w:t>
      </w:r>
      <w:proofErr w:type="gramEnd"/>
      <w:r w:rsidRPr="00081982">
        <w:rPr>
          <w:sz w:val="22"/>
        </w:rPr>
        <w:t xml:space="preserve"> on or before</w:t>
      </w:r>
      <w:r w:rsidR="00C4530D" w:rsidRPr="00081982">
        <w:rPr>
          <w:sz w:val="22"/>
        </w:rPr>
        <w:t xml:space="preserve"> </w:t>
      </w:r>
      <w:r w:rsidR="00081982" w:rsidRPr="00081982">
        <w:rPr>
          <w:sz w:val="22"/>
        </w:rPr>
        <w:t xml:space="preserve">July 18, 2011.  </w:t>
      </w:r>
      <w:r w:rsidRPr="00081982">
        <w:rPr>
          <w:sz w:val="22"/>
        </w:rPr>
        <w:t xml:space="preserve">No comments </w:t>
      </w:r>
      <w:proofErr w:type="gramStart"/>
      <w:r w:rsidRPr="00081982">
        <w:rPr>
          <w:sz w:val="22"/>
        </w:rPr>
        <w:t>were received</w:t>
      </w:r>
      <w:proofErr w:type="gramEnd"/>
      <w:r w:rsidRPr="00081982">
        <w:rPr>
          <w:sz w:val="22"/>
        </w:rPr>
        <w:t>.</w:t>
      </w:r>
    </w:p>
    <w:p w:rsidR="00185AB6" w:rsidRPr="00CE0476" w:rsidRDefault="00185AB6">
      <w:pPr>
        <w:tabs>
          <w:tab w:val="left" w:pos="-1440"/>
        </w:tabs>
        <w:ind w:left="720" w:hanging="720"/>
        <w:rPr>
          <w:sz w:val="22"/>
        </w:rPr>
      </w:pPr>
    </w:p>
    <w:p w:rsidR="00185AB6" w:rsidRPr="00CE0476" w:rsidRDefault="00185AB6">
      <w:pPr>
        <w:tabs>
          <w:tab w:val="left" w:pos="-1440"/>
        </w:tabs>
        <w:ind w:left="720" w:hanging="720"/>
        <w:rPr>
          <w:sz w:val="22"/>
        </w:rPr>
      </w:pPr>
      <w:r w:rsidRPr="00CE0476">
        <w:rPr>
          <w:sz w:val="22"/>
        </w:rPr>
        <w:t>9.</w:t>
      </w:r>
      <w:r w:rsidRPr="00CE0476">
        <w:rPr>
          <w:sz w:val="22"/>
        </w:rPr>
        <w:tab/>
      </w:r>
      <w:r w:rsidRPr="00CE0476">
        <w:rPr>
          <w:b/>
          <w:sz w:val="22"/>
        </w:rPr>
        <w:t>Explain any decision to provide any payment or gift to respondents, other than remuneration of contractors or grantees</w:t>
      </w:r>
      <w:r w:rsidRPr="00CE0476">
        <w:rPr>
          <w:sz w:val="22"/>
        </w:rPr>
        <w:t>.</w:t>
      </w:r>
    </w:p>
    <w:p w:rsidR="00185AB6" w:rsidRPr="00CE0476" w:rsidRDefault="00185AB6">
      <w:pPr>
        <w:rPr>
          <w:sz w:val="22"/>
        </w:rPr>
      </w:pPr>
    </w:p>
    <w:p w:rsidR="00185AB6" w:rsidRPr="00CE0476" w:rsidRDefault="00185AB6">
      <w:pPr>
        <w:pStyle w:val="BodyTextIndent"/>
        <w:rPr>
          <w:sz w:val="22"/>
        </w:rPr>
      </w:pPr>
      <w:r w:rsidRPr="00CE0476">
        <w:rPr>
          <w:sz w:val="22"/>
        </w:rPr>
        <w:t xml:space="preserve">Respondents </w:t>
      </w:r>
      <w:proofErr w:type="gramStart"/>
      <w:r w:rsidRPr="00CE0476">
        <w:rPr>
          <w:sz w:val="22"/>
        </w:rPr>
        <w:t>are not provided</w:t>
      </w:r>
      <w:proofErr w:type="gramEnd"/>
      <w:r w:rsidRPr="00CE0476">
        <w:rPr>
          <w:sz w:val="22"/>
        </w:rPr>
        <w:t xml:space="preserve"> with any payment or gift for this information collection.</w:t>
      </w:r>
    </w:p>
    <w:p w:rsidR="00185AB6" w:rsidRPr="00CE0476" w:rsidRDefault="00185AB6">
      <w:pPr>
        <w:rPr>
          <w:sz w:val="22"/>
        </w:rPr>
      </w:pPr>
    </w:p>
    <w:p w:rsidR="00185AB6" w:rsidRPr="00CE0476" w:rsidRDefault="00185AB6">
      <w:pPr>
        <w:numPr>
          <w:ilvl w:val="0"/>
          <w:numId w:val="2"/>
        </w:numPr>
        <w:tabs>
          <w:tab w:val="left" w:pos="-1440"/>
        </w:tabs>
        <w:rPr>
          <w:sz w:val="22"/>
        </w:rPr>
      </w:pPr>
      <w:r w:rsidRPr="00CE0476">
        <w:rPr>
          <w:b/>
          <w:sz w:val="22"/>
        </w:rPr>
        <w:t>Describe any assurance of confidentiality provided to respondents and the basis for the assurance in statute, regulation, or agency policy</w:t>
      </w:r>
      <w:r w:rsidRPr="00CE0476">
        <w:rPr>
          <w:sz w:val="22"/>
        </w:rPr>
        <w:t>.</w:t>
      </w:r>
    </w:p>
    <w:p w:rsidR="00185AB6" w:rsidRPr="00CE0476" w:rsidRDefault="00185AB6">
      <w:pPr>
        <w:tabs>
          <w:tab w:val="left" w:pos="-1440"/>
        </w:tabs>
        <w:rPr>
          <w:b/>
          <w:sz w:val="22"/>
        </w:rPr>
      </w:pPr>
    </w:p>
    <w:p w:rsidR="00185AB6" w:rsidRPr="00CE0476" w:rsidRDefault="00185AB6">
      <w:pPr>
        <w:tabs>
          <w:tab w:val="left" w:pos="-1440"/>
        </w:tabs>
        <w:ind w:left="720"/>
        <w:rPr>
          <w:sz w:val="22"/>
        </w:rPr>
      </w:pPr>
      <w:r w:rsidRPr="00CE0476">
        <w:rPr>
          <w:sz w:val="22"/>
        </w:rPr>
        <w:t>There are no assurances of confidentiality provided to respondents as part of this information collection.</w:t>
      </w:r>
    </w:p>
    <w:p w:rsidR="00185AB6" w:rsidRPr="00CE0476" w:rsidRDefault="00185AB6">
      <w:pPr>
        <w:rPr>
          <w:sz w:val="22"/>
        </w:rPr>
      </w:pPr>
    </w:p>
    <w:p w:rsidR="00185AB6" w:rsidRPr="00CE0476" w:rsidRDefault="00185AB6">
      <w:pPr>
        <w:tabs>
          <w:tab w:val="left" w:pos="-1440"/>
        </w:tabs>
        <w:ind w:left="720" w:hanging="720"/>
        <w:rPr>
          <w:sz w:val="22"/>
        </w:rPr>
      </w:pPr>
      <w:r w:rsidRPr="00CE0476">
        <w:rPr>
          <w:sz w:val="22"/>
        </w:rPr>
        <w:t xml:space="preserve">11. </w:t>
      </w:r>
      <w:r w:rsidRPr="00CE0476">
        <w:rPr>
          <w:sz w:val="22"/>
        </w:rPr>
        <w:tab/>
      </w:r>
      <w:r w:rsidRPr="00CE0476">
        <w:rPr>
          <w:b/>
          <w:sz w:val="22"/>
        </w:rPr>
        <w:t xml:space="preserve">Provide additional justification for any questions of a sensitive nature, such as sexual behavior and attitudes, religious beliefs, and other matters that </w:t>
      </w:r>
      <w:proofErr w:type="gramStart"/>
      <w:r w:rsidRPr="00CE0476">
        <w:rPr>
          <w:b/>
          <w:sz w:val="22"/>
        </w:rPr>
        <w:t>are commonly considered</w:t>
      </w:r>
      <w:proofErr w:type="gramEnd"/>
      <w:r w:rsidRPr="00CE0476">
        <w:rPr>
          <w:b/>
          <w:sz w:val="22"/>
        </w:rPr>
        <w:t xml:space="preserve"> private.  This justification should include the reasons why the agency considers the questions necessary, the specific uses to be made of the information, the explanation to </w:t>
      </w:r>
      <w:proofErr w:type="gramStart"/>
      <w:r w:rsidRPr="00CE0476">
        <w:rPr>
          <w:b/>
          <w:sz w:val="22"/>
        </w:rPr>
        <w:t>be given</w:t>
      </w:r>
      <w:proofErr w:type="gramEnd"/>
      <w:r w:rsidRPr="00CE0476">
        <w:rPr>
          <w:b/>
          <w:sz w:val="22"/>
        </w:rPr>
        <w:t xml:space="preserve"> to persons from whom the information is requested, and any steps to be taken to obtain their consent</w:t>
      </w:r>
      <w:r w:rsidRPr="00CE0476">
        <w:rPr>
          <w:sz w:val="22"/>
        </w:rPr>
        <w:t xml:space="preserve">. </w:t>
      </w:r>
    </w:p>
    <w:p w:rsidR="00185AB6" w:rsidRPr="00CE0476" w:rsidRDefault="00185AB6">
      <w:pPr>
        <w:rPr>
          <w:sz w:val="22"/>
        </w:rPr>
      </w:pPr>
    </w:p>
    <w:p w:rsidR="00185AB6" w:rsidRPr="00CE0476" w:rsidRDefault="00185AB6">
      <w:pPr>
        <w:pStyle w:val="BodyTextIndent"/>
        <w:rPr>
          <w:sz w:val="22"/>
        </w:rPr>
      </w:pPr>
      <w:r w:rsidRPr="00CE0476">
        <w:rPr>
          <w:sz w:val="22"/>
        </w:rPr>
        <w:t>The collection does not include any questions of a sensitive nature.</w:t>
      </w:r>
    </w:p>
    <w:p w:rsidR="00185AB6" w:rsidRPr="00CE0476" w:rsidRDefault="00185AB6">
      <w:pPr>
        <w:rPr>
          <w:sz w:val="22"/>
        </w:rPr>
      </w:pPr>
    </w:p>
    <w:p w:rsidR="00185AB6" w:rsidRDefault="00D7567D">
      <w:pPr>
        <w:tabs>
          <w:tab w:val="left" w:pos="-1440"/>
        </w:tabs>
        <w:ind w:left="720" w:hanging="720"/>
        <w:rPr>
          <w:sz w:val="22"/>
        </w:rPr>
      </w:pPr>
      <w:r w:rsidRPr="00CE0476">
        <w:rPr>
          <w:sz w:val="22"/>
        </w:rPr>
        <w:t>12.</w:t>
      </w:r>
      <w:r w:rsidRPr="00CE0476">
        <w:rPr>
          <w:sz w:val="22"/>
        </w:rPr>
        <w:tab/>
      </w:r>
      <w:r w:rsidR="00185AB6" w:rsidRPr="00CE0476">
        <w:rPr>
          <w:b/>
          <w:sz w:val="22"/>
        </w:rPr>
        <w:t>Provide estimates of the hour burden of the collection of information.  The statement should</w:t>
      </w:r>
      <w:r w:rsidR="00185AB6" w:rsidRPr="00CE0476">
        <w:rPr>
          <w:sz w:val="22"/>
        </w:rPr>
        <w:t>:</w:t>
      </w:r>
    </w:p>
    <w:p w:rsidR="00081982" w:rsidRPr="00CE0476" w:rsidRDefault="00081982">
      <w:pPr>
        <w:tabs>
          <w:tab w:val="left" w:pos="-1440"/>
        </w:tabs>
        <w:ind w:left="720" w:hanging="720"/>
        <w:rPr>
          <w:sz w:val="22"/>
        </w:rPr>
      </w:pPr>
    </w:p>
    <w:p w:rsidR="00185AB6" w:rsidRPr="00CE0476" w:rsidRDefault="00185AB6">
      <w:pPr>
        <w:tabs>
          <w:tab w:val="left" w:pos="-1440"/>
        </w:tabs>
        <w:ind w:left="1440" w:hanging="720"/>
        <w:rPr>
          <w:sz w:val="22"/>
        </w:rPr>
      </w:pPr>
      <w:proofErr w:type="gramStart"/>
      <w:r w:rsidRPr="00CE0476">
        <w:rPr>
          <w:sz w:val="22"/>
        </w:rPr>
        <w:t>o</w:t>
      </w:r>
      <w:proofErr w:type="gramEnd"/>
      <w:r w:rsidRPr="00CE0476">
        <w:rPr>
          <w:sz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w:t>
      </w:r>
      <w:r w:rsidRPr="00CE0476">
        <w:rPr>
          <w:sz w:val="22"/>
        </w:rPr>
        <w:softHyphen/>
        <w:t>sultation with a sample (fewer than 10) of potential respondents is desirable.  If the hour burden on respon</w:t>
      </w:r>
      <w:r w:rsidRPr="00CE0476">
        <w:rPr>
          <w:sz w:val="22"/>
        </w:rPr>
        <w:softHyphen/>
        <w:t xml:space="preserve">dents </w:t>
      </w:r>
      <w:proofErr w:type="gramStart"/>
      <w:r w:rsidRPr="00CE0476">
        <w:rPr>
          <w:sz w:val="22"/>
        </w:rPr>
        <w:t>is expected</w:t>
      </w:r>
      <w:proofErr w:type="gramEnd"/>
      <w:r w:rsidRPr="00CE0476">
        <w:rPr>
          <w:sz w:val="22"/>
        </w:rPr>
        <w:t xml:space="preserve"> to vary widely because of differences in activity, size, or complexity, show the range of esti</w:t>
      </w:r>
      <w:r w:rsidRPr="00CE0476">
        <w:rPr>
          <w:sz w:val="22"/>
        </w:rPr>
        <w:softHyphen/>
        <w:t xml:space="preserve">mated burden and </w:t>
      </w:r>
      <w:r w:rsidRPr="00CE0476">
        <w:rPr>
          <w:sz w:val="22"/>
        </w:rPr>
        <w:lastRenderedPageBreak/>
        <w:t>explain the reasons for the variance.  Generally, estimates should not include burden hours for customary and usual business practices.</w:t>
      </w:r>
    </w:p>
    <w:p w:rsidR="00185AB6" w:rsidRPr="00CE0476" w:rsidRDefault="00185AB6">
      <w:pPr>
        <w:rPr>
          <w:sz w:val="22"/>
        </w:rPr>
      </w:pPr>
    </w:p>
    <w:p w:rsidR="00185AB6" w:rsidRPr="00CE0476" w:rsidRDefault="00185AB6">
      <w:pPr>
        <w:tabs>
          <w:tab w:val="left" w:pos="-1440"/>
        </w:tabs>
        <w:ind w:left="1440" w:hanging="720"/>
        <w:rPr>
          <w:sz w:val="22"/>
        </w:rPr>
      </w:pPr>
      <w:r w:rsidRPr="00CE0476">
        <w:rPr>
          <w:sz w:val="22"/>
        </w:rPr>
        <w:t>o</w:t>
      </w:r>
      <w:r w:rsidRPr="00CE0476">
        <w:rPr>
          <w:sz w:val="22"/>
        </w:rPr>
        <w:tab/>
        <w:t>If this request for approval covers more than one form, provide separate hour burden estimates for each form and aggregate the hour burdens in item 13 of OMB Form 83-I.</w:t>
      </w:r>
    </w:p>
    <w:p w:rsidR="00185AB6" w:rsidRPr="00CE0476" w:rsidRDefault="00185AB6">
      <w:pPr>
        <w:rPr>
          <w:sz w:val="22"/>
        </w:rPr>
      </w:pPr>
    </w:p>
    <w:p w:rsidR="00185AB6" w:rsidRPr="00CE0476" w:rsidRDefault="00185AB6">
      <w:pPr>
        <w:numPr>
          <w:ilvl w:val="0"/>
          <w:numId w:val="11"/>
        </w:numPr>
        <w:tabs>
          <w:tab w:val="clear" w:pos="360"/>
          <w:tab w:val="left" w:pos="-1440"/>
        </w:tabs>
        <w:ind w:left="1440" w:hanging="720"/>
        <w:rPr>
          <w:sz w:val="22"/>
        </w:rPr>
      </w:pPr>
      <w:r w:rsidRPr="00CE0476">
        <w:rPr>
          <w:sz w:val="22"/>
        </w:rPr>
        <w:t>Provide estimates of annualized cost to respondents for the hour burdens for collections of information, identi</w:t>
      </w:r>
      <w:r w:rsidRPr="00CE0476">
        <w:rPr>
          <w:sz w:val="22"/>
        </w:rPr>
        <w:softHyphen/>
        <w:t>fy</w:t>
      </w:r>
      <w:r w:rsidRPr="00CE0476">
        <w:rPr>
          <w:sz w:val="22"/>
        </w:rPr>
        <w:softHyphen/>
        <w:t>ing and using appropriate wage rate categories.  The cost of contracting out or paying outside parties for information collection activities should not be included here.  Instead, this cost should be included in item 14.</w:t>
      </w:r>
    </w:p>
    <w:p w:rsidR="00185AB6" w:rsidRPr="00CE0476" w:rsidRDefault="00185AB6">
      <w:pPr>
        <w:ind w:firstLine="720"/>
        <w:rPr>
          <w:sz w:val="22"/>
        </w:rPr>
      </w:pPr>
    </w:p>
    <w:p w:rsidR="00185AB6" w:rsidRPr="00CE0476" w:rsidRDefault="00185AB6">
      <w:pPr>
        <w:ind w:firstLine="720"/>
        <w:rPr>
          <w:b/>
          <w:sz w:val="22"/>
        </w:rPr>
      </w:pPr>
      <w:r w:rsidRPr="00CE0476">
        <w:rPr>
          <w:b/>
          <w:sz w:val="22"/>
        </w:rPr>
        <w:tab/>
      </w:r>
      <w:r w:rsidRPr="00CE0476">
        <w:rPr>
          <w:b/>
          <w:sz w:val="22"/>
        </w:rPr>
        <w:tab/>
      </w:r>
      <w:r w:rsidRPr="00CE0476">
        <w:rPr>
          <w:b/>
          <w:sz w:val="22"/>
        </w:rPr>
        <w:tab/>
        <w:t>Responses</w:t>
      </w:r>
      <w:r w:rsidRPr="00CE0476">
        <w:rPr>
          <w:b/>
          <w:sz w:val="22"/>
        </w:rPr>
        <w:tab/>
      </w:r>
      <w:r w:rsidRPr="00CE0476">
        <w:rPr>
          <w:b/>
          <w:sz w:val="22"/>
        </w:rPr>
        <w:tab/>
        <w:t>Total</w:t>
      </w:r>
      <w:r w:rsidRPr="00CE0476">
        <w:rPr>
          <w:b/>
          <w:sz w:val="22"/>
        </w:rPr>
        <w:tab/>
      </w:r>
      <w:r w:rsidRPr="00CE0476">
        <w:rPr>
          <w:b/>
          <w:sz w:val="22"/>
        </w:rPr>
        <w:tab/>
        <w:t>Hours</w:t>
      </w:r>
      <w:r w:rsidRPr="00CE0476">
        <w:rPr>
          <w:b/>
          <w:sz w:val="22"/>
        </w:rPr>
        <w:tab/>
      </w:r>
      <w:r w:rsidRPr="00CE0476">
        <w:rPr>
          <w:b/>
          <w:sz w:val="22"/>
        </w:rPr>
        <w:tab/>
        <w:t>Total</w:t>
      </w:r>
    </w:p>
    <w:p w:rsidR="00185AB6" w:rsidRPr="00CE0476" w:rsidRDefault="00185AB6">
      <w:pPr>
        <w:ind w:firstLine="720"/>
        <w:rPr>
          <w:b/>
          <w:sz w:val="22"/>
        </w:rPr>
      </w:pPr>
      <w:r w:rsidRPr="00CE0476">
        <w:rPr>
          <w:b/>
          <w:sz w:val="22"/>
        </w:rPr>
        <w:t>Number of</w:t>
      </w:r>
      <w:r w:rsidRPr="00CE0476">
        <w:rPr>
          <w:b/>
          <w:sz w:val="22"/>
        </w:rPr>
        <w:tab/>
      </w:r>
      <w:r w:rsidRPr="00CE0476">
        <w:rPr>
          <w:b/>
          <w:sz w:val="22"/>
        </w:rPr>
        <w:tab/>
        <w:t>Per</w:t>
      </w:r>
      <w:r w:rsidRPr="00CE0476">
        <w:rPr>
          <w:b/>
          <w:sz w:val="22"/>
        </w:rPr>
        <w:tab/>
      </w:r>
      <w:r w:rsidRPr="00CE0476">
        <w:rPr>
          <w:b/>
          <w:sz w:val="22"/>
        </w:rPr>
        <w:tab/>
      </w:r>
      <w:r w:rsidRPr="00CE0476">
        <w:rPr>
          <w:b/>
          <w:sz w:val="22"/>
        </w:rPr>
        <w:tab/>
        <w:t>Responses</w:t>
      </w:r>
      <w:r w:rsidRPr="00CE0476">
        <w:rPr>
          <w:b/>
          <w:sz w:val="22"/>
        </w:rPr>
        <w:tab/>
      </w:r>
      <w:proofErr w:type="gramStart"/>
      <w:r w:rsidRPr="00CE0476">
        <w:rPr>
          <w:b/>
          <w:sz w:val="22"/>
        </w:rPr>
        <w:t>Per</w:t>
      </w:r>
      <w:proofErr w:type="gramEnd"/>
      <w:r w:rsidRPr="00CE0476">
        <w:rPr>
          <w:b/>
          <w:sz w:val="22"/>
        </w:rPr>
        <w:tab/>
      </w:r>
      <w:r w:rsidRPr="00CE0476">
        <w:rPr>
          <w:b/>
          <w:sz w:val="22"/>
        </w:rPr>
        <w:tab/>
        <w:t>Hours</w:t>
      </w:r>
    </w:p>
    <w:p w:rsidR="00185AB6" w:rsidRPr="00CE0476" w:rsidRDefault="00185AB6">
      <w:pPr>
        <w:ind w:firstLine="720"/>
        <w:rPr>
          <w:b/>
          <w:sz w:val="22"/>
          <w:u w:val="single"/>
        </w:rPr>
      </w:pPr>
      <w:r w:rsidRPr="00CE0476">
        <w:rPr>
          <w:b/>
          <w:sz w:val="22"/>
          <w:u w:val="single"/>
        </w:rPr>
        <w:t>Respondents</w:t>
      </w:r>
      <w:r w:rsidRPr="00CE0476">
        <w:rPr>
          <w:b/>
          <w:sz w:val="22"/>
        </w:rPr>
        <w:tab/>
      </w:r>
      <w:r w:rsidRPr="00CE0476">
        <w:rPr>
          <w:b/>
          <w:sz w:val="22"/>
        </w:rPr>
        <w:tab/>
      </w:r>
      <w:r w:rsidRPr="00CE0476">
        <w:rPr>
          <w:b/>
          <w:sz w:val="22"/>
          <w:u w:val="single"/>
        </w:rPr>
        <w:t>Respondent</w:t>
      </w:r>
      <w:r w:rsidRPr="00CE0476">
        <w:rPr>
          <w:b/>
          <w:sz w:val="22"/>
        </w:rPr>
        <w:tab/>
      </w:r>
      <w:r w:rsidRPr="00CE0476">
        <w:rPr>
          <w:b/>
          <w:sz w:val="22"/>
        </w:rPr>
        <w:tab/>
      </w:r>
      <w:r w:rsidRPr="00CE0476">
        <w:rPr>
          <w:b/>
          <w:sz w:val="22"/>
          <w:u w:val="single"/>
        </w:rPr>
        <w:t>Annually</w:t>
      </w:r>
      <w:r w:rsidRPr="00CE0476">
        <w:rPr>
          <w:b/>
          <w:sz w:val="22"/>
        </w:rPr>
        <w:tab/>
      </w:r>
      <w:r w:rsidRPr="00CE0476">
        <w:rPr>
          <w:b/>
          <w:sz w:val="22"/>
          <w:u w:val="single"/>
        </w:rPr>
        <w:t>Response</w:t>
      </w:r>
      <w:r w:rsidRPr="00CE0476">
        <w:rPr>
          <w:b/>
          <w:sz w:val="22"/>
        </w:rPr>
        <w:tab/>
      </w:r>
      <w:r w:rsidRPr="00CE0476">
        <w:rPr>
          <w:b/>
          <w:sz w:val="22"/>
          <w:u w:val="single"/>
        </w:rPr>
        <w:t>Annually</w:t>
      </w:r>
    </w:p>
    <w:p w:rsidR="00185AB6" w:rsidRPr="00CE0476" w:rsidRDefault="00185AB6">
      <w:pPr>
        <w:ind w:firstLine="720"/>
        <w:rPr>
          <w:b/>
          <w:sz w:val="22"/>
        </w:rPr>
      </w:pPr>
    </w:p>
    <w:p w:rsidR="00185AB6" w:rsidRPr="00CE0476" w:rsidRDefault="00185AB6">
      <w:pPr>
        <w:pStyle w:val="PlainText"/>
        <w:ind w:left="720"/>
        <w:rPr>
          <w:rFonts w:ascii="Times New Roman" w:hAnsi="Times New Roman"/>
          <w:sz w:val="22"/>
        </w:rPr>
      </w:pPr>
      <w:r w:rsidRPr="00CE0476">
        <w:rPr>
          <w:rFonts w:ascii="Times New Roman" w:hAnsi="Times New Roman"/>
          <w:sz w:val="22"/>
        </w:rPr>
        <w:tab/>
      </w:r>
      <w:r w:rsidR="004C1C21" w:rsidRPr="00610E7E">
        <w:rPr>
          <w:rFonts w:ascii="Times New Roman" w:hAnsi="Times New Roman"/>
          <w:sz w:val="22"/>
        </w:rPr>
        <w:t>30</w:t>
      </w:r>
      <w:r w:rsidRPr="00CE0476">
        <w:rPr>
          <w:rFonts w:ascii="Times New Roman" w:hAnsi="Times New Roman"/>
          <w:sz w:val="22"/>
        </w:rPr>
        <w:tab/>
      </w:r>
      <w:r w:rsidRPr="00CE0476">
        <w:rPr>
          <w:rFonts w:ascii="Times New Roman" w:hAnsi="Times New Roman"/>
          <w:sz w:val="22"/>
        </w:rPr>
        <w:tab/>
        <w:t>1.5</w:t>
      </w:r>
      <w:r w:rsidRPr="00CE0476">
        <w:rPr>
          <w:rFonts w:ascii="Times New Roman" w:hAnsi="Times New Roman"/>
          <w:sz w:val="22"/>
        </w:rPr>
        <w:tab/>
      </w:r>
      <w:r w:rsidRPr="00CE0476">
        <w:rPr>
          <w:rFonts w:ascii="Times New Roman" w:hAnsi="Times New Roman"/>
          <w:sz w:val="22"/>
        </w:rPr>
        <w:tab/>
      </w:r>
      <w:r w:rsidRPr="00CE0476">
        <w:rPr>
          <w:rFonts w:ascii="Times New Roman" w:hAnsi="Times New Roman"/>
          <w:sz w:val="22"/>
        </w:rPr>
        <w:tab/>
      </w:r>
      <w:r w:rsidR="004C1C21" w:rsidRPr="00610E7E">
        <w:rPr>
          <w:rFonts w:ascii="Times New Roman" w:hAnsi="Times New Roman"/>
          <w:sz w:val="22"/>
        </w:rPr>
        <w:t>45</w:t>
      </w:r>
      <w:r w:rsidRPr="00CE0476">
        <w:rPr>
          <w:rFonts w:ascii="Times New Roman" w:hAnsi="Times New Roman"/>
          <w:sz w:val="22"/>
        </w:rPr>
        <w:tab/>
      </w:r>
      <w:r w:rsidRPr="00CE0476">
        <w:rPr>
          <w:rFonts w:ascii="Times New Roman" w:hAnsi="Times New Roman"/>
          <w:sz w:val="22"/>
        </w:rPr>
        <w:tab/>
        <w:t>10</w:t>
      </w:r>
      <w:r w:rsidRPr="00CE0476">
        <w:rPr>
          <w:rFonts w:ascii="Times New Roman" w:hAnsi="Times New Roman"/>
          <w:sz w:val="22"/>
        </w:rPr>
        <w:tab/>
      </w:r>
      <w:r w:rsidRPr="00CE0476">
        <w:rPr>
          <w:rFonts w:ascii="Times New Roman" w:hAnsi="Times New Roman"/>
          <w:sz w:val="22"/>
        </w:rPr>
        <w:tab/>
      </w:r>
      <w:r w:rsidR="004C1C21" w:rsidRPr="00610E7E">
        <w:rPr>
          <w:rFonts w:ascii="Times New Roman" w:hAnsi="Times New Roman"/>
          <w:sz w:val="22"/>
        </w:rPr>
        <w:t>450</w:t>
      </w:r>
    </w:p>
    <w:p w:rsidR="00185AB6" w:rsidRPr="00CE0476" w:rsidRDefault="00185AB6">
      <w:pPr>
        <w:pStyle w:val="PlainText"/>
        <w:ind w:left="720"/>
        <w:rPr>
          <w:rFonts w:ascii="Times New Roman" w:hAnsi="Times New Roman"/>
          <w:b/>
          <w:sz w:val="22"/>
        </w:rPr>
      </w:pPr>
    </w:p>
    <w:p w:rsidR="00185AB6" w:rsidRPr="00CE0476" w:rsidRDefault="00185AB6">
      <w:pPr>
        <w:pStyle w:val="PlainText"/>
        <w:ind w:left="720"/>
        <w:rPr>
          <w:rFonts w:ascii="Times New Roman" w:hAnsi="Times New Roman"/>
          <w:sz w:val="22"/>
        </w:rPr>
      </w:pPr>
      <w:r w:rsidRPr="00CE0476">
        <w:rPr>
          <w:rFonts w:ascii="Times New Roman" w:hAnsi="Times New Roman"/>
          <w:sz w:val="22"/>
        </w:rPr>
        <w:t xml:space="preserve">We estimate that each response will require 10 hours to </w:t>
      </w:r>
      <w:proofErr w:type="gramStart"/>
      <w:r w:rsidRPr="00CE0476">
        <w:rPr>
          <w:rFonts w:ascii="Times New Roman" w:hAnsi="Times New Roman"/>
          <w:sz w:val="22"/>
        </w:rPr>
        <w:t>complete:</w:t>
      </w:r>
      <w:proofErr w:type="gramEnd"/>
      <w:r w:rsidRPr="00CE0476">
        <w:rPr>
          <w:rFonts w:ascii="Times New Roman" w:hAnsi="Times New Roman"/>
          <w:sz w:val="22"/>
        </w:rPr>
        <w:t xml:space="preserve"> nine hours for drafting the request and assembling the accompanying material, and one hour to type, edit, and transmit the request.  We assume that personnel equivalent to the levels of GS-12, at approximately $34 per hour, and GS-7, at approximately $19 per hour, will complete the request.</w:t>
      </w:r>
    </w:p>
    <w:p w:rsidR="00185AB6" w:rsidRPr="00CE0476" w:rsidRDefault="00185AB6">
      <w:pPr>
        <w:pStyle w:val="PlainText"/>
        <w:ind w:left="720"/>
        <w:rPr>
          <w:rFonts w:ascii="Times New Roman" w:hAnsi="Times New Roman"/>
          <w:sz w:val="22"/>
        </w:rPr>
      </w:pPr>
    </w:p>
    <w:p w:rsidR="00185AB6" w:rsidRPr="00CE0476" w:rsidRDefault="00185AB6">
      <w:pPr>
        <w:pStyle w:val="PlainText"/>
        <w:ind w:left="720"/>
        <w:rPr>
          <w:rFonts w:ascii="Times New Roman" w:hAnsi="Times New Roman"/>
          <w:b/>
          <w:sz w:val="22"/>
        </w:rPr>
      </w:pPr>
      <w:r w:rsidRPr="00CE0476">
        <w:rPr>
          <w:rFonts w:ascii="Times New Roman" w:hAnsi="Times New Roman"/>
          <w:sz w:val="22"/>
        </w:rPr>
        <w:t xml:space="preserve">Cost Burden: </w:t>
      </w:r>
      <w:r w:rsidR="00A76505">
        <w:rPr>
          <w:rFonts w:ascii="Times New Roman" w:hAnsi="Times New Roman"/>
          <w:sz w:val="22"/>
        </w:rPr>
        <w:t>45</w:t>
      </w:r>
      <w:r w:rsidRPr="00CE0476">
        <w:rPr>
          <w:rFonts w:ascii="Times New Roman" w:hAnsi="Times New Roman"/>
          <w:sz w:val="22"/>
        </w:rPr>
        <w:t xml:space="preserve"> responses (</w:t>
      </w:r>
      <w:proofErr w:type="spellStart"/>
      <w:r w:rsidRPr="00CE0476">
        <w:rPr>
          <w:rFonts w:ascii="Times New Roman" w:hAnsi="Times New Roman"/>
          <w:sz w:val="22"/>
        </w:rPr>
        <w:t>9hrs</w:t>
      </w:r>
      <w:proofErr w:type="spellEnd"/>
      <w:r w:rsidRPr="00CE0476">
        <w:rPr>
          <w:rFonts w:ascii="Times New Roman" w:hAnsi="Times New Roman"/>
          <w:sz w:val="22"/>
        </w:rPr>
        <w:t xml:space="preserve"> x $34/hr +</w:t>
      </w:r>
      <w:proofErr w:type="spellStart"/>
      <w:r w:rsidRPr="00CE0476">
        <w:rPr>
          <w:rFonts w:ascii="Times New Roman" w:hAnsi="Times New Roman"/>
          <w:sz w:val="22"/>
        </w:rPr>
        <w:t>1hr</w:t>
      </w:r>
      <w:proofErr w:type="spellEnd"/>
      <w:r w:rsidRPr="00CE0476">
        <w:rPr>
          <w:rFonts w:ascii="Times New Roman" w:hAnsi="Times New Roman"/>
          <w:sz w:val="22"/>
        </w:rPr>
        <w:t xml:space="preserve"> x $19/hr)</w:t>
      </w:r>
      <w:r w:rsidR="00CD7B65" w:rsidRPr="00CE0476">
        <w:rPr>
          <w:rFonts w:ascii="Times New Roman" w:hAnsi="Times New Roman"/>
          <w:sz w:val="22"/>
        </w:rPr>
        <w:t xml:space="preserve"> </w:t>
      </w:r>
      <w:r w:rsidRPr="00CE0476">
        <w:rPr>
          <w:rFonts w:ascii="Times New Roman" w:hAnsi="Times New Roman"/>
          <w:sz w:val="22"/>
        </w:rPr>
        <w:t xml:space="preserve">= </w:t>
      </w:r>
      <w:r w:rsidRPr="00610E7E">
        <w:rPr>
          <w:rFonts w:ascii="Times New Roman" w:hAnsi="Times New Roman"/>
          <w:sz w:val="22"/>
        </w:rPr>
        <w:t>$</w:t>
      </w:r>
      <w:r w:rsidR="006D3E93">
        <w:rPr>
          <w:rFonts w:ascii="Times New Roman" w:hAnsi="Times New Roman"/>
          <w:sz w:val="22"/>
        </w:rPr>
        <w:t>14,625</w:t>
      </w:r>
    </w:p>
    <w:p w:rsidR="00185AB6" w:rsidRPr="00CE0476" w:rsidRDefault="00185AB6">
      <w:pPr>
        <w:tabs>
          <w:tab w:val="left" w:pos="-1440"/>
        </w:tabs>
        <w:rPr>
          <w:sz w:val="22"/>
        </w:rPr>
      </w:pPr>
    </w:p>
    <w:p w:rsidR="00185AB6" w:rsidRPr="00CE0476" w:rsidRDefault="00185AB6">
      <w:pPr>
        <w:tabs>
          <w:tab w:val="left" w:pos="-1440"/>
        </w:tabs>
        <w:ind w:left="720" w:hanging="720"/>
        <w:rPr>
          <w:sz w:val="22"/>
        </w:rPr>
      </w:pPr>
      <w:r w:rsidRPr="00CE0476">
        <w:rPr>
          <w:sz w:val="22"/>
        </w:rPr>
        <w:t>13.</w:t>
      </w:r>
      <w:r w:rsidRPr="00CE0476">
        <w:rPr>
          <w:sz w:val="22"/>
        </w:rPr>
        <w:tab/>
      </w:r>
      <w:r w:rsidRPr="00CE0476">
        <w:rPr>
          <w:b/>
          <w:sz w:val="22"/>
        </w:rPr>
        <w:t>Provide an estimate of the total annual cost burden to respon</w:t>
      </w:r>
      <w:r w:rsidRPr="00CE0476">
        <w:rPr>
          <w:b/>
          <w:sz w:val="22"/>
        </w:rPr>
        <w:softHyphen/>
        <w:t>dents or record keepers resulting from the collection of information.  (Do not include the cost of any hour burden shown in items 12 and 14).</w:t>
      </w:r>
    </w:p>
    <w:p w:rsidR="00185AB6" w:rsidRPr="00CE0476" w:rsidRDefault="00185AB6">
      <w:pPr>
        <w:rPr>
          <w:sz w:val="22"/>
        </w:rPr>
      </w:pPr>
    </w:p>
    <w:p w:rsidR="00185AB6" w:rsidRPr="00CE0476" w:rsidRDefault="00185AB6">
      <w:pPr>
        <w:pStyle w:val="BodyTextIndent"/>
        <w:rPr>
          <w:sz w:val="22"/>
        </w:rPr>
      </w:pPr>
      <w:r w:rsidRPr="00CE0476">
        <w:rPr>
          <w:sz w:val="22"/>
        </w:rPr>
        <w:t>There are no costs associated with this collection in addition to those described in Item 12.</w:t>
      </w:r>
    </w:p>
    <w:p w:rsidR="00185AB6" w:rsidRPr="00CE0476" w:rsidRDefault="00185AB6">
      <w:pPr>
        <w:tabs>
          <w:tab w:val="left" w:pos="-1440"/>
        </w:tabs>
        <w:ind w:left="720" w:right="720" w:hanging="720"/>
        <w:rPr>
          <w:sz w:val="22"/>
        </w:rPr>
      </w:pPr>
    </w:p>
    <w:p w:rsidR="00185AB6" w:rsidRPr="00CE0476" w:rsidRDefault="00185AB6">
      <w:pPr>
        <w:tabs>
          <w:tab w:val="left" w:pos="-1440"/>
        </w:tabs>
        <w:ind w:left="720" w:right="720" w:hanging="720"/>
        <w:rPr>
          <w:b/>
          <w:sz w:val="22"/>
        </w:rPr>
      </w:pPr>
      <w:proofErr w:type="gramStart"/>
      <w:r w:rsidRPr="00CE0476">
        <w:rPr>
          <w:sz w:val="22"/>
        </w:rPr>
        <w:t>14.</w:t>
      </w:r>
      <w:r w:rsidRPr="00CE0476">
        <w:rPr>
          <w:sz w:val="22"/>
        </w:rPr>
        <w:tab/>
      </w:r>
      <w:r w:rsidRPr="00CE0476">
        <w:rPr>
          <w:b/>
          <w:sz w:val="22"/>
        </w:rPr>
        <w:t>Provide estimates of annualized cost to the Federal Government.</w:t>
      </w:r>
      <w:proofErr w:type="gramEnd"/>
      <w:r w:rsidRPr="00CE0476">
        <w:rPr>
          <w:b/>
          <w:sz w:val="22"/>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85AB6" w:rsidRPr="00CE0476" w:rsidRDefault="00185AB6">
      <w:pPr>
        <w:ind w:firstLine="720"/>
        <w:rPr>
          <w:sz w:val="22"/>
        </w:rPr>
      </w:pPr>
      <w:r w:rsidRPr="00CE0476">
        <w:rPr>
          <w:b/>
          <w:sz w:val="22"/>
        </w:rPr>
        <w:t xml:space="preserve">The total annual cost to the Federal Government for processing the collection </w:t>
      </w:r>
      <w:proofErr w:type="gramStart"/>
      <w:r w:rsidRPr="00CE0476">
        <w:rPr>
          <w:b/>
          <w:sz w:val="22"/>
        </w:rPr>
        <w:t xml:space="preserve">is </w:t>
      </w:r>
      <w:r w:rsidRPr="00CE0476">
        <w:rPr>
          <w:b/>
          <w:sz w:val="22"/>
        </w:rPr>
        <w:tab/>
      </w:r>
      <w:r w:rsidRPr="00CE0476">
        <w:rPr>
          <w:b/>
          <w:sz w:val="22"/>
        </w:rPr>
        <w:tab/>
        <w:t>estimated</w:t>
      </w:r>
      <w:proofErr w:type="gramEnd"/>
      <w:r w:rsidRPr="00CE0476">
        <w:rPr>
          <w:b/>
          <w:sz w:val="22"/>
        </w:rPr>
        <w:t xml:space="preserve"> as follows</w:t>
      </w:r>
      <w:r w:rsidRPr="00CE0476">
        <w:rPr>
          <w:sz w:val="22"/>
        </w:rPr>
        <w:t>:</w:t>
      </w:r>
    </w:p>
    <w:p w:rsidR="00185AB6" w:rsidRPr="00CE0476" w:rsidRDefault="00185AB6">
      <w:pPr>
        <w:tabs>
          <w:tab w:val="left" w:pos="-1440"/>
        </w:tabs>
        <w:rPr>
          <w:sz w:val="22"/>
        </w:rPr>
      </w:pPr>
    </w:p>
    <w:p w:rsidR="00185AB6" w:rsidRPr="00CE0476" w:rsidRDefault="00185AB6">
      <w:pPr>
        <w:tabs>
          <w:tab w:val="left" w:pos="-1440"/>
        </w:tabs>
        <w:ind w:left="720"/>
        <w:rPr>
          <w:sz w:val="22"/>
        </w:rPr>
      </w:pPr>
      <w:proofErr w:type="gramStart"/>
      <w:r w:rsidRPr="00CE0476">
        <w:rPr>
          <w:sz w:val="22"/>
        </w:rPr>
        <w:t xml:space="preserve">Requests for course approval </w:t>
      </w:r>
      <w:r w:rsidR="00D7567D" w:rsidRPr="00CE0476">
        <w:rPr>
          <w:sz w:val="22"/>
        </w:rPr>
        <w:t>are</w:t>
      </w:r>
      <w:r w:rsidRPr="00CE0476">
        <w:rPr>
          <w:sz w:val="22"/>
        </w:rPr>
        <w:t xml:space="preserve"> processed by a private company, contracted with by the Maritime Administration</w:t>
      </w:r>
      <w:proofErr w:type="gramEnd"/>
      <w:r w:rsidR="00C4530D" w:rsidRPr="00CE0476">
        <w:rPr>
          <w:sz w:val="22"/>
        </w:rPr>
        <w:t xml:space="preserve">.  </w:t>
      </w:r>
      <w:r w:rsidR="00BE3C79" w:rsidRPr="00CE0476">
        <w:rPr>
          <w:sz w:val="22"/>
        </w:rPr>
        <w:t>The value</w:t>
      </w:r>
      <w:r w:rsidRPr="00CE0476">
        <w:rPr>
          <w:sz w:val="22"/>
        </w:rPr>
        <w:t xml:space="preserve"> of this contract </w:t>
      </w:r>
      <w:r w:rsidR="00D7567D" w:rsidRPr="00CE0476">
        <w:rPr>
          <w:sz w:val="22"/>
        </w:rPr>
        <w:t>is</w:t>
      </w:r>
      <w:r w:rsidRPr="00CE0476">
        <w:rPr>
          <w:sz w:val="22"/>
        </w:rPr>
        <w:t xml:space="preserve"> $</w:t>
      </w:r>
      <w:r w:rsidR="00A34BEC" w:rsidRPr="00CE0476">
        <w:rPr>
          <w:sz w:val="22"/>
        </w:rPr>
        <w:t>1</w:t>
      </w:r>
      <w:r w:rsidRPr="00CE0476">
        <w:rPr>
          <w:sz w:val="22"/>
        </w:rPr>
        <w:t>00,</w:t>
      </w:r>
      <w:r w:rsidR="00A34BEC" w:rsidRPr="00CE0476">
        <w:rPr>
          <w:sz w:val="22"/>
        </w:rPr>
        <w:t>75</w:t>
      </w:r>
      <w:r w:rsidRPr="00CE0476">
        <w:rPr>
          <w:sz w:val="22"/>
        </w:rPr>
        <w:t>0.</w:t>
      </w:r>
      <w:r w:rsidR="00C4530D" w:rsidRPr="00CE0476">
        <w:rPr>
          <w:sz w:val="22"/>
        </w:rPr>
        <w:t xml:space="preserve"> </w:t>
      </w:r>
      <w:r w:rsidRPr="00CE0476">
        <w:rPr>
          <w:sz w:val="22"/>
        </w:rPr>
        <w:t xml:space="preserve"> As the contractor handle</w:t>
      </w:r>
      <w:r w:rsidR="00D7567D" w:rsidRPr="00CE0476">
        <w:rPr>
          <w:sz w:val="22"/>
        </w:rPr>
        <w:t>s</w:t>
      </w:r>
      <w:r w:rsidRPr="00CE0476">
        <w:rPr>
          <w:sz w:val="22"/>
        </w:rPr>
        <w:t xml:space="preserve"> all aspects of course approval, including reviewing requests, establishing a system for electronic submission, and conducting any necessary on-site visits, the cost of the contract constitute</w:t>
      </w:r>
      <w:r w:rsidR="00D7567D" w:rsidRPr="00CE0476">
        <w:rPr>
          <w:sz w:val="22"/>
        </w:rPr>
        <w:t>s</w:t>
      </w:r>
      <w:r w:rsidRPr="00CE0476">
        <w:rPr>
          <w:sz w:val="22"/>
        </w:rPr>
        <w:t xml:space="preserve"> the entire cost burden to the federal government.</w:t>
      </w:r>
    </w:p>
    <w:p w:rsidR="00185AB6" w:rsidRPr="00CE0476" w:rsidRDefault="00185AB6">
      <w:pPr>
        <w:tabs>
          <w:tab w:val="left" w:pos="-1440"/>
        </w:tabs>
        <w:rPr>
          <w:sz w:val="22"/>
        </w:rPr>
      </w:pPr>
    </w:p>
    <w:p w:rsidR="00185AB6" w:rsidRPr="00CE0476" w:rsidRDefault="00185AB6">
      <w:pPr>
        <w:tabs>
          <w:tab w:val="left" w:pos="-1440"/>
        </w:tabs>
        <w:ind w:left="720" w:hanging="720"/>
        <w:rPr>
          <w:sz w:val="22"/>
        </w:rPr>
      </w:pPr>
      <w:r w:rsidRPr="00CE0476">
        <w:rPr>
          <w:b/>
          <w:sz w:val="22"/>
        </w:rPr>
        <w:t>15.</w:t>
      </w:r>
      <w:r w:rsidRPr="00CE0476">
        <w:rPr>
          <w:b/>
          <w:sz w:val="22"/>
        </w:rPr>
        <w:tab/>
        <w:t>Explain the reasons for any program changes or adjustments reported in items 13 or 14 of OMB Form 83-</w:t>
      </w:r>
      <w:proofErr w:type="gramStart"/>
      <w:r w:rsidRPr="00CE0476">
        <w:rPr>
          <w:b/>
          <w:sz w:val="22"/>
        </w:rPr>
        <w:t>I</w:t>
      </w:r>
      <w:proofErr w:type="gramEnd"/>
      <w:r w:rsidRPr="00CE0476">
        <w:rPr>
          <w:sz w:val="22"/>
        </w:rPr>
        <w:t xml:space="preserve">. </w:t>
      </w:r>
    </w:p>
    <w:p w:rsidR="00185AB6" w:rsidRPr="00CE0476" w:rsidRDefault="00185AB6">
      <w:pPr>
        <w:rPr>
          <w:sz w:val="22"/>
        </w:rPr>
      </w:pPr>
    </w:p>
    <w:p w:rsidR="00185AB6" w:rsidRPr="00CE0476" w:rsidRDefault="001558D0">
      <w:pPr>
        <w:ind w:left="720"/>
        <w:rPr>
          <w:sz w:val="22"/>
        </w:rPr>
      </w:pPr>
      <w:r w:rsidRPr="00CE0476">
        <w:t>Due to the lack of funds, t</w:t>
      </w:r>
      <w:r w:rsidR="00D23E8F" w:rsidRPr="00CE0476">
        <w:t xml:space="preserve">here was a decrease in the number of providers submitting </w:t>
      </w:r>
      <w:r w:rsidR="00D23E8F" w:rsidRPr="00CE0476">
        <w:lastRenderedPageBreak/>
        <w:t>Maritime Security Training courses for approval</w:t>
      </w:r>
      <w:r w:rsidRPr="00CE0476">
        <w:t>.</w:t>
      </w:r>
    </w:p>
    <w:p w:rsidR="00185AB6" w:rsidRPr="00CE0476" w:rsidRDefault="00185AB6">
      <w:pPr>
        <w:ind w:left="720"/>
        <w:rPr>
          <w:sz w:val="22"/>
        </w:rPr>
      </w:pPr>
    </w:p>
    <w:p w:rsidR="00185AB6" w:rsidRPr="00CE0476" w:rsidRDefault="00185AB6">
      <w:pPr>
        <w:tabs>
          <w:tab w:val="left" w:pos="-1440"/>
        </w:tabs>
        <w:ind w:left="720" w:hanging="720"/>
        <w:rPr>
          <w:sz w:val="22"/>
        </w:rPr>
      </w:pPr>
      <w:r w:rsidRPr="00CE0476">
        <w:rPr>
          <w:b/>
          <w:sz w:val="22"/>
        </w:rPr>
        <w:t>16.</w:t>
      </w:r>
      <w:r w:rsidRPr="00CE0476">
        <w:rPr>
          <w:b/>
          <w:sz w:val="22"/>
        </w:rPr>
        <w:tab/>
      </w:r>
      <w:proofErr w:type="gramStart"/>
      <w:r w:rsidRPr="00CE0476">
        <w:rPr>
          <w:b/>
          <w:sz w:val="22"/>
        </w:rPr>
        <w:t>For</w:t>
      </w:r>
      <w:proofErr w:type="gramEnd"/>
      <w:r w:rsidRPr="00CE0476">
        <w:rPr>
          <w:b/>
          <w:sz w:val="22"/>
        </w:rPr>
        <w:t xml:space="preserve"> collections of information whose results are planned to be published for statistical use</w:t>
      </w:r>
      <w:r w:rsidR="00D7567D" w:rsidRPr="00CE0476">
        <w:rPr>
          <w:b/>
          <w:sz w:val="22"/>
        </w:rPr>
        <w:t>, outline</w:t>
      </w:r>
      <w:r w:rsidRPr="00CE0476">
        <w:rPr>
          <w:b/>
          <w:sz w:val="22"/>
        </w:rPr>
        <w:t xml:space="preserve"> plans for tabulation, statistical analysis, and publication.  Provide the time schedule for the entire project, including beginning and ending dates of the collection of information</w:t>
      </w:r>
      <w:r w:rsidR="00D7567D" w:rsidRPr="00CE0476">
        <w:rPr>
          <w:b/>
          <w:sz w:val="22"/>
        </w:rPr>
        <w:t>, completion</w:t>
      </w:r>
      <w:r w:rsidRPr="00CE0476">
        <w:rPr>
          <w:b/>
          <w:sz w:val="22"/>
        </w:rPr>
        <w:t xml:space="preserve"> of report, publication dates and other actions</w:t>
      </w:r>
      <w:r w:rsidRPr="00CE0476">
        <w:rPr>
          <w:sz w:val="22"/>
        </w:rPr>
        <w:t>.</w:t>
      </w:r>
    </w:p>
    <w:p w:rsidR="00185AB6" w:rsidRPr="00CE0476" w:rsidRDefault="00185AB6">
      <w:pPr>
        <w:tabs>
          <w:tab w:val="left" w:pos="-1440"/>
        </w:tabs>
        <w:rPr>
          <w:b/>
          <w:sz w:val="22"/>
        </w:rPr>
      </w:pPr>
    </w:p>
    <w:p w:rsidR="00185AB6" w:rsidRPr="00CE0476" w:rsidRDefault="00185AB6">
      <w:pPr>
        <w:tabs>
          <w:tab w:val="left" w:pos="-1440"/>
        </w:tabs>
        <w:ind w:left="720"/>
        <w:rPr>
          <w:sz w:val="22"/>
        </w:rPr>
      </w:pPr>
      <w:proofErr w:type="gramStart"/>
      <w:r w:rsidRPr="00CE0476">
        <w:rPr>
          <w:sz w:val="22"/>
        </w:rPr>
        <w:t>Not applicable.</w:t>
      </w:r>
      <w:proofErr w:type="gramEnd"/>
    </w:p>
    <w:p w:rsidR="00185AB6" w:rsidRPr="00CE0476" w:rsidRDefault="00185AB6">
      <w:pPr>
        <w:tabs>
          <w:tab w:val="left" w:pos="-1440"/>
        </w:tabs>
        <w:ind w:left="720"/>
        <w:rPr>
          <w:sz w:val="22"/>
        </w:rPr>
      </w:pPr>
    </w:p>
    <w:p w:rsidR="00185AB6" w:rsidRPr="00CE0476" w:rsidRDefault="00185AB6">
      <w:pPr>
        <w:tabs>
          <w:tab w:val="left" w:pos="-1440"/>
        </w:tabs>
        <w:ind w:left="720" w:hanging="720"/>
        <w:rPr>
          <w:sz w:val="22"/>
        </w:rPr>
      </w:pPr>
      <w:r w:rsidRPr="00CE0476">
        <w:rPr>
          <w:b/>
          <w:sz w:val="22"/>
        </w:rPr>
        <w:t>17.</w:t>
      </w:r>
      <w:r w:rsidRPr="00CE0476">
        <w:rPr>
          <w:b/>
          <w:sz w:val="22"/>
        </w:rPr>
        <w:tab/>
      </w:r>
      <w:proofErr w:type="gramStart"/>
      <w:r w:rsidRPr="00CE0476">
        <w:rPr>
          <w:b/>
          <w:sz w:val="22"/>
        </w:rPr>
        <w:t>If</w:t>
      </w:r>
      <w:proofErr w:type="gramEnd"/>
      <w:r w:rsidRPr="00CE0476">
        <w:rPr>
          <w:b/>
          <w:sz w:val="22"/>
        </w:rPr>
        <w:t xml:space="preserve"> seeking approval not to display the expiration date for OMB approval of the information collection, explain the reasons that display would be inappropriate</w:t>
      </w:r>
      <w:r w:rsidRPr="00CE0476">
        <w:rPr>
          <w:sz w:val="22"/>
        </w:rPr>
        <w:t>.</w:t>
      </w:r>
    </w:p>
    <w:p w:rsidR="00185AB6" w:rsidRPr="00CE0476" w:rsidRDefault="00185AB6">
      <w:pPr>
        <w:tabs>
          <w:tab w:val="left" w:pos="-1440"/>
        </w:tabs>
        <w:rPr>
          <w:b/>
          <w:sz w:val="22"/>
        </w:rPr>
      </w:pPr>
    </w:p>
    <w:p w:rsidR="00185AB6" w:rsidRPr="00CE0476" w:rsidRDefault="00081982">
      <w:pPr>
        <w:pStyle w:val="BodyTextIndent3"/>
        <w:tabs>
          <w:tab w:val="left" w:pos="-1440"/>
        </w:tabs>
      </w:pPr>
      <w:r>
        <w:t>MARAD is not seeking approval to avoid displaying the expiration date for OMB’s approval of the collection.</w:t>
      </w:r>
    </w:p>
    <w:p w:rsidR="00185AB6" w:rsidRPr="00CE0476" w:rsidRDefault="00185AB6">
      <w:pPr>
        <w:rPr>
          <w:sz w:val="22"/>
        </w:rPr>
      </w:pPr>
    </w:p>
    <w:p w:rsidR="00185AB6" w:rsidRPr="00CE0476" w:rsidRDefault="00185AB6">
      <w:pPr>
        <w:numPr>
          <w:ilvl w:val="0"/>
          <w:numId w:val="6"/>
        </w:numPr>
        <w:tabs>
          <w:tab w:val="left" w:pos="-1440"/>
        </w:tabs>
        <w:rPr>
          <w:sz w:val="22"/>
        </w:rPr>
      </w:pPr>
      <w:r w:rsidRPr="00CE0476">
        <w:rPr>
          <w:b/>
          <w:sz w:val="22"/>
        </w:rPr>
        <w:t>Explain each exception to the certification statement identified in Item 19, “Certification for Paperwork Reduction Act Submissions,” of OMB Form 83-</w:t>
      </w:r>
      <w:proofErr w:type="gramStart"/>
      <w:r w:rsidRPr="00CE0476">
        <w:rPr>
          <w:b/>
          <w:sz w:val="22"/>
        </w:rPr>
        <w:t>I</w:t>
      </w:r>
      <w:proofErr w:type="gramEnd"/>
      <w:r w:rsidRPr="00CE0476">
        <w:rPr>
          <w:sz w:val="22"/>
        </w:rPr>
        <w:t>.</w:t>
      </w:r>
    </w:p>
    <w:p w:rsidR="00185AB6" w:rsidRPr="00CE0476" w:rsidRDefault="00185AB6">
      <w:pPr>
        <w:tabs>
          <w:tab w:val="left" w:pos="-1440"/>
        </w:tabs>
        <w:rPr>
          <w:sz w:val="22"/>
        </w:rPr>
      </w:pPr>
    </w:p>
    <w:p w:rsidR="00185AB6" w:rsidRPr="00CE0476" w:rsidRDefault="00081982">
      <w:pPr>
        <w:pStyle w:val="BodyTextIndent"/>
        <w:tabs>
          <w:tab w:val="left" w:pos="-1440"/>
        </w:tabs>
        <w:rPr>
          <w:sz w:val="22"/>
        </w:rPr>
      </w:pPr>
      <w:r>
        <w:rPr>
          <w:sz w:val="22"/>
        </w:rPr>
        <w:t>There are no exceptions to the certification statement in Item 19.</w:t>
      </w:r>
    </w:p>
    <w:p w:rsidR="00185AB6" w:rsidRPr="00CE0476" w:rsidRDefault="00185AB6">
      <w:pPr>
        <w:pStyle w:val="BodyTextIndent"/>
        <w:tabs>
          <w:tab w:val="left" w:pos="-1440"/>
        </w:tabs>
        <w:rPr>
          <w:b/>
          <w:sz w:val="22"/>
        </w:rPr>
      </w:pPr>
    </w:p>
    <w:sectPr w:rsidR="00185AB6" w:rsidRPr="00CE0476" w:rsidSect="00CE0476">
      <w:footerReference w:type="even" r:id="rId7"/>
      <w:footerReference w:type="default" r:id="rId8"/>
      <w:endnotePr>
        <w:numFmt w:val="decimal"/>
      </w:endnotePr>
      <w:type w:val="continuous"/>
      <w:pgSz w:w="12240" w:h="15840"/>
      <w:pgMar w:top="1440" w:right="1440" w:bottom="1440" w:left="1440" w:header="144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CC5" w:rsidRDefault="00D45CC5">
      <w:r>
        <w:separator/>
      </w:r>
    </w:p>
  </w:endnote>
  <w:endnote w:type="continuationSeparator" w:id="0">
    <w:p w:rsidR="00D45CC5" w:rsidRDefault="00D45C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B19" w:rsidRDefault="00575EF8">
    <w:pPr>
      <w:pStyle w:val="Footer"/>
      <w:framePr w:wrap="around" w:vAnchor="text" w:hAnchor="margin" w:xAlign="right" w:y="1"/>
      <w:rPr>
        <w:rStyle w:val="PageNumber"/>
      </w:rPr>
    </w:pPr>
    <w:r>
      <w:rPr>
        <w:rStyle w:val="PageNumber"/>
      </w:rPr>
      <w:fldChar w:fldCharType="begin"/>
    </w:r>
    <w:r w:rsidR="000E2B19">
      <w:rPr>
        <w:rStyle w:val="PageNumber"/>
      </w:rPr>
      <w:instrText xml:space="preserve">PAGE  </w:instrText>
    </w:r>
    <w:r>
      <w:rPr>
        <w:rStyle w:val="PageNumber"/>
      </w:rPr>
      <w:fldChar w:fldCharType="separate"/>
    </w:r>
    <w:r w:rsidR="000E2B19">
      <w:rPr>
        <w:rStyle w:val="PageNumber"/>
        <w:noProof/>
      </w:rPr>
      <w:t>6</w:t>
    </w:r>
    <w:r>
      <w:rPr>
        <w:rStyle w:val="PageNumber"/>
      </w:rPr>
      <w:fldChar w:fldCharType="end"/>
    </w:r>
  </w:p>
  <w:p w:rsidR="000E2B19" w:rsidRDefault="000E2B1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B19" w:rsidRDefault="00575EF8">
    <w:pPr>
      <w:pStyle w:val="Footer"/>
      <w:framePr w:wrap="around" w:vAnchor="text" w:hAnchor="margin" w:xAlign="right" w:y="1"/>
      <w:rPr>
        <w:rStyle w:val="PageNumber"/>
      </w:rPr>
    </w:pPr>
    <w:r>
      <w:rPr>
        <w:rStyle w:val="PageNumber"/>
      </w:rPr>
      <w:fldChar w:fldCharType="begin"/>
    </w:r>
    <w:r w:rsidR="000E2B19">
      <w:rPr>
        <w:rStyle w:val="PageNumber"/>
      </w:rPr>
      <w:instrText xml:space="preserve">PAGE  </w:instrText>
    </w:r>
    <w:r>
      <w:rPr>
        <w:rStyle w:val="PageNumber"/>
      </w:rPr>
      <w:fldChar w:fldCharType="separate"/>
    </w:r>
    <w:r w:rsidR="006D3E93">
      <w:rPr>
        <w:rStyle w:val="PageNumber"/>
        <w:noProof/>
      </w:rPr>
      <w:t>4</w:t>
    </w:r>
    <w:r>
      <w:rPr>
        <w:rStyle w:val="PageNumber"/>
      </w:rPr>
      <w:fldChar w:fldCharType="end"/>
    </w:r>
  </w:p>
  <w:p w:rsidR="000E2B19" w:rsidRDefault="000E2B1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CC5" w:rsidRDefault="00D45CC5">
      <w:r>
        <w:separator/>
      </w:r>
    </w:p>
  </w:footnote>
  <w:footnote w:type="continuationSeparator" w:id="0">
    <w:p w:rsidR="00D45CC5" w:rsidRDefault="00D45C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7046433"/>
    <w:multiLevelType w:val="singleLevel"/>
    <w:tmpl w:val="0409000F"/>
    <w:lvl w:ilvl="0">
      <w:start w:val="7"/>
      <w:numFmt w:val="decimal"/>
      <w:lvlText w:val="%1."/>
      <w:lvlJc w:val="left"/>
      <w:pPr>
        <w:tabs>
          <w:tab w:val="num" w:pos="360"/>
        </w:tabs>
        <w:ind w:left="360" w:hanging="360"/>
      </w:pPr>
      <w:rPr>
        <w:rFonts w:hint="default"/>
        <w:b w:val="0"/>
      </w:rPr>
    </w:lvl>
  </w:abstractNum>
  <w:abstractNum w:abstractNumId="2">
    <w:nsid w:val="0D2D39E5"/>
    <w:multiLevelType w:val="singleLevel"/>
    <w:tmpl w:val="944CC5F2"/>
    <w:lvl w:ilvl="0">
      <w:start w:val="10"/>
      <w:numFmt w:val="decimal"/>
      <w:lvlText w:val="%1."/>
      <w:lvlJc w:val="left"/>
      <w:pPr>
        <w:tabs>
          <w:tab w:val="num" w:pos="720"/>
        </w:tabs>
        <w:ind w:left="720" w:hanging="720"/>
      </w:pPr>
      <w:rPr>
        <w:rFonts w:hint="default"/>
      </w:rPr>
    </w:lvl>
  </w:abstractNum>
  <w:abstractNum w:abstractNumId="3">
    <w:nsid w:val="11714F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53B34E0"/>
    <w:multiLevelType w:val="singleLevel"/>
    <w:tmpl w:val="4464338E"/>
    <w:lvl w:ilvl="0">
      <w:start w:val="2"/>
      <w:numFmt w:val="upperLetter"/>
      <w:lvlText w:val="%1."/>
      <w:lvlJc w:val="left"/>
      <w:pPr>
        <w:tabs>
          <w:tab w:val="num" w:pos="1440"/>
        </w:tabs>
        <w:ind w:left="1440" w:hanging="720"/>
      </w:pPr>
      <w:rPr>
        <w:rFonts w:hint="default"/>
      </w:rPr>
    </w:lvl>
  </w:abstractNum>
  <w:abstractNum w:abstractNumId="5">
    <w:nsid w:val="16BD0F45"/>
    <w:multiLevelType w:val="singleLevel"/>
    <w:tmpl w:val="0E8A1464"/>
    <w:lvl w:ilvl="0">
      <w:start w:val="1"/>
      <w:numFmt w:val="decimal"/>
      <w:lvlText w:val="%1."/>
      <w:lvlJc w:val="left"/>
      <w:pPr>
        <w:tabs>
          <w:tab w:val="num" w:pos="1080"/>
        </w:tabs>
        <w:ind w:left="1080" w:hanging="360"/>
      </w:pPr>
      <w:rPr>
        <w:rFonts w:hint="default"/>
      </w:rPr>
    </w:lvl>
  </w:abstractNum>
  <w:abstractNum w:abstractNumId="6">
    <w:nsid w:val="26CA492E"/>
    <w:multiLevelType w:val="singleLevel"/>
    <w:tmpl w:val="69462A88"/>
    <w:lvl w:ilvl="0">
      <w:start w:val="2"/>
      <w:numFmt w:val="upperLetter"/>
      <w:lvlText w:val="%1."/>
      <w:lvlJc w:val="left"/>
      <w:pPr>
        <w:tabs>
          <w:tab w:val="num" w:pos="1080"/>
        </w:tabs>
        <w:ind w:left="1080" w:hanging="360"/>
      </w:pPr>
      <w:rPr>
        <w:rFonts w:hint="default"/>
        <w:b/>
      </w:rPr>
    </w:lvl>
  </w:abstractNum>
  <w:abstractNum w:abstractNumId="7">
    <w:nsid w:val="27D71988"/>
    <w:multiLevelType w:val="singleLevel"/>
    <w:tmpl w:val="51963D42"/>
    <w:lvl w:ilvl="0">
      <w:start w:val="2"/>
      <w:numFmt w:val="lowerLetter"/>
      <w:lvlText w:val="(%1)"/>
      <w:lvlJc w:val="left"/>
      <w:pPr>
        <w:tabs>
          <w:tab w:val="num" w:pos="1110"/>
        </w:tabs>
        <w:ind w:left="1110" w:hanging="390"/>
      </w:pPr>
      <w:rPr>
        <w:rFonts w:hint="default"/>
      </w:rPr>
    </w:lvl>
  </w:abstractNum>
  <w:abstractNum w:abstractNumId="8">
    <w:nsid w:val="2D2B7FB8"/>
    <w:multiLevelType w:val="singleLevel"/>
    <w:tmpl w:val="A59004CE"/>
    <w:lvl w:ilvl="0">
      <w:start w:val="1"/>
      <w:numFmt w:val="bullet"/>
      <w:lvlText w:val="O"/>
      <w:lvlJc w:val="left"/>
      <w:pPr>
        <w:tabs>
          <w:tab w:val="num" w:pos="360"/>
        </w:tabs>
        <w:ind w:left="360" w:hanging="360"/>
      </w:pPr>
      <w:rPr>
        <w:rFonts w:ascii="Symbol" w:hAnsi="Symbol" w:hint="default"/>
        <w:sz w:val="16"/>
      </w:rPr>
    </w:lvl>
  </w:abstractNum>
  <w:abstractNum w:abstractNumId="9">
    <w:nsid w:val="36CF542F"/>
    <w:multiLevelType w:val="singleLevel"/>
    <w:tmpl w:val="A73664B8"/>
    <w:lvl w:ilvl="0">
      <w:start w:val="15"/>
      <w:numFmt w:val="decimal"/>
      <w:lvlText w:val="%1."/>
      <w:lvlJc w:val="left"/>
      <w:pPr>
        <w:tabs>
          <w:tab w:val="num" w:pos="720"/>
        </w:tabs>
        <w:ind w:left="720" w:hanging="720"/>
      </w:pPr>
      <w:rPr>
        <w:rFonts w:hint="default"/>
      </w:rPr>
    </w:lvl>
  </w:abstractNum>
  <w:abstractNum w:abstractNumId="10">
    <w:nsid w:val="6006158D"/>
    <w:multiLevelType w:val="singleLevel"/>
    <w:tmpl w:val="D00AC428"/>
    <w:lvl w:ilvl="0">
      <w:start w:val="4"/>
      <w:numFmt w:val="decimal"/>
      <w:lvlText w:val="%1."/>
      <w:lvlJc w:val="left"/>
      <w:pPr>
        <w:tabs>
          <w:tab w:val="num" w:pos="720"/>
        </w:tabs>
        <w:ind w:left="720" w:hanging="720"/>
      </w:pPr>
      <w:rPr>
        <w:rFonts w:hint="default"/>
      </w:rPr>
    </w:lvl>
  </w:abstractNum>
  <w:abstractNum w:abstractNumId="11">
    <w:nsid w:val="74C800D4"/>
    <w:multiLevelType w:val="singleLevel"/>
    <w:tmpl w:val="C798BE60"/>
    <w:lvl w:ilvl="0">
      <w:start w:val="18"/>
      <w:numFmt w:val="decimal"/>
      <w:lvlText w:val="%1."/>
      <w:lvlJc w:val="left"/>
      <w:pPr>
        <w:tabs>
          <w:tab w:val="num" w:pos="720"/>
        </w:tabs>
        <w:ind w:left="720" w:hanging="720"/>
      </w:pPr>
      <w:rPr>
        <w:rFonts w:hint="default"/>
      </w:rPr>
    </w:lvl>
  </w:abstractNum>
  <w:num w:numId="1">
    <w:abstractNumId w:val="0"/>
    <w:lvlOverride w:ilvl="0">
      <w:lvl w:ilvl="0">
        <w:numFmt w:val="bullet"/>
        <w:lvlText w:val=""/>
        <w:legacy w:legacy="1" w:legacySpace="0" w:legacyIndent="720"/>
        <w:lvlJc w:val="left"/>
        <w:pPr>
          <w:ind w:left="1440" w:hanging="720"/>
        </w:pPr>
        <w:rPr>
          <w:rFonts w:ascii="Symbol" w:hAnsi="Symbol" w:hint="default"/>
        </w:rPr>
      </w:lvl>
    </w:lvlOverride>
  </w:num>
  <w:num w:numId="2">
    <w:abstractNumId w:val="2"/>
  </w:num>
  <w:num w:numId="3">
    <w:abstractNumId w:val="7"/>
  </w:num>
  <w:num w:numId="4">
    <w:abstractNumId w:val="9"/>
  </w:num>
  <w:num w:numId="5">
    <w:abstractNumId w:val="10"/>
  </w:num>
  <w:num w:numId="6">
    <w:abstractNumId w:val="11"/>
  </w:num>
  <w:num w:numId="7">
    <w:abstractNumId w:val="4"/>
  </w:num>
  <w:num w:numId="8">
    <w:abstractNumId w:val="6"/>
  </w:num>
  <w:num w:numId="9">
    <w:abstractNumId w:val="5"/>
  </w:num>
  <w:num w:numId="10">
    <w:abstractNumId w:val="0"/>
    <w:lvlOverride w:ilvl="0">
      <w:lvl w:ilvl="0">
        <w:numFmt w:val="bullet"/>
        <w:lvlText w:val=""/>
        <w:legacy w:legacy="1" w:legacySpace="0" w:legacyIndent="720"/>
        <w:lvlJc w:val="left"/>
        <w:pPr>
          <w:ind w:left="1440" w:hanging="720"/>
        </w:pPr>
        <w:rPr>
          <w:rFonts w:ascii="Symbol" w:hAnsi="Symbol" w:hint="default"/>
        </w:rPr>
      </w:lvl>
    </w:lvlOverride>
  </w:num>
  <w:num w:numId="11">
    <w:abstractNumId w:val="8"/>
  </w:num>
  <w:num w:numId="12">
    <w:abstractNumId w:val="3"/>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rsids>
    <w:rsidRoot w:val="00C03F52"/>
    <w:rsid w:val="00081982"/>
    <w:rsid w:val="000823A0"/>
    <w:rsid w:val="000C007A"/>
    <w:rsid w:val="000E2B19"/>
    <w:rsid w:val="000F11A8"/>
    <w:rsid w:val="0012062E"/>
    <w:rsid w:val="001558D0"/>
    <w:rsid w:val="00185AB6"/>
    <w:rsid w:val="001A6AD4"/>
    <w:rsid w:val="001E7992"/>
    <w:rsid w:val="002B6519"/>
    <w:rsid w:val="002C6391"/>
    <w:rsid w:val="00302331"/>
    <w:rsid w:val="0034085D"/>
    <w:rsid w:val="00361203"/>
    <w:rsid w:val="004C1C21"/>
    <w:rsid w:val="00563821"/>
    <w:rsid w:val="00575EF8"/>
    <w:rsid w:val="00610E7E"/>
    <w:rsid w:val="00624354"/>
    <w:rsid w:val="00652CA4"/>
    <w:rsid w:val="00665003"/>
    <w:rsid w:val="006D3CC2"/>
    <w:rsid w:val="006D3E93"/>
    <w:rsid w:val="006E4AE6"/>
    <w:rsid w:val="007D4FC8"/>
    <w:rsid w:val="007E1F8B"/>
    <w:rsid w:val="007F3DDA"/>
    <w:rsid w:val="008837E7"/>
    <w:rsid w:val="008D0E63"/>
    <w:rsid w:val="008D4437"/>
    <w:rsid w:val="008E2BB0"/>
    <w:rsid w:val="009C4374"/>
    <w:rsid w:val="00A05583"/>
    <w:rsid w:val="00A22FDF"/>
    <w:rsid w:val="00A34BEC"/>
    <w:rsid w:val="00A55E14"/>
    <w:rsid w:val="00A6106F"/>
    <w:rsid w:val="00A76505"/>
    <w:rsid w:val="00AC71D8"/>
    <w:rsid w:val="00AC746D"/>
    <w:rsid w:val="00B27B88"/>
    <w:rsid w:val="00B46B39"/>
    <w:rsid w:val="00BE3C79"/>
    <w:rsid w:val="00C03F52"/>
    <w:rsid w:val="00C4530D"/>
    <w:rsid w:val="00CD118D"/>
    <w:rsid w:val="00CD7B65"/>
    <w:rsid w:val="00CE0476"/>
    <w:rsid w:val="00D040AB"/>
    <w:rsid w:val="00D23E8F"/>
    <w:rsid w:val="00D45CC5"/>
    <w:rsid w:val="00D7567D"/>
    <w:rsid w:val="00D95A11"/>
    <w:rsid w:val="00DA3E93"/>
    <w:rsid w:val="00DD0F49"/>
    <w:rsid w:val="00E66621"/>
    <w:rsid w:val="00F70F7B"/>
    <w:rsid w:val="00FB038A"/>
    <w:rsid w:val="00FC29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4AE6"/>
    <w:pPr>
      <w:widowControl w:val="0"/>
    </w:pPr>
    <w:rPr>
      <w:snapToGrid w:val="0"/>
      <w:sz w:val="24"/>
    </w:rPr>
  </w:style>
  <w:style w:type="paragraph" w:styleId="Heading1">
    <w:name w:val="heading 1"/>
    <w:basedOn w:val="Normal"/>
    <w:next w:val="Normal"/>
    <w:qFormat/>
    <w:rsid w:val="006E4AE6"/>
    <w:pPr>
      <w:keepNext/>
      <w:outlineLvl w:val="0"/>
    </w:pPr>
    <w:rPr>
      <w:i/>
    </w:rPr>
  </w:style>
  <w:style w:type="paragraph" w:styleId="Heading2">
    <w:name w:val="heading 2"/>
    <w:basedOn w:val="Normal"/>
    <w:next w:val="Normal"/>
    <w:qFormat/>
    <w:rsid w:val="006E4AE6"/>
    <w:pPr>
      <w:keepNext/>
      <w:tabs>
        <w:tab w:val="center" w:pos="4680"/>
      </w:tabs>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E4AE6"/>
  </w:style>
  <w:style w:type="paragraph" w:customStyle="1" w:styleId="a">
    <w:name w:val="_"/>
    <w:basedOn w:val="Normal"/>
    <w:rsid w:val="006E4AE6"/>
    <w:pPr>
      <w:ind w:left="1440" w:hanging="720"/>
    </w:pPr>
  </w:style>
  <w:style w:type="paragraph" w:styleId="BodyTextIndent">
    <w:name w:val="Body Text Indent"/>
    <w:basedOn w:val="Normal"/>
    <w:rsid w:val="006E4AE6"/>
    <w:pPr>
      <w:ind w:left="720"/>
    </w:pPr>
  </w:style>
  <w:style w:type="paragraph" w:styleId="BodyTextIndent2">
    <w:name w:val="Body Text Indent 2"/>
    <w:basedOn w:val="Normal"/>
    <w:rsid w:val="006E4AE6"/>
    <w:pPr>
      <w:tabs>
        <w:tab w:val="left" w:pos="-1440"/>
      </w:tabs>
      <w:ind w:left="720" w:hanging="720"/>
    </w:pPr>
  </w:style>
  <w:style w:type="paragraph" w:styleId="PlainText">
    <w:name w:val="Plain Text"/>
    <w:basedOn w:val="Normal"/>
    <w:rsid w:val="006E4AE6"/>
    <w:pPr>
      <w:widowControl/>
    </w:pPr>
    <w:rPr>
      <w:rFonts w:ascii="Courier New" w:hAnsi="Courier New"/>
      <w:snapToGrid/>
      <w:sz w:val="20"/>
    </w:rPr>
  </w:style>
  <w:style w:type="paragraph" w:styleId="Footer">
    <w:name w:val="footer"/>
    <w:basedOn w:val="Normal"/>
    <w:rsid w:val="006E4AE6"/>
    <w:pPr>
      <w:tabs>
        <w:tab w:val="center" w:pos="4320"/>
        <w:tab w:val="right" w:pos="8640"/>
      </w:tabs>
    </w:pPr>
  </w:style>
  <w:style w:type="character" w:styleId="PageNumber">
    <w:name w:val="page number"/>
    <w:basedOn w:val="DefaultParagraphFont"/>
    <w:rsid w:val="006E4AE6"/>
  </w:style>
  <w:style w:type="paragraph" w:styleId="BodyTextIndent3">
    <w:name w:val="Body Text Indent 3"/>
    <w:basedOn w:val="Normal"/>
    <w:rsid w:val="006E4AE6"/>
    <w:pPr>
      <w:ind w:left="720"/>
    </w:pPr>
    <w:rPr>
      <w:sz w:val="22"/>
    </w:rPr>
  </w:style>
  <w:style w:type="paragraph" w:styleId="DocumentMap">
    <w:name w:val="Document Map"/>
    <w:basedOn w:val="Normal"/>
    <w:semiHidden/>
    <w:rsid w:val="006E4AE6"/>
    <w:pPr>
      <w:shd w:val="clear" w:color="auto" w:fill="000080"/>
    </w:pPr>
    <w:rPr>
      <w:rFonts w:ascii="Tahoma" w:hAnsi="Tahoma"/>
    </w:rPr>
  </w:style>
  <w:style w:type="paragraph" w:styleId="BalloonText">
    <w:name w:val="Balloon Text"/>
    <w:basedOn w:val="Normal"/>
    <w:semiHidden/>
    <w:rsid w:val="00C03F52"/>
    <w:rPr>
      <w:rFonts w:ascii="Tahoma" w:hAnsi="Tahoma" w:cs="Tahoma"/>
      <w:sz w:val="16"/>
      <w:szCs w:val="16"/>
    </w:rPr>
  </w:style>
  <w:style w:type="character" w:styleId="CommentReference">
    <w:name w:val="annotation reference"/>
    <w:basedOn w:val="DefaultParagraphFont"/>
    <w:semiHidden/>
    <w:rsid w:val="001A6AD4"/>
    <w:rPr>
      <w:sz w:val="16"/>
      <w:szCs w:val="16"/>
    </w:rPr>
  </w:style>
  <w:style w:type="paragraph" w:styleId="CommentText">
    <w:name w:val="annotation text"/>
    <w:basedOn w:val="Normal"/>
    <w:semiHidden/>
    <w:rsid w:val="001A6AD4"/>
    <w:rPr>
      <w:sz w:val="20"/>
    </w:rPr>
  </w:style>
  <w:style w:type="paragraph" w:styleId="CommentSubject">
    <w:name w:val="annotation subject"/>
    <w:basedOn w:val="CommentText"/>
    <w:next w:val="CommentText"/>
    <w:semiHidden/>
    <w:rsid w:val="001A6AD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1831</Words>
  <Characters>10442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MARAD</Company>
  <LinksUpToDate>false</LinksUpToDate>
  <CharactersWithSpaces>12249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yfields</dc:creator>
  <cp:keywords/>
  <dc:description/>
  <cp:lastModifiedBy>USDOT User</cp:lastModifiedBy>
  <cp:revision>7</cp:revision>
  <cp:lastPrinted>2010-05-20T15:09:00Z</cp:lastPrinted>
  <dcterms:created xsi:type="dcterms:W3CDTF">2011-04-05T01:33:00Z</dcterms:created>
  <dcterms:modified xsi:type="dcterms:W3CDTF">2011-11-16T14:10:00Z</dcterms:modified>
</cp:coreProperties>
</file>