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BC" w:rsidRPr="00F15575" w:rsidRDefault="002D1CBC" w:rsidP="00452B43">
      <w:pPr>
        <w:widowControl w:val="0"/>
        <w:autoSpaceDE w:val="0"/>
        <w:autoSpaceDN w:val="0"/>
        <w:adjustRightInd w:val="0"/>
        <w:jc w:val="center"/>
        <w:rPr>
          <w:b/>
          <w:bCs/>
        </w:rPr>
      </w:pPr>
      <w:r>
        <w:rPr>
          <w:rFonts w:eastAsiaTheme="minorHAnsi"/>
          <w:b/>
        </w:rPr>
        <w:t>Evaluation of Impaired Riding Interventions</w:t>
      </w:r>
    </w:p>
    <w:p w:rsidR="007F2A31" w:rsidRPr="00F15575" w:rsidRDefault="007F2A31" w:rsidP="00452B43">
      <w:pPr>
        <w:widowControl w:val="0"/>
        <w:autoSpaceDE w:val="0"/>
        <w:autoSpaceDN w:val="0"/>
        <w:adjustRightInd w:val="0"/>
        <w:jc w:val="center"/>
        <w:rPr>
          <w:b/>
          <w:bCs/>
        </w:rPr>
      </w:pPr>
      <w:r w:rsidRPr="00F15575">
        <w:rPr>
          <w:b/>
          <w:bCs/>
        </w:rPr>
        <w:t>Supporting Statement for Information Collection Request</w:t>
      </w:r>
    </w:p>
    <w:p w:rsidR="007F2A31" w:rsidRDefault="007F2A31" w:rsidP="00452B43">
      <w:pPr>
        <w:widowControl w:val="0"/>
        <w:autoSpaceDE w:val="0"/>
        <w:autoSpaceDN w:val="0"/>
        <w:adjustRightInd w:val="0"/>
        <w:jc w:val="center"/>
        <w:rPr>
          <w:b/>
          <w:bCs/>
        </w:rPr>
      </w:pPr>
    </w:p>
    <w:p w:rsidR="007F2A31" w:rsidRDefault="007F2A31" w:rsidP="00452B43">
      <w:pPr>
        <w:widowControl w:val="0"/>
        <w:autoSpaceDE w:val="0"/>
        <w:autoSpaceDN w:val="0"/>
        <w:adjustRightInd w:val="0"/>
        <w:jc w:val="center"/>
        <w:rPr>
          <w:b/>
          <w:bCs/>
        </w:rPr>
      </w:pPr>
    </w:p>
    <w:p w:rsidR="007F2A31" w:rsidRDefault="007F2A31" w:rsidP="00452B43">
      <w:pPr>
        <w:widowControl w:val="0"/>
        <w:autoSpaceDE w:val="0"/>
        <w:autoSpaceDN w:val="0"/>
        <w:adjustRightInd w:val="0"/>
        <w:jc w:val="center"/>
        <w:rPr>
          <w:b/>
          <w:bCs/>
        </w:rPr>
      </w:pPr>
      <w:r>
        <w:rPr>
          <w:b/>
          <w:bCs/>
        </w:rPr>
        <w:t>TABLE OF CONTENTS</w:t>
      </w:r>
    </w:p>
    <w:p w:rsidR="007F2A31" w:rsidRDefault="007F2A31" w:rsidP="00452B43">
      <w:pPr>
        <w:widowControl w:val="0"/>
        <w:autoSpaceDE w:val="0"/>
        <w:autoSpaceDN w:val="0"/>
        <w:adjustRightInd w:val="0"/>
        <w:rPr>
          <w:b/>
          <w:bCs/>
        </w:rPr>
      </w:pPr>
    </w:p>
    <w:p w:rsidR="007F2A31" w:rsidRDefault="007F2A31" w:rsidP="00452B43">
      <w:pPr>
        <w:widowControl w:val="0"/>
        <w:autoSpaceDE w:val="0"/>
        <w:autoSpaceDN w:val="0"/>
        <w:adjustRightInd w:val="0"/>
        <w:rPr>
          <w:b/>
          <w:bCs/>
        </w:rPr>
      </w:pPr>
      <w:r>
        <w:rPr>
          <w:b/>
          <w:bCs/>
        </w:rPr>
        <w:t>SUPPORTING STATEMENT</w:t>
      </w:r>
    </w:p>
    <w:p w:rsidR="007F2A31" w:rsidRDefault="007F2A31" w:rsidP="00452B43">
      <w:pPr>
        <w:widowControl w:val="0"/>
        <w:autoSpaceDE w:val="0"/>
        <w:autoSpaceDN w:val="0"/>
        <w:adjustRightInd w:val="0"/>
        <w:rPr>
          <w:b/>
          <w:bCs/>
        </w:rPr>
      </w:pPr>
    </w:p>
    <w:p w:rsidR="00631F4F" w:rsidRDefault="007F2A31" w:rsidP="00452B43">
      <w:pPr>
        <w:rPr>
          <w:b/>
          <w:bCs/>
        </w:rPr>
      </w:pPr>
      <w:r>
        <w:rPr>
          <w:b/>
          <w:bCs/>
        </w:rPr>
        <w:t>B.</w:t>
      </w:r>
      <w:r>
        <w:rPr>
          <w:b/>
          <w:bCs/>
        </w:rPr>
        <w:tab/>
        <w:t>COLLECTION OF INFORMATION EMPLOYING STATISTICAL METHODS</w:t>
      </w:r>
    </w:p>
    <w:p w:rsidR="007F2A31" w:rsidRDefault="007F2A31" w:rsidP="00452B43">
      <w:pPr>
        <w:widowControl w:val="0"/>
        <w:autoSpaceDE w:val="0"/>
        <w:autoSpaceDN w:val="0"/>
        <w:adjustRightInd w:val="0"/>
      </w:pPr>
    </w:p>
    <w:p w:rsidR="007F2A31" w:rsidRDefault="007F2A31" w:rsidP="00452B43">
      <w:pPr>
        <w:widowControl w:val="0"/>
        <w:autoSpaceDE w:val="0"/>
        <w:autoSpaceDN w:val="0"/>
        <w:adjustRightInd w:val="0"/>
      </w:pPr>
      <w:r>
        <w:t>1.</w:t>
      </w:r>
      <w:r>
        <w:tab/>
        <w:t>Describe the potential respondent universe and any sampling or other respondent</w:t>
      </w:r>
    </w:p>
    <w:p w:rsidR="007F2A31" w:rsidRDefault="007F2A31" w:rsidP="00452B43">
      <w:pPr>
        <w:widowControl w:val="0"/>
        <w:autoSpaceDE w:val="0"/>
        <w:autoSpaceDN w:val="0"/>
        <w:adjustRightInd w:val="0"/>
      </w:pPr>
      <w:r>
        <w:tab/>
      </w:r>
      <w:proofErr w:type="gramStart"/>
      <w:r>
        <w:t>selection</w:t>
      </w:r>
      <w:proofErr w:type="gramEnd"/>
      <w:r>
        <w:t xml:space="preserve"> method to be used................................................................</w:t>
      </w:r>
      <w:r w:rsidR="00631F4F">
        <w:t>................................</w:t>
      </w:r>
      <w:r w:rsidR="00FB5BAF">
        <w:t>1</w:t>
      </w:r>
    </w:p>
    <w:p w:rsidR="007F2A31" w:rsidRDefault="007F2A31" w:rsidP="00452B43">
      <w:pPr>
        <w:widowControl w:val="0"/>
        <w:autoSpaceDE w:val="0"/>
        <w:autoSpaceDN w:val="0"/>
        <w:adjustRightInd w:val="0"/>
      </w:pPr>
    </w:p>
    <w:p w:rsidR="007F2A31" w:rsidRDefault="007F2A31" w:rsidP="00452B43">
      <w:pPr>
        <w:widowControl w:val="0"/>
        <w:autoSpaceDE w:val="0"/>
        <w:autoSpaceDN w:val="0"/>
        <w:adjustRightInd w:val="0"/>
      </w:pPr>
      <w:r>
        <w:t>2.</w:t>
      </w:r>
      <w:r>
        <w:tab/>
        <w:t>Describe the procedures for the collection of information............................................</w:t>
      </w:r>
      <w:r w:rsidR="00B576D1">
        <w:t>.....</w:t>
      </w:r>
      <w:r w:rsidR="00BB5ECD">
        <w:t>4</w:t>
      </w:r>
    </w:p>
    <w:p w:rsidR="007F2A31" w:rsidRDefault="007F2A31" w:rsidP="00452B43">
      <w:pPr>
        <w:widowControl w:val="0"/>
        <w:autoSpaceDE w:val="0"/>
        <w:autoSpaceDN w:val="0"/>
        <w:adjustRightInd w:val="0"/>
      </w:pPr>
    </w:p>
    <w:p w:rsidR="007F2A31" w:rsidRDefault="007F2A31" w:rsidP="00452B43">
      <w:pPr>
        <w:widowControl w:val="0"/>
        <w:autoSpaceDE w:val="0"/>
        <w:autoSpaceDN w:val="0"/>
        <w:adjustRightInd w:val="0"/>
      </w:pPr>
      <w:r>
        <w:t>3.</w:t>
      </w:r>
      <w:r>
        <w:tab/>
        <w:t>Describe methods to maximize response rates</w:t>
      </w:r>
      <w:r w:rsidR="00BB5ECD">
        <w:t>......................................</w:t>
      </w:r>
      <w:r w:rsidR="00631F4F">
        <w:t>...........................</w:t>
      </w:r>
      <w:r w:rsidR="00B576D1">
        <w:t>.</w:t>
      </w:r>
      <w:r w:rsidR="00631F4F">
        <w:t>.</w:t>
      </w:r>
      <w:r w:rsidR="00BB5ECD">
        <w:t>6</w:t>
      </w:r>
    </w:p>
    <w:p w:rsidR="007F2A31" w:rsidRDefault="007F2A31" w:rsidP="00452B43">
      <w:pPr>
        <w:widowControl w:val="0"/>
        <w:autoSpaceDE w:val="0"/>
        <w:autoSpaceDN w:val="0"/>
        <w:adjustRightInd w:val="0"/>
      </w:pPr>
    </w:p>
    <w:p w:rsidR="007F2A31" w:rsidRDefault="007F2A31" w:rsidP="00452B43">
      <w:pPr>
        <w:widowControl w:val="0"/>
        <w:autoSpaceDE w:val="0"/>
        <w:autoSpaceDN w:val="0"/>
        <w:adjustRightInd w:val="0"/>
      </w:pPr>
      <w:r>
        <w:t>4.</w:t>
      </w:r>
      <w:r>
        <w:tab/>
        <w:t>Describe any tests of procedures or methods to be undertaken...........</w:t>
      </w:r>
      <w:r w:rsidR="00631F4F">
        <w:t>...............................</w:t>
      </w:r>
      <w:r w:rsidR="00BB5ECD">
        <w:t>6</w:t>
      </w:r>
    </w:p>
    <w:p w:rsidR="007F2A31" w:rsidRDefault="007F2A31" w:rsidP="00452B43">
      <w:pPr>
        <w:widowControl w:val="0"/>
        <w:autoSpaceDE w:val="0"/>
        <w:autoSpaceDN w:val="0"/>
        <w:adjustRightInd w:val="0"/>
      </w:pPr>
    </w:p>
    <w:p w:rsidR="007F2A31" w:rsidRDefault="007F2A31" w:rsidP="00452B43">
      <w:pPr>
        <w:widowControl w:val="0"/>
        <w:autoSpaceDE w:val="0"/>
        <w:autoSpaceDN w:val="0"/>
        <w:adjustRightInd w:val="0"/>
      </w:pPr>
      <w:r>
        <w:t>5.</w:t>
      </w:r>
      <w:r>
        <w:tab/>
        <w:t>Provide the name and telephone number of individuals consulted on statistical</w:t>
      </w:r>
    </w:p>
    <w:p w:rsidR="007F2A31" w:rsidRDefault="007F2A31" w:rsidP="00452B43">
      <w:pPr>
        <w:widowControl w:val="0"/>
        <w:autoSpaceDE w:val="0"/>
        <w:autoSpaceDN w:val="0"/>
        <w:adjustRightInd w:val="0"/>
      </w:pPr>
      <w:r>
        <w:tab/>
      </w:r>
      <w:proofErr w:type="gramStart"/>
      <w:r>
        <w:t>aspects</w:t>
      </w:r>
      <w:proofErr w:type="gramEnd"/>
      <w:r>
        <w:t xml:space="preserve"> of the design............................................................................</w:t>
      </w:r>
      <w:r w:rsidR="00B576D1">
        <w:t>............................</w:t>
      </w:r>
      <w:r w:rsidR="00631F4F">
        <w:t>...</w:t>
      </w:r>
      <w:r w:rsidR="00BB5ECD">
        <w:t>6</w:t>
      </w:r>
    </w:p>
    <w:p w:rsidR="00631F4F" w:rsidRDefault="00631F4F" w:rsidP="00452B43">
      <w:pPr>
        <w:sectPr w:rsidR="00631F4F" w:rsidSect="00631F4F">
          <w:footerReference w:type="default" r:id="rId8"/>
          <w:pgSz w:w="12240" w:h="15840"/>
          <w:pgMar w:top="1440" w:right="1440" w:bottom="1440" w:left="1440" w:header="720" w:footer="720" w:gutter="0"/>
          <w:pgNumType w:fmt="lowerRoman"/>
          <w:cols w:space="720"/>
          <w:docGrid w:linePitch="360"/>
        </w:sectPr>
      </w:pPr>
    </w:p>
    <w:p w:rsidR="00B576D1" w:rsidRPr="00672019" w:rsidRDefault="00B576D1" w:rsidP="00452B43">
      <w:pPr>
        <w:ind w:left="720" w:hanging="720"/>
        <w:rPr>
          <w:b/>
        </w:rPr>
      </w:pPr>
      <w:r w:rsidRPr="00672019">
        <w:rPr>
          <w:b/>
        </w:rPr>
        <w:lastRenderedPageBreak/>
        <w:t xml:space="preserve">B.  </w:t>
      </w:r>
      <w:r w:rsidRPr="00672019">
        <w:rPr>
          <w:b/>
          <w:u w:val="thick"/>
        </w:rPr>
        <w:t>Collections of Information Employing Statistical Methods</w:t>
      </w:r>
    </w:p>
    <w:p w:rsidR="00A10099" w:rsidRDefault="00A10099" w:rsidP="00452B43"/>
    <w:p w:rsidR="00B576D1" w:rsidRPr="00672019" w:rsidRDefault="00B576D1" w:rsidP="00452B43">
      <w:r w:rsidRPr="00672019">
        <w:t xml:space="preserve">The proposed </w:t>
      </w:r>
      <w:r>
        <w:t xml:space="preserve">information collection </w:t>
      </w:r>
      <w:r w:rsidRPr="00672019">
        <w:t xml:space="preserve">will employ statistical methods to analyze the </w:t>
      </w:r>
      <w:r w:rsidR="00A10099">
        <w:t xml:space="preserve">data </w:t>
      </w:r>
      <w:r w:rsidR="00A10099" w:rsidRPr="00672019">
        <w:t>collected</w:t>
      </w:r>
      <w:r w:rsidRPr="00672019">
        <w:t xml:space="preserve"> from respondents. The following sections describe the procedures for respondent sampling and data tabulation. </w:t>
      </w:r>
    </w:p>
    <w:p w:rsidR="00B576D1" w:rsidRDefault="00B576D1" w:rsidP="00452B43">
      <w:pPr>
        <w:autoSpaceDE w:val="0"/>
        <w:autoSpaceDN w:val="0"/>
        <w:adjustRightInd w:val="0"/>
        <w:rPr>
          <w:b/>
        </w:rPr>
      </w:pPr>
    </w:p>
    <w:p w:rsidR="00631F4F" w:rsidRPr="003623A2" w:rsidRDefault="00631F4F" w:rsidP="00452B43">
      <w:pPr>
        <w:autoSpaceDE w:val="0"/>
        <w:autoSpaceDN w:val="0"/>
        <w:adjustRightInd w:val="0"/>
        <w:rPr>
          <w:rFonts w:eastAsiaTheme="minorHAnsi"/>
          <w:b/>
        </w:rPr>
      </w:pPr>
      <w:r w:rsidRPr="00DC07C8">
        <w:rPr>
          <w:b/>
        </w:rPr>
        <w:t>B.1.</w:t>
      </w:r>
      <w:r w:rsidRPr="00DC07C8">
        <w:rPr>
          <w:b/>
        </w:rPr>
        <w:tab/>
        <w:t>Describe the potential respondent universe and any sampling or other respondent selection to be used.</w:t>
      </w:r>
    </w:p>
    <w:p w:rsidR="00631F4F" w:rsidRDefault="00631F4F" w:rsidP="00452B43">
      <w:pPr>
        <w:ind w:left="720" w:hanging="720"/>
        <w:rPr>
          <w:b/>
        </w:rPr>
      </w:pPr>
    </w:p>
    <w:p w:rsidR="00011EB6" w:rsidRDefault="006B6069" w:rsidP="00B04CF2">
      <w:pPr>
        <w:pStyle w:val="NormalWeb"/>
        <w:spacing w:before="0" w:beforeAutospacing="0" w:after="0" w:afterAutospacing="0"/>
      </w:pPr>
      <w:r w:rsidRPr="00A10099">
        <w:t xml:space="preserve">NHTSA plans to use intercept </w:t>
      </w:r>
      <w:r w:rsidR="00A10099" w:rsidRPr="00A10099">
        <w:t>surveys</w:t>
      </w:r>
      <w:r w:rsidRPr="00A10099">
        <w:t xml:space="preserve"> to examine the </w:t>
      </w:r>
      <w:r w:rsidR="00A10099" w:rsidRPr="00A10099">
        <w:t xml:space="preserve">attitudes, </w:t>
      </w:r>
      <w:r w:rsidRPr="00A10099">
        <w:t>awareness</w:t>
      </w:r>
      <w:r w:rsidR="00A10099" w:rsidRPr="00A10099">
        <w:t xml:space="preserve">, and self-reported behaviors of motorcycle riders </w:t>
      </w:r>
      <w:r w:rsidR="002B7D3F">
        <w:t>associated with</w:t>
      </w:r>
      <w:r w:rsidR="00A10099" w:rsidRPr="00A10099">
        <w:t xml:space="preserve"> </w:t>
      </w:r>
      <w:r w:rsidR="002B7D3F">
        <w:t>intervention programs designed to</w:t>
      </w:r>
      <w:r w:rsidR="00A10099">
        <w:t xml:space="preserve"> </w:t>
      </w:r>
      <w:r w:rsidR="002B7D3F">
        <w:t>reduce</w:t>
      </w:r>
      <w:r w:rsidR="00A10099" w:rsidRPr="00A10099">
        <w:t xml:space="preserve"> alcohol-impaired motorcycle riding. </w:t>
      </w:r>
      <w:r w:rsidR="003F286A" w:rsidRPr="00A10099">
        <w:t>Motorcycle riders will be interviewed</w:t>
      </w:r>
      <w:r w:rsidR="00B6448A" w:rsidRPr="00A10099">
        <w:t xml:space="preserve"> in </w:t>
      </w:r>
      <w:r w:rsidR="005751CA">
        <w:t>up to four</w:t>
      </w:r>
      <w:r w:rsidR="005751CA" w:rsidRPr="00A10099">
        <w:t xml:space="preserve"> </w:t>
      </w:r>
      <w:r w:rsidR="00A10099" w:rsidRPr="00A10099">
        <w:t xml:space="preserve">program </w:t>
      </w:r>
      <w:r w:rsidR="00984666" w:rsidRPr="00A10099">
        <w:t>locations</w:t>
      </w:r>
      <w:r w:rsidRPr="00A10099">
        <w:t xml:space="preserve"> and in </w:t>
      </w:r>
      <w:r w:rsidR="005751CA">
        <w:t xml:space="preserve">up to </w:t>
      </w:r>
      <w:r w:rsidR="00BD4BC9">
        <w:t>three</w:t>
      </w:r>
      <w:r w:rsidR="005751CA">
        <w:t xml:space="preserve"> </w:t>
      </w:r>
      <w:r w:rsidRPr="00A10099">
        <w:t>appropriate</w:t>
      </w:r>
      <w:r>
        <w:t xml:space="preserve"> </w:t>
      </w:r>
      <w:r w:rsidR="000F4F08">
        <w:t>comparison</w:t>
      </w:r>
      <w:r>
        <w:t xml:space="preserve"> </w:t>
      </w:r>
      <w:r w:rsidR="00984666">
        <w:t>locations</w:t>
      </w:r>
      <w:r>
        <w:t xml:space="preserve"> </w:t>
      </w:r>
      <w:r w:rsidR="0001635B">
        <w:t>during</w:t>
      </w:r>
      <w:r>
        <w:t xml:space="preserve"> the periods two weeks before</w:t>
      </w:r>
      <w:r w:rsidR="00320813">
        <w:t xml:space="preserve"> </w:t>
      </w:r>
      <w:r>
        <w:t>and after the plann</w:t>
      </w:r>
      <w:r w:rsidR="00A10099">
        <w:t>ed impaired riding interventions</w:t>
      </w:r>
      <w:r w:rsidR="00B6448A">
        <w:t xml:space="preserve">. </w:t>
      </w:r>
      <w:r w:rsidR="00011EB6">
        <w:t xml:space="preserve">NHTSA awarded a contract to M. Davis and Company, Inc. (MDAC), in September 2011 to manage the program locations where the intervention programs will occur. NHTSA and MDAC will solicit applications from locations to implement the interventions in the </w:t>
      </w:r>
      <w:proofErr w:type="gramStart"/>
      <w:r w:rsidR="00011EB6">
        <w:t>Fall</w:t>
      </w:r>
      <w:proofErr w:type="gramEnd"/>
      <w:r w:rsidR="00011EB6">
        <w:t xml:space="preserve"> of 2011, and anticipate selecting the program locations in January 2012.</w:t>
      </w:r>
    </w:p>
    <w:p w:rsidR="00011EB6" w:rsidRDefault="00011EB6" w:rsidP="00B04CF2">
      <w:pPr>
        <w:pStyle w:val="NormalWeb"/>
        <w:spacing w:before="0" w:beforeAutospacing="0" w:after="0" w:afterAutospacing="0"/>
      </w:pPr>
    </w:p>
    <w:p w:rsidR="003F286A" w:rsidRDefault="0001635B" w:rsidP="00B04CF2">
      <w:pPr>
        <w:pStyle w:val="NormalWeb"/>
        <w:spacing w:before="0" w:beforeAutospacing="0" w:after="0" w:afterAutospacing="0"/>
      </w:pPr>
      <w:r>
        <w:t>I</w:t>
      </w:r>
      <w:r w:rsidR="00A10099">
        <w:t>n-person i</w:t>
      </w:r>
      <w:r>
        <w:t xml:space="preserve">nterviews will occur at sites </w:t>
      </w:r>
      <w:r w:rsidR="00A10099">
        <w:t>with</w:t>
      </w:r>
      <w:r w:rsidR="005751CA">
        <w:t>in the program and comparison locations where</w:t>
      </w:r>
      <w:r w:rsidR="00A10099">
        <w:t xml:space="preserve"> large numbers of motorcycle </w:t>
      </w:r>
      <w:proofErr w:type="gramStart"/>
      <w:r w:rsidR="00A10099">
        <w:t>riders</w:t>
      </w:r>
      <w:proofErr w:type="gramEnd"/>
      <w:r w:rsidR="005751CA">
        <w:t xml:space="preserve"> congregate</w:t>
      </w:r>
      <w:r w:rsidR="00A10099">
        <w:t xml:space="preserve">, such as at motorcycle-oriented bars and restaurants, motorcycle dealerships and accessory shops, </w:t>
      </w:r>
      <w:r w:rsidR="005751CA">
        <w:t xml:space="preserve">and </w:t>
      </w:r>
      <w:r w:rsidR="00A10099">
        <w:t xml:space="preserve">at motorcycle trade shows and events. </w:t>
      </w:r>
      <w:r w:rsidR="00BD4411" w:rsidRPr="003F0429">
        <w:t xml:space="preserve">Since </w:t>
      </w:r>
      <w:r w:rsidR="00BD4411">
        <w:t xml:space="preserve">a very small percentage of Americans are motorcycle riders, targeting motorcycle riders using random-digit dialing to landline phones or with a cell phone sample is </w:t>
      </w:r>
      <w:proofErr w:type="gramStart"/>
      <w:r w:rsidR="00BD4411">
        <w:t>difficult,</w:t>
      </w:r>
      <w:proofErr w:type="gramEnd"/>
      <w:r w:rsidR="00BD4411">
        <w:t xml:space="preserve"> and using intercept surveys is an efficient way to </w:t>
      </w:r>
      <w:r w:rsidR="00BD4411" w:rsidRPr="003F0429">
        <w:t xml:space="preserve">obtain responses from </w:t>
      </w:r>
      <w:r w:rsidR="00BD4411">
        <w:t>motorcycle riders</w:t>
      </w:r>
      <w:r w:rsidR="00BD4411" w:rsidRPr="003F0429">
        <w:t xml:space="preserve"> within a limited geographic area</w:t>
      </w:r>
      <w:r w:rsidR="00BD4411">
        <w:t>.</w:t>
      </w:r>
      <w:r w:rsidR="00B04CF2">
        <w:t xml:space="preserve"> </w:t>
      </w:r>
      <w:r>
        <w:t xml:space="preserve">In this sense, the potential respondent universe is </w:t>
      </w:r>
      <w:r w:rsidR="00BF4470">
        <w:t>a sample of</w:t>
      </w:r>
      <w:r>
        <w:t xml:space="preserve"> motorcycle riders that frequent the sites </w:t>
      </w:r>
      <w:r w:rsidR="00B04CF2">
        <w:t xml:space="preserve">in the program and comparison locations </w:t>
      </w:r>
      <w:r>
        <w:t xml:space="preserve">where interviews will occur, in the two weeks before </w:t>
      </w:r>
      <w:r w:rsidR="00D27860">
        <w:t>and</w:t>
      </w:r>
      <w:r>
        <w:t xml:space="preserve"> after the interventions</w:t>
      </w:r>
      <w:r w:rsidR="00B04CF2">
        <w:t>.</w:t>
      </w:r>
      <w:r>
        <w:t xml:space="preserve"> </w:t>
      </w:r>
    </w:p>
    <w:p w:rsidR="006315C3" w:rsidRDefault="006315C3" w:rsidP="00452B43"/>
    <w:p w:rsidR="00390B5A" w:rsidRDefault="0065594C" w:rsidP="00452B43">
      <w:r>
        <w:t xml:space="preserve">Sampling will be conducted at two separate levels. The first level is the </w:t>
      </w:r>
      <w:r w:rsidR="00984666">
        <w:t>site</w:t>
      </w:r>
      <w:r>
        <w:t xml:space="preserve"> within each program and </w:t>
      </w:r>
      <w:r w:rsidR="000F4F08">
        <w:t>comparison</w:t>
      </w:r>
      <w:r>
        <w:t xml:space="preserve"> </w:t>
      </w:r>
      <w:r w:rsidR="00984666">
        <w:t>area</w:t>
      </w:r>
      <w:r>
        <w:t xml:space="preserve">, and the second level is motorcycle rider at each </w:t>
      </w:r>
      <w:r w:rsidR="00984666">
        <w:t>site</w:t>
      </w:r>
      <w:r>
        <w:t>.</w:t>
      </w:r>
      <w:r w:rsidR="00BD4411">
        <w:t xml:space="preserve"> </w:t>
      </w:r>
    </w:p>
    <w:p w:rsidR="0065594C" w:rsidRDefault="0065594C" w:rsidP="00452B43"/>
    <w:p w:rsidR="002007A6" w:rsidRDefault="0065594C" w:rsidP="00452B43">
      <w:r>
        <w:rPr>
          <w:b/>
          <w:i/>
        </w:rPr>
        <w:t xml:space="preserve">Site Sampling: </w:t>
      </w:r>
      <w:r>
        <w:t xml:space="preserve">The first stage of sampling (site) will be accomplished through joint effort by the </w:t>
      </w:r>
      <w:r w:rsidR="00984666">
        <w:t>program</w:t>
      </w:r>
      <w:r>
        <w:t xml:space="preserve"> management contractor</w:t>
      </w:r>
      <w:r w:rsidR="00011EB6">
        <w:t xml:space="preserve"> (MDAC)</w:t>
      </w:r>
      <w:r>
        <w:t>, the evaluation contractor</w:t>
      </w:r>
      <w:r w:rsidR="00F40659">
        <w:t xml:space="preserve"> (Pacific Institute for Research and Evaluation</w:t>
      </w:r>
      <w:r w:rsidR="004864F7">
        <w:t xml:space="preserve"> [PIRE]</w:t>
      </w:r>
      <w:r w:rsidR="00F40659">
        <w:t>)</w:t>
      </w:r>
      <w:r>
        <w:t xml:space="preserve">, and the NHTSA research team.  </w:t>
      </w:r>
      <w:r w:rsidR="002007A6">
        <w:t xml:space="preserve">The goal of this phase of sampling is to ensure that the types of sites at which interviews will occur are representative of sites frequented by motorcycle riders in the study locations, and to ensure that the </w:t>
      </w:r>
      <w:r w:rsidR="00C70A7E">
        <w:t>number of riders</w:t>
      </w:r>
      <w:r w:rsidR="002007A6">
        <w:t xml:space="preserve"> </w:t>
      </w:r>
      <w:r w:rsidR="00F15F6A">
        <w:t>sampled</w:t>
      </w:r>
      <w:r w:rsidR="002007A6">
        <w:t xml:space="preserve"> a</w:t>
      </w:r>
      <w:r w:rsidR="00C70A7E">
        <w:t>t each site type is</w:t>
      </w:r>
      <w:r w:rsidR="002007A6">
        <w:t xml:space="preserve"> comparable for administrations of the survey that will be compared to one another (</w:t>
      </w:r>
      <w:r w:rsidR="00444474">
        <w:t xml:space="preserve">e.g., </w:t>
      </w:r>
      <w:r w:rsidR="002007A6">
        <w:t xml:space="preserve">that </w:t>
      </w:r>
      <w:r w:rsidR="00F55E54">
        <w:t>site types will be matched</w:t>
      </w:r>
      <w:r w:rsidR="002007A6">
        <w:t xml:space="preserve"> for the pre-test and post-test within a program location).</w:t>
      </w:r>
    </w:p>
    <w:p w:rsidR="002007A6" w:rsidRDefault="002007A6" w:rsidP="00452B43"/>
    <w:p w:rsidR="00B05DDE" w:rsidRDefault="002007A6" w:rsidP="00452B43">
      <w:r>
        <w:t xml:space="preserve">A sampling frame will be constructed that contains all of the eligible sites </w:t>
      </w:r>
      <w:r w:rsidR="00F40659">
        <w:t xml:space="preserve">within each program and comparison location </w:t>
      </w:r>
      <w:r>
        <w:t xml:space="preserve">likely to provide access to motorcycle riders.  </w:t>
      </w:r>
      <w:r w:rsidR="0065594C">
        <w:t>The types of sites that will be eligible will vary by location, but may include: bars</w:t>
      </w:r>
      <w:r w:rsidR="00F40659">
        <w:t xml:space="preserve"> and </w:t>
      </w:r>
      <w:r w:rsidR="0065594C">
        <w:t>restaurants</w:t>
      </w:r>
      <w:r w:rsidR="00F40659">
        <w:t xml:space="preserve"> frequented by motorcycle riders</w:t>
      </w:r>
      <w:r w:rsidR="0065594C">
        <w:t>, motorcycle dealerships</w:t>
      </w:r>
      <w:r w:rsidR="003335AA">
        <w:t xml:space="preserve"> and accessory shops</w:t>
      </w:r>
      <w:r w:rsidR="0065594C">
        <w:t xml:space="preserve">, </w:t>
      </w:r>
      <w:r w:rsidR="00F40659">
        <w:t xml:space="preserve">and </w:t>
      </w:r>
      <w:r w:rsidR="00CE54BA">
        <w:t>motorcycle trade shows and events</w:t>
      </w:r>
      <w:r w:rsidR="0065594C">
        <w:t xml:space="preserve">. </w:t>
      </w:r>
      <w:r w:rsidR="00F40659">
        <w:t>Representatives from t</w:t>
      </w:r>
      <w:r w:rsidR="005751CA">
        <w:t>he evaluation contractor</w:t>
      </w:r>
      <w:r w:rsidR="00F40659">
        <w:t xml:space="preserve">, </w:t>
      </w:r>
      <w:r w:rsidR="004864F7">
        <w:t>PIRE</w:t>
      </w:r>
      <w:r w:rsidR="00F40659">
        <w:t>,</w:t>
      </w:r>
      <w:r w:rsidR="005751CA">
        <w:t xml:space="preserve"> will </w:t>
      </w:r>
      <w:r w:rsidR="00F40659">
        <w:t xml:space="preserve">visit the program and </w:t>
      </w:r>
      <w:r w:rsidR="00F40659">
        <w:lastRenderedPageBreak/>
        <w:t xml:space="preserve">comparison locations prior to selecting survey sites </w:t>
      </w:r>
      <w:r w:rsidR="00B05DDE">
        <w:t xml:space="preserve">to </w:t>
      </w:r>
      <w:r w:rsidR="00011EB6">
        <w:t>visit</w:t>
      </w:r>
      <w:r w:rsidR="00B05DDE">
        <w:t xml:space="preserve"> the eligible sites and to </w:t>
      </w:r>
      <w:r w:rsidR="00AB6F89">
        <w:t>assess</w:t>
      </w:r>
      <w:r w:rsidR="00B05DDE">
        <w:t xml:space="preserve"> motorcycle traffic at the sites</w:t>
      </w:r>
      <w:r w:rsidR="00011EB6">
        <w:t xml:space="preserve"> within the sampling frame</w:t>
      </w:r>
      <w:r w:rsidR="00B05DDE">
        <w:t>.</w:t>
      </w:r>
    </w:p>
    <w:p w:rsidR="00FD0FFA" w:rsidRDefault="00FD0FFA" w:rsidP="00452B43"/>
    <w:p w:rsidR="0065594C" w:rsidRDefault="005B6A91" w:rsidP="00452B43">
      <w:r>
        <w:t>Potential sites within the sampling frame wi</w:t>
      </w:r>
      <w:r w:rsidR="008252DF">
        <w:t xml:space="preserve">ll be </w:t>
      </w:r>
      <w:r w:rsidR="00FD0FFA">
        <w:t xml:space="preserve">classified </w:t>
      </w:r>
      <w:r w:rsidR="008252DF">
        <w:t xml:space="preserve">based </w:t>
      </w:r>
      <w:r w:rsidR="004745A0">
        <w:t xml:space="preserve">on </w:t>
      </w:r>
      <w:r w:rsidR="008252DF">
        <w:t xml:space="preserve">type of </w:t>
      </w:r>
      <w:r w:rsidR="00F15F6A">
        <w:t xml:space="preserve">establishment </w:t>
      </w:r>
      <w:r w:rsidR="008252DF">
        <w:t xml:space="preserve">(e.g., bar, store that </w:t>
      </w:r>
      <w:r w:rsidR="00C65085">
        <w:t xml:space="preserve">sells motorcycle-related goods). </w:t>
      </w:r>
      <w:r w:rsidR="00F55E54">
        <w:t>Sites within the establishment categories will be selected so that t</w:t>
      </w:r>
      <w:r>
        <w:t xml:space="preserve">he number of </w:t>
      </w:r>
      <w:r w:rsidR="00F55E54">
        <w:t xml:space="preserve">riders interviewed at each type of site will be matched in the pre-test and post-test survey administrations. </w:t>
      </w:r>
      <w:r w:rsidR="00011EB6">
        <w:t>Because NHTSA anticipates that program and comparison locations will be chosen in January 2012,</w:t>
      </w:r>
      <w:r>
        <w:t xml:space="preserve"> eligible sites within these locations will not be identified until that time.</w:t>
      </w:r>
    </w:p>
    <w:p w:rsidR="00FD0FFA" w:rsidRDefault="00FD0FFA" w:rsidP="00452B43"/>
    <w:p w:rsidR="00FD0FFA" w:rsidRDefault="00F15F6A" w:rsidP="00452B43">
      <w:r>
        <w:t>Site selection</w:t>
      </w:r>
      <w:r w:rsidR="00FD0FFA" w:rsidRPr="00D1703C">
        <w:t xml:space="preserve"> </w:t>
      </w:r>
      <w:r w:rsidR="00FD0FFA">
        <w:t>will be</w:t>
      </w:r>
      <w:r w:rsidR="00FD0FFA" w:rsidRPr="00D1703C">
        <w:t xml:space="preserve"> </w:t>
      </w:r>
      <w:r w:rsidR="00FD0FFA">
        <w:t>influenced</w:t>
      </w:r>
      <w:r w:rsidR="00FD0FFA" w:rsidRPr="00D1703C">
        <w:t xml:space="preserve"> </w:t>
      </w:r>
      <w:r w:rsidR="00FD0FFA">
        <w:t>by</w:t>
      </w:r>
      <w:r w:rsidR="00FD0FFA" w:rsidRPr="00D1703C">
        <w:t xml:space="preserve"> several </w:t>
      </w:r>
      <w:r w:rsidR="00FD0FFA">
        <w:t xml:space="preserve">other </w:t>
      </w:r>
      <w:r w:rsidR="00FD0FFA" w:rsidRPr="00D1703C">
        <w:t>factors</w:t>
      </w:r>
      <w:r w:rsidR="00FD0FFA">
        <w:t>,</w:t>
      </w:r>
      <w:r w:rsidR="00FD0FFA" w:rsidRPr="00D1703C">
        <w:t xml:space="preserve"> including those relating to</w:t>
      </w:r>
      <w:r w:rsidR="00FD0FFA">
        <w:t xml:space="preserve"> safety of the data collectors and </w:t>
      </w:r>
      <w:r w:rsidR="00FD0FFA" w:rsidRPr="00D1703C">
        <w:t xml:space="preserve">candidate </w:t>
      </w:r>
      <w:r w:rsidR="00FD0FFA">
        <w:t>motorcycle riders</w:t>
      </w:r>
      <w:r w:rsidR="00FD0FFA" w:rsidRPr="00D1703C">
        <w:t>, site or community cooperation</w:t>
      </w:r>
      <w:r w:rsidR="00FD0FFA">
        <w:t>,</w:t>
      </w:r>
      <w:r w:rsidR="00FD0FFA" w:rsidRPr="00D1703C">
        <w:t xml:space="preserve"> and efficiency of data collection (i.e., volume of </w:t>
      </w:r>
      <w:r w:rsidR="00FD0FFA">
        <w:t>motorcycle riders</w:t>
      </w:r>
      <w:r w:rsidR="00FD0FFA" w:rsidRPr="00D1703C">
        <w:t>).</w:t>
      </w:r>
      <w:r w:rsidR="00FD0FFA">
        <w:t xml:space="preserve"> Permission will be gained from candidate site property managers or owners.  For sites under community jurisdiction, government and law enforcement agencies will be notified.</w:t>
      </w:r>
    </w:p>
    <w:p w:rsidR="0065594C" w:rsidRDefault="0065594C" w:rsidP="00452B43"/>
    <w:p w:rsidR="009C3212" w:rsidRDefault="000D058E" w:rsidP="00452B43">
      <w:pPr>
        <w:autoSpaceDE w:val="0"/>
        <w:autoSpaceDN w:val="0"/>
        <w:adjustRightInd w:val="0"/>
      </w:pPr>
      <w:r w:rsidRPr="009736B1">
        <w:rPr>
          <w:b/>
          <w:i/>
        </w:rPr>
        <w:t>Rider</w:t>
      </w:r>
      <w:r w:rsidR="00390B5A" w:rsidRPr="009736B1">
        <w:rPr>
          <w:b/>
          <w:i/>
        </w:rPr>
        <w:t xml:space="preserve"> Sampling: </w:t>
      </w:r>
      <w:r w:rsidR="00390B5A" w:rsidRPr="009736B1">
        <w:t xml:space="preserve">The </w:t>
      </w:r>
      <w:r w:rsidRPr="009736B1">
        <w:t>second</w:t>
      </w:r>
      <w:r w:rsidR="00390B5A" w:rsidRPr="009736B1">
        <w:t xml:space="preserve"> stage of sampling (</w:t>
      </w:r>
      <w:r w:rsidRPr="009736B1">
        <w:t>rider</w:t>
      </w:r>
      <w:r w:rsidR="00390B5A" w:rsidRPr="009736B1">
        <w:t xml:space="preserve">) will be conducted on site by the data collection researchers.  </w:t>
      </w:r>
      <w:r w:rsidR="009C3212" w:rsidRPr="003F0429">
        <w:t xml:space="preserve">Data collectors stationed at each </w:t>
      </w:r>
      <w:r w:rsidR="009C3212">
        <w:t>selected site</w:t>
      </w:r>
      <w:r w:rsidR="009C3212" w:rsidRPr="003F0429">
        <w:t xml:space="preserve"> will be responsible for approaching and holding the initial contact with potential participants.  Initially, interviewers will intercept every </w:t>
      </w:r>
      <w:r w:rsidR="009C3212">
        <w:t>3rd</w:t>
      </w:r>
      <w:r w:rsidR="009C3212" w:rsidRPr="003F0429">
        <w:t xml:space="preserve"> person</w:t>
      </w:r>
      <w:r w:rsidR="009C3212">
        <w:t xml:space="preserve"> passing the position where the interviewer is stationed (e.g., individuals leaving a bar</w:t>
      </w:r>
      <w:r w:rsidR="004745A0">
        <w:t xml:space="preserve"> or motorcycle event</w:t>
      </w:r>
      <w:r w:rsidR="009C3212">
        <w:t>)</w:t>
      </w:r>
      <w:r w:rsidR="009C3212" w:rsidRPr="003F0429">
        <w:t xml:space="preserve">, with the goal of obtaining 10 completed </w:t>
      </w:r>
      <w:r w:rsidR="009C3212">
        <w:t>interviews</w:t>
      </w:r>
      <w:r w:rsidR="009C3212" w:rsidRPr="003F0429">
        <w:t xml:space="preserve"> per hour.  However, this protocol may be revised based upon the actual sampling conditions at each </w:t>
      </w:r>
      <w:r w:rsidR="009C3212">
        <w:t>site</w:t>
      </w:r>
      <w:r w:rsidR="009C3212" w:rsidRPr="003F0429">
        <w:t>.</w:t>
      </w:r>
      <w:r w:rsidR="009C3212">
        <w:t xml:space="preserve"> </w:t>
      </w:r>
    </w:p>
    <w:p w:rsidR="00452B43" w:rsidRPr="003F0429" w:rsidRDefault="00452B43" w:rsidP="00452B43">
      <w:pPr>
        <w:autoSpaceDE w:val="0"/>
        <w:autoSpaceDN w:val="0"/>
        <w:adjustRightInd w:val="0"/>
      </w:pPr>
    </w:p>
    <w:p w:rsidR="00BB5ECD" w:rsidRDefault="00BD4411" w:rsidP="00452B43">
      <w:r>
        <w:t>W</w:t>
      </w:r>
      <w:r w:rsidR="00135BE3">
        <w:t>e cannot report the demographics of the potential respondent universe of motorcycle riders in the program and comparison locations</w:t>
      </w:r>
      <w:r>
        <w:t xml:space="preserve"> because the program and control locations have not yet been selected</w:t>
      </w:r>
      <w:r w:rsidR="00135BE3">
        <w:t xml:space="preserve">. </w:t>
      </w:r>
      <w:r w:rsidR="00A11518">
        <w:t xml:space="preserve">Table 1 presents age distributions of </w:t>
      </w:r>
      <w:r w:rsidR="00CC53B5">
        <w:t xml:space="preserve">American motorcycle riders (i.e., people who reported riding a motorcycle in the past month) </w:t>
      </w:r>
      <w:r w:rsidR="00A11518">
        <w:t xml:space="preserve">from the </w:t>
      </w:r>
      <w:r w:rsidR="009A52C2">
        <w:t xml:space="preserve">2009 </w:t>
      </w:r>
      <w:bookmarkStart w:id="0" w:name="_Ref292174749"/>
      <w:r w:rsidR="009A52C2">
        <w:t>National Household Travel Survey</w:t>
      </w:r>
      <w:r w:rsidR="006B0A91">
        <w:rPr>
          <w:rStyle w:val="FootnoteReference"/>
        </w:rPr>
        <w:footnoteReference w:id="1"/>
      </w:r>
      <w:bookmarkEnd w:id="0"/>
      <w:r w:rsidR="00A11518">
        <w:t xml:space="preserve">, and corresponding estimates of </w:t>
      </w:r>
      <w:r w:rsidR="00F973E4">
        <w:t>the number of</w:t>
      </w:r>
      <w:r w:rsidR="00A11518">
        <w:t xml:space="preserve"> riders in the sample </w:t>
      </w:r>
      <w:r w:rsidR="00F973E4">
        <w:t xml:space="preserve">that </w:t>
      </w:r>
      <w:r w:rsidR="00A11518">
        <w:t>will fall into each age range. When program and comparison locations are selected, similar demographic tables can be created based on local motorcycle registration and licensing records.</w:t>
      </w:r>
    </w:p>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D53B44" w:rsidRDefault="00D53B44" w:rsidP="00452B43"/>
    <w:p w:rsidR="00866D5B" w:rsidRDefault="00866D5B" w:rsidP="00452B43"/>
    <w:tbl>
      <w:tblPr>
        <w:tblStyle w:val="TableGrid"/>
        <w:tblpPr w:leftFromText="180" w:rightFromText="180" w:vertAnchor="text" w:horzAnchor="margin" w:tblpY="46"/>
        <w:tblW w:w="0" w:type="auto"/>
        <w:tblLook w:val="04A0"/>
      </w:tblPr>
      <w:tblGrid>
        <w:gridCol w:w="2287"/>
        <w:gridCol w:w="3941"/>
        <w:gridCol w:w="2881"/>
      </w:tblGrid>
      <w:tr w:rsidR="00CC53B5" w:rsidRPr="00413C11" w:rsidTr="00327904">
        <w:trPr>
          <w:trHeight w:val="314"/>
        </w:trPr>
        <w:tc>
          <w:tcPr>
            <w:tcW w:w="9109" w:type="dxa"/>
            <w:gridSpan w:val="3"/>
          </w:tcPr>
          <w:p w:rsidR="00CC53B5" w:rsidRPr="00413C11" w:rsidRDefault="00CC53B5" w:rsidP="00CC53B5">
            <w:pPr>
              <w:rPr>
                <w:b/>
                <w:sz w:val="24"/>
                <w:szCs w:val="24"/>
              </w:rPr>
            </w:pPr>
            <w:r w:rsidRPr="00413C11">
              <w:rPr>
                <w:b/>
                <w:sz w:val="24"/>
                <w:szCs w:val="24"/>
              </w:rPr>
              <w:t>TABLE 1. Expected Population and Sample Distribution by Age</w:t>
            </w:r>
          </w:p>
        </w:tc>
      </w:tr>
      <w:tr w:rsidR="00327904" w:rsidTr="009478BA">
        <w:trPr>
          <w:trHeight w:val="1233"/>
        </w:trPr>
        <w:tc>
          <w:tcPr>
            <w:tcW w:w="2287" w:type="dxa"/>
          </w:tcPr>
          <w:p w:rsidR="00327904" w:rsidRDefault="00327904" w:rsidP="00CC53B5"/>
        </w:tc>
        <w:tc>
          <w:tcPr>
            <w:tcW w:w="3941" w:type="dxa"/>
          </w:tcPr>
          <w:p w:rsidR="00327904" w:rsidRDefault="00327904" w:rsidP="00CC53B5">
            <w:r>
              <w:t xml:space="preserve">Percentage of Motorcycle Riders </w:t>
            </w:r>
          </w:p>
        </w:tc>
        <w:tc>
          <w:tcPr>
            <w:tcW w:w="2881" w:type="dxa"/>
          </w:tcPr>
          <w:p w:rsidR="00327904" w:rsidRDefault="00327904" w:rsidP="00CC53B5">
            <w:r>
              <w:t>Expected Distribution of Sample (n)</w:t>
            </w:r>
          </w:p>
        </w:tc>
      </w:tr>
      <w:tr w:rsidR="00327904" w:rsidTr="009478BA">
        <w:trPr>
          <w:trHeight w:val="295"/>
        </w:trPr>
        <w:tc>
          <w:tcPr>
            <w:tcW w:w="2287" w:type="dxa"/>
          </w:tcPr>
          <w:p w:rsidR="00327904" w:rsidRPr="006B0A91" w:rsidRDefault="00327904" w:rsidP="00CC53B5">
            <w:pPr>
              <w:rPr>
                <w:b/>
              </w:rPr>
            </w:pPr>
            <w:r w:rsidRPr="00E929B6">
              <w:rPr>
                <w:b/>
              </w:rPr>
              <w:t>Total</w:t>
            </w:r>
          </w:p>
        </w:tc>
        <w:tc>
          <w:tcPr>
            <w:tcW w:w="3941" w:type="dxa"/>
          </w:tcPr>
          <w:p w:rsidR="00327904" w:rsidRPr="006B0A91" w:rsidRDefault="00327904" w:rsidP="00CC53B5">
            <w:pPr>
              <w:rPr>
                <w:b/>
              </w:rPr>
            </w:pPr>
          </w:p>
        </w:tc>
        <w:tc>
          <w:tcPr>
            <w:tcW w:w="2881" w:type="dxa"/>
          </w:tcPr>
          <w:p w:rsidR="00327904" w:rsidRPr="006B0A91" w:rsidRDefault="00327904" w:rsidP="00BD4BC9">
            <w:pPr>
              <w:rPr>
                <w:b/>
                <w:sz w:val="24"/>
                <w:szCs w:val="24"/>
              </w:rPr>
            </w:pPr>
            <w:r w:rsidRPr="00E929B6">
              <w:rPr>
                <w:b/>
              </w:rPr>
              <w:t>1</w:t>
            </w:r>
            <w:r>
              <w:rPr>
                <w:b/>
              </w:rPr>
              <w:t>4</w:t>
            </w:r>
            <w:r w:rsidRPr="00E929B6">
              <w:rPr>
                <w:b/>
              </w:rPr>
              <w:t>,000</w:t>
            </w:r>
          </w:p>
        </w:tc>
      </w:tr>
      <w:tr w:rsidR="00327904" w:rsidTr="009478BA">
        <w:trPr>
          <w:trHeight w:val="295"/>
        </w:trPr>
        <w:tc>
          <w:tcPr>
            <w:tcW w:w="2287" w:type="dxa"/>
          </w:tcPr>
          <w:p w:rsidR="00327904" w:rsidRDefault="00327904" w:rsidP="008A2D37">
            <w:r>
              <w:t>&lt; 21</w:t>
            </w:r>
          </w:p>
        </w:tc>
        <w:tc>
          <w:tcPr>
            <w:tcW w:w="3941" w:type="dxa"/>
          </w:tcPr>
          <w:p w:rsidR="00327904" w:rsidRDefault="00327904" w:rsidP="008A2D37">
            <w:r>
              <w:t>2.4%</w:t>
            </w:r>
          </w:p>
        </w:tc>
        <w:tc>
          <w:tcPr>
            <w:tcW w:w="2881" w:type="dxa"/>
          </w:tcPr>
          <w:p w:rsidR="00327904" w:rsidRDefault="00327904" w:rsidP="008A2D37">
            <w:r>
              <w:t>336</w:t>
            </w:r>
          </w:p>
        </w:tc>
      </w:tr>
      <w:tr w:rsidR="00327904" w:rsidTr="009478BA">
        <w:trPr>
          <w:trHeight w:val="314"/>
        </w:trPr>
        <w:tc>
          <w:tcPr>
            <w:tcW w:w="2287" w:type="dxa"/>
          </w:tcPr>
          <w:p w:rsidR="00327904" w:rsidRDefault="00327904" w:rsidP="008A2D37">
            <w:r>
              <w:t>21-35</w:t>
            </w:r>
          </w:p>
        </w:tc>
        <w:tc>
          <w:tcPr>
            <w:tcW w:w="3941" w:type="dxa"/>
          </w:tcPr>
          <w:p w:rsidR="00327904" w:rsidRDefault="00327904" w:rsidP="008A2D37">
            <w:r>
              <w:t>19.2%</w:t>
            </w:r>
          </w:p>
        </w:tc>
        <w:tc>
          <w:tcPr>
            <w:tcW w:w="2881" w:type="dxa"/>
          </w:tcPr>
          <w:p w:rsidR="00327904" w:rsidRDefault="00327904" w:rsidP="00BD4BC9">
            <w:r>
              <w:t>2,688</w:t>
            </w:r>
          </w:p>
        </w:tc>
      </w:tr>
      <w:tr w:rsidR="00327904" w:rsidTr="009478BA">
        <w:trPr>
          <w:trHeight w:val="295"/>
        </w:trPr>
        <w:tc>
          <w:tcPr>
            <w:tcW w:w="2287" w:type="dxa"/>
          </w:tcPr>
          <w:p w:rsidR="00327904" w:rsidRDefault="00327904" w:rsidP="008A2D37">
            <w:r>
              <w:t>36-45</w:t>
            </w:r>
          </w:p>
        </w:tc>
        <w:tc>
          <w:tcPr>
            <w:tcW w:w="3941" w:type="dxa"/>
          </w:tcPr>
          <w:p w:rsidR="00327904" w:rsidRDefault="00327904" w:rsidP="008A2D37">
            <w:r>
              <w:t>29.6%</w:t>
            </w:r>
          </w:p>
        </w:tc>
        <w:tc>
          <w:tcPr>
            <w:tcW w:w="2881" w:type="dxa"/>
          </w:tcPr>
          <w:p w:rsidR="00327904" w:rsidRDefault="00327904" w:rsidP="008A2D37">
            <w:r>
              <w:t>4,144</w:t>
            </w:r>
          </w:p>
        </w:tc>
      </w:tr>
      <w:tr w:rsidR="00327904" w:rsidTr="009478BA">
        <w:trPr>
          <w:trHeight w:val="295"/>
        </w:trPr>
        <w:tc>
          <w:tcPr>
            <w:tcW w:w="2287" w:type="dxa"/>
          </w:tcPr>
          <w:p w:rsidR="00327904" w:rsidRDefault="00327904" w:rsidP="008A2D37">
            <w:r>
              <w:t>46-55</w:t>
            </w:r>
          </w:p>
        </w:tc>
        <w:tc>
          <w:tcPr>
            <w:tcW w:w="3941" w:type="dxa"/>
          </w:tcPr>
          <w:p w:rsidR="00327904" w:rsidRDefault="00327904" w:rsidP="008A2D37">
            <w:r>
              <w:t>27.6%</w:t>
            </w:r>
          </w:p>
        </w:tc>
        <w:tc>
          <w:tcPr>
            <w:tcW w:w="2881" w:type="dxa"/>
          </w:tcPr>
          <w:p w:rsidR="00327904" w:rsidRDefault="00327904" w:rsidP="008A2D37">
            <w:r>
              <w:t>3,864</w:t>
            </w:r>
          </w:p>
        </w:tc>
      </w:tr>
      <w:tr w:rsidR="00327904" w:rsidTr="009478BA">
        <w:trPr>
          <w:trHeight w:val="314"/>
        </w:trPr>
        <w:tc>
          <w:tcPr>
            <w:tcW w:w="2287" w:type="dxa"/>
          </w:tcPr>
          <w:p w:rsidR="00327904" w:rsidRDefault="00327904" w:rsidP="008A2D37">
            <w:r>
              <w:t>56-65</w:t>
            </w:r>
          </w:p>
        </w:tc>
        <w:tc>
          <w:tcPr>
            <w:tcW w:w="3941" w:type="dxa"/>
          </w:tcPr>
          <w:p w:rsidR="00327904" w:rsidRDefault="00327904" w:rsidP="008A2D37">
            <w:r>
              <w:t>17.6%</w:t>
            </w:r>
          </w:p>
        </w:tc>
        <w:tc>
          <w:tcPr>
            <w:tcW w:w="2881" w:type="dxa"/>
          </w:tcPr>
          <w:p w:rsidR="00327904" w:rsidRDefault="0011592B" w:rsidP="008A2D37">
            <w:r>
              <w:t>2,464</w:t>
            </w:r>
          </w:p>
        </w:tc>
      </w:tr>
      <w:tr w:rsidR="00327904" w:rsidTr="009478BA">
        <w:trPr>
          <w:trHeight w:val="314"/>
        </w:trPr>
        <w:tc>
          <w:tcPr>
            <w:tcW w:w="2287" w:type="dxa"/>
          </w:tcPr>
          <w:p w:rsidR="00327904" w:rsidRDefault="00327904" w:rsidP="008A2D37">
            <w:r>
              <w:t>66+</w:t>
            </w:r>
          </w:p>
        </w:tc>
        <w:tc>
          <w:tcPr>
            <w:tcW w:w="3941" w:type="dxa"/>
          </w:tcPr>
          <w:p w:rsidR="00327904" w:rsidRDefault="00327904" w:rsidP="008A2D37">
            <w:r>
              <w:t>3.6%</w:t>
            </w:r>
          </w:p>
        </w:tc>
        <w:tc>
          <w:tcPr>
            <w:tcW w:w="2881" w:type="dxa"/>
          </w:tcPr>
          <w:p w:rsidR="00327904" w:rsidRDefault="0011592B" w:rsidP="008A2D37">
            <w:r>
              <w:t>504</w:t>
            </w:r>
          </w:p>
        </w:tc>
      </w:tr>
    </w:tbl>
    <w:p w:rsidR="00D56027" w:rsidRDefault="00D56027" w:rsidP="00452B43"/>
    <w:p w:rsidR="00BD4411" w:rsidRDefault="00C030B8" w:rsidP="00452B43">
      <w:r>
        <w:t xml:space="preserve">Of </w:t>
      </w:r>
      <w:r w:rsidR="00D53B44">
        <w:t>individuals</w:t>
      </w:r>
      <w:r w:rsidR="008A2D37">
        <w:t xml:space="preserve"> </w:t>
      </w:r>
      <w:r>
        <w:t xml:space="preserve">who reported riding a motorcycle in the past month </w:t>
      </w:r>
      <w:r w:rsidR="00D53B44">
        <w:t xml:space="preserve">in </w:t>
      </w:r>
      <w:r>
        <w:t>the 2009 National Household Travel Survey</w:t>
      </w:r>
      <w:r w:rsidR="00C14B37">
        <w:t xml:space="preserve">, </w:t>
      </w:r>
      <w:r w:rsidR="008A2D37">
        <w:t>89.</w:t>
      </w:r>
      <w:r w:rsidR="00D53B44">
        <w:t>4</w:t>
      </w:r>
      <w:r w:rsidR="00C14B37">
        <w:t xml:space="preserve">% were male and </w:t>
      </w:r>
      <w:r w:rsidR="008A2D37">
        <w:t>10.</w:t>
      </w:r>
      <w:r w:rsidR="00D53B44">
        <w:t>6</w:t>
      </w:r>
      <w:r w:rsidR="00C14B37">
        <w:t>% were female</w:t>
      </w:r>
      <w:r w:rsidR="00F679B6">
        <w:fldChar w:fldCharType="begin"/>
      </w:r>
      <w:r w:rsidR="00413C11">
        <w:instrText xml:space="preserve"> NOTEREF _Ref292174749 \f \h </w:instrText>
      </w:r>
      <w:r w:rsidR="00F679B6">
        <w:fldChar w:fldCharType="separate"/>
      </w:r>
      <w:r w:rsidR="003B51EB" w:rsidRPr="003B51EB">
        <w:rPr>
          <w:rStyle w:val="FootnoteReference"/>
        </w:rPr>
        <w:t>1</w:t>
      </w:r>
      <w:r w:rsidR="00F679B6">
        <w:fldChar w:fldCharType="end"/>
      </w:r>
      <w:r w:rsidR="00C14B37">
        <w:t xml:space="preserve">. </w:t>
      </w:r>
      <w:r w:rsidR="006B0A91">
        <w:t xml:space="preserve">If similar gender proportions were found in the sample for this study, </w:t>
      </w:r>
      <w:r w:rsidR="00D53B44">
        <w:t>12,516</w:t>
      </w:r>
      <w:r w:rsidR="006B0A91">
        <w:t xml:space="preserve"> male riders and 1,</w:t>
      </w:r>
      <w:r w:rsidR="00D53B44">
        <w:t xml:space="preserve">484 </w:t>
      </w:r>
      <w:r w:rsidR="006B0A91">
        <w:t>female riders would be interviewed.</w:t>
      </w:r>
    </w:p>
    <w:p w:rsidR="00BB7C91" w:rsidRDefault="00BB7C91" w:rsidP="00452B43"/>
    <w:p w:rsidR="006B6E67" w:rsidRDefault="006B6E67" w:rsidP="00452B43">
      <w:pPr>
        <w:rPr>
          <w:b/>
        </w:rPr>
      </w:pPr>
      <w:r>
        <w:rPr>
          <w:b/>
          <w:i/>
        </w:rPr>
        <w:t>Response Rates:</w:t>
      </w:r>
    </w:p>
    <w:p w:rsidR="006B6E67" w:rsidRDefault="006B6E67" w:rsidP="00452B43">
      <w:pPr>
        <w:rPr>
          <w:b/>
        </w:rPr>
      </w:pPr>
    </w:p>
    <w:p w:rsidR="006B6E67" w:rsidRPr="006B6E67" w:rsidRDefault="006B6E67" w:rsidP="00452B43">
      <w:r>
        <w:rPr>
          <w:rFonts w:eastAsia="Calibri"/>
          <w:color w:val="000000"/>
        </w:rPr>
        <w:t>Response rates in past in-person intercept interview studies have been high. Billheimer</w:t>
      </w:r>
      <w:r w:rsidR="00990C59">
        <w:rPr>
          <w:rStyle w:val="FootnoteReference"/>
          <w:rFonts w:eastAsia="Calibri"/>
          <w:color w:val="000000"/>
        </w:rPr>
        <w:footnoteReference w:id="2"/>
      </w:r>
      <w:r>
        <w:rPr>
          <w:rFonts w:eastAsia="Calibri"/>
          <w:color w:val="000000"/>
        </w:rPr>
        <w:t xml:space="preserve"> performed in-person interviews with motorcycle riders in </w:t>
      </w:r>
      <w:r w:rsidR="00990C59">
        <w:rPr>
          <w:rFonts w:eastAsia="Calibri"/>
          <w:color w:val="000000"/>
        </w:rPr>
        <w:t>sites</w:t>
      </w:r>
      <w:r>
        <w:rPr>
          <w:rFonts w:eastAsia="Calibri"/>
          <w:color w:val="000000"/>
        </w:rPr>
        <w:t xml:space="preserve"> where riders congregate, </w:t>
      </w:r>
      <w:r w:rsidR="00990C59">
        <w:rPr>
          <w:rFonts w:eastAsia="Calibri"/>
          <w:color w:val="000000"/>
        </w:rPr>
        <w:t xml:space="preserve">such as </w:t>
      </w:r>
      <w:r w:rsidR="005D6C64">
        <w:rPr>
          <w:rFonts w:eastAsia="Calibri"/>
          <w:color w:val="000000"/>
        </w:rPr>
        <w:t xml:space="preserve">at </w:t>
      </w:r>
      <w:r w:rsidR="00990C59">
        <w:rPr>
          <w:rFonts w:eastAsia="Calibri"/>
          <w:color w:val="000000"/>
        </w:rPr>
        <w:t xml:space="preserve">motorcycle trade shows, </w:t>
      </w:r>
      <w:r>
        <w:rPr>
          <w:rFonts w:eastAsia="Calibri"/>
          <w:color w:val="000000"/>
        </w:rPr>
        <w:t>with an 88% response rate. Similar response rates were found in prior intercept interview studies of college students on their drinking behavior (88%</w:t>
      </w:r>
      <w:r w:rsidR="00F55CAB">
        <w:rPr>
          <w:rFonts w:eastAsia="Calibri"/>
          <w:color w:val="000000"/>
        </w:rPr>
        <w:t xml:space="preserve"> of students approached</w:t>
      </w:r>
      <w:r>
        <w:rPr>
          <w:rStyle w:val="FootnoteReference"/>
          <w:rFonts w:eastAsia="Calibri"/>
          <w:color w:val="000000"/>
        </w:rPr>
        <w:footnoteReference w:id="3"/>
      </w:r>
      <w:r w:rsidR="00F55CAB">
        <w:rPr>
          <w:rFonts w:eastAsia="Calibri"/>
          <w:color w:val="000000"/>
        </w:rPr>
        <w:t xml:space="preserve">, 92% of party </w:t>
      </w:r>
      <w:r w:rsidR="00F55CAB" w:rsidRPr="00D40090">
        <w:rPr>
          <w:rFonts w:eastAsia="Calibri"/>
          <w:color w:val="000000"/>
        </w:rPr>
        <w:t>hosts approached</w:t>
      </w:r>
      <w:bookmarkStart w:id="1" w:name="_Ref291681209"/>
      <w:r w:rsidR="00F55CAB" w:rsidRPr="00D40090">
        <w:rPr>
          <w:rStyle w:val="FootnoteReference"/>
          <w:rFonts w:eastAsia="Calibri"/>
          <w:color w:val="000000"/>
        </w:rPr>
        <w:footnoteReference w:id="4"/>
      </w:r>
      <w:bookmarkEnd w:id="1"/>
      <w:r w:rsidR="00F55CAB" w:rsidRPr="00D40090">
        <w:rPr>
          <w:rFonts w:eastAsia="Calibri"/>
          <w:color w:val="000000"/>
        </w:rPr>
        <w:t>)</w:t>
      </w:r>
      <w:r w:rsidRPr="00D40090">
        <w:rPr>
          <w:rFonts w:eastAsia="Calibri"/>
          <w:color w:val="000000"/>
        </w:rPr>
        <w:t>, of electronic music dance event attendees on drug use (82 to 90%)</w:t>
      </w:r>
      <w:bookmarkStart w:id="2" w:name="_Ref291674312"/>
      <w:r w:rsidRPr="00D40090">
        <w:rPr>
          <w:rStyle w:val="FootnoteReference"/>
          <w:rFonts w:eastAsia="Calibri"/>
          <w:color w:val="000000"/>
        </w:rPr>
        <w:footnoteReference w:id="5"/>
      </w:r>
      <w:bookmarkEnd w:id="2"/>
      <w:r w:rsidRPr="00D40090">
        <w:rPr>
          <w:rFonts w:eastAsia="Calibri"/>
          <w:color w:val="000000"/>
        </w:rPr>
        <w:t>, and of young adults returning to the US after drinking in Mexico on their drinking behavior (90%)</w:t>
      </w:r>
      <w:r w:rsidRPr="00D40090">
        <w:rPr>
          <w:rStyle w:val="FootnoteReference"/>
          <w:rFonts w:eastAsia="Calibri"/>
          <w:color w:val="000000"/>
        </w:rPr>
        <w:footnoteReference w:id="6"/>
      </w:r>
      <w:r w:rsidRPr="00D40090">
        <w:rPr>
          <w:rFonts w:eastAsia="Calibri"/>
          <w:color w:val="000000"/>
        </w:rPr>
        <w:t>.</w:t>
      </w:r>
      <w:r w:rsidR="003A0E54" w:rsidRPr="00D40090">
        <w:rPr>
          <w:rFonts w:eastAsia="Calibri"/>
          <w:color w:val="000000"/>
        </w:rPr>
        <w:t xml:space="preserve"> S</w:t>
      </w:r>
      <w:r w:rsidR="00C653C1" w:rsidRPr="00D40090">
        <w:rPr>
          <w:rFonts w:eastAsia="Calibri"/>
          <w:color w:val="000000"/>
        </w:rPr>
        <w:t>ome</w:t>
      </w:r>
      <w:r w:rsidR="003A0E54" w:rsidRPr="00D40090">
        <w:rPr>
          <w:rFonts w:eastAsia="Calibri"/>
          <w:color w:val="000000"/>
        </w:rPr>
        <w:t xml:space="preserve"> of these studies provided small monetary incentives of $5-</w:t>
      </w:r>
      <w:r w:rsidR="00B117F0" w:rsidRPr="00D40090">
        <w:rPr>
          <w:rFonts w:eastAsia="Calibri"/>
          <w:color w:val="000000"/>
        </w:rPr>
        <w:t>20</w:t>
      </w:r>
      <w:r w:rsidR="003A0E54" w:rsidRPr="00D40090">
        <w:rPr>
          <w:rFonts w:eastAsia="Calibri"/>
          <w:color w:val="000000"/>
        </w:rPr>
        <w:t xml:space="preserve"> to respondents in order to achieve these high response rates</w:t>
      </w:r>
      <w:fldSimple w:instr=" NOTEREF _Ref291681209 \f \h  \* MERGEFORMAT ">
        <w:r w:rsidR="003B51EB" w:rsidRPr="003B51EB">
          <w:rPr>
            <w:rStyle w:val="FootnoteReference"/>
            <w:rFonts w:eastAsia="Calibri"/>
          </w:rPr>
          <w:t>4</w:t>
        </w:r>
      </w:fldSimple>
      <w:r w:rsidR="00AA2FD1" w:rsidRPr="00D40090">
        <w:rPr>
          <w:rFonts w:eastAsia="Calibri"/>
          <w:color w:val="000000"/>
          <w:vertAlign w:val="superscript"/>
        </w:rPr>
        <w:t>,</w:t>
      </w:r>
      <w:r w:rsidR="00F679B6">
        <w:rPr>
          <w:rFonts w:eastAsia="Calibri"/>
          <w:color w:val="000000"/>
          <w:vertAlign w:val="superscript"/>
        </w:rPr>
        <w:fldChar w:fldCharType="begin"/>
      </w:r>
      <w:r w:rsidR="00945A2D">
        <w:rPr>
          <w:rFonts w:eastAsia="Calibri"/>
          <w:color w:val="000000"/>
          <w:vertAlign w:val="superscript"/>
        </w:rPr>
        <w:instrText xml:space="preserve"> NOTEREF _Ref291674312 \f \h </w:instrText>
      </w:r>
      <w:r w:rsidR="00F679B6">
        <w:rPr>
          <w:rFonts w:eastAsia="Calibri"/>
          <w:color w:val="000000"/>
          <w:vertAlign w:val="superscript"/>
        </w:rPr>
      </w:r>
      <w:r w:rsidR="00F679B6">
        <w:rPr>
          <w:rFonts w:eastAsia="Calibri"/>
          <w:color w:val="000000"/>
          <w:vertAlign w:val="superscript"/>
        </w:rPr>
        <w:fldChar w:fldCharType="separate"/>
      </w:r>
      <w:r w:rsidR="003B51EB" w:rsidRPr="003B51EB">
        <w:rPr>
          <w:rStyle w:val="FootnoteReference"/>
          <w:rFonts w:eastAsia="Calibri"/>
        </w:rPr>
        <w:t>5</w:t>
      </w:r>
      <w:r w:rsidR="00F679B6">
        <w:rPr>
          <w:rFonts w:eastAsia="Calibri"/>
          <w:color w:val="000000"/>
          <w:vertAlign w:val="superscript"/>
        </w:rPr>
        <w:fldChar w:fldCharType="end"/>
      </w:r>
      <w:r w:rsidR="003A0E54" w:rsidRPr="00D40090">
        <w:rPr>
          <w:rFonts w:eastAsia="Calibri"/>
          <w:color w:val="000000"/>
        </w:rPr>
        <w:t>, which is</w:t>
      </w:r>
      <w:r w:rsidR="003A0E54">
        <w:rPr>
          <w:rFonts w:eastAsia="Calibri"/>
          <w:color w:val="000000"/>
        </w:rPr>
        <w:t xml:space="preserve"> similar to the incentive we plan to </w:t>
      </w:r>
      <w:r w:rsidR="00C653C1">
        <w:rPr>
          <w:rFonts w:eastAsia="Calibri"/>
          <w:color w:val="000000"/>
        </w:rPr>
        <w:t>offer to respondents</w:t>
      </w:r>
      <w:r w:rsidR="003A0E54">
        <w:rPr>
          <w:rFonts w:eastAsia="Calibri"/>
          <w:color w:val="000000"/>
        </w:rPr>
        <w:t xml:space="preserve"> to ensure a comparable response rate.</w:t>
      </w:r>
    </w:p>
    <w:p w:rsidR="006B6E67" w:rsidRDefault="006B6E67" w:rsidP="00452B43">
      <w:pPr>
        <w:rPr>
          <w:b/>
        </w:rPr>
      </w:pPr>
    </w:p>
    <w:p w:rsidR="007C00BC" w:rsidRDefault="007C00BC" w:rsidP="00452B43">
      <w:r>
        <w:rPr>
          <w:b/>
          <w:i/>
        </w:rPr>
        <w:t>Total Sampling Needs:</w:t>
      </w:r>
    </w:p>
    <w:p w:rsidR="007C00BC" w:rsidRDefault="007C00BC" w:rsidP="00452B43">
      <w:r w:rsidRPr="003F0429">
        <w:t xml:space="preserve">Overall, the total sample needs for the </w:t>
      </w:r>
      <w:r>
        <w:t>interviews</w:t>
      </w:r>
      <w:r w:rsidRPr="003F0429">
        <w:t xml:space="preserve"> are </w:t>
      </w:r>
      <w:r w:rsidR="00BD4BC9">
        <w:t>14</w:t>
      </w:r>
      <w:r>
        <w:t>,0</w:t>
      </w:r>
      <w:r w:rsidRPr="003F0429">
        <w:t xml:space="preserve">00 respondents </w:t>
      </w:r>
      <w:r>
        <w:t xml:space="preserve">over the course of one year. </w:t>
      </w:r>
      <w:r w:rsidRPr="003F0429">
        <w:t xml:space="preserve">Since </w:t>
      </w:r>
      <w:r>
        <w:t>the interviews are estimated to be 5 minutes in length, the estimated annual time is 1,</w:t>
      </w:r>
      <w:r w:rsidR="00BD4BC9">
        <w:t xml:space="preserve">166.67 </w:t>
      </w:r>
      <w:r>
        <w:t>hours.</w:t>
      </w:r>
      <w:r w:rsidR="00985013">
        <w:t xml:space="preserve"> The breakdown of the total number of respondents appears in the tables below.</w:t>
      </w:r>
      <w:r w:rsidR="004922C1">
        <w:t xml:space="preserve"> </w:t>
      </w:r>
      <w:r w:rsidR="00300543">
        <w:t>Program locations will be selected in part based on evidence that they have high motorcycle traffic and an impaired riding problem. Thus, program locations and appropriate comparison locations will be chosen that have a high enough volume of motorcycle riders to conduct the number of interviews necessary.</w:t>
      </w:r>
    </w:p>
    <w:p w:rsidR="00390B5A" w:rsidRDefault="00390B5A" w:rsidP="00452B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1440"/>
        <w:gridCol w:w="1260"/>
        <w:gridCol w:w="1170"/>
        <w:gridCol w:w="1440"/>
        <w:gridCol w:w="990"/>
      </w:tblGrid>
      <w:tr w:rsidR="007C00BC" w:rsidRPr="00FE0013" w:rsidTr="007C00BC">
        <w:tc>
          <w:tcPr>
            <w:tcW w:w="9378" w:type="dxa"/>
            <w:gridSpan w:val="6"/>
            <w:vAlign w:val="center"/>
          </w:tcPr>
          <w:p w:rsidR="007C00BC" w:rsidRPr="005D6C64" w:rsidRDefault="007C00BC" w:rsidP="00452B43">
            <w:pPr>
              <w:rPr>
                <w:b/>
                <w:bCs/>
              </w:rPr>
            </w:pPr>
            <w:r w:rsidRPr="005D6C64">
              <w:rPr>
                <w:b/>
                <w:bCs/>
                <w:caps/>
              </w:rPr>
              <w:t xml:space="preserve">Table </w:t>
            </w:r>
            <w:r w:rsidR="005D6C64">
              <w:rPr>
                <w:b/>
                <w:bCs/>
                <w:caps/>
              </w:rPr>
              <w:t>2</w:t>
            </w:r>
            <w:r w:rsidRPr="005D6C64">
              <w:rPr>
                <w:b/>
                <w:bCs/>
                <w:caps/>
              </w:rPr>
              <w:t xml:space="preserve">. </w:t>
            </w:r>
            <w:r w:rsidRPr="005D6C64">
              <w:rPr>
                <w:b/>
                <w:bCs/>
              </w:rPr>
              <w:t>Sample Size</w:t>
            </w:r>
          </w:p>
        </w:tc>
      </w:tr>
      <w:tr w:rsidR="007C00BC" w:rsidRPr="00FE0013" w:rsidTr="00413C11">
        <w:trPr>
          <w:trHeight w:val="125"/>
        </w:trPr>
        <w:tc>
          <w:tcPr>
            <w:tcW w:w="3078" w:type="dxa"/>
            <w:vAlign w:val="center"/>
          </w:tcPr>
          <w:p w:rsidR="007C00BC" w:rsidRPr="005D6C64" w:rsidRDefault="007C00BC" w:rsidP="00452B43">
            <w:pPr>
              <w:rPr>
                <w:b/>
                <w:bCs/>
              </w:rPr>
            </w:pPr>
          </w:p>
        </w:tc>
        <w:tc>
          <w:tcPr>
            <w:tcW w:w="2700" w:type="dxa"/>
            <w:gridSpan w:val="2"/>
          </w:tcPr>
          <w:p w:rsidR="007C00BC" w:rsidRPr="005D6C64" w:rsidRDefault="007C00BC" w:rsidP="00452B43">
            <w:pPr>
              <w:jc w:val="center"/>
              <w:rPr>
                <w:b/>
                <w:bCs/>
              </w:rPr>
            </w:pPr>
            <w:r w:rsidRPr="005D6C64">
              <w:rPr>
                <w:b/>
                <w:bCs/>
                <w:sz w:val="22"/>
                <w:szCs w:val="22"/>
              </w:rPr>
              <w:t>1</w:t>
            </w:r>
            <w:r w:rsidRPr="005D6C64">
              <w:rPr>
                <w:b/>
                <w:bCs/>
                <w:sz w:val="22"/>
                <w:szCs w:val="22"/>
                <w:vertAlign w:val="superscript"/>
              </w:rPr>
              <w:t>st</w:t>
            </w:r>
            <w:r w:rsidRPr="005D6C64">
              <w:rPr>
                <w:b/>
                <w:bCs/>
                <w:sz w:val="22"/>
                <w:szCs w:val="22"/>
              </w:rPr>
              <w:t xml:space="preserve"> Wave</w:t>
            </w:r>
          </w:p>
        </w:tc>
        <w:tc>
          <w:tcPr>
            <w:tcW w:w="2610" w:type="dxa"/>
            <w:gridSpan w:val="2"/>
          </w:tcPr>
          <w:p w:rsidR="007C00BC" w:rsidRPr="005D6C64" w:rsidRDefault="005D6C64" w:rsidP="00452B43">
            <w:pPr>
              <w:jc w:val="center"/>
              <w:rPr>
                <w:b/>
                <w:bCs/>
              </w:rPr>
            </w:pPr>
            <w:r>
              <w:rPr>
                <w:b/>
                <w:bCs/>
                <w:sz w:val="22"/>
                <w:szCs w:val="22"/>
              </w:rPr>
              <w:t>2</w:t>
            </w:r>
            <w:r w:rsidRPr="005D6C64">
              <w:rPr>
                <w:b/>
                <w:bCs/>
                <w:sz w:val="22"/>
                <w:szCs w:val="22"/>
                <w:vertAlign w:val="superscript"/>
              </w:rPr>
              <w:t>nd</w:t>
            </w:r>
            <w:r>
              <w:rPr>
                <w:b/>
                <w:bCs/>
                <w:sz w:val="22"/>
                <w:szCs w:val="22"/>
              </w:rPr>
              <w:t xml:space="preserve"> </w:t>
            </w:r>
            <w:r w:rsidR="007C00BC" w:rsidRPr="005D6C64">
              <w:rPr>
                <w:b/>
                <w:bCs/>
                <w:sz w:val="22"/>
                <w:szCs w:val="22"/>
              </w:rPr>
              <w:t>Wave</w:t>
            </w:r>
          </w:p>
        </w:tc>
        <w:tc>
          <w:tcPr>
            <w:tcW w:w="990" w:type="dxa"/>
          </w:tcPr>
          <w:p w:rsidR="007C00BC" w:rsidRPr="005D6C64" w:rsidRDefault="007C00BC" w:rsidP="00452B43">
            <w:pPr>
              <w:jc w:val="center"/>
              <w:rPr>
                <w:b/>
                <w:bCs/>
              </w:rPr>
            </w:pPr>
          </w:p>
        </w:tc>
      </w:tr>
      <w:tr w:rsidR="007C00BC" w:rsidRPr="00FE0013" w:rsidTr="005D6C64">
        <w:tc>
          <w:tcPr>
            <w:tcW w:w="3078" w:type="dxa"/>
            <w:vAlign w:val="center"/>
          </w:tcPr>
          <w:p w:rsidR="007C00BC" w:rsidRPr="005D6C64" w:rsidRDefault="007C00BC" w:rsidP="00452B43">
            <w:pPr>
              <w:rPr>
                <w:b/>
                <w:bCs/>
              </w:rPr>
            </w:pPr>
          </w:p>
        </w:tc>
        <w:tc>
          <w:tcPr>
            <w:tcW w:w="1440" w:type="dxa"/>
          </w:tcPr>
          <w:p w:rsidR="007C00BC" w:rsidRPr="005D6C64" w:rsidRDefault="007C00BC" w:rsidP="00452B43">
            <w:pPr>
              <w:jc w:val="center"/>
              <w:rPr>
                <w:bCs/>
              </w:rPr>
            </w:pPr>
            <w:r w:rsidRPr="005D6C64">
              <w:rPr>
                <w:bCs/>
                <w:sz w:val="22"/>
                <w:szCs w:val="22"/>
              </w:rPr>
              <w:t>Pre</w:t>
            </w:r>
          </w:p>
        </w:tc>
        <w:tc>
          <w:tcPr>
            <w:tcW w:w="1260" w:type="dxa"/>
            <w:vAlign w:val="center"/>
          </w:tcPr>
          <w:p w:rsidR="007C00BC" w:rsidRPr="005D6C64" w:rsidRDefault="007C00BC" w:rsidP="00452B43">
            <w:pPr>
              <w:jc w:val="center"/>
              <w:rPr>
                <w:bCs/>
              </w:rPr>
            </w:pPr>
            <w:r w:rsidRPr="005D6C64">
              <w:rPr>
                <w:bCs/>
                <w:sz w:val="22"/>
                <w:szCs w:val="22"/>
              </w:rPr>
              <w:t>Post</w:t>
            </w:r>
          </w:p>
        </w:tc>
        <w:tc>
          <w:tcPr>
            <w:tcW w:w="1170" w:type="dxa"/>
          </w:tcPr>
          <w:p w:rsidR="007C00BC" w:rsidRPr="005D6C64" w:rsidRDefault="007C00BC" w:rsidP="00452B43">
            <w:pPr>
              <w:jc w:val="center"/>
              <w:rPr>
                <w:bCs/>
              </w:rPr>
            </w:pPr>
            <w:r w:rsidRPr="005D6C64">
              <w:rPr>
                <w:bCs/>
                <w:sz w:val="22"/>
                <w:szCs w:val="22"/>
              </w:rPr>
              <w:t>Pre</w:t>
            </w:r>
          </w:p>
        </w:tc>
        <w:tc>
          <w:tcPr>
            <w:tcW w:w="1440" w:type="dxa"/>
            <w:vAlign w:val="center"/>
          </w:tcPr>
          <w:p w:rsidR="007C00BC" w:rsidRPr="005D6C64" w:rsidRDefault="007C00BC" w:rsidP="00452B43">
            <w:pPr>
              <w:jc w:val="center"/>
              <w:rPr>
                <w:bCs/>
              </w:rPr>
            </w:pPr>
            <w:r w:rsidRPr="005D6C64">
              <w:rPr>
                <w:bCs/>
                <w:sz w:val="22"/>
                <w:szCs w:val="22"/>
              </w:rPr>
              <w:t>Post</w:t>
            </w:r>
          </w:p>
        </w:tc>
        <w:tc>
          <w:tcPr>
            <w:tcW w:w="990" w:type="dxa"/>
          </w:tcPr>
          <w:p w:rsidR="007C00BC" w:rsidRPr="005D6C64" w:rsidRDefault="007C00BC" w:rsidP="00452B43">
            <w:pPr>
              <w:jc w:val="center"/>
              <w:rPr>
                <w:bCs/>
              </w:rPr>
            </w:pPr>
            <w:r w:rsidRPr="005D6C64">
              <w:rPr>
                <w:b/>
                <w:bCs/>
                <w:sz w:val="22"/>
                <w:szCs w:val="22"/>
              </w:rPr>
              <w:t>Total</w:t>
            </w:r>
          </w:p>
        </w:tc>
      </w:tr>
      <w:tr w:rsidR="007C00BC" w:rsidRPr="00FE0013" w:rsidTr="005D6C64">
        <w:tc>
          <w:tcPr>
            <w:tcW w:w="3078" w:type="dxa"/>
          </w:tcPr>
          <w:p w:rsidR="007C00BC" w:rsidRPr="005D6C64" w:rsidRDefault="005D6C64" w:rsidP="00452B43">
            <w:pPr>
              <w:rPr>
                <w:bCs/>
              </w:rPr>
            </w:pPr>
            <w:r>
              <w:rPr>
                <w:bCs/>
                <w:sz w:val="22"/>
                <w:szCs w:val="22"/>
              </w:rPr>
              <w:t>Program Location #1</w:t>
            </w:r>
            <w:r w:rsidR="007C00BC" w:rsidRPr="005D6C64">
              <w:rPr>
                <w:bCs/>
                <w:sz w:val="22"/>
                <w:szCs w:val="22"/>
              </w:rPr>
              <w:t xml:space="preserve"> </w:t>
            </w:r>
          </w:p>
        </w:tc>
        <w:tc>
          <w:tcPr>
            <w:tcW w:w="1440" w:type="dxa"/>
          </w:tcPr>
          <w:p w:rsidR="007C00BC" w:rsidRPr="005D6C64" w:rsidRDefault="007C00BC" w:rsidP="00452B43">
            <w:pPr>
              <w:jc w:val="center"/>
              <w:rPr>
                <w:bCs/>
              </w:rPr>
            </w:pPr>
            <w:r w:rsidRPr="005D6C64">
              <w:rPr>
                <w:bCs/>
                <w:sz w:val="22"/>
                <w:szCs w:val="22"/>
              </w:rPr>
              <w:t>500</w:t>
            </w:r>
          </w:p>
        </w:tc>
        <w:tc>
          <w:tcPr>
            <w:tcW w:w="1260" w:type="dxa"/>
          </w:tcPr>
          <w:p w:rsidR="007C00BC" w:rsidRPr="005D6C64" w:rsidRDefault="007C00BC" w:rsidP="00452B43">
            <w:pPr>
              <w:jc w:val="center"/>
              <w:rPr>
                <w:bCs/>
              </w:rPr>
            </w:pPr>
            <w:r w:rsidRPr="005D6C64">
              <w:rPr>
                <w:bCs/>
                <w:sz w:val="22"/>
                <w:szCs w:val="22"/>
              </w:rPr>
              <w:t>500</w:t>
            </w:r>
          </w:p>
        </w:tc>
        <w:tc>
          <w:tcPr>
            <w:tcW w:w="1170" w:type="dxa"/>
          </w:tcPr>
          <w:p w:rsidR="007C00BC" w:rsidRPr="005D6C64" w:rsidRDefault="007C00BC" w:rsidP="00452B43">
            <w:pPr>
              <w:jc w:val="center"/>
              <w:rPr>
                <w:bCs/>
              </w:rPr>
            </w:pPr>
            <w:r w:rsidRPr="005D6C64">
              <w:rPr>
                <w:bCs/>
                <w:sz w:val="22"/>
                <w:szCs w:val="22"/>
              </w:rPr>
              <w:t>500</w:t>
            </w:r>
          </w:p>
        </w:tc>
        <w:tc>
          <w:tcPr>
            <w:tcW w:w="1440" w:type="dxa"/>
          </w:tcPr>
          <w:p w:rsidR="007C00BC" w:rsidRPr="005D6C64" w:rsidRDefault="007C00BC" w:rsidP="00452B43">
            <w:pPr>
              <w:jc w:val="center"/>
              <w:rPr>
                <w:bCs/>
              </w:rPr>
            </w:pPr>
            <w:r w:rsidRPr="005D6C64">
              <w:rPr>
                <w:bCs/>
                <w:sz w:val="22"/>
                <w:szCs w:val="22"/>
              </w:rPr>
              <w:t>500</w:t>
            </w:r>
          </w:p>
        </w:tc>
        <w:tc>
          <w:tcPr>
            <w:tcW w:w="990" w:type="dxa"/>
          </w:tcPr>
          <w:p w:rsidR="007C00BC" w:rsidRPr="005D6C64" w:rsidRDefault="007C00BC" w:rsidP="00452B43">
            <w:pPr>
              <w:jc w:val="center"/>
              <w:rPr>
                <w:bCs/>
              </w:rPr>
            </w:pPr>
            <w:r w:rsidRPr="005D6C64">
              <w:rPr>
                <w:bCs/>
                <w:sz w:val="22"/>
                <w:szCs w:val="22"/>
              </w:rPr>
              <w:t>2,000</w:t>
            </w:r>
          </w:p>
        </w:tc>
      </w:tr>
      <w:tr w:rsidR="007C00BC" w:rsidRPr="00FE0013" w:rsidTr="005D6C64">
        <w:tc>
          <w:tcPr>
            <w:tcW w:w="3078" w:type="dxa"/>
          </w:tcPr>
          <w:p w:rsidR="007C00BC" w:rsidRPr="005D6C64" w:rsidRDefault="005D6C64" w:rsidP="00452B43">
            <w:pPr>
              <w:rPr>
                <w:bCs/>
              </w:rPr>
            </w:pPr>
            <w:r>
              <w:rPr>
                <w:bCs/>
                <w:sz w:val="22"/>
                <w:szCs w:val="22"/>
              </w:rPr>
              <w:t>Program Location #2</w:t>
            </w:r>
          </w:p>
        </w:tc>
        <w:tc>
          <w:tcPr>
            <w:tcW w:w="1440" w:type="dxa"/>
          </w:tcPr>
          <w:p w:rsidR="007C00BC" w:rsidRPr="005D6C64" w:rsidRDefault="007C00BC" w:rsidP="00452B43">
            <w:pPr>
              <w:jc w:val="center"/>
              <w:rPr>
                <w:bCs/>
              </w:rPr>
            </w:pPr>
            <w:r w:rsidRPr="005D6C64">
              <w:rPr>
                <w:bCs/>
                <w:sz w:val="22"/>
                <w:szCs w:val="22"/>
              </w:rPr>
              <w:t>500</w:t>
            </w:r>
          </w:p>
        </w:tc>
        <w:tc>
          <w:tcPr>
            <w:tcW w:w="1260" w:type="dxa"/>
          </w:tcPr>
          <w:p w:rsidR="007C00BC" w:rsidRPr="005D6C64" w:rsidRDefault="007C00BC" w:rsidP="00452B43">
            <w:pPr>
              <w:jc w:val="center"/>
              <w:rPr>
                <w:bCs/>
              </w:rPr>
            </w:pPr>
            <w:r w:rsidRPr="005D6C64">
              <w:rPr>
                <w:bCs/>
                <w:sz w:val="22"/>
                <w:szCs w:val="22"/>
              </w:rPr>
              <w:t>500</w:t>
            </w:r>
          </w:p>
        </w:tc>
        <w:tc>
          <w:tcPr>
            <w:tcW w:w="1170" w:type="dxa"/>
          </w:tcPr>
          <w:p w:rsidR="007C00BC" w:rsidRPr="005D6C64" w:rsidRDefault="007C00BC" w:rsidP="00452B43">
            <w:pPr>
              <w:jc w:val="center"/>
              <w:rPr>
                <w:bCs/>
              </w:rPr>
            </w:pPr>
            <w:r w:rsidRPr="005D6C64">
              <w:rPr>
                <w:bCs/>
                <w:sz w:val="22"/>
                <w:szCs w:val="22"/>
              </w:rPr>
              <w:t>500</w:t>
            </w:r>
          </w:p>
        </w:tc>
        <w:tc>
          <w:tcPr>
            <w:tcW w:w="1440" w:type="dxa"/>
          </w:tcPr>
          <w:p w:rsidR="007C00BC" w:rsidRPr="005D6C64" w:rsidRDefault="007C00BC" w:rsidP="00452B43">
            <w:pPr>
              <w:jc w:val="center"/>
              <w:rPr>
                <w:bCs/>
              </w:rPr>
            </w:pPr>
            <w:r w:rsidRPr="005D6C64">
              <w:rPr>
                <w:bCs/>
                <w:sz w:val="22"/>
                <w:szCs w:val="22"/>
              </w:rPr>
              <w:t>500</w:t>
            </w:r>
          </w:p>
        </w:tc>
        <w:tc>
          <w:tcPr>
            <w:tcW w:w="990" w:type="dxa"/>
          </w:tcPr>
          <w:p w:rsidR="007C00BC" w:rsidRPr="005D6C64" w:rsidRDefault="007C00BC" w:rsidP="00452B43">
            <w:pPr>
              <w:jc w:val="center"/>
              <w:rPr>
                <w:bCs/>
              </w:rPr>
            </w:pPr>
            <w:r w:rsidRPr="005D6C64">
              <w:rPr>
                <w:bCs/>
                <w:sz w:val="22"/>
                <w:szCs w:val="22"/>
              </w:rPr>
              <w:t>2,000</w:t>
            </w:r>
          </w:p>
        </w:tc>
      </w:tr>
      <w:tr w:rsidR="007C00BC" w:rsidRPr="00FE0013" w:rsidTr="005D6C64">
        <w:tc>
          <w:tcPr>
            <w:tcW w:w="3078" w:type="dxa"/>
          </w:tcPr>
          <w:p w:rsidR="007C00BC" w:rsidRPr="005D6C64" w:rsidRDefault="005D6C64" w:rsidP="00452B43">
            <w:pPr>
              <w:rPr>
                <w:b/>
              </w:rPr>
            </w:pPr>
            <w:r>
              <w:rPr>
                <w:bCs/>
                <w:sz w:val="22"/>
                <w:szCs w:val="22"/>
              </w:rPr>
              <w:t>Program Location #3</w:t>
            </w:r>
          </w:p>
        </w:tc>
        <w:tc>
          <w:tcPr>
            <w:tcW w:w="1440" w:type="dxa"/>
          </w:tcPr>
          <w:p w:rsidR="007C00BC" w:rsidRPr="005D6C64" w:rsidRDefault="007C00BC" w:rsidP="00452B43">
            <w:pPr>
              <w:jc w:val="center"/>
            </w:pPr>
            <w:r w:rsidRPr="005D6C64">
              <w:rPr>
                <w:sz w:val="22"/>
                <w:szCs w:val="22"/>
              </w:rPr>
              <w:t>500</w:t>
            </w:r>
          </w:p>
        </w:tc>
        <w:tc>
          <w:tcPr>
            <w:tcW w:w="1260" w:type="dxa"/>
          </w:tcPr>
          <w:p w:rsidR="007C00BC" w:rsidRPr="005D6C64" w:rsidRDefault="007C00BC" w:rsidP="00452B43">
            <w:pPr>
              <w:jc w:val="center"/>
            </w:pPr>
            <w:r w:rsidRPr="005D6C64">
              <w:rPr>
                <w:sz w:val="22"/>
                <w:szCs w:val="22"/>
              </w:rPr>
              <w:t>500</w:t>
            </w:r>
          </w:p>
        </w:tc>
        <w:tc>
          <w:tcPr>
            <w:tcW w:w="1170" w:type="dxa"/>
          </w:tcPr>
          <w:p w:rsidR="007C00BC" w:rsidRPr="005D6C64" w:rsidRDefault="007C00BC" w:rsidP="00452B43">
            <w:pPr>
              <w:jc w:val="center"/>
            </w:pPr>
            <w:r w:rsidRPr="005D6C64">
              <w:rPr>
                <w:sz w:val="22"/>
                <w:szCs w:val="22"/>
              </w:rPr>
              <w:t>500</w:t>
            </w:r>
          </w:p>
        </w:tc>
        <w:tc>
          <w:tcPr>
            <w:tcW w:w="1440" w:type="dxa"/>
          </w:tcPr>
          <w:p w:rsidR="007C00BC" w:rsidRPr="005D6C64" w:rsidRDefault="007C00BC" w:rsidP="00452B43">
            <w:pPr>
              <w:jc w:val="center"/>
            </w:pPr>
            <w:r w:rsidRPr="005D6C64">
              <w:rPr>
                <w:sz w:val="22"/>
                <w:szCs w:val="22"/>
              </w:rPr>
              <w:t>500</w:t>
            </w:r>
          </w:p>
        </w:tc>
        <w:tc>
          <w:tcPr>
            <w:tcW w:w="990" w:type="dxa"/>
          </w:tcPr>
          <w:p w:rsidR="007C00BC" w:rsidRPr="005D6C64" w:rsidRDefault="007C00BC" w:rsidP="00452B43">
            <w:pPr>
              <w:jc w:val="center"/>
            </w:pPr>
            <w:r w:rsidRPr="005D6C64">
              <w:rPr>
                <w:sz w:val="22"/>
                <w:szCs w:val="22"/>
              </w:rPr>
              <w:t>2,000</w:t>
            </w:r>
          </w:p>
        </w:tc>
      </w:tr>
      <w:tr w:rsidR="007C00BC" w:rsidRPr="00FE0013" w:rsidTr="005D6C64">
        <w:tc>
          <w:tcPr>
            <w:tcW w:w="3078" w:type="dxa"/>
          </w:tcPr>
          <w:p w:rsidR="007C00BC" w:rsidRPr="005D6C64" w:rsidRDefault="005D6C64" w:rsidP="00452B43">
            <w:pPr>
              <w:rPr>
                <w:b/>
              </w:rPr>
            </w:pPr>
            <w:r>
              <w:rPr>
                <w:bCs/>
                <w:sz w:val="22"/>
                <w:szCs w:val="22"/>
              </w:rPr>
              <w:t>Program Location #4</w:t>
            </w:r>
          </w:p>
        </w:tc>
        <w:tc>
          <w:tcPr>
            <w:tcW w:w="1440" w:type="dxa"/>
          </w:tcPr>
          <w:p w:rsidR="007C00BC" w:rsidRPr="005D6C64" w:rsidRDefault="007C00BC" w:rsidP="00452B43">
            <w:pPr>
              <w:jc w:val="center"/>
            </w:pPr>
            <w:r w:rsidRPr="005D6C64">
              <w:rPr>
                <w:sz w:val="22"/>
                <w:szCs w:val="22"/>
              </w:rPr>
              <w:t>500</w:t>
            </w:r>
          </w:p>
        </w:tc>
        <w:tc>
          <w:tcPr>
            <w:tcW w:w="1260" w:type="dxa"/>
          </w:tcPr>
          <w:p w:rsidR="007C00BC" w:rsidRPr="005D6C64" w:rsidRDefault="007C00BC" w:rsidP="00452B43">
            <w:pPr>
              <w:jc w:val="center"/>
            </w:pPr>
            <w:r w:rsidRPr="005D6C64">
              <w:rPr>
                <w:sz w:val="22"/>
                <w:szCs w:val="22"/>
              </w:rPr>
              <w:t>500</w:t>
            </w:r>
          </w:p>
        </w:tc>
        <w:tc>
          <w:tcPr>
            <w:tcW w:w="1170" w:type="dxa"/>
          </w:tcPr>
          <w:p w:rsidR="007C00BC" w:rsidRPr="005D6C64" w:rsidRDefault="007C00BC" w:rsidP="00452B43">
            <w:pPr>
              <w:jc w:val="center"/>
            </w:pPr>
            <w:r w:rsidRPr="005D6C64">
              <w:rPr>
                <w:sz w:val="22"/>
                <w:szCs w:val="22"/>
              </w:rPr>
              <w:t>500</w:t>
            </w:r>
          </w:p>
        </w:tc>
        <w:tc>
          <w:tcPr>
            <w:tcW w:w="1440" w:type="dxa"/>
          </w:tcPr>
          <w:p w:rsidR="007C00BC" w:rsidRPr="005D6C64" w:rsidRDefault="007C00BC" w:rsidP="00452B43">
            <w:pPr>
              <w:jc w:val="center"/>
            </w:pPr>
            <w:r w:rsidRPr="005D6C64">
              <w:rPr>
                <w:sz w:val="22"/>
                <w:szCs w:val="22"/>
              </w:rPr>
              <w:t>500</w:t>
            </w:r>
          </w:p>
        </w:tc>
        <w:tc>
          <w:tcPr>
            <w:tcW w:w="990" w:type="dxa"/>
          </w:tcPr>
          <w:p w:rsidR="007C00BC" w:rsidRPr="005D6C64" w:rsidRDefault="007C00BC" w:rsidP="00452B43">
            <w:pPr>
              <w:jc w:val="center"/>
            </w:pPr>
            <w:r w:rsidRPr="005D6C64">
              <w:rPr>
                <w:sz w:val="22"/>
                <w:szCs w:val="22"/>
              </w:rPr>
              <w:t>2,000</w:t>
            </w:r>
          </w:p>
        </w:tc>
      </w:tr>
      <w:tr w:rsidR="007C00BC" w:rsidRPr="00FE0013" w:rsidTr="005D6C64">
        <w:tc>
          <w:tcPr>
            <w:tcW w:w="3078" w:type="dxa"/>
          </w:tcPr>
          <w:p w:rsidR="007C00BC" w:rsidRPr="005D6C64" w:rsidRDefault="007C00BC" w:rsidP="00452B43">
            <w:r w:rsidRPr="005D6C64">
              <w:rPr>
                <w:sz w:val="22"/>
                <w:szCs w:val="22"/>
              </w:rPr>
              <w:t xml:space="preserve">Comparison </w:t>
            </w:r>
            <w:r w:rsidR="005D6C64">
              <w:rPr>
                <w:sz w:val="22"/>
                <w:szCs w:val="22"/>
              </w:rPr>
              <w:t>Location</w:t>
            </w:r>
            <w:r w:rsidRPr="005D6C64">
              <w:rPr>
                <w:sz w:val="22"/>
                <w:szCs w:val="22"/>
              </w:rPr>
              <w:t xml:space="preserve"> #1</w:t>
            </w:r>
          </w:p>
        </w:tc>
        <w:tc>
          <w:tcPr>
            <w:tcW w:w="1440" w:type="dxa"/>
          </w:tcPr>
          <w:p w:rsidR="007C00BC" w:rsidRPr="005D6C64" w:rsidRDefault="007C00BC" w:rsidP="00452B43">
            <w:pPr>
              <w:jc w:val="center"/>
            </w:pPr>
            <w:r w:rsidRPr="005D6C64">
              <w:rPr>
                <w:sz w:val="22"/>
                <w:szCs w:val="22"/>
              </w:rPr>
              <w:t>500</w:t>
            </w:r>
          </w:p>
        </w:tc>
        <w:tc>
          <w:tcPr>
            <w:tcW w:w="1260" w:type="dxa"/>
          </w:tcPr>
          <w:p w:rsidR="007C00BC" w:rsidRPr="005D6C64" w:rsidRDefault="007C00BC" w:rsidP="00452B43">
            <w:pPr>
              <w:jc w:val="center"/>
            </w:pPr>
            <w:r w:rsidRPr="005D6C64">
              <w:rPr>
                <w:sz w:val="22"/>
                <w:szCs w:val="22"/>
              </w:rPr>
              <w:t>500</w:t>
            </w:r>
          </w:p>
        </w:tc>
        <w:tc>
          <w:tcPr>
            <w:tcW w:w="1170" w:type="dxa"/>
          </w:tcPr>
          <w:p w:rsidR="007C00BC" w:rsidRPr="005D6C64" w:rsidRDefault="007C00BC" w:rsidP="00452B43">
            <w:pPr>
              <w:jc w:val="center"/>
            </w:pPr>
            <w:r w:rsidRPr="005D6C64">
              <w:rPr>
                <w:sz w:val="22"/>
                <w:szCs w:val="22"/>
              </w:rPr>
              <w:t>500</w:t>
            </w:r>
          </w:p>
        </w:tc>
        <w:tc>
          <w:tcPr>
            <w:tcW w:w="1440" w:type="dxa"/>
          </w:tcPr>
          <w:p w:rsidR="007C00BC" w:rsidRPr="005D6C64" w:rsidRDefault="007C00BC" w:rsidP="00452B43">
            <w:pPr>
              <w:jc w:val="center"/>
            </w:pPr>
            <w:r w:rsidRPr="005D6C64">
              <w:rPr>
                <w:sz w:val="22"/>
                <w:szCs w:val="22"/>
              </w:rPr>
              <w:t>500</w:t>
            </w:r>
          </w:p>
        </w:tc>
        <w:tc>
          <w:tcPr>
            <w:tcW w:w="990" w:type="dxa"/>
          </w:tcPr>
          <w:p w:rsidR="007C00BC" w:rsidRPr="005D6C64" w:rsidRDefault="007C00BC" w:rsidP="00452B43">
            <w:pPr>
              <w:jc w:val="center"/>
            </w:pPr>
            <w:r w:rsidRPr="005D6C64">
              <w:rPr>
                <w:sz w:val="22"/>
                <w:szCs w:val="22"/>
              </w:rPr>
              <w:t>2,000</w:t>
            </w:r>
          </w:p>
        </w:tc>
      </w:tr>
      <w:tr w:rsidR="007C00BC" w:rsidRPr="00FE0013" w:rsidTr="005D6C64">
        <w:tc>
          <w:tcPr>
            <w:tcW w:w="3078" w:type="dxa"/>
          </w:tcPr>
          <w:p w:rsidR="007C00BC" w:rsidRPr="005D6C64" w:rsidRDefault="007C00BC" w:rsidP="00452B43">
            <w:r w:rsidRPr="005D6C64">
              <w:rPr>
                <w:sz w:val="22"/>
                <w:szCs w:val="22"/>
              </w:rPr>
              <w:t xml:space="preserve">Comparison </w:t>
            </w:r>
            <w:r w:rsidR="005D6C64">
              <w:rPr>
                <w:sz w:val="22"/>
                <w:szCs w:val="22"/>
              </w:rPr>
              <w:t>Location</w:t>
            </w:r>
            <w:r w:rsidRPr="005D6C64">
              <w:rPr>
                <w:sz w:val="22"/>
                <w:szCs w:val="22"/>
              </w:rPr>
              <w:t xml:space="preserve"> #2</w:t>
            </w:r>
          </w:p>
        </w:tc>
        <w:tc>
          <w:tcPr>
            <w:tcW w:w="1440" w:type="dxa"/>
          </w:tcPr>
          <w:p w:rsidR="007C00BC" w:rsidRPr="005D6C64" w:rsidRDefault="007C00BC" w:rsidP="00452B43">
            <w:pPr>
              <w:jc w:val="center"/>
            </w:pPr>
            <w:r w:rsidRPr="005D6C64">
              <w:rPr>
                <w:sz w:val="22"/>
                <w:szCs w:val="22"/>
              </w:rPr>
              <w:t>500</w:t>
            </w:r>
          </w:p>
        </w:tc>
        <w:tc>
          <w:tcPr>
            <w:tcW w:w="1260" w:type="dxa"/>
          </w:tcPr>
          <w:p w:rsidR="007C00BC" w:rsidRPr="005D6C64" w:rsidRDefault="007C00BC" w:rsidP="00452B43">
            <w:pPr>
              <w:jc w:val="center"/>
            </w:pPr>
            <w:r w:rsidRPr="005D6C64">
              <w:rPr>
                <w:sz w:val="22"/>
                <w:szCs w:val="22"/>
              </w:rPr>
              <w:t>500</w:t>
            </w:r>
          </w:p>
        </w:tc>
        <w:tc>
          <w:tcPr>
            <w:tcW w:w="1170" w:type="dxa"/>
          </w:tcPr>
          <w:p w:rsidR="007C00BC" w:rsidRPr="005D6C64" w:rsidRDefault="007C00BC" w:rsidP="00452B43">
            <w:pPr>
              <w:jc w:val="center"/>
            </w:pPr>
            <w:r w:rsidRPr="005D6C64">
              <w:rPr>
                <w:sz w:val="22"/>
                <w:szCs w:val="22"/>
              </w:rPr>
              <w:t>500</w:t>
            </w:r>
          </w:p>
        </w:tc>
        <w:tc>
          <w:tcPr>
            <w:tcW w:w="1440" w:type="dxa"/>
          </w:tcPr>
          <w:p w:rsidR="007C00BC" w:rsidRPr="005D6C64" w:rsidRDefault="007C00BC" w:rsidP="00452B43">
            <w:pPr>
              <w:jc w:val="center"/>
            </w:pPr>
            <w:r w:rsidRPr="005D6C64">
              <w:rPr>
                <w:sz w:val="22"/>
                <w:szCs w:val="22"/>
              </w:rPr>
              <w:t>500</w:t>
            </w:r>
          </w:p>
        </w:tc>
        <w:tc>
          <w:tcPr>
            <w:tcW w:w="990" w:type="dxa"/>
          </w:tcPr>
          <w:p w:rsidR="007C00BC" w:rsidRPr="005D6C64" w:rsidRDefault="007C00BC" w:rsidP="00452B43">
            <w:pPr>
              <w:jc w:val="center"/>
            </w:pPr>
            <w:r w:rsidRPr="005D6C64">
              <w:rPr>
                <w:sz w:val="22"/>
                <w:szCs w:val="22"/>
              </w:rPr>
              <w:t>2,000</w:t>
            </w:r>
          </w:p>
        </w:tc>
      </w:tr>
      <w:tr w:rsidR="00BD4BC9" w:rsidRPr="00FE0013" w:rsidTr="005D6C64">
        <w:tc>
          <w:tcPr>
            <w:tcW w:w="3078" w:type="dxa"/>
          </w:tcPr>
          <w:p w:rsidR="00BD4BC9" w:rsidRPr="005D6C64" w:rsidRDefault="00BD4BC9" w:rsidP="00452B43">
            <w:r w:rsidRPr="005D6C64">
              <w:rPr>
                <w:sz w:val="22"/>
                <w:szCs w:val="22"/>
              </w:rPr>
              <w:t xml:space="preserve">Comparison </w:t>
            </w:r>
            <w:r>
              <w:rPr>
                <w:sz w:val="22"/>
                <w:szCs w:val="22"/>
              </w:rPr>
              <w:t>Location</w:t>
            </w:r>
            <w:r w:rsidRPr="005D6C64">
              <w:rPr>
                <w:sz w:val="22"/>
                <w:szCs w:val="22"/>
              </w:rPr>
              <w:t xml:space="preserve"> #</w:t>
            </w:r>
            <w:r>
              <w:rPr>
                <w:sz w:val="22"/>
                <w:szCs w:val="22"/>
              </w:rPr>
              <w:t>3</w:t>
            </w:r>
          </w:p>
        </w:tc>
        <w:tc>
          <w:tcPr>
            <w:tcW w:w="1440" w:type="dxa"/>
          </w:tcPr>
          <w:p w:rsidR="00BD4BC9" w:rsidRPr="005D6C64" w:rsidRDefault="00BD4BC9" w:rsidP="00452B43">
            <w:pPr>
              <w:jc w:val="center"/>
            </w:pPr>
            <w:r w:rsidRPr="005D6C64">
              <w:rPr>
                <w:sz w:val="22"/>
                <w:szCs w:val="22"/>
              </w:rPr>
              <w:t>500</w:t>
            </w:r>
          </w:p>
        </w:tc>
        <w:tc>
          <w:tcPr>
            <w:tcW w:w="1260" w:type="dxa"/>
          </w:tcPr>
          <w:p w:rsidR="00BD4BC9" w:rsidRPr="005D6C64" w:rsidRDefault="00BD4BC9" w:rsidP="00452B43">
            <w:pPr>
              <w:jc w:val="center"/>
            </w:pPr>
            <w:r w:rsidRPr="005D6C64">
              <w:rPr>
                <w:sz w:val="22"/>
                <w:szCs w:val="22"/>
              </w:rPr>
              <w:t>500</w:t>
            </w:r>
          </w:p>
        </w:tc>
        <w:tc>
          <w:tcPr>
            <w:tcW w:w="1170" w:type="dxa"/>
          </w:tcPr>
          <w:p w:rsidR="00BD4BC9" w:rsidRPr="005D6C64" w:rsidRDefault="00BD4BC9" w:rsidP="00452B43">
            <w:pPr>
              <w:jc w:val="center"/>
            </w:pPr>
            <w:r w:rsidRPr="005D6C64">
              <w:rPr>
                <w:sz w:val="22"/>
                <w:szCs w:val="22"/>
              </w:rPr>
              <w:t>500</w:t>
            </w:r>
          </w:p>
        </w:tc>
        <w:tc>
          <w:tcPr>
            <w:tcW w:w="1440" w:type="dxa"/>
          </w:tcPr>
          <w:p w:rsidR="00BD4BC9" w:rsidRPr="005D6C64" w:rsidRDefault="00BD4BC9" w:rsidP="00452B43">
            <w:pPr>
              <w:jc w:val="center"/>
            </w:pPr>
            <w:r w:rsidRPr="005D6C64">
              <w:rPr>
                <w:sz w:val="22"/>
                <w:szCs w:val="22"/>
              </w:rPr>
              <w:t>500</w:t>
            </w:r>
          </w:p>
        </w:tc>
        <w:tc>
          <w:tcPr>
            <w:tcW w:w="990" w:type="dxa"/>
          </w:tcPr>
          <w:p w:rsidR="00BD4BC9" w:rsidRPr="005D6C64" w:rsidRDefault="00BD4BC9" w:rsidP="00452B43">
            <w:pPr>
              <w:jc w:val="center"/>
            </w:pPr>
            <w:r w:rsidRPr="005D6C64">
              <w:rPr>
                <w:sz w:val="22"/>
                <w:szCs w:val="22"/>
              </w:rPr>
              <w:t>2,000</w:t>
            </w:r>
          </w:p>
        </w:tc>
      </w:tr>
      <w:tr w:rsidR="00BD4BC9" w:rsidRPr="00FE0013" w:rsidTr="005D6C64">
        <w:tc>
          <w:tcPr>
            <w:tcW w:w="3078" w:type="dxa"/>
          </w:tcPr>
          <w:p w:rsidR="00BD4BC9" w:rsidRPr="005D6C64" w:rsidRDefault="00BD4BC9" w:rsidP="00452B43">
            <w:pPr>
              <w:rPr>
                <w:b/>
              </w:rPr>
            </w:pPr>
            <w:r w:rsidRPr="005D6C64">
              <w:rPr>
                <w:b/>
                <w:sz w:val="22"/>
                <w:szCs w:val="22"/>
              </w:rPr>
              <w:t xml:space="preserve">Total </w:t>
            </w:r>
          </w:p>
        </w:tc>
        <w:tc>
          <w:tcPr>
            <w:tcW w:w="1440" w:type="dxa"/>
          </w:tcPr>
          <w:p w:rsidR="00BD4BC9" w:rsidRPr="005D6C64" w:rsidRDefault="00BD4BC9" w:rsidP="00BD4BC9">
            <w:pPr>
              <w:jc w:val="center"/>
              <w:rPr>
                <w:b/>
              </w:rPr>
            </w:pPr>
            <w:r w:rsidRPr="005D6C64">
              <w:rPr>
                <w:b/>
                <w:sz w:val="22"/>
                <w:szCs w:val="22"/>
              </w:rPr>
              <w:t>3,</w:t>
            </w:r>
            <w:r>
              <w:rPr>
                <w:b/>
                <w:sz w:val="22"/>
                <w:szCs w:val="22"/>
              </w:rPr>
              <w:t>5</w:t>
            </w:r>
            <w:r w:rsidRPr="005D6C64">
              <w:rPr>
                <w:b/>
                <w:sz w:val="22"/>
                <w:szCs w:val="22"/>
              </w:rPr>
              <w:t>00</w:t>
            </w:r>
          </w:p>
        </w:tc>
        <w:tc>
          <w:tcPr>
            <w:tcW w:w="1260" w:type="dxa"/>
          </w:tcPr>
          <w:p w:rsidR="00BD4BC9" w:rsidRPr="005D6C64" w:rsidRDefault="00BD4BC9" w:rsidP="00BD4BC9">
            <w:pPr>
              <w:jc w:val="center"/>
              <w:rPr>
                <w:b/>
              </w:rPr>
            </w:pPr>
            <w:r w:rsidRPr="005D6C64">
              <w:rPr>
                <w:b/>
                <w:sz w:val="22"/>
                <w:szCs w:val="22"/>
              </w:rPr>
              <w:t>3,</w:t>
            </w:r>
            <w:r>
              <w:rPr>
                <w:b/>
                <w:sz w:val="22"/>
                <w:szCs w:val="22"/>
              </w:rPr>
              <w:t>5</w:t>
            </w:r>
            <w:r w:rsidRPr="005D6C64">
              <w:rPr>
                <w:b/>
                <w:sz w:val="22"/>
                <w:szCs w:val="22"/>
              </w:rPr>
              <w:t>00</w:t>
            </w:r>
          </w:p>
        </w:tc>
        <w:tc>
          <w:tcPr>
            <w:tcW w:w="1170" w:type="dxa"/>
          </w:tcPr>
          <w:p w:rsidR="00BD4BC9" w:rsidRPr="005D6C64" w:rsidRDefault="00BD4BC9" w:rsidP="00BD4BC9">
            <w:pPr>
              <w:jc w:val="center"/>
              <w:rPr>
                <w:b/>
              </w:rPr>
            </w:pPr>
            <w:r w:rsidRPr="005D6C64">
              <w:rPr>
                <w:b/>
                <w:sz w:val="22"/>
                <w:szCs w:val="22"/>
              </w:rPr>
              <w:t>3,</w:t>
            </w:r>
            <w:r>
              <w:rPr>
                <w:b/>
                <w:sz w:val="22"/>
                <w:szCs w:val="22"/>
              </w:rPr>
              <w:t>5</w:t>
            </w:r>
            <w:r w:rsidRPr="005D6C64">
              <w:rPr>
                <w:b/>
                <w:sz w:val="22"/>
                <w:szCs w:val="22"/>
              </w:rPr>
              <w:t>00</w:t>
            </w:r>
          </w:p>
        </w:tc>
        <w:tc>
          <w:tcPr>
            <w:tcW w:w="1440" w:type="dxa"/>
          </w:tcPr>
          <w:p w:rsidR="00BD4BC9" w:rsidRPr="005D6C64" w:rsidRDefault="00BD4BC9" w:rsidP="00BD4BC9">
            <w:pPr>
              <w:jc w:val="center"/>
              <w:rPr>
                <w:b/>
              </w:rPr>
            </w:pPr>
            <w:r w:rsidRPr="005D6C64">
              <w:rPr>
                <w:b/>
                <w:sz w:val="22"/>
                <w:szCs w:val="22"/>
              </w:rPr>
              <w:t>3,</w:t>
            </w:r>
            <w:r>
              <w:rPr>
                <w:b/>
                <w:sz w:val="22"/>
                <w:szCs w:val="22"/>
              </w:rPr>
              <w:t>5</w:t>
            </w:r>
            <w:r w:rsidRPr="005D6C64">
              <w:rPr>
                <w:b/>
                <w:sz w:val="22"/>
                <w:szCs w:val="22"/>
              </w:rPr>
              <w:t>00</w:t>
            </w:r>
          </w:p>
        </w:tc>
        <w:tc>
          <w:tcPr>
            <w:tcW w:w="990" w:type="dxa"/>
          </w:tcPr>
          <w:p w:rsidR="00BD4BC9" w:rsidRPr="005D6C64" w:rsidRDefault="00BD4BC9" w:rsidP="00BD4BC9">
            <w:pPr>
              <w:jc w:val="center"/>
              <w:rPr>
                <w:b/>
              </w:rPr>
            </w:pPr>
            <w:r w:rsidRPr="005D6C64">
              <w:rPr>
                <w:b/>
                <w:sz w:val="22"/>
                <w:szCs w:val="22"/>
              </w:rPr>
              <w:t>1</w:t>
            </w:r>
            <w:r>
              <w:rPr>
                <w:b/>
                <w:sz w:val="22"/>
                <w:szCs w:val="22"/>
              </w:rPr>
              <w:t>4</w:t>
            </w:r>
            <w:r w:rsidRPr="005D6C64">
              <w:rPr>
                <w:b/>
                <w:sz w:val="22"/>
                <w:szCs w:val="22"/>
              </w:rPr>
              <w:t>,000</w:t>
            </w:r>
          </w:p>
        </w:tc>
      </w:tr>
    </w:tbl>
    <w:p w:rsidR="00390B5A" w:rsidRDefault="00390B5A" w:rsidP="00452B43"/>
    <w:p w:rsidR="00C65085" w:rsidRDefault="00C65085" w:rsidP="00452B43"/>
    <w:p w:rsidR="00C65085" w:rsidRDefault="00C65085" w:rsidP="00452B43"/>
    <w:tbl>
      <w:tblPr>
        <w:tblW w:w="0" w:type="auto"/>
        <w:tblInd w:w="885" w:type="dxa"/>
        <w:tblLook w:val="01E0"/>
      </w:tblPr>
      <w:tblGrid>
        <w:gridCol w:w="1591"/>
        <w:gridCol w:w="2858"/>
        <w:gridCol w:w="1515"/>
        <w:gridCol w:w="1645"/>
      </w:tblGrid>
      <w:tr w:rsidR="007C00BC" w:rsidRPr="003F0429" w:rsidTr="005D6C64">
        <w:trPr>
          <w:trHeight w:val="470"/>
        </w:trPr>
        <w:tc>
          <w:tcPr>
            <w:tcW w:w="1591" w:type="dxa"/>
            <w:tcBorders>
              <w:top w:val="single" w:sz="4" w:space="0" w:color="auto"/>
              <w:bottom w:val="single" w:sz="4" w:space="0" w:color="auto"/>
            </w:tcBorders>
            <w:vAlign w:val="center"/>
          </w:tcPr>
          <w:p w:rsidR="007C00BC" w:rsidRPr="003F0429" w:rsidRDefault="007C00BC" w:rsidP="00452B43">
            <w:pPr>
              <w:jc w:val="center"/>
            </w:pPr>
          </w:p>
        </w:tc>
        <w:tc>
          <w:tcPr>
            <w:tcW w:w="2858" w:type="dxa"/>
            <w:tcBorders>
              <w:top w:val="single" w:sz="4" w:space="0" w:color="auto"/>
              <w:bottom w:val="single" w:sz="4" w:space="0" w:color="auto"/>
            </w:tcBorders>
            <w:vAlign w:val="center"/>
          </w:tcPr>
          <w:p w:rsidR="007C00BC" w:rsidRPr="00FE0013" w:rsidRDefault="007C00BC" w:rsidP="00452B43">
            <w:pPr>
              <w:jc w:val="center"/>
              <w:rPr>
                <w:b/>
              </w:rPr>
            </w:pPr>
            <w:r w:rsidRPr="00FE0013">
              <w:rPr>
                <w:b/>
              </w:rPr>
              <w:t>Annual Sample</w:t>
            </w:r>
          </w:p>
        </w:tc>
        <w:tc>
          <w:tcPr>
            <w:tcW w:w="1515" w:type="dxa"/>
            <w:tcBorders>
              <w:top w:val="single" w:sz="4" w:space="0" w:color="auto"/>
              <w:bottom w:val="single" w:sz="4" w:space="0" w:color="auto"/>
            </w:tcBorders>
            <w:vAlign w:val="center"/>
          </w:tcPr>
          <w:p w:rsidR="007C00BC" w:rsidRPr="00FE0013" w:rsidRDefault="007C00BC" w:rsidP="00452B43">
            <w:pPr>
              <w:jc w:val="center"/>
              <w:rPr>
                <w:b/>
              </w:rPr>
            </w:pPr>
            <w:r w:rsidRPr="00FE0013">
              <w:rPr>
                <w:b/>
              </w:rPr>
              <w:t>Minutes</w:t>
            </w:r>
          </w:p>
        </w:tc>
        <w:tc>
          <w:tcPr>
            <w:tcW w:w="1645" w:type="dxa"/>
            <w:tcBorders>
              <w:top w:val="single" w:sz="4" w:space="0" w:color="auto"/>
              <w:bottom w:val="single" w:sz="4" w:space="0" w:color="auto"/>
            </w:tcBorders>
            <w:vAlign w:val="center"/>
          </w:tcPr>
          <w:p w:rsidR="007C00BC" w:rsidRPr="00FE0013" w:rsidRDefault="007C00BC" w:rsidP="00452B43">
            <w:pPr>
              <w:jc w:val="center"/>
              <w:rPr>
                <w:b/>
              </w:rPr>
            </w:pPr>
            <w:r>
              <w:rPr>
                <w:b/>
              </w:rPr>
              <w:t xml:space="preserve">Total </w:t>
            </w:r>
            <w:r w:rsidRPr="00FE0013">
              <w:rPr>
                <w:b/>
              </w:rPr>
              <w:t>Hours</w:t>
            </w:r>
          </w:p>
        </w:tc>
      </w:tr>
      <w:tr w:rsidR="007C00BC" w:rsidRPr="003F0429" w:rsidTr="005D6C64">
        <w:trPr>
          <w:trHeight w:val="575"/>
        </w:trPr>
        <w:tc>
          <w:tcPr>
            <w:tcW w:w="1591" w:type="dxa"/>
            <w:tcBorders>
              <w:top w:val="single" w:sz="4" w:space="0" w:color="auto"/>
              <w:bottom w:val="single" w:sz="4" w:space="0" w:color="auto"/>
            </w:tcBorders>
            <w:vAlign w:val="center"/>
          </w:tcPr>
          <w:p w:rsidR="007C00BC" w:rsidRPr="007C00BC" w:rsidRDefault="007C00BC" w:rsidP="00452B43">
            <w:r w:rsidRPr="007C00BC">
              <w:t>Total</w:t>
            </w:r>
          </w:p>
        </w:tc>
        <w:tc>
          <w:tcPr>
            <w:tcW w:w="2858" w:type="dxa"/>
            <w:tcBorders>
              <w:top w:val="single" w:sz="4" w:space="0" w:color="auto"/>
              <w:bottom w:val="single" w:sz="4" w:space="0" w:color="auto"/>
            </w:tcBorders>
            <w:vAlign w:val="center"/>
          </w:tcPr>
          <w:p w:rsidR="007C00BC" w:rsidRPr="007C00BC" w:rsidRDefault="00BD4BC9" w:rsidP="00BD4BC9">
            <w:pPr>
              <w:jc w:val="center"/>
            </w:pPr>
            <w:r>
              <w:t>14</w:t>
            </w:r>
            <w:r w:rsidR="007C00BC">
              <w:t>,0</w:t>
            </w:r>
            <w:r w:rsidR="007C00BC" w:rsidRPr="007C00BC">
              <w:t>00</w:t>
            </w:r>
          </w:p>
        </w:tc>
        <w:tc>
          <w:tcPr>
            <w:tcW w:w="1515" w:type="dxa"/>
            <w:tcBorders>
              <w:top w:val="single" w:sz="4" w:space="0" w:color="auto"/>
              <w:bottom w:val="single" w:sz="4" w:space="0" w:color="auto"/>
            </w:tcBorders>
            <w:vAlign w:val="center"/>
          </w:tcPr>
          <w:p w:rsidR="007C00BC" w:rsidRPr="007C00BC" w:rsidRDefault="007C00BC" w:rsidP="00452B43">
            <w:pPr>
              <w:jc w:val="center"/>
            </w:pPr>
            <w:r>
              <w:t>x 5</w:t>
            </w:r>
          </w:p>
        </w:tc>
        <w:tc>
          <w:tcPr>
            <w:tcW w:w="1645" w:type="dxa"/>
            <w:tcBorders>
              <w:top w:val="single" w:sz="4" w:space="0" w:color="auto"/>
              <w:bottom w:val="single" w:sz="4" w:space="0" w:color="auto"/>
            </w:tcBorders>
            <w:vAlign w:val="center"/>
          </w:tcPr>
          <w:p w:rsidR="007C00BC" w:rsidRPr="007C00BC" w:rsidRDefault="007C00BC" w:rsidP="00BD4BC9">
            <w:pPr>
              <w:jc w:val="center"/>
            </w:pPr>
            <w:r>
              <w:t>1,</w:t>
            </w:r>
            <w:r w:rsidR="00BD4BC9">
              <w:t>166.67</w:t>
            </w:r>
          </w:p>
        </w:tc>
      </w:tr>
    </w:tbl>
    <w:p w:rsidR="00631F4F" w:rsidRDefault="00631F4F" w:rsidP="00452B43"/>
    <w:p w:rsidR="00631F4F" w:rsidRDefault="00631F4F" w:rsidP="00452B43"/>
    <w:p w:rsidR="00631F4F" w:rsidRPr="00745C89" w:rsidRDefault="00631F4F" w:rsidP="00452B43">
      <w:pPr>
        <w:ind w:left="720" w:hanging="720"/>
        <w:rPr>
          <w:b/>
        </w:rPr>
      </w:pPr>
      <w:r w:rsidRPr="00745C89">
        <w:rPr>
          <w:b/>
        </w:rPr>
        <w:t>B.2.</w:t>
      </w:r>
      <w:r w:rsidRPr="00745C89">
        <w:rPr>
          <w:b/>
        </w:rPr>
        <w:tab/>
        <w:t>Describe the procedures for the collection of information.</w:t>
      </w:r>
    </w:p>
    <w:p w:rsidR="00985013" w:rsidRDefault="00985013" w:rsidP="00452B43"/>
    <w:p w:rsidR="00985013" w:rsidRPr="00B04CF2" w:rsidRDefault="00985013" w:rsidP="00452B43">
      <w:r w:rsidRPr="003F0429">
        <w:t xml:space="preserve">The </w:t>
      </w:r>
      <w:r>
        <w:t>intercept surveys</w:t>
      </w:r>
      <w:r w:rsidRPr="003F0429">
        <w:t xml:space="preserve"> will be used in a Non-Equivalent Groups Design (NEGD), which is frequently used by NHTSA evaluators to evaluate </w:t>
      </w:r>
      <w:r>
        <w:t>high visibility enforcement campaigns,</w:t>
      </w:r>
      <w:r w:rsidRPr="003F0429">
        <w:t xml:space="preserve"> such as </w:t>
      </w:r>
      <w:r>
        <w:t xml:space="preserve">the </w:t>
      </w:r>
      <w:r w:rsidRPr="003F0429">
        <w:t>Click It or Ticket</w:t>
      </w:r>
      <w:r>
        <w:t xml:space="preserve"> seat belt campaign,</w:t>
      </w:r>
      <w:r w:rsidRPr="003F0429">
        <w:t xml:space="preserve"> </w:t>
      </w:r>
      <w:r>
        <w:t xml:space="preserve">the </w:t>
      </w:r>
      <w:r w:rsidRPr="003F0429">
        <w:t>Over the Limit Under Arrest</w:t>
      </w:r>
      <w:r>
        <w:t xml:space="preserve"> </w:t>
      </w:r>
      <w:r w:rsidR="007A135D">
        <w:t xml:space="preserve">and Drive Sober or Get Pulled Over </w:t>
      </w:r>
      <w:r>
        <w:t>impaired driving campaign</w:t>
      </w:r>
      <w:r w:rsidR="007A135D">
        <w:t>s</w:t>
      </w:r>
      <w:r>
        <w:t>, and the Phone In One Hand, Ticket In the Other distracted driving campaign</w:t>
      </w:r>
      <w:r w:rsidRPr="003F0429">
        <w:t xml:space="preserve">.  The design is structured like a pretest-posttest randomized experiment, but lacks random assignment.  The </w:t>
      </w:r>
      <w:r>
        <w:t>intercept interviews</w:t>
      </w:r>
      <w:r w:rsidRPr="003F0429">
        <w:t xml:space="preserve"> will examine the changes that occur as a result of specific </w:t>
      </w:r>
      <w:r>
        <w:t>impaired riding</w:t>
      </w:r>
      <w:r w:rsidRPr="003F0429">
        <w:t xml:space="preserve"> interventions.  The </w:t>
      </w:r>
      <w:r>
        <w:t>interviews</w:t>
      </w:r>
      <w:r w:rsidRPr="003F0429">
        <w:t xml:space="preserve"> will be conducted on a schedule corresponding with the </w:t>
      </w:r>
      <w:r w:rsidRPr="00B04CF2">
        <w:t xml:space="preserve">fixed dates for the impaired riding mobilizations that will depend on the timing and sequencing of the components of each demonstration project.  </w:t>
      </w:r>
    </w:p>
    <w:p w:rsidR="00985013" w:rsidRPr="00B04CF2" w:rsidRDefault="00985013" w:rsidP="00452B43"/>
    <w:p w:rsidR="00B04CF2" w:rsidRPr="00B04CF2" w:rsidRDefault="00B04CF2" w:rsidP="00B04CF2">
      <w:r w:rsidRPr="00B04CF2">
        <w:t xml:space="preserve">Large numbers of motorcycle riders can attend rallies and other motorcycle events, and it is therefore possible that intervention activities in a location may occur in conjunction with one of these events. For example, signs publicizing impaired riding enforcement may be placed along routes that event attendees may travel to arrive at the event, and increased enforcement of impaired driving may occur on routes leading to the event and in the community surrounding the event during the week in which the event is held. Although NHTSA desires to use a pre-post interview design in all sites, this design may not be possible in locations where intervention activity occurs in conjunction with special events such as motorcycle rallies. Riders may travel long distances to attend these events, and thus it may not be feasible to conduct baseline interviews with these riders prior to the intervention because it would not be possible to locate these riders prior to their travel to the event. </w:t>
      </w:r>
    </w:p>
    <w:p w:rsidR="00B04CF2" w:rsidRPr="00B04CF2" w:rsidRDefault="00B04CF2" w:rsidP="00B04CF2"/>
    <w:p w:rsidR="00B04CF2" w:rsidRDefault="00B04CF2" w:rsidP="00B04CF2">
      <w:r w:rsidRPr="00B04CF2">
        <w:t xml:space="preserve">If intervention activity in a program location occurs in conjunction with a special event for which it would not be possible to collect pre-event interview measures, interviews would follow a test-comparison design instead of a pre-post design. Interviews would be conducted in the program location during the intervention period, and would be compared to interviews conducted in an appropriate comparison location that did not experience an intervention during a comparable special event. </w:t>
      </w:r>
      <w:r w:rsidR="00E873F7">
        <w:t xml:space="preserve">The types of sites where riders </w:t>
      </w:r>
      <w:r w:rsidR="005D7AC2">
        <w:t>are</w:t>
      </w:r>
      <w:r w:rsidR="00E873F7">
        <w:t xml:space="preserve"> interviewed </w:t>
      </w:r>
      <w:r w:rsidR="005D7AC2">
        <w:t xml:space="preserve">and the number of riders interviewed at each site type would be matched between the program and comparison location. </w:t>
      </w:r>
      <w:r w:rsidRPr="00B04CF2">
        <w:t>In these cases, we will not be measuring the change in behavior, awareness, and perception before and after the event, but rather will be comparing a snapshot of riders at a location that did experience an intervention to a snapshot of riders at a location that did not.</w:t>
      </w:r>
    </w:p>
    <w:p w:rsidR="00B04CF2" w:rsidRDefault="00B04CF2" w:rsidP="00452B43"/>
    <w:p w:rsidR="00C65085" w:rsidRDefault="00985013" w:rsidP="00452B43">
      <w:r>
        <w:t xml:space="preserve">Pre- and post- intervention responses from the program and </w:t>
      </w:r>
      <w:r w:rsidR="000F4F08">
        <w:t>comparison</w:t>
      </w:r>
      <w:r>
        <w:t xml:space="preserve"> </w:t>
      </w:r>
      <w:r w:rsidR="001A3F1A">
        <w:t>locations</w:t>
      </w:r>
      <w:r>
        <w:t xml:space="preserve"> will be compared using Chi Square to determine if there are any significant differences that can be attributed to the impaired riding demonstration program activities.</w:t>
      </w:r>
      <w:r w:rsidR="0029109E">
        <w:t xml:space="preserve"> For interventions </w:t>
      </w:r>
      <w:r w:rsidR="001B286D">
        <w:t xml:space="preserve">that occur during a special event and </w:t>
      </w:r>
      <w:r w:rsidR="0029109E">
        <w:t>where a pretest-posttest design would not be possibl</w:t>
      </w:r>
      <w:r w:rsidR="001B286D">
        <w:t>e, responses from the program location during the intervention will be compared to responses from a comparison location that did not experience an intervention collected during a similar special</w:t>
      </w:r>
      <w:r w:rsidR="001B286D" w:rsidRPr="007F2FBD">
        <w:t xml:space="preserve"> event.</w:t>
      </w:r>
    </w:p>
    <w:p w:rsidR="00C65085" w:rsidRDefault="00C65085" w:rsidP="00452B43"/>
    <w:p w:rsidR="00B21409" w:rsidRDefault="0029109E" w:rsidP="00452B43">
      <w:r w:rsidRPr="007F2FBD">
        <w:t xml:space="preserve">A sample </w:t>
      </w:r>
      <w:r w:rsidR="001A3F1A" w:rsidRPr="007F2FBD">
        <w:t xml:space="preserve">of </w:t>
      </w:r>
      <w:r w:rsidRPr="007F2FBD">
        <w:t>N</w:t>
      </w:r>
      <w:r w:rsidR="001A3F1A" w:rsidRPr="007F2FBD">
        <w:t xml:space="preserve"> </w:t>
      </w:r>
      <w:r w:rsidRPr="007F2FBD">
        <w:t xml:space="preserve">= 500 motorcycle riders will be recruited from </w:t>
      </w:r>
      <w:r w:rsidR="001A3F1A" w:rsidRPr="007F2FBD">
        <w:t xml:space="preserve">each program and </w:t>
      </w:r>
      <w:r w:rsidR="000F4F08">
        <w:t>comparison</w:t>
      </w:r>
      <w:r w:rsidR="001A3F1A" w:rsidRPr="007F2FBD">
        <w:t xml:space="preserve"> location</w:t>
      </w:r>
      <w:r w:rsidRPr="007F2FBD">
        <w:t xml:space="preserve"> for each interview administration. </w:t>
      </w:r>
      <w:r w:rsidR="007F2FBD" w:rsidRPr="007F2FBD">
        <w:t>Previous NHTSA</w:t>
      </w:r>
      <w:r w:rsidR="00B21409">
        <w:t xml:space="preserve"> research indicates that this sample size has sufficient power to detect pre-post changes in </w:t>
      </w:r>
      <w:r w:rsidR="00EB7959">
        <w:t xml:space="preserve">intervention </w:t>
      </w:r>
      <w:r w:rsidR="00B21409">
        <w:t>awareness surveys.</w:t>
      </w:r>
    </w:p>
    <w:p w:rsidR="00452B43" w:rsidRDefault="00452B43" w:rsidP="00452B43">
      <w:pPr>
        <w:autoSpaceDE w:val="0"/>
        <w:autoSpaceDN w:val="0"/>
        <w:adjustRightInd w:val="0"/>
      </w:pPr>
    </w:p>
    <w:p w:rsidR="0029109E" w:rsidRDefault="0029109E" w:rsidP="00452B43">
      <w:pPr>
        <w:autoSpaceDE w:val="0"/>
        <w:autoSpaceDN w:val="0"/>
        <w:adjustRightInd w:val="0"/>
      </w:pPr>
      <w:r w:rsidRPr="003F0429">
        <w:t xml:space="preserve">The data collectors will employ a multi- step process to survey </w:t>
      </w:r>
      <w:r w:rsidR="009745AA">
        <w:t>riders</w:t>
      </w:r>
      <w:r w:rsidRPr="003F0429">
        <w:t xml:space="preserve">: (1) interception, (2) </w:t>
      </w:r>
      <w:r w:rsidR="001B286D">
        <w:t xml:space="preserve">recruitment, </w:t>
      </w:r>
      <w:r w:rsidR="001B286D" w:rsidRPr="003F0429">
        <w:t xml:space="preserve">(3) </w:t>
      </w:r>
      <w:r w:rsidRPr="003F0429">
        <w:t xml:space="preserve">determining eligibility, </w:t>
      </w:r>
      <w:r w:rsidR="006F71EA">
        <w:t xml:space="preserve">and </w:t>
      </w:r>
      <w:r w:rsidRPr="003F0429">
        <w:t xml:space="preserve">(4) completion </w:t>
      </w:r>
      <w:r w:rsidR="009745AA">
        <w:t>of interview</w:t>
      </w:r>
      <w:r w:rsidR="006F71EA">
        <w:t>.</w:t>
      </w:r>
      <w:r w:rsidRPr="003F0429">
        <w:t xml:space="preserve"> </w:t>
      </w:r>
    </w:p>
    <w:p w:rsidR="00452B43" w:rsidRPr="003F0429" w:rsidRDefault="00452B43" w:rsidP="00452B43">
      <w:pPr>
        <w:autoSpaceDE w:val="0"/>
        <w:autoSpaceDN w:val="0"/>
        <w:adjustRightInd w:val="0"/>
      </w:pPr>
    </w:p>
    <w:p w:rsidR="0029109E" w:rsidRDefault="0029109E" w:rsidP="00452B43">
      <w:pPr>
        <w:autoSpaceDE w:val="0"/>
        <w:autoSpaceDN w:val="0"/>
        <w:adjustRightInd w:val="0"/>
      </w:pPr>
      <w:r w:rsidRPr="003F0429">
        <w:t xml:space="preserve">Data collectors stationed at each </w:t>
      </w:r>
      <w:r w:rsidR="009745AA">
        <w:t>selected site</w:t>
      </w:r>
      <w:r w:rsidRPr="003F0429">
        <w:t xml:space="preserve"> will be responsible for approaching and holding the initial contact with potential participants.  Initially, interviewers will intercept every </w:t>
      </w:r>
      <w:r w:rsidR="009745AA">
        <w:t>3rd</w:t>
      </w:r>
      <w:r w:rsidRPr="003F0429">
        <w:t xml:space="preserve"> person</w:t>
      </w:r>
      <w:r w:rsidR="009745AA">
        <w:t xml:space="preserve"> passing the position where the interviewer is stationed (e.g., individuals leaving a bar</w:t>
      </w:r>
      <w:r w:rsidR="00BD10A5">
        <w:t xml:space="preserve"> or motorcycle event</w:t>
      </w:r>
      <w:r w:rsidR="009745AA">
        <w:t>)</w:t>
      </w:r>
      <w:r w:rsidRPr="003F0429">
        <w:t xml:space="preserve">, with the goal of obtaining 10 completed </w:t>
      </w:r>
      <w:r w:rsidR="009745AA">
        <w:t>interviews</w:t>
      </w:r>
      <w:r w:rsidRPr="003F0429">
        <w:t xml:space="preserve"> per hour.  However, this protocol may be revised based upon the actual sampling conditions at each </w:t>
      </w:r>
      <w:r w:rsidR="009745AA">
        <w:t>site</w:t>
      </w:r>
      <w:r w:rsidRPr="003F0429">
        <w:t>.</w:t>
      </w:r>
    </w:p>
    <w:p w:rsidR="00452B43" w:rsidRPr="003F0429" w:rsidRDefault="00452B43" w:rsidP="00452B43">
      <w:pPr>
        <w:autoSpaceDE w:val="0"/>
        <w:autoSpaceDN w:val="0"/>
        <w:adjustRightInd w:val="0"/>
      </w:pPr>
    </w:p>
    <w:p w:rsidR="007A135D" w:rsidRDefault="0029109E" w:rsidP="00452B43">
      <w:pPr>
        <w:autoSpaceDE w:val="0"/>
        <w:autoSpaceDN w:val="0"/>
        <w:adjustRightInd w:val="0"/>
      </w:pPr>
      <w:r w:rsidRPr="003F0429">
        <w:t>Upon approaching a potential participant, the screening interviewer will introduce him or herself</w:t>
      </w:r>
      <w:r w:rsidR="00065E52">
        <w:t xml:space="preserve"> and provide </w:t>
      </w:r>
      <w:r w:rsidR="00065E52" w:rsidRPr="003F0429">
        <w:t>a brief explanation of the study</w:t>
      </w:r>
      <w:r>
        <w:t xml:space="preserve">.  </w:t>
      </w:r>
      <w:r w:rsidRPr="003F0429">
        <w:t>Following the initial interception the interviewer will administer a s</w:t>
      </w:r>
      <w:r w:rsidR="009B5AFD">
        <w:t>et of</w:t>
      </w:r>
      <w:r w:rsidR="00827299">
        <w:t xml:space="preserve"> </w:t>
      </w:r>
      <w:r w:rsidR="007A135D">
        <w:t xml:space="preserve">one or two screening </w:t>
      </w:r>
      <w:r w:rsidR="009B5AFD">
        <w:t xml:space="preserve">questions </w:t>
      </w:r>
      <w:r>
        <w:t xml:space="preserve">(see </w:t>
      </w:r>
      <w:r w:rsidR="004864F7">
        <w:t>Attachment</w:t>
      </w:r>
      <w:r>
        <w:t xml:space="preserve"> </w:t>
      </w:r>
      <w:r w:rsidR="009B5AFD">
        <w:t>C</w:t>
      </w:r>
      <w:r w:rsidR="002A02D6">
        <w:t>—Survey</w:t>
      </w:r>
      <w:r>
        <w:t>)</w:t>
      </w:r>
      <w:r w:rsidRPr="003F0429">
        <w:t>.  The objectives of th</w:t>
      </w:r>
      <w:r w:rsidR="007A135D">
        <w:t>ese screening questions</w:t>
      </w:r>
      <w:r w:rsidRPr="003F0429">
        <w:t xml:space="preserve"> are to determine eligibility. </w:t>
      </w:r>
      <w:r>
        <w:t xml:space="preserve"> </w:t>
      </w:r>
      <w:r w:rsidRPr="003F0429">
        <w:t xml:space="preserve">Each question will be read to the participant and the interviewer will record the participant’s responses on the questionnaire form. </w:t>
      </w:r>
      <w:r>
        <w:t xml:space="preserve"> </w:t>
      </w:r>
      <w:r w:rsidRPr="003F0429">
        <w:t xml:space="preserve">A </w:t>
      </w:r>
      <w:r w:rsidR="0028163E">
        <w:t>rider</w:t>
      </w:r>
      <w:r w:rsidRPr="003F0429">
        <w:t xml:space="preserve"> will be eligible to complete the </w:t>
      </w:r>
      <w:r w:rsidR="00BD10A5">
        <w:t>interview</w:t>
      </w:r>
      <w:r w:rsidR="00BD10A5" w:rsidRPr="003F0429">
        <w:t xml:space="preserve"> </w:t>
      </w:r>
      <w:r w:rsidRPr="003F0429">
        <w:t xml:space="preserve">if (1) </w:t>
      </w:r>
      <w:r w:rsidR="0028163E">
        <w:t xml:space="preserve">they </w:t>
      </w:r>
      <w:r w:rsidR="003610C5">
        <w:t xml:space="preserve">have </w:t>
      </w:r>
      <w:r w:rsidR="007A135D">
        <w:t xml:space="preserve">operated </w:t>
      </w:r>
      <w:r w:rsidR="009745AA">
        <w:t xml:space="preserve">a motorcycle </w:t>
      </w:r>
      <w:r w:rsidR="007A135D">
        <w:t xml:space="preserve">on the road </w:t>
      </w:r>
      <w:r w:rsidR="009745AA">
        <w:t xml:space="preserve">in the </w:t>
      </w:r>
      <w:r w:rsidR="009745AA" w:rsidRPr="009B5AFD">
        <w:t xml:space="preserve">past </w:t>
      </w:r>
      <w:r w:rsidR="007A135D">
        <w:t>30 days</w:t>
      </w:r>
      <w:r w:rsidRPr="009B5AFD">
        <w:t xml:space="preserve">, </w:t>
      </w:r>
      <w:r w:rsidR="00877351">
        <w:t>and (2)</w:t>
      </w:r>
      <w:r w:rsidRPr="003F0429">
        <w:t xml:space="preserve"> there are no language barriers. </w:t>
      </w:r>
      <w:r w:rsidR="0028163E">
        <w:t>For locations in which interventions occur in conjunction with a</w:t>
      </w:r>
      <w:r w:rsidR="007A135D">
        <w:t xml:space="preserve"> special</w:t>
      </w:r>
      <w:r w:rsidR="0028163E">
        <w:t xml:space="preserve"> event, a rider must also have attended the event to be eligible.</w:t>
      </w:r>
      <w:r w:rsidR="007A135D">
        <w:t xml:space="preserve"> </w:t>
      </w:r>
    </w:p>
    <w:p w:rsidR="007A135D" w:rsidRDefault="007A135D" w:rsidP="00452B43">
      <w:pPr>
        <w:autoSpaceDE w:val="0"/>
        <w:autoSpaceDN w:val="0"/>
        <w:adjustRightInd w:val="0"/>
      </w:pPr>
    </w:p>
    <w:p w:rsidR="0029109E" w:rsidRPr="003F0429" w:rsidRDefault="007A135D" w:rsidP="00452B43">
      <w:pPr>
        <w:autoSpaceDE w:val="0"/>
        <w:autoSpaceDN w:val="0"/>
        <w:adjustRightInd w:val="0"/>
      </w:pPr>
      <w:r>
        <w:t xml:space="preserve">Thus, one screening question (“Have you operated a motorcycle on the road in the past 30 days?”) will be administered to riders in program locations in which the intervention does not occur in conjunction with a special event, and in corresponding comparison locations. Two screening questions (“Have you operated a motorcycle on the road in the past 30 days?” and “Are you attending [name of event]?”) will be administered to riders interviewed in locations in which the impaired riding intervention occurs in conjunction with a special event, and in corresponding comparison locations. </w:t>
      </w:r>
    </w:p>
    <w:p w:rsidR="001B286D" w:rsidRDefault="001B286D" w:rsidP="00452B43">
      <w:pPr>
        <w:autoSpaceDE w:val="0"/>
        <w:autoSpaceDN w:val="0"/>
        <w:adjustRightInd w:val="0"/>
      </w:pPr>
    </w:p>
    <w:p w:rsidR="0029109E" w:rsidRDefault="0029109E" w:rsidP="00452B43">
      <w:pPr>
        <w:autoSpaceDE w:val="0"/>
        <w:autoSpaceDN w:val="0"/>
        <w:adjustRightInd w:val="0"/>
      </w:pPr>
      <w:r w:rsidRPr="003F0429">
        <w:t xml:space="preserve">Regardless of the eligibility determination, a “disposition” code will be entered onto each form to indicate the results of the screening. </w:t>
      </w:r>
      <w:r>
        <w:t xml:space="preserve"> </w:t>
      </w:r>
      <w:r w:rsidRPr="003F0429">
        <w:t>Examples of disposition codes are:</w:t>
      </w:r>
    </w:p>
    <w:p w:rsidR="00452B43" w:rsidRPr="003F0429" w:rsidRDefault="00452B43" w:rsidP="00452B43">
      <w:pPr>
        <w:autoSpaceDE w:val="0"/>
        <w:autoSpaceDN w:val="0"/>
        <w:adjustRightInd w:val="0"/>
      </w:pPr>
    </w:p>
    <w:p w:rsidR="0029109E" w:rsidRPr="003F0429" w:rsidRDefault="0029109E" w:rsidP="00452B43">
      <w:pPr>
        <w:numPr>
          <w:ilvl w:val="0"/>
          <w:numId w:val="7"/>
        </w:numPr>
        <w:autoSpaceDE w:val="0"/>
        <w:autoSpaceDN w:val="0"/>
        <w:adjustRightInd w:val="0"/>
      </w:pPr>
      <w:r w:rsidRPr="003F0429">
        <w:t xml:space="preserve">Ineligible Due to </w:t>
      </w:r>
      <w:r w:rsidR="00FB5BAF">
        <w:t>Interview</w:t>
      </w:r>
      <w:r w:rsidRPr="003F0429">
        <w:t xml:space="preserve"> Responses</w:t>
      </w:r>
    </w:p>
    <w:p w:rsidR="0029109E" w:rsidRPr="003F0429" w:rsidRDefault="0029109E" w:rsidP="00452B43">
      <w:pPr>
        <w:numPr>
          <w:ilvl w:val="0"/>
          <w:numId w:val="7"/>
        </w:numPr>
        <w:autoSpaceDE w:val="0"/>
        <w:autoSpaceDN w:val="0"/>
        <w:adjustRightInd w:val="0"/>
      </w:pPr>
      <w:r w:rsidRPr="003F0429">
        <w:t xml:space="preserve">Eligible Due to </w:t>
      </w:r>
      <w:r w:rsidR="00FB5BAF">
        <w:t>Interview</w:t>
      </w:r>
      <w:r w:rsidRPr="003F0429">
        <w:t xml:space="preserve"> Responses</w:t>
      </w:r>
    </w:p>
    <w:p w:rsidR="0029109E" w:rsidRPr="003F0429" w:rsidRDefault="0029109E" w:rsidP="00452B43">
      <w:pPr>
        <w:numPr>
          <w:ilvl w:val="0"/>
          <w:numId w:val="7"/>
        </w:numPr>
        <w:autoSpaceDE w:val="0"/>
        <w:autoSpaceDN w:val="0"/>
        <w:adjustRightInd w:val="0"/>
      </w:pPr>
      <w:r w:rsidRPr="003F0429">
        <w:t>Refused</w:t>
      </w:r>
    </w:p>
    <w:p w:rsidR="0029109E" w:rsidRPr="003F0429" w:rsidRDefault="0029109E" w:rsidP="00452B43">
      <w:pPr>
        <w:numPr>
          <w:ilvl w:val="0"/>
          <w:numId w:val="7"/>
        </w:numPr>
        <w:autoSpaceDE w:val="0"/>
        <w:autoSpaceDN w:val="0"/>
        <w:adjustRightInd w:val="0"/>
      </w:pPr>
      <w:r w:rsidRPr="003F0429">
        <w:t>Ineligible Due to Language Barrier</w:t>
      </w:r>
    </w:p>
    <w:p w:rsidR="0029109E" w:rsidRDefault="0029109E" w:rsidP="00452B43">
      <w:pPr>
        <w:numPr>
          <w:ilvl w:val="0"/>
          <w:numId w:val="7"/>
        </w:numPr>
        <w:autoSpaceDE w:val="0"/>
        <w:autoSpaceDN w:val="0"/>
        <w:adjustRightInd w:val="0"/>
      </w:pPr>
      <w:r w:rsidRPr="003F0429">
        <w:t>Ineligible Due to Other (specify other)</w:t>
      </w:r>
    </w:p>
    <w:p w:rsidR="00827299" w:rsidRPr="003F0429" w:rsidRDefault="00827299" w:rsidP="00452B43">
      <w:pPr>
        <w:autoSpaceDE w:val="0"/>
        <w:autoSpaceDN w:val="0"/>
        <w:adjustRightInd w:val="0"/>
        <w:ind w:left="1080"/>
      </w:pPr>
    </w:p>
    <w:p w:rsidR="00827299" w:rsidRDefault="0029109E" w:rsidP="00452B43">
      <w:pPr>
        <w:autoSpaceDE w:val="0"/>
        <w:autoSpaceDN w:val="0"/>
        <w:adjustRightInd w:val="0"/>
      </w:pPr>
      <w:r w:rsidRPr="003F0429">
        <w:t xml:space="preserve">Once the eligibility of the </w:t>
      </w:r>
      <w:r w:rsidR="009745AA">
        <w:t>rider</w:t>
      </w:r>
      <w:r w:rsidRPr="003F0429">
        <w:t xml:space="preserve"> has been determined, the </w:t>
      </w:r>
      <w:r w:rsidR="00827299">
        <w:t>data collector</w:t>
      </w:r>
      <w:r w:rsidRPr="003F0429">
        <w:t xml:space="preserve"> will </w:t>
      </w:r>
      <w:r w:rsidR="00827299">
        <w:t>administer the remainder of the interview to eligible participants, or thank the respondent and end the interview with ineligible participants.</w:t>
      </w:r>
      <w:r w:rsidR="003610C5">
        <w:t xml:space="preserve"> The remainder of the interview will follow</w:t>
      </w:r>
      <w:r w:rsidR="003610C5" w:rsidRPr="003F0429">
        <w:t xml:space="preserve"> a pre-determined script</w:t>
      </w:r>
      <w:r w:rsidR="003610C5">
        <w:t xml:space="preserve"> (provided in Attachment C--Survey).</w:t>
      </w:r>
    </w:p>
    <w:p w:rsidR="00452B43" w:rsidRDefault="00452B43" w:rsidP="00452B43">
      <w:pPr>
        <w:autoSpaceDE w:val="0"/>
        <w:autoSpaceDN w:val="0"/>
        <w:adjustRightInd w:val="0"/>
      </w:pPr>
    </w:p>
    <w:p w:rsidR="00631F4F" w:rsidRDefault="00631F4F" w:rsidP="00452B43">
      <w:pPr>
        <w:rPr>
          <w:b/>
        </w:rPr>
      </w:pPr>
      <w:proofErr w:type="gramStart"/>
      <w:r w:rsidRPr="00ED071F">
        <w:rPr>
          <w:b/>
        </w:rPr>
        <w:t>B.3.</w:t>
      </w:r>
      <w:r w:rsidRPr="00ED071F">
        <w:rPr>
          <w:b/>
        </w:rPr>
        <w:tab/>
        <w:t>Describe methods to maximize response rates.</w:t>
      </w:r>
      <w:proofErr w:type="gramEnd"/>
    </w:p>
    <w:p w:rsidR="00631F4F" w:rsidRPr="009E288A" w:rsidRDefault="00631F4F" w:rsidP="00452B43">
      <w:pPr>
        <w:ind w:left="720" w:hanging="720"/>
      </w:pPr>
    </w:p>
    <w:p w:rsidR="009E288A" w:rsidRDefault="007A135D" w:rsidP="00452B43">
      <w:r>
        <w:t xml:space="preserve">PIRE will hire interviewers </w:t>
      </w:r>
      <w:r w:rsidR="009E288A">
        <w:t>who are also motorcycle riders, and who will wear motorcycle gear when conducting interviews.</w:t>
      </w:r>
      <w:r w:rsidR="004162D9">
        <w:t xml:space="preserve"> This should maximize response rates by making potential respondents comfortable with the interviewer</w:t>
      </w:r>
      <w:r w:rsidR="00864DD9">
        <w:t>s</w:t>
      </w:r>
      <w:r w:rsidR="004162D9">
        <w:t xml:space="preserve">. We also plan to give riders a small monetary incentive </w:t>
      </w:r>
      <w:r w:rsidR="00565A45">
        <w:t xml:space="preserve">or a gift card </w:t>
      </w:r>
      <w:r w:rsidR="00B5584E">
        <w:t>worth approximately $10</w:t>
      </w:r>
      <w:r w:rsidR="00565A45">
        <w:t xml:space="preserve"> </w:t>
      </w:r>
      <w:r w:rsidR="004162D9">
        <w:t>for their participation.</w:t>
      </w:r>
      <w:r w:rsidR="00565A45">
        <w:t xml:space="preserve"> Other in-person intercept interview studies have offer</w:t>
      </w:r>
      <w:r w:rsidR="00A278EB">
        <w:t xml:space="preserve">ed similar incentives </w:t>
      </w:r>
      <w:r w:rsidR="00565A45">
        <w:t>for participation</w:t>
      </w:r>
      <w:r w:rsidR="000E0D52">
        <w:t xml:space="preserve"> to maximize response rates</w:t>
      </w:r>
      <w:r w:rsidR="00F679B6">
        <w:fldChar w:fldCharType="begin"/>
      </w:r>
      <w:r w:rsidR="00BD10A5">
        <w:instrText xml:space="preserve"> NOTEREF _Ref291681209 \f \h </w:instrText>
      </w:r>
      <w:r w:rsidR="00F679B6">
        <w:fldChar w:fldCharType="separate"/>
      </w:r>
      <w:r w:rsidR="003B51EB" w:rsidRPr="003B51EB">
        <w:rPr>
          <w:rStyle w:val="FootnoteReference"/>
        </w:rPr>
        <w:t>4</w:t>
      </w:r>
      <w:r w:rsidR="00F679B6">
        <w:fldChar w:fldCharType="end"/>
      </w:r>
      <w:proofErr w:type="gramStart"/>
      <w:r w:rsidR="00E82BC5" w:rsidRPr="00E82BC5">
        <w:rPr>
          <w:vertAlign w:val="superscript"/>
        </w:rPr>
        <w:t>,</w:t>
      </w:r>
      <w:r w:rsidR="00F679B6">
        <w:fldChar w:fldCharType="begin"/>
      </w:r>
      <w:r w:rsidR="00BD10A5">
        <w:instrText xml:space="preserve"> NOTEREF _Ref291674312 \f \h </w:instrText>
      </w:r>
      <w:r w:rsidR="00F679B6">
        <w:fldChar w:fldCharType="separate"/>
      </w:r>
      <w:r w:rsidR="003B51EB" w:rsidRPr="003B51EB">
        <w:rPr>
          <w:rStyle w:val="FootnoteReference"/>
        </w:rPr>
        <w:t>5</w:t>
      </w:r>
      <w:r w:rsidR="00F679B6">
        <w:fldChar w:fldCharType="end"/>
      </w:r>
      <w:r w:rsidR="00565A45">
        <w:t>.</w:t>
      </w:r>
      <w:proofErr w:type="gramEnd"/>
    </w:p>
    <w:p w:rsidR="00A90B61" w:rsidRDefault="00A90B61" w:rsidP="00452B43"/>
    <w:p w:rsidR="00A90B61" w:rsidRDefault="00A90B61" w:rsidP="00452B43">
      <w:pPr>
        <w:rPr>
          <w:rFonts w:eastAsia="Calibri"/>
          <w:color w:val="000000"/>
        </w:rPr>
      </w:pPr>
      <w:r w:rsidRPr="00B71722">
        <w:rPr>
          <w:rFonts w:eastAsia="Calibri"/>
          <w:color w:val="000000"/>
        </w:rPr>
        <w:t xml:space="preserve">NHTSA does not intend to assess non-response bias in </w:t>
      </w:r>
      <w:r>
        <w:rPr>
          <w:rFonts w:eastAsia="Calibri"/>
          <w:color w:val="000000"/>
        </w:rPr>
        <w:t>this evaluation project</w:t>
      </w:r>
      <w:r w:rsidRPr="00B71722">
        <w:rPr>
          <w:rFonts w:eastAsia="Calibri"/>
          <w:color w:val="000000"/>
        </w:rPr>
        <w:t xml:space="preserve">.  Generally, only a small proportion of non-respondents are willing to participate in a non-response follow up interview.  </w:t>
      </w:r>
      <w:r>
        <w:rPr>
          <w:rFonts w:eastAsia="Calibri"/>
          <w:color w:val="000000"/>
        </w:rPr>
        <w:t xml:space="preserve">We will track the number of refusals in each site and the rider’s approximate age and gender by observation. </w:t>
      </w:r>
      <w:r w:rsidR="00E437CE">
        <w:rPr>
          <w:rFonts w:eastAsia="Calibri"/>
          <w:color w:val="000000"/>
        </w:rPr>
        <w:t>As noted in section B.1., response rates in past similar</w:t>
      </w:r>
      <w:r w:rsidR="00990C59">
        <w:rPr>
          <w:rFonts w:eastAsia="Calibri"/>
          <w:color w:val="000000"/>
        </w:rPr>
        <w:t xml:space="preserve"> intercept interview studies with motorcycle riders and of drinking and drug use behavior have been above 80%. </w:t>
      </w:r>
    </w:p>
    <w:p w:rsidR="00631F4F" w:rsidRDefault="00631F4F" w:rsidP="00452B43">
      <w:pPr>
        <w:rPr>
          <w:b/>
        </w:rPr>
      </w:pPr>
    </w:p>
    <w:p w:rsidR="00631F4F" w:rsidRDefault="00631F4F" w:rsidP="00452B43">
      <w:pPr>
        <w:ind w:left="720" w:hanging="720"/>
        <w:rPr>
          <w:b/>
        </w:rPr>
      </w:pPr>
      <w:r w:rsidRPr="00DC07C8">
        <w:rPr>
          <w:b/>
        </w:rPr>
        <w:t>B.4.</w:t>
      </w:r>
      <w:r w:rsidRPr="00DC07C8">
        <w:rPr>
          <w:b/>
        </w:rPr>
        <w:tab/>
        <w:t>Describe any tests of procedure or methods to be undertaken.</w:t>
      </w:r>
    </w:p>
    <w:p w:rsidR="00631F4F" w:rsidRDefault="00631F4F" w:rsidP="00452B43">
      <w:pPr>
        <w:rPr>
          <w:b/>
        </w:rPr>
      </w:pPr>
    </w:p>
    <w:p w:rsidR="003335AA" w:rsidRPr="003335AA" w:rsidRDefault="003335AA" w:rsidP="00452B43">
      <w:r w:rsidRPr="003335AA">
        <w:t xml:space="preserve">NHTSA will conduct a pretest of the interview methodology </w:t>
      </w:r>
      <w:r>
        <w:t xml:space="preserve">and questions with </w:t>
      </w:r>
      <w:r w:rsidR="00452B43">
        <w:t>a small number of</w:t>
      </w:r>
      <w:r>
        <w:t xml:space="preserve"> motorcycle riders. </w:t>
      </w:r>
      <w:r w:rsidRPr="003F0429">
        <w:t xml:space="preserve">Any problems encountered during the pretests of the </w:t>
      </w:r>
      <w:r>
        <w:t>interviews</w:t>
      </w:r>
      <w:r w:rsidRPr="003F0429">
        <w:t xml:space="preserve"> will be resolved before </w:t>
      </w:r>
      <w:r>
        <w:t>they</w:t>
      </w:r>
      <w:r w:rsidRPr="003F0429">
        <w:t xml:space="preserve"> are put into the field.  </w:t>
      </w:r>
    </w:p>
    <w:p w:rsidR="00631F4F" w:rsidRPr="00DC07C8" w:rsidRDefault="00631F4F" w:rsidP="00452B43">
      <w:pPr>
        <w:rPr>
          <w:b/>
        </w:rPr>
      </w:pPr>
    </w:p>
    <w:p w:rsidR="00631F4F" w:rsidRPr="00DC07C8" w:rsidRDefault="00631F4F" w:rsidP="00452B43">
      <w:pPr>
        <w:ind w:left="720" w:hanging="720"/>
        <w:rPr>
          <w:b/>
        </w:rPr>
      </w:pPr>
      <w:r w:rsidRPr="00DC07C8">
        <w:rPr>
          <w:b/>
        </w:rPr>
        <w:t>B.5</w:t>
      </w:r>
      <w:r w:rsidRPr="00DC07C8">
        <w:rPr>
          <w:b/>
        </w:rPr>
        <w:tab/>
        <w:t xml:space="preserve">Provide the names and telephone numbers of individuals consulted on statistical aspects of the design. </w:t>
      </w:r>
    </w:p>
    <w:p w:rsidR="00631F4F" w:rsidRDefault="00631F4F" w:rsidP="00452B43">
      <w:pPr>
        <w:spacing w:line="276" w:lineRule="auto"/>
        <w:jc w:val="both"/>
      </w:pPr>
    </w:p>
    <w:p w:rsidR="00631F4F" w:rsidRDefault="00631F4F" w:rsidP="00452B43">
      <w:pPr>
        <w:spacing w:line="276" w:lineRule="auto"/>
        <w:jc w:val="both"/>
      </w:pPr>
      <w:r>
        <w:t>Jessica Cicchino, Ph.D.</w:t>
      </w:r>
    </w:p>
    <w:p w:rsidR="00631F4F" w:rsidRDefault="00631F4F" w:rsidP="00452B43">
      <w:pPr>
        <w:spacing w:line="276" w:lineRule="auto"/>
        <w:jc w:val="both"/>
      </w:pPr>
      <w:r>
        <w:t>Research Psychologist</w:t>
      </w:r>
    </w:p>
    <w:p w:rsidR="00631F4F" w:rsidRDefault="00631F4F" w:rsidP="00452B43">
      <w:pPr>
        <w:spacing w:line="276" w:lineRule="auto"/>
        <w:jc w:val="both"/>
      </w:pPr>
      <w:r>
        <w:t>National Highway Traffic Safety Administration</w:t>
      </w:r>
    </w:p>
    <w:p w:rsidR="00631F4F" w:rsidRDefault="00631F4F" w:rsidP="00452B43">
      <w:pPr>
        <w:spacing w:line="276" w:lineRule="auto"/>
        <w:jc w:val="both"/>
      </w:pPr>
      <w:r>
        <w:t>1200 New Jersey Ave SE, W46-491</w:t>
      </w:r>
    </w:p>
    <w:p w:rsidR="00631F4F" w:rsidRDefault="00631F4F" w:rsidP="00452B43">
      <w:pPr>
        <w:spacing w:line="276" w:lineRule="auto"/>
        <w:jc w:val="both"/>
      </w:pPr>
      <w:r>
        <w:t>Washington, DC 20590</w:t>
      </w:r>
    </w:p>
    <w:p w:rsidR="00631F4F" w:rsidRDefault="00631F4F" w:rsidP="00452B43">
      <w:pPr>
        <w:spacing w:line="276" w:lineRule="auto"/>
        <w:jc w:val="both"/>
      </w:pPr>
      <w:r>
        <w:t>(202) 366-2752</w:t>
      </w:r>
    </w:p>
    <w:p w:rsidR="00631F4F" w:rsidRDefault="00F679B6" w:rsidP="00452B43">
      <w:pPr>
        <w:spacing w:line="276" w:lineRule="auto"/>
        <w:jc w:val="both"/>
      </w:pPr>
      <w:hyperlink r:id="rId9" w:history="1">
        <w:r w:rsidR="00631F4F" w:rsidRPr="00286F41">
          <w:rPr>
            <w:rStyle w:val="Hyperlink"/>
          </w:rPr>
          <w:t>jessica.cicchino@dot.gov</w:t>
        </w:r>
      </w:hyperlink>
    </w:p>
    <w:p w:rsidR="003018B6" w:rsidRDefault="003018B6" w:rsidP="00452B43">
      <w:pPr>
        <w:spacing w:line="276" w:lineRule="auto"/>
        <w:jc w:val="both"/>
      </w:pPr>
    </w:p>
    <w:p w:rsidR="00872B9A" w:rsidRDefault="00872B9A" w:rsidP="00452B43">
      <w:pPr>
        <w:spacing w:line="276" w:lineRule="auto"/>
        <w:jc w:val="both"/>
      </w:pPr>
      <w:r>
        <w:t>Alan Block, M. A.</w:t>
      </w:r>
    </w:p>
    <w:p w:rsidR="00872B9A" w:rsidRDefault="00872B9A" w:rsidP="00452B43">
      <w:pPr>
        <w:spacing w:line="276" w:lineRule="auto"/>
        <w:jc w:val="both"/>
      </w:pPr>
      <w:r>
        <w:t>Research Psychologist</w:t>
      </w:r>
    </w:p>
    <w:p w:rsidR="00872B9A" w:rsidRDefault="00872B9A" w:rsidP="00452B43">
      <w:pPr>
        <w:spacing w:line="276" w:lineRule="auto"/>
        <w:jc w:val="both"/>
      </w:pPr>
      <w:r>
        <w:t>National Highway Traffic Safety Administration</w:t>
      </w:r>
    </w:p>
    <w:p w:rsidR="00872B9A" w:rsidRDefault="00872B9A" w:rsidP="00452B43">
      <w:pPr>
        <w:spacing w:line="276" w:lineRule="auto"/>
        <w:jc w:val="both"/>
      </w:pPr>
      <w:r>
        <w:t>1200 New Jersey Ave SE, W46-499</w:t>
      </w:r>
    </w:p>
    <w:p w:rsidR="00872B9A" w:rsidRDefault="00872B9A" w:rsidP="00452B43">
      <w:pPr>
        <w:spacing w:line="276" w:lineRule="auto"/>
        <w:jc w:val="both"/>
      </w:pPr>
      <w:r>
        <w:t>Washington, DC 20590</w:t>
      </w:r>
    </w:p>
    <w:p w:rsidR="00872B9A" w:rsidRDefault="00872B9A" w:rsidP="00452B43">
      <w:pPr>
        <w:spacing w:line="276" w:lineRule="auto"/>
        <w:jc w:val="both"/>
      </w:pPr>
      <w:r>
        <w:t>(202) 366-6401</w:t>
      </w:r>
    </w:p>
    <w:p w:rsidR="00872B9A" w:rsidRDefault="00F679B6" w:rsidP="00452B43">
      <w:pPr>
        <w:spacing w:line="276" w:lineRule="auto"/>
        <w:jc w:val="both"/>
      </w:pPr>
      <w:hyperlink r:id="rId10" w:history="1">
        <w:r w:rsidR="00872B9A" w:rsidRPr="003D30F7">
          <w:rPr>
            <w:rStyle w:val="Hyperlink"/>
          </w:rPr>
          <w:t>alan.block@dot.gov</w:t>
        </w:r>
      </w:hyperlink>
    </w:p>
    <w:p w:rsidR="00872B9A" w:rsidRDefault="00872B9A" w:rsidP="00452B43">
      <w:pPr>
        <w:spacing w:line="276" w:lineRule="auto"/>
        <w:jc w:val="both"/>
      </w:pPr>
    </w:p>
    <w:p w:rsidR="00872B9A" w:rsidRDefault="00872B9A" w:rsidP="00452B43">
      <w:pPr>
        <w:spacing w:line="276" w:lineRule="auto"/>
        <w:jc w:val="both"/>
      </w:pPr>
      <w:r>
        <w:t>Maria Vegega, Ph.D.</w:t>
      </w:r>
    </w:p>
    <w:p w:rsidR="00872B9A" w:rsidRDefault="00872B9A" w:rsidP="00452B43">
      <w:pPr>
        <w:spacing w:line="276" w:lineRule="auto"/>
        <w:jc w:val="both"/>
      </w:pPr>
      <w:r>
        <w:t xml:space="preserve">Chief, </w:t>
      </w:r>
      <w:r w:rsidR="00065E52">
        <w:t>Occupant Protection</w:t>
      </w:r>
      <w:r>
        <w:t xml:space="preserve"> Division</w:t>
      </w:r>
      <w:r w:rsidR="00065E52">
        <w:t xml:space="preserve"> (former Chief, Behavioral Research Division)</w:t>
      </w:r>
    </w:p>
    <w:p w:rsidR="00872B9A" w:rsidRDefault="00872B9A" w:rsidP="00452B43">
      <w:pPr>
        <w:spacing w:line="276" w:lineRule="auto"/>
        <w:jc w:val="both"/>
      </w:pPr>
      <w:r>
        <w:t>National Highway Traffic Safety Administration</w:t>
      </w:r>
    </w:p>
    <w:p w:rsidR="00872B9A" w:rsidRDefault="00872B9A" w:rsidP="00452B43">
      <w:pPr>
        <w:spacing w:line="276" w:lineRule="auto"/>
        <w:jc w:val="both"/>
      </w:pPr>
      <w:r>
        <w:t>1200 New Jersey Ave SE, W44-302</w:t>
      </w:r>
    </w:p>
    <w:p w:rsidR="00872B9A" w:rsidRDefault="00872B9A" w:rsidP="00452B43">
      <w:pPr>
        <w:spacing w:line="276" w:lineRule="auto"/>
        <w:jc w:val="both"/>
      </w:pPr>
      <w:r>
        <w:t>Washington, DC 20590</w:t>
      </w:r>
    </w:p>
    <w:p w:rsidR="00872B9A" w:rsidRDefault="00872B9A" w:rsidP="00452B43">
      <w:pPr>
        <w:spacing w:line="276" w:lineRule="auto"/>
        <w:jc w:val="both"/>
      </w:pPr>
      <w:r>
        <w:t>(202) 366-2668</w:t>
      </w:r>
    </w:p>
    <w:p w:rsidR="00872B9A" w:rsidRDefault="00F679B6" w:rsidP="00452B43">
      <w:pPr>
        <w:spacing w:line="276" w:lineRule="auto"/>
        <w:jc w:val="both"/>
      </w:pPr>
      <w:hyperlink r:id="rId11" w:history="1">
        <w:r w:rsidR="00452B43" w:rsidRPr="00DC37FB">
          <w:rPr>
            <w:rStyle w:val="Hyperlink"/>
          </w:rPr>
          <w:t>maria.vegega@dot.gov</w:t>
        </w:r>
      </w:hyperlink>
    </w:p>
    <w:p w:rsidR="009478BA" w:rsidRDefault="009478BA" w:rsidP="00452B43">
      <w:pPr>
        <w:spacing w:line="276" w:lineRule="auto"/>
        <w:jc w:val="both"/>
      </w:pPr>
    </w:p>
    <w:p w:rsidR="009478BA" w:rsidRDefault="009478BA" w:rsidP="00452B43">
      <w:pPr>
        <w:spacing w:line="276" w:lineRule="auto"/>
        <w:jc w:val="both"/>
      </w:pPr>
      <w:r>
        <w:t>John Lacey, MPH</w:t>
      </w:r>
    </w:p>
    <w:p w:rsidR="009478BA" w:rsidRDefault="009478BA" w:rsidP="00452B43">
      <w:pPr>
        <w:spacing w:line="276" w:lineRule="auto"/>
        <w:jc w:val="both"/>
      </w:pPr>
      <w:r>
        <w:t>Center Director, Alcohol, Policy, and Safety Research Center</w:t>
      </w:r>
    </w:p>
    <w:p w:rsidR="009478BA" w:rsidRDefault="009478BA" w:rsidP="00452B43">
      <w:pPr>
        <w:spacing w:line="276" w:lineRule="auto"/>
        <w:jc w:val="both"/>
      </w:pPr>
      <w:r>
        <w:t>Pacific Institute for Research and Evaluation</w:t>
      </w:r>
    </w:p>
    <w:p w:rsidR="009478BA" w:rsidRDefault="009478BA" w:rsidP="00452B43">
      <w:pPr>
        <w:spacing w:line="276" w:lineRule="auto"/>
        <w:jc w:val="both"/>
      </w:pPr>
      <w:r>
        <w:t>11720 Beltsville Drive, Suite 900</w:t>
      </w:r>
    </w:p>
    <w:p w:rsidR="009478BA" w:rsidRDefault="009478BA" w:rsidP="00452B43">
      <w:pPr>
        <w:spacing w:line="276" w:lineRule="auto"/>
        <w:jc w:val="both"/>
      </w:pPr>
      <w:r>
        <w:t>Calverton, MD 20705</w:t>
      </w:r>
    </w:p>
    <w:p w:rsidR="009478BA" w:rsidRDefault="009478BA" w:rsidP="00452B43">
      <w:pPr>
        <w:spacing w:line="276" w:lineRule="auto"/>
        <w:jc w:val="both"/>
      </w:pPr>
      <w:r>
        <w:t>(301) 755-2779</w:t>
      </w:r>
    </w:p>
    <w:p w:rsidR="005F2A0C" w:rsidRDefault="00F679B6" w:rsidP="00452B43">
      <w:pPr>
        <w:spacing w:line="276" w:lineRule="auto"/>
        <w:jc w:val="both"/>
      </w:pPr>
      <w:hyperlink r:id="rId12" w:history="1">
        <w:r w:rsidR="005F2A0C" w:rsidRPr="004D35A3">
          <w:rPr>
            <w:rStyle w:val="Hyperlink"/>
          </w:rPr>
          <w:t>lacey@pire.org</w:t>
        </w:r>
      </w:hyperlink>
    </w:p>
    <w:p w:rsidR="00877351" w:rsidRDefault="00877351" w:rsidP="00452B43">
      <w:pPr>
        <w:spacing w:line="276" w:lineRule="auto"/>
        <w:jc w:val="both"/>
      </w:pPr>
    </w:p>
    <w:p w:rsidR="00877351" w:rsidRDefault="00877351" w:rsidP="00877351">
      <w:pPr>
        <w:spacing w:line="276" w:lineRule="auto"/>
        <w:jc w:val="both"/>
      </w:pPr>
      <w:r>
        <w:t>Richard Blomberg, M.S.</w:t>
      </w:r>
    </w:p>
    <w:p w:rsidR="00877351" w:rsidRDefault="00877351" w:rsidP="00877351">
      <w:pPr>
        <w:spacing w:line="276" w:lineRule="auto"/>
        <w:jc w:val="both"/>
      </w:pPr>
      <w:r>
        <w:t>President</w:t>
      </w:r>
    </w:p>
    <w:p w:rsidR="00877351" w:rsidRDefault="00877351" w:rsidP="00877351">
      <w:pPr>
        <w:spacing w:line="276" w:lineRule="auto"/>
        <w:jc w:val="both"/>
      </w:pPr>
      <w:r>
        <w:t>Dunlap and Associates, Inc. (subcontractor to Pacific Institute for Research and Evaluation)</w:t>
      </w:r>
    </w:p>
    <w:p w:rsidR="00877351" w:rsidRDefault="00877351" w:rsidP="00877351">
      <w:pPr>
        <w:spacing w:line="276" w:lineRule="auto"/>
        <w:jc w:val="both"/>
      </w:pPr>
      <w:r>
        <w:t>110 Lenox Avenue</w:t>
      </w:r>
    </w:p>
    <w:p w:rsidR="00877351" w:rsidRDefault="00877351" w:rsidP="00877351">
      <w:pPr>
        <w:spacing w:line="276" w:lineRule="auto"/>
        <w:jc w:val="both"/>
      </w:pPr>
      <w:r>
        <w:t>Stamford, CT 06906</w:t>
      </w:r>
    </w:p>
    <w:p w:rsidR="00877351" w:rsidRDefault="00877351" w:rsidP="00877351">
      <w:pPr>
        <w:spacing w:line="276" w:lineRule="auto"/>
        <w:jc w:val="both"/>
      </w:pPr>
      <w:r>
        <w:t>(203) 323-8464</w:t>
      </w:r>
    </w:p>
    <w:p w:rsidR="00877351" w:rsidRDefault="00F679B6" w:rsidP="00877351">
      <w:pPr>
        <w:spacing w:line="276" w:lineRule="auto"/>
        <w:jc w:val="both"/>
      </w:pPr>
      <w:hyperlink r:id="rId13" w:history="1">
        <w:r w:rsidR="00877351" w:rsidRPr="004D35A3">
          <w:rPr>
            <w:rStyle w:val="Hyperlink"/>
          </w:rPr>
          <w:t>rdblomberg@aol.com</w:t>
        </w:r>
      </w:hyperlink>
    </w:p>
    <w:p w:rsidR="00877351" w:rsidRDefault="00877351" w:rsidP="00452B43">
      <w:pPr>
        <w:spacing w:line="276" w:lineRule="auto"/>
        <w:jc w:val="both"/>
      </w:pPr>
    </w:p>
    <w:p w:rsidR="005F2A0C" w:rsidRDefault="005F2A0C" w:rsidP="00452B43">
      <w:pPr>
        <w:spacing w:line="276" w:lineRule="auto"/>
        <w:jc w:val="both"/>
      </w:pPr>
    </w:p>
    <w:p w:rsidR="009478BA" w:rsidRDefault="009478BA" w:rsidP="00452B43">
      <w:pPr>
        <w:spacing w:line="276" w:lineRule="auto"/>
        <w:jc w:val="both"/>
      </w:pPr>
    </w:p>
    <w:p w:rsidR="00872B9A" w:rsidRDefault="00872B9A" w:rsidP="00452B43">
      <w:pPr>
        <w:spacing w:line="276" w:lineRule="auto"/>
        <w:jc w:val="both"/>
      </w:pPr>
    </w:p>
    <w:sectPr w:rsidR="00872B9A" w:rsidSect="00631F4F">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C5" w:rsidRDefault="003610C5" w:rsidP="00631F4F">
      <w:r>
        <w:separator/>
      </w:r>
    </w:p>
  </w:endnote>
  <w:endnote w:type="continuationSeparator" w:id="0">
    <w:p w:rsidR="003610C5" w:rsidRDefault="003610C5" w:rsidP="00631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65347"/>
      <w:docPartObj>
        <w:docPartGallery w:val="Page Numbers (Bottom of Page)"/>
        <w:docPartUnique/>
      </w:docPartObj>
    </w:sdtPr>
    <w:sdtContent>
      <w:p w:rsidR="003610C5" w:rsidRDefault="003610C5">
        <w:pPr>
          <w:pStyle w:val="Footer"/>
          <w:jc w:val="center"/>
        </w:pPr>
        <w:fldSimple w:instr=" PAGE   \* MERGEFORMAT ">
          <w:r w:rsidR="00065E52">
            <w:rPr>
              <w:noProof/>
            </w:rPr>
            <w:t>i</w:t>
          </w:r>
        </w:fldSimple>
      </w:p>
    </w:sdtContent>
  </w:sdt>
  <w:p w:rsidR="003610C5" w:rsidRDefault="003610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65349"/>
      <w:docPartObj>
        <w:docPartGallery w:val="Page Numbers (Bottom of Page)"/>
        <w:docPartUnique/>
      </w:docPartObj>
    </w:sdtPr>
    <w:sdtContent>
      <w:p w:rsidR="003610C5" w:rsidRDefault="003610C5">
        <w:pPr>
          <w:pStyle w:val="Footer"/>
          <w:jc w:val="center"/>
        </w:pPr>
        <w:fldSimple w:instr=" PAGE   \* MERGEFORMAT ">
          <w:r w:rsidR="00065E52">
            <w:rPr>
              <w:noProof/>
            </w:rPr>
            <w:t>1</w:t>
          </w:r>
        </w:fldSimple>
      </w:p>
    </w:sdtContent>
  </w:sdt>
  <w:p w:rsidR="003610C5" w:rsidRDefault="00361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C5" w:rsidRDefault="003610C5" w:rsidP="00631F4F">
      <w:r>
        <w:separator/>
      </w:r>
    </w:p>
  </w:footnote>
  <w:footnote w:type="continuationSeparator" w:id="0">
    <w:p w:rsidR="003610C5" w:rsidRDefault="003610C5" w:rsidP="00631F4F">
      <w:r>
        <w:continuationSeparator/>
      </w:r>
    </w:p>
  </w:footnote>
  <w:footnote w:id="1">
    <w:p w:rsidR="003610C5" w:rsidRPr="00CC53B5" w:rsidRDefault="003610C5" w:rsidP="00CC53B5">
      <w:pPr>
        <w:pStyle w:val="NormalWeb"/>
        <w:shd w:val="clear" w:color="auto" w:fill="FFFFFF"/>
        <w:rPr>
          <w:color w:val="000000"/>
          <w:sz w:val="20"/>
          <w:szCs w:val="20"/>
        </w:rPr>
      </w:pPr>
      <w:r w:rsidRPr="0071597B">
        <w:rPr>
          <w:rStyle w:val="FootnoteReference"/>
          <w:sz w:val="20"/>
          <w:szCs w:val="20"/>
        </w:rPr>
        <w:footnoteRef/>
      </w:r>
      <w:r w:rsidRPr="0071597B">
        <w:rPr>
          <w:sz w:val="20"/>
          <w:szCs w:val="20"/>
        </w:rPr>
        <w:t xml:space="preserve"> </w:t>
      </w:r>
      <w:proofErr w:type="gramStart"/>
      <w:r w:rsidRPr="0071597B">
        <w:rPr>
          <w:color w:val="000000"/>
          <w:sz w:val="20"/>
          <w:szCs w:val="20"/>
        </w:rPr>
        <w:t>U.S. Department of Transportation, Federal Highway Administration, 2009 National Household Travel Survey.</w:t>
      </w:r>
      <w:proofErr w:type="gramEnd"/>
      <w:r w:rsidRPr="0071597B">
        <w:rPr>
          <w:color w:val="000000"/>
          <w:sz w:val="20"/>
          <w:szCs w:val="20"/>
        </w:rPr>
        <w:t xml:space="preserve"> URL: http://nhts.ornl.gov.</w:t>
      </w:r>
    </w:p>
    <w:p w:rsidR="003610C5" w:rsidRDefault="003610C5">
      <w:pPr>
        <w:pStyle w:val="FootnoteText"/>
      </w:pPr>
    </w:p>
  </w:footnote>
  <w:footnote w:id="2">
    <w:p w:rsidR="003610C5" w:rsidRDefault="003610C5">
      <w:pPr>
        <w:pStyle w:val="FootnoteText"/>
      </w:pPr>
      <w:r>
        <w:rPr>
          <w:rStyle w:val="FootnoteReference"/>
        </w:rPr>
        <w:footnoteRef/>
      </w:r>
      <w:r>
        <w:t xml:space="preserve"> </w:t>
      </w:r>
      <w:r w:rsidRPr="00C01F22">
        <w:t>Billheimer, J. W. (199</w:t>
      </w:r>
      <w:r>
        <w:t>6</w:t>
      </w:r>
      <w:r w:rsidRPr="00C01F22">
        <w:t xml:space="preserve">). </w:t>
      </w:r>
      <w:r>
        <w:t>California Motorcyclist Safety Program, Program Effectiveness: Accident Evaluation</w:t>
      </w:r>
      <w:r w:rsidRPr="00C01F22">
        <w:t xml:space="preserve">. </w:t>
      </w:r>
      <w:r>
        <w:t xml:space="preserve"> </w:t>
      </w:r>
      <w:proofErr w:type="gramStart"/>
      <w:r>
        <w:t>Final report to the California Highway Patrol.</w:t>
      </w:r>
      <w:proofErr w:type="gramEnd"/>
    </w:p>
  </w:footnote>
  <w:footnote w:id="3">
    <w:p w:rsidR="003610C5" w:rsidRDefault="003610C5" w:rsidP="006B6E67">
      <w:pPr>
        <w:pStyle w:val="FootnoteText"/>
      </w:pPr>
      <w:r>
        <w:rPr>
          <w:rStyle w:val="FootnoteReference"/>
        </w:rPr>
        <w:footnoteRef/>
      </w:r>
      <w:r>
        <w:t xml:space="preserve"> </w:t>
      </w:r>
      <w:proofErr w:type="gramStart"/>
      <w:r>
        <w:t xml:space="preserve">Foss, R. D., </w:t>
      </w:r>
      <w:proofErr w:type="spellStart"/>
      <w:r>
        <w:t>Marchetti</w:t>
      </w:r>
      <w:proofErr w:type="spellEnd"/>
      <w:r>
        <w:t>, L. J., &amp; Holladay, K. A. (2001).</w:t>
      </w:r>
      <w:proofErr w:type="gramEnd"/>
      <w:r>
        <w:t xml:space="preserve"> Development and Evaluation of A Comprehensive Program to Reduce Drinking and Impaired Driving Among College Students. </w:t>
      </w:r>
      <w:proofErr w:type="gramStart"/>
      <w:r>
        <w:t>Publication No.</w:t>
      </w:r>
      <w:proofErr w:type="gramEnd"/>
      <w:r>
        <w:t xml:space="preserve"> </w:t>
      </w:r>
      <w:proofErr w:type="gramStart"/>
      <w:r>
        <w:t>DOT HS 809 396.</w:t>
      </w:r>
      <w:proofErr w:type="gramEnd"/>
      <w:r>
        <w:t xml:space="preserve"> Washington, DC: National Highway Traffic Safety Administration.</w:t>
      </w:r>
    </w:p>
  </w:footnote>
  <w:footnote w:id="4">
    <w:p w:rsidR="003610C5" w:rsidRPr="00F55CAB" w:rsidRDefault="003610C5">
      <w:pPr>
        <w:pStyle w:val="FootnoteText"/>
      </w:pPr>
      <w:r>
        <w:rPr>
          <w:rStyle w:val="FootnoteReference"/>
        </w:rPr>
        <w:footnoteRef/>
      </w:r>
      <w:r>
        <w:t xml:space="preserve"> </w:t>
      </w:r>
      <w:proofErr w:type="gramStart"/>
      <w:r>
        <w:t xml:space="preserve">Clapp, J. D., Min, J. W., Shillington, A. M., Reed, M. B., &amp; </w:t>
      </w:r>
      <w:proofErr w:type="spellStart"/>
      <w:r>
        <w:t>Croff</w:t>
      </w:r>
      <w:proofErr w:type="spellEnd"/>
      <w:r>
        <w:t>, J. K. (2008).</w:t>
      </w:r>
      <w:proofErr w:type="gramEnd"/>
      <w:r>
        <w:t xml:space="preserve"> Person and environment predictors of blood alcohol concentrations: A multi-level study of college parties. </w:t>
      </w:r>
      <w:r>
        <w:rPr>
          <w:i/>
        </w:rPr>
        <w:t>Alcoholism: Clinical and Experimental Research, 32,</w:t>
      </w:r>
      <w:r>
        <w:t xml:space="preserve"> 100-107.</w:t>
      </w:r>
    </w:p>
  </w:footnote>
  <w:footnote w:id="5">
    <w:p w:rsidR="003610C5" w:rsidRPr="002457DE" w:rsidRDefault="003610C5" w:rsidP="006B6E67">
      <w:pPr>
        <w:pStyle w:val="FootnoteText"/>
      </w:pPr>
      <w:r>
        <w:rPr>
          <w:rStyle w:val="FootnoteReference"/>
        </w:rPr>
        <w:footnoteRef/>
      </w:r>
      <w:r>
        <w:t xml:space="preserve"> </w:t>
      </w:r>
      <w:proofErr w:type="spellStart"/>
      <w:proofErr w:type="gramStart"/>
      <w:r>
        <w:t>Voas</w:t>
      </w:r>
      <w:proofErr w:type="spellEnd"/>
      <w:r>
        <w:t xml:space="preserve">, R. B., </w:t>
      </w:r>
      <w:proofErr w:type="spellStart"/>
      <w:r>
        <w:t>Furr</w:t>
      </w:r>
      <w:proofErr w:type="spellEnd"/>
      <w:r>
        <w:t>-Holden, D., Lauer, E., Bright, K., Johnson, M. B., &amp; Miller, B. (2006).</w:t>
      </w:r>
      <w:proofErr w:type="gramEnd"/>
      <w:r>
        <w:t xml:space="preserve"> Portal surveys of time-out drinking locations: A tool for studying binge drinking and AOD use. </w:t>
      </w:r>
      <w:r>
        <w:rPr>
          <w:i/>
        </w:rPr>
        <w:t>Evaluation Review, 30,</w:t>
      </w:r>
      <w:r>
        <w:t xml:space="preserve"> 44-65.</w:t>
      </w:r>
    </w:p>
  </w:footnote>
  <w:footnote w:id="6">
    <w:p w:rsidR="003610C5" w:rsidRPr="00B71057" w:rsidRDefault="003610C5" w:rsidP="006B6E67">
      <w:pPr>
        <w:pStyle w:val="FootnoteText"/>
      </w:pPr>
      <w:r>
        <w:rPr>
          <w:rStyle w:val="FootnoteReference"/>
        </w:rPr>
        <w:footnoteRef/>
      </w:r>
      <w:r>
        <w:t xml:space="preserve"> </w:t>
      </w:r>
      <w:proofErr w:type="gramStart"/>
      <w:r>
        <w:t xml:space="preserve">Lange, J. E., Lauer, E., &amp; </w:t>
      </w:r>
      <w:proofErr w:type="spellStart"/>
      <w:r>
        <w:t>Voas</w:t>
      </w:r>
      <w:proofErr w:type="spellEnd"/>
      <w:r>
        <w:t>, R. B. (1999).</w:t>
      </w:r>
      <w:proofErr w:type="gramEnd"/>
      <w:r>
        <w:t xml:space="preserve"> A survey of the San Diego-Tijuana cross-border binging: Methods and analysis. </w:t>
      </w:r>
      <w:r>
        <w:rPr>
          <w:i/>
        </w:rPr>
        <w:t>Evaluation Review, 23,</w:t>
      </w:r>
      <w:r>
        <w:t xml:space="preserve"> 378-398.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2A31"/>
    <w:rsid w:val="00003D51"/>
    <w:rsid w:val="00011EB6"/>
    <w:rsid w:val="0001635B"/>
    <w:rsid w:val="00065E52"/>
    <w:rsid w:val="00077CB6"/>
    <w:rsid w:val="0008729A"/>
    <w:rsid w:val="00092CFB"/>
    <w:rsid w:val="000B2DE5"/>
    <w:rsid w:val="000D058E"/>
    <w:rsid w:val="000E0D52"/>
    <w:rsid w:val="000F4F08"/>
    <w:rsid w:val="00103120"/>
    <w:rsid w:val="0011592B"/>
    <w:rsid w:val="00123F4D"/>
    <w:rsid w:val="00135BE3"/>
    <w:rsid w:val="00152E79"/>
    <w:rsid w:val="0016072F"/>
    <w:rsid w:val="001A3F1A"/>
    <w:rsid w:val="001B0709"/>
    <w:rsid w:val="001B286D"/>
    <w:rsid w:val="001D5AF9"/>
    <w:rsid w:val="002007A6"/>
    <w:rsid w:val="00217153"/>
    <w:rsid w:val="00236CC5"/>
    <w:rsid w:val="002457DE"/>
    <w:rsid w:val="00247805"/>
    <w:rsid w:val="0028163E"/>
    <w:rsid w:val="0029109E"/>
    <w:rsid w:val="002A02D6"/>
    <w:rsid w:val="002A1E99"/>
    <w:rsid w:val="002B7D3F"/>
    <w:rsid w:val="002D1C74"/>
    <w:rsid w:val="002D1CBC"/>
    <w:rsid w:val="002D41FC"/>
    <w:rsid w:val="002E0346"/>
    <w:rsid w:val="002E0EA2"/>
    <w:rsid w:val="002E10D5"/>
    <w:rsid w:val="002F610F"/>
    <w:rsid w:val="00300543"/>
    <w:rsid w:val="003018B6"/>
    <w:rsid w:val="003046ED"/>
    <w:rsid w:val="003118A5"/>
    <w:rsid w:val="00320813"/>
    <w:rsid w:val="00327904"/>
    <w:rsid w:val="003335AA"/>
    <w:rsid w:val="003610C5"/>
    <w:rsid w:val="00375CF3"/>
    <w:rsid w:val="00390B5A"/>
    <w:rsid w:val="003A0E54"/>
    <w:rsid w:val="003A6058"/>
    <w:rsid w:val="003A665C"/>
    <w:rsid w:val="003B51EB"/>
    <w:rsid w:val="003E31FF"/>
    <w:rsid w:val="003F286A"/>
    <w:rsid w:val="00413C11"/>
    <w:rsid w:val="004162D9"/>
    <w:rsid w:val="004379EF"/>
    <w:rsid w:val="00444474"/>
    <w:rsid w:val="00452B43"/>
    <w:rsid w:val="00454B38"/>
    <w:rsid w:val="004550EA"/>
    <w:rsid w:val="0046796A"/>
    <w:rsid w:val="004745A0"/>
    <w:rsid w:val="004864F7"/>
    <w:rsid w:val="004922C1"/>
    <w:rsid w:val="004938F2"/>
    <w:rsid w:val="004E55BB"/>
    <w:rsid w:val="00510EAE"/>
    <w:rsid w:val="005259D2"/>
    <w:rsid w:val="00541719"/>
    <w:rsid w:val="00565A45"/>
    <w:rsid w:val="005751CA"/>
    <w:rsid w:val="0059362C"/>
    <w:rsid w:val="005967A3"/>
    <w:rsid w:val="005A4885"/>
    <w:rsid w:val="005B6A91"/>
    <w:rsid w:val="005D6C64"/>
    <w:rsid w:val="005D7AC2"/>
    <w:rsid w:val="005F2A0C"/>
    <w:rsid w:val="006315C3"/>
    <w:rsid w:val="00631F4F"/>
    <w:rsid w:val="0065594C"/>
    <w:rsid w:val="00674B72"/>
    <w:rsid w:val="00693237"/>
    <w:rsid w:val="006B0A91"/>
    <w:rsid w:val="006B6069"/>
    <w:rsid w:val="006B6E67"/>
    <w:rsid w:val="006F71EA"/>
    <w:rsid w:val="0071597B"/>
    <w:rsid w:val="0072283B"/>
    <w:rsid w:val="00736DB7"/>
    <w:rsid w:val="0073719D"/>
    <w:rsid w:val="00777C0E"/>
    <w:rsid w:val="007A135D"/>
    <w:rsid w:val="007B0E4C"/>
    <w:rsid w:val="007C00BC"/>
    <w:rsid w:val="007C15CA"/>
    <w:rsid w:val="007F2A31"/>
    <w:rsid w:val="007F2FBD"/>
    <w:rsid w:val="00814090"/>
    <w:rsid w:val="00821DEF"/>
    <w:rsid w:val="008252DF"/>
    <w:rsid w:val="00827299"/>
    <w:rsid w:val="00864DD9"/>
    <w:rsid w:val="00866D5B"/>
    <w:rsid w:val="00872975"/>
    <w:rsid w:val="00872B9A"/>
    <w:rsid w:val="00877351"/>
    <w:rsid w:val="00892D30"/>
    <w:rsid w:val="008934DB"/>
    <w:rsid w:val="008A2D37"/>
    <w:rsid w:val="008B33E2"/>
    <w:rsid w:val="008E786D"/>
    <w:rsid w:val="00907E3C"/>
    <w:rsid w:val="009160AF"/>
    <w:rsid w:val="00943E78"/>
    <w:rsid w:val="0094405F"/>
    <w:rsid w:val="00945A2D"/>
    <w:rsid w:val="009478BA"/>
    <w:rsid w:val="0095632D"/>
    <w:rsid w:val="00962574"/>
    <w:rsid w:val="009736B1"/>
    <w:rsid w:val="009745AA"/>
    <w:rsid w:val="00984666"/>
    <w:rsid w:val="00985013"/>
    <w:rsid w:val="00990C59"/>
    <w:rsid w:val="00990DD6"/>
    <w:rsid w:val="009A52C2"/>
    <w:rsid w:val="009B5AFD"/>
    <w:rsid w:val="009C31C7"/>
    <w:rsid w:val="009C3212"/>
    <w:rsid w:val="009C7863"/>
    <w:rsid w:val="009E1BB6"/>
    <w:rsid w:val="009E288A"/>
    <w:rsid w:val="009E59B8"/>
    <w:rsid w:val="00A07D6C"/>
    <w:rsid w:val="00A07F9D"/>
    <w:rsid w:val="00A10099"/>
    <w:rsid w:val="00A11518"/>
    <w:rsid w:val="00A121EA"/>
    <w:rsid w:val="00A23BE0"/>
    <w:rsid w:val="00A278EB"/>
    <w:rsid w:val="00A31803"/>
    <w:rsid w:val="00A75D56"/>
    <w:rsid w:val="00A7702E"/>
    <w:rsid w:val="00A90B61"/>
    <w:rsid w:val="00AA2FD1"/>
    <w:rsid w:val="00AB6F89"/>
    <w:rsid w:val="00AB7145"/>
    <w:rsid w:val="00AD62AC"/>
    <w:rsid w:val="00B04CF2"/>
    <w:rsid w:val="00B05DDE"/>
    <w:rsid w:val="00B117F0"/>
    <w:rsid w:val="00B13436"/>
    <w:rsid w:val="00B21409"/>
    <w:rsid w:val="00B43A82"/>
    <w:rsid w:val="00B5584E"/>
    <w:rsid w:val="00B576D1"/>
    <w:rsid w:val="00B6448A"/>
    <w:rsid w:val="00B64E05"/>
    <w:rsid w:val="00B71057"/>
    <w:rsid w:val="00B9129C"/>
    <w:rsid w:val="00BB5ECD"/>
    <w:rsid w:val="00BB7C91"/>
    <w:rsid w:val="00BD10A5"/>
    <w:rsid w:val="00BD4411"/>
    <w:rsid w:val="00BD4BC9"/>
    <w:rsid w:val="00BD55CA"/>
    <w:rsid w:val="00BE263F"/>
    <w:rsid w:val="00BF1C4F"/>
    <w:rsid w:val="00BF4470"/>
    <w:rsid w:val="00C030B8"/>
    <w:rsid w:val="00C14B37"/>
    <w:rsid w:val="00C332B6"/>
    <w:rsid w:val="00C35D3A"/>
    <w:rsid w:val="00C65085"/>
    <w:rsid w:val="00C653C1"/>
    <w:rsid w:val="00C70A7E"/>
    <w:rsid w:val="00C75932"/>
    <w:rsid w:val="00C84581"/>
    <w:rsid w:val="00CA6EC8"/>
    <w:rsid w:val="00CC058E"/>
    <w:rsid w:val="00CC4B32"/>
    <w:rsid w:val="00CC53B5"/>
    <w:rsid w:val="00CE37F8"/>
    <w:rsid w:val="00CE54BA"/>
    <w:rsid w:val="00CF1A44"/>
    <w:rsid w:val="00D25EBD"/>
    <w:rsid w:val="00D27860"/>
    <w:rsid w:val="00D40090"/>
    <w:rsid w:val="00D53B44"/>
    <w:rsid w:val="00D550E3"/>
    <w:rsid w:val="00D56027"/>
    <w:rsid w:val="00D771B6"/>
    <w:rsid w:val="00DD0A16"/>
    <w:rsid w:val="00DE51D0"/>
    <w:rsid w:val="00E03EE2"/>
    <w:rsid w:val="00E120B3"/>
    <w:rsid w:val="00E34B44"/>
    <w:rsid w:val="00E437CE"/>
    <w:rsid w:val="00E63B74"/>
    <w:rsid w:val="00E77D7F"/>
    <w:rsid w:val="00E82BC5"/>
    <w:rsid w:val="00E873F7"/>
    <w:rsid w:val="00E929B6"/>
    <w:rsid w:val="00EB7959"/>
    <w:rsid w:val="00F15F6A"/>
    <w:rsid w:val="00F40659"/>
    <w:rsid w:val="00F40FB1"/>
    <w:rsid w:val="00F47165"/>
    <w:rsid w:val="00F55CAB"/>
    <w:rsid w:val="00F55E54"/>
    <w:rsid w:val="00F66411"/>
    <w:rsid w:val="00F679B6"/>
    <w:rsid w:val="00F973E4"/>
    <w:rsid w:val="00FB5BAF"/>
    <w:rsid w:val="00FC6595"/>
    <w:rsid w:val="00FD0FFA"/>
    <w:rsid w:val="00FE1B9D"/>
    <w:rsid w:val="00FF7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iPriority w:val="99"/>
    <w:semiHidden/>
    <w:unhideWhenUsed/>
    <w:rsid w:val="00631F4F"/>
    <w:rPr>
      <w:sz w:val="20"/>
      <w:szCs w:val="20"/>
    </w:rPr>
  </w:style>
  <w:style w:type="character" w:customStyle="1" w:styleId="FootnoteTextChar">
    <w:name w:val="Footnote Text Char"/>
    <w:basedOn w:val="DefaultParagraphFont"/>
    <w:link w:val="FootnoteText"/>
    <w:uiPriority w:val="99"/>
    <w:semiHidden/>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b/>
      <w:bCs/>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dblomberg@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ey@pir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vegega@do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an.block@dot.gov" TargetMode="External"/><Relationship Id="rId4" Type="http://schemas.openxmlformats.org/officeDocument/2006/relationships/settings" Target="settings.xml"/><Relationship Id="rId9" Type="http://schemas.openxmlformats.org/officeDocument/2006/relationships/hyperlink" Target="mailto:jessica.cicchino@dot.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97672-8C95-4F3D-AC09-23E4CAFE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Jessica Cicchino</cp:lastModifiedBy>
  <cp:revision>5</cp:revision>
  <cp:lastPrinted>2011-08-30T20:03:00Z</cp:lastPrinted>
  <dcterms:created xsi:type="dcterms:W3CDTF">2011-09-26T20:44:00Z</dcterms:created>
  <dcterms:modified xsi:type="dcterms:W3CDTF">2011-09-28T20:39:00Z</dcterms:modified>
</cp:coreProperties>
</file>