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96C" w:rsidRDefault="00D3796C">
      <w:pPr>
        <w:pStyle w:val="Title"/>
      </w:pPr>
      <w:r>
        <w:t>SUPPORTING STATEMENT</w:t>
      </w:r>
    </w:p>
    <w:p w:rsidR="00D3796C" w:rsidRDefault="00D3796C">
      <w:pPr>
        <w:pStyle w:val="Heading1"/>
        <w:rPr>
          <w:b/>
          <w:bCs/>
        </w:rPr>
      </w:pPr>
      <w:r>
        <w:rPr>
          <w:b/>
          <w:bCs/>
        </w:rPr>
        <w:t>JUSTIFICATION</w:t>
      </w:r>
    </w:p>
    <w:p w:rsidR="00D3796C" w:rsidRDefault="00D3796C">
      <w:pPr>
        <w:rPr>
          <w:sz w:val="24"/>
        </w:rPr>
      </w:pPr>
    </w:p>
    <w:p w:rsidR="00D3796C" w:rsidRPr="00EF2C78" w:rsidRDefault="00D3796C">
      <w:pPr>
        <w:pStyle w:val="BodyText"/>
        <w:ind w:left="720"/>
      </w:pPr>
      <w:r>
        <w:t xml:space="preserve">Q1.  </w:t>
      </w:r>
      <w:r w:rsidR="009814BD" w:rsidRPr="009814BD">
        <w:t xml:space="preserve">Explain the circumstances that make the collection of information necessary.  Identify any legal or administrative requirements that necessitate the collection.  Attach a copy of the appropriate section of each statute and regulation mandating or authorizing </w:t>
      </w:r>
      <w:r w:rsidR="009814BD" w:rsidRPr="00EF2C78">
        <w:t>the collection of information.</w:t>
      </w:r>
    </w:p>
    <w:p w:rsidR="00D3796C" w:rsidRPr="00EF2C78" w:rsidRDefault="00D3796C">
      <w:pPr>
        <w:ind w:left="720"/>
        <w:rPr>
          <w:sz w:val="24"/>
        </w:rPr>
      </w:pPr>
    </w:p>
    <w:p w:rsidR="00EF2C78" w:rsidRPr="00EF2C78" w:rsidRDefault="00626548">
      <w:pPr>
        <w:pStyle w:val="BodyText2"/>
        <w:ind w:left="720"/>
      </w:pPr>
      <w:r w:rsidRPr="00EF2C78">
        <w:t xml:space="preserve">The </w:t>
      </w:r>
      <w:r w:rsidRPr="001D43AB">
        <w:t xml:space="preserve">U.S. Department of Education (ED) plans to </w:t>
      </w:r>
      <w:r w:rsidR="00EF2C78" w:rsidRPr="001D43AB">
        <w:t xml:space="preserve">offer each </w:t>
      </w:r>
      <w:r w:rsidRPr="001D43AB">
        <w:t xml:space="preserve">State educational </w:t>
      </w:r>
      <w:r w:rsidR="00EF2C78" w:rsidRPr="001D43AB">
        <w:t xml:space="preserve">agency </w:t>
      </w:r>
      <w:r w:rsidRPr="001D43AB">
        <w:t xml:space="preserve">(SEA) </w:t>
      </w:r>
      <w:r w:rsidR="00457838" w:rsidRPr="00457838">
        <w:t xml:space="preserve">the opportunity to request flexibility on behalf of itself, its local educational agencies (LEAs), and </w:t>
      </w:r>
      <w:r w:rsidR="005450ED">
        <w:t xml:space="preserve">its </w:t>
      </w:r>
      <w:r w:rsidR="00457838" w:rsidRPr="00457838">
        <w:t xml:space="preserve">schools, </w:t>
      </w:r>
      <w:r w:rsidR="002748ED">
        <w:t xml:space="preserve">in order </w:t>
      </w:r>
      <w:r w:rsidR="00457838" w:rsidRPr="00457838">
        <w:t>to</w:t>
      </w:r>
      <w:r w:rsidR="002748ED">
        <w:t xml:space="preserve"> better</w:t>
      </w:r>
      <w:r w:rsidR="00457838" w:rsidRPr="00457838">
        <w:t xml:space="preserve"> focus on improv</w:t>
      </w:r>
      <w:r w:rsidR="002748ED">
        <w:t>ing</w:t>
      </w:r>
      <w:r w:rsidR="00457838" w:rsidRPr="00457838">
        <w:t xml:space="preserve"> student learning and </w:t>
      </w:r>
      <w:r w:rsidR="002748ED">
        <w:t>increasing the quality of instruction</w:t>
      </w:r>
      <w:r w:rsidR="00457838" w:rsidRPr="00457838">
        <w:t xml:space="preserve">.  This voluntary </w:t>
      </w:r>
      <w:r w:rsidR="002748ED">
        <w:t>opportunity</w:t>
      </w:r>
      <w:r w:rsidR="00457838" w:rsidRPr="00457838">
        <w:t xml:space="preserve"> w</w:t>
      </w:r>
      <w:r w:rsidR="002748ED">
        <w:t>ill</w:t>
      </w:r>
      <w:r w:rsidR="00457838" w:rsidRPr="00457838">
        <w:t xml:space="preserve"> provide educators and State and local leaders with flexibility </w:t>
      </w:r>
      <w:r w:rsidR="002748ED">
        <w:t>regarding</w:t>
      </w:r>
      <w:r w:rsidR="00457838" w:rsidRPr="00457838">
        <w:t xml:space="preserve"> specific requirements of </w:t>
      </w:r>
      <w:r w:rsidR="002748ED">
        <w:t xml:space="preserve">the </w:t>
      </w:r>
      <w:r w:rsidR="00457838" w:rsidRPr="00457838">
        <w:t>N</w:t>
      </w:r>
      <w:r w:rsidR="002748ED">
        <w:t xml:space="preserve">o </w:t>
      </w:r>
      <w:r w:rsidR="00457838" w:rsidRPr="00457838">
        <w:t>C</w:t>
      </w:r>
      <w:r w:rsidR="002748ED">
        <w:t xml:space="preserve">hild </w:t>
      </w:r>
      <w:r w:rsidR="00457838" w:rsidRPr="00457838">
        <w:t>L</w:t>
      </w:r>
      <w:r w:rsidR="002748ED">
        <w:t xml:space="preserve">eft </w:t>
      </w:r>
      <w:r w:rsidR="00457838" w:rsidRPr="00457838">
        <w:t>B</w:t>
      </w:r>
      <w:r w:rsidR="002748ED">
        <w:t>ehind Act of 2001 (NCLB)</w:t>
      </w:r>
      <w:r w:rsidR="00457838" w:rsidRPr="00457838">
        <w:t xml:space="preserve"> in exchange for rigorous and comprehensive State-developed </w:t>
      </w:r>
      <w:r w:rsidR="002748ED">
        <w:t xml:space="preserve">accountability </w:t>
      </w:r>
      <w:r w:rsidR="00457838" w:rsidRPr="00457838">
        <w:t>plans designed to improve educational outcomes for all students</w:t>
      </w:r>
      <w:r w:rsidR="002748ED">
        <w:t>, close achievement gaps, increase equity, and improve the quality of instruction</w:t>
      </w:r>
      <w:r w:rsidR="00457838" w:rsidRPr="00457838">
        <w:t xml:space="preserve">.  This </w:t>
      </w:r>
      <w:r w:rsidR="004A31B3">
        <w:t>flexibility</w:t>
      </w:r>
      <w:r w:rsidR="004A31B3" w:rsidRPr="00457838">
        <w:t xml:space="preserve"> </w:t>
      </w:r>
      <w:r w:rsidR="00457838" w:rsidRPr="00457838">
        <w:t>is intended to build on and support the significant State and local reform efforts already underway in critical areas such as transitioning to college- and career-ready standards and assessments</w:t>
      </w:r>
      <w:r w:rsidR="00167FD3">
        <w:t>;</w:t>
      </w:r>
      <w:r w:rsidR="00457838" w:rsidRPr="00457838">
        <w:t xml:space="preserve"> developing systems of differentiated </w:t>
      </w:r>
      <w:r w:rsidR="00167FD3">
        <w:t xml:space="preserve">recognition, </w:t>
      </w:r>
      <w:r w:rsidR="00457838" w:rsidRPr="00457838">
        <w:t>accountability</w:t>
      </w:r>
      <w:r w:rsidR="00167FD3">
        <w:t>,</w:t>
      </w:r>
      <w:r w:rsidR="00457838" w:rsidRPr="00457838">
        <w:t xml:space="preserve"> and support</w:t>
      </w:r>
      <w:r w:rsidR="00167FD3">
        <w:t>;</w:t>
      </w:r>
      <w:r w:rsidR="00457838" w:rsidRPr="00457838">
        <w:t xml:space="preserve"> and evaluating and supporting teacher</w:t>
      </w:r>
      <w:r w:rsidR="00167FD3">
        <w:t xml:space="preserve"> and</w:t>
      </w:r>
      <w:r w:rsidR="00457838" w:rsidRPr="00457838">
        <w:t xml:space="preserve"> principal effectiveness.</w:t>
      </w:r>
    </w:p>
    <w:p w:rsidR="00EF2C78" w:rsidRPr="00EF2C78" w:rsidRDefault="00EF2C78">
      <w:pPr>
        <w:pStyle w:val="BodyText2"/>
        <w:ind w:left="720"/>
      </w:pPr>
    </w:p>
    <w:p w:rsidR="00D3796C" w:rsidRDefault="00626548">
      <w:pPr>
        <w:pStyle w:val="BodyText2"/>
        <w:ind w:left="720"/>
      </w:pPr>
      <w:r w:rsidRPr="00EF2C78">
        <w:t>ED has developed</w:t>
      </w:r>
      <w:r w:rsidR="00294535">
        <w:t xml:space="preserve"> the</w:t>
      </w:r>
      <w:r w:rsidR="001A1211">
        <w:t xml:space="preserve"> documents titled</w:t>
      </w:r>
      <w:r w:rsidRPr="00EF2C78">
        <w:t xml:space="preserve"> </w:t>
      </w:r>
      <w:r w:rsidR="00294535">
        <w:rPr>
          <w:rFonts w:cs="Arial"/>
          <w:i/>
        </w:rPr>
        <w:t xml:space="preserve">ESEA Flexibility </w:t>
      </w:r>
      <w:r w:rsidR="00294535">
        <w:rPr>
          <w:rFonts w:cs="Arial"/>
        </w:rPr>
        <w:t xml:space="preserve">and </w:t>
      </w:r>
      <w:r w:rsidR="00294535">
        <w:rPr>
          <w:rFonts w:cs="Arial"/>
          <w:i/>
        </w:rPr>
        <w:t>ESEA Flexibility Request</w:t>
      </w:r>
      <w:r w:rsidR="00294535" w:rsidRPr="00EF2C78" w:rsidDel="00294535">
        <w:t xml:space="preserve"> </w:t>
      </w:r>
      <w:r w:rsidRPr="00EF2C78">
        <w:t xml:space="preserve">to assist SEAs with submitting their requests, which includes information collection activities covered by the Paperwork Reduction Act (PRA).  </w:t>
      </w:r>
      <w:r w:rsidR="004A31B3" w:rsidRPr="00EF2C78">
        <w:t>The information collection activities consist</w:t>
      </w:r>
      <w:r w:rsidR="004A31B3">
        <w:t xml:space="preserve"> of</w:t>
      </w:r>
      <w:r w:rsidR="004A31B3" w:rsidRPr="00EF2C78">
        <w:t xml:space="preserve"> the information an SEA must develop and submit to ED to req</w:t>
      </w:r>
      <w:r w:rsidR="004A31B3">
        <w:rPr>
          <w:rFonts w:cs="Arial"/>
        </w:rPr>
        <w:t>uest this flexibility, amendments an SEA must submit to its Accountability Workbooks, and the information a successful SEA must annually report to ED (reporting).</w:t>
      </w:r>
      <w:r w:rsidR="004A31B3">
        <w:t xml:space="preserve">     </w:t>
      </w:r>
    </w:p>
    <w:p w:rsidR="00E22529" w:rsidRPr="00EF2C78" w:rsidRDefault="00E22529" w:rsidP="00F46E53">
      <w:pPr>
        <w:rPr>
          <w:sz w:val="24"/>
          <w:szCs w:val="24"/>
        </w:rPr>
      </w:pPr>
    </w:p>
    <w:p w:rsidR="00F114C5" w:rsidRDefault="00457838">
      <w:pPr>
        <w:ind w:left="720"/>
        <w:rPr>
          <w:color w:val="000000"/>
          <w:sz w:val="24"/>
          <w:szCs w:val="24"/>
        </w:rPr>
      </w:pPr>
      <w:r w:rsidRPr="00457838">
        <w:rPr>
          <w:sz w:val="24"/>
          <w:szCs w:val="24"/>
        </w:rPr>
        <w:t xml:space="preserve">Over the past few years, States and districts have </w:t>
      </w:r>
      <w:r w:rsidR="00167FD3">
        <w:rPr>
          <w:sz w:val="24"/>
          <w:szCs w:val="24"/>
        </w:rPr>
        <w:t>initiated</w:t>
      </w:r>
      <w:r w:rsidRPr="00457838">
        <w:rPr>
          <w:sz w:val="24"/>
          <w:szCs w:val="24"/>
        </w:rPr>
        <w:t xml:space="preserve"> groundbreaking reforms and </w:t>
      </w:r>
      <w:proofErr w:type="gramStart"/>
      <w:r w:rsidRPr="00457838">
        <w:rPr>
          <w:sz w:val="24"/>
          <w:szCs w:val="24"/>
        </w:rPr>
        <w:t>innovations</w:t>
      </w:r>
      <w:proofErr w:type="gramEnd"/>
      <w:r w:rsidRPr="00457838">
        <w:rPr>
          <w:sz w:val="24"/>
          <w:szCs w:val="24"/>
        </w:rPr>
        <w:t xml:space="preserve"> to </w:t>
      </w:r>
      <w:r w:rsidR="00167FD3">
        <w:rPr>
          <w:sz w:val="24"/>
          <w:szCs w:val="24"/>
        </w:rPr>
        <w:t xml:space="preserve">increase the quality of instruction and </w:t>
      </w:r>
      <w:r w:rsidRPr="00457838">
        <w:rPr>
          <w:sz w:val="24"/>
          <w:szCs w:val="24"/>
        </w:rPr>
        <w:t xml:space="preserve">improve </w:t>
      </w:r>
      <w:r w:rsidR="00167FD3">
        <w:rPr>
          <w:sz w:val="24"/>
          <w:szCs w:val="24"/>
        </w:rPr>
        <w:t xml:space="preserve">academic achievement for all </w:t>
      </w:r>
      <w:r w:rsidRPr="00457838">
        <w:rPr>
          <w:sz w:val="24"/>
          <w:szCs w:val="24"/>
        </w:rPr>
        <w:t>student</w:t>
      </w:r>
      <w:r w:rsidR="00167FD3">
        <w:rPr>
          <w:sz w:val="24"/>
          <w:szCs w:val="24"/>
        </w:rPr>
        <w:t>s</w:t>
      </w:r>
      <w:r w:rsidRPr="00457838">
        <w:rPr>
          <w:sz w:val="24"/>
          <w:szCs w:val="24"/>
        </w:rPr>
        <w:t xml:space="preserve">.  Forty-four States and the District of Columbia have adopted a common set of State-developed college- and career-ready standards, and 46 States and the District of Columbia are developing high-quality assessments aligned </w:t>
      </w:r>
      <w:r w:rsidR="00167FD3">
        <w:rPr>
          <w:sz w:val="24"/>
          <w:szCs w:val="24"/>
        </w:rPr>
        <w:t>with</w:t>
      </w:r>
      <w:r w:rsidRPr="00457838">
        <w:rPr>
          <w:sz w:val="24"/>
          <w:szCs w:val="24"/>
        </w:rPr>
        <w:t xml:space="preserve"> these standards.  </w:t>
      </w:r>
      <w:r w:rsidR="00167FD3">
        <w:rPr>
          <w:sz w:val="24"/>
          <w:szCs w:val="24"/>
        </w:rPr>
        <w:t>Over forty</w:t>
      </w:r>
      <w:r w:rsidR="00B82640" w:rsidRPr="00457838">
        <w:rPr>
          <w:sz w:val="24"/>
          <w:szCs w:val="24"/>
        </w:rPr>
        <w:t xml:space="preserve"> States </w:t>
      </w:r>
      <w:r w:rsidRPr="00457838">
        <w:rPr>
          <w:sz w:val="24"/>
          <w:szCs w:val="24"/>
        </w:rPr>
        <w:t xml:space="preserve">are developing next-generation accountability and support systems, </w:t>
      </w:r>
      <w:r w:rsidR="00167FD3">
        <w:rPr>
          <w:sz w:val="24"/>
          <w:szCs w:val="24"/>
        </w:rPr>
        <w:t>guided by</w:t>
      </w:r>
      <w:r w:rsidRPr="00457838">
        <w:rPr>
          <w:sz w:val="24"/>
          <w:szCs w:val="24"/>
        </w:rPr>
        <w:t xml:space="preserve"> principles developed by the Council of Chief State School Officers.  </w:t>
      </w:r>
      <w:r w:rsidR="000F7875">
        <w:rPr>
          <w:sz w:val="24"/>
          <w:szCs w:val="24"/>
        </w:rPr>
        <w:t>Many States</w:t>
      </w:r>
      <w:r w:rsidRPr="00457838">
        <w:rPr>
          <w:color w:val="000000"/>
          <w:sz w:val="24"/>
          <w:szCs w:val="24"/>
        </w:rPr>
        <w:t xml:space="preserve"> are</w:t>
      </w:r>
      <w:r w:rsidR="000F7875">
        <w:rPr>
          <w:color w:val="000000"/>
          <w:sz w:val="24"/>
          <w:szCs w:val="24"/>
        </w:rPr>
        <w:t xml:space="preserve"> also</w:t>
      </w:r>
      <w:r w:rsidRPr="00457838">
        <w:rPr>
          <w:color w:val="000000"/>
          <w:sz w:val="24"/>
          <w:szCs w:val="24"/>
        </w:rPr>
        <w:t xml:space="preserve"> moving forward with reforms in </w:t>
      </w:r>
      <w:r w:rsidR="000F7875">
        <w:rPr>
          <w:color w:val="000000"/>
          <w:sz w:val="24"/>
          <w:szCs w:val="24"/>
        </w:rPr>
        <w:t xml:space="preserve">such </w:t>
      </w:r>
      <w:r w:rsidRPr="00457838">
        <w:rPr>
          <w:color w:val="000000"/>
          <w:sz w:val="24"/>
          <w:szCs w:val="24"/>
        </w:rPr>
        <w:t xml:space="preserve">areas </w:t>
      </w:r>
      <w:r w:rsidR="000F7875">
        <w:rPr>
          <w:color w:val="000000"/>
          <w:sz w:val="24"/>
          <w:szCs w:val="24"/>
        </w:rPr>
        <w:t xml:space="preserve">as </w:t>
      </w:r>
      <w:r w:rsidRPr="00457838">
        <w:rPr>
          <w:color w:val="000000"/>
          <w:sz w:val="24"/>
          <w:szCs w:val="24"/>
        </w:rPr>
        <w:t>teacher and principal evaluation</w:t>
      </w:r>
      <w:r w:rsidR="000F7875">
        <w:rPr>
          <w:color w:val="000000"/>
          <w:sz w:val="24"/>
          <w:szCs w:val="24"/>
        </w:rPr>
        <w:t xml:space="preserve"> and support</w:t>
      </w:r>
      <w:r w:rsidRPr="00457838">
        <w:rPr>
          <w:color w:val="000000"/>
          <w:sz w:val="24"/>
          <w:szCs w:val="24"/>
        </w:rPr>
        <w:t xml:space="preserve">, turning around low-performing schools, </w:t>
      </w:r>
      <w:r w:rsidR="000F7875">
        <w:rPr>
          <w:color w:val="000000"/>
          <w:sz w:val="24"/>
          <w:szCs w:val="24"/>
        </w:rPr>
        <w:t xml:space="preserve">and </w:t>
      </w:r>
      <w:r w:rsidRPr="00457838">
        <w:rPr>
          <w:color w:val="000000"/>
          <w:sz w:val="24"/>
          <w:szCs w:val="24"/>
        </w:rPr>
        <w:t>expanding access to high-quality schools.</w:t>
      </w:r>
    </w:p>
    <w:p w:rsidR="00EF2C78" w:rsidRPr="00EF2C78" w:rsidRDefault="00EF2C78">
      <w:pPr>
        <w:ind w:left="720"/>
        <w:rPr>
          <w:sz w:val="24"/>
          <w:szCs w:val="24"/>
        </w:rPr>
      </w:pPr>
    </w:p>
    <w:p w:rsidR="00D3796C" w:rsidRPr="00F2690F" w:rsidRDefault="00D3796C" w:rsidP="00F2690F">
      <w:pPr>
        <w:pStyle w:val="BodyText2"/>
        <w:ind w:left="720"/>
        <w:rPr>
          <w:i/>
        </w:rPr>
      </w:pPr>
      <w:r w:rsidRPr="00F2690F">
        <w:rPr>
          <w:i/>
        </w:rPr>
        <w:t xml:space="preserve">Q2.  </w:t>
      </w:r>
      <w:r w:rsidR="009814BD" w:rsidRPr="00F2690F">
        <w:rPr>
          <w:i/>
        </w:rPr>
        <w:t>Indicate how, by whom, and for what purpose the information is to be used.  Except for a new collection, indicate the actual use the agency has made of the information received from the current collection.</w:t>
      </w:r>
    </w:p>
    <w:p w:rsidR="00D3796C" w:rsidRDefault="00D3796C">
      <w:pPr>
        <w:ind w:left="1440"/>
        <w:rPr>
          <w:sz w:val="24"/>
        </w:rPr>
      </w:pPr>
    </w:p>
    <w:p w:rsidR="00D3796C" w:rsidRDefault="00761CE3">
      <w:pPr>
        <w:pStyle w:val="BodyText2"/>
        <w:ind w:left="720"/>
      </w:pPr>
      <w:r>
        <w:t>Peer r</w:t>
      </w:r>
      <w:r w:rsidR="007078AA">
        <w:t xml:space="preserve">eviewers </w:t>
      </w:r>
      <w:r w:rsidR="000D3C8C">
        <w:t xml:space="preserve">and ED staff </w:t>
      </w:r>
      <w:r w:rsidR="00D3796C">
        <w:t xml:space="preserve">will </w:t>
      </w:r>
      <w:r w:rsidR="000D3C8C">
        <w:t xml:space="preserve">evaluate each SEA’s </w:t>
      </w:r>
      <w:r w:rsidR="006E4425">
        <w:t xml:space="preserve">flexibility </w:t>
      </w:r>
      <w:r w:rsidR="008F5970">
        <w:t xml:space="preserve">request </w:t>
      </w:r>
      <w:r w:rsidR="000D3C8C">
        <w:t>to determine wh</w:t>
      </w:r>
      <w:r w:rsidR="005450ED">
        <w:t xml:space="preserve">ether ED will approve an SEA’s request.  </w:t>
      </w:r>
      <w:r w:rsidR="00AD4814">
        <w:t>ED</w:t>
      </w:r>
      <w:r w:rsidR="000D3C8C">
        <w:t xml:space="preserve"> staff will review the reporting information to determine whether an SEA’s waivers will continue</w:t>
      </w:r>
      <w:r w:rsidR="000F7875">
        <w:t>, including renewal,</w:t>
      </w:r>
      <w:r w:rsidR="000D3C8C">
        <w:t xml:space="preserve"> or be terminated.</w:t>
      </w:r>
    </w:p>
    <w:p w:rsidR="00D3796C" w:rsidRDefault="00D3796C">
      <w:pPr>
        <w:ind w:left="720"/>
        <w:rPr>
          <w:sz w:val="24"/>
        </w:rPr>
      </w:pPr>
    </w:p>
    <w:p w:rsidR="00D3796C" w:rsidRDefault="00D3796C">
      <w:pPr>
        <w:ind w:left="720"/>
        <w:rPr>
          <w:i/>
          <w:iCs/>
          <w:sz w:val="24"/>
        </w:rPr>
      </w:pPr>
      <w:r>
        <w:rPr>
          <w:i/>
          <w:iCs/>
          <w:sz w:val="24"/>
        </w:rPr>
        <w:t xml:space="preserve">Q3.  </w:t>
      </w:r>
      <w:r w:rsidR="009814BD" w:rsidRPr="009814BD">
        <w:rPr>
          <w:i/>
          <w:iCs/>
          <w:sz w:val="24"/>
        </w:rPr>
        <w:t>Describe whether, and to what extent, the collection of information involves the use of automated, electronic, mechanical, or other technological collection techniques or forms of information technology, e.g.</w:t>
      </w:r>
      <w:r w:rsidR="00884CDC">
        <w:rPr>
          <w:i/>
          <w:iCs/>
          <w:sz w:val="24"/>
        </w:rPr>
        <w:t>,</w:t>
      </w:r>
      <w:r w:rsidR="009814BD" w:rsidRPr="009814BD">
        <w:rPr>
          <w:i/>
          <w:iCs/>
          <w:sz w:val="24"/>
        </w:rPr>
        <w:t xml:space="preserve"> permitting electronic submission of responses, and the basis for the decision of adopting this means of collection.  Also describe any consideration given to using technology to reduce burden.</w:t>
      </w:r>
    </w:p>
    <w:p w:rsidR="00D3796C" w:rsidRDefault="00D3796C">
      <w:pPr>
        <w:ind w:left="720"/>
        <w:rPr>
          <w:sz w:val="24"/>
        </w:rPr>
      </w:pPr>
    </w:p>
    <w:p w:rsidR="00D3796C" w:rsidRDefault="004860ED">
      <w:pPr>
        <w:pStyle w:val="BodyText2"/>
        <w:ind w:left="720"/>
      </w:pPr>
      <w:r>
        <w:t>Requests for th</w:t>
      </w:r>
      <w:r w:rsidR="005C53B0">
        <w:t>is</w:t>
      </w:r>
      <w:r>
        <w:t xml:space="preserve"> </w:t>
      </w:r>
      <w:r w:rsidR="004A31B3">
        <w:t>flexibility may</w:t>
      </w:r>
      <w:r w:rsidR="00D3796C">
        <w:t xml:space="preserve"> be submitted to ED by e-mail or in hard copy.  In an effort to reduce administrative burdens, ED indicates in the guidance that e-mail is the preferred method of submission.</w:t>
      </w:r>
      <w:r w:rsidR="003131D3">
        <w:t xml:space="preserve">  </w:t>
      </w:r>
    </w:p>
    <w:p w:rsidR="00D3796C" w:rsidRDefault="00D3796C">
      <w:pPr>
        <w:ind w:left="720"/>
        <w:rPr>
          <w:sz w:val="24"/>
        </w:rPr>
      </w:pPr>
    </w:p>
    <w:p w:rsidR="00D3796C" w:rsidRDefault="00D3796C">
      <w:pPr>
        <w:pStyle w:val="BodyText"/>
        <w:ind w:left="720"/>
        <w:rPr>
          <w:iCs/>
        </w:rPr>
      </w:pPr>
      <w:r>
        <w:rPr>
          <w:iCs/>
        </w:rPr>
        <w:t xml:space="preserve">Q4.  </w:t>
      </w:r>
      <w:r w:rsidR="009814BD" w:rsidRPr="009814BD">
        <w:rPr>
          <w:iCs/>
        </w:rPr>
        <w:t>Describe efforts to identify duplication.  Show specifically why any similar information already available cannot be used or modified for use for the purposes described in Item 2 above.</w:t>
      </w:r>
    </w:p>
    <w:p w:rsidR="00D3796C" w:rsidRDefault="00D3796C">
      <w:pPr>
        <w:ind w:left="1080"/>
        <w:rPr>
          <w:sz w:val="24"/>
        </w:rPr>
      </w:pPr>
    </w:p>
    <w:p w:rsidR="00D3796C" w:rsidRDefault="00D3796C">
      <w:pPr>
        <w:ind w:left="720"/>
        <w:rPr>
          <w:sz w:val="24"/>
        </w:rPr>
      </w:pPr>
      <w:r>
        <w:rPr>
          <w:sz w:val="24"/>
        </w:rPr>
        <w:t xml:space="preserve">There is no duplication in the collection.  </w:t>
      </w:r>
    </w:p>
    <w:p w:rsidR="00D3796C" w:rsidRDefault="00D3796C">
      <w:pPr>
        <w:ind w:left="720"/>
        <w:rPr>
          <w:sz w:val="24"/>
        </w:rPr>
      </w:pPr>
    </w:p>
    <w:p w:rsidR="00D3796C" w:rsidRDefault="00D3796C">
      <w:pPr>
        <w:pStyle w:val="BodyText"/>
        <w:ind w:left="720"/>
      </w:pPr>
      <w:r>
        <w:t xml:space="preserve">Q5.  </w:t>
      </w:r>
      <w:r w:rsidR="009814BD" w:rsidRPr="009814BD">
        <w:t>If the collection of information impacts small businesses or other small entities (Item 8b of IC Data Part 2), describe any methods used to minimize burden.</w:t>
      </w:r>
    </w:p>
    <w:p w:rsidR="00D3796C" w:rsidRDefault="00D3796C">
      <w:pPr>
        <w:ind w:left="720"/>
        <w:rPr>
          <w:sz w:val="24"/>
        </w:rPr>
      </w:pPr>
    </w:p>
    <w:p w:rsidR="00D3796C" w:rsidRDefault="006F19F4">
      <w:pPr>
        <w:pStyle w:val="BodyText2"/>
        <w:ind w:left="720"/>
      </w:pPr>
      <w:r>
        <w:t xml:space="preserve">All </w:t>
      </w:r>
      <w:r w:rsidR="00C00B2E">
        <w:t xml:space="preserve">LEAs </w:t>
      </w:r>
      <w:r>
        <w:t>that receive Title I, Part A</w:t>
      </w:r>
      <w:r w:rsidR="00C00B2E" w:rsidRPr="00C00B2E">
        <w:t xml:space="preserve"> </w:t>
      </w:r>
      <w:r w:rsidR="00C00B2E">
        <w:t>funds, including small LEAs,</w:t>
      </w:r>
      <w:r>
        <w:t xml:space="preserve"> have the opportunity to benefit from </w:t>
      </w:r>
      <w:r w:rsidR="00C00B2E">
        <w:t>their SEA’s applying for th</w:t>
      </w:r>
      <w:r w:rsidR="004A31B3">
        <w:t>is</w:t>
      </w:r>
      <w:r w:rsidR="00C00B2E">
        <w:t xml:space="preserve"> </w:t>
      </w:r>
      <w:r w:rsidR="006E4425">
        <w:t>flexibility</w:t>
      </w:r>
      <w:r w:rsidR="00D3796C">
        <w:t>.</w:t>
      </w:r>
      <w:r w:rsidR="00247342">
        <w:t xml:space="preserve">  </w:t>
      </w:r>
      <w:r w:rsidR="005C53B0">
        <w:t>T</w:t>
      </w:r>
      <w:r w:rsidR="00247342">
        <w:t>here is minimal burden on individual LEAs</w:t>
      </w:r>
      <w:r w:rsidR="00761CE3">
        <w:t>.</w:t>
      </w:r>
    </w:p>
    <w:p w:rsidR="00D3796C" w:rsidRDefault="00D3796C">
      <w:pPr>
        <w:ind w:left="720"/>
        <w:rPr>
          <w:sz w:val="24"/>
        </w:rPr>
      </w:pPr>
    </w:p>
    <w:p w:rsidR="00D3796C" w:rsidRDefault="00D3796C">
      <w:pPr>
        <w:pStyle w:val="BodyText"/>
        <w:ind w:left="720"/>
      </w:pPr>
      <w:r>
        <w:t>Q6.  Describe the consequences to Federal program or policy activities if the collection is not conducted or is conducted less frequently, as well as any technical or legal obstacles to reducing burden.</w:t>
      </w:r>
    </w:p>
    <w:p w:rsidR="00D3796C" w:rsidRDefault="00D3796C">
      <w:pPr>
        <w:ind w:left="720"/>
        <w:rPr>
          <w:sz w:val="24"/>
        </w:rPr>
      </w:pPr>
    </w:p>
    <w:p w:rsidR="0012241D" w:rsidRDefault="004860ED">
      <w:pPr>
        <w:ind w:left="720"/>
        <w:rPr>
          <w:sz w:val="24"/>
          <w:szCs w:val="24"/>
        </w:rPr>
      </w:pPr>
      <w:r>
        <w:rPr>
          <w:sz w:val="24"/>
          <w:szCs w:val="24"/>
        </w:rPr>
        <w:t>Many of the</w:t>
      </w:r>
      <w:r w:rsidRPr="004860ED">
        <w:rPr>
          <w:sz w:val="24"/>
          <w:szCs w:val="24"/>
        </w:rPr>
        <w:t xml:space="preserve"> innovations and reforms</w:t>
      </w:r>
      <w:r>
        <w:rPr>
          <w:sz w:val="24"/>
          <w:szCs w:val="24"/>
        </w:rPr>
        <w:t xml:space="preserve"> described above</w:t>
      </w:r>
      <w:r w:rsidRPr="004860ED">
        <w:rPr>
          <w:sz w:val="24"/>
          <w:szCs w:val="24"/>
        </w:rPr>
        <w:t xml:space="preserve"> were not anticipated when NCLB was enacted nearly a decade ago.  While NCLB helped SEAs and LEAs shine a bright light on the achievement gap and increased accountability for groups of high-need students, it inadvertently encouraged some States to set low academic standards, failed to recognize or reward growth in student learning, and did little to elevate the teaching profession or recognize the most effective teachers.  Instead of fostering progress and accelerating academic improvement, many NCLB requirements have unintentionally become barriers to State and local implementation of forward-looking reforms designed to raise academic achievement.  Consequently, many </w:t>
      </w:r>
      <w:r>
        <w:rPr>
          <w:sz w:val="24"/>
          <w:szCs w:val="24"/>
        </w:rPr>
        <w:t xml:space="preserve">States </w:t>
      </w:r>
      <w:r w:rsidRPr="004860ED">
        <w:rPr>
          <w:sz w:val="24"/>
          <w:szCs w:val="24"/>
        </w:rPr>
        <w:t xml:space="preserve">are petitioning </w:t>
      </w:r>
      <w:r>
        <w:rPr>
          <w:sz w:val="24"/>
          <w:szCs w:val="24"/>
        </w:rPr>
        <w:t>ED for</w:t>
      </w:r>
      <w:r w:rsidRPr="004860ED">
        <w:rPr>
          <w:sz w:val="24"/>
          <w:szCs w:val="24"/>
        </w:rPr>
        <w:t xml:space="preserve"> relief from the requirements of current law.  One of the Secretary’s </w:t>
      </w:r>
      <w:r w:rsidR="005C53B0">
        <w:rPr>
          <w:sz w:val="24"/>
          <w:szCs w:val="24"/>
        </w:rPr>
        <w:t xml:space="preserve">highest </w:t>
      </w:r>
      <w:r w:rsidRPr="004860ED">
        <w:rPr>
          <w:sz w:val="24"/>
          <w:szCs w:val="24"/>
        </w:rPr>
        <w:t>priorities is to help ensure that Federal laws and policies can support these reforms and not hinder State and local innovation aimed at increasing the quality of instruction and improving student academic achievement.</w:t>
      </w:r>
    </w:p>
    <w:p w:rsidR="004860ED" w:rsidRDefault="004860ED" w:rsidP="007C6A2E">
      <w:pPr>
        <w:ind w:left="720"/>
        <w:rPr>
          <w:sz w:val="24"/>
          <w:szCs w:val="24"/>
        </w:rPr>
      </w:pPr>
    </w:p>
    <w:p w:rsidR="00D3796C" w:rsidRPr="007C6A2E" w:rsidRDefault="00294535" w:rsidP="007C6A2E">
      <w:pPr>
        <w:ind w:left="720"/>
        <w:rPr>
          <w:sz w:val="24"/>
          <w:szCs w:val="24"/>
        </w:rPr>
      </w:pPr>
      <w:r w:rsidRPr="00294535">
        <w:rPr>
          <w:sz w:val="24"/>
          <w:szCs w:val="24"/>
        </w:rPr>
        <w:t xml:space="preserve">For these reasons, ED is offering </w:t>
      </w:r>
      <w:r w:rsidR="00884CDC">
        <w:rPr>
          <w:sz w:val="24"/>
          <w:szCs w:val="24"/>
        </w:rPr>
        <w:t xml:space="preserve">each </w:t>
      </w:r>
      <w:r w:rsidRPr="00294535">
        <w:rPr>
          <w:sz w:val="24"/>
          <w:szCs w:val="24"/>
        </w:rPr>
        <w:t>SEA the opportunity to request flexibility on behalf of itself, its LEAs, and its schools, in order to better focus on improving student learning and increasing the quality of instruction.  ED needs emergency clearance to begin this important process immediately.</w:t>
      </w:r>
    </w:p>
    <w:p w:rsidR="00D3796C" w:rsidRDefault="00D3796C">
      <w:pPr>
        <w:ind w:left="720"/>
        <w:rPr>
          <w:sz w:val="24"/>
        </w:rPr>
      </w:pPr>
    </w:p>
    <w:p w:rsidR="00D3796C" w:rsidRDefault="00D3796C">
      <w:pPr>
        <w:pStyle w:val="BodyText"/>
        <w:ind w:left="720"/>
      </w:pPr>
      <w:r>
        <w:t>Q7.  Explain any special circumstance that would cause an information collection to be conducted in a manner:</w:t>
      </w:r>
    </w:p>
    <w:p w:rsidR="00D3796C" w:rsidRDefault="00D3796C">
      <w:pPr>
        <w:ind w:left="720"/>
        <w:rPr>
          <w:i/>
        </w:rPr>
      </w:pPr>
    </w:p>
    <w:p w:rsidR="00D3796C" w:rsidRDefault="00D3796C">
      <w:pPr>
        <w:pStyle w:val="Style"/>
        <w:numPr>
          <w:ilvl w:val="0"/>
          <w:numId w:val="7"/>
        </w:numPr>
        <w:tabs>
          <w:tab w:val="clear" w:pos="360"/>
          <w:tab w:val="left" w:pos="-360"/>
          <w:tab w:val="left" w:pos="0"/>
          <w:tab w:val="left" w:pos="270"/>
          <w:tab w:val="num" w:pos="1080"/>
        </w:tabs>
        <w:ind w:left="1080"/>
        <w:rPr>
          <w:i/>
        </w:rPr>
      </w:pPr>
      <w:r>
        <w:rPr>
          <w:i/>
        </w:rPr>
        <w:t>requiring respondents to report information to the agency more often than quarterly;</w:t>
      </w:r>
    </w:p>
    <w:p w:rsidR="00D3796C" w:rsidRDefault="00D3796C">
      <w:pPr>
        <w:pStyle w:val="Style"/>
        <w:numPr>
          <w:ilvl w:val="0"/>
          <w:numId w:val="7"/>
        </w:numPr>
        <w:tabs>
          <w:tab w:val="clear" w:pos="360"/>
          <w:tab w:val="left" w:pos="-360"/>
          <w:tab w:val="left" w:pos="0"/>
          <w:tab w:val="num" w:pos="1080"/>
        </w:tabs>
        <w:ind w:left="1080"/>
        <w:rPr>
          <w:i/>
        </w:rPr>
      </w:pPr>
      <w:r>
        <w:rPr>
          <w:i/>
        </w:rPr>
        <w:t>requiring respondents to prepare a written response to a collection of information in fewer than 30 days after receipt of it;</w:t>
      </w:r>
    </w:p>
    <w:p w:rsidR="00D3796C" w:rsidRDefault="00D3796C">
      <w:pPr>
        <w:pStyle w:val="Style"/>
        <w:numPr>
          <w:ilvl w:val="0"/>
          <w:numId w:val="7"/>
        </w:numPr>
        <w:tabs>
          <w:tab w:val="clear" w:pos="360"/>
          <w:tab w:val="left" w:pos="-360"/>
          <w:tab w:val="left" w:pos="0"/>
          <w:tab w:val="left" w:pos="270"/>
          <w:tab w:val="num" w:pos="1080"/>
          <w:tab w:val="left" w:pos="1440"/>
        </w:tabs>
        <w:ind w:left="1080"/>
        <w:rPr>
          <w:i/>
        </w:rPr>
      </w:pPr>
      <w:r>
        <w:rPr>
          <w:i/>
        </w:rPr>
        <w:t>requiring respondents to submit more than an original and two copies of any document;</w:t>
      </w:r>
    </w:p>
    <w:p w:rsidR="00D3796C" w:rsidRDefault="00D3796C">
      <w:pPr>
        <w:pStyle w:val="Style"/>
        <w:numPr>
          <w:ilvl w:val="0"/>
          <w:numId w:val="7"/>
        </w:numPr>
        <w:tabs>
          <w:tab w:val="clear" w:pos="360"/>
          <w:tab w:val="left" w:pos="-360"/>
          <w:tab w:val="left" w:pos="0"/>
          <w:tab w:val="left" w:pos="270"/>
          <w:tab w:val="num" w:pos="1080"/>
          <w:tab w:val="left" w:pos="1440"/>
        </w:tabs>
        <w:ind w:left="1080"/>
        <w:rPr>
          <w:i/>
        </w:rPr>
      </w:pPr>
      <w:r>
        <w:rPr>
          <w:i/>
        </w:rPr>
        <w:t>requiring respondents to retain records, other than health, medical, government contract, grant-in-aid, or tax records for more than three years;</w:t>
      </w:r>
    </w:p>
    <w:p w:rsidR="00D3796C" w:rsidRDefault="00D3796C">
      <w:pPr>
        <w:pStyle w:val="Style"/>
        <w:numPr>
          <w:ilvl w:val="0"/>
          <w:numId w:val="7"/>
        </w:numPr>
        <w:tabs>
          <w:tab w:val="clear" w:pos="360"/>
          <w:tab w:val="left" w:pos="-360"/>
          <w:tab w:val="left" w:pos="0"/>
          <w:tab w:val="num" w:pos="1080"/>
          <w:tab w:val="left" w:pos="1440"/>
        </w:tabs>
        <w:ind w:left="1080"/>
        <w:rPr>
          <w:i/>
        </w:rPr>
      </w:pPr>
      <w:r>
        <w:rPr>
          <w:i/>
        </w:rPr>
        <w:t>in connection with a statistical survey, that is not designed to produce valid and reliable results that can be generalized to the universe of study;</w:t>
      </w:r>
    </w:p>
    <w:p w:rsidR="00D3796C" w:rsidRDefault="00D3796C">
      <w:pPr>
        <w:pStyle w:val="Style"/>
        <w:numPr>
          <w:ilvl w:val="0"/>
          <w:numId w:val="7"/>
        </w:numPr>
        <w:tabs>
          <w:tab w:val="clear" w:pos="360"/>
          <w:tab w:val="left" w:pos="-360"/>
          <w:tab w:val="left" w:pos="0"/>
          <w:tab w:val="left" w:pos="270"/>
          <w:tab w:val="num" w:pos="1080"/>
          <w:tab w:val="left" w:pos="1440"/>
        </w:tabs>
        <w:ind w:left="1080"/>
        <w:rPr>
          <w:i/>
        </w:rPr>
      </w:pPr>
      <w:r>
        <w:rPr>
          <w:i/>
        </w:rPr>
        <w:t>requiring the use of a statistical data classification that has not been reviewed and approved by OMB;</w:t>
      </w:r>
    </w:p>
    <w:p w:rsidR="00D3796C" w:rsidRDefault="00D3796C">
      <w:pPr>
        <w:pStyle w:val="Style"/>
        <w:numPr>
          <w:ilvl w:val="0"/>
          <w:numId w:val="7"/>
        </w:numPr>
        <w:tabs>
          <w:tab w:val="clear" w:pos="360"/>
          <w:tab w:val="left" w:pos="-360"/>
          <w:tab w:val="left" w:pos="0"/>
          <w:tab w:val="left" w:pos="270"/>
          <w:tab w:val="num" w:pos="1080"/>
          <w:tab w:val="left" w:pos="1440"/>
        </w:tabs>
        <w:ind w:left="1080"/>
        <w:rPr>
          <w:i/>
        </w:rPr>
      </w:pPr>
      <w:r>
        <w:rPr>
          <w: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3796C" w:rsidRDefault="00D3796C">
      <w:pPr>
        <w:pStyle w:val="Style"/>
        <w:numPr>
          <w:ilvl w:val="0"/>
          <w:numId w:val="7"/>
        </w:numPr>
        <w:tabs>
          <w:tab w:val="clear" w:pos="360"/>
          <w:tab w:val="left" w:pos="-360"/>
          <w:tab w:val="left" w:pos="0"/>
          <w:tab w:val="left" w:pos="270"/>
          <w:tab w:val="num" w:pos="1080"/>
          <w:tab w:val="left" w:pos="1440"/>
        </w:tabs>
        <w:ind w:left="1080"/>
        <w:rPr>
          <w:i/>
        </w:rPr>
      </w:pPr>
      <w:r>
        <w:rPr>
          <w:i/>
        </w:rPr>
        <w:t>requiring respondents to submit proprietary trade secrets, or other confidential information unless the agency can demonstrate that it has instituted procedures to protect the information's confidentiality to the extent permitted by law.</w:t>
      </w:r>
    </w:p>
    <w:p w:rsidR="00D3796C" w:rsidRDefault="00D3796C">
      <w:pPr>
        <w:ind w:left="720"/>
        <w:rPr>
          <w:sz w:val="24"/>
        </w:rPr>
      </w:pPr>
    </w:p>
    <w:p w:rsidR="00D3796C" w:rsidRDefault="00D3796C">
      <w:pPr>
        <w:ind w:left="720"/>
        <w:rPr>
          <w:sz w:val="24"/>
        </w:rPr>
      </w:pPr>
      <w:r>
        <w:rPr>
          <w:sz w:val="24"/>
        </w:rPr>
        <w:t>This collection is consistent with 5 CFR 1320</w:t>
      </w:r>
      <w:r w:rsidR="004B3B6B">
        <w:rPr>
          <w:sz w:val="24"/>
        </w:rPr>
        <w:t>(d</w:t>
      </w:r>
      <w:proofErr w:type="gramStart"/>
      <w:r w:rsidR="004B3B6B">
        <w:rPr>
          <w:sz w:val="24"/>
        </w:rPr>
        <w:t>)(</w:t>
      </w:r>
      <w:proofErr w:type="gramEnd"/>
      <w:r w:rsidR="004B3B6B">
        <w:rPr>
          <w:sz w:val="24"/>
        </w:rPr>
        <w:t>2).</w:t>
      </w:r>
      <w:r>
        <w:rPr>
          <w:sz w:val="24"/>
        </w:rPr>
        <w:t xml:space="preserve"> </w:t>
      </w:r>
    </w:p>
    <w:p w:rsidR="00D3796C" w:rsidRDefault="00D3796C">
      <w:pPr>
        <w:pStyle w:val="Header"/>
        <w:tabs>
          <w:tab w:val="clear" w:pos="4320"/>
          <w:tab w:val="clear" w:pos="8640"/>
        </w:tabs>
        <w:ind w:left="720"/>
        <w:rPr>
          <w:sz w:val="24"/>
        </w:rPr>
      </w:pPr>
    </w:p>
    <w:p w:rsidR="00D3796C" w:rsidRDefault="00D3796C">
      <w:pPr>
        <w:tabs>
          <w:tab w:val="left" w:pos="-360"/>
          <w:tab w:val="left" w:pos="0"/>
          <w:tab w:val="left" w:pos="270"/>
          <w:tab w:val="left" w:pos="1440"/>
        </w:tabs>
        <w:ind w:left="720"/>
        <w:rPr>
          <w:i/>
          <w:sz w:val="24"/>
        </w:rPr>
      </w:pPr>
      <w:r>
        <w:rPr>
          <w:i/>
          <w:sz w:val="24"/>
        </w:rPr>
        <w:t>Q8.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those comments.  Specifically address comments received on cost and hour burden.</w:t>
      </w:r>
    </w:p>
    <w:p w:rsidR="00D3796C" w:rsidRDefault="00D3796C">
      <w:pPr>
        <w:tabs>
          <w:tab w:val="left" w:pos="-360"/>
          <w:tab w:val="left" w:pos="0"/>
          <w:tab w:val="left" w:pos="270"/>
          <w:tab w:val="left" w:pos="1440"/>
        </w:tabs>
        <w:ind w:left="720"/>
        <w:rPr>
          <w:i/>
          <w:sz w:val="24"/>
        </w:rPr>
      </w:pPr>
    </w:p>
    <w:p w:rsidR="00D3796C" w:rsidRDefault="00D3796C">
      <w:pPr>
        <w:tabs>
          <w:tab w:val="left" w:pos="-360"/>
          <w:tab w:val="left" w:pos="0"/>
          <w:tab w:val="left" w:pos="270"/>
          <w:tab w:val="left" w:pos="1440"/>
        </w:tabs>
        <w:ind w:left="720"/>
        <w:rPr>
          <w:i/>
          <w:sz w:val="24"/>
        </w:rPr>
      </w:pPr>
      <w:r>
        <w:rPr>
          <w:i/>
          <w:sz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D3796C" w:rsidRDefault="00D3796C">
      <w:pPr>
        <w:tabs>
          <w:tab w:val="left" w:pos="-360"/>
          <w:tab w:val="left" w:pos="0"/>
          <w:tab w:val="left" w:pos="270"/>
          <w:tab w:val="left" w:pos="1440"/>
        </w:tabs>
        <w:ind w:left="720"/>
        <w:rPr>
          <w:i/>
          <w:sz w:val="24"/>
        </w:rPr>
      </w:pPr>
    </w:p>
    <w:p w:rsidR="00D3796C" w:rsidRDefault="00D3796C">
      <w:pPr>
        <w:pStyle w:val="Header"/>
        <w:tabs>
          <w:tab w:val="clear" w:pos="4320"/>
          <w:tab w:val="clear" w:pos="8640"/>
        </w:tabs>
        <w:ind w:left="720"/>
        <w:rPr>
          <w:sz w:val="24"/>
        </w:rPr>
      </w:pPr>
      <w:r>
        <w:rPr>
          <w:i/>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p>
    <w:p w:rsidR="00D3796C" w:rsidRDefault="00D3796C">
      <w:pPr>
        <w:pStyle w:val="Header"/>
        <w:tabs>
          <w:tab w:val="clear" w:pos="4320"/>
          <w:tab w:val="clear" w:pos="8640"/>
        </w:tabs>
        <w:ind w:left="720"/>
        <w:rPr>
          <w:sz w:val="24"/>
        </w:rPr>
      </w:pPr>
    </w:p>
    <w:p w:rsidR="00D3796C" w:rsidRDefault="00D258B4">
      <w:pPr>
        <w:pStyle w:val="BodyText2"/>
        <w:ind w:left="720"/>
      </w:pPr>
      <w:r>
        <w:t>ED</w:t>
      </w:r>
      <w:r w:rsidR="00D3796C">
        <w:t xml:space="preserve"> has provided a public comment period through the emergency notice.  In addition, </w:t>
      </w:r>
      <w:r>
        <w:t xml:space="preserve">as ED </w:t>
      </w:r>
      <w:r w:rsidR="00A23A88">
        <w:t xml:space="preserve">will be </w:t>
      </w:r>
      <w:r>
        <w:t xml:space="preserve">seeking regular approval of </w:t>
      </w:r>
      <w:r w:rsidR="00A23A88">
        <w:t xml:space="preserve">the information collection activities associated with </w:t>
      </w:r>
      <w:r w:rsidR="005C53B0">
        <w:rPr>
          <w:i/>
        </w:rPr>
        <w:t>ESEA Flexibility</w:t>
      </w:r>
      <w:r>
        <w:t xml:space="preserve">, </w:t>
      </w:r>
      <w:r w:rsidR="00D3796C">
        <w:t xml:space="preserve">the public will have the opportunity to comment during the 60-day period for the regular </w:t>
      </w:r>
      <w:r w:rsidR="00A23A88">
        <w:t>approval</w:t>
      </w:r>
      <w:r w:rsidR="00D3796C">
        <w:t>.  This information collection is consistent with the statutory requirements that govern the waiver of a statutory or regulatory requirement under Title I, Part A of the ESEA</w:t>
      </w:r>
      <w:r w:rsidR="00E2440B">
        <w:t>.</w:t>
      </w:r>
      <w:r w:rsidR="00D3796C">
        <w:t xml:space="preserve">  </w:t>
      </w:r>
    </w:p>
    <w:p w:rsidR="00D3796C" w:rsidRDefault="00D3796C">
      <w:pPr>
        <w:ind w:left="720"/>
        <w:rPr>
          <w:sz w:val="24"/>
        </w:rPr>
      </w:pPr>
    </w:p>
    <w:p w:rsidR="00D3796C" w:rsidRDefault="00D3796C">
      <w:pPr>
        <w:pStyle w:val="BodyText"/>
        <w:ind w:left="720"/>
        <w:rPr>
          <w:iCs/>
        </w:rPr>
      </w:pPr>
      <w:r>
        <w:rPr>
          <w:iCs/>
        </w:rPr>
        <w:lastRenderedPageBreak/>
        <w:t xml:space="preserve">Q9.  Explain any decision to provide any payment or gift to respondents, other than </w:t>
      </w:r>
      <w:proofErr w:type="spellStart"/>
      <w:r>
        <w:rPr>
          <w:iCs/>
        </w:rPr>
        <w:t>renumeration</w:t>
      </w:r>
      <w:proofErr w:type="spellEnd"/>
      <w:r>
        <w:rPr>
          <w:iCs/>
        </w:rPr>
        <w:t xml:space="preserve"> of contractors or grantees.</w:t>
      </w:r>
    </w:p>
    <w:p w:rsidR="00D3796C" w:rsidRDefault="00D3796C">
      <w:pPr>
        <w:ind w:left="720"/>
        <w:rPr>
          <w:i/>
          <w:iCs/>
          <w:sz w:val="24"/>
        </w:rPr>
      </w:pPr>
    </w:p>
    <w:p w:rsidR="00D3796C" w:rsidRDefault="00D3796C">
      <w:pPr>
        <w:pStyle w:val="BodyText2"/>
        <w:ind w:left="720"/>
      </w:pPr>
      <w:r>
        <w:t>No payments or gifts to respondents have been made.</w:t>
      </w:r>
    </w:p>
    <w:p w:rsidR="00D3796C" w:rsidRDefault="00D3796C">
      <w:pPr>
        <w:ind w:left="720"/>
        <w:rPr>
          <w:sz w:val="24"/>
        </w:rPr>
      </w:pPr>
    </w:p>
    <w:p w:rsidR="00D3796C" w:rsidRDefault="00D3796C">
      <w:pPr>
        <w:pStyle w:val="BodyText"/>
        <w:ind w:left="720"/>
        <w:rPr>
          <w:iCs/>
        </w:rPr>
      </w:pPr>
      <w:r>
        <w:rPr>
          <w:iCs/>
        </w:rPr>
        <w:t>Q10. Describe any assurance of confidentiality provided to respondents and the basis for the assurance in statute, regulations, or agency policy.</w:t>
      </w:r>
    </w:p>
    <w:p w:rsidR="00D3796C" w:rsidRDefault="00D3796C">
      <w:pPr>
        <w:ind w:left="720"/>
        <w:rPr>
          <w:sz w:val="24"/>
        </w:rPr>
      </w:pPr>
    </w:p>
    <w:p w:rsidR="00D3796C" w:rsidRDefault="00D3796C">
      <w:pPr>
        <w:pStyle w:val="BodyText2"/>
        <w:ind w:left="720"/>
      </w:pPr>
      <w:r>
        <w:t>There is no assurance of confidentiality.</w:t>
      </w:r>
    </w:p>
    <w:p w:rsidR="00D3796C" w:rsidRDefault="00D3796C">
      <w:pPr>
        <w:ind w:left="720"/>
        <w:rPr>
          <w:sz w:val="24"/>
        </w:rPr>
      </w:pPr>
    </w:p>
    <w:p w:rsidR="00D3796C" w:rsidRDefault="00D3796C">
      <w:pPr>
        <w:pStyle w:val="BodyText3"/>
        <w:tabs>
          <w:tab w:val="left" w:pos="-360"/>
          <w:tab w:val="left" w:pos="0"/>
          <w:tab w:val="left" w:pos="270"/>
          <w:tab w:val="left" w:pos="1440"/>
        </w:tabs>
        <w:ind w:left="720"/>
        <w:jc w:val="left"/>
      </w:pPr>
      <w:r>
        <w:t>Q11.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3796C" w:rsidRDefault="00D3796C">
      <w:pPr>
        <w:ind w:left="720"/>
        <w:rPr>
          <w:sz w:val="24"/>
        </w:rPr>
      </w:pPr>
    </w:p>
    <w:p w:rsidR="00D3796C" w:rsidRDefault="00D3796C">
      <w:pPr>
        <w:pStyle w:val="BodyText2"/>
        <w:ind w:left="720"/>
      </w:pPr>
      <w:r>
        <w:t>There are no questions of a sensitive nature.</w:t>
      </w:r>
    </w:p>
    <w:p w:rsidR="00D3796C" w:rsidRDefault="00D3796C">
      <w:pPr>
        <w:pStyle w:val="BodyText2"/>
        <w:ind w:left="720"/>
        <w:rPr>
          <w:i/>
        </w:rPr>
      </w:pPr>
    </w:p>
    <w:p w:rsidR="00D3796C" w:rsidRDefault="00D3796C">
      <w:pPr>
        <w:pStyle w:val="BodyText2"/>
        <w:ind w:left="720"/>
        <w:rPr>
          <w:i/>
        </w:rPr>
      </w:pPr>
      <w:r>
        <w:rPr>
          <w:i/>
        </w:rPr>
        <w:t>Q12. Provide estimates of the hour burden of the collection of information.  The statement should:</w:t>
      </w:r>
    </w:p>
    <w:p w:rsidR="00D3796C" w:rsidRDefault="00D3796C">
      <w:pPr>
        <w:pStyle w:val="BodyText2"/>
        <w:ind w:left="720"/>
        <w:rPr>
          <w:i/>
        </w:rPr>
      </w:pPr>
    </w:p>
    <w:p w:rsidR="00422C82" w:rsidRDefault="00D3796C" w:rsidP="00422C82">
      <w:pPr>
        <w:pStyle w:val="Style"/>
        <w:numPr>
          <w:ilvl w:val="0"/>
          <w:numId w:val="8"/>
        </w:numPr>
        <w:tabs>
          <w:tab w:val="clear" w:pos="360"/>
          <w:tab w:val="left" w:pos="-360"/>
          <w:tab w:val="left" w:pos="0"/>
          <w:tab w:val="left" w:pos="270"/>
          <w:tab w:val="num" w:pos="1080"/>
        </w:tabs>
        <w:ind w:left="1080"/>
        <w:rPr>
          <w:i/>
        </w:rPr>
      </w:pPr>
      <w:r>
        <w:rPr>
          <w:i/>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22C82" w:rsidRDefault="00422C82" w:rsidP="00422C82">
      <w:pPr>
        <w:pStyle w:val="Style"/>
        <w:tabs>
          <w:tab w:val="left" w:pos="-360"/>
          <w:tab w:val="left" w:pos="0"/>
          <w:tab w:val="left" w:pos="270"/>
        </w:tabs>
        <w:ind w:left="1080" w:firstLine="0"/>
        <w:rPr>
          <w:i/>
        </w:rPr>
      </w:pPr>
    </w:p>
    <w:p w:rsidR="00D3796C" w:rsidRPr="00422C82" w:rsidRDefault="00422C82" w:rsidP="00422C82">
      <w:pPr>
        <w:pStyle w:val="Style"/>
        <w:numPr>
          <w:ilvl w:val="0"/>
          <w:numId w:val="8"/>
        </w:numPr>
        <w:tabs>
          <w:tab w:val="clear" w:pos="360"/>
          <w:tab w:val="left" w:pos="-360"/>
          <w:tab w:val="left" w:pos="0"/>
          <w:tab w:val="left" w:pos="270"/>
          <w:tab w:val="num" w:pos="1080"/>
        </w:tabs>
        <w:ind w:left="1080"/>
        <w:rPr>
          <w:i/>
        </w:rPr>
      </w:pPr>
      <w:r w:rsidRPr="00422C82">
        <w:rPr>
          <w:i/>
        </w:rPr>
        <w:t>If this request for approval covers more than one form, provide separate hour burden estimates for each form and aggregate the hour burdens in item 16 of IC Data Part 1.</w:t>
      </w:r>
    </w:p>
    <w:p w:rsidR="00422C82" w:rsidRDefault="00422C82" w:rsidP="00422C82">
      <w:pPr>
        <w:pStyle w:val="Style"/>
        <w:tabs>
          <w:tab w:val="left" w:pos="-360"/>
          <w:tab w:val="left" w:pos="0"/>
          <w:tab w:val="left" w:pos="270"/>
        </w:tabs>
        <w:ind w:left="1080" w:firstLine="0"/>
        <w:jc w:val="both"/>
        <w:rPr>
          <w:i/>
        </w:rPr>
      </w:pPr>
    </w:p>
    <w:p w:rsidR="00D3796C" w:rsidRDefault="00D3796C">
      <w:pPr>
        <w:pStyle w:val="Style"/>
        <w:numPr>
          <w:ilvl w:val="0"/>
          <w:numId w:val="8"/>
        </w:numPr>
        <w:tabs>
          <w:tab w:val="clear" w:pos="360"/>
          <w:tab w:val="left" w:pos="-360"/>
          <w:tab w:val="left" w:pos="0"/>
          <w:tab w:val="left" w:pos="270"/>
          <w:tab w:val="num" w:pos="1080"/>
        </w:tabs>
        <w:ind w:left="1080"/>
        <w:jc w:val="both"/>
        <w:rPr>
          <w:i/>
        </w:rPr>
      </w:pPr>
      <w:r>
        <w:rPr>
          <w:i/>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D3796C" w:rsidRDefault="00D3796C">
      <w:pPr>
        <w:ind w:left="720"/>
        <w:rPr>
          <w:sz w:val="24"/>
        </w:rPr>
      </w:pPr>
    </w:p>
    <w:p w:rsidR="00D3796C" w:rsidRDefault="00C44684">
      <w:pPr>
        <w:ind w:left="720"/>
        <w:rPr>
          <w:sz w:val="24"/>
        </w:rPr>
      </w:pPr>
      <w:r>
        <w:rPr>
          <w:sz w:val="24"/>
        </w:rPr>
        <w:t xml:space="preserve">The table below shows the </w:t>
      </w:r>
      <w:r w:rsidR="00C7352F">
        <w:rPr>
          <w:sz w:val="24"/>
        </w:rPr>
        <w:t xml:space="preserve">average </w:t>
      </w:r>
      <w:r>
        <w:rPr>
          <w:sz w:val="24"/>
        </w:rPr>
        <w:t>estimated SEA burden for the information collection activities</w:t>
      </w:r>
      <w:r w:rsidR="000F64BE">
        <w:rPr>
          <w:sz w:val="24"/>
        </w:rPr>
        <w:t xml:space="preserve"> identified in Q1</w:t>
      </w:r>
      <w:r w:rsidR="00D3796C">
        <w:rPr>
          <w:sz w:val="24"/>
        </w:rPr>
        <w:t>.</w:t>
      </w:r>
      <w:r w:rsidR="00A924B4">
        <w:rPr>
          <w:sz w:val="24"/>
        </w:rPr>
        <w:t xml:space="preserve">  ED anticipates that many SEAs will be able to </w:t>
      </w:r>
      <w:r w:rsidR="00775F37">
        <w:rPr>
          <w:sz w:val="24"/>
        </w:rPr>
        <w:t xml:space="preserve">modify plans that their States developed for their RTT applications and that this existing information </w:t>
      </w:r>
      <w:r w:rsidR="00421F3C">
        <w:rPr>
          <w:sz w:val="24"/>
        </w:rPr>
        <w:t xml:space="preserve">available to SEAs </w:t>
      </w:r>
      <w:r w:rsidR="00775F37">
        <w:rPr>
          <w:sz w:val="24"/>
        </w:rPr>
        <w:t xml:space="preserve">will help </w:t>
      </w:r>
      <w:r w:rsidR="00421F3C">
        <w:rPr>
          <w:sz w:val="24"/>
        </w:rPr>
        <w:t>make</w:t>
      </w:r>
      <w:r w:rsidR="00775F37">
        <w:rPr>
          <w:sz w:val="24"/>
        </w:rPr>
        <w:t xml:space="preserve"> the burden lower than it otherwise would have been.</w:t>
      </w:r>
      <w:r w:rsidR="00D562A8">
        <w:rPr>
          <w:sz w:val="24"/>
        </w:rPr>
        <w:t xml:space="preserve"> Under th</w:t>
      </w:r>
      <w:r w:rsidR="004A31B3">
        <w:rPr>
          <w:sz w:val="24"/>
        </w:rPr>
        <w:t>is</w:t>
      </w:r>
      <w:r w:rsidR="006E4425">
        <w:rPr>
          <w:sz w:val="24"/>
        </w:rPr>
        <w:t xml:space="preserve"> flexibility</w:t>
      </w:r>
      <w:r w:rsidR="00D562A8">
        <w:rPr>
          <w:sz w:val="24"/>
        </w:rPr>
        <w:t xml:space="preserve">, SEAs will need to amend their Accountability </w:t>
      </w:r>
      <w:r w:rsidR="001A1211">
        <w:rPr>
          <w:sz w:val="24"/>
        </w:rPr>
        <w:t>W</w:t>
      </w:r>
      <w:r w:rsidR="00D562A8">
        <w:rPr>
          <w:sz w:val="24"/>
        </w:rPr>
        <w:t xml:space="preserve">orkbooks to reflect the new </w:t>
      </w:r>
      <w:r w:rsidR="001A1211">
        <w:rPr>
          <w:sz w:val="24"/>
        </w:rPr>
        <w:t>a</w:t>
      </w:r>
      <w:r w:rsidR="00D562A8">
        <w:rPr>
          <w:sz w:val="24"/>
        </w:rPr>
        <w:t xml:space="preserve">nnual </w:t>
      </w:r>
      <w:r w:rsidR="001A1211">
        <w:rPr>
          <w:sz w:val="24"/>
        </w:rPr>
        <w:t>m</w:t>
      </w:r>
      <w:r w:rsidR="00D562A8">
        <w:rPr>
          <w:sz w:val="24"/>
        </w:rPr>
        <w:t xml:space="preserve">easurable </w:t>
      </w:r>
      <w:r w:rsidR="001A1211">
        <w:rPr>
          <w:sz w:val="24"/>
        </w:rPr>
        <w:t>o</w:t>
      </w:r>
      <w:r w:rsidR="00D562A8">
        <w:rPr>
          <w:sz w:val="24"/>
        </w:rPr>
        <w:t>bjectives (AMOs) that the SEA sets.</w:t>
      </w:r>
    </w:p>
    <w:p w:rsidR="00D3796C" w:rsidRDefault="00D3796C">
      <w:pPr>
        <w:rPr>
          <w:sz w:val="24"/>
        </w:rPr>
      </w:pPr>
    </w:p>
    <w:p w:rsidR="00D3796C" w:rsidRDefault="00D3796C">
      <w:pPr>
        <w:pStyle w:val="Heading2"/>
        <w:rPr>
          <w:sz w:val="22"/>
        </w:rPr>
      </w:pPr>
      <w:r>
        <w:rPr>
          <w:sz w:val="22"/>
        </w:rPr>
        <w:lastRenderedPageBreak/>
        <w:t>State Educational Agency Estimate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20"/>
        <w:gridCol w:w="1555"/>
        <w:gridCol w:w="1779"/>
        <w:gridCol w:w="1563"/>
        <w:gridCol w:w="1395"/>
        <w:gridCol w:w="1364"/>
      </w:tblGrid>
      <w:tr w:rsidR="00D3796C" w:rsidTr="007619F9">
        <w:trPr>
          <w:jc w:val="center"/>
        </w:trPr>
        <w:tc>
          <w:tcPr>
            <w:tcW w:w="1920" w:type="dxa"/>
          </w:tcPr>
          <w:p w:rsidR="00C75B6D" w:rsidRDefault="00C75B6D">
            <w:pPr>
              <w:pStyle w:val="BodyTextIndent"/>
              <w:tabs>
                <w:tab w:val="left" w:pos="-18"/>
              </w:tabs>
              <w:ind w:left="0"/>
              <w:rPr>
                <w:b/>
                <w:bCs/>
                <w:sz w:val="22"/>
              </w:rPr>
            </w:pPr>
          </w:p>
          <w:p w:rsidR="00D3796C" w:rsidRDefault="00D3796C">
            <w:pPr>
              <w:pStyle w:val="BodyTextIndent"/>
              <w:tabs>
                <w:tab w:val="left" w:pos="-18"/>
              </w:tabs>
              <w:ind w:left="0"/>
              <w:rPr>
                <w:b/>
                <w:bCs/>
                <w:sz w:val="22"/>
              </w:rPr>
            </w:pPr>
            <w:r>
              <w:rPr>
                <w:b/>
                <w:bCs/>
                <w:sz w:val="22"/>
              </w:rPr>
              <w:t>Activity</w:t>
            </w:r>
          </w:p>
        </w:tc>
        <w:tc>
          <w:tcPr>
            <w:tcW w:w="1555" w:type="dxa"/>
          </w:tcPr>
          <w:p w:rsidR="00D3796C" w:rsidRDefault="00D3796C">
            <w:pPr>
              <w:pStyle w:val="BodyTextIndent"/>
              <w:ind w:left="0"/>
              <w:rPr>
                <w:b/>
                <w:bCs/>
                <w:sz w:val="22"/>
              </w:rPr>
            </w:pPr>
            <w:r>
              <w:rPr>
                <w:b/>
                <w:bCs/>
                <w:sz w:val="22"/>
              </w:rPr>
              <w:t>Number of SEA Requests</w:t>
            </w:r>
          </w:p>
        </w:tc>
        <w:tc>
          <w:tcPr>
            <w:tcW w:w="1779" w:type="dxa"/>
          </w:tcPr>
          <w:p w:rsidR="00D3796C" w:rsidRDefault="00D3796C">
            <w:pPr>
              <w:pStyle w:val="BodyTextIndent"/>
              <w:ind w:left="0"/>
              <w:rPr>
                <w:b/>
                <w:bCs/>
                <w:sz w:val="22"/>
              </w:rPr>
            </w:pPr>
          </w:p>
          <w:p w:rsidR="00D3796C" w:rsidRDefault="00D3796C">
            <w:pPr>
              <w:pStyle w:val="BodyTextIndent"/>
              <w:ind w:left="0"/>
              <w:rPr>
                <w:b/>
                <w:bCs/>
                <w:sz w:val="22"/>
              </w:rPr>
            </w:pPr>
            <w:r>
              <w:rPr>
                <w:b/>
                <w:bCs/>
                <w:sz w:val="22"/>
              </w:rPr>
              <w:t>Hours/Activity</w:t>
            </w:r>
          </w:p>
        </w:tc>
        <w:tc>
          <w:tcPr>
            <w:tcW w:w="1563" w:type="dxa"/>
          </w:tcPr>
          <w:p w:rsidR="00D3796C" w:rsidRDefault="00D3796C">
            <w:pPr>
              <w:pStyle w:val="BodyTextIndent"/>
              <w:ind w:left="0"/>
              <w:rPr>
                <w:b/>
                <w:bCs/>
                <w:sz w:val="22"/>
              </w:rPr>
            </w:pPr>
          </w:p>
          <w:p w:rsidR="00D3796C" w:rsidRDefault="00D3796C">
            <w:pPr>
              <w:pStyle w:val="BodyTextIndent"/>
              <w:ind w:left="0"/>
              <w:rPr>
                <w:b/>
                <w:bCs/>
                <w:sz w:val="22"/>
              </w:rPr>
            </w:pPr>
            <w:r>
              <w:rPr>
                <w:b/>
                <w:bCs/>
                <w:sz w:val="22"/>
              </w:rPr>
              <w:t>Hours</w:t>
            </w:r>
          </w:p>
        </w:tc>
        <w:tc>
          <w:tcPr>
            <w:tcW w:w="1395" w:type="dxa"/>
          </w:tcPr>
          <w:p w:rsidR="00D3796C" w:rsidRDefault="00D3796C">
            <w:pPr>
              <w:pStyle w:val="BodyTextIndent"/>
              <w:ind w:left="0"/>
              <w:rPr>
                <w:b/>
                <w:bCs/>
                <w:sz w:val="22"/>
              </w:rPr>
            </w:pPr>
          </w:p>
          <w:p w:rsidR="00D3796C" w:rsidRDefault="00D3796C">
            <w:pPr>
              <w:pStyle w:val="BodyTextIndent"/>
              <w:ind w:left="0"/>
              <w:rPr>
                <w:b/>
                <w:bCs/>
                <w:sz w:val="22"/>
              </w:rPr>
            </w:pPr>
            <w:r>
              <w:rPr>
                <w:b/>
                <w:bCs/>
                <w:sz w:val="22"/>
              </w:rPr>
              <w:t>Cost/Hour</w:t>
            </w:r>
          </w:p>
        </w:tc>
        <w:tc>
          <w:tcPr>
            <w:tcW w:w="1364" w:type="dxa"/>
          </w:tcPr>
          <w:p w:rsidR="00D3796C" w:rsidRDefault="00D3796C">
            <w:pPr>
              <w:pStyle w:val="BodyTextIndent"/>
              <w:ind w:left="0"/>
              <w:rPr>
                <w:b/>
                <w:bCs/>
                <w:sz w:val="22"/>
              </w:rPr>
            </w:pPr>
          </w:p>
          <w:p w:rsidR="00D3796C" w:rsidRDefault="00D3796C">
            <w:pPr>
              <w:pStyle w:val="BodyTextIndent"/>
              <w:ind w:left="0"/>
              <w:rPr>
                <w:b/>
                <w:bCs/>
                <w:sz w:val="22"/>
              </w:rPr>
            </w:pPr>
            <w:r>
              <w:rPr>
                <w:b/>
                <w:bCs/>
                <w:sz w:val="22"/>
              </w:rPr>
              <w:t>Cost</w:t>
            </w:r>
          </w:p>
        </w:tc>
      </w:tr>
      <w:tr w:rsidR="00C75721" w:rsidTr="007619F9">
        <w:trPr>
          <w:jc w:val="center"/>
        </w:trPr>
        <w:tc>
          <w:tcPr>
            <w:tcW w:w="1920" w:type="dxa"/>
            <w:vAlign w:val="bottom"/>
          </w:tcPr>
          <w:p w:rsidR="00BB0783" w:rsidRDefault="00C75721">
            <w:pPr>
              <w:tabs>
                <w:tab w:val="left" w:pos="270"/>
              </w:tabs>
              <w:ind w:left="270" w:hanging="270"/>
              <w:rPr>
                <w:rFonts w:eastAsia="Arial Unicode MS"/>
              </w:rPr>
            </w:pPr>
            <w:r>
              <w:t xml:space="preserve">Develop and submit </w:t>
            </w:r>
            <w:r w:rsidR="006E4425">
              <w:t>flexibility</w:t>
            </w:r>
            <w:r w:rsidR="004A31B3">
              <w:t xml:space="preserve"> </w:t>
            </w:r>
            <w:r w:rsidR="008C69D9">
              <w:t>request</w:t>
            </w:r>
          </w:p>
        </w:tc>
        <w:tc>
          <w:tcPr>
            <w:tcW w:w="1555" w:type="dxa"/>
            <w:vAlign w:val="bottom"/>
          </w:tcPr>
          <w:p w:rsidR="00C75721" w:rsidRDefault="00C75721" w:rsidP="00C75721">
            <w:r>
              <w:t>52</w:t>
            </w:r>
          </w:p>
        </w:tc>
        <w:tc>
          <w:tcPr>
            <w:tcW w:w="1779" w:type="dxa"/>
            <w:vAlign w:val="bottom"/>
          </w:tcPr>
          <w:p w:rsidR="00C75721" w:rsidRDefault="00C75721" w:rsidP="00C75721">
            <w:r>
              <w:t>240</w:t>
            </w:r>
          </w:p>
        </w:tc>
        <w:tc>
          <w:tcPr>
            <w:tcW w:w="1563" w:type="dxa"/>
            <w:vAlign w:val="bottom"/>
          </w:tcPr>
          <w:p w:rsidR="00C75721" w:rsidRDefault="00C75721" w:rsidP="00C75721">
            <w:r>
              <w:t>12,480</w:t>
            </w:r>
          </w:p>
        </w:tc>
        <w:tc>
          <w:tcPr>
            <w:tcW w:w="1395" w:type="dxa"/>
            <w:vAlign w:val="bottom"/>
          </w:tcPr>
          <w:p w:rsidR="00C75721" w:rsidRDefault="00C75721" w:rsidP="00C75721">
            <w:r>
              <w:t xml:space="preserve">$30 </w:t>
            </w:r>
          </w:p>
        </w:tc>
        <w:tc>
          <w:tcPr>
            <w:tcW w:w="1364" w:type="dxa"/>
            <w:vAlign w:val="bottom"/>
          </w:tcPr>
          <w:p w:rsidR="00C75721" w:rsidRDefault="00C75721" w:rsidP="00C75721">
            <w:r>
              <w:t xml:space="preserve">$374,400 </w:t>
            </w:r>
          </w:p>
        </w:tc>
      </w:tr>
      <w:tr w:rsidR="004A0B8D" w:rsidTr="007619F9">
        <w:trPr>
          <w:jc w:val="center"/>
        </w:trPr>
        <w:tc>
          <w:tcPr>
            <w:tcW w:w="1920" w:type="dxa"/>
            <w:vAlign w:val="bottom"/>
          </w:tcPr>
          <w:p w:rsidR="004A0B8D" w:rsidRDefault="004A0B8D" w:rsidP="00D562A8">
            <w:pPr>
              <w:tabs>
                <w:tab w:val="left" w:pos="270"/>
              </w:tabs>
              <w:ind w:left="270" w:hanging="270"/>
            </w:pPr>
            <w:r>
              <w:t>Add revised AMO</w:t>
            </w:r>
            <w:r w:rsidR="00D562A8">
              <w:t>s</w:t>
            </w:r>
            <w:r>
              <w:t xml:space="preserve"> to Accountability Workbook</w:t>
            </w:r>
          </w:p>
        </w:tc>
        <w:tc>
          <w:tcPr>
            <w:tcW w:w="1555" w:type="dxa"/>
            <w:vAlign w:val="bottom"/>
          </w:tcPr>
          <w:p w:rsidR="004A0B8D" w:rsidRDefault="004A0B8D" w:rsidP="00490559">
            <w:r>
              <w:t>52</w:t>
            </w:r>
          </w:p>
        </w:tc>
        <w:tc>
          <w:tcPr>
            <w:tcW w:w="1779" w:type="dxa"/>
            <w:vAlign w:val="bottom"/>
          </w:tcPr>
          <w:p w:rsidR="004A0B8D" w:rsidRDefault="004A0B8D" w:rsidP="00490559">
            <w:r>
              <w:t>16</w:t>
            </w:r>
          </w:p>
        </w:tc>
        <w:tc>
          <w:tcPr>
            <w:tcW w:w="1563" w:type="dxa"/>
            <w:vAlign w:val="bottom"/>
          </w:tcPr>
          <w:p w:rsidR="004A0B8D" w:rsidRDefault="004A0B8D" w:rsidP="00490559">
            <w:r>
              <w:t>832</w:t>
            </w:r>
          </w:p>
        </w:tc>
        <w:tc>
          <w:tcPr>
            <w:tcW w:w="1395" w:type="dxa"/>
            <w:vAlign w:val="bottom"/>
          </w:tcPr>
          <w:p w:rsidR="004A0B8D" w:rsidRDefault="004A0B8D" w:rsidP="00490559">
            <w:r>
              <w:t xml:space="preserve">$30 </w:t>
            </w:r>
          </w:p>
        </w:tc>
        <w:tc>
          <w:tcPr>
            <w:tcW w:w="1364" w:type="dxa"/>
            <w:vAlign w:val="bottom"/>
          </w:tcPr>
          <w:p w:rsidR="004A0B8D" w:rsidRDefault="004A0B8D" w:rsidP="00490559">
            <w:r>
              <w:t xml:space="preserve">$24,960 </w:t>
            </w:r>
          </w:p>
        </w:tc>
      </w:tr>
      <w:tr w:rsidR="00490559" w:rsidTr="007619F9">
        <w:trPr>
          <w:jc w:val="center"/>
        </w:trPr>
        <w:tc>
          <w:tcPr>
            <w:tcW w:w="1920" w:type="dxa"/>
            <w:vAlign w:val="bottom"/>
          </w:tcPr>
          <w:p w:rsidR="00490559" w:rsidRDefault="00490559">
            <w:pPr>
              <w:tabs>
                <w:tab w:val="left" w:pos="270"/>
              </w:tabs>
              <w:ind w:left="270" w:hanging="270"/>
              <w:rPr>
                <w:rFonts w:eastAsia="Arial Unicode MS"/>
              </w:rPr>
            </w:pPr>
            <w:r>
              <w:t xml:space="preserve">Reporting </w:t>
            </w:r>
          </w:p>
        </w:tc>
        <w:tc>
          <w:tcPr>
            <w:tcW w:w="1555" w:type="dxa"/>
            <w:vAlign w:val="bottom"/>
          </w:tcPr>
          <w:p w:rsidR="00490559" w:rsidRDefault="00490559" w:rsidP="00490559">
            <w:r>
              <w:t>52</w:t>
            </w:r>
          </w:p>
        </w:tc>
        <w:tc>
          <w:tcPr>
            <w:tcW w:w="1779" w:type="dxa"/>
            <w:vAlign w:val="bottom"/>
          </w:tcPr>
          <w:p w:rsidR="00490559" w:rsidRDefault="00490559" w:rsidP="00490559">
            <w:r>
              <w:t>80</w:t>
            </w:r>
          </w:p>
        </w:tc>
        <w:tc>
          <w:tcPr>
            <w:tcW w:w="1563" w:type="dxa"/>
            <w:vAlign w:val="bottom"/>
          </w:tcPr>
          <w:p w:rsidR="00490559" w:rsidRDefault="00490559" w:rsidP="00490559">
            <w:r>
              <w:t>4,160</w:t>
            </w:r>
          </w:p>
        </w:tc>
        <w:tc>
          <w:tcPr>
            <w:tcW w:w="1395" w:type="dxa"/>
            <w:vAlign w:val="bottom"/>
          </w:tcPr>
          <w:p w:rsidR="00490559" w:rsidRDefault="00490559" w:rsidP="00490559">
            <w:r>
              <w:t xml:space="preserve">$30 </w:t>
            </w:r>
          </w:p>
        </w:tc>
        <w:tc>
          <w:tcPr>
            <w:tcW w:w="1364" w:type="dxa"/>
            <w:vAlign w:val="bottom"/>
          </w:tcPr>
          <w:p w:rsidR="00490559" w:rsidRDefault="00490559" w:rsidP="00490559">
            <w:r>
              <w:t xml:space="preserve">$124,800 </w:t>
            </w:r>
          </w:p>
        </w:tc>
      </w:tr>
      <w:tr w:rsidR="004A0B8D" w:rsidTr="007619F9">
        <w:trPr>
          <w:cantSplit/>
          <w:jc w:val="center"/>
        </w:trPr>
        <w:tc>
          <w:tcPr>
            <w:tcW w:w="5254" w:type="dxa"/>
            <w:gridSpan w:val="3"/>
            <w:vAlign w:val="bottom"/>
          </w:tcPr>
          <w:p w:rsidR="004A0B8D" w:rsidRDefault="004A0B8D">
            <w:pPr>
              <w:pStyle w:val="Heading5"/>
              <w:rPr>
                <w:rFonts w:eastAsia="Times New Roman"/>
              </w:rPr>
            </w:pPr>
            <w:r>
              <w:rPr>
                <w:rFonts w:eastAsia="Times New Roman"/>
              </w:rPr>
              <w:t>Total</w:t>
            </w:r>
          </w:p>
        </w:tc>
        <w:tc>
          <w:tcPr>
            <w:tcW w:w="1563" w:type="dxa"/>
            <w:vAlign w:val="bottom"/>
          </w:tcPr>
          <w:p w:rsidR="004A0B8D" w:rsidRPr="000F64BE" w:rsidRDefault="005C53B0" w:rsidP="000F64BE">
            <w:pPr>
              <w:rPr>
                <w:b/>
              </w:rPr>
            </w:pPr>
            <w:r>
              <w:rPr>
                <w:b/>
                <w:bCs/>
              </w:rPr>
              <w:t>17.472</w:t>
            </w:r>
          </w:p>
        </w:tc>
        <w:tc>
          <w:tcPr>
            <w:tcW w:w="1395" w:type="dxa"/>
            <w:vAlign w:val="bottom"/>
          </w:tcPr>
          <w:p w:rsidR="004A0B8D" w:rsidRPr="000F64BE" w:rsidRDefault="004A0B8D" w:rsidP="000F64BE">
            <w:pPr>
              <w:rPr>
                <w:b/>
              </w:rPr>
            </w:pPr>
            <w:r>
              <w:rPr>
                <w:b/>
                <w:bCs/>
              </w:rPr>
              <w:t xml:space="preserve">$30 </w:t>
            </w:r>
          </w:p>
        </w:tc>
        <w:tc>
          <w:tcPr>
            <w:tcW w:w="1364" w:type="dxa"/>
            <w:vAlign w:val="bottom"/>
          </w:tcPr>
          <w:p w:rsidR="004A0B8D" w:rsidRPr="000F64BE" w:rsidRDefault="004A0B8D" w:rsidP="004A31B3">
            <w:pPr>
              <w:rPr>
                <w:b/>
              </w:rPr>
            </w:pPr>
            <w:r>
              <w:rPr>
                <w:b/>
                <w:bCs/>
              </w:rPr>
              <w:t>$</w:t>
            </w:r>
            <w:r w:rsidR="004A31B3">
              <w:rPr>
                <w:b/>
                <w:bCs/>
              </w:rPr>
              <w:t>524,160</w:t>
            </w:r>
          </w:p>
        </w:tc>
      </w:tr>
    </w:tbl>
    <w:p w:rsidR="00D3796C" w:rsidRDefault="00D3796C" w:rsidP="00F7472E">
      <w:pPr>
        <w:pStyle w:val="BodyTextIndent"/>
        <w:ind w:left="0"/>
        <w:rPr>
          <w:sz w:val="24"/>
        </w:rPr>
      </w:pPr>
    </w:p>
    <w:p w:rsidR="00D3796C" w:rsidRDefault="00D3796C">
      <w:pPr>
        <w:pStyle w:val="BodyTextIndent"/>
        <w:rPr>
          <w:sz w:val="24"/>
        </w:rPr>
      </w:pPr>
    </w:p>
    <w:p w:rsidR="00D3796C" w:rsidRDefault="00D3796C">
      <w:pPr>
        <w:pStyle w:val="BodyText3"/>
        <w:tabs>
          <w:tab w:val="left" w:pos="-360"/>
          <w:tab w:val="left" w:pos="0"/>
          <w:tab w:val="left" w:pos="270"/>
          <w:tab w:val="left" w:pos="1440"/>
        </w:tabs>
        <w:ind w:left="720"/>
        <w:jc w:val="left"/>
      </w:pPr>
      <w:r>
        <w:t>Q13. Provide an estimate of the total annual cost burden to respondents or record keepers resulting from the collection of information.  (Do not include the cost of any hour burden shown in Items 12 and 14.)</w:t>
      </w:r>
    </w:p>
    <w:p w:rsidR="00D3796C" w:rsidRDefault="00D3796C">
      <w:pPr>
        <w:tabs>
          <w:tab w:val="left" w:pos="-360"/>
          <w:tab w:val="left" w:pos="0"/>
          <w:tab w:val="left" w:pos="270"/>
          <w:tab w:val="left" w:pos="1440"/>
        </w:tabs>
        <w:ind w:left="720"/>
      </w:pPr>
    </w:p>
    <w:p w:rsidR="00D3796C" w:rsidRDefault="00D3796C">
      <w:pPr>
        <w:pStyle w:val="Style"/>
        <w:numPr>
          <w:ilvl w:val="0"/>
          <w:numId w:val="9"/>
        </w:numPr>
        <w:tabs>
          <w:tab w:val="clear" w:pos="720"/>
          <w:tab w:val="left" w:pos="-360"/>
          <w:tab w:val="left" w:pos="0"/>
          <w:tab w:val="left" w:pos="270"/>
          <w:tab w:val="num" w:pos="1440"/>
        </w:tabs>
        <w:ind w:left="1440"/>
        <w:rPr>
          <w:i/>
        </w:rPr>
      </w:pPr>
      <w:r>
        <w:rPr>
          <w:i/>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w:t>
      </w:r>
      <w:r w:rsidR="00884CDC">
        <w:rPr>
          <w:i/>
        </w:rPr>
        <w:t>,</w:t>
      </w:r>
      <w:r>
        <w:rPr>
          <w:i/>
        </w:rPr>
        <w:t xml:space="preserve"> such as purchasing computers and software; monitoring, sampling, drilling and testing equipment; and record storage facilities.</w:t>
      </w:r>
    </w:p>
    <w:p w:rsidR="00D3796C" w:rsidRDefault="00D3796C">
      <w:pPr>
        <w:tabs>
          <w:tab w:val="left" w:pos="-360"/>
          <w:tab w:val="left" w:pos="0"/>
          <w:tab w:val="left" w:pos="270"/>
          <w:tab w:val="left" w:pos="1440"/>
        </w:tabs>
        <w:ind w:left="720"/>
        <w:rPr>
          <w:i/>
        </w:rPr>
      </w:pPr>
    </w:p>
    <w:p w:rsidR="00D3796C" w:rsidRDefault="00D3796C">
      <w:pPr>
        <w:pStyle w:val="Style"/>
        <w:numPr>
          <w:ilvl w:val="0"/>
          <w:numId w:val="9"/>
        </w:numPr>
        <w:tabs>
          <w:tab w:val="clear" w:pos="720"/>
          <w:tab w:val="left" w:pos="-360"/>
          <w:tab w:val="left" w:pos="0"/>
          <w:tab w:val="left" w:pos="270"/>
          <w:tab w:val="num" w:pos="1440"/>
        </w:tabs>
        <w:ind w:left="1440"/>
        <w:rPr>
          <w:i/>
        </w:rPr>
      </w:pPr>
      <w:r>
        <w:rPr>
          <w:i/>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3796C" w:rsidRDefault="00D3796C">
      <w:pPr>
        <w:tabs>
          <w:tab w:val="left" w:pos="-360"/>
          <w:tab w:val="left" w:pos="0"/>
          <w:tab w:val="left" w:pos="270"/>
          <w:tab w:val="left" w:pos="1440"/>
        </w:tabs>
        <w:ind w:left="720"/>
        <w:rPr>
          <w:i/>
        </w:rPr>
      </w:pPr>
    </w:p>
    <w:p w:rsidR="00D3796C" w:rsidRDefault="00D3796C">
      <w:pPr>
        <w:pStyle w:val="Style"/>
        <w:numPr>
          <w:ilvl w:val="0"/>
          <w:numId w:val="9"/>
        </w:numPr>
        <w:tabs>
          <w:tab w:val="clear" w:pos="720"/>
          <w:tab w:val="left" w:pos="-360"/>
          <w:tab w:val="left" w:pos="0"/>
          <w:tab w:val="left" w:pos="270"/>
          <w:tab w:val="num" w:pos="1440"/>
        </w:tabs>
        <w:ind w:left="1440"/>
        <w:rPr>
          <w:i/>
        </w:rPr>
      </w:pPr>
      <w:r>
        <w:rPr>
          <w:i/>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3796C" w:rsidRDefault="00D3796C">
      <w:pPr>
        <w:pStyle w:val="BodyTextIndent"/>
        <w:rPr>
          <w:sz w:val="24"/>
        </w:rPr>
      </w:pPr>
    </w:p>
    <w:p w:rsidR="00D3796C" w:rsidRDefault="00D3796C">
      <w:pPr>
        <w:pStyle w:val="BodyTextIndent"/>
        <w:rPr>
          <w:sz w:val="24"/>
        </w:rPr>
      </w:pPr>
      <w:r>
        <w:rPr>
          <w:sz w:val="24"/>
        </w:rPr>
        <w:t>There are no costs that (a) meet the criteria for inclusion under this item and (b) have not been addressed in either item #12 or #14.</w:t>
      </w:r>
    </w:p>
    <w:p w:rsidR="00D3796C" w:rsidRDefault="00D3796C">
      <w:pPr>
        <w:pStyle w:val="BodyTextIndent"/>
        <w:rPr>
          <w:i/>
          <w:sz w:val="24"/>
        </w:rPr>
      </w:pPr>
    </w:p>
    <w:p w:rsidR="00D3796C" w:rsidRDefault="00D3796C">
      <w:pPr>
        <w:pStyle w:val="BodyTextIndent"/>
        <w:rPr>
          <w:sz w:val="24"/>
        </w:rPr>
      </w:pPr>
      <w:r>
        <w:rPr>
          <w:i/>
          <w:sz w:val="24"/>
        </w:rPr>
        <w:t xml:space="preserve">Q14.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w:t>
      </w:r>
      <w:r>
        <w:rPr>
          <w:i/>
          <w:sz w:val="24"/>
        </w:rPr>
        <w:lastRenderedPageBreak/>
        <w:t>information.  Agencies also may aggregate cost estimates from Items 12, 13, and 14 in a single table.</w:t>
      </w:r>
    </w:p>
    <w:p w:rsidR="00D3796C" w:rsidRDefault="00D3796C">
      <w:pPr>
        <w:pStyle w:val="BodyTextIndent"/>
        <w:rPr>
          <w:sz w:val="24"/>
        </w:rPr>
      </w:pPr>
    </w:p>
    <w:p w:rsidR="00D3796C" w:rsidRDefault="00D3796C">
      <w:pPr>
        <w:pStyle w:val="BodyTextIndent"/>
        <w:rPr>
          <w:sz w:val="24"/>
        </w:rPr>
      </w:pPr>
      <w:r>
        <w:rPr>
          <w:sz w:val="24"/>
        </w:rPr>
        <w:t>The Federal costs will involve reviewing</w:t>
      </w:r>
      <w:r w:rsidR="00754438">
        <w:rPr>
          <w:sz w:val="24"/>
        </w:rPr>
        <w:t xml:space="preserve"> State requests </w:t>
      </w:r>
      <w:r w:rsidR="001A1211">
        <w:rPr>
          <w:sz w:val="24"/>
        </w:rPr>
        <w:t>for th</w:t>
      </w:r>
      <w:r w:rsidR="004A31B3">
        <w:rPr>
          <w:sz w:val="24"/>
        </w:rPr>
        <w:t>is</w:t>
      </w:r>
      <w:r w:rsidR="001A1211">
        <w:rPr>
          <w:sz w:val="24"/>
        </w:rPr>
        <w:t xml:space="preserve"> </w:t>
      </w:r>
      <w:r w:rsidR="006E4425">
        <w:rPr>
          <w:sz w:val="24"/>
        </w:rPr>
        <w:t>flexibility</w:t>
      </w:r>
      <w:r w:rsidR="004A31B3">
        <w:rPr>
          <w:sz w:val="24"/>
        </w:rPr>
        <w:t xml:space="preserve"> </w:t>
      </w:r>
      <w:r w:rsidR="004C79D9">
        <w:rPr>
          <w:sz w:val="24"/>
        </w:rPr>
        <w:t xml:space="preserve">and reported data on the </w:t>
      </w:r>
      <w:r w:rsidR="001A1211">
        <w:rPr>
          <w:sz w:val="24"/>
        </w:rPr>
        <w:t>implementation of th</w:t>
      </w:r>
      <w:r w:rsidR="004A31B3">
        <w:rPr>
          <w:sz w:val="24"/>
        </w:rPr>
        <w:t>ese waivers and key principles.</w:t>
      </w:r>
      <w:r>
        <w:rPr>
          <w:sz w:val="24"/>
        </w:rPr>
        <w:t xml:space="preserve">  We estimate a cost of </w:t>
      </w:r>
      <w:r w:rsidR="00BB0783" w:rsidRPr="005D3000">
        <w:rPr>
          <w:sz w:val="24"/>
        </w:rPr>
        <w:t>$990,000</w:t>
      </w:r>
      <w:r w:rsidR="00A75D90">
        <w:rPr>
          <w:sz w:val="24"/>
        </w:rPr>
        <w:t xml:space="preserve"> </w:t>
      </w:r>
      <w:r>
        <w:rPr>
          <w:sz w:val="24"/>
        </w:rPr>
        <w:t xml:space="preserve">to review and respond to the </w:t>
      </w:r>
      <w:r w:rsidR="006E4425">
        <w:rPr>
          <w:sz w:val="24"/>
        </w:rPr>
        <w:t xml:space="preserve">flexibility </w:t>
      </w:r>
      <w:r>
        <w:rPr>
          <w:sz w:val="24"/>
        </w:rPr>
        <w:t>requests</w:t>
      </w:r>
      <w:r w:rsidR="006D57A1">
        <w:rPr>
          <w:sz w:val="24"/>
        </w:rPr>
        <w:t xml:space="preserve"> and reported information</w:t>
      </w:r>
      <w:r w:rsidR="004C79D9">
        <w:rPr>
          <w:sz w:val="24"/>
        </w:rPr>
        <w:t xml:space="preserve"> based on past experience with similar activities</w:t>
      </w:r>
      <w:r>
        <w:rPr>
          <w:sz w:val="24"/>
        </w:rPr>
        <w:t xml:space="preserve">.  </w:t>
      </w:r>
    </w:p>
    <w:p w:rsidR="00D3796C" w:rsidRDefault="00D3796C">
      <w:pPr>
        <w:pStyle w:val="BodyTextIndent"/>
        <w:ind w:left="0"/>
        <w:rPr>
          <w:sz w:val="24"/>
        </w:rPr>
      </w:pPr>
    </w:p>
    <w:p w:rsidR="00D3796C" w:rsidRDefault="00D3796C">
      <w:pPr>
        <w:pStyle w:val="BodyText"/>
        <w:tabs>
          <w:tab w:val="left" w:pos="-360"/>
          <w:tab w:val="left" w:pos="0"/>
          <w:tab w:val="left" w:pos="270"/>
          <w:tab w:val="left" w:pos="1440"/>
        </w:tabs>
        <w:ind w:left="720"/>
      </w:pPr>
      <w:r>
        <w:t xml:space="preserve">Q15. </w:t>
      </w:r>
      <w:r w:rsidR="0049676A" w:rsidRPr="0049676A">
        <w:t>Explain the reasons for any program changes or adjustments to #16f of the IC Data Part 1 Form.</w:t>
      </w:r>
    </w:p>
    <w:p w:rsidR="00D3796C" w:rsidRDefault="00D3796C">
      <w:pPr>
        <w:pStyle w:val="BodyTextIndent"/>
        <w:ind w:left="1440"/>
        <w:rPr>
          <w:sz w:val="24"/>
        </w:rPr>
      </w:pPr>
    </w:p>
    <w:p w:rsidR="00D3796C" w:rsidRDefault="00D3796C">
      <w:pPr>
        <w:pStyle w:val="BodyTextIndent"/>
        <w:rPr>
          <w:sz w:val="24"/>
        </w:rPr>
      </w:pPr>
      <w:r>
        <w:rPr>
          <w:sz w:val="24"/>
        </w:rPr>
        <w:t xml:space="preserve">This is a new request </w:t>
      </w:r>
      <w:r w:rsidR="009814BD">
        <w:rPr>
          <w:sz w:val="24"/>
        </w:rPr>
        <w:t>reflecting a program change of 1</w:t>
      </w:r>
      <w:r w:rsidR="004A31B3">
        <w:rPr>
          <w:sz w:val="24"/>
        </w:rPr>
        <w:t>7,472</w:t>
      </w:r>
      <w:r w:rsidR="009814BD">
        <w:rPr>
          <w:sz w:val="24"/>
        </w:rPr>
        <w:t xml:space="preserve"> burden hours and 52 respondents.</w:t>
      </w:r>
      <w:r>
        <w:rPr>
          <w:sz w:val="24"/>
        </w:rPr>
        <w:t xml:space="preserve"> </w:t>
      </w:r>
    </w:p>
    <w:p w:rsidR="00D3796C" w:rsidRDefault="00D3796C">
      <w:pPr>
        <w:pStyle w:val="BodyTextIndent"/>
        <w:rPr>
          <w:sz w:val="24"/>
        </w:rPr>
      </w:pPr>
    </w:p>
    <w:p w:rsidR="00D3796C" w:rsidRDefault="00D3796C">
      <w:pPr>
        <w:tabs>
          <w:tab w:val="left" w:pos="-360"/>
          <w:tab w:val="left" w:pos="0"/>
          <w:tab w:val="left" w:pos="270"/>
          <w:tab w:val="left" w:pos="1440"/>
        </w:tabs>
        <w:ind w:left="720"/>
        <w:rPr>
          <w:i/>
          <w:sz w:val="24"/>
        </w:rPr>
      </w:pPr>
      <w:r>
        <w:rPr>
          <w:i/>
          <w:sz w:val="24"/>
        </w:rPr>
        <w:t>Q16.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3796C" w:rsidRDefault="00D3796C">
      <w:pPr>
        <w:pStyle w:val="BodyTextIndent"/>
        <w:rPr>
          <w:sz w:val="24"/>
        </w:rPr>
      </w:pPr>
    </w:p>
    <w:p w:rsidR="00D3796C" w:rsidRDefault="00D3796C">
      <w:pPr>
        <w:pStyle w:val="BodyTextIndent"/>
        <w:rPr>
          <w:sz w:val="24"/>
        </w:rPr>
      </w:pPr>
      <w:r>
        <w:rPr>
          <w:sz w:val="24"/>
        </w:rPr>
        <w:t>There are no plans to publish the results of this data collection.</w:t>
      </w:r>
    </w:p>
    <w:p w:rsidR="00D3796C" w:rsidRDefault="00D3796C">
      <w:pPr>
        <w:pStyle w:val="BodyTextIndent"/>
        <w:rPr>
          <w:sz w:val="24"/>
        </w:rPr>
      </w:pPr>
    </w:p>
    <w:p w:rsidR="00D3796C" w:rsidRDefault="00D3796C">
      <w:pPr>
        <w:pStyle w:val="BodyTextIndent"/>
        <w:rPr>
          <w:sz w:val="24"/>
        </w:rPr>
      </w:pPr>
      <w:r>
        <w:rPr>
          <w:i/>
          <w:sz w:val="24"/>
        </w:rPr>
        <w:t>Q17.  If seeking approval to not display the expiration date for OMB approval of the information collection, explain the reasons that display would be inappropriate.</w:t>
      </w:r>
    </w:p>
    <w:p w:rsidR="00D3796C" w:rsidRDefault="00D3796C">
      <w:pPr>
        <w:pStyle w:val="BodyTextIndent"/>
        <w:rPr>
          <w:sz w:val="24"/>
        </w:rPr>
      </w:pPr>
    </w:p>
    <w:p w:rsidR="00D3796C" w:rsidRDefault="00D3796C">
      <w:pPr>
        <w:pStyle w:val="BodyTextIndent"/>
        <w:rPr>
          <w:sz w:val="24"/>
        </w:rPr>
      </w:pPr>
      <w:r>
        <w:rPr>
          <w:sz w:val="24"/>
        </w:rPr>
        <w:t>No request is being made to not display the expiration date for OMB approval of the information collection.</w:t>
      </w:r>
    </w:p>
    <w:p w:rsidR="00D3796C" w:rsidRDefault="00D3796C">
      <w:pPr>
        <w:tabs>
          <w:tab w:val="left" w:pos="-360"/>
          <w:tab w:val="left" w:pos="0"/>
          <w:tab w:val="left" w:pos="270"/>
          <w:tab w:val="left" w:pos="1440"/>
        </w:tabs>
        <w:ind w:left="720"/>
        <w:rPr>
          <w:i/>
        </w:rPr>
      </w:pPr>
    </w:p>
    <w:p w:rsidR="00D3796C" w:rsidRDefault="00D3796C" w:rsidP="00422C82">
      <w:pPr>
        <w:pStyle w:val="BodyText"/>
        <w:tabs>
          <w:tab w:val="left" w:pos="-360"/>
          <w:tab w:val="left" w:pos="0"/>
          <w:tab w:val="left" w:pos="270"/>
          <w:tab w:val="left" w:pos="1440"/>
        </w:tabs>
        <w:ind w:left="720"/>
      </w:pPr>
      <w:r>
        <w:t xml:space="preserve">Q18. </w:t>
      </w:r>
      <w:r w:rsidR="00422C82" w:rsidRPr="00422C82">
        <w:t>Explain each exception to the certification statement identified in the Certification of Paperwork Reduction Act.</w:t>
      </w:r>
    </w:p>
    <w:p w:rsidR="001A1211" w:rsidRDefault="001A1211">
      <w:pPr>
        <w:pStyle w:val="BodyTextIndent"/>
        <w:rPr>
          <w:sz w:val="24"/>
        </w:rPr>
      </w:pPr>
    </w:p>
    <w:p w:rsidR="00D3796C" w:rsidRDefault="00D3796C">
      <w:pPr>
        <w:pStyle w:val="BodyTextIndent"/>
        <w:rPr>
          <w:sz w:val="24"/>
        </w:rPr>
      </w:pPr>
      <w:r>
        <w:rPr>
          <w:sz w:val="24"/>
        </w:rPr>
        <w:t>There are no exceptions to the referenced certification statement.</w:t>
      </w:r>
    </w:p>
    <w:p w:rsidR="00D3796C" w:rsidRDefault="00D3796C">
      <w:pPr>
        <w:pStyle w:val="BodyTextIndent"/>
        <w:rPr>
          <w:sz w:val="24"/>
        </w:rPr>
      </w:pPr>
    </w:p>
    <w:p w:rsidR="00D3796C" w:rsidRDefault="00D3796C">
      <w:pPr>
        <w:pStyle w:val="BodyTextIndent"/>
        <w:numPr>
          <w:ilvl w:val="0"/>
          <w:numId w:val="1"/>
        </w:numPr>
        <w:rPr>
          <w:b/>
          <w:bCs/>
          <w:sz w:val="24"/>
        </w:rPr>
      </w:pPr>
      <w:r>
        <w:rPr>
          <w:b/>
          <w:bCs/>
          <w:sz w:val="24"/>
        </w:rPr>
        <w:t xml:space="preserve">COLLECTION OF INFORMATION EMPLOYING STATISTICAL METHODS </w:t>
      </w:r>
    </w:p>
    <w:p w:rsidR="00D3796C" w:rsidRDefault="00D3796C">
      <w:pPr>
        <w:pStyle w:val="BodyTextIndent"/>
        <w:rPr>
          <w:sz w:val="24"/>
        </w:rPr>
      </w:pPr>
    </w:p>
    <w:p w:rsidR="00D3796C" w:rsidRDefault="00D3796C">
      <w:pPr>
        <w:pStyle w:val="BodyTextIndent"/>
        <w:rPr>
          <w:sz w:val="24"/>
        </w:rPr>
      </w:pPr>
      <w:r>
        <w:rPr>
          <w:sz w:val="24"/>
        </w:rPr>
        <w:t>This information collection does not employ statistical methods.</w:t>
      </w:r>
    </w:p>
    <w:sectPr w:rsidR="00D3796C" w:rsidSect="00BA43EA">
      <w:footerReference w:type="even" r:id="rId8"/>
      <w:footerReference w:type="default" r:id="rId9"/>
      <w:headerReference w:type="first" r:id="rId10"/>
      <w:pgSz w:w="12240" w:h="15840"/>
      <w:pgMar w:top="1152" w:right="1440" w:bottom="1152"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3B0" w:rsidRDefault="005C53B0">
      <w:r>
        <w:separator/>
      </w:r>
    </w:p>
  </w:endnote>
  <w:endnote w:type="continuationSeparator" w:id="0">
    <w:p w:rsidR="005C53B0" w:rsidRDefault="005C53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B0" w:rsidRDefault="00D267B2">
    <w:pPr>
      <w:pStyle w:val="Footer"/>
      <w:framePr w:wrap="around" w:vAnchor="text" w:hAnchor="margin" w:xAlign="center" w:y="1"/>
      <w:rPr>
        <w:rStyle w:val="PageNumber"/>
      </w:rPr>
    </w:pPr>
    <w:r>
      <w:rPr>
        <w:rStyle w:val="PageNumber"/>
      </w:rPr>
      <w:fldChar w:fldCharType="begin"/>
    </w:r>
    <w:r w:rsidR="005C53B0">
      <w:rPr>
        <w:rStyle w:val="PageNumber"/>
      </w:rPr>
      <w:instrText xml:space="preserve">PAGE  </w:instrText>
    </w:r>
    <w:r>
      <w:rPr>
        <w:rStyle w:val="PageNumber"/>
      </w:rPr>
      <w:fldChar w:fldCharType="end"/>
    </w:r>
  </w:p>
  <w:p w:rsidR="005C53B0" w:rsidRDefault="005C53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B0" w:rsidRDefault="00D267B2">
    <w:pPr>
      <w:pStyle w:val="Footer"/>
      <w:framePr w:wrap="around" w:vAnchor="text" w:hAnchor="margin" w:xAlign="center" w:y="1"/>
      <w:rPr>
        <w:rStyle w:val="PageNumber"/>
      </w:rPr>
    </w:pPr>
    <w:r>
      <w:rPr>
        <w:rStyle w:val="PageNumber"/>
      </w:rPr>
      <w:fldChar w:fldCharType="begin"/>
    </w:r>
    <w:r w:rsidR="005C53B0">
      <w:rPr>
        <w:rStyle w:val="PageNumber"/>
      </w:rPr>
      <w:instrText xml:space="preserve">PAGE  </w:instrText>
    </w:r>
    <w:r>
      <w:rPr>
        <w:rStyle w:val="PageNumber"/>
      </w:rPr>
      <w:fldChar w:fldCharType="separate"/>
    </w:r>
    <w:r w:rsidR="000236F7">
      <w:rPr>
        <w:rStyle w:val="PageNumber"/>
        <w:noProof/>
      </w:rPr>
      <w:t>6</w:t>
    </w:r>
    <w:r>
      <w:rPr>
        <w:rStyle w:val="PageNumber"/>
      </w:rPr>
      <w:fldChar w:fldCharType="end"/>
    </w:r>
  </w:p>
  <w:p w:rsidR="005C53B0" w:rsidRDefault="005C53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3B0" w:rsidRDefault="005C53B0">
      <w:r>
        <w:separator/>
      </w:r>
    </w:p>
  </w:footnote>
  <w:footnote w:type="continuationSeparator" w:id="0">
    <w:p w:rsidR="005C53B0" w:rsidRDefault="005C53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B0" w:rsidRDefault="005C53B0">
    <w:pPr>
      <w:pStyle w:val="Header"/>
    </w:pPr>
  </w:p>
  <w:p w:rsidR="005C53B0" w:rsidRDefault="005C53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8738E"/>
    <w:multiLevelType w:val="hybridMultilevel"/>
    <w:tmpl w:val="C8CE2AB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06244B9"/>
    <w:multiLevelType w:val="hybridMultilevel"/>
    <w:tmpl w:val="4FD63B9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nsid w:val="1E183627"/>
    <w:multiLevelType w:val="hybridMultilevel"/>
    <w:tmpl w:val="05E21180"/>
    <w:lvl w:ilvl="0" w:tplc="33E06408">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58B4AB6"/>
    <w:multiLevelType w:val="hybridMultilevel"/>
    <w:tmpl w:val="F2C2ABF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nsid w:val="410C1BE1"/>
    <w:multiLevelType w:val="hybridMultilevel"/>
    <w:tmpl w:val="6BFE45E4"/>
    <w:lvl w:ilvl="0" w:tplc="0409000F">
      <w:start w:val="1"/>
      <w:numFmt w:val="decimal"/>
      <w:lvlText w:val="%1."/>
      <w:lvlJc w:val="left"/>
      <w:pPr>
        <w:tabs>
          <w:tab w:val="num" w:pos="360"/>
        </w:tabs>
        <w:ind w:left="360" w:hanging="360"/>
      </w:pPr>
    </w:lvl>
    <w:lvl w:ilvl="1" w:tplc="27660046">
      <w:start w:val="1"/>
      <w:numFmt w:val="upp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1C12222"/>
    <w:multiLevelType w:val="hybridMultilevel"/>
    <w:tmpl w:val="7B2245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12F1915"/>
    <w:multiLevelType w:val="hybridMultilevel"/>
    <w:tmpl w:val="C1F8BB04"/>
    <w:lvl w:ilvl="0" w:tplc="6DC6C174">
      <w:start w:val="1"/>
      <w:numFmt w:val="bullet"/>
      <w:lvlText w:val=""/>
      <w:lvlJc w:val="left"/>
      <w:pPr>
        <w:tabs>
          <w:tab w:val="num" w:pos="2297"/>
        </w:tabs>
        <w:ind w:left="2297" w:hanging="360"/>
      </w:pPr>
      <w:rPr>
        <w:rFonts w:ascii="Wingdings" w:hAnsi="Wingdings" w:hint="default"/>
        <w:sz w:val="20"/>
      </w:rPr>
    </w:lvl>
    <w:lvl w:ilvl="1" w:tplc="04090003" w:tentative="1">
      <w:start w:val="1"/>
      <w:numFmt w:val="bullet"/>
      <w:lvlText w:val="o"/>
      <w:lvlJc w:val="left"/>
      <w:pPr>
        <w:tabs>
          <w:tab w:val="num" w:pos="3017"/>
        </w:tabs>
        <w:ind w:left="3017" w:hanging="360"/>
      </w:pPr>
      <w:rPr>
        <w:rFonts w:ascii="Courier New" w:hAnsi="Courier New" w:hint="default"/>
      </w:rPr>
    </w:lvl>
    <w:lvl w:ilvl="2" w:tplc="04090005" w:tentative="1">
      <w:start w:val="1"/>
      <w:numFmt w:val="bullet"/>
      <w:lvlText w:val=""/>
      <w:lvlJc w:val="left"/>
      <w:pPr>
        <w:tabs>
          <w:tab w:val="num" w:pos="3737"/>
        </w:tabs>
        <w:ind w:left="3737" w:hanging="360"/>
      </w:pPr>
      <w:rPr>
        <w:rFonts w:ascii="Wingdings" w:hAnsi="Wingdings" w:hint="default"/>
      </w:rPr>
    </w:lvl>
    <w:lvl w:ilvl="3" w:tplc="04090001" w:tentative="1">
      <w:start w:val="1"/>
      <w:numFmt w:val="bullet"/>
      <w:lvlText w:val=""/>
      <w:lvlJc w:val="left"/>
      <w:pPr>
        <w:tabs>
          <w:tab w:val="num" w:pos="4457"/>
        </w:tabs>
        <w:ind w:left="4457" w:hanging="360"/>
      </w:pPr>
      <w:rPr>
        <w:rFonts w:ascii="Symbol" w:hAnsi="Symbol" w:hint="default"/>
      </w:rPr>
    </w:lvl>
    <w:lvl w:ilvl="4" w:tplc="04090003" w:tentative="1">
      <w:start w:val="1"/>
      <w:numFmt w:val="bullet"/>
      <w:lvlText w:val="o"/>
      <w:lvlJc w:val="left"/>
      <w:pPr>
        <w:tabs>
          <w:tab w:val="num" w:pos="5177"/>
        </w:tabs>
        <w:ind w:left="5177" w:hanging="360"/>
      </w:pPr>
      <w:rPr>
        <w:rFonts w:ascii="Courier New" w:hAnsi="Courier New" w:hint="default"/>
      </w:rPr>
    </w:lvl>
    <w:lvl w:ilvl="5" w:tplc="04090005" w:tentative="1">
      <w:start w:val="1"/>
      <w:numFmt w:val="bullet"/>
      <w:lvlText w:val=""/>
      <w:lvlJc w:val="left"/>
      <w:pPr>
        <w:tabs>
          <w:tab w:val="num" w:pos="5897"/>
        </w:tabs>
        <w:ind w:left="5897" w:hanging="360"/>
      </w:pPr>
      <w:rPr>
        <w:rFonts w:ascii="Wingdings" w:hAnsi="Wingdings" w:hint="default"/>
      </w:rPr>
    </w:lvl>
    <w:lvl w:ilvl="6" w:tplc="04090001" w:tentative="1">
      <w:start w:val="1"/>
      <w:numFmt w:val="bullet"/>
      <w:lvlText w:val=""/>
      <w:lvlJc w:val="left"/>
      <w:pPr>
        <w:tabs>
          <w:tab w:val="num" w:pos="6617"/>
        </w:tabs>
        <w:ind w:left="6617" w:hanging="360"/>
      </w:pPr>
      <w:rPr>
        <w:rFonts w:ascii="Symbol" w:hAnsi="Symbol" w:hint="default"/>
      </w:rPr>
    </w:lvl>
    <w:lvl w:ilvl="7" w:tplc="04090003" w:tentative="1">
      <w:start w:val="1"/>
      <w:numFmt w:val="bullet"/>
      <w:lvlText w:val="o"/>
      <w:lvlJc w:val="left"/>
      <w:pPr>
        <w:tabs>
          <w:tab w:val="num" w:pos="7337"/>
        </w:tabs>
        <w:ind w:left="7337" w:hanging="360"/>
      </w:pPr>
      <w:rPr>
        <w:rFonts w:ascii="Courier New" w:hAnsi="Courier New" w:hint="default"/>
      </w:rPr>
    </w:lvl>
    <w:lvl w:ilvl="8" w:tplc="04090005" w:tentative="1">
      <w:start w:val="1"/>
      <w:numFmt w:val="bullet"/>
      <w:lvlText w:val=""/>
      <w:lvlJc w:val="left"/>
      <w:pPr>
        <w:tabs>
          <w:tab w:val="num" w:pos="8057"/>
        </w:tabs>
        <w:ind w:left="8057" w:hanging="360"/>
      </w:pPr>
      <w:rPr>
        <w:rFonts w:ascii="Wingdings" w:hAnsi="Wingdings" w:hint="default"/>
      </w:rPr>
    </w:lvl>
  </w:abstractNum>
  <w:abstractNum w:abstractNumId="7">
    <w:nsid w:val="6EC13BE9"/>
    <w:multiLevelType w:val="singleLevel"/>
    <w:tmpl w:val="120A7276"/>
    <w:lvl w:ilvl="0">
      <w:start w:val="2"/>
      <w:numFmt w:val="lowerLetter"/>
      <w:lvlText w:val="%1."/>
      <w:lvlJc w:val="left"/>
      <w:pPr>
        <w:tabs>
          <w:tab w:val="num" w:pos="1440"/>
        </w:tabs>
        <w:ind w:left="1440" w:hanging="720"/>
      </w:pPr>
      <w:rPr>
        <w:rFonts w:hint="default"/>
      </w:rPr>
    </w:lvl>
  </w:abstractNum>
  <w:abstractNum w:abstractNumId="8">
    <w:nsid w:val="70181D10"/>
    <w:multiLevelType w:val="singleLevel"/>
    <w:tmpl w:val="37202A0E"/>
    <w:lvl w:ilvl="0">
      <w:start w:val="1"/>
      <w:numFmt w:val="upperLetter"/>
      <w:pStyle w:val="Heading1"/>
      <w:lvlText w:val="%1."/>
      <w:lvlJc w:val="left"/>
      <w:pPr>
        <w:tabs>
          <w:tab w:val="num" w:pos="720"/>
        </w:tabs>
        <w:ind w:left="720" w:hanging="720"/>
      </w:pPr>
      <w:rPr>
        <w:rFonts w:hint="default"/>
      </w:rPr>
    </w:lvl>
  </w:abstractNum>
  <w:abstractNum w:abstractNumId="9">
    <w:nsid w:val="718550C6"/>
    <w:multiLevelType w:val="singleLevel"/>
    <w:tmpl w:val="F76A3814"/>
    <w:lvl w:ilvl="0">
      <w:start w:val="1"/>
      <w:numFmt w:val="decimal"/>
      <w:lvlText w:val="%1."/>
      <w:lvlJc w:val="left"/>
      <w:pPr>
        <w:tabs>
          <w:tab w:val="num" w:pos="720"/>
        </w:tabs>
        <w:ind w:left="720" w:hanging="720"/>
      </w:pPr>
      <w:rPr>
        <w:rFonts w:hint="default"/>
      </w:rPr>
    </w:lvl>
  </w:abstractNum>
  <w:num w:numId="1">
    <w:abstractNumId w:val="8"/>
  </w:num>
  <w:num w:numId="2">
    <w:abstractNumId w:val="9"/>
  </w:num>
  <w:num w:numId="3">
    <w:abstractNumId w:val="7"/>
  </w:num>
  <w:num w:numId="4">
    <w:abstractNumId w:val="5"/>
  </w:num>
  <w:num w:numId="5">
    <w:abstractNumId w:val="4"/>
  </w:num>
  <w:num w:numId="6">
    <w:abstractNumId w:val="2"/>
  </w:num>
  <w:num w:numId="7">
    <w:abstractNumId w:val="1"/>
  </w:num>
  <w:num w:numId="8">
    <w:abstractNumId w:val="3"/>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E4F33"/>
    <w:rsid w:val="00000D00"/>
    <w:rsid w:val="00022367"/>
    <w:rsid w:val="000236F7"/>
    <w:rsid w:val="00026A61"/>
    <w:rsid w:val="0005391A"/>
    <w:rsid w:val="00064604"/>
    <w:rsid w:val="0009287A"/>
    <w:rsid w:val="000C14D5"/>
    <w:rsid w:val="000D0BEB"/>
    <w:rsid w:val="000D3C8C"/>
    <w:rsid w:val="000F0638"/>
    <w:rsid w:val="000F64BE"/>
    <w:rsid w:val="000F7875"/>
    <w:rsid w:val="00101885"/>
    <w:rsid w:val="0012241D"/>
    <w:rsid w:val="001226AF"/>
    <w:rsid w:val="001450AF"/>
    <w:rsid w:val="00154C4F"/>
    <w:rsid w:val="001658BF"/>
    <w:rsid w:val="00167FD3"/>
    <w:rsid w:val="001A1211"/>
    <w:rsid w:val="001B0938"/>
    <w:rsid w:val="001D43AB"/>
    <w:rsid w:val="00207EBA"/>
    <w:rsid w:val="00243A7B"/>
    <w:rsid w:val="00245276"/>
    <w:rsid w:val="00247342"/>
    <w:rsid w:val="00254ED7"/>
    <w:rsid w:val="002748ED"/>
    <w:rsid w:val="00283930"/>
    <w:rsid w:val="002923F5"/>
    <w:rsid w:val="00294535"/>
    <w:rsid w:val="002A577E"/>
    <w:rsid w:val="003131D3"/>
    <w:rsid w:val="00316BB2"/>
    <w:rsid w:val="00324F4C"/>
    <w:rsid w:val="003464FC"/>
    <w:rsid w:val="00376061"/>
    <w:rsid w:val="00394456"/>
    <w:rsid w:val="00415DE4"/>
    <w:rsid w:val="00421F3C"/>
    <w:rsid w:val="00422C82"/>
    <w:rsid w:val="00457838"/>
    <w:rsid w:val="004601CA"/>
    <w:rsid w:val="00462236"/>
    <w:rsid w:val="0048271D"/>
    <w:rsid w:val="004860ED"/>
    <w:rsid w:val="00490559"/>
    <w:rsid w:val="0049676A"/>
    <w:rsid w:val="004A0B8D"/>
    <w:rsid w:val="004A1138"/>
    <w:rsid w:val="004A31B3"/>
    <w:rsid w:val="004A6741"/>
    <w:rsid w:val="004B30BC"/>
    <w:rsid w:val="004B3B6B"/>
    <w:rsid w:val="004C42A8"/>
    <w:rsid w:val="004C79D9"/>
    <w:rsid w:val="004E3315"/>
    <w:rsid w:val="004F7525"/>
    <w:rsid w:val="00526305"/>
    <w:rsid w:val="005264E2"/>
    <w:rsid w:val="0052654F"/>
    <w:rsid w:val="00536DFA"/>
    <w:rsid w:val="005450ED"/>
    <w:rsid w:val="005B1EB1"/>
    <w:rsid w:val="005B20A5"/>
    <w:rsid w:val="005C52C6"/>
    <w:rsid w:val="005C53B0"/>
    <w:rsid w:val="005D2130"/>
    <w:rsid w:val="005D3000"/>
    <w:rsid w:val="005E6870"/>
    <w:rsid w:val="005F3CCC"/>
    <w:rsid w:val="00626548"/>
    <w:rsid w:val="0064222B"/>
    <w:rsid w:val="00684895"/>
    <w:rsid w:val="006B7367"/>
    <w:rsid w:val="006D57A1"/>
    <w:rsid w:val="006D6B10"/>
    <w:rsid w:val="006E0A4E"/>
    <w:rsid w:val="006E16C2"/>
    <w:rsid w:val="006E4425"/>
    <w:rsid w:val="006F19F4"/>
    <w:rsid w:val="007078AA"/>
    <w:rsid w:val="00734E5C"/>
    <w:rsid w:val="00747CAF"/>
    <w:rsid w:val="00754034"/>
    <w:rsid w:val="00754438"/>
    <w:rsid w:val="007619F9"/>
    <w:rsid w:val="00761CE3"/>
    <w:rsid w:val="00775F37"/>
    <w:rsid w:val="007964D5"/>
    <w:rsid w:val="00797791"/>
    <w:rsid w:val="007C6A2E"/>
    <w:rsid w:val="007E3728"/>
    <w:rsid w:val="007E3C3C"/>
    <w:rsid w:val="008019AD"/>
    <w:rsid w:val="008079D7"/>
    <w:rsid w:val="00807FA1"/>
    <w:rsid w:val="008105E4"/>
    <w:rsid w:val="0084124A"/>
    <w:rsid w:val="008638D7"/>
    <w:rsid w:val="00873F7B"/>
    <w:rsid w:val="00884CDC"/>
    <w:rsid w:val="008B2C20"/>
    <w:rsid w:val="008C3BE4"/>
    <w:rsid w:val="008C69D9"/>
    <w:rsid w:val="008F5970"/>
    <w:rsid w:val="00923528"/>
    <w:rsid w:val="00930BD7"/>
    <w:rsid w:val="009754DD"/>
    <w:rsid w:val="00975B70"/>
    <w:rsid w:val="009814BD"/>
    <w:rsid w:val="00995738"/>
    <w:rsid w:val="009E69F8"/>
    <w:rsid w:val="00A01D70"/>
    <w:rsid w:val="00A23A88"/>
    <w:rsid w:val="00A2558E"/>
    <w:rsid w:val="00A261A2"/>
    <w:rsid w:val="00A75D90"/>
    <w:rsid w:val="00A924B4"/>
    <w:rsid w:val="00AA599B"/>
    <w:rsid w:val="00AD4814"/>
    <w:rsid w:val="00AD4D10"/>
    <w:rsid w:val="00B435CA"/>
    <w:rsid w:val="00B467AE"/>
    <w:rsid w:val="00B82640"/>
    <w:rsid w:val="00B93364"/>
    <w:rsid w:val="00BA43EA"/>
    <w:rsid w:val="00BB0783"/>
    <w:rsid w:val="00BB4D21"/>
    <w:rsid w:val="00BE4F33"/>
    <w:rsid w:val="00C00B2E"/>
    <w:rsid w:val="00C44684"/>
    <w:rsid w:val="00C52095"/>
    <w:rsid w:val="00C717A0"/>
    <w:rsid w:val="00C7352F"/>
    <w:rsid w:val="00C75721"/>
    <w:rsid w:val="00C75B6D"/>
    <w:rsid w:val="00CC4DE6"/>
    <w:rsid w:val="00CD6EC5"/>
    <w:rsid w:val="00CE2427"/>
    <w:rsid w:val="00CE7026"/>
    <w:rsid w:val="00D00049"/>
    <w:rsid w:val="00D258B4"/>
    <w:rsid w:val="00D267B2"/>
    <w:rsid w:val="00D3796C"/>
    <w:rsid w:val="00D37F55"/>
    <w:rsid w:val="00D562A8"/>
    <w:rsid w:val="00D6035C"/>
    <w:rsid w:val="00D87229"/>
    <w:rsid w:val="00DB7011"/>
    <w:rsid w:val="00DE274C"/>
    <w:rsid w:val="00DF14A1"/>
    <w:rsid w:val="00E13F66"/>
    <w:rsid w:val="00E22529"/>
    <w:rsid w:val="00E2440B"/>
    <w:rsid w:val="00E76EE0"/>
    <w:rsid w:val="00EA156D"/>
    <w:rsid w:val="00EB32CE"/>
    <w:rsid w:val="00EC48CF"/>
    <w:rsid w:val="00EC4966"/>
    <w:rsid w:val="00EF2C78"/>
    <w:rsid w:val="00F00ED5"/>
    <w:rsid w:val="00F033E0"/>
    <w:rsid w:val="00F114C5"/>
    <w:rsid w:val="00F14C80"/>
    <w:rsid w:val="00F2690F"/>
    <w:rsid w:val="00F46E53"/>
    <w:rsid w:val="00F55722"/>
    <w:rsid w:val="00F678BD"/>
    <w:rsid w:val="00F7472E"/>
    <w:rsid w:val="00FA1297"/>
    <w:rsid w:val="00FC4211"/>
    <w:rsid w:val="00FD0C21"/>
    <w:rsid w:val="00FD23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3EA"/>
  </w:style>
  <w:style w:type="paragraph" w:styleId="Heading1">
    <w:name w:val="heading 1"/>
    <w:basedOn w:val="Normal"/>
    <w:next w:val="Normal"/>
    <w:qFormat/>
    <w:rsid w:val="00BA43EA"/>
    <w:pPr>
      <w:keepNext/>
      <w:numPr>
        <w:numId w:val="1"/>
      </w:numPr>
      <w:outlineLvl w:val="0"/>
    </w:pPr>
    <w:rPr>
      <w:sz w:val="24"/>
    </w:rPr>
  </w:style>
  <w:style w:type="paragraph" w:styleId="Heading2">
    <w:name w:val="heading 2"/>
    <w:basedOn w:val="Normal"/>
    <w:next w:val="Normal"/>
    <w:qFormat/>
    <w:rsid w:val="00BA43EA"/>
    <w:pPr>
      <w:keepNext/>
      <w:ind w:left="720"/>
      <w:jc w:val="center"/>
      <w:outlineLvl w:val="1"/>
    </w:pPr>
    <w:rPr>
      <w:b/>
      <w:bCs/>
      <w:sz w:val="24"/>
    </w:rPr>
  </w:style>
  <w:style w:type="paragraph" w:styleId="Heading3">
    <w:name w:val="heading 3"/>
    <w:basedOn w:val="Normal"/>
    <w:qFormat/>
    <w:rsid w:val="00BA43EA"/>
    <w:pPr>
      <w:spacing w:before="100" w:beforeAutospacing="1" w:after="100" w:afterAutospacing="1"/>
      <w:outlineLvl w:val="2"/>
    </w:pPr>
    <w:rPr>
      <w:rFonts w:ascii="Verdana" w:eastAsia="Arial Unicode MS" w:hAnsi="Verdana" w:cs="Arial Unicode MS"/>
      <w:b/>
      <w:bCs/>
      <w:color w:val="333333"/>
    </w:rPr>
  </w:style>
  <w:style w:type="paragraph" w:styleId="Heading4">
    <w:name w:val="heading 4"/>
    <w:basedOn w:val="Normal"/>
    <w:next w:val="Normal"/>
    <w:qFormat/>
    <w:rsid w:val="00BA43EA"/>
    <w:pPr>
      <w:keepNext/>
      <w:outlineLvl w:val="3"/>
    </w:pPr>
    <w:rPr>
      <w:b/>
      <w:bCs/>
    </w:rPr>
  </w:style>
  <w:style w:type="paragraph" w:styleId="Heading5">
    <w:name w:val="heading 5"/>
    <w:basedOn w:val="Normal"/>
    <w:next w:val="Normal"/>
    <w:qFormat/>
    <w:rsid w:val="00BA43EA"/>
    <w:pPr>
      <w:keepNext/>
      <w:jc w:val="right"/>
      <w:outlineLvl w:val="4"/>
    </w:pPr>
    <w:rPr>
      <w:rFonts w:eastAsia="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BA43EA"/>
    <w:pPr>
      <w:ind w:left="720"/>
    </w:pPr>
  </w:style>
  <w:style w:type="paragraph" w:styleId="Subtitle">
    <w:name w:val="Subtitle"/>
    <w:basedOn w:val="Normal"/>
    <w:qFormat/>
    <w:rsid w:val="00BA43EA"/>
    <w:rPr>
      <w:b/>
      <w:bCs/>
      <w:sz w:val="24"/>
    </w:rPr>
  </w:style>
  <w:style w:type="paragraph" w:styleId="Header">
    <w:name w:val="header"/>
    <w:basedOn w:val="Normal"/>
    <w:link w:val="HeaderChar"/>
    <w:uiPriority w:val="99"/>
    <w:rsid w:val="00BA43EA"/>
    <w:pPr>
      <w:tabs>
        <w:tab w:val="center" w:pos="4320"/>
        <w:tab w:val="right" w:pos="8640"/>
      </w:tabs>
    </w:pPr>
  </w:style>
  <w:style w:type="paragraph" w:styleId="Footer">
    <w:name w:val="footer"/>
    <w:basedOn w:val="Normal"/>
    <w:semiHidden/>
    <w:rsid w:val="00BA43EA"/>
    <w:pPr>
      <w:tabs>
        <w:tab w:val="center" w:pos="4320"/>
        <w:tab w:val="right" w:pos="8640"/>
      </w:tabs>
    </w:pPr>
  </w:style>
  <w:style w:type="character" w:styleId="PageNumber">
    <w:name w:val="page number"/>
    <w:basedOn w:val="DefaultParagraphFont"/>
    <w:semiHidden/>
    <w:rsid w:val="00BA43EA"/>
  </w:style>
  <w:style w:type="paragraph" w:styleId="Title">
    <w:name w:val="Title"/>
    <w:basedOn w:val="Normal"/>
    <w:qFormat/>
    <w:rsid w:val="00BA43EA"/>
    <w:pPr>
      <w:ind w:left="720"/>
      <w:jc w:val="center"/>
    </w:pPr>
    <w:rPr>
      <w:b/>
      <w:bCs/>
      <w:sz w:val="28"/>
    </w:rPr>
  </w:style>
  <w:style w:type="paragraph" w:styleId="BodyText">
    <w:name w:val="Body Text"/>
    <w:basedOn w:val="Normal"/>
    <w:semiHidden/>
    <w:rsid w:val="00BA43EA"/>
    <w:rPr>
      <w:i/>
      <w:sz w:val="24"/>
    </w:rPr>
  </w:style>
  <w:style w:type="paragraph" w:styleId="BodyTextIndent2">
    <w:name w:val="Body Text Indent 2"/>
    <w:basedOn w:val="Normal"/>
    <w:semiHidden/>
    <w:rsid w:val="00BA43EA"/>
    <w:pPr>
      <w:ind w:left="360"/>
    </w:pPr>
    <w:rPr>
      <w:sz w:val="24"/>
    </w:rPr>
  </w:style>
  <w:style w:type="paragraph" w:styleId="BodyTextIndent3">
    <w:name w:val="Body Text Indent 3"/>
    <w:basedOn w:val="Normal"/>
    <w:semiHidden/>
    <w:rsid w:val="00BA43EA"/>
    <w:pPr>
      <w:ind w:left="720"/>
    </w:pPr>
    <w:rPr>
      <w:i/>
      <w:iCs/>
      <w:sz w:val="24"/>
    </w:rPr>
  </w:style>
  <w:style w:type="paragraph" w:styleId="BodyText2">
    <w:name w:val="Body Text 2"/>
    <w:basedOn w:val="Normal"/>
    <w:semiHidden/>
    <w:rsid w:val="00BA43EA"/>
    <w:rPr>
      <w:sz w:val="24"/>
    </w:rPr>
  </w:style>
  <w:style w:type="paragraph" w:customStyle="1" w:styleId="Style">
    <w:name w:val="Style"/>
    <w:basedOn w:val="Normal"/>
    <w:rsid w:val="00BA43EA"/>
    <w:pPr>
      <w:widowControl w:val="0"/>
      <w:ind w:left="270" w:hanging="270"/>
    </w:pPr>
    <w:rPr>
      <w:snapToGrid w:val="0"/>
      <w:sz w:val="24"/>
    </w:rPr>
  </w:style>
  <w:style w:type="paragraph" w:styleId="BodyText3">
    <w:name w:val="Body Text 3"/>
    <w:basedOn w:val="Normal"/>
    <w:semiHidden/>
    <w:rsid w:val="00BA43EA"/>
    <w:pPr>
      <w:jc w:val="both"/>
    </w:pPr>
    <w:rPr>
      <w:i/>
      <w:iCs/>
      <w:sz w:val="24"/>
    </w:rPr>
  </w:style>
  <w:style w:type="character" w:styleId="Hyperlink">
    <w:name w:val="Hyperlink"/>
    <w:basedOn w:val="DefaultParagraphFont"/>
    <w:semiHidden/>
    <w:rsid w:val="00BA43EA"/>
    <w:rPr>
      <w:color w:val="0000FF"/>
      <w:u w:val="single"/>
    </w:rPr>
  </w:style>
  <w:style w:type="paragraph" w:styleId="FootnoteText">
    <w:name w:val="footnote text"/>
    <w:basedOn w:val="Normal"/>
    <w:semiHidden/>
    <w:rsid w:val="00BA43EA"/>
  </w:style>
  <w:style w:type="character" w:styleId="FootnoteReference">
    <w:name w:val="footnote reference"/>
    <w:basedOn w:val="DefaultParagraphFont"/>
    <w:semiHidden/>
    <w:rsid w:val="00BA43EA"/>
    <w:rPr>
      <w:vertAlign w:val="superscript"/>
    </w:rPr>
  </w:style>
  <w:style w:type="character" w:styleId="FollowedHyperlink">
    <w:name w:val="FollowedHyperlink"/>
    <w:basedOn w:val="DefaultParagraphFont"/>
    <w:semiHidden/>
    <w:rsid w:val="00BA43EA"/>
    <w:rPr>
      <w:color w:val="800080"/>
      <w:u w:val="single"/>
    </w:rPr>
  </w:style>
  <w:style w:type="paragraph" w:styleId="BalloonText">
    <w:name w:val="Balloon Text"/>
    <w:basedOn w:val="Normal"/>
    <w:semiHidden/>
    <w:rsid w:val="00BA43EA"/>
    <w:rPr>
      <w:rFonts w:ascii="Tahoma" w:hAnsi="Tahoma" w:cs="Tahoma"/>
      <w:sz w:val="16"/>
      <w:szCs w:val="16"/>
    </w:rPr>
  </w:style>
  <w:style w:type="character" w:customStyle="1" w:styleId="HeaderChar">
    <w:name w:val="Header Char"/>
    <w:basedOn w:val="DefaultParagraphFont"/>
    <w:link w:val="Header"/>
    <w:uiPriority w:val="99"/>
    <w:rsid w:val="00E22529"/>
  </w:style>
  <w:style w:type="character" w:styleId="CommentReference">
    <w:name w:val="annotation reference"/>
    <w:basedOn w:val="DefaultParagraphFont"/>
    <w:uiPriority w:val="99"/>
    <w:semiHidden/>
    <w:unhideWhenUsed/>
    <w:rsid w:val="00761CE3"/>
    <w:rPr>
      <w:sz w:val="16"/>
      <w:szCs w:val="16"/>
    </w:rPr>
  </w:style>
  <w:style w:type="paragraph" w:styleId="CommentText">
    <w:name w:val="annotation text"/>
    <w:basedOn w:val="Normal"/>
    <w:link w:val="CommentTextChar"/>
    <w:uiPriority w:val="99"/>
    <w:unhideWhenUsed/>
    <w:rsid w:val="00761CE3"/>
  </w:style>
  <w:style w:type="character" w:customStyle="1" w:styleId="CommentTextChar">
    <w:name w:val="Comment Text Char"/>
    <w:basedOn w:val="DefaultParagraphFont"/>
    <w:link w:val="CommentText"/>
    <w:uiPriority w:val="99"/>
    <w:rsid w:val="00761CE3"/>
  </w:style>
  <w:style w:type="paragraph" w:styleId="CommentSubject">
    <w:name w:val="annotation subject"/>
    <w:basedOn w:val="CommentText"/>
    <w:next w:val="CommentText"/>
    <w:link w:val="CommentSubjectChar"/>
    <w:uiPriority w:val="99"/>
    <w:semiHidden/>
    <w:unhideWhenUsed/>
    <w:rsid w:val="00761CE3"/>
    <w:rPr>
      <w:b/>
      <w:bCs/>
    </w:rPr>
  </w:style>
  <w:style w:type="character" w:customStyle="1" w:styleId="CommentSubjectChar">
    <w:name w:val="Comment Subject Char"/>
    <w:basedOn w:val="CommentTextChar"/>
    <w:link w:val="CommentSubject"/>
    <w:uiPriority w:val="99"/>
    <w:semiHidden/>
    <w:rsid w:val="00761CE3"/>
    <w:rPr>
      <w:b/>
      <w:bCs/>
    </w:rPr>
  </w:style>
  <w:style w:type="table" w:styleId="TableGrid">
    <w:name w:val="Table Grid"/>
    <w:basedOn w:val="TableNormal"/>
    <w:rsid w:val="00F557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79904-C9DB-4353-9E12-0361BB972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2404</Words>
  <Characters>13573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Education</Company>
  <LinksUpToDate>false</LinksUpToDate>
  <CharactersWithSpaces>15946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Department of Education</dc:creator>
  <cp:lastModifiedBy>Luisa Atkinson</cp:lastModifiedBy>
  <cp:revision>2</cp:revision>
  <cp:lastPrinted>2011-09-22T21:15:00Z</cp:lastPrinted>
  <dcterms:created xsi:type="dcterms:W3CDTF">2011-09-22T21:25:00Z</dcterms:created>
  <dcterms:modified xsi:type="dcterms:W3CDTF">2011-09-22T21:25:00Z</dcterms:modified>
</cp:coreProperties>
</file>