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6FF" w:rsidRDefault="00D276FF">
      <w:pPr>
        <w:jc w:val="center"/>
        <w:rPr>
          <w:b/>
        </w:rPr>
      </w:pPr>
      <w:bookmarkStart w:id="0" w:name="_GoBack"/>
      <w:bookmarkEnd w:id="0"/>
      <w:r>
        <w:rPr>
          <w:b/>
        </w:rPr>
        <w:t>SUPPORTING STATEMENT</w:t>
      </w:r>
    </w:p>
    <w:p w:rsidR="00D276FF" w:rsidRDefault="00D276FF">
      <w:pPr>
        <w:jc w:val="center"/>
        <w:rPr>
          <w:b/>
        </w:rPr>
      </w:pPr>
    </w:p>
    <w:p w:rsidR="00D276FF" w:rsidRDefault="0099220E">
      <w:pPr>
        <w:jc w:val="center"/>
        <w:rPr>
          <w:b/>
        </w:rPr>
      </w:pPr>
      <w:r>
        <w:rPr>
          <w:b/>
        </w:rPr>
        <w:t xml:space="preserve">BUREAU OF CONSUMER FINANCIAL </w:t>
      </w:r>
      <w:r w:rsidR="004C0BA6">
        <w:rPr>
          <w:b/>
        </w:rPr>
        <w:t xml:space="preserve">PROTECTION </w:t>
      </w:r>
    </w:p>
    <w:p w:rsidR="0024336C" w:rsidRDefault="0024336C">
      <w:pPr>
        <w:jc w:val="center"/>
        <w:rPr>
          <w:b/>
        </w:rPr>
      </w:pPr>
      <w:r>
        <w:rPr>
          <w:b/>
        </w:rPr>
        <w:t>RESEARCH IN DEVELOPMENT OF DISCLOSURE FORMS</w:t>
      </w:r>
    </w:p>
    <w:p w:rsidR="00D276FF" w:rsidRDefault="00D276FF">
      <w:pPr>
        <w:jc w:val="center"/>
        <w:rPr>
          <w:b/>
        </w:rPr>
      </w:pPr>
      <w:r>
        <w:rPr>
          <w:b/>
        </w:rPr>
        <w:t>GENERIC CLEARANCE</w:t>
      </w:r>
    </w:p>
    <w:p w:rsidR="00D276FF" w:rsidRDefault="00D276FF">
      <w:pPr>
        <w:jc w:val="center"/>
        <w:rPr>
          <w:b/>
        </w:rPr>
      </w:pPr>
    </w:p>
    <w:p w:rsidR="00D276FF" w:rsidRDefault="00D276FF">
      <w:pPr>
        <w:jc w:val="center"/>
        <w:rPr>
          <w:b/>
        </w:rPr>
      </w:pPr>
    </w:p>
    <w:p w:rsidR="00367F03" w:rsidRPr="00367F03" w:rsidRDefault="00367F03">
      <w:pPr>
        <w:rPr>
          <w:i/>
        </w:rPr>
      </w:pPr>
      <w:r w:rsidRPr="00367F03">
        <w:rPr>
          <w:i/>
        </w:rPr>
        <w:t>Abstract</w:t>
      </w:r>
    </w:p>
    <w:p w:rsidR="00411D31" w:rsidRDefault="00411D31"/>
    <w:p w:rsidR="00367F03" w:rsidRDefault="00260D97">
      <w:r w:rsidRPr="00260D97">
        <w:t xml:space="preserve">This </w:t>
      </w:r>
      <w:r w:rsidR="00367F03">
        <w:t xml:space="preserve">is a request for generic clearance by the </w:t>
      </w:r>
      <w:r w:rsidR="00DA5FF0">
        <w:t xml:space="preserve">Bureau of </w:t>
      </w:r>
      <w:r w:rsidR="00367F03">
        <w:t>Consumer Financial Protection</w:t>
      </w:r>
      <w:r w:rsidR="00AD64DE">
        <w:t xml:space="preserve"> </w:t>
      </w:r>
      <w:r w:rsidR="00367F03">
        <w:t>to conduct research</w:t>
      </w:r>
      <w:r w:rsidR="002A36C2">
        <w:t xml:space="preserve"> related to integrated mortgage loan disclosures</w:t>
      </w:r>
      <w:r w:rsidR="00367F03">
        <w:t xml:space="preserve">.  The research will result in recommendations for development of and revisions to disclosure forms and related materials provided to consumers in connection with obtaining mortgage loans.  </w:t>
      </w:r>
      <w:r w:rsidR="00A06A9C">
        <w:t>The research activities will be conducted primarily by external contractors employing cognitive psychological testing methods. This approach has been demonstrated to be feasible and valuable by other agencies in developing disclosures and other forms.</w:t>
      </w:r>
      <w:r w:rsidR="00D568B3">
        <w:t xml:space="preserve">  </w:t>
      </w:r>
      <w:r w:rsidR="00AF06C4">
        <w:t>The planned research activities will be conducted during FY 201</w:t>
      </w:r>
      <w:r w:rsidR="00D81DE9">
        <w:t>2</w:t>
      </w:r>
      <w:r w:rsidR="00AF06C4">
        <w:t xml:space="preserve"> through FY 2014 with the goal of creating effective disclosures and related materials for consumers.</w:t>
      </w:r>
    </w:p>
    <w:p w:rsidR="00367F03" w:rsidRPr="00367F03" w:rsidRDefault="00367F03"/>
    <w:p w:rsidR="00D276FF" w:rsidRDefault="00D276FF">
      <w:r>
        <w:rPr>
          <w:b/>
        </w:rPr>
        <w:t>A.</w:t>
      </w:r>
      <w:r>
        <w:rPr>
          <w:b/>
        </w:rPr>
        <w:tab/>
        <w:t>JUSTIFICATION</w:t>
      </w:r>
    </w:p>
    <w:p w:rsidR="00D276FF" w:rsidRDefault="00D276FF"/>
    <w:p w:rsidR="00D276FF" w:rsidRDefault="00D276FF">
      <w:pPr>
        <w:rPr>
          <w:u w:val="single"/>
        </w:rPr>
      </w:pPr>
      <w:r>
        <w:t>A1.</w:t>
      </w:r>
      <w:r>
        <w:tab/>
      </w:r>
      <w:r>
        <w:rPr>
          <w:u w:val="single"/>
        </w:rPr>
        <w:t>CIRCUMSTANCES NECESSITATING COLLECTION OF INFORMATION</w:t>
      </w:r>
    </w:p>
    <w:p w:rsidR="00D276FF" w:rsidRDefault="00D276FF">
      <w:pPr>
        <w:ind w:left="1080" w:hanging="720"/>
      </w:pPr>
    </w:p>
    <w:p w:rsidR="00C14DAB" w:rsidRDefault="00D276FF" w:rsidP="00C14DAB">
      <w:r>
        <w:t xml:space="preserve">This is a request for a three year generic clearance to </w:t>
      </w:r>
      <w:r w:rsidR="004C0BA6">
        <w:t>collect</w:t>
      </w:r>
      <w:r w:rsidR="004C0BA6" w:rsidRPr="004C0BA6">
        <w:t xml:space="preserve"> information to be used for </w:t>
      </w:r>
      <w:r w:rsidR="003B1661">
        <w:t xml:space="preserve">the development, evaluation, and implementation </w:t>
      </w:r>
      <w:r w:rsidR="004C0BA6" w:rsidRPr="004C0BA6">
        <w:t xml:space="preserve">of </w:t>
      </w:r>
      <w:r w:rsidR="0092375B">
        <w:t xml:space="preserve">integrated </w:t>
      </w:r>
      <w:r w:rsidR="004C0BA6" w:rsidRPr="004C0BA6">
        <w:t>m</w:t>
      </w:r>
      <w:r w:rsidR="004C0BA6">
        <w:t>ortgage loan disclosure forms</w:t>
      </w:r>
      <w:r w:rsidR="00C14DAB">
        <w:t xml:space="preserve"> and </w:t>
      </w:r>
      <w:r w:rsidR="00D81DE9">
        <w:t>related materials</w:t>
      </w:r>
      <w:r w:rsidR="00C14DAB">
        <w:t xml:space="preserve">.  </w:t>
      </w:r>
    </w:p>
    <w:p w:rsidR="00D44501" w:rsidRDefault="00D44501" w:rsidP="00C14DAB"/>
    <w:p w:rsidR="00D44501" w:rsidRDefault="00D44501" w:rsidP="00D44501">
      <w:r>
        <w:t>T</w:t>
      </w:r>
      <w:r w:rsidRPr="002828C7">
        <w:t xml:space="preserve">he Dodd-Frank Wall Street Reform and Consumer Protection Act, Public Law No. 111-203, Title X (the </w:t>
      </w:r>
      <w:r>
        <w:t>“</w:t>
      </w:r>
      <w:r w:rsidRPr="002828C7">
        <w:t>Dodd-Frank Act</w:t>
      </w:r>
      <w:r>
        <w:t>”</w:t>
      </w:r>
      <w:r w:rsidRPr="002828C7">
        <w:t>)</w:t>
      </w:r>
      <w:r>
        <w:t>,</w:t>
      </w:r>
      <w:r w:rsidRPr="002828C7">
        <w:t xml:space="preserve"> requires </w:t>
      </w:r>
      <w:r>
        <w:t>the Bureau of Consumer Financial Protection (“CFPB” or “Bureau”)</w:t>
      </w:r>
      <w:r w:rsidRPr="002828C7">
        <w:t xml:space="preserve"> to </w:t>
      </w:r>
      <w:r w:rsidR="000F6FBC">
        <w:t xml:space="preserve">publish </w:t>
      </w:r>
      <w:r w:rsidRPr="002828C7">
        <w:t xml:space="preserve">model disclosures that combine </w:t>
      </w:r>
      <w:r>
        <w:t xml:space="preserve">certain </w:t>
      </w:r>
      <w:r w:rsidRPr="002828C7">
        <w:t xml:space="preserve">disclosures required under the Truth in Lending Act </w:t>
      </w:r>
      <w:r>
        <w:t xml:space="preserve">(“TILA”) </w:t>
      </w:r>
      <w:r w:rsidRPr="002828C7">
        <w:t>and the Real Estate Settlement Procedures Act</w:t>
      </w:r>
      <w:r>
        <w:t xml:space="preserve"> (“RESPA”)</w:t>
      </w:r>
      <w:r w:rsidRPr="002828C7">
        <w:t xml:space="preserve">, into a single, integrated disclosure for mortgage loan transactions covered by those laws. </w:t>
      </w:r>
      <w:proofErr w:type="gramStart"/>
      <w:r>
        <w:t>Dodd-Frank Act §§ 1032, 1098, and 1100A.</w:t>
      </w:r>
      <w:proofErr w:type="gramEnd"/>
      <w:r>
        <w:t xml:space="preserve">  </w:t>
      </w:r>
    </w:p>
    <w:p w:rsidR="00107ACF" w:rsidRDefault="00107ACF" w:rsidP="00D44501"/>
    <w:p w:rsidR="002A36C2" w:rsidRDefault="002A36C2" w:rsidP="002A36C2">
      <w:r>
        <w:t xml:space="preserve">The statutory authorization under which the Bureau will conduct its data collection efforts is provided under the Dodd-Frank Act.  As a general matter, Section 1021(b)(1) of the Dodd-Frank Act authorizes the Bureau to exercise its authorities under Federal consumer financial law for the purposes of ensuring that, with respect to consumer financial products and services, consumers are provided with timely and understandable information to make responsible decisions about financial transactions.  </w:t>
      </w:r>
    </w:p>
    <w:p w:rsidR="002A36C2" w:rsidRDefault="002A36C2" w:rsidP="002A36C2"/>
    <w:p w:rsidR="002A36C2" w:rsidRDefault="002A36C2" w:rsidP="002A36C2">
      <w:r>
        <w:t xml:space="preserve">More specifically, Section 1032(f) of the Dodd-Frank Act requires the Bureau to propose for public comment no later than July 21, 2012 rules and model disclosures that combine the disclosures required under TILA and sections 4 and 5 of RESPA into a single, integrated disclosure for mortgage loan transactions covered by those laws.  Section 1032(c) further requires that, in prescribing rules under that section, the Bureau shall </w:t>
      </w:r>
      <w:r>
        <w:lastRenderedPageBreak/>
        <w:t>consider available evidence about consumer awareness, understanding of, and responses to the disclosures.  Finally, Section 1032(b) generally requires that model forms prescribed by the Bureau be validated through consumer testing.</w:t>
      </w:r>
    </w:p>
    <w:p w:rsidR="002A36C2" w:rsidRDefault="002A36C2" w:rsidP="00D44501"/>
    <w:p w:rsidR="00FB5C7F" w:rsidRDefault="00107ACF" w:rsidP="00FB5C7F">
      <w:r>
        <w:t xml:space="preserve">This generic clearance request will be used for the creation of the integrated </w:t>
      </w:r>
      <w:r w:rsidR="005D654C">
        <w:t xml:space="preserve">RESPA/TILA </w:t>
      </w:r>
      <w:r>
        <w:t>disclosure for mortgage loan transactions as required by the Dodd-Frank Act</w:t>
      </w:r>
      <w:r w:rsidR="00147C17">
        <w:t>, and related materials</w:t>
      </w:r>
      <w:r w:rsidR="0096796D">
        <w:t>, such as educational information posted on the Bureau’s website</w:t>
      </w:r>
      <w:r w:rsidR="00147C17">
        <w:t xml:space="preserve">.  </w:t>
      </w:r>
      <w:r w:rsidR="00C33520">
        <w:t xml:space="preserve">. </w:t>
      </w:r>
      <w:r w:rsidR="009D10B8">
        <w:t xml:space="preserve">Any testing conducted </w:t>
      </w:r>
      <w:r w:rsidR="00D97008">
        <w:t xml:space="preserve">under this generic clearance </w:t>
      </w:r>
      <w:r w:rsidR="009D10B8">
        <w:t xml:space="preserve">through cognitive labs, focus group testing, or using social </w:t>
      </w:r>
      <w:proofErr w:type="gramStart"/>
      <w:r w:rsidR="009D10B8">
        <w:t>media</w:t>
      </w:r>
      <w:r w:rsidR="002A36C2">
        <w:t xml:space="preserve"> </w:t>
      </w:r>
      <w:r w:rsidR="009D10B8">
        <w:t xml:space="preserve"> will</w:t>
      </w:r>
      <w:proofErr w:type="gramEnd"/>
      <w:r w:rsidR="009D10B8">
        <w:t xml:space="preserve"> only pertain to creation </w:t>
      </w:r>
      <w:r w:rsidR="005D02EB">
        <w:t xml:space="preserve">and evaluation </w:t>
      </w:r>
      <w:r w:rsidR="009D10B8">
        <w:t>of the integrated mortgage disclosure</w:t>
      </w:r>
      <w:r w:rsidR="00AB6FD1">
        <w:t xml:space="preserve"> and related materials</w:t>
      </w:r>
      <w:r w:rsidR="009D10B8">
        <w:t xml:space="preserve">. </w:t>
      </w:r>
      <w:r w:rsidR="00A47D47">
        <w:t>The Bureau initiated q</w:t>
      </w:r>
      <w:r w:rsidR="0092375B" w:rsidRPr="002828C7">
        <w:t>ual</w:t>
      </w:r>
      <w:r w:rsidR="001B078D">
        <w:t xml:space="preserve">itative </w:t>
      </w:r>
      <w:r w:rsidR="00A47D47">
        <w:t xml:space="preserve">testing </w:t>
      </w:r>
      <w:r w:rsidR="001B078D">
        <w:t xml:space="preserve">of the </w:t>
      </w:r>
      <w:r w:rsidR="00A47D47">
        <w:t xml:space="preserve">integrated mortgage loan disclosure </w:t>
      </w:r>
      <w:r w:rsidR="001B078D">
        <w:t>form</w:t>
      </w:r>
      <w:r w:rsidR="00A47D47">
        <w:t>s</w:t>
      </w:r>
      <w:r w:rsidR="00AD64DE">
        <w:t xml:space="preserve"> </w:t>
      </w:r>
      <w:r w:rsidR="0092375B" w:rsidRPr="002828C7">
        <w:t>in May 2011</w:t>
      </w:r>
      <w:r w:rsidR="001B078D">
        <w:t xml:space="preserve"> under </w:t>
      </w:r>
      <w:r w:rsidR="00FF048D">
        <w:t>an E</w:t>
      </w:r>
      <w:r w:rsidR="001B078D">
        <w:t xml:space="preserve">mergency </w:t>
      </w:r>
      <w:r w:rsidR="00FF048D">
        <w:t>C</w:t>
      </w:r>
      <w:r w:rsidR="001B078D">
        <w:t>learance</w:t>
      </w:r>
      <w:r w:rsidR="0092375B" w:rsidRPr="002828C7">
        <w:t xml:space="preserve">, to allow </w:t>
      </w:r>
      <w:r w:rsidR="0092375B">
        <w:t xml:space="preserve">for </w:t>
      </w:r>
      <w:r w:rsidR="001B078D">
        <w:t>qualitative testing of the initial integrated disclosure</w:t>
      </w:r>
      <w:r w:rsidR="00D568B3">
        <w:t xml:space="preserve"> </w:t>
      </w:r>
      <w:r w:rsidR="0092375B">
        <w:t xml:space="preserve">with sufficient time for analysis and </w:t>
      </w:r>
      <w:r w:rsidR="0092375B" w:rsidRPr="002828C7">
        <w:t xml:space="preserve">revisions </w:t>
      </w:r>
      <w:r w:rsidR="0092375B">
        <w:t>between each round</w:t>
      </w:r>
      <w:r w:rsidR="0092375B" w:rsidRPr="002828C7">
        <w:t xml:space="preserve">.  </w:t>
      </w:r>
      <w:r w:rsidR="001B078D">
        <w:t xml:space="preserve">The CFPB </w:t>
      </w:r>
      <w:r w:rsidR="00560889">
        <w:t xml:space="preserve">has </w:t>
      </w:r>
      <w:r w:rsidR="00157C9D">
        <w:t xml:space="preserve">conducted </w:t>
      </w:r>
      <w:r w:rsidR="00560889">
        <w:t>four rounds of qualitative testing thus far and will continue q</w:t>
      </w:r>
      <w:r w:rsidR="001B078D">
        <w:t xml:space="preserve">ualitative testing of </w:t>
      </w:r>
      <w:r w:rsidR="00560889">
        <w:t xml:space="preserve">the </w:t>
      </w:r>
      <w:r w:rsidR="001B078D">
        <w:t xml:space="preserve">integrated </w:t>
      </w:r>
      <w:r w:rsidR="00560889">
        <w:t xml:space="preserve">mortgage loan </w:t>
      </w:r>
      <w:r w:rsidR="001B078D">
        <w:t>disclosure form</w:t>
      </w:r>
      <w:r w:rsidR="00560889">
        <w:t>s as necessary</w:t>
      </w:r>
      <w:r w:rsidR="00B5683F">
        <w:t xml:space="preserve"> under this </w:t>
      </w:r>
      <w:r w:rsidR="00157C9D">
        <w:t>G</w:t>
      </w:r>
      <w:r w:rsidR="00B5683F">
        <w:t xml:space="preserve">eneric </w:t>
      </w:r>
      <w:r w:rsidR="00157C9D">
        <w:t>Clearance</w:t>
      </w:r>
      <w:r w:rsidR="00B5683F">
        <w:t>.</w:t>
      </w:r>
      <w:r w:rsidR="00560889">
        <w:t xml:space="preserve"> The CFPB will </w:t>
      </w:r>
      <w:r w:rsidR="00157C9D">
        <w:t xml:space="preserve">conduct additional </w:t>
      </w:r>
      <w:r w:rsidR="00560889">
        <w:t xml:space="preserve">qualitative testing </w:t>
      </w:r>
      <w:r w:rsidR="00157C9D">
        <w:t xml:space="preserve">to develop and evaluate the </w:t>
      </w:r>
      <w:r w:rsidR="00560889">
        <w:t xml:space="preserve">integrated disclosure </w:t>
      </w:r>
      <w:r w:rsidR="00157C9D">
        <w:t xml:space="preserve">to </w:t>
      </w:r>
      <w:r w:rsidR="00560889">
        <w:t xml:space="preserve">be provided </w:t>
      </w:r>
      <w:r w:rsidR="00157C9D">
        <w:t xml:space="preserve">in connection with the consummation of the </w:t>
      </w:r>
      <w:r w:rsidR="00560889">
        <w:t>mortgage loan</w:t>
      </w:r>
      <w:r w:rsidR="00157C9D">
        <w:t xml:space="preserve"> transaction</w:t>
      </w:r>
      <w:r w:rsidR="00560889">
        <w:t xml:space="preserve">. </w:t>
      </w:r>
      <w:r w:rsidR="00FB5C7F">
        <w:t xml:space="preserve"> The CFPB will work with external contractors on research and forms development activities.  </w:t>
      </w:r>
    </w:p>
    <w:p w:rsidR="00FB5C7F" w:rsidRDefault="00FB5C7F" w:rsidP="00700885"/>
    <w:p w:rsidR="00142F6C" w:rsidRDefault="00BA009A" w:rsidP="00700885">
      <w:r>
        <w:t xml:space="preserve">In addition, the Bureau </w:t>
      </w:r>
      <w:r w:rsidR="00F70D07">
        <w:t>may</w:t>
      </w:r>
      <w:r>
        <w:t xml:space="preserve"> perform qualitative testing of other model</w:t>
      </w:r>
      <w:r w:rsidR="00F70D07">
        <w:t xml:space="preserve"> disclosures or materials related to the integrated mortgage loan disclosures</w:t>
      </w:r>
      <w:r>
        <w:t xml:space="preserve">, </w:t>
      </w:r>
      <w:r w:rsidR="00700885">
        <w:t>such as instructions for loan originators</w:t>
      </w:r>
      <w:r w:rsidR="00495565">
        <w:t xml:space="preserve">, </w:t>
      </w:r>
      <w:r w:rsidR="00700885">
        <w:t>tools to assist consumers in understanding the disclosures and loan products and features, other mortgage loan-related disclosures</w:t>
      </w:r>
      <w:r w:rsidR="00495565">
        <w:t>, and lender usability</w:t>
      </w:r>
      <w:r w:rsidR="00700885">
        <w:t xml:space="preserve">.  </w:t>
      </w:r>
    </w:p>
    <w:p w:rsidR="00142F6C" w:rsidRDefault="00142F6C" w:rsidP="0092375B">
      <w:pPr>
        <w:ind w:left="720"/>
      </w:pPr>
    </w:p>
    <w:p w:rsidR="00CC4AAF" w:rsidRDefault="00142F6C" w:rsidP="00CC4AAF">
      <w:r>
        <w:t xml:space="preserve">Additionally, the CFPB </w:t>
      </w:r>
      <w:r w:rsidR="00CD5F68">
        <w:t xml:space="preserve">anticipates </w:t>
      </w:r>
      <w:r>
        <w:t>engag</w:t>
      </w:r>
      <w:r w:rsidR="00CD5F68">
        <w:t>ing</w:t>
      </w:r>
      <w:r w:rsidR="00AD64DE">
        <w:t xml:space="preserve"> </w:t>
      </w:r>
      <w:r>
        <w:t xml:space="preserve">the public </w:t>
      </w:r>
      <w:r w:rsidR="00E1040B">
        <w:t xml:space="preserve">to obtain feedback </w:t>
      </w:r>
      <w:r w:rsidR="009865F0">
        <w:t xml:space="preserve">about the </w:t>
      </w:r>
      <w:r w:rsidR="00AE759D">
        <w:t xml:space="preserve">draft </w:t>
      </w:r>
      <w:r w:rsidR="009865F0">
        <w:t xml:space="preserve">integrated mortgage loan disclosures and related materials </w:t>
      </w:r>
      <w:r w:rsidR="00BA009A">
        <w:t>before formal notice and comment of proposed rules</w:t>
      </w:r>
      <w:r>
        <w:t xml:space="preserve">.  </w:t>
      </w:r>
      <w:r w:rsidRPr="002828C7">
        <w:t xml:space="preserve">The collection of data </w:t>
      </w:r>
      <w:r w:rsidR="00EB2C95">
        <w:t xml:space="preserve">from the public before notice and comment, such as </w:t>
      </w:r>
      <w:r w:rsidRPr="002828C7">
        <w:t xml:space="preserve">through </w:t>
      </w:r>
      <w:r w:rsidR="009E2820">
        <w:t xml:space="preserve">the Know </w:t>
      </w:r>
      <w:proofErr w:type="gramStart"/>
      <w:r w:rsidR="009E2820">
        <w:t>Before</w:t>
      </w:r>
      <w:proofErr w:type="gramEnd"/>
      <w:r w:rsidR="009E2820">
        <w:t xml:space="preserve"> You Owe site on the CFPB website, </w:t>
      </w:r>
      <w:r>
        <w:t>allows the Bureau to</w:t>
      </w:r>
      <w:r w:rsidR="00EB2C95">
        <w:t xml:space="preserve"> obtain a wide</w:t>
      </w:r>
      <w:r w:rsidRPr="002828C7">
        <w:t xml:space="preserve"> variety of perspectives</w:t>
      </w:r>
      <w:r w:rsidR="00EA38C7">
        <w:t xml:space="preserve"> to supplement </w:t>
      </w:r>
      <w:r w:rsidR="00EB2C95">
        <w:t xml:space="preserve">the qualitative testing.  </w:t>
      </w:r>
      <w:r w:rsidR="00CC4AAF" w:rsidRPr="002828C7">
        <w:t>This methodology supports the Administration’s core goals of transparency, which “promotes accountability by providing the public with information about what the Government is doing,” and participation, which “allows members of the public to contribute ideas and expertise so that their government can make policies with the benefit of information that is widely dispersed in society.”</w:t>
      </w:r>
      <w:r w:rsidR="00CC4AAF" w:rsidRPr="002828C7">
        <w:rPr>
          <w:rStyle w:val="FootnoteReference"/>
        </w:rPr>
        <w:footnoteReference w:id="1"/>
      </w:r>
      <w:r w:rsidR="00D568B3">
        <w:t xml:space="preserve">  </w:t>
      </w:r>
      <w:r>
        <w:t xml:space="preserve">This </w:t>
      </w:r>
      <w:r w:rsidR="0011284E">
        <w:t>approach</w:t>
      </w:r>
      <w:r w:rsidR="006A4D02">
        <w:t xml:space="preserve">, which </w:t>
      </w:r>
      <w:r w:rsidR="0011284E">
        <w:t xml:space="preserve">was used </w:t>
      </w:r>
      <w:r w:rsidR="006A4D02">
        <w:t xml:space="preserve">by the Bureau </w:t>
      </w:r>
      <w:r w:rsidR="0011284E">
        <w:t xml:space="preserve">in its development of the </w:t>
      </w:r>
      <w:r w:rsidR="006A4D02">
        <w:t>integrated mortgage loan disclosure,</w:t>
      </w:r>
      <w:r>
        <w:t xml:space="preserve"> has been praised by both consumer groups and industry.</w:t>
      </w:r>
      <w:r w:rsidR="006A4D02">
        <w:rPr>
          <w:rStyle w:val="FootnoteReference"/>
        </w:rPr>
        <w:footnoteReference w:id="2"/>
      </w:r>
    </w:p>
    <w:p w:rsidR="00BF2890" w:rsidRDefault="00BF2890" w:rsidP="00823988"/>
    <w:p w:rsidR="00D276FF" w:rsidRDefault="001D7113" w:rsidP="00823988">
      <w:r>
        <w:t>T</w:t>
      </w:r>
      <w:r w:rsidR="00D276FF">
        <w:t>he use of</w:t>
      </w:r>
      <w:r w:rsidR="00CF0040">
        <w:t xml:space="preserve"> a</w:t>
      </w:r>
      <w:r w:rsidR="00D276FF">
        <w:t xml:space="preserve"> generic clearance will allow the </w:t>
      </w:r>
      <w:r w:rsidR="00BF2890">
        <w:t xml:space="preserve">CFPB </w:t>
      </w:r>
      <w:r w:rsidR="00D276FF">
        <w:t>to o</w:t>
      </w:r>
      <w:r w:rsidR="00C02230">
        <w:t>btain useful data in a timely manner</w:t>
      </w:r>
      <w:r w:rsidR="002972F0">
        <w:t xml:space="preserve">.  The design and testing of mortgage loan disclosures require numerous iterations of disclosure forms and rounds of qualitative testing of those iterations.  This process is time and resource intensive, </w:t>
      </w:r>
      <w:r w:rsidR="00CF0040">
        <w:t>requiring a thorough analysis of the data collected from each round,</w:t>
      </w:r>
      <w:r w:rsidR="00421089">
        <w:t xml:space="preserve"> revision of </w:t>
      </w:r>
      <w:r w:rsidR="00CF0040">
        <w:t>the disclosures based on th</w:t>
      </w:r>
      <w:r w:rsidR="00730708">
        <w:t>ose</w:t>
      </w:r>
      <w:r w:rsidR="00CF0040">
        <w:t xml:space="preserve"> data, </w:t>
      </w:r>
      <w:r w:rsidR="00421089">
        <w:t xml:space="preserve">and a revision of </w:t>
      </w:r>
      <w:r w:rsidR="00CF0040">
        <w:t xml:space="preserve">the specific questions </w:t>
      </w:r>
      <w:r w:rsidR="00421089">
        <w:t xml:space="preserve">that will be </w:t>
      </w:r>
      <w:r w:rsidR="00CF0040">
        <w:t>asked at qualitative testing</w:t>
      </w:r>
      <w:r w:rsidR="00421089">
        <w:t xml:space="preserve"> to match the disclosures</w:t>
      </w:r>
      <w:r w:rsidR="00CF0040">
        <w:t>.  A</w:t>
      </w:r>
      <w:r w:rsidR="002972F0">
        <w:t xml:space="preserve"> generic clearance </w:t>
      </w:r>
      <w:r w:rsidR="00CF0040">
        <w:t xml:space="preserve">for this process </w:t>
      </w:r>
      <w:r w:rsidR="002972F0">
        <w:t xml:space="preserve">will allow the Bureau to focus </w:t>
      </w:r>
      <w:r w:rsidR="00CF0040">
        <w:t xml:space="preserve">its efforts </w:t>
      </w:r>
      <w:r w:rsidR="002972F0">
        <w:t xml:space="preserve">on </w:t>
      </w:r>
      <w:r w:rsidR="00421089">
        <w:t xml:space="preserve">disclosure design </w:t>
      </w:r>
      <w:r w:rsidR="002972F0">
        <w:t xml:space="preserve">and </w:t>
      </w:r>
      <w:r w:rsidR="00274DF8">
        <w:t>evaluation</w:t>
      </w:r>
      <w:r w:rsidR="00421089">
        <w:t xml:space="preserve">, so that the Bureau </w:t>
      </w:r>
      <w:r w:rsidR="00CF0040">
        <w:t xml:space="preserve">may </w:t>
      </w:r>
      <w:r w:rsidR="00421089">
        <w:t xml:space="preserve">conduct them in an as </w:t>
      </w:r>
      <w:r w:rsidR="00CF0040">
        <w:t>efficient and timely manner</w:t>
      </w:r>
      <w:r w:rsidR="00421089">
        <w:t xml:space="preserve"> as possible</w:t>
      </w:r>
      <w:r w:rsidR="00CF0040">
        <w:t xml:space="preserve">. </w:t>
      </w:r>
    </w:p>
    <w:p w:rsidR="00CF0040" w:rsidRDefault="00CF0040" w:rsidP="00823988"/>
    <w:p w:rsidR="00D276FF" w:rsidRDefault="00D276FF" w:rsidP="00823988">
      <w:r>
        <w:t>An internal review of all proposed data collections will be performed to ensure the following:</w:t>
      </w:r>
    </w:p>
    <w:p w:rsidR="002078E5" w:rsidRDefault="002078E5" w:rsidP="00823988"/>
    <w:p w:rsidR="00D276FF" w:rsidRDefault="00D276FF" w:rsidP="00823988">
      <w:pPr>
        <w:pStyle w:val="ListParagraph"/>
        <w:numPr>
          <w:ilvl w:val="0"/>
          <w:numId w:val="4"/>
        </w:numPr>
      </w:pPr>
      <w:r>
        <w:t xml:space="preserve">Consistency with </w:t>
      </w:r>
      <w:r w:rsidR="00C02230">
        <w:t>CFPB</w:t>
      </w:r>
      <w:r>
        <w:t xml:space="preserve"> mission and strategic objectives</w:t>
      </w:r>
      <w:r w:rsidR="00984DB6">
        <w:t>;</w:t>
      </w:r>
    </w:p>
    <w:p w:rsidR="00D276FF" w:rsidRDefault="00D276FF" w:rsidP="00823988">
      <w:pPr>
        <w:pStyle w:val="ListParagraph"/>
        <w:numPr>
          <w:ilvl w:val="0"/>
          <w:numId w:val="4"/>
        </w:numPr>
      </w:pPr>
      <w:r>
        <w:t>Technical adequacy in issues</w:t>
      </w:r>
      <w:r w:rsidR="00C02230">
        <w:t>,</w:t>
      </w:r>
      <w:r>
        <w:t xml:space="preserve"> such as fra</w:t>
      </w:r>
      <w:r w:rsidR="00F335D6">
        <w:t xml:space="preserve">me, participant and sample selection, </w:t>
      </w:r>
      <w:r>
        <w:t>recording and analysis</w:t>
      </w:r>
      <w:r w:rsidR="00984DB6">
        <w:t>;</w:t>
      </w:r>
    </w:p>
    <w:p w:rsidR="00D276FF" w:rsidRDefault="00D276FF" w:rsidP="00823988">
      <w:pPr>
        <w:pStyle w:val="ListParagraph"/>
        <w:numPr>
          <w:ilvl w:val="0"/>
          <w:numId w:val="4"/>
        </w:numPr>
      </w:pPr>
      <w:r>
        <w:t xml:space="preserve">Minimized burden on the </w:t>
      </w:r>
      <w:r w:rsidR="00F335D6">
        <w:t>participants</w:t>
      </w:r>
      <w:r w:rsidR="00984DB6">
        <w:t>;</w:t>
      </w:r>
    </w:p>
    <w:p w:rsidR="00D276FF" w:rsidRDefault="009B09B3" w:rsidP="00823988">
      <w:pPr>
        <w:pStyle w:val="ListParagraph"/>
        <w:numPr>
          <w:ilvl w:val="0"/>
          <w:numId w:val="4"/>
        </w:numPr>
      </w:pPr>
      <w:r>
        <w:t>Privacy</w:t>
      </w:r>
      <w:r w:rsidR="00D276FF">
        <w:t xml:space="preserve"> of</w:t>
      </w:r>
      <w:r w:rsidR="00F335D6">
        <w:t xml:space="preserve"> participants and internet</w:t>
      </w:r>
      <w:r w:rsidR="00D276FF">
        <w:t xml:space="preserve"> respon</w:t>
      </w:r>
      <w:r w:rsidR="00CB11D2">
        <w:t>dents</w:t>
      </w:r>
      <w:r w:rsidR="00B8013C">
        <w:t xml:space="preserve"> </w:t>
      </w:r>
      <w:r>
        <w:t>information</w:t>
      </w:r>
      <w:r w:rsidR="00B8013C">
        <w:t xml:space="preserve"> to the extent </w:t>
      </w:r>
      <w:r>
        <w:t xml:space="preserve">permitted </w:t>
      </w:r>
      <w:r w:rsidR="00B8013C">
        <w:t xml:space="preserve">by </w:t>
      </w:r>
      <w:r w:rsidR="000B7AFE">
        <w:t>law, including</w:t>
      </w:r>
      <w:r w:rsidR="00B8013C">
        <w:t xml:space="preserve"> section 1022(c)(8) of the Dodd-Frank Wall Street Reform and Consumer Protection Act</w:t>
      </w:r>
      <w:r w:rsidR="008878A3">
        <w:t xml:space="preserve"> </w:t>
      </w:r>
      <w:r w:rsidR="00B8013C">
        <w:t>and other applicable laws</w:t>
      </w:r>
      <w:r w:rsidR="00984DB6">
        <w:t>;</w:t>
      </w:r>
    </w:p>
    <w:p w:rsidR="00D276FF" w:rsidRDefault="00D276FF" w:rsidP="00823988">
      <w:pPr>
        <w:pStyle w:val="ListParagraph"/>
        <w:numPr>
          <w:ilvl w:val="0"/>
          <w:numId w:val="4"/>
        </w:numPr>
      </w:pPr>
      <w:r>
        <w:t>Consistency with this generic clearance</w:t>
      </w:r>
      <w:r w:rsidR="00984DB6">
        <w:t>;</w:t>
      </w:r>
    </w:p>
    <w:p w:rsidR="00D276FF" w:rsidRDefault="00D276FF" w:rsidP="00823988">
      <w:pPr>
        <w:pStyle w:val="ListParagraph"/>
        <w:numPr>
          <w:ilvl w:val="0"/>
          <w:numId w:val="4"/>
        </w:numPr>
      </w:pPr>
      <w:r>
        <w:t>Consistency with applicable law and regulation</w:t>
      </w:r>
      <w:r w:rsidR="00984DB6">
        <w:t>; and</w:t>
      </w:r>
    </w:p>
    <w:p w:rsidR="00D276FF" w:rsidRDefault="00D276FF" w:rsidP="00823988">
      <w:pPr>
        <w:pStyle w:val="ListParagraph"/>
        <w:numPr>
          <w:ilvl w:val="0"/>
          <w:numId w:val="4"/>
        </w:numPr>
      </w:pPr>
      <w:r>
        <w:t>All data collections are truly voluntary</w:t>
      </w:r>
      <w:r w:rsidR="00984DB6">
        <w:t>.</w:t>
      </w:r>
    </w:p>
    <w:p w:rsidR="00D276FF" w:rsidRDefault="00D276FF"/>
    <w:p w:rsidR="00C6091F" w:rsidRDefault="00D276FF" w:rsidP="00097867">
      <w:pPr>
        <w:rPr>
          <w:u w:val="single"/>
        </w:rPr>
      </w:pPr>
      <w:r>
        <w:t>A2.</w:t>
      </w:r>
      <w:r>
        <w:tab/>
      </w:r>
      <w:r>
        <w:rPr>
          <w:u w:val="single"/>
        </w:rPr>
        <w:t>USE OF DATA</w:t>
      </w:r>
    </w:p>
    <w:p w:rsidR="00C6091F" w:rsidRDefault="00C6091F" w:rsidP="00097867">
      <w:pPr>
        <w:rPr>
          <w:u w:val="single"/>
        </w:rPr>
      </w:pPr>
    </w:p>
    <w:p w:rsidR="00097867" w:rsidRDefault="00C02230" w:rsidP="00097867">
      <w:r w:rsidRPr="002828C7">
        <w:t xml:space="preserve">The data collected will be used to inform the CFPB’s </w:t>
      </w:r>
      <w:r w:rsidR="00FB0DEC">
        <w:t>design</w:t>
      </w:r>
      <w:r w:rsidR="000A093E">
        <w:t xml:space="preserve"> and </w:t>
      </w:r>
      <w:r w:rsidR="00097867">
        <w:t xml:space="preserve">development </w:t>
      </w:r>
      <w:r w:rsidR="00F1212C">
        <w:t xml:space="preserve">process </w:t>
      </w:r>
      <w:r w:rsidR="00097867">
        <w:t>and evaluation</w:t>
      </w:r>
      <w:r w:rsidR="00AD64DE">
        <w:t xml:space="preserve"> </w:t>
      </w:r>
      <w:r w:rsidRPr="002828C7">
        <w:t xml:space="preserve">of the mandated integrated </w:t>
      </w:r>
      <w:r w:rsidR="00097867">
        <w:t xml:space="preserve">mortgage loan </w:t>
      </w:r>
      <w:r w:rsidRPr="002828C7">
        <w:t xml:space="preserve">disclosure </w:t>
      </w:r>
      <w:r w:rsidR="00097867">
        <w:t>forms and other model disclosure forms</w:t>
      </w:r>
      <w:r w:rsidR="00F1212C">
        <w:t xml:space="preserve"> and related materials</w:t>
      </w:r>
      <w:r w:rsidRPr="002828C7">
        <w:t xml:space="preserve">.  </w:t>
      </w:r>
      <w:r w:rsidR="009641A4">
        <w:t xml:space="preserve">The </w:t>
      </w:r>
      <w:r w:rsidR="000A093E">
        <w:t xml:space="preserve">research </w:t>
      </w:r>
      <w:r w:rsidR="009641A4">
        <w:t xml:space="preserve">may use </w:t>
      </w:r>
      <w:r w:rsidR="00097867">
        <w:t>fo</w:t>
      </w:r>
      <w:r w:rsidR="009641A4">
        <w:t xml:space="preserve">cus group sessions, think-aloud </w:t>
      </w:r>
      <w:r w:rsidR="00097867">
        <w:t xml:space="preserve">interviews, and usability studies. </w:t>
      </w:r>
      <w:r w:rsidR="00D568B3">
        <w:t xml:space="preserve"> </w:t>
      </w:r>
      <w:r w:rsidR="00097867">
        <w:t>Data</w:t>
      </w:r>
      <w:r w:rsidR="00AD64DE">
        <w:t xml:space="preserve"> </w:t>
      </w:r>
      <w:r w:rsidR="00097867">
        <w:t>collect</w:t>
      </w:r>
      <w:r w:rsidR="009641A4">
        <w:t xml:space="preserve">ion tools will include: consent </w:t>
      </w:r>
      <w:r w:rsidR="00097867">
        <w:t>for</w:t>
      </w:r>
      <w:r w:rsidR="009641A4">
        <w:t xml:space="preserve">ms; </w:t>
      </w:r>
      <w:r w:rsidR="00AB6FD1">
        <w:t xml:space="preserve">brief </w:t>
      </w:r>
      <w:r w:rsidR="009641A4">
        <w:t xml:space="preserve">participant questionnaires; </w:t>
      </w:r>
      <w:r w:rsidR="00AB6FD1">
        <w:t xml:space="preserve">brief, focused </w:t>
      </w:r>
      <w:r w:rsidR="00097867">
        <w:t>protocol</w:t>
      </w:r>
      <w:r w:rsidR="009641A4">
        <w:t xml:space="preserve">s for individual interviews and </w:t>
      </w:r>
      <w:r w:rsidR="00097867">
        <w:t>focus gr</w:t>
      </w:r>
      <w:r w:rsidR="009641A4">
        <w:t xml:space="preserve">oups; and tools that seek input </w:t>
      </w:r>
      <w:r w:rsidR="00097867">
        <w:t>from</w:t>
      </w:r>
      <w:r w:rsidR="009641A4">
        <w:t xml:space="preserve"> a larger community through the </w:t>
      </w:r>
      <w:r w:rsidR="00097867">
        <w:t>internet.</w:t>
      </w:r>
    </w:p>
    <w:p w:rsidR="00097867" w:rsidRDefault="00097867" w:rsidP="00C02230"/>
    <w:p w:rsidR="00AB6FD1" w:rsidRDefault="009641A4" w:rsidP="00AB6FD1">
      <w:r>
        <w:t>The information</w:t>
      </w:r>
      <w:r w:rsidR="00C02230" w:rsidRPr="002828C7">
        <w:t xml:space="preserve"> collected </w:t>
      </w:r>
      <w:r w:rsidR="00E908DC">
        <w:t xml:space="preserve">during qualitative testing of the disclosure designs </w:t>
      </w:r>
      <w:r w:rsidR="00C02230" w:rsidRPr="002828C7">
        <w:t>will inform the disclosure form’s design and content, using an iterative process to improve the draft disclosure form</w:t>
      </w:r>
      <w:r>
        <w:t xml:space="preserve">s.  The data (consisting of notes </w:t>
      </w:r>
      <w:r w:rsidR="00C02230" w:rsidRPr="002828C7">
        <w:t>and audio- and video-recordings</w:t>
      </w:r>
      <w:r>
        <w:t xml:space="preserve"> from the focus groups or interviews</w:t>
      </w:r>
      <w:r w:rsidR="00C02230" w:rsidRPr="002828C7">
        <w:t xml:space="preserve">) will be coded and analyzed by </w:t>
      </w:r>
      <w:r w:rsidR="00CB11D2">
        <w:t xml:space="preserve">the external contractor </w:t>
      </w:r>
      <w:r w:rsidR="00C02230" w:rsidRPr="002828C7">
        <w:t xml:space="preserve">to determine what elements of the form are effective and which need revision.  The data will be shared with the CFPB staff working on the disclosure project to inform their decisions on revisions to the disclosure form.  </w:t>
      </w:r>
      <w:r w:rsidR="00AB6FD1">
        <w:t xml:space="preserve">The iterative development process will improve the </w:t>
      </w:r>
      <w:r w:rsidR="00AB6FD1">
        <w:lastRenderedPageBreak/>
        <w:t>disclosure forms — in terms of accessibility, content, and/or opportunity to demonstrate understanding.</w:t>
      </w:r>
    </w:p>
    <w:p w:rsidR="00953C6C" w:rsidRDefault="00953C6C" w:rsidP="00C02230"/>
    <w:p w:rsidR="00C02230" w:rsidRDefault="00953C6C" w:rsidP="00C02230">
      <w:r>
        <w:t>CFPB staff and its contractors will design, conduct, and interpret field research that contributes new knowledge of cognitive aspects of human behavior in relationship to forms.  Methods include such techniques as probe questioning, group discussion, and intensive interviewing.  Depending on research goals, these methods may be used separately or in combination with one another.</w:t>
      </w:r>
    </w:p>
    <w:p w:rsidR="00953C6C" w:rsidRDefault="00953C6C" w:rsidP="00C02230"/>
    <w:p w:rsidR="00953C6C" w:rsidRDefault="002E7D63" w:rsidP="00C02230">
      <w:r>
        <w:t xml:space="preserve">This research is formative and will clearly be portrayed as such in any presentation of the results.  </w:t>
      </w:r>
      <w:r w:rsidR="00953C6C">
        <w:t>The results of this research will be shared with others by way of reports and/or publications and presentations to professional societies.</w:t>
      </w:r>
      <w:r w:rsidR="005E62D7">
        <w:t xml:space="preserve"> </w:t>
      </w:r>
      <w:r w:rsidR="00D568B3">
        <w:t xml:space="preserve"> </w:t>
      </w:r>
      <w:r w:rsidR="005E62D7">
        <w:t>The research is expected to result in improved disclosures and related materials.</w:t>
      </w:r>
    </w:p>
    <w:p w:rsidR="00953C6C" w:rsidRPr="002828C7" w:rsidRDefault="00953C6C" w:rsidP="00C02230"/>
    <w:p w:rsidR="00C02230" w:rsidRDefault="00C02230" w:rsidP="00C02230">
      <w:r w:rsidRPr="002828C7">
        <w:t xml:space="preserve">The information collected on CFPB’s website will further inform </w:t>
      </w:r>
      <w:r w:rsidR="00A353CE">
        <w:t>CFPB’s activities in creating and revising the disclosure forms and related materials</w:t>
      </w:r>
      <w:r w:rsidR="0076224B">
        <w:t xml:space="preserve">.  For example, the CFPB may develop </w:t>
      </w:r>
      <w:r w:rsidR="009641A4">
        <w:t>information to educate consumers on certain aspects of the integrated mortgage loan disclosures</w:t>
      </w:r>
      <w:r w:rsidR="003C0741">
        <w:t xml:space="preserve"> or tools to help consumers better understand the</w:t>
      </w:r>
      <w:r w:rsidR="002B6985">
        <w:t xml:space="preserve"> trade-offs among loan features</w:t>
      </w:r>
      <w:r w:rsidR="00A353CE">
        <w:t xml:space="preserve">. </w:t>
      </w:r>
      <w:r w:rsidR="00D568B3">
        <w:t xml:space="preserve"> </w:t>
      </w:r>
      <w:r>
        <w:t xml:space="preserve">The internet </w:t>
      </w:r>
      <w:r w:rsidR="00A353CE">
        <w:t xml:space="preserve">provides an opportunity to </w:t>
      </w:r>
      <w:r w:rsidRPr="002828C7">
        <w:t>encourag</w:t>
      </w:r>
      <w:r>
        <w:t>e</w:t>
      </w:r>
      <w:r w:rsidRPr="002828C7">
        <w:t xml:space="preserve"> input from a larger group of people</w:t>
      </w:r>
      <w:r>
        <w:t xml:space="preserve"> while imposing a much smaller individual collection burden</w:t>
      </w:r>
      <w:r w:rsidRPr="002828C7">
        <w:t>.</w:t>
      </w:r>
      <w:r>
        <w:t xml:space="preserve">  It will </w:t>
      </w:r>
      <w:r w:rsidRPr="002828C7">
        <w:t xml:space="preserve">provide the public with </w:t>
      </w:r>
      <w:r>
        <w:t xml:space="preserve">both </w:t>
      </w:r>
      <w:r w:rsidRPr="002828C7">
        <w:t xml:space="preserve">information on the development process </w:t>
      </w:r>
      <w:r>
        <w:t xml:space="preserve">and </w:t>
      </w:r>
      <w:r w:rsidRPr="002828C7">
        <w:t>an opportunity to participate</w:t>
      </w:r>
      <w:r>
        <w:t xml:space="preserve"> in that process</w:t>
      </w:r>
      <w:r w:rsidRPr="002828C7">
        <w:t xml:space="preserve">.  </w:t>
      </w:r>
      <w:r>
        <w:t xml:space="preserve">The website tool will enable the CFPB to receive a large volume of general feedback in a structured way.  </w:t>
      </w:r>
    </w:p>
    <w:p w:rsidR="00C02230" w:rsidRDefault="00C02230" w:rsidP="00C02230"/>
    <w:p w:rsidR="00C02230" w:rsidRPr="002828C7" w:rsidRDefault="00C02230" w:rsidP="00C02230">
      <w:r w:rsidRPr="002828C7">
        <w:t>Input collected on the website is not meant to be, and will not be treated as, a sample that is statistically generalizable to the overall American population; instead, providing the public with open-ended opportunities to explain their impressions of the form is meant to provide individual insights, perspectives, and lines of inquiry that might otherwise not have been recognized.  Internet input will pose specific questions designed to elicit relevant public feedback, but will not represent or act like a survey.</w:t>
      </w:r>
    </w:p>
    <w:p w:rsidR="00C02230" w:rsidRPr="002828C7" w:rsidRDefault="00C02230" w:rsidP="00C02230"/>
    <w:p w:rsidR="00C02230" w:rsidRDefault="00C02230" w:rsidP="00C02230">
      <w:r w:rsidRPr="002828C7">
        <w:t xml:space="preserve">The </w:t>
      </w:r>
      <w:r>
        <w:t xml:space="preserve">CFPB believes the </w:t>
      </w:r>
      <w:r w:rsidRPr="002828C7">
        <w:t xml:space="preserve">ability of social media to reach citizens from a wide array of disciplines is of particular value here.  </w:t>
      </w:r>
      <w:r w:rsidR="00A353CE">
        <w:t xml:space="preserve">Information can be shared with and collected from </w:t>
      </w:r>
      <w:r w:rsidRPr="002828C7">
        <w:t>industry</w:t>
      </w:r>
      <w:r>
        <w:t xml:space="preserve"> representatives</w:t>
      </w:r>
      <w:r w:rsidRPr="002828C7">
        <w:t xml:space="preserve">, consumer advocates, consumers, and academics, among others.  The information that is received, whether rankings of elements or designs or responses to a few open questions, will be aggregated and analyzed by the CFPB and shared with the Contractor.  </w:t>
      </w:r>
      <w:r>
        <w:t>The information</w:t>
      </w:r>
      <w:r w:rsidR="00D568B3">
        <w:t xml:space="preserve"> </w:t>
      </w:r>
      <w:r>
        <w:t>will be used to supplement findings from the qualitative testing.</w:t>
      </w:r>
      <w:r w:rsidR="002E7D63">
        <w:t xml:space="preserve">  CFPB understands that </w:t>
      </w:r>
      <w:r w:rsidR="000F45FF">
        <w:t xml:space="preserve">the </w:t>
      </w:r>
      <w:r w:rsidR="002E7D63">
        <w:t xml:space="preserve">information </w:t>
      </w:r>
      <w:r w:rsidR="000F45FF">
        <w:t xml:space="preserve">obtained through social media </w:t>
      </w:r>
      <w:r w:rsidR="002E7D63">
        <w:t xml:space="preserve">represents only the opinions of those who participated and </w:t>
      </w:r>
      <w:r w:rsidR="000F45FF">
        <w:t xml:space="preserve">provides value not as a statistically </w:t>
      </w:r>
      <w:r w:rsidR="000F45FF" w:rsidRPr="002828C7">
        <w:t>generalizable</w:t>
      </w:r>
      <w:r w:rsidR="000F45FF">
        <w:t xml:space="preserve"> sample beyond the participants, but as an insight into individual thoughts and insights into the forms.  </w:t>
      </w:r>
    </w:p>
    <w:p w:rsidR="00D276FF" w:rsidRDefault="00D276FF"/>
    <w:p w:rsidR="002A36C2" w:rsidRDefault="002A36C2" w:rsidP="002A36C2">
      <w:r>
        <w:t xml:space="preserve">The Bureau anticipates certain projects to be submitted for approval under this generic clearance at this time.  Generally, as described herein, all of the research projects relate to the development of and revisions to mortgage loan disclosure forms and related materials.  The research activities will be conducted primarily by external contractors </w:t>
      </w:r>
      <w:r>
        <w:lastRenderedPageBreak/>
        <w:t xml:space="preserve">employing cognitive psychological testing methods. This approach has been demonstrated to be feasible and valuable by other agencies in developing disclosures and other forms.  </w:t>
      </w:r>
    </w:p>
    <w:p w:rsidR="002A36C2" w:rsidRDefault="002A36C2" w:rsidP="002A36C2"/>
    <w:p w:rsidR="002A36C2" w:rsidRDefault="002A36C2" w:rsidP="002A36C2">
      <w:r>
        <w:t>The list of projects anticipated is as follows:</w:t>
      </w:r>
    </w:p>
    <w:p w:rsidR="002A36C2" w:rsidRDefault="002A36C2" w:rsidP="002A36C2"/>
    <w:p w:rsidR="002A36C2" w:rsidRDefault="002A36C2" w:rsidP="002A36C2">
      <w:pPr>
        <w:pStyle w:val="ListParagraph"/>
        <w:numPr>
          <w:ilvl w:val="0"/>
          <w:numId w:val="13"/>
        </w:numPr>
      </w:pPr>
      <w:r>
        <w:t>Qualitative testing and “Know Before You Owe” Internet tool to obtain qualitative data on prototype integrated mortgage loan disclosure forms (Nov. 8 – Nov. 11, 2011) (8 consumers and 2 industry participants)</w:t>
      </w:r>
    </w:p>
    <w:p w:rsidR="002A36C2" w:rsidRDefault="002A36C2" w:rsidP="002A36C2">
      <w:pPr>
        <w:pStyle w:val="ListParagraph"/>
        <w:numPr>
          <w:ilvl w:val="0"/>
          <w:numId w:val="13"/>
        </w:numPr>
      </w:pPr>
      <w:r>
        <w:t>Qualitative testing and “Know Before You Owe” Internet tool to obtain qualitative data on prototype integrated mortgage loan disclosure forms (Dec. 14 – Dec. 16, 2011) (8-12 consumers and 2-4 industry participants)</w:t>
      </w:r>
    </w:p>
    <w:p w:rsidR="002A36C2" w:rsidRDefault="002A36C2" w:rsidP="002A36C2">
      <w:pPr>
        <w:pStyle w:val="ListParagraph"/>
        <w:numPr>
          <w:ilvl w:val="0"/>
          <w:numId w:val="13"/>
        </w:numPr>
      </w:pPr>
      <w:r>
        <w:t>Qualitative testing and “Know Before You Owe” Internet tool to obtain qualitative data on prototype integrated mortgage loan disclosure forms (Jan. 17 – Jan. 19, 2012) (12 consumers and 4 industry participants)</w:t>
      </w:r>
    </w:p>
    <w:p w:rsidR="002A36C2" w:rsidRDefault="002A36C2" w:rsidP="002A36C2">
      <w:pPr>
        <w:pStyle w:val="ListParagraph"/>
        <w:numPr>
          <w:ilvl w:val="0"/>
          <w:numId w:val="13"/>
        </w:numPr>
      </w:pPr>
      <w:r>
        <w:t>Qualitative testing and “Know Before You Owe” Internet tool to obtain qualitative data on prototype integrated mortgage loan disclosure forms (Feb. 21 – Feb. 23, 2012) (12 consumers and 4 industry participants)</w:t>
      </w:r>
    </w:p>
    <w:p w:rsidR="002A36C2" w:rsidRDefault="002A36C2" w:rsidP="002A36C2">
      <w:pPr>
        <w:pStyle w:val="ListParagraph"/>
        <w:numPr>
          <w:ilvl w:val="0"/>
          <w:numId w:val="13"/>
        </w:numPr>
      </w:pPr>
      <w:r>
        <w:t xml:space="preserve">Multiple rounds of qualitative testing and “Know </w:t>
      </w:r>
      <w:proofErr w:type="gramStart"/>
      <w:r>
        <w:t>Before</w:t>
      </w:r>
      <w:proofErr w:type="gramEnd"/>
      <w:r>
        <w:t xml:space="preserve"> You Owe” Internet tool to obtain qualitative data on revisions to proposed integrated mortgage loan disclosure forms after public notice and comment of proposed rule on or before July 21, 2012.  (anticipated fourth quarter of 2012, exact dates and number of participants to be determined)</w:t>
      </w:r>
    </w:p>
    <w:p w:rsidR="002A36C2" w:rsidRDefault="002A36C2" w:rsidP="002A36C2">
      <w:pPr>
        <w:pStyle w:val="ListParagraph"/>
        <w:numPr>
          <w:ilvl w:val="0"/>
          <w:numId w:val="13"/>
        </w:numPr>
      </w:pPr>
      <w:r>
        <w:t>Qualitative testing of educational Internet pages and tools designed to complement the integrated mortgage loan disclosure. (anticipated 2013, exact dates and number of participants to be determined)</w:t>
      </w:r>
    </w:p>
    <w:p w:rsidR="002A36C2" w:rsidRDefault="002A36C2"/>
    <w:p w:rsidR="00D276FF" w:rsidRDefault="00D276FF">
      <w:r>
        <w:t>A3.</w:t>
      </w:r>
      <w:r>
        <w:tab/>
      </w:r>
      <w:r>
        <w:rPr>
          <w:u w:val="single"/>
        </w:rPr>
        <w:t>USE OF INFORMATION TECHNOLOGY TO REDUCE BURDEN</w:t>
      </w:r>
    </w:p>
    <w:p w:rsidR="00D276FF" w:rsidRDefault="00D276FF"/>
    <w:p w:rsidR="006A5191" w:rsidRPr="002828C7" w:rsidRDefault="006A5191" w:rsidP="006A5191">
      <w:r w:rsidRPr="002828C7">
        <w:t xml:space="preserve">The </w:t>
      </w:r>
      <w:r w:rsidR="00E56999">
        <w:t xml:space="preserve">majority of the data collection involves interviews, focus groups, or other face-to-face interactive methods, </w:t>
      </w:r>
      <w:r w:rsidR="008A74EC">
        <w:t xml:space="preserve">which will be </w:t>
      </w:r>
      <w:r w:rsidR="00E56999">
        <w:t xml:space="preserve">conducted without </w:t>
      </w:r>
      <w:r w:rsidRPr="002828C7">
        <w:t>computer assistance.</w:t>
      </w:r>
      <w:r w:rsidR="00BC7345">
        <w:t xml:space="preserve">  There is no planned use of electronic capture software systems for qualitative testing.  Should that change and electronic capture software systems </w:t>
      </w:r>
      <w:proofErr w:type="gramStart"/>
      <w:r w:rsidR="00BC7345">
        <w:t>be</w:t>
      </w:r>
      <w:proofErr w:type="gramEnd"/>
      <w:r w:rsidR="00BC7345">
        <w:t xml:space="preserve"> planned for future use, details regarding such software would be provided in future mini-supporting statements. </w:t>
      </w:r>
    </w:p>
    <w:p w:rsidR="006A5191" w:rsidRPr="002828C7" w:rsidRDefault="006A5191" w:rsidP="006A5191"/>
    <w:p w:rsidR="006A5191" w:rsidRPr="002828C7" w:rsidRDefault="006A5191" w:rsidP="006A5191">
      <w:r w:rsidRPr="002828C7">
        <w:t xml:space="preserve">The collection of information through the </w:t>
      </w:r>
      <w:r>
        <w:t>i</w:t>
      </w:r>
      <w:r w:rsidRPr="002828C7">
        <w:t xml:space="preserve">nternet will rely completely on information technology and is expected to have a very low burden, not to exceed 5 minutes per respondent per round.  Participation will be entirely voluntary, and any member of the public may elect to discontinue providing feedback at any time.  </w:t>
      </w:r>
    </w:p>
    <w:p w:rsidR="00D276FF" w:rsidRDefault="00D276FF"/>
    <w:p w:rsidR="006A5191" w:rsidRDefault="006A5191" w:rsidP="006A5191">
      <w:r>
        <w:t>A4.</w:t>
      </w:r>
      <w:r>
        <w:tab/>
      </w:r>
      <w:r w:rsidRPr="006A5191">
        <w:rPr>
          <w:u w:val="single"/>
        </w:rPr>
        <w:t>EFFORTS TO IDENTIFY DUPLICATION</w:t>
      </w:r>
    </w:p>
    <w:p w:rsidR="006A5191" w:rsidRDefault="006A5191" w:rsidP="006A5191"/>
    <w:p w:rsidR="006A5191" w:rsidRDefault="00C45F98">
      <w:r>
        <w:t>This research does not duplicate any outside-of-government research effort, as its purpose is not to replicate survey research studies.</w:t>
      </w:r>
      <w:r w:rsidR="00D568B3">
        <w:t xml:space="preserve"> </w:t>
      </w:r>
      <w:r>
        <w:t xml:space="preserve">  External contractors as well as CFPB staff working on the project are cognizant of current research being done in the field of disclosure design and development.  </w:t>
      </w:r>
      <w:r w:rsidR="006A5191" w:rsidRPr="002828C7">
        <w:t xml:space="preserve">In both creating the disclosure </w:t>
      </w:r>
      <w:r w:rsidR="002677FB">
        <w:t xml:space="preserve">materials </w:t>
      </w:r>
      <w:r w:rsidR="006A5191" w:rsidRPr="002828C7">
        <w:t xml:space="preserve">and </w:t>
      </w:r>
      <w:r w:rsidR="006A5191" w:rsidRPr="002828C7">
        <w:lastRenderedPageBreak/>
        <w:t xml:space="preserve">considering the qualitative evaluation, CFPB staff and </w:t>
      </w:r>
      <w:r w:rsidR="006A5191">
        <w:t>the</w:t>
      </w:r>
      <w:r w:rsidR="006A5191" w:rsidRPr="002828C7">
        <w:t xml:space="preserve"> Contractor have reviewed carefully the prior research done on the TILA and RESPA disclosures by staff and contractors of the </w:t>
      </w:r>
      <w:r w:rsidR="006A5191">
        <w:t xml:space="preserve">Board of Governors of the </w:t>
      </w:r>
      <w:r w:rsidR="006A5191" w:rsidRPr="002828C7">
        <w:t xml:space="preserve">Federal Reserve </w:t>
      </w:r>
      <w:r w:rsidR="006A5191">
        <w:t xml:space="preserve">System </w:t>
      </w:r>
      <w:r w:rsidR="006A5191" w:rsidRPr="002828C7">
        <w:t xml:space="preserve">and Department of Housing and Urban Development.  The intent is to learn from the experiences of the other agencies to create </w:t>
      </w:r>
      <w:r w:rsidR="006A5191">
        <w:t xml:space="preserve">a </w:t>
      </w:r>
      <w:r w:rsidR="006A5191" w:rsidRPr="002828C7">
        <w:t xml:space="preserve">more effective </w:t>
      </w:r>
      <w:r w:rsidR="006A5191">
        <w:t xml:space="preserve">disclosure as well as to improve the </w:t>
      </w:r>
      <w:r w:rsidR="006A5191" w:rsidRPr="002828C7">
        <w:t>qualitative testing.</w:t>
      </w:r>
      <w:r w:rsidR="00D568B3">
        <w:t xml:space="preserve">  </w:t>
      </w:r>
      <w:r w:rsidR="006F2D10">
        <w:t xml:space="preserve">The Bureau </w:t>
      </w:r>
      <w:r w:rsidR="00847E2D">
        <w:t xml:space="preserve">will continue </w:t>
      </w:r>
      <w:r w:rsidR="006F2D10">
        <w:t xml:space="preserve">to monitor </w:t>
      </w:r>
      <w:r w:rsidR="00847E2D">
        <w:t xml:space="preserve">research on disclosures and related work of researchers and </w:t>
      </w:r>
      <w:r w:rsidR="006F2D10">
        <w:t xml:space="preserve">other Federal regulatory agencies </w:t>
      </w:r>
      <w:r w:rsidR="000119E0">
        <w:t>to</w:t>
      </w:r>
      <w:r w:rsidR="00D568B3">
        <w:t xml:space="preserve"> </w:t>
      </w:r>
      <w:r w:rsidR="000119E0">
        <w:t xml:space="preserve">ensure that the </w:t>
      </w:r>
      <w:r w:rsidR="006F2D10">
        <w:t>Bureau’</w:t>
      </w:r>
      <w:r w:rsidR="000119E0">
        <w:t xml:space="preserve">s </w:t>
      </w:r>
      <w:r w:rsidR="002F7953">
        <w:t>research techniques reflect current knowledge and best practices</w:t>
      </w:r>
      <w:r w:rsidR="006F2D10">
        <w:t xml:space="preserve">.  </w:t>
      </w:r>
    </w:p>
    <w:p w:rsidR="00D276FF" w:rsidRDefault="00D276FF"/>
    <w:p w:rsidR="00D276FF" w:rsidRDefault="00D276FF" w:rsidP="003427B8">
      <w:pPr>
        <w:ind w:left="720" w:hanging="720"/>
      </w:pPr>
      <w:r>
        <w:t>A5.</w:t>
      </w:r>
      <w:r>
        <w:tab/>
      </w:r>
      <w:r>
        <w:rPr>
          <w:u w:val="single"/>
        </w:rPr>
        <w:t>METHODS TO MINIMIZE BURDEN ON SMALL BUSINESSES OR OTHER SMALL ENTITIES</w:t>
      </w:r>
    </w:p>
    <w:p w:rsidR="00D276FF" w:rsidRDefault="00D276FF">
      <w:pPr>
        <w:ind w:left="720" w:hanging="720"/>
      </w:pPr>
    </w:p>
    <w:p w:rsidR="00092D15" w:rsidRDefault="00AC1762" w:rsidP="00092D15">
      <w:pPr>
        <w:keepNext/>
        <w:keepLines/>
      </w:pPr>
      <w:r w:rsidRPr="002828C7">
        <w:t>The data collection is not anticipated to burden small entities</w:t>
      </w:r>
      <w:r>
        <w:t xml:space="preserve"> significantly</w:t>
      </w:r>
      <w:r w:rsidRPr="002828C7">
        <w:t xml:space="preserve">.  </w:t>
      </w:r>
      <w:r w:rsidR="00DF5D2B">
        <w:t xml:space="preserve">The qualitative research is expected to include industry members as participants to access their perspective and knowledge in using the disclosure forms and communicating the information to consumers.  </w:t>
      </w:r>
      <w:r w:rsidR="00E41BD0">
        <w:t xml:space="preserve">For example, loan officers at financial institutions or mortgage loan brokers may be recruited to participate in the cognitive testing.  This is particularly likely in connection with the development of instructions for the disclosure forms.  </w:t>
      </w:r>
      <w:r w:rsidR="00425208">
        <w:t xml:space="preserve">Lender usability testing may be conducted to learn how the disclosures work when integrated into lenders’ existing protocols and practices.  </w:t>
      </w:r>
      <w:r w:rsidR="00092D15">
        <w:t xml:space="preserve">All efforts will be made to minimize the burden on small business or other small entities in the event that data will be needed pertaining to these entities.  Pre-testing of any survey instruments will be performed to ensure proper procedures in an effort to minimize burden. </w:t>
      </w:r>
    </w:p>
    <w:p w:rsidR="00092D15" w:rsidRDefault="00092D15" w:rsidP="00AC1762">
      <w:pPr>
        <w:keepNext/>
        <w:keepLines/>
      </w:pPr>
    </w:p>
    <w:p w:rsidR="00D276FF" w:rsidRDefault="00AC1762" w:rsidP="00AC1762">
      <w:pPr>
        <w:keepNext/>
        <w:keepLines/>
      </w:pPr>
      <w:r w:rsidRPr="002828C7">
        <w:t xml:space="preserve">Small lenders and settlement service providers may choose to respond through the </w:t>
      </w:r>
      <w:r>
        <w:t>i</w:t>
      </w:r>
      <w:r w:rsidRPr="002828C7">
        <w:t xml:space="preserve">nternet when the disclosures are shared with the public, but their voluntary decision to participate in this forum should involve an extremely low burden.  </w:t>
      </w:r>
      <w:r>
        <w:t>On the contrary, t</w:t>
      </w:r>
      <w:r w:rsidR="00ED3498" w:rsidRPr="00ED3498">
        <w:t>h</w:t>
      </w:r>
      <w:r>
        <w:t>e internet</w:t>
      </w:r>
      <w:r w:rsidR="00ED3498" w:rsidRPr="00ED3498">
        <w:t xml:space="preserve"> tool will allow </w:t>
      </w:r>
      <w:r>
        <w:t>s</w:t>
      </w:r>
      <w:r w:rsidRPr="002828C7">
        <w:t xml:space="preserve">mall lenders and settlement service providers </w:t>
      </w:r>
      <w:r w:rsidR="00ED3498" w:rsidRPr="00ED3498">
        <w:t xml:space="preserve">to provide feedback to the Bureau </w:t>
      </w:r>
      <w:r w:rsidR="00C77014">
        <w:t xml:space="preserve">easily, </w:t>
      </w:r>
      <w:r w:rsidR="00ED3498" w:rsidRPr="00ED3498">
        <w:t>without the burden of sending a formal letter via mail or courier, or taking the time to make a telephone call or send electronic mail to the approp</w:t>
      </w:r>
      <w:r>
        <w:t xml:space="preserve">riate personnel at the Bureau. </w:t>
      </w:r>
    </w:p>
    <w:p w:rsidR="00D276FF" w:rsidRDefault="00D276FF"/>
    <w:p w:rsidR="00FB4E9E" w:rsidRPr="002828C7" w:rsidRDefault="00FB4E9E" w:rsidP="00FB4E9E">
      <w:pPr>
        <w:ind w:left="720" w:hanging="720"/>
        <w:rPr>
          <w:b/>
          <w:u w:val="single"/>
        </w:rPr>
      </w:pPr>
      <w:r>
        <w:t>A</w:t>
      </w:r>
      <w:r w:rsidR="00DD7882">
        <w:t>6</w:t>
      </w:r>
      <w:r>
        <w:t>.</w:t>
      </w:r>
      <w:r>
        <w:tab/>
      </w:r>
      <w:r w:rsidRPr="000043D4">
        <w:rPr>
          <w:u w:val="single"/>
        </w:rPr>
        <w:t>CONSEQUENCES OF LESS FREQUENT COLLECTION AND OBSTACLES TO BURDEN REDUCTION</w:t>
      </w:r>
    </w:p>
    <w:p w:rsidR="00FB4E9E" w:rsidRDefault="00FB4E9E" w:rsidP="00FB4E9E">
      <w:pPr>
        <w:pStyle w:val="ListParagraph"/>
        <w:ind w:left="0"/>
      </w:pPr>
    </w:p>
    <w:p w:rsidR="00FB4E9E" w:rsidRPr="002828C7" w:rsidRDefault="00FB4E9E" w:rsidP="00FB4E9E">
      <w:pPr>
        <w:pStyle w:val="ListParagraph"/>
        <w:ind w:left="0"/>
      </w:pPr>
      <w:r w:rsidRPr="002828C7">
        <w:t>If this information is not collected, it will not be possible to evaluate the effectiveness of the disclosure form</w:t>
      </w:r>
      <w:r w:rsidR="00953C6C">
        <w:t>s and related materials</w:t>
      </w:r>
      <w:r w:rsidRPr="002828C7">
        <w:t>.</w:t>
      </w:r>
    </w:p>
    <w:p w:rsidR="00FB4E9E" w:rsidRPr="002828C7" w:rsidRDefault="00FB4E9E" w:rsidP="00FB4E9E">
      <w:pPr>
        <w:pStyle w:val="ListParagraph"/>
        <w:ind w:left="0"/>
      </w:pPr>
    </w:p>
    <w:p w:rsidR="00FB4E9E" w:rsidRPr="002828C7" w:rsidRDefault="00FB4E9E" w:rsidP="00FB4E9E">
      <w:pPr>
        <w:pStyle w:val="ListParagraph"/>
        <w:ind w:left="0"/>
      </w:pPr>
      <w:r w:rsidRPr="002828C7">
        <w:t xml:space="preserve">In the cognitive </w:t>
      </w:r>
      <w:r w:rsidR="00CF1973">
        <w:t xml:space="preserve">testing </w:t>
      </w:r>
      <w:r w:rsidRPr="002828C7">
        <w:t>process, each individual will participate only once, so frequency of data collection is not applicable.  For those who choose to participate through the Internet, the CFPB will not prohibit an individual or entity from responding throughout the anticipated outreach events, which will have different activities based on the phase of development of t</w:t>
      </w:r>
      <w:r w:rsidR="009C5C3F">
        <w:t>he disclosure design and content, or via other means, such as letter or email.</w:t>
      </w:r>
    </w:p>
    <w:p w:rsidR="00FB4E9E" w:rsidRDefault="00FB4E9E"/>
    <w:p w:rsidR="00D276FF" w:rsidRDefault="00D276FF">
      <w:r>
        <w:lastRenderedPageBreak/>
        <w:t>A7.</w:t>
      </w:r>
      <w:r>
        <w:tab/>
      </w:r>
      <w:r>
        <w:rPr>
          <w:u w:val="single"/>
        </w:rPr>
        <w:t>SPECIAL CIRCUMSTANCES REQUIRING DATA COLLECTION TO BE</w:t>
      </w:r>
      <w:r>
        <w:tab/>
      </w:r>
      <w:r>
        <w:rPr>
          <w:u w:val="single"/>
        </w:rPr>
        <w:t>INCONSISTENT WITH GUIDELINES IN 5 CFR 1320.6</w:t>
      </w:r>
    </w:p>
    <w:p w:rsidR="00D276FF" w:rsidRDefault="00D276FF"/>
    <w:p w:rsidR="00D276FF" w:rsidRDefault="00D276FF">
      <w:r>
        <w:t>No special circumstances require the collection to be conducted in a manner</w:t>
      </w:r>
      <w:r w:rsidR="00D568B3">
        <w:t xml:space="preserve"> </w:t>
      </w:r>
      <w:r>
        <w:t>inconsistent with the guidelines in 5 CFR 1320.6.</w:t>
      </w:r>
    </w:p>
    <w:p w:rsidR="00D276FF" w:rsidRDefault="00D276FF"/>
    <w:p w:rsidR="00D276FF" w:rsidRDefault="00D276FF">
      <w:pPr>
        <w:rPr>
          <w:u w:val="single"/>
        </w:rPr>
      </w:pPr>
      <w:proofErr w:type="gramStart"/>
      <w:r>
        <w:t>A8</w:t>
      </w:r>
      <w:r w:rsidR="004F6A88">
        <w:t>(</w:t>
      </w:r>
      <w:proofErr w:type="gramEnd"/>
      <w:r w:rsidR="004F6A88">
        <w:t>a)</w:t>
      </w:r>
      <w:r>
        <w:t>.</w:t>
      </w:r>
      <w:r>
        <w:tab/>
      </w:r>
      <w:r>
        <w:rPr>
          <w:u w:val="single"/>
        </w:rPr>
        <w:t>CONSULTATION WITH INDIVIDUALS OUTSIDE OF THE AGENCY ON</w:t>
      </w:r>
      <w:r>
        <w:tab/>
      </w:r>
      <w:r>
        <w:rPr>
          <w:u w:val="single"/>
        </w:rPr>
        <w:t>AVAILABILITY OF DATA, FREQUENCY OF COLLECTION, CLARITY OF</w:t>
      </w:r>
      <w:r>
        <w:tab/>
      </w:r>
      <w:r>
        <w:rPr>
          <w:u w:val="single"/>
        </w:rPr>
        <w:t>INSTRUCTIONS AND FORMS, AND DATA ELEMENTS</w:t>
      </w:r>
    </w:p>
    <w:p w:rsidR="00D276FF" w:rsidRDefault="00D276FF"/>
    <w:p w:rsidR="00D276FF" w:rsidRDefault="00D276FF" w:rsidP="00AE5307">
      <w:r>
        <w:t xml:space="preserve">The </w:t>
      </w:r>
      <w:r w:rsidR="006A5191">
        <w:t>Bureau has contracted</w:t>
      </w:r>
      <w:r>
        <w:t xml:space="preserve"> with</w:t>
      </w:r>
      <w:r w:rsidR="00D568B3">
        <w:t xml:space="preserve"> </w:t>
      </w:r>
      <w:r w:rsidR="00DC5194">
        <w:t xml:space="preserve">external contractors with </w:t>
      </w:r>
      <w:r>
        <w:t xml:space="preserve">expertise in </w:t>
      </w:r>
      <w:r w:rsidR="004D564D">
        <w:t>disclosure design</w:t>
      </w:r>
      <w:r w:rsidR="00776EE6">
        <w:t>, communication,</w:t>
      </w:r>
      <w:r w:rsidR="004D564D">
        <w:t xml:space="preserve"> and research.  The Bureau will </w:t>
      </w:r>
      <w:r w:rsidR="000D25D6">
        <w:t xml:space="preserve">use </w:t>
      </w:r>
      <w:r w:rsidR="004D564D">
        <w:t>this expertise</w:t>
      </w:r>
      <w:r>
        <w:t xml:space="preserve"> in </w:t>
      </w:r>
      <w:r w:rsidR="004D564D">
        <w:t xml:space="preserve">its </w:t>
      </w:r>
      <w:r>
        <w:t>development</w:t>
      </w:r>
      <w:r w:rsidR="0028588E">
        <w:t xml:space="preserve"> of the integrated mortgage loan disclosures</w:t>
      </w:r>
      <w:r w:rsidR="00D568B3">
        <w:t xml:space="preserve"> </w:t>
      </w:r>
      <w:r w:rsidR="00AE5307">
        <w:t xml:space="preserve">and related materials </w:t>
      </w:r>
      <w:r w:rsidR="0028588E">
        <w:t xml:space="preserve">and the </w:t>
      </w:r>
      <w:r>
        <w:t xml:space="preserve">administration and analysis of </w:t>
      </w:r>
      <w:r w:rsidR="004D564D">
        <w:t>the qualitative testing</w:t>
      </w:r>
      <w:r>
        <w:t>.</w:t>
      </w:r>
    </w:p>
    <w:p w:rsidR="00D276FF" w:rsidRDefault="00D276FF"/>
    <w:p w:rsidR="004F6A88" w:rsidRDefault="004F6A88">
      <w:proofErr w:type="gramStart"/>
      <w:r>
        <w:t>A8(</w:t>
      </w:r>
      <w:proofErr w:type="gramEnd"/>
      <w:r>
        <w:t xml:space="preserve">b). </w:t>
      </w:r>
      <w:r w:rsidR="00455730" w:rsidRPr="003427B8">
        <w:rPr>
          <w:caps/>
          <w:u w:val="single"/>
        </w:rPr>
        <w:t>Solicitation of comments on information collection</w:t>
      </w:r>
    </w:p>
    <w:p w:rsidR="004F6A88" w:rsidRDefault="004F6A88"/>
    <w:p w:rsidR="004F6A88" w:rsidRDefault="004F6A88" w:rsidP="004F6A88">
      <w:r>
        <w:t xml:space="preserve">Comments on this request for a </w:t>
      </w:r>
      <w:r w:rsidR="00B82A37">
        <w:t>g</w:t>
      </w:r>
      <w:r>
        <w:t xml:space="preserve">eneric </w:t>
      </w:r>
      <w:r w:rsidR="00B82A37">
        <w:t>c</w:t>
      </w:r>
      <w:r>
        <w:t xml:space="preserve">learance </w:t>
      </w:r>
      <w:r w:rsidR="002974F7">
        <w:t xml:space="preserve">to conduct research </w:t>
      </w:r>
      <w:r>
        <w:t xml:space="preserve">were solicited in the Federal Register on September 26, 2011.  </w:t>
      </w:r>
      <w:proofErr w:type="gramStart"/>
      <w:r w:rsidR="00C67E3C">
        <w:t>76 Fed.</w:t>
      </w:r>
      <w:proofErr w:type="gramEnd"/>
      <w:r w:rsidR="00C67E3C">
        <w:t xml:space="preserve"> Reg. 59379 (Sept. 26, 2011).  </w:t>
      </w:r>
      <w:r>
        <w:t xml:space="preserve">One comment </w:t>
      </w:r>
      <w:r w:rsidR="002974F7">
        <w:t xml:space="preserve">letter </w:t>
      </w:r>
      <w:r>
        <w:t>was received</w:t>
      </w:r>
      <w:r w:rsidR="002974F7">
        <w:t xml:space="preserve"> from the Mortgage Bankers Association (MBA) on October 26, 2011</w:t>
      </w:r>
      <w:r>
        <w:t>.</w:t>
      </w:r>
      <w:r w:rsidR="002974F7">
        <w:t xml:space="preserve">  </w:t>
      </w:r>
      <w:r>
        <w:t>Th</w:t>
      </w:r>
      <w:r w:rsidR="002974F7">
        <w:t>is letter did not</w:t>
      </w:r>
      <w:r>
        <w:t xml:space="preserve"> </w:t>
      </w:r>
      <w:r w:rsidR="002974F7">
        <w:t>comment</w:t>
      </w:r>
      <w:r>
        <w:t xml:space="preserve"> on the burden of </w:t>
      </w:r>
      <w:r w:rsidR="002974F7">
        <w:t>the research, but instead, offered suggestions for the research that the Bureau plans to conduct under this clearance.</w:t>
      </w:r>
    </w:p>
    <w:p w:rsidR="004F6A88" w:rsidRDefault="004F6A88" w:rsidP="004F6A88"/>
    <w:p w:rsidR="004F6A88" w:rsidRDefault="002974F7" w:rsidP="004F6A88">
      <w:r>
        <w:t xml:space="preserve">These suggestions </w:t>
      </w:r>
      <w:r w:rsidR="004F6A88">
        <w:t>are addressed below:</w:t>
      </w:r>
    </w:p>
    <w:p w:rsidR="002974F7" w:rsidRDefault="002974F7" w:rsidP="004F6A88"/>
    <w:p w:rsidR="00455730" w:rsidRDefault="00BB44C9" w:rsidP="00455730">
      <w:pPr>
        <w:pStyle w:val="ListParagraph"/>
        <w:numPr>
          <w:ilvl w:val="0"/>
          <w:numId w:val="12"/>
        </w:numPr>
      </w:pPr>
      <w:r w:rsidRPr="00BB44C9">
        <w:t>Lenders should be involved in the testing process</w:t>
      </w:r>
      <w:r>
        <w:t>.</w:t>
      </w:r>
    </w:p>
    <w:p w:rsidR="00BB44C9" w:rsidRDefault="00BB44C9" w:rsidP="00BB44C9"/>
    <w:p w:rsidR="00BB44C9" w:rsidRDefault="00BB44C9" w:rsidP="00C67E3C">
      <w:r>
        <w:t xml:space="preserve">The MBA noted that </w:t>
      </w:r>
      <w:r w:rsidRPr="00BB44C9">
        <w:t xml:space="preserve">the CFPB </w:t>
      </w:r>
      <w:r>
        <w:t>“</w:t>
      </w:r>
      <w:r w:rsidRPr="00BB44C9">
        <w:t>has indicated in the pa</w:t>
      </w:r>
      <w:r>
        <w:t xml:space="preserve">st that it will involve lenders” in its qualitative testing and </w:t>
      </w:r>
      <w:r w:rsidR="00B82A37">
        <w:t xml:space="preserve">stated </w:t>
      </w:r>
      <w:r>
        <w:t>that it</w:t>
      </w:r>
      <w:r w:rsidRPr="00BB44C9">
        <w:t xml:space="preserve"> is concerned that this notice does not specify that lenders or lender personnel will be involved in the testing process.</w:t>
      </w:r>
      <w:r>
        <w:t xml:space="preserve">  The MBA is correct that the Bureau’s qualitative testing under its Emergency Clearance included lenders </w:t>
      </w:r>
      <w:r w:rsidR="003C18C3">
        <w:t xml:space="preserve">as well as </w:t>
      </w:r>
      <w:r>
        <w:t xml:space="preserve">mortgage brokers.  </w:t>
      </w:r>
      <w:r w:rsidR="003C18C3">
        <w:t>The Bureau’s September 26, 2011 Federal Register notice states that the Bureau may conduct qualitative testing of “industry usability,” and t</w:t>
      </w:r>
      <w:r>
        <w:t>he Bureau plans to continue conducting qualitative testing with industry personnel under this generic clearance</w:t>
      </w:r>
      <w:r w:rsidR="003C18C3">
        <w:t>, including lenders</w:t>
      </w:r>
      <w:r>
        <w:t xml:space="preserve">.  </w:t>
      </w:r>
      <w:r w:rsidR="00C67E3C">
        <w:t xml:space="preserve">  </w:t>
      </w:r>
    </w:p>
    <w:p w:rsidR="002B2F08" w:rsidRDefault="002B2F08" w:rsidP="00C67E3C"/>
    <w:p w:rsidR="002B2F08" w:rsidRDefault="002B2F08" w:rsidP="002B2F08">
      <w:r>
        <w:t>In addition, as noted herein and in the Federal Register notice, the Bureau may collect qualitative data through a variety of methods, including the Internet.  In the past, the Bureau has provided industry personnel the opportunity to provide feedback on prototype disclosures through its website, and the Bureau plans to continue doing so to the extent practicable.</w:t>
      </w:r>
    </w:p>
    <w:p w:rsidR="00BB44C9" w:rsidRDefault="00BB44C9" w:rsidP="00BB44C9"/>
    <w:p w:rsidR="00BB44C9" w:rsidRDefault="00BB44C9" w:rsidP="00221B22">
      <w:pPr>
        <w:pStyle w:val="ListParagraph"/>
        <w:numPr>
          <w:ilvl w:val="0"/>
          <w:numId w:val="12"/>
        </w:numPr>
      </w:pPr>
      <w:r w:rsidRPr="00BB44C9">
        <w:t>The testing process should be further explained.</w:t>
      </w:r>
    </w:p>
    <w:p w:rsidR="00455730" w:rsidRDefault="00455730" w:rsidP="00455730">
      <w:pPr>
        <w:pStyle w:val="ListParagraph"/>
      </w:pPr>
    </w:p>
    <w:p w:rsidR="00BB44C9" w:rsidRDefault="00B82A37" w:rsidP="00221B22">
      <w:r>
        <w:t xml:space="preserve">The MBA noted that the Bureau’s Federal Register </w:t>
      </w:r>
      <w:r w:rsidRPr="00B82A37">
        <w:t>notice</w:t>
      </w:r>
      <w:r>
        <w:t xml:space="preserve"> requested a generic clearance to conduct research and that it </w:t>
      </w:r>
      <w:r w:rsidRPr="00B82A37">
        <w:t>describes the means by which testing is to</w:t>
      </w:r>
      <w:r>
        <w:t xml:space="preserve"> be conducted in </w:t>
      </w:r>
      <w:r>
        <w:lastRenderedPageBreak/>
        <w:t xml:space="preserve">general terms.   However, the </w:t>
      </w:r>
      <w:r w:rsidRPr="00B82A37">
        <w:t>MBA urge</w:t>
      </w:r>
      <w:r>
        <w:t>d</w:t>
      </w:r>
      <w:r w:rsidRPr="00B82A37">
        <w:t xml:space="preserve"> the CFPB to provide more explicit information on specific areas of inquiry</w:t>
      </w:r>
      <w:r>
        <w:t xml:space="preserve">, specifically with respect </w:t>
      </w:r>
      <w:r w:rsidR="003C18C3">
        <w:t xml:space="preserve">to </w:t>
      </w:r>
      <w:r>
        <w:t>the questions the Bureau will ask.</w:t>
      </w:r>
    </w:p>
    <w:p w:rsidR="00B82A37" w:rsidRDefault="00B82A37" w:rsidP="00221B22"/>
    <w:p w:rsidR="00B82A37" w:rsidRDefault="002636CF" w:rsidP="002636CF">
      <w:r>
        <w:t xml:space="preserve">This </w:t>
      </w:r>
      <w:r w:rsidRPr="00B82A37">
        <w:t xml:space="preserve">lack of specificity </w:t>
      </w:r>
      <w:r>
        <w:t xml:space="preserve">is </w:t>
      </w:r>
      <w:r w:rsidRPr="00B82A37">
        <w:t>inherent to a generic clearance</w:t>
      </w:r>
      <w:r>
        <w:t xml:space="preserve">.  </w:t>
      </w:r>
      <w:r w:rsidR="00B82A37">
        <w:t xml:space="preserve">The purpose of the Bureau’s request is to obtain a clearance to conduct research, including qualitative testing, </w:t>
      </w:r>
      <w:r w:rsidR="003C18C3">
        <w:t>while</w:t>
      </w:r>
      <w:r w:rsidR="00B82A37" w:rsidRPr="00B82A37">
        <w:t xml:space="preserve"> maintain</w:t>
      </w:r>
      <w:r w:rsidR="003C18C3">
        <w:t>ing</w:t>
      </w:r>
      <w:r w:rsidR="00B82A37" w:rsidRPr="00B82A37">
        <w:t xml:space="preserve"> the ability to revise</w:t>
      </w:r>
      <w:r w:rsidR="00B82A37">
        <w:t xml:space="preserve"> the </w:t>
      </w:r>
      <w:r>
        <w:t xml:space="preserve">specific </w:t>
      </w:r>
      <w:r w:rsidR="00B82A37">
        <w:t xml:space="preserve">research questions to address </w:t>
      </w:r>
      <w:r w:rsidR="00B82A37" w:rsidRPr="00B82A37">
        <w:t xml:space="preserve">areas of concern that </w:t>
      </w:r>
      <w:r w:rsidR="00B82A37">
        <w:t>come to ligh</w:t>
      </w:r>
      <w:r>
        <w:t xml:space="preserve">t during the Bureau’s testing.  For example, if a certain area of a prototype disclosure was found to be confusing to consumers or difficult for industry to explain to consumers during </w:t>
      </w:r>
      <w:r w:rsidR="00894563">
        <w:t xml:space="preserve">one </w:t>
      </w:r>
      <w:r>
        <w:t xml:space="preserve">round of qualitative testing, the next round of qualitative testing may add specific questions about this area of the disclosure.  Such revisions are </w:t>
      </w:r>
      <w:r w:rsidR="009F6754">
        <w:t>essential</w:t>
      </w:r>
      <w:r>
        <w:t xml:space="preserve"> to the “iterative process to improve the draft form” that was described in the Federal Register notice.  </w:t>
      </w:r>
    </w:p>
    <w:p w:rsidR="00221B22" w:rsidRDefault="00221B22" w:rsidP="00221B22"/>
    <w:p w:rsidR="00455730" w:rsidRDefault="00BB44C9" w:rsidP="00455730">
      <w:pPr>
        <w:pStyle w:val="ListParagraph"/>
        <w:numPr>
          <w:ilvl w:val="0"/>
          <w:numId w:val="12"/>
        </w:numPr>
      </w:pPr>
      <w:r w:rsidRPr="00BB44C9">
        <w:t>Testing should focus on borrower understanding.</w:t>
      </w:r>
    </w:p>
    <w:p w:rsidR="004F6A88" w:rsidRDefault="004F6A88"/>
    <w:p w:rsidR="00EE42D6" w:rsidRDefault="00EE42D6">
      <w:r>
        <w:t>The MBA stated that “t</w:t>
      </w:r>
      <w:r w:rsidRPr="00EE42D6">
        <w:t>he CFPB states that the intent of the disclosures is to aid consumer understanding of loan terms and the costs of the loan transaction, in addition to comparing different loan products</w:t>
      </w:r>
      <w:r>
        <w:t>.”</w:t>
      </w:r>
      <w:r w:rsidRPr="00EE42D6">
        <w:t xml:space="preserve"> </w:t>
      </w:r>
      <w:r>
        <w:t xml:space="preserve"> MBA stated that it believes that borrower understanding of the terms, </w:t>
      </w:r>
      <w:r w:rsidRPr="00EE42D6">
        <w:t>costs</w:t>
      </w:r>
      <w:r>
        <w:t xml:space="preserve">, </w:t>
      </w:r>
      <w:r w:rsidRPr="00EE42D6">
        <w:t xml:space="preserve">and the characteristics of the </w:t>
      </w:r>
      <w:r>
        <w:t>transaction</w:t>
      </w:r>
      <w:r w:rsidRPr="00EE42D6">
        <w:t xml:space="preserve"> s</w:t>
      </w:r>
      <w:r>
        <w:t xml:space="preserve">hould be a key area of concern.  The MBA stated that research shows </w:t>
      </w:r>
      <w:r w:rsidRPr="00EE42D6">
        <w:t xml:space="preserve">borrowers generally are </w:t>
      </w:r>
      <w:r>
        <w:t xml:space="preserve">not </w:t>
      </w:r>
      <w:r w:rsidRPr="00EE42D6">
        <w:t>shopping among lenders</w:t>
      </w:r>
      <w:r>
        <w:t xml:space="preserve"> when the integrated disclosure is provided.</w:t>
      </w:r>
    </w:p>
    <w:p w:rsidR="00EE42D6" w:rsidRDefault="00EE42D6"/>
    <w:p w:rsidR="00017CD8" w:rsidRDefault="0025709D">
      <w:r>
        <w:t xml:space="preserve">There are two </w:t>
      </w:r>
      <w:r w:rsidRPr="0025709D">
        <w:t>overarching purposes</w:t>
      </w:r>
      <w:r>
        <w:t xml:space="preserve"> of the integrated disclosure</w:t>
      </w:r>
      <w:r w:rsidRPr="0025709D">
        <w:t xml:space="preserve">: to </w:t>
      </w:r>
      <w:r>
        <w:t xml:space="preserve">(1) </w:t>
      </w:r>
      <w:r w:rsidRPr="0025709D">
        <w:t xml:space="preserve">facilitate compliance with the disclosures of RESPA and TILA, and </w:t>
      </w:r>
      <w:r>
        <w:t xml:space="preserve">(2) </w:t>
      </w:r>
      <w:r w:rsidRPr="0025709D">
        <w:t>aid the borrower in understanding the transaction by utilizing readily understandable language to simplify the techn</w:t>
      </w:r>
      <w:r>
        <w:t xml:space="preserve">ical nature of the disclosures.  </w:t>
      </w:r>
      <w:r w:rsidR="00BA76AF">
        <w:t xml:space="preserve">Accordingly, the Bureau’s key areas of focus for the integrated disclosure are </w:t>
      </w:r>
      <w:r w:rsidR="001B3A98">
        <w:t xml:space="preserve">consumer understanding </w:t>
      </w:r>
      <w:r w:rsidR="00BA76AF">
        <w:t xml:space="preserve">of the transaction and industry usability.  In addition, the Bureau believes that enabling consumers to compare loan terms available from one lender or multiple lenders is an important aspect of understanding the loan transaction.  Significantly, TILA states that its purpose is to “assure </w:t>
      </w:r>
      <w:r w:rsidR="00BA76AF" w:rsidRPr="00BA76AF">
        <w:t xml:space="preserve">a meaningful disclosure of credit terms </w:t>
      </w:r>
      <w:r w:rsidR="00455730" w:rsidRPr="00455730">
        <w:rPr>
          <w:i/>
        </w:rPr>
        <w:t>so that the consumer will be able to compare more readily the various credit terms available to him</w:t>
      </w:r>
      <w:r w:rsidR="00BA76AF" w:rsidRPr="00BA76AF">
        <w:t xml:space="preserve"> and avoid the uninformed use of credit</w:t>
      </w:r>
      <w:r w:rsidR="00BA76AF">
        <w:t>.”  15 U.S.C. § 1601(a)</w:t>
      </w:r>
      <w:r w:rsidR="00002CE6">
        <w:t xml:space="preserve"> (emphasis added)</w:t>
      </w:r>
      <w:r w:rsidR="00BA76AF">
        <w:t xml:space="preserve">. </w:t>
      </w:r>
      <w:r w:rsidR="00BA76AF" w:rsidRPr="00BA76AF">
        <w:t xml:space="preserve"> </w:t>
      </w:r>
      <w:r w:rsidR="00BA76AF">
        <w:t>However, one cannot compare available credit terms from one lender or multiple len</w:t>
      </w:r>
      <w:r w:rsidR="00004DB1">
        <w:t xml:space="preserve">ders without understanding those terms, and thus, </w:t>
      </w:r>
      <w:r w:rsidR="00214815">
        <w:t xml:space="preserve">borrower understanding is a key area of concern for the Bureau. </w:t>
      </w:r>
    </w:p>
    <w:p w:rsidR="00017CD8" w:rsidRDefault="00017CD8"/>
    <w:p w:rsidR="00525054" w:rsidRDefault="00525054">
      <w:r w:rsidRPr="00525054">
        <w:t>For the</w:t>
      </w:r>
      <w:r>
        <w:t xml:space="preserve"> aforementioned</w:t>
      </w:r>
      <w:r w:rsidRPr="00525054">
        <w:t xml:space="preserve"> reasons, no revisions to the </w:t>
      </w:r>
      <w:r>
        <w:t xml:space="preserve">research under the generic clearance </w:t>
      </w:r>
      <w:r w:rsidRPr="00525054">
        <w:t>are planned at this time.</w:t>
      </w:r>
    </w:p>
    <w:p w:rsidR="00525054" w:rsidRDefault="00525054"/>
    <w:p w:rsidR="00D276FF" w:rsidRDefault="00D276FF">
      <w:r>
        <w:t>A9.</w:t>
      </w:r>
      <w:r>
        <w:tab/>
      </w:r>
      <w:r>
        <w:rPr>
          <w:u w:val="single"/>
        </w:rPr>
        <w:t>EXPLANATION OF DECISION TO PROVIDE PAYMENT OR GIFT TO</w:t>
      </w:r>
      <w:r>
        <w:tab/>
      </w:r>
      <w:r>
        <w:rPr>
          <w:u w:val="single"/>
        </w:rPr>
        <w:t>RESPONDENTS</w:t>
      </w:r>
    </w:p>
    <w:p w:rsidR="00D276FF" w:rsidRDefault="00D276FF"/>
    <w:p w:rsidR="00A050EE" w:rsidRDefault="00DD7882" w:rsidP="00DD7882">
      <w:pPr>
        <w:pStyle w:val="Bullet1"/>
        <w:numPr>
          <w:ilvl w:val="0"/>
          <w:numId w:val="0"/>
        </w:numPr>
        <w:spacing w:after="0" w:line="240" w:lineRule="auto"/>
        <w:rPr>
          <w:rFonts w:ascii="Times New Roman" w:hAnsi="Times New Roman"/>
          <w:color w:val="auto"/>
          <w:sz w:val="24"/>
          <w:szCs w:val="24"/>
        </w:rPr>
      </w:pPr>
      <w:r w:rsidRPr="002828C7">
        <w:rPr>
          <w:rFonts w:ascii="Times New Roman" w:hAnsi="Times New Roman"/>
          <w:color w:val="auto"/>
          <w:sz w:val="24"/>
          <w:szCs w:val="24"/>
        </w:rPr>
        <w:t xml:space="preserve">The </w:t>
      </w:r>
      <w:r w:rsidR="00DC5194">
        <w:rPr>
          <w:rFonts w:ascii="Times New Roman" w:hAnsi="Times New Roman"/>
          <w:color w:val="auto"/>
          <w:sz w:val="24"/>
          <w:szCs w:val="24"/>
        </w:rPr>
        <w:t xml:space="preserve">research projects are not related to producing statistical estimates.  In certain circumstances, a project’s objectives can be accomplished at lower costs and with greatly reduced respondent burden by the use of small, purposive samples.  For some research projects, the research team will travel to, and test in, different regions in the country, to </w:t>
      </w:r>
      <w:r w:rsidR="00DC5194">
        <w:rPr>
          <w:rFonts w:ascii="Times New Roman" w:hAnsi="Times New Roman"/>
          <w:color w:val="auto"/>
          <w:sz w:val="24"/>
          <w:szCs w:val="24"/>
        </w:rPr>
        <w:lastRenderedPageBreak/>
        <w:t xml:space="preserve">obtain the participation of residents in those locations.  Because respondents are asked to leave their homes and travel to the testing site, they will be reimbursed a designated amount of money for their time at the site and for transportation.  </w:t>
      </w:r>
      <w:r w:rsidR="00320FAE">
        <w:rPr>
          <w:rFonts w:ascii="Times New Roman" w:hAnsi="Times New Roman"/>
          <w:color w:val="auto"/>
          <w:sz w:val="24"/>
          <w:szCs w:val="24"/>
        </w:rPr>
        <w:t xml:space="preserve">The amount of remuneration will depend on the activity in which the participant is engaged.  For example, individual interviews involve </w:t>
      </w:r>
      <w:r w:rsidRPr="002828C7">
        <w:rPr>
          <w:rFonts w:ascii="Times New Roman" w:hAnsi="Times New Roman"/>
          <w:color w:val="auto"/>
          <w:sz w:val="24"/>
          <w:szCs w:val="24"/>
        </w:rPr>
        <w:t xml:space="preserve">a significant time </w:t>
      </w:r>
      <w:r w:rsidR="00320FAE">
        <w:rPr>
          <w:rFonts w:ascii="Times New Roman" w:hAnsi="Times New Roman"/>
          <w:color w:val="auto"/>
          <w:sz w:val="24"/>
          <w:szCs w:val="24"/>
        </w:rPr>
        <w:t xml:space="preserve">commitment </w:t>
      </w:r>
      <w:r w:rsidRPr="002828C7">
        <w:rPr>
          <w:rFonts w:ascii="Times New Roman" w:hAnsi="Times New Roman"/>
          <w:color w:val="auto"/>
          <w:sz w:val="24"/>
          <w:szCs w:val="24"/>
        </w:rPr>
        <w:t>(90 minutes for the interview, plus travel time).  Furthermore, they are being asked to undertake difficult tasks</w:t>
      </w:r>
      <w:r w:rsidR="00320FAE">
        <w:rPr>
          <w:rFonts w:ascii="Times New Roman" w:hAnsi="Times New Roman"/>
          <w:color w:val="auto"/>
          <w:sz w:val="24"/>
          <w:szCs w:val="24"/>
        </w:rPr>
        <w:t xml:space="preserve">, such as </w:t>
      </w:r>
      <w:r w:rsidRPr="002828C7">
        <w:rPr>
          <w:rFonts w:ascii="Times New Roman" w:hAnsi="Times New Roman"/>
          <w:color w:val="auto"/>
          <w:sz w:val="24"/>
          <w:szCs w:val="24"/>
        </w:rPr>
        <w:t xml:space="preserve">using simple documents to compare loan products to determine if the forms provide appropriate information communicated effectively to enable consumers to understand the terms of each product and compare the terms and financial impacts of different products.  </w:t>
      </w:r>
    </w:p>
    <w:p w:rsidR="00A050EE" w:rsidRDefault="00A050EE" w:rsidP="00DD7882">
      <w:pPr>
        <w:pStyle w:val="Bullet1"/>
        <w:numPr>
          <w:ilvl w:val="0"/>
          <w:numId w:val="0"/>
        </w:numPr>
        <w:spacing w:after="0" w:line="240" w:lineRule="auto"/>
        <w:rPr>
          <w:rFonts w:ascii="Times New Roman" w:hAnsi="Times New Roman"/>
          <w:color w:val="auto"/>
          <w:sz w:val="24"/>
          <w:szCs w:val="24"/>
        </w:rPr>
      </w:pPr>
    </w:p>
    <w:p w:rsidR="00A050EE" w:rsidRPr="00A050EE" w:rsidRDefault="00A050EE" w:rsidP="00DD7882">
      <w:pPr>
        <w:pStyle w:val="Bullet1"/>
        <w:numPr>
          <w:ilvl w:val="0"/>
          <w:numId w:val="0"/>
        </w:numPr>
        <w:spacing w:after="0" w:line="240" w:lineRule="auto"/>
        <w:rPr>
          <w:rFonts w:ascii="Times New Roman" w:hAnsi="Times New Roman"/>
          <w:color w:val="auto"/>
          <w:sz w:val="24"/>
          <w:szCs w:val="24"/>
        </w:rPr>
      </w:pPr>
      <w:r>
        <w:rPr>
          <w:rFonts w:ascii="Times New Roman" w:hAnsi="Times New Roman"/>
          <w:color w:val="auto"/>
          <w:sz w:val="24"/>
          <w:szCs w:val="24"/>
        </w:rPr>
        <w:t>In the initial information collection under this generic clearance</w:t>
      </w:r>
      <w:r w:rsidR="00470B9F">
        <w:rPr>
          <w:rFonts w:ascii="Times New Roman" w:hAnsi="Times New Roman"/>
          <w:color w:val="auto"/>
          <w:sz w:val="24"/>
          <w:szCs w:val="24"/>
        </w:rPr>
        <w:t xml:space="preserve">, a few </w:t>
      </w:r>
      <w:r w:rsidR="00DD7882" w:rsidRPr="002828C7">
        <w:rPr>
          <w:rFonts w:ascii="Times New Roman" w:hAnsi="Times New Roman"/>
          <w:color w:val="auto"/>
          <w:sz w:val="24"/>
          <w:szCs w:val="24"/>
        </w:rPr>
        <w:t xml:space="preserve">participants </w:t>
      </w:r>
      <w:r>
        <w:rPr>
          <w:rFonts w:ascii="Times New Roman" w:hAnsi="Times New Roman"/>
          <w:color w:val="auto"/>
          <w:sz w:val="24"/>
          <w:szCs w:val="24"/>
        </w:rPr>
        <w:t>will be</w:t>
      </w:r>
      <w:r w:rsidR="00DD7882" w:rsidRPr="002828C7">
        <w:rPr>
          <w:rFonts w:ascii="Times New Roman" w:hAnsi="Times New Roman"/>
          <w:color w:val="auto"/>
          <w:sz w:val="24"/>
          <w:szCs w:val="24"/>
        </w:rPr>
        <w:t xml:space="preserve"> asked to commit </w:t>
      </w:r>
      <w:r w:rsidR="00DD7882">
        <w:rPr>
          <w:rFonts w:ascii="Times New Roman" w:hAnsi="Times New Roman"/>
          <w:color w:val="auto"/>
          <w:sz w:val="24"/>
          <w:szCs w:val="24"/>
        </w:rPr>
        <w:t xml:space="preserve">240 </w:t>
      </w:r>
      <w:r w:rsidR="00DD7882" w:rsidRPr="002828C7">
        <w:rPr>
          <w:rFonts w:ascii="Times New Roman" w:hAnsi="Times New Roman"/>
          <w:color w:val="auto"/>
          <w:sz w:val="24"/>
          <w:szCs w:val="24"/>
        </w:rPr>
        <w:t xml:space="preserve">minutes (plus travel time) to be available as </w:t>
      </w:r>
      <w:r w:rsidR="00DD7882">
        <w:rPr>
          <w:rFonts w:ascii="Times New Roman" w:hAnsi="Times New Roman"/>
          <w:color w:val="auto"/>
          <w:sz w:val="24"/>
          <w:szCs w:val="24"/>
        </w:rPr>
        <w:t>“</w:t>
      </w:r>
      <w:r w:rsidR="00DD7882" w:rsidRPr="002828C7">
        <w:rPr>
          <w:rFonts w:ascii="Times New Roman" w:hAnsi="Times New Roman"/>
          <w:color w:val="auto"/>
          <w:sz w:val="24"/>
          <w:szCs w:val="24"/>
        </w:rPr>
        <w:t>floaters</w:t>
      </w:r>
      <w:r w:rsidR="00DD7882">
        <w:rPr>
          <w:rFonts w:ascii="Times New Roman" w:hAnsi="Times New Roman"/>
          <w:color w:val="auto"/>
          <w:sz w:val="24"/>
          <w:szCs w:val="24"/>
        </w:rPr>
        <w:t>”</w:t>
      </w:r>
      <w:r w:rsidR="00D568B3">
        <w:rPr>
          <w:rFonts w:ascii="Times New Roman" w:hAnsi="Times New Roman"/>
          <w:color w:val="auto"/>
          <w:sz w:val="24"/>
          <w:szCs w:val="24"/>
        </w:rPr>
        <w:t xml:space="preserve"> </w:t>
      </w:r>
      <w:r w:rsidR="00DD7882">
        <w:rPr>
          <w:rFonts w:ascii="Times New Roman" w:hAnsi="Times New Roman"/>
          <w:color w:val="auto"/>
          <w:sz w:val="24"/>
          <w:szCs w:val="24"/>
        </w:rPr>
        <w:t xml:space="preserve">who can fill in if a scheduled participant does not show </w:t>
      </w:r>
      <w:r w:rsidR="00DD7882" w:rsidRPr="002828C7">
        <w:rPr>
          <w:rFonts w:ascii="Times New Roman" w:hAnsi="Times New Roman"/>
          <w:color w:val="auto"/>
          <w:sz w:val="24"/>
          <w:szCs w:val="24"/>
        </w:rPr>
        <w:t xml:space="preserve">to ensure </w:t>
      </w:r>
      <w:r w:rsidR="00DD7882">
        <w:rPr>
          <w:rFonts w:ascii="Times New Roman" w:hAnsi="Times New Roman"/>
          <w:color w:val="auto"/>
          <w:sz w:val="24"/>
          <w:szCs w:val="24"/>
        </w:rPr>
        <w:t xml:space="preserve">that </w:t>
      </w:r>
      <w:r w:rsidR="00DD7882" w:rsidRPr="002828C7">
        <w:rPr>
          <w:rFonts w:ascii="Times New Roman" w:hAnsi="Times New Roman"/>
          <w:color w:val="auto"/>
          <w:sz w:val="24"/>
          <w:szCs w:val="24"/>
        </w:rPr>
        <w:t xml:space="preserve">sufficient participants are available for the testing during the scheduled testing period.  </w:t>
      </w:r>
      <w:r>
        <w:rPr>
          <w:rFonts w:ascii="Times New Roman" w:hAnsi="Times New Roman"/>
          <w:color w:val="auto"/>
          <w:sz w:val="24"/>
          <w:szCs w:val="24"/>
        </w:rPr>
        <w:t xml:space="preserve">In the next three collections under this clearance, the Contractor will ensure that sufficient participants are available by inviting additional participants rather than scheduling </w:t>
      </w:r>
      <w:r w:rsidRPr="00A050EE">
        <w:rPr>
          <w:rFonts w:ascii="Times New Roman" w:hAnsi="Times New Roman"/>
          <w:color w:val="auto"/>
          <w:sz w:val="24"/>
          <w:szCs w:val="24"/>
        </w:rPr>
        <w:t xml:space="preserve">floaters.  </w:t>
      </w:r>
      <w:r>
        <w:rPr>
          <w:rFonts w:ascii="Times New Roman" w:hAnsi="Times New Roman"/>
          <w:color w:val="auto"/>
          <w:sz w:val="24"/>
          <w:szCs w:val="24"/>
        </w:rPr>
        <w:t>A</w:t>
      </w:r>
      <w:r w:rsidRPr="00A050EE">
        <w:rPr>
          <w:rFonts w:ascii="Times New Roman" w:hAnsi="Times New Roman"/>
          <w:sz w:val="24"/>
          <w:szCs w:val="24"/>
        </w:rPr>
        <w:t xml:space="preserve">fter three </w:t>
      </w:r>
      <w:r>
        <w:rPr>
          <w:rFonts w:ascii="Times New Roman" w:hAnsi="Times New Roman"/>
          <w:sz w:val="24"/>
          <w:szCs w:val="24"/>
        </w:rPr>
        <w:t xml:space="preserve">collections </w:t>
      </w:r>
      <w:r w:rsidRPr="00A050EE">
        <w:rPr>
          <w:rFonts w:ascii="Times New Roman" w:hAnsi="Times New Roman"/>
          <w:sz w:val="24"/>
          <w:szCs w:val="24"/>
        </w:rPr>
        <w:t xml:space="preserve">without floaters, </w:t>
      </w:r>
      <w:r>
        <w:rPr>
          <w:rFonts w:ascii="Times New Roman" w:hAnsi="Times New Roman"/>
          <w:sz w:val="24"/>
          <w:szCs w:val="24"/>
        </w:rPr>
        <w:t xml:space="preserve">the </w:t>
      </w:r>
      <w:r w:rsidRPr="00A050EE">
        <w:rPr>
          <w:rFonts w:ascii="Times New Roman" w:hAnsi="Times New Roman"/>
          <w:sz w:val="24"/>
          <w:szCs w:val="24"/>
        </w:rPr>
        <w:t xml:space="preserve">CFPB </w:t>
      </w:r>
      <w:r>
        <w:rPr>
          <w:rFonts w:ascii="Times New Roman" w:hAnsi="Times New Roman"/>
          <w:sz w:val="24"/>
          <w:szCs w:val="24"/>
        </w:rPr>
        <w:t xml:space="preserve">must demonstrate to OMB that the use of </w:t>
      </w:r>
      <w:r w:rsidRPr="00A050EE">
        <w:rPr>
          <w:rFonts w:ascii="Times New Roman" w:hAnsi="Times New Roman"/>
          <w:sz w:val="24"/>
          <w:szCs w:val="24"/>
        </w:rPr>
        <w:t xml:space="preserve">floaters </w:t>
      </w:r>
      <w:r>
        <w:rPr>
          <w:rFonts w:ascii="Times New Roman" w:hAnsi="Times New Roman"/>
          <w:sz w:val="24"/>
          <w:szCs w:val="24"/>
        </w:rPr>
        <w:t xml:space="preserve">is more advantageous than </w:t>
      </w:r>
      <w:r w:rsidRPr="00A050EE">
        <w:rPr>
          <w:rFonts w:ascii="Times New Roman" w:hAnsi="Times New Roman"/>
          <w:sz w:val="24"/>
          <w:szCs w:val="24"/>
        </w:rPr>
        <w:t xml:space="preserve">“overinvitation” </w:t>
      </w:r>
      <w:r w:rsidR="0061362F">
        <w:rPr>
          <w:rFonts w:ascii="Times New Roman" w:hAnsi="Times New Roman"/>
          <w:sz w:val="24"/>
          <w:szCs w:val="24"/>
        </w:rPr>
        <w:t>in order to use floaters</w:t>
      </w:r>
      <w:r>
        <w:rPr>
          <w:rFonts w:ascii="Times New Roman" w:hAnsi="Times New Roman"/>
          <w:sz w:val="24"/>
          <w:szCs w:val="24"/>
        </w:rPr>
        <w:t xml:space="preserve"> in subsequent collections.  </w:t>
      </w:r>
    </w:p>
    <w:p w:rsidR="00A050EE" w:rsidRPr="00A050EE" w:rsidRDefault="00A050EE" w:rsidP="00DD7882">
      <w:pPr>
        <w:pStyle w:val="Bullet1"/>
        <w:numPr>
          <w:ilvl w:val="0"/>
          <w:numId w:val="0"/>
        </w:numPr>
        <w:spacing w:after="0" w:line="240" w:lineRule="auto"/>
        <w:rPr>
          <w:rFonts w:ascii="Times New Roman" w:hAnsi="Times New Roman"/>
          <w:color w:val="auto"/>
          <w:sz w:val="24"/>
          <w:szCs w:val="24"/>
        </w:rPr>
      </w:pPr>
    </w:p>
    <w:p w:rsidR="00A050EE" w:rsidRDefault="00DD7882" w:rsidP="001B70F6">
      <w:pPr>
        <w:pStyle w:val="Bullet1"/>
        <w:numPr>
          <w:ilvl w:val="0"/>
          <w:numId w:val="0"/>
        </w:numPr>
        <w:spacing w:after="0" w:line="240" w:lineRule="auto"/>
        <w:rPr>
          <w:rFonts w:ascii="Times New Roman" w:hAnsi="Times New Roman"/>
          <w:color w:val="auto"/>
          <w:sz w:val="24"/>
          <w:szCs w:val="24"/>
        </w:rPr>
      </w:pPr>
      <w:r w:rsidRPr="002828C7">
        <w:rPr>
          <w:rFonts w:ascii="Times New Roman" w:hAnsi="Times New Roman"/>
          <w:color w:val="auto"/>
          <w:sz w:val="24"/>
          <w:szCs w:val="24"/>
        </w:rPr>
        <w:t xml:space="preserve">These commitments of time combined with the cognitive burden of tasks related to financial decisions </w:t>
      </w:r>
      <w:r w:rsidR="00470B9F">
        <w:rPr>
          <w:rFonts w:ascii="Times New Roman" w:hAnsi="Times New Roman"/>
          <w:color w:val="auto"/>
          <w:sz w:val="24"/>
          <w:szCs w:val="24"/>
        </w:rPr>
        <w:t xml:space="preserve">require that </w:t>
      </w:r>
      <w:r w:rsidRPr="002828C7">
        <w:rPr>
          <w:rFonts w:ascii="Times New Roman" w:hAnsi="Times New Roman"/>
          <w:color w:val="auto"/>
          <w:sz w:val="24"/>
          <w:szCs w:val="24"/>
        </w:rPr>
        <w:t xml:space="preserve">sufficient incentive </w:t>
      </w:r>
      <w:r w:rsidR="00470B9F">
        <w:rPr>
          <w:rFonts w:ascii="Times New Roman" w:hAnsi="Times New Roman"/>
          <w:color w:val="auto"/>
          <w:sz w:val="24"/>
          <w:szCs w:val="24"/>
        </w:rPr>
        <w:t xml:space="preserve">be provided </w:t>
      </w:r>
      <w:r w:rsidRPr="002828C7">
        <w:rPr>
          <w:rFonts w:ascii="Times New Roman" w:hAnsi="Times New Roman"/>
          <w:color w:val="auto"/>
          <w:sz w:val="24"/>
          <w:szCs w:val="24"/>
        </w:rPr>
        <w:t xml:space="preserve">to participants. </w:t>
      </w:r>
      <w:r w:rsidR="00A050EE">
        <w:rPr>
          <w:rFonts w:ascii="Times New Roman" w:hAnsi="Times New Roman"/>
          <w:color w:val="auto"/>
          <w:sz w:val="24"/>
          <w:szCs w:val="24"/>
        </w:rPr>
        <w:t xml:space="preserve"> </w:t>
      </w:r>
      <w:r w:rsidR="001B70F6" w:rsidRPr="002828C7">
        <w:rPr>
          <w:rFonts w:ascii="Times New Roman" w:hAnsi="Times New Roman"/>
          <w:color w:val="auto"/>
          <w:sz w:val="24"/>
          <w:szCs w:val="24"/>
        </w:rPr>
        <w:t xml:space="preserve">The Contractor will pay each participant in the cognitive interview for his or her time.  The Contractor has proposed providing incentives at the going rate for qualitative studies that use a 90 minute, one-on-one interview.  At each site, they will pay consumer participants $75 for their time.  </w:t>
      </w:r>
      <w:r w:rsidR="00263152">
        <w:rPr>
          <w:rFonts w:ascii="Times New Roman" w:hAnsi="Times New Roman"/>
          <w:color w:val="auto"/>
          <w:sz w:val="24"/>
          <w:szCs w:val="24"/>
        </w:rPr>
        <w:t xml:space="preserve">This is justified because of the complex nature and length of the interviews.  </w:t>
      </w:r>
      <w:r w:rsidR="001B70F6" w:rsidRPr="002828C7">
        <w:rPr>
          <w:rFonts w:ascii="Times New Roman" w:hAnsi="Times New Roman"/>
          <w:color w:val="auto"/>
          <w:sz w:val="24"/>
          <w:szCs w:val="24"/>
        </w:rPr>
        <w:t xml:space="preserve">They will pay </w:t>
      </w:r>
      <w:r w:rsidR="001B70F6">
        <w:rPr>
          <w:rFonts w:ascii="Times New Roman" w:hAnsi="Times New Roman"/>
          <w:color w:val="auto"/>
          <w:sz w:val="24"/>
          <w:szCs w:val="24"/>
        </w:rPr>
        <w:t>industry</w:t>
      </w:r>
      <w:r w:rsidR="001B70F6" w:rsidRPr="002828C7">
        <w:rPr>
          <w:rFonts w:ascii="Times New Roman" w:hAnsi="Times New Roman"/>
          <w:color w:val="auto"/>
          <w:sz w:val="24"/>
          <w:szCs w:val="24"/>
        </w:rPr>
        <w:t xml:space="preserve"> participants $100 for their time.  </w:t>
      </w:r>
      <w:r w:rsidR="00EA30B2">
        <w:rPr>
          <w:rFonts w:ascii="Times New Roman" w:hAnsi="Times New Roman"/>
          <w:color w:val="auto"/>
          <w:sz w:val="24"/>
          <w:szCs w:val="24"/>
        </w:rPr>
        <w:t xml:space="preserve">This amount is justified </w:t>
      </w:r>
      <w:r w:rsidR="00EA30B2" w:rsidRPr="00EA30B2">
        <w:rPr>
          <w:rFonts w:ascii="Times New Roman" w:hAnsi="Times New Roman"/>
          <w:color w:val="auto"/>
          <w:sz w:val="24"/>
          <w:szCs w:val="24"/>
        </w:rPr>
        <w:t xml:space="preserve">because they are specialized participants, who we are asking for their specific technical expertise.  It is standard practice to pay higher amounts when requesting technical expertise.  Testing sites have informed our researchers that they would </w:t>
      </w:r>
      <w:r w:rsidR="00EA30B2">
        <w:rPr>
          <w:rFonts w:ascii="Times New Roman" w:hAnsi="Times New Roman"/>
          <w:color w:val="auto"/>
          <w:sz w:val="24"/>
          <w:szCs w:val="24"/>
        </w:rPr>
        <w:t>experience difficulty</w:t>
      </w:r>
      <w:r w:rsidR="00EA30B2" w:rsidRPr="00EA30B2">
        <w:rPr>
          <w:rFonts w:ascii="Times New Roman" w:hAnsi="Times New Roman"/>
          <w:color w:val="auto"/>
          <w:sz w:val="24"/>
          <w:szCs w:val="24"/>
        </w:rPr>
        <w:t xml:space="preserve"> recruit</w:t>
      </w:r>
      <w:r w:rsidR="00EA30B2">
        <w:rPr>
          <w:rFonts w:ascii="Times New Roman" w:hAnsi="Times New Roman"/>
          <w:color w:val="auto"/>
          <w:sz w:val="24"/>
          <w:szCs w:val="24"/>
        </w:rPr>
        <w:t>ing</w:t>
      </w:r>
      <w:r w:rsidR="00EA30B2" w:rsidRPr="00EA30B2">
        <w:rPr>
          <w:rFonts w:ascii="Times New Roman" w:hAnsi="Times New Roman"/>
          <w:color w:val="auto"/>
          <w:sz w:val="24"/>
          <w:szCs w:val="24"/>
        </w:rPr>
        <w:t xml:space="preserve"> such specialized expertise for a lower incentive.  In addition, we are asking them to take time away from their jobs.  For these reasons, it is appropriate to compensate industry participants at a higher level.  </w:t>
      </w:r>
    </w:p>
    <w:p w:rsidR="00A050EE" w:rsidRDefault="00A050EE" w:rsidP="001B70F6">
      <w:pPr>
        <w:pStyle w:val="Bullet1"/>
        <w:numPr>
          <w:ilvl w:val="0"/>
          <w:numId w:val="0"/>
        </w:numPr>
        <w:spacing w:after="0" w:line="240" w:lineRule="auto"/>
        <w:rPr>
          <w:rFonts w:ascii="Times New Roman" w:hAnsi="Times New Roman"/>
          <w:color w:val="auto"/>
          <w:sz w:val="24"/>
          <w:szCs w:val="24"/>
        </w:rPr>
      </w:pPr>
    </w:p>
    <w:p w:rsidR="001B70F6" w:rsidRPr="002828C7" w:rsidRDefault="001B70F6" w:rsidP="001B70F6">
      <w:pPr>
        <w:pStyle w:val="Bullet1"/>
        <w:numPr>
          <w:ilvl w:val="0"/>
          <w:numId w:val="0"/>
        </w:numPr>
        <w:spacing w:after="0" w:line="240" w:lineRule="auto"/>
        <w:rPr>
          <w:rFonts w:ascii="Times New Roman" w:hAnsi="Times New Roman"/>
          <w:color w:val="auto"/>
          <w:sz w:val="24"/>
          <w:szCs w:val="24"/>
        </w:rPr>
      </w:pPr>
      <w:r w:rsidRPr="002828C7">
        <w:rPr>
          <w:rFonts w:ascii="Times New Roman" w:hAnsi="Times New Roman"/>
          <w:color w:val="auto"/>
          <w:sz w:val="24"/>
          <w:szCs w:val="24"/>
        </w:rPr>
        <w:t xml:space="preserve">Additionally, </w:t>
      </w:r>
      <w:r>
        <w:rPr>
          <w:rFonts w:ascii="Times New Roman" w:hAnsi="Times New Roman"/>
          <w:color w:val="auto"/>
          <w:sz w:val="24"/>
          <w:szCs w:val="24"/>
        </w:rPr>
        <w:t xml:space="preserve">as described above, </w:t>
      </w:r>
      <w:r w:rsidRPr="002828C7">
        <w:rPr>
          <w:rFonts w:ascii="Times New Roman" w:hAnsi="Times New Roman"/>
          <w:color w:val="auto"/>
          <w:sz w:val="24"/>
          <w:szCs w:val="24"/>
        </w:rPr>
        <w:t xml:space="preserve">“floaters” </w:t>
      </w:r>
      <w:r w:rsidR="0061362F">
        <w:rPr>
          <w:rFonts w:ascii="Times New Roman" w:hAnsi="Times New Roman"/>
          <w:color w:val="auto"/>
          <w:sz w:val="24"/>
          <w:szCs w:val="24"/>
        </w:rPr>
        <w:t xml:space="preserve">will be used in the initial collection </w:t>
      </w:r>
      <w:r w:rsidRPr="002828C7">
        <w:rPr>
          <w:rFonts w:ascii="Times New Roman" w:hAnsi="Times New Roman"/>
          <w:color w:val="auto"/>
          <w:sz w:val="24"/>
          <w:szCs w:val="24"/>
        </w:rPr>
        <w:t xml:space="preserve">to ensure the total number of participants.  Floaters are paid $125 a piece because they are required to commit to being there for </w:t>
      </w:r>
      <w:r>
        <w:rPr>
          <w:rFonts w:ascii="Times New Roman" w:hAnsi="Times New Roman"/>
          <w:color w:val="auto"/>
          <w:sz w:val="24"/>
          <w:szCs w:val="24"/>
        </w:rPr>
        <w:t xml:space="preserve">up to </w:t>
      </w:r>
      <w:r w:rsidRPr="002828C7">
        <w:rPr>
          <w:rFonts w:ascii="Times New Roman" w:hAnsi="Times New Roman"/>
          <w:color w:val="auto"/>
          <w:sz w:val="24"/>
          <w:szCs w:val="24"/>
        </w:rPr>
        <w:t>4 hours, although they may spend less time if they are asked to fill in for a participant at the beginning of the time period</w:t>
      </w:r>
      <w:r>
        <w:rPr>
          <w:rFonts w:ascii="Times New Roman" w:hAnsi="Times New Roman"/>
          <w:color w:val="auto"/>
          <w:sz w:val="24"/>
          <w:szCs w:val="24"/>
        </w:rPr>
        <w:t xml:space="preserve"> or if they are released shortly after the final participant begins the interview</w:t>
      </w:r>
      <w:r w:rsidRPr="002828C7">
        <w:rPr>
          <w:rFonts w:ascii="Times New Roman" w:hAnsi="Times New Roman"/>
          <w:color w:val="auto"/>
          <w:sz w:val="24"/>
          <w:szCs w:val="24"/>
        </w:rPr>
        <w:t xml:space="preserve">.  </w:t>
      </w:r>
    </w:p>
    <w:p w:rsidR="001B70F6" w:rsidRDefault="001B70F6" w:rsidP="00DD7882">
      <w:pPr>
        <w:pStyle w:val="Bullet1"/>
        <w:numPr>
          <w:ilvl w:val="0"/>
          <w:numId w:val="0"/>
        </w:numPr>
        <w:spacing w:after="0" w:line="240" w:lineRule="auto"/>
        <w:rPr>
          <w:rFonts w:ascii="Times New Roman" w:hAnsi="Times New Roman"/>
          <w:color w:val="auto"/>
          <w:sz w:val="24"/>
          <w:szCs w:val="24"/>
        </w:rPr>
      </w:pPr>
    </w:p>
    <w:p w:rsidR="00AE0684" w:rsidRDefault="00DD7882" w:rsidP="00DD7882">
      <w:pPr>
        <w:pStyle w:val="Bullet1"/>
        <w:numPr>
          <w:ilvl w:val="0"/>
          <w:numId w:val="0"/>
        </w:numPr>
        <w:spacing w:after="0" w:line="240" w:lineRule="auto"/>
        <w:rPr>
          <w:rFonts w:ascii="Times New Roman" w:hAnsi="Times New Roman"/>
          <w:color w:val="auto"/>
          <w:sz w:val="24"/>
          <w:szCs w:val="24"/>
        </w:rPr>
      </w:pPr>
      <w:r w:rsidRPr="002828C7">
        <w:rPr>
          <w:rFonts w:ascii="Times New Roman" w:hAnsi="Times New Roman"/>
          <w:color w:val="auto"/>
          <w:sz w:val="24"/>
          <w:szCs w:val="24"/>
        </w:rPr>
        <w:t xml:space="preserve">No payments will be made to respondents who provide input via the Internet. </w:t>
      </w:r>
    </w:p>
    <w:p w:rsidR="003427B8" w:rsidRDefault="003427B8" w:rsidP="00AB6C8B">
      <w:pPr>
        <w:pStyle w:val="Bullet1"/>
        <w:numPr>
          <w:ilvl w:val="0"/>
          <w:numId w:val="0"/>
        </w:numPr>
        <w:spacing w:after="0" w:line="240" w:lineRule="auto"/>
      </w:pPr>
    </w:p>
    <w:p w:rsidR="00AB6C8B" w:rsidRPr="003427B8" w:rsidRDefault="00D276FF" w:rsidP="00AB6C8B">
      <w:pPr>
        <w:pStyle w:val="Bullet1"/>
        <w:numPr>
          <w:ilvl w:val="0"/>
          <w:numId w:val="0"/>
        </w:numPr>
        <w:spacing w:after="0" w:line="240" w:lineRule="auto"/>
        <w:rPr>
          <w:rFonts w:ascii="Times New Roman" w:hAnsi="Times New Roman"/>
          <w:sz w:val="24"/>
          <w:szCs w:val="24"/>
        </w:rPr>
      </w:pPr>
      <w:r w:rsidRPr="003427B8">
        <w:rPr>
          <w:rFonts w:ascii="Times New Roman" w:hAnsi="Times New Roman"/>
          <w:sz w:val="24"/>
          <w:szCs w:val="24"/>
        </w:rPr>
        <w:t>A10.</w:t>
      </w:r>
      <w:r w:rsidRPr="003427B8">
        <w:rPr>
          <w:rFonts w:ascii="Times New Roman" w:hAnsi="Times New Roman"/>
          <w:sz w:val="24"/>
          <w:szCs w:val="24"/>
        </w:rPr>
        <w:tab/>
      </w:r>
      <w:r w:rsidRPr="003427B8">
        <w:rPr>
          <w:rFonts w:ascii="Times New Roman" w:hAnsi="Times New Roman"/>
          <w:sz w:val="24"/>
          <w:szCs w:val="24"/>
          <w:u w:val="single"/>
        </w:rPr>
        <w:t xml:space="preserve">ASSURANCE OF </w:t>
      </w:r>
      <w:r w:rsidR="00E2649A" w:rsidRPr="003427B8">
        <w:rPr>
          <w:rFonts w:ascii="Times New Roman" w:hAnsi="Times New Roman"/>
          <w:sz w:val="24"/>
          <w:szCs w:val="24"/>
          <w:u w:val="single"/>
        </w:rPr>
        <w:t>PRIVACY</w:t>
      </w:r>
      <w:r w:rsidRPr="003427B8">
        <w:rPr>
          <w:rFonts w:ascii="Times New Roman" w:hAnsi="Times New Roman"/>
          <w:sz w:val="24"/>
          <w:szCs w:val="24"/>
          <w:u w:val="single"/>
        </w:rPr>
        <w:t xml:space="preserve"> OF RESPONSES</w:t>
      </w:r>
    </w:p>
    <w:p w:rsidR="00D276FF" w:rsidRDefault="00D276FF"/>
    <w:p w:rsidR="0082567A" w:rsidRPr="002828C7" w:rsidRDefault="00FE3D11" w:rsidP="0082567A">
      <w:r w:rsidRPr="002828C7">
        <w:t xml:space="preserve">The CFPB imposed appropriate requirements of </w:t>
      </w:r>
      <w:r w:rsidR="00E2649A">
        <w:t>privacy</w:t>
      </w:r>
      <w:r w:rsidRPr="002828C7">
        <w:t xml:space="preserve"> in its contract with the Contractor</w:t>
      </w:r>
      <w:r>
        <w:t xml:space="preserve">, </w:t>
      </w:r>
      <w:r w:rsidR="00E2649A">
        <w:t>to the extent permitted by</w:t>
      </w:r>
      <w:r>
        <w:t xml:space="preserve"> applicable laws (as described above)</w:t>
      </w:r>
      <w:r w:rsidRPr="002828C7">
        <w:t xml:space="preserve">.  The </w:t>
      </w:r>
      <w:r w:rsidRPr="002828C7">
        <w:lastRenderedPageBreak/>
        <w:t>Contractor has agreed to comply with all requirements and restrictions in the contract about information release, non-disclosure of personal information, privacy, and security.</w:t>
      </w:r>
      <w:r>
        <w:t xml:space="preserve"> </w:t>
      </w:r>
      <w:r w:rsidR="0082567A" w:rsidRPr="002828C7">
        <w:t xml:space="preserve"> </w:t>
      </w:r>
    </w:p>
    <w:p w:rsidR="0082567A" w:rsidRPr="002828C7" w:rsidRDefault="0082567A" w:rsidP="0082567A"/>
    <w:p w:rsidR="0082567A" w:rsidRPr="002828C7" w:rsidRDefault="0082567A" w:rsidP="0082567A">
      <w:r w:rsidRPr="002828C7">
        <w:t xml:space="preserve">The Contractor’s procedures for ensuring participant </w:t>
      </w:r>
      <w:r w:rsidR="00E2649A">
        <w:t>privacy</w:t>
      </w:r>
      <w:r w:rsidRPr="002828C7">
        <w:t xml:space="preserve"> are documented in its various testing protocols and procedures and are woven into its testing process.  For each testing project that involves individual participants, they prepare specific </w:t>
      </w:r>
      <w:r w:rsidR="00E2649A">
        <w:t>privacy</w:t>
      </w:r>
      <w:r w:rsidRPr="002828C7">
        <w:t xml:space="preserve"> and participant consent forms.  </w:t>
      </w:r>
    </w:p>
    <w:p w:rsidR="0082567A" w:rsidRPr="002828C7" w:rsidRDefault="0082567A" w:rsidP="0082567A"/>
    <w:p w:rsidR="0082567A" w:rsidRPr="002828C7" w:rsidRDefault="0082567A" w:rsidP="0082567A">
      <w:r w:rsidRPr="002828C7">
        <w:t>The Contractor collects limited personal identifying information (PII)</w:t>
      </w:r>
      <w:r>
        <w:t>, and</w:t>
      </w:r>
      <w:r w:rsidRPr="002828C7">
        <w:t xml:space="preserve"> only as provided for on </w:t>
      </w:r>
      <w:r>
        <w:t>the</w:t>
      </w:r>
      <w:r w:rsidRPr="002828C7">
        <w:t xml:space="preserve"> </w:t>
      </w:r>
      <w:r w:rsidR="00E33A47">
        <w:t>privacy</w:t>
      </w:r>
      <w:r w:rsidRPr="002828C7">
        <w:t xml:space="preserve"> and consent forms.  The Contractor then assigns each participant a number by which </w:t>
      </w:r>
      <w:r>
        <w:t xml:space="preserve">he or she is </w:t>
      </w:r>
      <w:r w:rsidRPr="002828C7">
        <w:t xml:space="preserve">referred to in reports and subsequent reporting.  All PII is kept separately and without identifying participant numbers, which </w:t>
      </w:r>
      <w:r>
        <w:t xml:space="preserve">are </w:t>
      </w:r>
      <w:r w:rsidRPr="002828C7">
        <w:t xml:space="preserve">used to identify the testing sessions and the data collected.  </w:t>
      </w:r>
      <w:r>
        <w:t xml:space="preserve">The Contractor </w:t>
      </w:r>
      <w:r w:rsidRPr="002828C7">
        <w:t xml:space="preserve">keeps consent forms locked and separate from other data to ensure that PII cannot, in any way, be linked to the data collected. The PII will not be provided to the CFPB. </w:t>
      </w:r>
    </w:p>
    <w:p w:rsidR="0082567A" w:rsidRPr="002828C7" w:rsidRDefault="0082567A" w:rsidP="0082567A"/>
    <w:p w:rsidR="0082567A" w:rsidRPr="002828C7" w:rsidRDefault="0082567A" w:rsidP="0082567A">
      <w:r w:rsidRPr="002828C7">
        <w:t>The Contractor aggregates the data and reports the results without referencing or disclosing any identifying PII about the participants.  Prior to the submission of deliverables, it reviews and redacts, where necessary, any personal data and results to protect the identities of the participants.  At the completion of the project,</w:t>
      </w:r>
      <w:r>
        <w:t xml:space="preserve"> the Contractor</w:t>
      </w:r>
      <w:r w:rsidRPr="002828C7">
        <w:t xml:space="preserve"> will transfer or destroy all </w:t>
      </w:r>
      <w:r w:rsidR="00E33A47">
        <w:t>private</w:t>
      </w:r>
      <w:r w:rsidRPr="002828C7">
        <w:t xml:space="preserve"> data according to the security procedures and requirements specified and approved by the CFPB. </w:t>
      </w:r>
    </w:p>
    <w:p w:rsidR="0082567A" w:rsidRPr="002828C7" w:rsidRDefault="0082567A" w:rsidP="0082567A"/>
    <w:p w:rsidR="0082567A" w:rsidRPr="002828C7" w:rsidRDefault="0082567A" w:rsidP="0082567A">
      <w:r w:rsidRPr="002828C7">
        <w:t xml:space="preserve">Additionally, the Contractor requires all internal staff and any consultants employed (e.g., consultants who provide transcription services) to sign </w:t>
      </w:r>
      <w:r w:rsidR="00E33A47">
        <w:t>privacy</w:t>
      </w:r>
      <w:r w:rsidRPr="002828C7">
        <w:t xml:space="preserve"> forms before their participation in the project.  The Contractor secures all </w:t>
      </w:r>
      <w:r w:rsidR="00E33A47">
        <w:t>private</w:t>
      </w:r>
      <w:r w:rsidRPr="002828C7">
        <w:t xml:space="preserve"> data in locked file cabinets and document archiving and storage in password-protected folders on secure servers.  That information will only be accessible to those individuals employed by the Contractor who are approved to work on this project.  </w:t>
      </w:r>
      <w:r>
        <w:t xml:space="preserve">The Contractor </w:t>
      </w:r>
      <w:r w:rsidRPr="002828C7">
        <w:t xml:space="preserve">has shredders on site for destroying any </w:t>
      </w:r>
      <w:r w:rsidR="00E33A47">
        <w:t>private</w:t>
      </w:r>
      <w:r w:rsidRPr="002828C7">
        <w:t xml:space="preserve"> draft documents no longer needed and will archive only those copies required to </w:t>
      </w:r>
      <w:r>
        <w:t xml:space="preserve">be kept </w:t>
      </w:r>
      <w:r w:rsidRPr="002828C7">
        <w:t xml:space="preserve">for record-keeping purposes.  Its employees, subcontractors, and subcontract employees will not disclose any information it obtains or prepares in the course of performance of </w:t>
      </w:r>
      <w:r>
        <w:t xml:space="preserve">its contract </w:t>
      </w:r>
      <w:r w:rsidRPr="002828C7">
        <w:t xml:space="preserve">to any third party without receiving written permission from the Contracting Officer.  If disclosure of information is required by law or legal process, the Contractor </w:t>
      </w:r>
      <w:r>
        <w:t xml:space="preserve">is required to </w:t>
      </w:r>
      <w:r w:rsidRPr="002828C7">
        <w:t>contact the Contracting Officer’s Technical Representative and the Contracting Officer immediately to receive approval prior to release of any information.</w:t>
      </w:r>
    </w:p>
    <w:p w:rsidR="0082567A" w:rsidRPr="002828C7" w:rsidRDefault="0082567A" w:rsidP="0082567A">
      <w:pPr>
        <w:pStyle w:val="Bullet1"/>
        <w:numPr>
          <w:ilvl w:val="0"/>
          <w:numId w:val="0"/>
        </w:numPr>
        <w:spacing w:after="0" w:line="240" w:lineRule="auto"/>
        <w:rPr>
          <w:rFonts w:ascii="Times New Roman" w:hAnsi="Times New Roman"/>
          <w:b/>
          <w:color w:val="auto"/>
          <w:sz w:val="24"/>
          <w:szCs w:val="24"/>
        </w:rPr>
      </w:pPr>
    </w:p>
    <w:p w:rsidR="0082567A" w:rsidRPr="002828C7" w:rsidRDefault="0082567A" w:rsidP="00776EE6">
      <w:r w:rsidRPr="002828C7">
        <w:t xml:space="preserve">Data collected by the CFPB through the </w:t>
      </w:r>
      <w:r>
        <w:t>i</w:t>
      </w:r>
      <w:r w:rsidRPr="002828C7">
        <w:t xml:space="preserve">nternet will not contain personally identifiable information beyond what the CFPB is already authorized to collect via the </w:t>
      </w:r>
      <w:r>
        <w:t>i</w:t>
      </w:r>
      <w:r w:rsidRPr="002828C7">
        <w:t>nternet</w:t>
      </w:r>
      <w:r>
        <w:t xml:space="preserve"> (75 FR 82427-01)</w:t>
      </w:r>
      <w:r w:rsidRPr="002828C7">
        <w:t xml:space="preserve">.  All submission of information is voluntary, and no person will be required to supply specific information pertaining to their identity as a condition of the CFPB’s full consideration of their input. </w:t>
      </w:r>
    </w:p>
    <w:p w:rsidR="00D276FF" w:rsidRDefault="00D276FF"/>
    <w:p w:rsidR="00D276FF" w:rsidRDefault="00D276FF">
      <w:r>
        <w:t>A11.</w:t>
      </w:r>
      <w:r>
        <w:tab/>
      </w:r>
      <w:r>
        <w:rPr>
          <w:u w:val="single"/>
        </w:rPr>
        <w:t>JUSTIFICATION OF SENSITIVE QUESTIONS</w:t>
      </w:r>
    </w:p>
    <w:p w:rsidR="00D276FF" w:rsidRDefault="00D276FF"/>
    <w:p w:rsidR="00394539" w:rsidRPr="002828C7" w:rsidRDefault="00394539" w:rsidP="00394539">
      <w:pPr>
        <w:pStyle w:val="ListParagraph"/>
        <w:ind w:left="0"/>
      </w:pPr>
      <w:r w:rsidRPr="002828C7">
        <w:lastRenderedPageBreak/>
        <w:t xml:space="preserve">The most sensitive information </w:t>
      </w:r>
      <w:r w:rsidR="001059D0">
        <w:t xml:space="preserve">expected to be </w:t>
      </w:r>
      <w:r w:rsidRPr="002828C7">
        <w:t xml:space="preserve">collected in connection with the qualitative </w:t>
      </w:r>
      <w:r w:rsidR="001059D0">
        <w:t xml:space="preserve">research activities </w:t>
      </w:r>
      <w:r w:rsidRPr="002828C7">
        <w:t xml:space="preserve">is demographic data about the respondent, such as age range, race, income, education level and experiences with mortgage loans.  This will be collected voluntarily and is necessary to ensure the CFPB has a sufficient demographic mix </w:t>
      </w:r>
      <w:r w:rsidR="0072476A">
        <w:t>for its purposive sample</w:t>
      </w:r>
      <w:r w:rsidRPr="002828C7">
        <w:t>.  Because each participant is identified by a number rather than a name, none of this demographic or loan experience data will be tied to any specific individual.</w:t>
      </w:r>
    </w:p>
    <w:p w:rsidR="00D276FF" w:rsidRDefault="00D276FF"/>
    <w:p w:rsidR="003427B8" w:rsidRDefault="003427B8">
      <w:r>
        <w:br w:type="page"/>
      </w:r>
    </w:p>
    <w:p w:rsidR="00D276FF" w:rsidRDefault="00D276FF">
      <w:r>
        <w:t>A12.</w:t>
      </w:r>
      <w:r>
        <w:tab/>
      </w:r>
      <w:r>
        <w:rPr>
          <w:u w:val="single"/>
        </w:rPr>
        <w:t>ESTIMATED BURDEN OF INFORMATION COLLECTION</w:t>
      </w:r>
    </w:p>
    <w:p w:rsidR="009C4EC1" w:rsidRDefault="009C4E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1620"/>
        <w:gridCol w:w="1980"/>
        <w:gridCol w:w="1530"/>
      </w:tblGrid>
      <w:tr w:rsidR="006F2AB0" w:rsidTr="003427B8">
        <w:tc>
          <w:tcPr>
            <w:tcW w:w="2808" w:type="dxa"/>
          </w:tcPr>
          <w:p w:rsidR="006F2AB0" w:rsidRDefault="006F2AB0">
            <w:r>
              <w:t>Process</w:t>
            </w:r>
          </w:p>
        </w:tc>
        <w:tc>
          <w:tcPr>
            <w:tcW w:w="1620" w:type="dxa"/>
          </w:tcPr>
          <w:p w:rsidR="006F2AB0" w:rsidRDefault="006F2AB0" w:rsidP="0020350F">
            <w:r>
              <w:t>Number of respondents</w:t>
            </w:r>
          </w:p>
        </w:tc>
        <w:tc>
          <w:tcPr>
            <w:tcW w:w="1980" w:type="dxa"/>
          </w:tcPr>
          <w:p w:rsidR="006F2AB0" w:rsidRDefault="006F2AB0" w:rsidP="0020350F">
            <w:r>
              <w:t>Average burden per response</w:t>
            </w:r>
          </w:p>
          <w:p w:rsidR="006F2AB0" w:rsidRDefault="006F2AB0" w:rsidP="0020350F">
            <w:r>
              <w:t>(minutes)</w:t>
            </w:r>
          </w:p>
        </w:tc>
        <w:tc>
          <w:tcPr>
            <w:tcW w:w="1530" w:type="dxa"/>
          </w:tcPr>
          <w:p w:rsidR="006F2AB0" w:rsidRDefault="006F2AB0" w:rsidP="0020350F">
            <w:r>
              <w:t>Total burden</w:t>
            </w:r>
          </w:p>
          <w:p w:rsidR="006F2AB0" w:rsidRDefault="006F2AB0" w:rsidP="0020350F">
            <w:r>
              <w:t>hours</w:t>
            </w:r>
          </w:p>
        </w:tc>
      </w:tr>
      <w:tr w:rsidR="006F2AB0" w:rsidTr="003427B8">
        <w:tc>
          <w:tcPr>
            <w:tcW w:w="2808" w:type="dxa"/>
          </w:tcPr>
          <w:p w:rsidR="006F2AB0" w:rsidRDefault="006F2AB0">
            <w:r>
              <w:t>Focus Group Respondents</w:t>
            </w:r>
          </w:p>
        </w:tc>
        <w:tc>
          <w:tcPr>
            <w:tcW w:w="1620" w:type="dxa"/>
          </w:tcPr>
          <w:p w:rsidR="006F2AB0" w:rsidRDefault="006F2AB0">
            <w:r>
              <w:t>500</w:t>
            </w:r>
          </w:p>
        </w:tc>
        <w:tc>
          <w:tcPr>
            <w:tcW w:w="1980" w:type="dxa"/>
          </w:tcPr>
          <w:p w:rsidR="006F2AB0" w:rsidRDefault="006F2AB0" w:rsidP="00A0637E">
            <w:r>
              <w:t>90</w:t>
            </w:r>
          </w:p>
        </w:tc>
        <w:tc>
          <w:tcPr>
            <w:tcW w:w="1530" w:type="dxa"/>
          </w:tcPr>
          <w:p w:rsidR="006F2AB0" w:rsidRDefault="006F2AB0" w:rsidP="00A0637E">
            <w:r>
              <w:t>750</w:t>
            </w:r>
          </w:p>
        </w:tc>
      </w:tr>
      <w:tr w:rsidR="006F2AB0" w:rsidTr="003427B8">
        <w:tc>
          <w:tcPr>
            <w:tcW w:w="2808" w:type="dxa"/>
          </w:tcPr>
          <w:p w:rsidR="006F2AB0" w:rsidRDefault="006F2AB0">
            <w:r>
              <w:t>Cognitive Think-Aloud Respondents</w:t>
            </w:r>
          </w:p>
        </w:tc>
        <w:tc>
          <w:tcPr>
            <w:tcW w:w="1620" w:type="dxa"/>
          </w:tcPr>
          <w:p w:rsidR="006F2AB0" w:rsidRDefault="006F2AB0">
            <w:r>
              <w:t>200</w:t>
            </w:r>
          </w:p>
        </w:tc>
        <w:tc>
          <w:tcPr>
            <w:tcW w:w="1980" w:type="dxa"/>
          </w:tcPr>
          <w:p w:rsidR="006F2AB0" w:rsidRDefault="006F2AB0" w:rsidP="00A0637E">
            <w:r>
              <w:t xml:space="preserve">90 </w:t>
            </w:r>
          </w:p>
        </w:tc>
        <w:tc>
          <w:tcPr>
            <w:tcW w:w="1530" w:type="dxa"/>
          </w:tcPr>
          <w:p w:rsidR="006F2AB0" w:rsidRDefault="006F2AB0" w:rsidP="00A0637E">
            <w:r>
              <w:t>300</w:t>
            </w:r>
          </w:p>
        </w:tc>
      </w:tr>
      <w:tr w:rsidR="006F2AB0" w:rsidTr="003427B8">
        <w:tc>
          <w:tcPr>
            <w:tcW w:w="2808" w:type="dxa"/>
          </w:tcPr>
          <w:p w:rsidR="006F2AB0" w:rsidRDefault="006F2AB0">
            <w:r>
              <w:t>Usability Study Respondents</w:t>
            </w:r>
          </w:p>
        </w:tc>
        <w:tc>
          <w:tcPr>
            <w:tcW w:w="1620" w:type="dxa"/>
          </w:tcPr>
          <w:p w:rsidR="006F2AB0" w:rsidRDefault="006F2AB0" w:rsidP="00FE522B">
            <w:r>
              <w:t>200</w:t>
            </w:r>
          </w:p>
        </w:tc>
        <w:tc>
          <w:tcPr>
            <w:tcW w:w="1980" w:type="dxa"/>
          </w:tcPr>
          <w:p w:rsidR="006F2AB0" w:rsidRDefault="006F2AB0" w:rsidP="00A0637E">
            <w:r>
              <w:t>90</w:t>
            </w:r>
          </w:p>
        </w:tc>
        <w:tc>
          <w:tcPr>
            <w:tcW w:w="1530" w:type="dxa"/>
          </w:tcPr>
          <w:p w:rsidR="006F2AB0" w:rsidRDefault="006F2AB0" w:rsidP="00A0637E">
            <w:r>
              <w:t>300</w:t>
            </w:r>
          </w:p>
        </w:tc>
      </w:tr>
      <w:tr w:rsidR="006F2AB0" w:rsidTr="003427B8">
        <w:tc>
          <w:tcPr>
            <w:tcW w:w="2808" w:type="dxa"/>
          </w:tcPr>
          <w:p w:rsidR="006F2AB0" w:rsidRDefault="006F2AB0">
            <w:r>
              <w:t>Screening</w:t>
            </w:r>
          </w:p>
        </w:tc>
        <w:tc>
          <w:tcPr>
            <w:tcW w:w="1620" w:type="dxa"/>
          </w:tcPr>
          <w:p w:rsidR="006F2AB0" w:rsidRDefault="006F2AB0">
            <w:r>
              <w:t>3,000</w:t>
            </w:r>
          </w:p>
        </w:tc>
        <w:tc>
          <w:tcPr>
            <w:tcW w:w="1980" w:type="dxa"/>
          </w:tcPr>
          <w:p w:rsidR="006F2AB0" w:rsidRDefault="006F2AB0" w:rsidP="00A0637E">
            <w:r>
              <w:t>10</w:t>
            </w:r>
          </w:p>
        </w:tc>
        <w:tc>
          <w:tcPr>
            <w:tcW w:w="1530" w:type="dxa"/>
          </w:tcPr>
          <w:p w:rsidR="006F2AB0" w:rsidRDefault="006F2AB0" w:rsidP="00A0637E">
            <w:r>
              <w:t>500</w:t>
            </w:r>
          </w:p>
        </w:tc>
      </w:tr>
      <w:tr w:rsidR="006F2AB0" w:rsidTr="003427B8">
        <w:tc>
          <w:tcPr>
            <w:tcW w:w="2808" w:type="dxa"/>
          </w:tcPr>
          <w:p w:rsidR="006F2AB0" w:rsidRDefault="006F2AB0">
            <w:r>
              <w:t>Travel Time to Site</w:t>
            </w:r>
          </w:p>
        </w:tc>
        <w:tc>
          <w:tcPr>
            <w:tcW w:w="1620" w:type="dxa"/>
          </w:tcPr>
          <w:p w:rsidR="006F2AB0" w:rsidRDefault="006F2AB0">
            <w:r>
              <w:t xml:space="preserve">900 </w:t>
            </w:r>
          </w:p>
        </w:tc>
        <w:tc>
          <w:tcPr>
            <w:tcW w:w="1980" w:type="dxa"/>
          </w:tcPr>
          <w:p w:rsidR="006F2AB0" w:rsidRDefault="006F2AB0" w:rsidP="00A0637E">
            <w:r>
              <w:t xml:space="preserve">30 </w:t>
            </w:r>
          </w:p>
        </w:tc>
        <w:tc>
          <w:tcPr>
            <w:tcW w:w="1530" w:type="dxa"/>
          </w:tcPr>
          <w:p w:rsidR="006F2AB0" w:rsidRDefault="006F2AB0" w:rsidP="00A0637E">
            <w:r>
              <w:t>450</w:t>
            </w:r>
          </w:p>
        </w:tc>
      </w:tr>
      <w:tr w:rsidR="006F2AB0" w:rsidTr="003427B8">
        <w:tc>
          <w:tcPr>
            <w:tcW w:w="2808" w:type="dxa"/>
          </w:tcPr>
          <w:p w:rsidR="006F2AB0" w:rsidRDefault="006F2AB0">
            <w:r>
              <w:t>IT Respondents</w:t>
            </w:r>
          </w:p>
        </w:tc>
        <w:tc>
          <w:tcPr>
            <w:tcW w:w="1620" w:type="dxa"/>
          </w:tcPr>
          <w:p w:rsidR="006F2AB0" w:rsidRDefault="006F2AB0">
            <w:r>
              <w:t>100,000</w:t>
            </w:r>
          </w:p>
        </w:tc>
        <w:tc>
          <w:tcPr>
            <w:tcW w:w="1980" w:type="dxa"/>
          </w:tcPr>
          <w:p w:rsidR="006F2AB0" w:rsidRDefault="006F2AB0" w:rsidP="00A0637E">
            <w:r>
              <w:t xml:space="preserve">5 </w:t>
            </w:r>
          </w:p>
        </w:tc>
        <w:tc>
          <w:tcPr>
            <w:tcW w:w="1530" w:type="dxa"/>
          </w:tcPr>
          <w:p w:rsidR="006F2AB0" w:rsidRDefault="006F2AB0" w:rsidP="00A0637E">
            <w:r>
              <w:t>8,333</w:t>
            </w:r>
          </w:p>
        </w:tc>
      </w:tr>
      <w:tr w:rsidR="006F2AB0" w:rsidTr="003427B8">
        <w:tc>
          <w:tcPr>
            <w:tcW w:w="2808" w:type="dxa"/>
          </w:tcPr>
          <w:p w:rsidR="006F2AB0" w:rsidRDefault="006F2AB0">
            <w:r>
              <w:t>Total</w:t>
            </w:r>
          </w:p>
        </w:tc>
        <w:tc>
          <w:tcPr>
            <w:tcW w:w="1620" w:type="dxa"/>
          </w:tcPr>
          <w:p w:rsidR="006F2AB0" w:rsidRDefault="006F2AB0">
            <w:r>
              <w:t>----</w:t>
            </w:r>
          </w:p>
        </w:tc>
        <w:tc>
          <w:tcPr>
            <w:tcW w:w="1980" w:type="dxa"/>
          </w:tcPr>
          <w:p w:rsidR="006F2AB0" w:rsidRDefault="006F2AB0" w:rsidP="00FE522B">
            <w:r>
              <w:t>-----</w:t>
            </w:r>
          </w:p>
        </w:tc>
        <w:tc>
          <w:tcPr>
            <w:tcW w:w="1530" w:type="dxa"/>
          </w:tcPr>
          <w:p w:rsidR="006F2AB0" w:rsidRDefault="00270FC2" w:rsidP="00A20CF9">
            <w:r>
              <w:t>10,630 hours</w:t>
            </w:r>
          </w:p>
        </w:tc>
      </w:tr>
    </w:tbl>
    <w:p w:rsidR="00C25ACA" w:rsidRDefault="00C25ACA"/>
    <w:p w:rsidR="00E04D63" w:rsidRDefault="00AC2141">
      <w:r>
        <w:t>Each study will, of course, differ from the others based on the research question</w:t>
      </w:r>
      <w:r w:rsidR="00E04D63">
        <w:t xml:space="preserve">s.  </w:t>
      </w:r>
      <w:r w:rsidR="00DA3683">
        <w:t>The estimates are based on the average length of time it takes to complete this type of</w:t>
      </w:r>
      <w:r w:rsidR="00D568B3">
        <w:t xml:space="preserve"> </w:t>
      </w:r>
      <w:r w:rsidR="00DA3683">
        <w:t xml:space="preserve">research based on CFPB’s prior project and similar research conducted by other regulators in developing disclosures.  </w:t>
      </w:r>
    </w:p>
    <w:p w:rsidR="00AC2141" w:rsidRDefault="00AC2141"/>
    <w:p w:rsidR="00D276FF" w:rsidRDefault="00D276FF">
      <w:r>
        <w:t>A13.</w:t>
      </w:r>
      <w:r>
        <w:tab/>
      </w:r>
      <w:r>
        <w:rPr>
          <w:u w:val="single"/>
        </w:rPr>
        <w:t>ESTIMATED TOTAL ANNUAL COST BURDEN TO RESPONDENTS</w:t>
      </w:r>
    </w:p>
    <w:p w:rsidR="00D276FF" w:rsidRDefault="00D276FF"/>
    <w:p w:rsidR="00AD370D" w:rsidRPr="002828C7" w:rsidRDefault="00AD370D" w:rsidP="00AD370D">
      <w:pPr>
        <w:pStyle w:val="ListParagraph"/>
        <w:keepNext/>
        <w:ind w:left="0"/>
      </w:pPr>
      <w:r w:rsidRPr="002828C7">
        <w:t>There will be no annualized capital or start-up costs for the respondents to collect and submit this information.</w:t>
      </w:r>
    </w:p>
    <w:p w:rsidR="00D276FF" w:rsidRDefault="00D276FF"/>
    <w:p w:rsidR="00D276FF" w:rsidRDefault="00D276FF">
      <w:r>
        <w:t>A14.</w:t>
      </w:r>
      <w:r>
        <w:tab/>
      </w:r>
      <w:r>
        <w:rPr>
          <w:u w:val="single"/>
        </w:rPr>
        <w:t>ESTIMATED ANNUALIZED COST TO THE FEDERAL GOVERNMENT</w:t>
      </w:r>
    </w:p>
    <w:p w:rsidR="00D276FF" w:rsidRDefault="00D276FF"/>
    <w:p w:rsidR="00867304" w:rsidRDefault="00AD370D" w:rsidP="00AD370D">
      <w:pPr>
        <w:pStyle w:val="ListParagraph"/>
        <w:ind w:left="0"/>
      </w:pPr>
      <w:r w:rsidRPr="002828C7">
        <w:t xml:space="preserve">There will be no annualized capital/start-up costs for the government to receive this information. </w:t>
      </w:r>
      <w:r w:rsidR="00867304">
        <w:t xml:space="preserve">This testing is funded with non-appropriated funds.  It is anticipated that costs of $175,000 per year will be incurred for facility rental, recruitment, incentives, and transcription services.  </w:t>
      </w:r>
    </w:p>
    <w:p w:rsidR="006C66F9" w:rsidRDefault="006C66F9" w:rsidP="00AD370D">
      <w:pPr>
        <w:pStyle w:val="ListParagraph"/>
        <w:ind w:left="0"/>
      </w:pPr>
    </w:p>
    <w:p w:rsidR="00AD370D" w:rsidRDefault="00AD370D" w:rsidP="00AD370D">
      <w:pPr>
        <w:pStyle w:val="ListParagraph"/>
        <w:ind w:left="0"/>
      </w:pPr>
      <w:r w:rsidRPr="002828C7">
        <w:t xml:space="preserve">The Blanket Purchase Agreement, under which this data collection is being conducted, was awarded through a competitive bidding process.  </w:t>
      </w:r>
    </w:p>
    <w:p w:rsidR="00AD370D" w:rsidRDefault="00AD370D" w:rsidP="00AD370D">
      <w:pPr>
        <w:pStyle w:val="ListParagraph"/>
        <w:ind w:left="0"/>
      </w:pPr>
    </w:p>
    <w:p w:rsidR="00AD370D" w:rsidRDefault="00AD370D" w:rsidP="00AD370D">
      <w:r w:rsidRPr="002828C7">
        <w:t>The Internet component of public input is not expected to cause the Federal Government to incur any costs beyond staff time and resources.</w:t>
      </w:r>
    </w:p>
    <w:p w:rsidR="00AD370D" w:rsidRDefault="00AD370D" w:rsidP="00AD370D"/>
    <w:p w:rsidR="00D276FF" w:rsidRDefault="00D276FF">
      <w:r>
        <w:t>A15.</w:t>
      </w:r>
      <w:r>
        <w:tab/>
      </w:r>
      <w:r>
        <w:rPr>
          <w:u w:val="single"/>
        </w:rPr>
        <w:t>REASONS FOR CHANGE IN BURDEN</w:t>
      </w:r>
    </w:p>
    <w:p w:rsidR="00D276FF" w:rsidRDefault="00D276FF"/>
    <w:p w:rsidR="00D276FF" w:rsidRDefault="005D68D6" w:rsidP="005D68D6">
      <w:r>
        <w:t>Not applicable.</w:t>
      </w:r>
      <w:r w:rsidR="00D276FF">
        <w:tab/>
      </w:r>
    </w:p>
    <w:p w:rsidR="00185EA3" w:rsidRDefault="00185EA3" w:rsidP="00185EA3">
      <w:pPr>
        <w:ind w:left="720"/>
      </w:pPr>
    </w:p>
    <w:p w:rsidR="003427B8" w:rsidRDefault="003427B8">
      <w:r>
        <w:br w:type="page"/>
      </w:r>
    </w:p>
    <w:p w:rsidR="00D276FF" w:rsidRDefault="00D276FF">
      <w:r>
        <w:t>A16.</w:t>
      </w:r>
      <w:r>
        <w:tab/>
      </w:r>
      <w:r>
        <w:rPr>
          <w:u w:val="single"/>
        </w:rPr>
        <w:t xml:space="preserve">PLANS FOR TABULATION, STATISTICAL ANLAYSIS AND </w:t>
      </w:r>
      <w:r>
        <w:tab/>
      </w:r>
      <w:r>
        <w:rPr>
          <w:u w:val="single"/>
        </w:rPr>
        <w:t>PUBLICATION</w:t>
      </w:r>
    </w:p>
    <w:p w:rsidR="00D276FF" w:rsidRDefault="00D276FF"/>
    <w:p w:rsidR="005D68D6" w:rsidRPr="002828C7" w:rsidRDefault="005D68D6" w:rsidP="005D68D6">
      <w:r w:rsidRPr="002828C7">
        <w:t xml:space="preserve">The CFPB anticipates publishing a final testing report explaining the methodology and discussing the results of the qualitative testing.  This report will provide only aggregated data.  </w:t>
      </w:r>
    </w:p>
    <w:p w:rsidR="00D276FF" w:rsidRDefault="00D276FF"/>
    <w:p w:rsidR="00D276FF" w:rsidRDefault="00D276FF">
      <w:r>
        <w:t>A17.</w:t>
      </w:r>
      <w:r>
        <w:tab/>
      </w:r>
      <w:r>
        <w:rPr>
          <w:u w:val="single"/>
        </w:rPr>
        <w:t>REASONS WHY DISPLAYING THE OMB EXPIRATION DATE IS</w:t>
      </w:r>
      <w:r>
        <w:tab/>
      </w:r>
      <w:r>
        <w:rPr>
          <w:u w:val="single"/>
        </w:rPr>
        <w:t>INAPPROPRIATE</w:t>
      </w:r>
    </w:p>
    <w:p w:rsidR="00D276FF" w:rsidRDefault="00D276FF"/>
    <w:p w:rsidR="005D68D6" w:rsidRPr="002828C7" w:rsidRDefault="005D68D6" w:rsidP="005D68D6">
      <w:r w:rsidRPr="002828C7">
        <w:t xml:space="preserve">The OMB control number and expiration date will be displayed on </w:t>
      </w:r>
      <w:r w:rsidR="001D56A7">
        <w:t xml:space="preserve">the data collection instruments, such as </w:t>
      </w:r>
      <w:r w:rsidRPr="002828C7">
        <w:t xml:space="preserve">consent forms, </w:t>
      </w:r>
      <w:r w:rsidR="001D56A7">
        <w:t>p</w:t>
      </w:r>
      <w:r w:rsidRPr="002828C7">
        <w:t xml:space="preserve">articipant </w:t>
      </w:r>
      <w:r w:rsidR="001D56A7">
        <w:t>q</w:t>
      </w:r>
      <w:r w:rsidRPr="002828C7">
        <w:t xml:space="preserve">uestionnaires, </w:t>
      </w:r>
      <w:r w:rsidR="001D56A7">
        <w:t>i</w:t>
      </w:r>
      <w:r w:rsidRPr="002828C7">
        <w:t xml:space="preserve">nterview protocols and Internet tools.  </w:t>
      </w:r>
    </w:p>
    <w:p w:rsidR="00D276FF" w:rsidRDefault="00D276FF"/>
    <w:p w:rsidR="00D276FF" w:rsidRDefault="00D276FF">
      <w:r>
        <w:t>A18.</w:t>
      </w:r>
      <w:r>
        <w:tab/>
      </w:r>
      <w:r>
        <w:rPr>
          <w:u w:val="single"/>
        </w:rPr>
        <w:t>EXCEPTIONS TO THE CERTIFICATION STATEMENT ON OMB</w:t>
      </w:r>
    </w:p>
    <w:p w:rsidR="00D276FF" w:rsidRDefault="00D276FF">
      <w:pPr>
        <w:rPr>
          <w:u w:val="single"/>
        </w:rPr>
      </w:pPr>
      <w:r>
        <w:tab/>
      </w:r>
      <w:r>
        <w:rPr>
          <w:u w:val="single"/>
        </w:rPr>
        <w:t>FORM 83-I</w:t>
      </w:r>
    </w:p>
    <w:p w:rsidR="00D276FF" w:rsidRDefault="00D276FF"/>
    <w:p w:rsidR="00B02734" w:rsidRPr="002828C7" w:rsidRDefault="00B02734" w:rsidP="00B02734">
      <w:pPr>
        <w:pStyle w:val="ListParagraph"/>
        <w:ind w:left="0"/>
        <w:rPr>
          <w:b/>
        </w:rPr>
      </w:pPr>
      <w:r w:rsidRPr="002828C7">
        <w:t>There are no exceptions to the Certification Statement in item 19 of Form 83-I.</w:t>
      </w:r>
    </w:p>
    <w:p w:rsidR="00D276FF" w:rsidRDefault="00D276FF" w:rsidP="00DD775D"/>
    <w:sectPr w:rsidR="00D276FF" w:rsidSect="0039502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1FF" w:rsidRDefault="007611FF">
      <w:r>
        <w:separator/>
      </w:r>
    </w:p>
  </w:endnote>
  <w:endnote w:type="continuationSeparator" w:id="0">
    <w:p w:rsidR="007611FF" w:rsidRDefault="007611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0B2" w:rsidRDefault="00EA30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30B2" w:rsidRDefault="00EA30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0B2" w:rsidRDefault="00EA30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6059">
      <w:rPr>
        <w:rStyle w:val="PageNumber"/>
        <w:noProof/>
      </w:rPr>
      <w:t>- 1 -</w:t>
    </w:r>
    <w:r>
      <w:rPr>
        <w:rStyle w:val="PageNumber"/>
      </w:rPr>
      <w:fldChar w:fldCharType="end"/>
    </w:r>
  </w:p>
  <w:p w:rsidR="00EA30B2" w:rsidRDefault="00EA30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0B2" w:rsidRDefault="00EA30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1FF" w:rsidRDefault="007611FF">
      <w:r>
        <w:separator/>
      </w:r>
    </w:p>
  </w:footnote>
  <w:footnote w:type="continuationSeparator" w:id="0">
    <w:p w:rsidR="007611FF" w:rsidRDefault="007611FF">
      <w:r>
        <w:continuationSeparator/>
      </w:r>
    </w:p>
  </w:footnote>
  <w:footnote w:id="1">
    <w:p w:rsidR="00EA30B2" w:rsidRPr="00127440" w:rsidRDefault="00EA30B2" w:rsidP="00CC4AAF">
      <w:pPr>
        <w:pStyle w:val="FootnoteText"/>
        <w:rPr>
          <w:rFonts w:ascii="Times New Roman" w:hAnsi="Times New Roman"/>
        </w:rPr>
      </w:pPr>
      <w:r>
        <w:rPr>
          <w:rStyle w:val="FootnoteReference"/>
        </w:rPr>
        <w:footnoteRef/>
      </w:r>
      <w:r w:rsidRPr="00AC1CDB">
        <w:rPr>
          <w:rFonts w:ascii="Times New Roman" w:hAnsi="Times New Roman"/>
        </w:rPr>
        <w:t>Open Go</w:t>
      </w:r>
      <w:r>
        <w:rPr>
          <w:rFonts w:ascii="Times New Roman" w:hAnsi="Times New Roman"/>
        </w:rPr>
        <w:t xml:space="preserve">vernment Directive. December 8, </w:t>
      </w:r>
      <w:r w:rsidRPr="00AC1CDB">
        <w:rPr>
          <w:rFonts w:ascii="Times New Roman" w:hAnsi="Times New Roman"/>
        </w:rPr>
        <w:t>2009.</w:t>
      </w:r>
      <w:r>
        <w:rPr>
          <w:rFonts w:ascii="Times New Roman" w:hAnsi="Times New Roman"/>
        </w:rPr>
        <w:t xml:space="preserve"> </w:t>
      </w:r>
      <w:r w:rsidRPr="00AC1CDB">
        <w:rPr>
          <w:rFonts w:ascii="Times New Roman" w:hAnsi="Times New Roman"/>
        </w:rPr>
        <w:t>&lt;</w:t>
      </w:r>
      <w:r w:rsidRPr="00127440">
        <w:rPr>
          <w:rFonts w:ascii="Times New Roman" w:hAnsi="Times New Roman"/>
        </w:rPr>
        <w:t>http://www.whitehouse.gov/sites/default/files/omb/assets/memoranda_2010/m10-06.pdf&gt;.</w:t>
      </w:r>
    </w:p>
  </w:footnote>
  <w:footnote w:id="2">
    <w:p w:rsidR="00EA30B2" w:rsidRPr="00127440" w:rsidRDefault="00EA30B2">
      <w:pPr>
        <w:pStyle w:val="FootnoteText"/>
        <w:rPr>
          <w:rFonts w:ascii="Times New Roman" w:hAnsi="Times New Roman"/>
        </w:rPr>
      </w:pPr>
      <w:r w:rsidRPr="00127440">
        <w:rPr>
          <w:rStyle w:val="FootnoteReference"/>
          <w:rFonts w:ascii="Times New Roman" w:hAnsi="Times New Roman"/>
        </w:rPr>
        <w:footnoteRef/>
      </w:r>
      <w:r w:rsidRPr="00127440">
        <w:rPr>
          <w:rFonts w:ascii="Times New Roman" w:hAnsi="Times New Roman"/>
        </w:rPr>
        <w:t xml:space="preserve"> A legislative director at the Consumer Federation of America stated, “</w:t>
      </w:r>
      <w:proofErr w:type="gramStart"/>
      <w:r w:rsidRPr="00127440">
        <w:rPr>
          <w:rFonts w:ascii="Times New Roman" w:hAnsi="Times New Roman"/>
        </w:rPr>
        <w:t>this</w:t>
      </w:r>
      <w:proofErr w:type="gramEnd"/>
      <w:r w:rsidRPr="00127440">
        <w:rPr>
          <w:rFonts w:ascii="Times New Roman" w:hAnsi="Times New Roman"/>
        </w:rPr>
        <w:t xml:space="preserve"> is a model for what the consumer bureau can become, in terms of reaching out to the public and getting input not just from the usual suspects.”Davidson, Kate. “New CFPB Mortgage Disclosures Win Praise for Content and Process.” </w:t>
      </w:r>
      <w:r w:rsidRPr="00127440">
        <w:rPr>
          <w:rFonts w:ascii="Times New Roman" w:hAnsi="Times New Roman"/>
          <w:i/>
        </w:rPr>
        <w:t>American Banker</w:t>
      </w:r>
      <w:r w:rsidRPr="00127440">
        <w:rPr>
          <w:rFonts w:ascii="Times New Roman" w:hAnsi="Times New Roman"/>
        </w:rPr>
        <w:t xml:space="preserve"> May 19, 2011: http://www.americanbanker.com/issues/176_96/cfpb-offers-two-new-mortgage-disclosure-forms-1037690-1.html?zkPrintable=1&amp;nopagination=1. The Consumer Program Director at the U.S. Public Interest Research Group stated that this process “shows the CFPB wants to make regulation work better, because they’re rolling these out early, they’re showing them to bankers and consumers…It’s not more government, it’s better government.”</w:t>
      </w:r>
      <w:r w:rsidRPr="00127440">
        <w:rPr>
          <w:rFonts w:ascii="Times New Roman" w:hAnsi="Times New Roman"/>
          <w:i/>
        </w:rPr>
        <w:t>Id.</w:t>
      </w:r>
      <w:r w:rsidRPr="00127440">
        <w:rPr>
          <w:rFonts w:ascii="Times New Roman" w:hAnsi="Times New Roman"/>
        </w:rPr>
        <w:t xml:space="preserve">  The Mortgage Bankers Association stated, “</w:t>
      </w:r>
      <w:proofErr w:type="gramStart"/>
      <w:r w:rsidRPr="00127440">
        <w:rPr>
          <w:rFonts w:ascii="Times New Roman" w:hAnsi="Times New Roman"/>
        </w:rPr>
        <w:t>we</w:t>
      </w:r>
      <w:proofErr w:type="gramEnd"/>
      <w:r w:rsidRPr="00127440">
        <w:rPr>
          <w:rFonts w:ascii="Times New Roman" w:hAnsi="Times New Roman"/>
        </w:rPr>
        <w:t xml:space="preserve"> look forward to participating in the review and revision process alongside consumers.”Mortgage Bankers Association, </w:t>
      </w:r>
      <w:r w:rsidRPr="00127440">
        <w:rPr>
          <w:rFonts w:ascii="Times New Roman" w:hAnsi="Times New Roman"/>
          <w:i/>
        </w:rPr>
        <w:t>MBA Statement on Prototype Mortgage Disclosures</w:t>
      </w:r>
      <w:r w:rsidRPr="00127440">
        <w:rPr>
          <w:rFonts w:ascii="Times New Roman" w:hAnsi="Times New Roman"/>
        </w:rPr>
        <w:t xml:space="preserve">, </w:t>
      </w:r>
      <w:proofErr w:type="gramStart"/>
      <w:r w:rsidRPr="00127440">
        <w:rPr>
          <w:rFonts w:ascii="Times New Roman" w:hAnsi="Times New Roman"/>
        </w:rPr>
        <w:t>May</w:t>
      </w:r>
      <w:proofErr w:type="gramEnd"/>
      <w:r w:rsidRPr="00127440">
        <w:rPr>
          <w:rFonts w:ascii="Times New Roman" w:hAnsi="Times New Roman"/>
        </w:rPr>
        <w:t xml:space="preserve"> 18, 2011: http://www.mortgagebankers.org/NewsandMedia/PressCenter/76672.htm.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0B2" w:rsidRDefault="00EA30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0B2" w:rsidRDefault="00EA30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0B2" w:rsidRDefault="00EA30B2">
    <w:pPr>
      <w:pStyle w:val="Header"/>
    </w:pPr>
    <w:r>
      <w:t>Sensitive and Pre-Decisional</w:t>
    </w:r>
  </w:p>
  <w:p w:rsidR="00EA30B2" w:rsidRDefault="00EA30B2">
    <w:pPr>
      <w:pStyle w:val="Header"/>
    </w:pPr>
    <w:r>
      <w:t>Draft 9/6/11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81C84"/>
    <w:multiLevelType w:val="hybridMultilevel"/>
    <w:tmpl w:val="5510D5EA"/>
    <w:lvl w:ilvl="0" w:tplc="B0008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591103"/>
    <w:multiLevelType w:val="hybridMultilevel"/>
    <w:tmpl w:val="F0FEEA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F136A1"/>
    <w:multiLevelType w:val="hybridMultilevel"/>
    <w:tmpl w:val="37787422"/>
    <w:lvl w:ilvl="0" w:tplc="5DD4208E">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E72EA0"/>
    <w:multiLevelType w:val="hybridMultilevel"/>
    <w:tmpl w:val="CBE6BA22"/>
    <w:lvl w:ilvl="0" w:tplc="54584E96">
      <w:start w:val="2"/>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FC16C7"/>
    <w:multiLevelType w:val="hybridMultilevel"/>
    <w:tmpl w:val="21C295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4D215F"/>
    <w:multiLevelType w:val="hybridMultilevel"/>
    <w:tmpl w:val="C2E4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DB7424"/>
    <w:multiLevelType w:val="hybridMultilevel"/>
    <w:tmpl w:val="AA2A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5B091B"/>
    <w:multiLevelType w:val="hybridMultilevel"/>
    <w:tmpl w:val="47F039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FB0A90"/>
    <w:multiLevelType w:val="hybridMultilevel"/>
    <w:tmpl w:val="C344B976"/>
    <w:lvl w:ilvl="0" w:tplc="A328A1B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B316CF5"/>
    <w:multiLevelType w:val="hybridMultilevel"/>
    <w:tmpl w:val="C7B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6760A5"/>
    <w:multiLevelType w:val="hybridMultilevel"/>
    <w:tmpl w:val="3140B14A"/>
    <w:lvl w:ilvl="0" w:tplc="D760FD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D5F4D"/>
    <w:multiLevelType w:val="hybridMultilevel"/>
    <w:tmpl w:val="D37A93B4"/>
    <w:lvl w:ilvl="0" w:tplc="71289C9A">
      <w:start w:val="1"/>
      <w:numFmt w:val="bullet"/>
      <w:lvlText w:val=""/>
      <w:lvlJc w:val="left"/>
      <w:pPr>
        <w:ind w:left="720" w:hanging="360"/>
      </w:pPr>
      <w:rPr>
        <w:rFonts w:ascii="Wingdings" w:hAnsi="Wingdings" w:hint="default"/>
      </w:rPr>
    </w:lvl>
    <w:lvl w:ilvl="1" w:tplc="71289C9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
  </w:num>
  <w:num w:numId="4">
    <w:abstractNumId w:val="6"/>
  </w:num>
  <w:num w:numId="5">
    <w:abstractNumId w:val="11"/>
  </w:num>
  <w:num w:numId="6">
    <w:abstractNumId w:val="5"/>
  </w:num>
  <w:num w:numId="7">
    <w:abstractNumId w:val="10"/>
  </w:num>
  <w:num w:numId="8">
    <w:abstractNumId w:val="1"/>
  </w:num>
  <w:num w:numId="9">
    <w:abstractNumId w:val="7"/>
  </w:num>
  <w:num w:numId="10">
    <w:abstractNumId w:val="12"/>
  </w:num>
  <w:num w:numId="11">
    <w:abstractNumId w:val="2"/>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proofState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BE2CB2"/>
    <w:rsid w:val="00002CE6"/>
    <w:rsid w:val="000043D4"/>
    <w:rsid w:val="00004DB1"/>
    <w:rsid w:val="00005FE6"/>
    <w:rsid w:val="00011946"/>
    <w:rsid w:val="000119E0"/>
    <w:rsid w:val="00012448"/>
    <w:rsid w:val="00017CD8"/>
    <w:rsid w:val="0002119E"/>
    <w:rsid w:val="00023804"/>
    <w:rsid w:val="00026AF1"/>
    <w:rsid w:val="000278E1"/>
    <w:rsid w:val="0006582A"/>
    <w:rsid w:val="000708B3"/>
    <w:rsid w:val="00072B53"/>
    <w:rsid w:val="00076EC7"/>
    <w:rsid w:val="0008402A"/>
    <w:rsid w:val="00092D15"/>
    <w:rsid w:val="00097867"/>
    <w:rsid w:val="000A093E"/>
    <w:rsid w:val="000A7942"/>
    <w:rsid w:val="000B3FE8"/>
    <w:rsid w:val="000B74EF"/>
    <w:rsid w:val="000B7AFE"/>
    <w:rsid w:val="000C097D"/>
    <w:rsid w:val="000C3EE0"/>
    <w:rsid w:val="000C7F09"/>
    <w:rsid w:val="000D25D6"/>
    <w:rsid w:val="000E6CB2"/>
    <w:rsid w:val="000E7909"/>
    <w:rsid w:val="000F2DDB"/>
    <w:rsid w:val="000F3AD8"/>
    <w:rsid w:val="000F45FF"/>
    <w:rsid w:val="000F6FBC"/>
    <w:rsid w:val="00101C23"/>
    <w:rsid w:val="0010256E"/>
    <w:rsid w:val="00104A62"/>
    <w:rsid w:val="001059D0"/>
    <w:rsid w:val="00107ACF"/>
    <w:rsid w:val="0011284E"/>
    <w:rsid w:val="00123F03"/>
    <w:rsid w:val="00127440"/>
    <w:rsid w:val="00140484"/>
    <w:rsid w:val="0014148C"/>
    <w:rsid w:val="00142F6C"/>
    <w:rsid w:val="00147C17"/>
    <w:rsid w:val="00154364"/>
    <w:rsid w:val="0015551E"/>
    <w:rsid w:val="00157571"/>
    <w:rsid w:val="00157C9D"/>
    <w:rsid w:val="0016737C"/>
    <w:rsid w:val="00174E65"/>
    <w:rsid w:val="00185EA3"/>
    <w:rsid w:val="001B078D"/>
    <w:rsid w:val="001B3A98"/>
    <w:rsid w:val="001B70F6"/>
    <w:rsid w:val="001D56A7"/>
    <w:rsid w:val="001D7113"/>
    <w:rsid w:val="001E114F"/>
    <w:rsid w:val="001F7EE7"/>
    <w:rsid w:val="00200633"/>
    <w:rsid w:val="0020350F"/>
    <w:rsid w:val="002078E5"/>
    <w:rsid w:val="00214815"/>
    <w:rsid w:val="00220609"/>
    <w:rsid w:val="00221B22"/>
    <w:rsid w:val="00223BE5"/>
    <w:rsid w:val="00236654"/>
    <w:rsid w:val="00240492"/>
    <w:rsid w:val="002414CC"/>
    <w:rsid w:val="002423C9"/>
    <w:rsid w:val="0024336C"/>
    <w:rsid w:val="002449C0"/>
    <w:rsid w:val="00247B75"/>
    <w:rsid w:val="002502C3"/>
    <w:rsid w:val="0025709D"/>
    <w:rsid w:val="00260D97"/>
    <w:rsid w:val="00263152"/>
    <w:rsid w:val="002636CF"/>
    <w:rsid w:val="00263E8A"/>
    <w:rsid w:val="002677FB"/>
    <w:rsid w:val="00270FC2"/>
    <w:rsid w:val="002719C6"/>
    <w:rsid w:val="00274DF8"/>
    <w:rsid w:val="0028588E"/>
    <w:rsid w:val="002952DD"/>
    <w:rsid w:val="002972F0"/>
    <w:rsid w:val="002973C3"/>
    <w:rsid w:val="002974F7"/>
    <w:rsid w:val="002A36C2"/>
    <w:rsid w:val="002A5F3F"/>
    <w:rsid w:val="002B2F08"/>
    <w:rsid w:val="002B6985"/>
    <w:rsid w:val="002D088E"/>
    <w:rsid w:val="002D5319"/>
    <w:rsid w:val="002E162B"/>
    <w:rsid w:val="002E7D63"/>
    <w:rsid w:val="002F7953"/>
    <w:rsid w:val="00302838"/>
    <w:rsid w:val="00306E1B"/>
    <w:rsid w:val="00316E5D"/>
    <w:rsid w:val="00320FAE"/>
    <w:rsid w:val="00334D92"/>
    <w:rsid w:val="003427B8"/>
    <w:rsid w:val="003468CA"/>
    <w:rsid w:val="00367F03"/>
    <w:rsid w:val="00394539"/>
    <w:rsid w:val="0039502D"/>
    <w:rsid w:val="00396AC3"/>
    <w:rsid w:val="003B050D"/>
    <w:rsid w:val="003B1661"/>
    <w:rsid w:val="003B4CAF"/>
    <w:rsid w:val="003C0741"/>
    <w:rsid w:val="003C18C3"/>
    <w:rsid w:val="003C3DC1"/>
    <w:rsid w:val="003D4E59"/>
    <w:rsid w:val="003E2F0D"/>
    <w:rsid w:val="003E668D"/>
    <w:rsid w:val="003F1F88"/>
    <w:rsid w:val="00401687"/>
    <w:rsid w:val="00402B7D"/>
    <w:rsid w:val="00411D31"/>
    <w:rsid w:val="0041776C"/>
    <w:rsid w:val="00421089"/>
    <w:rsid w:val="00424FCA"/>
    <w:rsid w:val="00425208"/>
    <w:rsid w:val="00444B1D"/>
    <w:rsid w:val="004469A5"/>
    <w:rsid w:val="004473C3"/>
    <w:rsid w:val="00451AB0"/>
    <w:rsid w:val="00455730"/>
    <w:rsid w:val="004562A8"/>
    <w:rsid w:val="00470B9F"/>
    <w:rsid w:val="00472809"/>
    <w:rsid w:val="00490B32"/>
    <w:rsid w:val="00495565"/>
    <w:rsid w:val="004A18A5"/>
    <w:rsid w:val="004A394B"/>
    <w:rsid w:val="004A6C83"/>
    <w:rsid w:val="004B177B"/>
    <w:rsid w:val="004B36B8"/>
    <w:rsid w:val="004B44C5"/>
    <w:rsid w:val="004C0BA6"/>
    <w:rsid w:val="004C4077"/>
    <w:rsid w:val="004C4179"/>
    <w:rsid w:val="004C7AAD"/>
    <w:rsid w:val="004D20A8"/>
    <w:rsid w:val="004D564D"/>
    <w:rsid w:val="004D6079"/>
    <w:rsid w:val="004E0756"/>
    <w:rsid w:val="004E74E3"/>
    <w:rsid w:val="004F6A88"/>
    <w:rsid w:val="0050276F"/>
    <w:rsid w:val="0051775A"/>
    <w:rsid w:val="0052387F"/>
    <w:rsid w:val="00525054"/>
    <w:rsid w:val="005266C2"/>
    <w:rsid w:val="00536627"/>
    <w:rsid w:val="0053690F"/>
    <w:rsid w:val="0053692B"/>
    <w:rsid w:val="0053762C"/>
    <w:rsid w:val="005425FC"/>
    <w:rsid w:val="005427A2"/>
    <w:rsid w:val="00542B0B"/>
    <w:rsid w:val="005442EC"/>
    <w:rsid w:val="00560889"/>
    <w:rsid w:val="00562F71"/>
    <w:rsid w:val="00570202"/>
    <w:rsid w:val="00577828"/>
    <w:rsid w:val="00584EEF"/>
    <w:rsid w:val="005B3796"/>
    <w:rsid w:val="005C02A0"/>
    <w:rsid w:val="005C0B9D"/>
    <w:rsid w:val="005D02EB"/>
    <w:rsid w:val="005D654C"/>
    <w:rsid w:val="005D68D6"/>
    <w:rsid w:val="005E1B52"/>
    <w:rsid w:val="005E4D66"/>
    <w:rsid w:val="005E62D7"/>
    <w:rsid w:val="005F7E8C"/>
    <w:rsid w:val="00605225"/>
    <w:rsid w:val="0061362F"/>
    <w:rsid w:val="0061487B"/>
    <w:rsid w:val="00620504"/>
    <w:rsid w:val="006460C1"/>
    <w:rsid w:val="00653127"/>
    <w:rsid w:val="00667B5A"/>
    <w:rsid w:val="00670BAD"/>
    <w:rsid w:val="00672742"/>
    <w:rsid w:val="00675636"/>
    <w:rsid w:val="00682A18"/>
    <w:rsid w:val="006A4D02"/>
    <w:rsid w:val="006A5191"/>
    <w:rsid w:val="006C0FD9"/>
    <w:rsid w:val="006C66F9"/>
    <w:rsid w:val="006C7A45"/>
    <w:rsid w:val="006E5453"/>
    <w:rsid w:val="006E5BFE"/>
    <w:rsid w:val="006F2086"/>
    <w:rsid w:val="006F2AB0"/>
    <w:rsid w:val="006F2D10"/>
    <w:rsid w:val="00700885"/>
    <w:rsid w:val="007011B2"/>
    <w:rsid w:val="00710F94"/>
    <w:rsid w:val="0071625D"/>
    <w:rsid w:val="0072476A"/>
    <w:rsid w:val="00730708"/>
    <w:rsid w:val="00730729"/>
    <w:rsid w:val="007452AB"/>
    <w:rsid w:val="007465AD"/>
    <w:rsid w:val="007467FB"/>
    <w:rsid w:val="00750C22"/>
    <w:rsid w:val="00750FBF"/>
    <w:rsid w:val="007611FF"/>
    <w:rsid w:val="0076224B"/>
    <w:rsid w:val="0076394E"/>
    <w:rsid w:val="00765867"/>
    <w:rsid w:val="00771A90"/>
    <w:rsid w:val="00775B4B"/>
    <w:rsid w:val="00776EE6"/>
    <w:rsid w:val="00795510"/>
    <w:rsid w:val="00795B7B"/>
    <w:rsid w:val="00797F85"/>
    <w:rsid w:val="007B1CBE"/>
    <w:rsid w:val="007B5650"/>
    <w:rsid w:val="007C51F0"/>
    <w:rsid w:val="007D20A1"/>
    <w:rsid w:val="007D4603"/>
    <w:rsid w:val="007E44CE"/>
    <w:rsid w:val="007F1E74"/>
    <w:rsid w:val="007F51FB"/>
    <w:rsid w:val="007F6EE5"/>
    <w:rsid w:val="007F7647"/>
    <w:rsid w:val="00801687"/>
    <w:rsid w:val="00821B18"/>
    <w:rsid w:val="00822426"/>
    <w:rsid w:val="00823988"/>
    <w:rsid w:val="0082567A"/>
    <w:rsid w:val="0084274B"/>
    <w:rsid w:val="008447B7"/>
    <w:rsid w:val="00847E2D"/>
    <w:rsid w:val="00860FE1"/>
    <w:rsid w:val="00867304"/>
    <w:rsid w:val="0087719A"/>
    <w:rsid w:val="008878A3"/>
    <w:rsid w:val="00890BE4"/>
    <w:rsid w:val="00894563"/>
    <w:rsid w:val="008A0014"/>
    <w:rsid w:val="008A74EC"/>
    <w:rsid w:val="008B2B05"/>
    <w:rsid w:val="008C2C37"/>
    <w:rsid w:val="008E3E2C"/>
    <w:rsid w:val="008E65AA"/>
    <w:rsid w:val="00900BCB"/>
    <w:rsid w:val="009040BE"/>
    <w:rsid w:val="00916CB0"/>
    <w:rsid w:val="0092375B"/>
    <w:rsid w:val="0092552A"/>
    <w:rsid w:val="00933A9E"/>
    <w:rsid w:val="00953C6C"/>
    <w:rsid w:val="009641A4"/>
    <w:rsid w:val="0096796D"/>
    <w:rsid w:val="0098314F"/>
    <w:rsid w:val="00984DB6"/>
    <w:rsid w:val="009865F0"/>
    <w:rsid w:val="00987AB7"/>
    <w:rsid w:val="0099058B"/>
    <w:rsid w:val="0099220E"/>
    <w:rsid w:val="00995209"/>
    <w:rsid w:val="009B09B3"/>
    <w:rsid w:val="009C4EC1"/>
    <w:rsid w:val="009C5C3F"/>
    <w:rsid w:val="009D10B8"/>
    <w:rsid w:val="009E2820"/>
    <w:rsid w:val="009E7A0B"/>
    <w:rsid w:val="009F5452"/>
    <w:rsid w:val="009F6754"/>
    <w:rsid w:val="00A05027"/>
    <w:rsid w:val="00A050EE"/>
    <w:rsid w:val="00A05B39"/>
    <w:rsid w:val="00A05E86"/>
    <w:rsid w:val="00A0637E"/>
    <w:rsid w:val="00A06A9C"/>
    <w:rsid w:val="00A15A88"/>
    <w:rsid w:val="00A20CF9"/>
    <w:rsid w:val="00A22110"/>
    <w:rsid w:val="00A22977"/>
    <w:rsid w:val="00A330B2"/>
    <w:rsid w:val="00A353CE"/>
    <w:rsid w:val="00A47D47"/>
    <w:rsid w:val="00A532A3"/>
    <w:rsid w:val="00A8316A"/>
    <w:rsid w:val="00A83E28"/>
    <w:rsid w:val="00A96059"/>
    <w:rsid w:val="00A96854"/>
    <w:rsid w:val="00AB0469"/>
    <w:rsid w:val="00AB6C8B"/>
    <w:rsid w:val="00AB6FD1"/>
    <w:rsid w:val="00AC1762"/>
    <w:rsid w:val="00AC2141"/>
    <w:rsid w:val="00AC5810"/>
    <w:rsid w:val="00AC5AC4"/>
    <w:rsid w:val="00AD370D"/>
    <w:rsid w:val="00AD46CD"/>
    <w:rsid w:val="00AD64DE"/>
    <w:rsid w:val="00AE0684"/>
    <w:rsid w:val="00AE5307"/>
    <w:rsid w:val="00AE759D"/>
    <w:rsid w:val="00AF06C4"/>
    <w:rsid w:val="00B02734"/>
    <w:rsid w:val="00B055FF"/>
    <w:rsid w:val="00B10CD3"/>
    <w:rsid w:val="00B11F42"/>
    <w:rsid w:val="00B21AE2"/>
    <w:rsid w:val="00B21DBA"/>
    <w:rsid w:val="00B24032"/>
    <w:rsid w:val="00B27691"/>
    <w:rsid w:val="00B30B06"/>
    <w:rsid w:val="00B3322F"/>
    <w:rsid w:val="00B361D5"/>
    <w:rsid w:val="00B36F65"/>
    <w:rsid w:val="00B411F2"/>
    <w:rsid w:val="00B4418D"/>
    <w:rsid w:val="00B566E9"/>
    <w:rsid w:val="00B5683F"/>
    <w:rsid w:val="00B7738C"/>
    <w:rsid w:val="00B8013C"/>
    <w:rsid w:val="00B82A37"/>
    <w:rsid w:val="00B847E4"/>
    <w:rsid w:val="00B87931"/>
    <w:rsid w:val="00B931F5"/>
    <w:rsid w:val="00BA009A"/>
    <w:rsid w:val="00BA1B91"/>
    <w:rsid w:val="00BA52EA"/>
    <w:rsid w:val="00BA76AF"/>
    <w:rsid w:val="00BB44C9"/>
    <w:rsid w:val="00BB5004"/>
    <w:rsid w:val="00BC570A"/>
    <w:rsid w:val="00BC7345"/>
    <w:rsid w:val="00BE2CB2"/>
    <w:rsid w:val="00BE2F11"/>
    <w:rsid w:val="00BE457C"/>
    <w:rsid w:val="00BF09CD"/>
    <w:rsid w:val="00BF15B2"/>
    <w:rsid w:val="00BF2890"/>
    <w:rsid w:val="00BF6621"/>
    <w:rsid w:val="00BF74FC"/>
    <w:rsid w:val="00C00C3F"/>
    <w:rsid w:val="00C02230"/>
    <w:rsid w:val="00C122B5"/>
    <w:rsid w:val="00C14DAB"/>
    <w:rsid w:val="00C16079"/>
    <w:rsid w:val="00C20154"/>
    <w:rsid w:val="00C25ACA"/>
    <w:rsid w:val="00C25D3F"/>
    <w:rsid w:val="00C2679E"/>
    <w:rsid w:val="00C33520"/>
    <w:rsid w:val="00C44038"/>
    <w:rsid w:val="00C45F98"/>
    <w:rsid w:val="00C6091F"/>
    <w:rsid w:val="00C6358C"/>
    <w:rsid w:val="00C64BE6"/>
    <w:rsid w:val="00C657F9"/>
    <w:rsid w:val="00C662FC"/>
    <w:rsid w:val="00C67E3C"/>
    <w:rsid w:val="00C7094D"/>
    <w:rsid w:val="00C77014"/>
    <w:rsid w:val="00C77E28"/>
    <w:rsid w:val="00C84C12"/>
    <w:rsid w:val="00C86853"/>
    <w:rsid w:val="00C957FE"/>
    <w:rsid w:val="00C963E6"/>
    <w:rsid w:val="00CA2558"/>
    <w:rsid w:val="00CB11D2"/>
    <w:rsid w:val="00CC4AAF"/>
    <w:rsid w:val="00CD5F68"/>
    <w:rsid w:val="00CF0040"/>
    <w:rsid w:val="00CF1973"/>
    <w:rsid w:val="00D011F3"/>
    <w:rsid w:val="00D276FF"/>
    <w:rsid w:val="00D31861"/>
    <w:rsid w:val="00D44501"/>
    <w:rsid w:val="00D445CC"/>
    <w:rsid w:val="00D451EA"/>
    <w:rsid w:val="00D568B3"/>
    <w:rsid w:val="00D60BDF"/>
    <w:rsid w:val="00D81DE9"/>
    <w:rsid w:val="00D84673"/>
    <w:rsid w:val="00D97008"/>
    <w:rsid w:val="00DA3683"/>
    <w:rsid w:val="00DA5FF0"/>
    <w:rsid w:val="00DC3240"/>
    <w:rsid w:val="00DC5194"/>
    <w:rsid w:val="00DD33A8"/>
    <w:rsid w:val="00DD775D"/>
    <w:rsid w:val="00DD7882"/>
    <w:rsid w:val="00DE1D2F"/>
    <w:rsid w:val="00DF06B2"/>
    <w:rsid w:val="00DF5D2B"/>
    <w:rsid w:val="00E005B7"/>
    <w:rsid w:val="00E04D63"/>
    <w:rsid w:val="00E07555"/>
    <w:rsid w:val="00E1040B"/>
    <w:rsid w:val="00E11554"/>
    <w:rsid w:val="00E12BA9"/>
    <w:rsid w:val="00E15366"/>
    <w:rsid w:val="00E24CD5"/>
    <w:rsid w:val="00E2649A"/>
    <w:rsid w:val="00E31A2F"/>
    <w:rsid w:val="00E33A47"/>
    <w:rsid w:val="00E3481B"/>
    <w:rsid w:val="00E35DFA"/>
    <w:rsid w:val="00E41BD0"/>
    <w:rsid w:val="00E44227"/>
    <w:rsid w:val="00E44C24"/>
    <w:rsid w:val="00E45CF8"/>
    <w:rsid w:val="00E56999"/>
    <w:rsid w:val="00E60732"/>
    <w:rsid w:val="00E8389F"/>
    <w:rsid w:val="00E85875"/>
    <w:rsid w:val="00E908DC"/>
    <w:rsid w:val="00E91649"/>
    <w:rsid w:val="00E91911"/>
    <w:rsid w:val="00E9219B"/>
    <w:rsid w:val="00EA07A6"/>
    <w:rsid w:val="00EA30B2"/>
    <w:rsid w:val="00EA38C7"/>
    <w:rsid w:val="00EB2C95"/>
    <w:rsid w:val="00EC06CB"/>
    <w:rsid w:val="00EC3A51"/>
    <w:rsid w:val="00ED3498"/>
    <w:rsid w:val="00EE0A12"/>
    <w:rsid w:val="00EE1112"/>
    <w:rsid w:val="00EE2033"/>
    <w:rsid w:val="00EE42D6"/>
    <w:rsid w:val="00EF00CC"/>
    <w:rsid w:val="00EF069A"/>
    <w:rsid w:val="00EF099D"/>
    <w:rsid w:val="00EF699F"/>
    <w:rsid w:val="00EF7AAD"/>
    <w:rsid w:val="00F1212C"/>
    <w:rsid w:val="00F25979"/>
    <w:rsid w:val="00F335D6"/>
    <w:rsid w:val="00F42F10"/>
    <w:rsid w:val="00F630DA"/>
    <w:rsid w:val="00F649B9"/>
    <w:rsid w:val="00F6703B"/>
    <w:rsid w:val="00F70D07"/>
    <w:rsid w:val="00F713AE"/>
    <w:rsid w:val="00F71C90"/>
    <w:rsid w:val="00F72F38"/>
    <w:rsid w:val="00F73F98"/>
    <w:rsid w:val="00F775EE"/>
    <w:rsid w:val="00F830FE"/>
    <w:rsid w:val="00F92218"/>
    <w:rsid w:val="00FA50AE"/>
    <w:rsid w:val="00FB0DEC"/>
    <w:rsid w:val="00FB3288"/>
    <w:rsid w:val="00FB4E9E"/>
    <w:rsid w:val="00FB5C7F"/>
    <w:rsid w:val="00FC5AF0"/>
    <w:rsid w:val="00FC6346"/>
    <w:rsid w:val="00FC6988"/>
    <w:rsid w:val="00FD1982"/>
    <w:rsid w:val="00FE3D11"/>
    <w:rsid w:val="00FE522B"/>
    <w:rsid w:val="00FF048D"/>
    <w:rsid w:val="00FF05B3"/>
    <w:rsid w:val="00FF2167"/>
    <w:rsid w:val="00FF5C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07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0732"/>
    <w:pPr>
      <w:tabs>
        <w:tab w:val="center" w:pos="4320"/>
        <w:tab w:val="right" w:pos="8640"/>
      </w:tabs>
    </w:pPr>
  </w:style>
  <w:style w:type="character" w:styleId="PageNumber">
    <w:name w:val="page number"/>
    <w:basedOn w:val="DefaultParagraphFont"/>
    <w:rsid w:val="00E60732"/>
  </w:style>
  <w:style w:type="paragraph" w:styleId="Header">
    <w:name w:val="header"/>
    <w:basedOn w:val="Normal"/>
    <w:rsid w:val="00E60732"/>
    <w:pPr>
      <w:tabs>
        <w:tab w:val="center" w:pos="4320"/>
        <w:tab w:val="right" w:pos="8640"/>
      </w:tabs>
    </w:pPr>
  </w:style>
  <w:style w:type="paragraph" w:styleId="FootnoteText">
    <w:name w:val="footnote text"/>
    <w:basedOn w:val="Normal"/>
    <w:link w:val="FootnoteTextChar"/>
    <w:unhideWhenUsed/>
    <w:rsid w:val="00142F6C"/>
    <w:rPr>
      <w:rFonts w:ascii="Calibri" w:eastAsia="Calibri" w:hAnsi="Calibri"/>
      <w:sz w:val="20"/>
      <w:szCs w:val="20"/>
    </w:rPr>
  </w:style>
  <w:style w:type="character" w:customStyle="1" w:styleId="FootnoteTextChar">
    <w:name w:val="Footnote Text Char"/>
    <w:basedOn w:val="DefaultParagraphFont"/>
    <w:link w:val="FootnoteText"/>
    <w:uiPriority w:val="99"/>
    <w:rsid w:val="00142F6C"/>
    <w:rPr>
      <w:rFonts w:ascii="Calibri" w:eastAsia="Calibri" w:hAnsi="Calibri"/>
    </w:rPr>
  </w:style>
  <w:style w:type="character" w:styleId="FootnoteReference">
    <w:name w:val="footnote reference"/>
    <w:unhideWhenUsed/>
    <w:rsid w:val="00142F6C"/>
    <w:rPr>
      <w:vertAlign w:val="superscript"/>
    </w:rPr>
  </w:style>
  <w:style w:type="paragraph" w:styleId="ListParagraph">
    <w:name w:val="List Paragraph"/>
    <w:basedOn w:val="Normal"/>
    <w:uiPriority w:val="34"/>
    <w:qFormat/>
    <w:rsid w:val="00823988"/>
    <w:pPr>
      <w:ind w:left="720"/>
      <w:contextualSpacing/>
    </w:pPr>
  </w:style>
  <w:style w:type="character" w:styleId="Hyperlink">
    <w:name w:val="Hyperlink"/>
    <w:basedOn w:val="DefaultParagraphFont"/>
    <w:rsid w:val="0099058B"/>
    <w:rPr>
      <w:color w:val="0000FF"/>
      <w:u w:val="single"/>
    </w:rPr>
  </w:style>
  <w:style w:type="paragraph" w:customStyle="1" w:styleId="Bullet1">
    <w:name w:val="Bullet1"/>
    <w:basedOn w:val="Normal"/>
    <w:rsid w:val="00DD7882"/>
    <w:pPr>
      <w:numPr>
        <w:numId w:val="6"/>
      </w:numPr>
      <w:spacing w:after="200" w:line="320" w:lineRule="exact"/>
    </w:pPr>
    <w:rPr>
      <w:rFonts w:ascii="Helvetica" w:hAnsi="Helvetica"/>
      <w:color w:val="333132"/>
      <w:sz w:val="20"/>
      <w:szCs w:val="15"/>
    </w:rPr>
  </w:style>
  <w:style w:type="character" w:styleId="CommentReference">
    <w:name w:val="annotation reference"/>
    <w:basedOn w:val="DefaultParagraphFont"/>
    <w:unhideWhenUsed/>
    <w:rsid w:val="0041776C"/>
    <w:rPr>
      <w:sz w:val="16"/>
      <w:szCs w:val="16"/>
    </w:rPr>
  </w:style>
  <w:style w:type="paragraph" w:styleId="CommentText">
    <w:name w:val="annotation text"/>
    <w:basedOn w:val="Normal"/>
    <w:link w:val="CommentTextChar"/>
    <w:uiPriority w:val="99"/>
    <w:unhideWhenUsed/>
    <w:rsid w:val="0041776C"/>
    <w:rPr>
      <w:rFonts w:eastAsia="Calibri"/>
      <w:sz w:val="20"/>
      <w:szCs w:val="20"/>
    </w:rPr>
  </w:style>
  <w:style w:type="character" w:customStyle="1" w:styleId="CommentTextChar">
    <w:name w:val="Comment Text Char"/>
    <w:basedOn w:val="DefaultParagraphFont"/>
    <w:link w:val="CommentText"/>
    <w:uiPriority w:val="99"/>
    <w:rsid w:val="0041776C"/>
    <w:rPr>
      <w:rFonts w:eastAsia="Calibri"/>
    </w:rPr>
  </w:style>
  <w:style w:type="paragraph" w:styleId="BalloonText">
    <w:name w:val="Balloon Text"/>
    <w:basedOn w:val="Normal"/>
    <w:link w:val="BalloonTextChar"/>
    <w:rsid w:val="0041776C"/>
    <w:rPr>
      <w:rFonts w:ascii="Tahoma" w:hAnsi="Tahoma" w:cs="Tahoma"/>
      <w:sz w:val="16"/>
      <w:szCs w:val="16"/>
    </w:rPr>
  </w:style>
  <w:style w:type="character" w:customStyle="1" w:styleId="BalloonTextChar">
    <w:name w:val="Balloon Text Char"/>
    <w:basedOn w:val="DefaultParagraphFont"/>
    <w:link w:val="BalloonText"/>
    <w:rsid w:val="0041776C"/>
    <w:rPr>
      <w:rFonts w:ascii="Tahoma" w:hAnsi="Tahoma" w:cs="Tahoma"/>
      <w:sz w:val="16"/>
      <w:szCs w:val="16"/>
    </w:rPr>
  </w:style>
  <w:style w:type="paragraph" w:styleId="CommentSubject">
    <w:name w:val="annotation subject"/>
    <w:basedOn w:val="CommentText"/>
    <w:next w:val="CommentText"/>
    <w:link w:val="CommentSubjectChar"/>
    <w:rsid w:val="00890BE4"/>
    <w:rPr>
      <w:rFonts w:eastAsia="Times New Roman"/>
      <w:b/>
      <w:bCs/>
    </w:rPr>
  </w:style>
  <w:style w:type="character" w:customStyle="1" w:styleId="CommentSubjectChar">
    <w:name w:val="Comment Subject Char"/>
    <w:basedOn w:val="CommentTextChar"/>
    <w:link w:val="CommentSubject"/>
    <w:rsid w:val="00890BE4"/>
    <w:rPr>
      <w:rFonts w:eastAsia="Calibri"/>
      <w:b/>
      <w:bCs/>
    </w:rPr>
  </w:style>
  <w:style w:type="table" w:styleId="TableGrid">
    <w:name w:val="Table Grid"/>
    <w:basedOn w:val="TableNormal"/>
    <w:rsid w:val="002035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6282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AEEC7-B2B4-407D-BA79-9768DECA2286}">
  <ds:schemaRefs>
    <ds:schemaRef ds:uri="http://schemas.openxmlformats.org/officeDocument/2006/bibliography"/>
  </ds:schemaRefs>
</ds:datastoreItem>
</file>

<file path=customXml/itemProps2.xml><?xml version="1.0" encoding="utf-8"?>
<ds:datastoreItem xmlns:ds="http://schemas.openxmlformats.org/officeDocument/2006/customXml" ds:itemID="{A5E1F00B-C226-4BCB-AB2D-A21FED65F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4750</Words>
  <Characters>27076</Characters>
  <Application>Microsoft Office Word</Application>
  <DocSecurity>0</DocSecurity>
  <Lines>225</Lines>
  <Paragraphs>63</Paragraphs>
  <ScaleCrop>false</ScaleCrop>
  <LinksUpToDate>false</LinksUpToDate>
  <CharactersWithSpaces>31763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2011-11-04T15:13:00Z</dcterms:created>
  <dcterms:modified xsi:type="dcterms:W3CDTF">2011-11-04T15:13:00Z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oFAAXzy6TWd89pg2J7PbkwwOdCO3odeAxXSLY2So+d4mKpKXqLyIxqr2mw9z41kw4//uDH2wVDSxFhAc_x000d_
D7mNfOyLmI29XTPy6vG8iwbf1ws5Yxd2iALJLEK/UWWohgPqL4QvPaTBmdH0y+gazH0Nce1VFNHL_x000d_
6YsaAgBNd6E8t9DObMuiT3upc4RE2z4VtBKL3q/JUM2X7UerCXiJFt+6krUZ4xePbubj5Y72C+77_x000d_
aLyVplB34svJ7SJdH</vt:lpwstr>
  </property>
  <property fmtid="{D5CDD505-2E9C-101B-9397-08002B2CF9AE}" pid="3" name="MAIL_MSG_ID2">
    <vt:lpwstr>8p3sUh1i+D7Kz4a7LFRrYPXPbdxVw0Uka/7eJhhejzF2Hc6ofMLGa3JTWqZ_x000d_
cNT7TbLPZvPjdzPy6LuRDuuZbjptHrAaNnd7JEZ9AhwMpSkW</vt:lpwstr>
  </property>
  <property fmtid="{D5CDD505-2E9C-101B-9397-08002B2CF9AE}" pid="4" name="RESPONSE_SENDER_NAME">
    <vt:lpwstr>4AAAMz5NUQ6P8J+9Ee+PfIzLPknEfmZq/Um5r335Hr6S3rkLuQxRzxXKmQ==</vt:lpwstr>
  </property>
  <property fmtid="{D5CDD505-2E9C-101B-9397-08002B2CF9AE}" pid="5" name="EMAIL_OWNER_ADDRESS">
    <vt:lpwstr>4AAA4Lxe55UJ0C+qv/A3Qyj8uOyGUEhQDQ45i+OjI1ZefESoRfRLZbrXxQ==</vt:lpwstr>
  </property>
  <property fmtid="{D5CDD505-2E9C-101B-9397-08002B2CF9AE}" pid="6" name="WS_TRACKING_ID">
    <vt:lpwstr>e464af2a-8715-438f-b8c1-ff6cf10f386e</vt:lpwstr>
  </property>
</Properties>
</file>