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B2C" w:rsidRPr="009D1CB8" w:rsidRDefault="00491B2C" w:rsidP="00491B2C">
      <w:pPr>
        <w:jc w:val="center"/>
        <w:rPr>
          <w:b/>
          <w:bCs/>
          <w:sz w:val="28"/>
          <w:szCs w:val="28"/>
        </w:rPr>
      </w:pPr>
      <w:r w:rsidRPr="009D1CB8">
        <w:rPr>
          <w:b/>
          <w:bCs/>
          <w:sz w:val="28"/>
          <w:szCs w:val="28"/>
        </w:rPr>
        <w:t>Supporting Statement A</w:t>
      </w:r>
    </w:p>
    <w:p w:rsidR="00491B2C" w:rsidRPr="009D1CB8" w:rsidRDefault="00491B2C" w:rsidP="00491B2C">
      <w:pPr>
        <w:ind w:left="720"/>
        <w:jc w:val="center"/>
        <w:rPr>
          <w:b/>
          <w:sz w:val="28"/>
          <w:szCs w:val="28"/>
        </w:rPr>
      </w:pPr>
      <w:r w:rsidRPr="009D1CB8">
        <w:rPr>
          <w:b/>
          <w:bCs/>
          <w:sz w:val="28"/>
          <w:szCs w:val="28"/>
        </w:rPr>
        <w:t xml:space="preserve">30 CFR 774 – </w:t>
      </w:r>
      <w:r w:rsidRPr="009D1CB8">
        <w:rPr>
          <w:b/>
          <w:sz w:val="28"/>
          <w:szCs w:val="28"/>
        </w:rPr>
        <w:t>Revision; Renewal; Transfer, Assignment,</w:t>
      </w:r>
    </w:p>
    <w:p w:rsidR="00491B2C" w:rsidRPr="009D1CB8" w:rsidRDefault="00491B2C" w:rsidP="00491B2C">
      <w:pPr>
        <w:ind w:left="720"/>
        <w:jc w:val="center"/>
        <w:rPr>
          <w:b/>
          <w:sz w:val="28"/>
          <w:szCs w:val="28"/>
        </w:rPr>
      </w:pPr>
      <w:proofErr w:type="gramStart"/>
      <w:r w:rsidRPr="009D1CB8">
        <w:rPr>
          <w:b/>
          <w:sz w:val="28"/>
          <w:szCs w:val="28"/>
        </w:rPr>
        <w:t>or</w:t>
      </w:r>
      <w:proofErr w:type="gramEnd"/>
      <w:r w:rsidRPr="009D1CB8">
        <w:rPr>
          <w:b/>
          <w:sz w:val="28"/>
          <w:szCs w:val="28"/>
        </w:rPr>
        <w:t xml:space="preserve"> Sale of Permit Rights; and Post-Permit Issuance Requirements</w:t>
      </w:r>
    </w:p>
    <w:p w:rsidR="00491B2C" w:rsidRPr="009D1CB8" w:rsidRDefault="00491B2C" w:rsidP="00491B2C">
      <w:pPr>
        <w:jc w:val="center"/>
        <w:rPr>
          <w:b/>
          <w:sz w:val="28"/>
          <w:szCs w:val="28"/>
        </w:rPr>
      </w:pPr>
    </w:p>
    <w:p w:rsidR="00491B2C" w:rsidRPr="009D1CB8" w:rsidRDefault="00491B2C" w:rsidP="00491B2C">
      <w:pPr>
        <w:jc w:val="center"/>
        <w:rPr>
          <w:b/>
          <w:sz w:val="28"/>
          <w:szCs w:val="28"/>
        </w:rPr>
      </w:pPr>
      <w:r w:rsidRPr="009D1CB8">
        <w:rPr>
          <w:b/>
          <w:sz w:val="28"/>
          <w:szCs w:val="28"/>
        </w:rPr>
        <w:t>OMB Control Number:  1029-xxx1</w:t>
      </w:r>
    </w:p>
    <w:p w:rsidR="00491B2C" w:rsidRDefault="00491B2C" w:rsidP="00491B2C">
      <w:pPr>
        <w:jc w:val="center"/>
      </w:pPr>
    </w:p>
    <w:p w:rsidR="00491B2C" w:rsidRPr="00DF2CE2" w:rsidRDefault="00491B2C" w:rsidP="00491B2C">
      <w:r>
        <w:t>Terms of Clearance:  None</w:t>
      </w:r>
    </w:p>
    <w:p w:rsidR="00491B2C" w:rsidRPr="00DF2CE2" w:rsidRDefault="00491B2C" w:rsidP="00491B2C"/>
    <w:p w:rsidR="00491B2C" w:rsidRPr="00DF2CE2" w:rsidRDefault="00491B2C" w:rsidP="00491B2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F2CE2">
        <w:rPr>
          <w:b/>
          <w:bCs/>
        </w:rPr>
        <w:t>General Instructions</w:t>
      </w:r>
      <w:r w:rsidRPr="00DF2CE2">
        <w:t xml:space="preserve"> </w:t>
      </w:r>
    </w:p>
    <w:p w:rsidR="00491B2C" w:rsidRPr="00DF2CE2" w:rsidRDefault="00491B2C" w:rsidP="00491B2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91B2C" w:rsidRDefault="00491B2C" w:rsidP="00491B2C">
      <w:pPr>
        <w:widowControl w:val="0"/>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i/>
        </w:rPr>
      </w:pPr>
      <w:r w:rsidRPr="003E3488">
        <w:rPr>
          <w:i/>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491B2C" w:rsidRPr="003E3488" w:rsidRDefault="00491B2C" w:rsidP="00491B2C">
      <w:pPr>
        <w:widowControl w:val="0"/>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i/>
        </w:rPr>
      </w:pPr>
    </w:p>
    <w:p w:rsidR="00491B2C" w:rsidRPr="009E4D1F" w:rsidRDefault="00491B2C" w:rsidP="00491B2C">
      <w:pPr>
        <w:rPr>
          <w:b/>
          <w:u w:val="single"/>
        </w:rPr>
      </w:pPr>
      <w:r w:rsidRPr="009E4D1F">
        <w:rPr>
          <w:b/>
          <w:u w:val="single"/>
        </w:rPr>
        <w:t>Introduction</w:t>
      </w:r>
    </w:p>
    <w:p w:rsidR="00491B2C" w:rsidRPr="009E4D1F" w:rsidRDefault="00491B2C" w:rsidP="00491B2C"/>
    <w:p w:rsidR="00491B2C" w:rsidRDefault="00491B2C" w:rsidP="00491B2C">
      <w:r w:rsidRPr="009E4D1F">
        <w:t>The Office of Surface Mining Reclamation and Enforcement (OSM</w:t>
      </w:r>
      <w:r>
        <w:t>RE</w:t>
      </w:r>
      <w:r w:rsidRPr="009E4D1F">
        <w:t xml:space="preserve">) </w:t>
      </w:r>
      <w:r>
        <w:t xml:space="preserve">is </w:t>
      </w:r>
      <w:r w:rsidRPr="009E4D1F">
        <w:t>submit</w:t>
      </w:r>
      <w:r>
        <w:t>ting</w:t>
      </w:r>
      <w:r w:rsidRPr="009E4D1F">
        <w:t xml:space="preserve"> this request to</w:t>
      </w:r>
      <w:r>
        <w:t xml:space="preserve"> revise its </w:t>
      </w:r>
      <w:r w:rsidRPr="009E4D1F">
        <w:t>collect</w:t>
      </w:r>
      <w:r>
        <w:t>ion of</w:t>
      </w:r>
      <w:r w:rsidRPr="009E4D1F">
        <w:t xml:space="preserve"> information under 30 </w:t>
      </w:r>
      <w:smartTag w:uri="urn:schemas-microsoft-com:office:smarttags" w:element="stockticker">
        <w:r w:rsidRPr="009E4D1F">
          <w:t>CFR</w:t>
        </w:r>
      </w:smartTag>
      <w:r w:rsidRPr="009E4D1F">
        <w:t xml:space="preserve"> 774</w:t>
      </w:r>
      <w:r>
        <w:t xml:space="preserve"> - Revision; Renewal; Transfer, Assignment, or Sale of Permit Rights; Post-Permit Issuance Requirements; and Other Actions Based on Ownership, Control, and Violation Information</w:t>
      </w:r>
      <w:r w:rsidRPr="009E4D1F">
        <w:t xml:space="preserve">.  The regulations under 30 </w:t>
      </w:r>
      <w:smartTag w:uri="urn:schemas-microsoft-com:office:smarttags" w:element="stockticker">
        <w:r w:rsidRPr="009E4D1F">
          <w:t>CFR</w:t>
        </w:r>
      </w:smartTag>
      <w:r w:rsidRPr="009E4D1F">
        <w:t xml:space="preserve"> 774 address general and specific requirements for permit revisions and renewals; transfer, assignment, or sale of permit rights; permittee post-permit information disclosure; update, maintenance requirements; and procedures for regulatory authorities to pursue permanent permit ineligibility, develop findings of ownership and control, and determine if alternative enforcement actions </w:t>
      </w:r>
      <w:r>
        <w:t>for p</w:t>
      </w:r>
      <w:r w:rsidRPr="009E4D1F">
        <w:t>arts 843, 846, or 847 are warranted when a person is found to own or control a surface coal mining operation having an unabated or uncorrected violation.</w:t>
      </w:r>
    </w:p>
    <w:p w:rsidR="00491B2C" w:rsidRDefault="00491B2C" w:rsidP="00491B2C">
      <w:pPr>
        <w:pStyle w:val="HTMLPreformatted"/>
        <w:rPr>
          <w:rFonts w:ascii="Times New Roman" w:hAnsi="Times New Roman" w:cs="Times New Roman"/>
          <w:sz w:val="24"/>
          <w:szCs w:val="24"/>
        </w:rPr>
      </w:pPr>
    </w:p>
    <w:p w:rsidR="00491B2C" w:rsidRPr="008F6A43" w:rsidRDefault="00491B2C" w:rsidP="00491B2C">
      <w:pPr>
        <w:pStyle w:val="HTMLPreformatted"/>
        <w:rPr>
          <w:rFonts w:ascii="Times New Roman" w:hAnsi="Times New Roman" w:cs="Times New Roman"/>
          <w:sz w:val="24"/>
          <w:szCs w:val="24"/>
        </w:rPr>
      </w:pPr>
      <w:r>
        <w:rPr>
          <w:rFonts w:ascii="Times New Roman" w:hAnsi="Times New Roman" w:cs="Times New Roman"/>
          <w:sz w:val="24"/>
          <w:szCs w:val="24"/>
        </w:rPr>
        <w:t xml:space="preserve">OSMRE is proposing a Stream Protection Rule </w:t>
      </w:r>
      <w:r w:rsidRPr="008F6A43">
        <w:rPr>
          <w:rFonts w:ascii="Times New Roman" w:hAnsi="Times New Roman" w:cs="Times New Roman"/>
          <w:sz w:val="24"/>
          <w:szCs w:val="24"/>
        </w:rPr>
        <w:t xml:space="preserve">which will modify the collection requirements in 30 CFR 774.15 for applicants requesting permit renewals. </w:t>
      </w:r>
      <w:r>
        <w:rPr>
          <w:rFonts w:ascii="Times New Roman" w:hAnsi="Times New Roman" w:cs="Times New Roman"/>
          <w:sz w:val="24"/>
          <w:szCs w:val="24"/>
        </w:rPr>
        <w:t xml:space="preserve"> </w:t>
      </w:r>
      <w:r w:rsidRPr="008F6A43">
        <w:rPr>
          <w:rFonts w:ascii="Times New Roman" w:hAnsi="Times New Roman" w:cs="Times New Roman"/>
          <w:sz w:val="24"/>
          <w:szCs w:val="24"/>
        </w:rPr>
        <w:t xml:space="preserve">This proposed rule will seek public comments on the burden estimates we have identified, the availability of data, frequency of collection, the clarity of instructions and recordkeeping, disclosure, or reporting format, and on the data elements to be recorded, disclosed, and reported.  </w:t>
      </w:r>
    </w:p>
    <w:p w:rsidR="00491B2C" w:rsidRPr="008F6A43" w:rsidRDefault="00491B2C" w:rsidP="00491B2C">
      <w:pPr>
        <w:pStyle w:val="HTMLPreformatted"/>
        <w:rPr>
          <w:rFonts w:ascii="Times New Roman" w:hAnsi="Times New Roman" w:cs="Times New Roman"/>
          <w:sz w:val="24"/>
          <w:szCs w:val="24"/>
        </w:rPr>
      </w:pPr>
    </w:p>
    <w:p w:rsidR="00491B2C" w:rsidRPr="00C17D0E" w:rsidRDefault="00491B2C" w:rsidP="00491B2C">
      <w:r w:rsidRPr="00C17D0E">
        <w:t xml:space="preserve">The Office of Management and Budget (OMB) has previously approved </w:t>
      </w:r>
      <w:r>
        <w:t xml:space="preserve">the </w:t>
      </w:r>
      <w:r w:rsidRPr="00C17D0E">
        <w:t xml:space="preserve">information collection </w:t>
      </w:r>
      <w:r>
        <w:t xml:space="preserve">requirements </w:t>
      </w:r>
      <w:r w:rsidRPr="00C17D0E">
        <w:t>for 30 CFR 774</w:t>
      </w:r>
      <w:r>
        <w:t xml:space="preserve"> and </w:t>
      </w:r>
      <w:r w:rsidRPr="00C17D0E">
        <w:t xml:space="preserve">assigned </w:t>
      </w:r>
      <w:r>
        <w:t xml:space="preserve">it </w:t>
      </w:r>
      <w:r w:rsidRPr="00C17D0E">
        <w:t>c</w:t>
      </w:r>
      <w:r>
        <w:t>ontrol</w:t>
      </w:r>
      <w:r w:rsidRPr="00C17D0E">
        <w:t xml:space="preserve"> number 1029-0116.</w:t>
      </w:r>
      <w:r>
        <w:t xml:space="preserve">  However, OSMRE is requesting a new information collection number pending approval of the information collection for the final rulemaking.  </w:t>
      </w:r>
    </w:p>
    <w:p w:rsidR="00491B2C" w:rsidRDefault="00491B2C" w:rsidP="00491B2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491B2C" w:rsidRPr="003E3488" w:rsidRDefault="00491B2C" w:rsidP="00491B2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br w:type="page"/>
      </w:r>
      <w:r w:rsidRPr="003E3488">
        <w:rPr>
          <w:b/>
          <w:bCs/>
          <w:i/>
        </w:rPr>
        <w:lastRenderedPageBreak/>
        <w:t>Specific Instructions</w:t>
      </w:r>
    </w:p>
    <w:p w:rsidR="00491B2C" w:rsidRPr="003E3488" w:rsidRDefault="00491B2C" w:rsidP="00491B2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491B2C" w:rsidRPr="003E3488" w:rsidRDefault="00491B2C" w:rsidP="00491B2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3E3488">
        <w:rPr>
          <w:b/>
          <w:bCs/>
          <w:i/>
          <w:u w:val="single"/>
        </w:rPr>
        <w:t>Justification</w:t>
      </w:r>
    </w:p>
    <w:p w:rsidR="00491B2C" w:rsidRPr="00DF2CE2" w:rsidRDefault="00491B2C" w:rsidP="00491B2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491B2C" w:rsidRPr="003E3488" w:rsidRDefault="00491B2C" w:rsidP="00491B2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DF2CE2">
        <w:t>1.</w:t>
      </w:r>
      <w:r w:rsidRPr="00DF2CE2">
        <w:tab/>
      </w:r>
      <w:r w:rsidRPr="003E3488">
        <w:rPr>
          <w:i/>
        </w:rPr>
        <w:t>Explain the circumstances that make the collection of information necessary.  Identify any legal or administrative requirements that necessitate the collection.</w:t>
      </w:r>
    </w:p>
    <w:p w:rsidR="00491B2C" w:rsidRDefault="00491B2C" w:rsidP="00491B2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491B2C" w:rsidRDefault="00491B2C" w:rsidP="00491B2C">
      <w:pPr>
        <w:ind w:left="720"/>
      </w:pPr>
      <w:r>
        <w:t>The Surface Mining Control and Reclamation Act of 1977 (</w:t>
      </w:r>
      <w:r w:rsidRPr="00C17D0E">
        <w:t>SMCRA</w:t>
      </w:r>
      <w:r>
        <w:t xml:space="preserve"> or the Act) requires that individuals who wish to engage in surface coal mining operations must first obtain a permit issued by a state regulatory authority in accordance with section 502 of the Act.</w:t>
      </w:r>
      <w:r w:rsidRPr="00C17D0E">
        <w:t xml:space="preserve">  Following permit issuance, a permittee </w:t>
      </w:r>
      <w:r>
        <w:t>has the right to successive renewal under section 506(d)(1).  During the term of the permit section 511(a) of the Act authorizes a permittee to submit a permit revision, and section 511(b) requires permittees to</w:t>
      </w:r>
      <w:r w:rsidRPr="00C17D0E">
        <w:t xml:space="preserve"> apply for a transfer, assignment, or sale of permit rights</w:t>
      </w:r>
      <w:r>
        <w:t>.</w:t>
      </w:r>
    </w:p>
    <w:p w:rsidR="00491B2C" w:rsidRDefault="00491B2C" w:rsidP="00491B2C">
      <w:pPr>
        <w:ind w:left="720"/>
      </w:pPr>
    </w:p>
    <w:p w:rsidR="00491B2C" w:rsidRDefault="00491B2C" w:rsidP="00491B2C">
      <w:pPr>
        <w:ind w:left="720" w:firstLine="45"/>
      </w:pPr>
      <w:r>
        <w:t>The proposed Stream Protection rulemaking will assist the regulatory authority in ensuring that coal mining operations have been and continue to be designed to prevent material damage to the hydrologic balance outside the permit area, as required by section 510(b)(3) of SMCRA and 30 CFR 773.15(e).</w:t>
      </w:r>
    </w:p>
    <w:p w:rsidR="00491B2C" w:rsidRDefault="00491B2C" w:rsidP="00491B2C">
      <w:pPr>
        <w:ind w:left="720"/>
      </w:pPr>
    </w:p>
    <w:p w:rsidR="00491B2C" w:rsidRPr="003E3488" w:rsidRDefault="00491B2C" w:rsidP="00491B2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DF2CE2">
        <w:t>2.</w:t>
      </w:r>
      <w:r w:rsidRPr="00DF2CE2">
        <w:tab/>
      </w:r>
      <w:r w:rsidRPr="003E3488">
        <w:rPr>
          <w:i/>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491B2C" w:rsidRDefault="00491B2C" w:rsidP="00491B2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491B2C" w:rsidRDefault="00491B2C" w:rsidP="00491B2C">
      <w:pPr>
        <w:ind w:left="720"/>
      </w:pPr>
      <w:r>
        <w:t xml:space="preserve">30 CFR 774 </w:t>
      </w:r>
      <w:r w:rsidRPr="00C17D0E">
        <w:t>requires</w:t>
      </w:r>
      <w:r>
        <w:t xml:space="preserve"> permittees:</w:t>
      </w:r>
    </w:p>
    <w:p w:rsidR="00491B2C" w:rsidRDefault="00491B2C" w:rsidP="00491B2C">
      <w:pPr>
        <w:ind w:left="720"/>
      </w:pPr>
    </w:p>
    <w:p w:rsidR="00491B2C" w:rsidRDefault="00491B2C" w:rsidP="00491B2C">
      <w:pPr>
        <w:numPr>
          <w:ilvl w:val="0"/>
          <w:numId w:val="16"/>
        </w:numPr>
        <w:ind w:left="1080"/>
      </w:pPr>
      <w:r>
        <w:t>To p</w:t>
      </w:r>
      <w:r w:rsidRPr="00C17D0E">
        <w:t xml:space="preserve">rovide information </w:t>
      </w:r>
      <w:r>
        <w:t xml:space="preserve">updates after receipt of </w:t>
      </w:r>
      <w:r w:rsidRPr="00C17D0E">
        <w:t>cessation order</w:t>
      </w:r>
      <w:r>
        <w:t>s and after a change in ownership or control of the operation</w:t>
      </w:r>
      <w:r w:rsidRPr="00C17D0E">
        <w:t>.</w:t>
      </w:r>
    </w:p>
    <w:p w:rsidR="00491B2C" w:rsidRPr="00C17D0E" w:rsidRDefault="00491B2C" w:rsidP="00491B2C">
      <w:pPr>
        <w:numPr>
          <w:ilvl w:val="0"/>
          <w:numId w:val="16"/>
        </w:numPr>
        <w:ind w:left="1080"/>
      </w:pPr>
      <w:r>
        <w:t>A</w:t>
      </w:r>
      <w:r w:rsidRPr="00C17D0E">
        <w:t>pplying for</w:t>
      </w:r>
      <w:r>
        <w:t xml:space="preserve"> </w:t>
      </w:r>
      <w:r w:rsidRPr="00C17D0E">
        <w:t>significant permit revision</w:t>
      </w:r>
      <w:r>
        <w:t>s</w:t>
      </w:r>
      <w:r w:rsidRPr="00C17D0E">
        <w:t xml:space="preserve"> to comply with </w:t>
      </w:r>
      <w:r>
        <w:t xml:space="preserve">certain </w:t>
      </w:r>
      <w:r w:rsidRPr="00C17D0E">
        <w:t xml:space="preserve">information and procedural requirements </w:t>
      </w:r>
      <w:r>
        <w:t>of the regulations</w:t>
      </w:r>
      <w:r w:rsidRPr="00C17D0E">
        <w:t>.</w:t>
      </w:r>
    </w:p>
    <w:p w:rsidR="00491B2C" w:rsidRDefault="00491B2C" w:rsidP="00491B2C">
      <w:pPr>
        <w:numPr>
          <w:ilvl w:val="0"/>
          <w:numId w:val="1"/>
        </w:numPr>
        <w:tabs>
          <w:tab w:val="clear" w:pos="360"/>
        </w:tabs>
        <w:ind w:left="1080"/>
      </w:pPr>
      <w:r>
        <w:t>A</w:t>
      </w:r>
      <w:r w:rsidRPr="00C17D0E">
        <w:t xml:space="preserve">pplying for a permit renewal to comply with the specific information and procedural requirements for an application for a permit renewal. </w:t>
      </w:r>
    </w:p>
    <w:p w:rsidR="00491B2C" w:rsidRDefault="00491B2C" w:rsidP="00491B2C">
      <w:pPr>
        <w:numPr>
          <w:ilvl w:val="0"/>
          <w:numId w:val="1"/>
        </w:numPr>
        <w:tabs>
          <w:tab w:val="clear" w:pos="360"/>
        </w:tabs>
        <w:ind w:left="1080"/>
      </w:pPr>
      <w:r>
        <w:t xml:space="preserve">To apply for </w:t>
      </w:r>
      <w:r w:rsidRPr="00C17D0E">
        <w:t>a transfer, assignment, or sale of permit rights</w:t>
      </w:r>
      <w:r>
        <w:t xml:space="preserve"> when ownership or control of the operation is being changed.</w:t>
      </w:r>
    </w:p>
    <w:p w:rsidR="00491B2C" w:rsidRDefault="00491B2C" w:rsidP="00491B2C"/>
    <w:p w:rsidR="00491B2C" w:rsidRDefault="00491B2C" w:rsidP="00491B2C">
      <w:pPr>
        <w:ind w:left="720"/>
      </w:pPr>
      <w:r>
        <w:t xml:space="preserve">30 CFR 774 also enumerate the requirements of state and federal </w:t>
      </w:r>
      <w:r w:rsidRPr="00C17D0E">
        <w:t xml:space="preserve">regulatory authorities </w:t>
      </w:r>
      <w:r>
        <w:t xml:space="preserve">to </w:t>
      </w:r>
      <w:r w:rsidRPr="00C17D0E">
        <w:t xml:space="preserve">review </w:t>
      </w:r>
      <w:r>
        <w:t xml:space="preserve">these surface coal mining </w:t>
      </w:r>
      <w:r w:rsidRPr="00C17D0E">
        <w:t xml:space="preserve">applications </w:t>
      </w:r>
      <w:r>
        <w:t>and make findings, and, when it’s the state regulatory authority, to notify OSMRE of these decisions and information updates.</w:t>
      </w:r>
    </w:p>
    <w:p w:rsidR="00491B2C" w:rsidRDefault="00491B2C" w:rsidP="00491B2C">
      <w:pPr>
        <w:ind w:left="720"/>
      </w:pPr>
    </w:p>
    <w:p w:rsidR="00491B2C" w:rsidRDefault="00491B2C" w:rsidP="00491B2C">
      <w:pPr>
        <w:ind w:left="720"/>
      </w:pPr>
      <w:r>
        <w:t xml:space="preserve">OSMRE is proposing rulemaking to modify the requirements for operators requesting permit renewals to include updated information on the probable hydrologic consequences (PHC) of the mining operation, or document that the original PHC is still accurate.  This modification would also require the regulatory authorities, in order to approve a renewal request, to review all available and relevant monitoring </w:t>
      </w:r>
      <w:r>
        <w:lastRenderedPageBreak/>
        <w:t xml:space="preserve">data, and any updated PHC, and verify that the original  </w:t>
      </w:r>
      <w:r w:rsidRPr="00CB0A6C">
        <w:t xml:space="preserve">finding that the regulatory authority made that the operation is designed to prevent material damage to the hydrologic balance outside the permit area is </w:t>
      </w:r>
      <w:r>
        <w:t>still</w:t>
      </w:r>
      <w:r w:rsidRPr="00CB0A6C">
        <w:t xml:space="preserve"> accurate.  </w:t>
      </w:r>
    </w:p>
    <w:p w:rsidR="00046F4A" w:rsidRDefault="00046F4A" w:rsidP="00491B2C">
      <w:pPr>
        <w:ind w:left="720"/>
      </w:pPr>
    </w:p>
    <w:p w:rsidR="00491B2C" w:rsidRPr="003E3488" w:rsidRDefault="00491B2C" w:rsidP="00491B2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DF2CE2">
        <w:t>3.</w:t>
      </w:r>
      <w:r w:rsidRPr="00DF2CE2">
        <w:tab/>
      </w:r>
      <w:r w:rsidRPr="003E3488">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491B2C" w:rsidRDefault="00491B2C" w:rsidP="00491B2C">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491B2C" w:rsidRPr="00C17D0E" w:rsidRDefault="00491B2C" w:rsidP="00491B2C">
      <w:pPr>
        <w:ind w:left="720"/>
      </w:pPr>
      <w:r w:rsidRPr="00C17D0E">
        <w:t>Applicants are required to provide specific information in applications for permit revisions; permit renewals; and transfer, assignment, or sale of permit rights</w:t>
      </w:r>
      <w:r>
        <w:t xml:space="preserve">, </w:t>
      </w:r>
      <w:r w:rsidRPr="00C17D0E">
        <w:t xml:space="preserve">and update specific information after a permit is issued.   </w:t>
      </w:r>
      <w:r>
        <w:t xml:space="preserve">This information is maintained in the </w:t>
      </w:r>
      <w:r w:rsidRPr="00C17D0E">
        <w:t>Applicant/Violator System (AVS)</w:t>
      </w:r>
      <w:r>
        <w:t>.</w:t>
      </w:r>
      <w:r w:rsidRPr="00C17D0E">
        <w:t xml:space="preserve">  The legal authority under the Act for information collection in 30 </w:t>
      </w:r>
      <w:smartTag w:uri="urn:schemas-microsoft-com:office:smarttags" w:element="stockticker">
        <w:r w:rsidRPr="00C17D0E">
          <w:t>CFR</w:t>
        </w:r>
      </w:smartTag>
      <w:r w:rsidRPr="00C17D0E">
        <w:t xml:space="preserve"> 774 is found at sections 506, 507, 509, 510, and 511.  </w:t>
      </w:r>
    </w:p>
    <w:p w:rsidR="00491B2C" w:rsidRPr="00C17D0E" w:rsidRDefault="00491B2C" w:rsidP="00491B2C"/>
    <w:p w:rsidR="00491B2C" w:rsidRPr="00C17D0E" w:rsidRDefault="00491B2C" w:rsidP="00491B2C">
      <w:pPr>
        <w:ind w:left="720"/>
      </w:pPr>
      <w:r w:rsidRPr="00C17D0E">
        <w:t xml:space="preserve">Most of the information collected </w:t>
      </w:r>
      <w:r>
        <w:t>for</w:t>
      </w:r>
      <w:r w:rsidRPr="00C17D0E">
        <w:t xml:space="preserve"> 30 </w:t>
      </w:r>
      <w:smartTag w:uri="urn:schemas-microsoft-com:office:smarttags" w:element="stockticker">
        <w:r w:rsidRPr="00C17D0E">
          <w:t>CFR</w:t>
        </w:r>
      </w:smartTag>
      <w:r w:rsidRPr="00C17D0E">
        <w:t xml:space="preserve"> 774 is conducive to electronic media and transmission</w:t>
      </w:r>
      <w:r>
        <w:t xml:space="preserve"> and many</w:t>
      </w:r>
      <w:r w:rsidRPr="00C17D0E">
        <w:t xml:space="preserve"> </w:t>
      </w:r>
      <w:r>
        <w:t>s</w:t>
      </w:r>
      <w:r w:rsidRPr="00C17D0E">
        <w:t xml:space="preserve">tate regulatory authorities have the capability of receiving permit applications electronically, either through an ftp site or via CD-ROM.  The states with the greatest number of permit applications, such as Kentucky and Virginia, receive </w:t>
      </w:r>
      <w:r>
        <w:t>almost 100</w:t>
      </w:r>
      <w:r w:rsidRPr="00C17D0E">
        <w:t xml:space="preserve">% electronically, while some receive 0%.  Nationally, </w:t>
      </w:r>
      <w:r>
        <w:t>OSMRE</w:t>
      </w:r>
      <w:r w:rsidRPr="00C17D0E">
        <w:t xml:space="preserve"> estimates that the </w:t>
      </w:r>
      <w:r>
        <w:t>s</w:t>
      </w:r>
      <w:r w:rsidRPr="00C17D0E">
        <w:t xml:space="preserve">tate regulatory authorities receive approximately </w:t>
      </w:r>
      <w:r>
        <w:t>75</w:t>
      </w:r>
      <w:r w:rsidRPr="00C17D0E">
        <w:t>% of permit applications electronically.</w:t>
      </w:r>
    </w:p>
    <w:p w:rsidR="00491B2C" w:rsidRPr="00C17D0E" w:rsidRDefault="00491B2C" w:rsidP="00491B2C">
      <w:pPr>
        <w:pStyle w:val="BodyTextIndent"/>
        <w:ind w:hanging="720"/>
      </w:pPr>
    </w:p>
    <w:p w:rsidR="00491B2C" w:rsidRPr="00C17D0E" w:rsidRDefault="00491B2C" w:rsidP="00491B2C">
      <w:pPr>
        <w:pStyle w:val="BodyTextIndent"/>
        <w:ind w:left="720" w:hanging="720"/>
      </w:pPr>
      <w:r w:rsidRPr="00C17D0E">
        <w:tab/>
        <w:t xml:space="preserve">It must be noted that the vast majority of permit applications are received by </w:t>
      </w:r>
      <w:r>
        <w:t>s</w:t>
      </w:r>
      <w:r w:rsidRPr="00C17D0E">
        <w:t xml:space="preserve">tates where </w:t>
      </w:r>
      <w:r>
        <w:t>OSMRE</w:t>
      </w:r>
      <w:r w:rsidRPr="00C17D0E">
        <w:t xml:space="preserve"> does not have the authority to require electronic submissions of permit applications</w:t>
      </w:r>
      <w:r>
        <w:t>.</w:t>
      </w:r>
      <w:r w:rsidRPr="00C17D0E">
        <w:t xml:space="preserve">  </w:t>
      </w:r>
      <w:r>
        <w:t>OSMRE</w:t>
      </w:r>
      <w:r w:rsidRPr="00C17D0E">
        <w:t xml:space="preserve"> can only recommend using electronic methods to improve efficiency</w:t>
      </w:r>
      <w:r>
        <w:t xml:space="preserve"> and reduce costs</w:t>
      </w:r>
      <w:r w:rsidRPr="00C17D0E">
        <w:t>.</w:t>
      </w:r>
    </w:p>
    <w:p w:rsidR="00491B2C" w:rsidRPr="00C17D0E" w:rsidRDefault="00491B2C" w:rsidP="00491B2C">
      <w:pPr>
        <w:ind w:left="360"/>
      </w:pPr>
    </w:p>
    <w:p w:rsidR="00491B2C" w:rsidRPr="003E3488" w:rsidRDefault="00491B2C" w:rsidP="00491B2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DF2CE2">
        <w:t>4.</w:t>
      </w:r>
      <w:r w:rsidRPr="00DF2CE2">
        <w:tab/>
      </w:r>
      <w:r w:rsidRPr="003E3488">
        <w:rPr>
          <w:i/>
        </w:rPr>
        <w:t>Describe efforts to identify duplication.  Show specifically why any similar information already available cannot be used or modified for use for the purposes described in Item 2 above.</w:t>
      </w:r>
    </w:p>
    <w:p w:rsidR="00491B2C" w:rsidRDefault="00491B2C" w:rsidP="00491B2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491B2C" w:rsidRPr="00C17D0E" w:rsidRDefault="00491B2C" w:rsidP="00491B2C">
      <w:pPr>
        <w:ind w:left="720"/>
      </w:pPr>
      <w:r w:rsidRPr="00C17D0E">
        <w:t xml:space="preserve">The required information under 30 </w:t>
      </w:r>
      <w:smartTag w:uri="urn:schemas-microsoft-com:office:smarttags" w:element="stockticker">
        <w:r w:rsidRPr="00C17D0E">
          <w:t>CFR</w:t>
        </w:r>
      </w:smartTag>
      <w:r w:rsidRPr="00C17D0E">
        <w:t xml:space="preserve"> </w:t>
      </w:r>
      <w:r>
        <w:t>p</w:t>
      </w:r>
      <w:r w:rsidRPr="00C17D0E">
        <w:t>art 774 is unique to each surface coal mining applicant for permit revision; permit renewal, and transfer, assignment, or sale of permit rights.  No other source of the information is available.  Industry respondents are companies in the coal mining business who have been issued permits and must then comply with the information disclosure requirements following permit issuance, or with application requirements concerning permit revisions; permit renewals; and transfers, assignments, or sales of permit rights.  State respondents are the OSM</w:t>
      </w:r>
      <w:r>
        <w:t>RE</w:t>
      </w:r>
      <w:r w:rsidRPr="00C17D0E">
        <w:t>-approved</w:t>
      </w:r>
      <w:r>
        <w:t xml:space="preserve"> s</w:t>
      </w:r>
      <w:r w:rsidRPr="00C17D0E">
        <w:t>tate programs that implement permitting and enforcement for surface coal mining operations.</w:t>
      </w:r>
    </w:p>
    <w:p w:rsidR="00491B2C" w:rsidRPr="00C17D0E" w:rsidRDefault="00491B2C" w:rsidP="00491B2C">
      <w:pPr>
        <w:ind w:left="720"/>
      </w:pPr>
    </w:p>
    <w:p w:rsidR="00491B2C" w:rsidRPr="003E3488" w:rsidRDefault="00491B2C" w:rsidP="00491B2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DF2CE2">
        <w:lastRenderedPageBreak/>
        <w:t>5.</w:t>
      </w:r>
      <w:r w:rsidRPr="00DF2CE2">
        <w:tab/>
      </w:r>
      <w:r w:rsidRPr="003E3488">
        <w:rPr>
          <w:i/>
        </w:rPr>
        <w:t>If the collection of information impacts small businesses or other small entities, describe any methods used to minimize burden.</w:t>
      </w:r>
    </w:p>
    <w:p w:rsidR="00491B2C" w:rsidRDefault="00491B2C" w:rsidP="00491B2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r>
    </w:p>
    <w:p w:rsidR="00491B2C" w:rsidRDefault="00491B2C" w:rsidP="00491B2C">
      <w:pPr>
        <w:tabs>
          <w:tab w:val="left" w:pos="-1080"/>
          <w:tab w:val="left" w:pos="-720"/>
          <w:tab w:val="left" w:pos="360"/>
          <w:tab w:val="left" w:pos="720"/>
        </w:tabs>
        <w:ind w:left="720"/>
      </w:pPr>
      <w:r w:rsidRPr="00D362FF">
        <w:rPr>
          <w:rFonts w:cs="Arial"/>
        </w:rPr>
        <w:t xml:space="preserve">There are no special provisions for small businesses or other small entities.  </w:t>
      </w:r>
      <w:r w:rsidRPr="00D362FF">
        <w:rPr>
          <w:rFonts w:cs="Shruti"/>
        </w:rPr>
        <w:t xml:space="preserve">Special provisions are not appropriate because the requested information is the minimum needed to document the </w:t>
      </w:r>
      <w:r w:rsidRPr="00FC0305">
        <w:rPr>
          <w:rFonts w:cs="Shruti"/>
        </w:rPr>
        <w:t>permit and to</w:t>
      </w:r>
      <w:r w:rsidRPr="00D362FF">
        <w:rPr>
          <w:rFonts w:cs="Shruti"/>
        </w:rPr>
        <w:t xml:space="preserve"> conduct coal mining and reclamation operations.  Adequate documentation is essential to ensure protection of public health and safety, water quantity and quality, wildlife habitat, while encouraging to maximize the production or recovery of coal reserves and to minimize the environmental disturbances around the coal mining site.  </w:t>
      </w:r>
      <w:r>
        <w:t xml:space="preserve">Therefore, the hour burden on any small entity subject to these regulations and associated collections of information cannot be reduced to accommodate them.  </w:t>
      </w:r>
    </w:p>
    <w:p w:rsidR="00491B2C" w:rsidRDefault="00491B2C" w:rsidP="00491B2C">
      <w:pPr>
        <w:tabs>
          <w:tab w:val="left" w:pos="-1080"/>
          <w:tab w:val="left" w:pos="-720"/>
          <w:tab w:val="left" w:pos="360"/>
          <w:tab w:val="left" w:pos="720"/>
        </w:tabs>
        <w:ind w:left="720"/>
      </w:pPr>
    </w:p>
    <w:p w:rsidR="00491B2C" w:rsidRPr="003E3488" w:rsidRDefault="00491B2C" w:rsidP="00491B2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DF2CE2">
        <w:t>6.</w:t>
      </w:r>
      <w:r w:rsidRPr="00DF2CE2">
        <w:tab/>
      </w:r>
      <w:r w:rsidRPr="003E3488">
        <w:rPr>
          <w:i/>
        </w:rPr>
        <w:t>Describe the consequence to Federal program or policy activities if the collection is not conducted or is conducted less frequently, as well as any technical or legal obstacles to reducing burden.</w:t>
      </w:r>
    </w:p>
    <w:p w:rsidR="00491B2C" w:rsidRDefault="00491B2C" w:rsidP="00491B2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491B2C" w:rsidRPr="00C17D0E" w:rsidRDefault="00491B2C" w:rsidP="00491B2C">
      <w:pPr>
        <w:ind w:left="720"/>
      </w:pPr>
      <w:r w:rsidRPr="00C17D0E">
        <w:t xml:space="preserve">Respondents provide information required </w:t>
      </w:r>
      <w:r>
        <w:t>for</w:t>
      </w:r>
      <w:r w:rsidRPr="00C17D0E">
        <w:t xml:space="preserve"> 30 </w:t>
      </w:r>
      <w:smartTag w:uri="urn:schemas-microsoft-com:office:smarttags" w:element="stockticker">
        <w:r w:rsidRPr="00C17D0E">
          <w:t>CFR</w:t>
        </w:r>
      </w:smartTag>
      <w:r w:rsidRPr="00C17D0E">
        <w:t xml:space="preserve"> 774 only at the time of application for a permit renewal; revision; or transfer, assignment or sale of permit rights.   Less frequent collection of the information would compromise the accuracy and completeness of information required for nationwide permitting and enforcement purposes and would not be in compliance with the Act.</w:t>
      </w:r>
    </w:p>
    <w:p w:rsidR="00491B2C" w:rsidRPr="00DF2CE2" w:rsidRDefault="00491B2C" w:rsidP="00491B2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491B2C" w:rsidRPr="003E3488" w:rsidRDefault="00491B2C" w:rsidP="00491B2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DF2CE2">
        <w:t>7.</w:t>
      </w:r>
      <w:r w:rsidRPr="00DF2CE2">
        <w:tab/>
      </w:r>
      <w:r w:rsidRPr="003E3488">
        <w:rPr>
          <w:i/>
        </w:rPr>
        <w:t>Explain any special circumstances that would cause an information collection to be conducted in a manner:</w:t>
      </w:r>
    </w:p>
    <w:p w:rsidR="00491B2C" w:rsidRPr="003E3488" w:rsidRDefault="00491B2C" w:rsidP="00491B2C">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3E3488">
        <w:rPr>
          <w:i/>
        </w:rPr>
        <w:tab/>
        <w:t>*</w:t>
      </w:r>
      <w:r w:rsidRPr="003E3488">
        <w:rPr>
          <w:i/>
        </w:rPr>
        <w:tab/>
        <w:t>requiring respondents to report information to the agency more often than quarterly;</w:t>
      </w:r>
    </w:p>
    <w:p w:rsidR="00491B2C" w:rsidRPr="003E3488" w:rsidRDefault="00491B2C" w:rsidP="00491B2C">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3E3488">
        <w:rPr>
          <w:i/>
        </w:rPr>
        <w:tab/>
        <w:t>*</w:t>
      </w:r>
      <w:r w:rsidRPr="003E3488">
        <w:rPr>
          <w:i/>
        </w:rPr>
        <w:tab/>
        <w:t>requiring respondents to prepare a written response to a collection of information in fewer than 30 days after receipt of it;</w:t>
      </w:r>
    </w:p>
    <w:p w:rsidR="00491B2C" w:rsidRPr="003E3488" w:rsidRDefault="00491B2C" w:rsidP="00491B2C">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3E3488">
        <w:rPr>
          <w:i/>
        </w:rPr>
        <w:tab/>
        <w:t>*</w:t>
      </w:r>
      <w:r w:rsidRPr="003E3488">
        <w:rPr>
          <w:i/>
        </w:rPr>
        <w:tab/>
        <w:t>requiring respondents to submit more than an original and two copies of any document;</w:t>
      </w:r>
    </w:p>
    <w:p w:rsidR="00491B2C" w:rsidRPr="003E3488" w:rsidRDefault="00491B2C" w:rsidP="00491B2C">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3E3488">
        <w:rPr>
          <w:i/>
        </w:rPr>
        <w:tab/>
        <w:t>*</w:t>
      </w:r>
      <w:r w:rsidRPr="003E3488">
        <w:rPr>
          <w:i/>
        </w:rPr>
        <w:tab/>
        <w:t>requiring respondents to retain records, other than health, medical, government contract, grant-in-aid, or tax records, for more than three years;</w:t>
      </w:r>
    </w:p>
    <w:p w:rsidR="00491B2C" w:rsidRPr="003E3488" w:rsidRDefault="00491B2C" w:rsidP="00491B2C">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3E3488">
        <w:rPr>
          <w:i/>
        </w:rPr>
        <w:tab/>
        <w:t>*</w:t>
      </w:r>
      <w:r w:rsidRPr="003E3488">
        <w:rPr>
          <w:i/>
        </w:rPr>
        <w:tab/>
        <w:t>in connection with a statistical survey that is not designed to produce valid and reliable results that can be generalized to the universe of study;</w:t>
      </w:r>
    </w:p>
    <w:p w:rsidR="00491B2C" w:rsidRPr="003E3488" w:rsidRDefault="00491B2C" w:rsidP="00491B2C">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3E3488">
        <w:rPr>
          <w:i/>
        </w:rPr>
        <w:tab/>
        <w:t>*</w:t>
      </w:r>
      <w:r w:rsidRPr="003E3488">
        <w:rPr>
          <w:i/>
        </w:rPr>
        <w:tab/>
        <w:t>requiring the use of a statistical data classification that has not been reviewed and approved by OMB;</w:t>
      </w:r>
    </w:p>
    <w:p w:rsidR="00491B2C" w:rsidRPr="003E3488" w:rsidRDefault="00491B2C" w:rsidP="00491B2C">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3E3488">
        <w:rPr>
          <w:i/>
        </w:rPr>
        <w:tab/>
        <w:t>*</w:t>
      </w:r>
      <w:r w:rsidRPr="003E3488">
        <w:rPr>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1B2C" w:rsidRPr="003E3488" w:rsidRDefault="00491B2C" w:rsidP="00491B2C">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3E3488">
        <w:rPr>
          <w:i/>
        </w:rPr>
        <w:tab/>
        <w:t>*</w:t>
      </w:r>
      <w:r w:rsidRPr="003E3488">
        <w:rPr>
          <w:i/>
        </w:rPr>
        <w:tab/>
        <w:t>requiring respondents to submit proprietary trade secrets, or other confidential information, unless the agency can demonstrate that it has instituted procedures to protect the information's confidentiality to the extent permitted by law.</w:t>
      </w:r>
    </w:p>
    <w:p w:rsidR="00491B2C" w:rsidRDefault="00491B2C" w:rsidP="00491B2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491B2C" w:rsidRDefault="00491B2C" w:rsidP="00491B2C">
      <w:pPr>
        <w:ind w:left="720"/>
      </w:pPr>
      <w:r w:rsidRPr="00C17D0E">
        <w:t xml:space="preserve">The information collection </w:t>
      </w:r>
      <w:r>
        <w:t>for</w:t>
      </w:r>
      <w:r w:rsidRPr="00C17D0E">
        <w:t xml:space="preserve"> 30 </w:t>
      </w:r>
      <w:smartTag w:uri="urn:schemas-microsoft-com:office:smarttags" w:element="stockticker">
        <w:r w:rsidRPr="00C17D0E">
          <w:t>CFR</w:t>
        </w:r>
      </w:smartTag>
      <w:r w:rsidRPr="00C17D0E">
        <w:t xml:space="preserve"> 774 is consistent with 5 </w:t>
      </w:r>
      <w:smartTag w:uri="urn:schemas-microsoft-com:office:smarttags" w:element="stockticker">
        <w:r w:rsidRPr="00C17D0E">
          <w:t>CFR</w:t>
        </w:r>
      </w:smartTag>
      <w:r w:rsidRPr="00C17D0E">
        <w:t xml:space="preserve"> 1320(d)(2).  </w:t>
      </w:r>
    </w:p>
    <w:p w:rsidR="00491B2C" w:rsidRPr="00A862F4" w:rsidRDefault="00491B2C" w:rsidP="00491B2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491B2C" w:rsidRPr="003E3488" w:rsidRDefault="00491B2C" w:rsidP="00491B2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DF2CE2">
        <w:t>8.</w:t>
      </w:r>
      <w:r w:rsidRPr="00DF2CE2">
        <w:tab/>
      </w:r>
      <w:r w:rsidRPr="003E3488">
        <w:rPr>
          <w:i/>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491B2C" w:rsidRPr="003E3488" w:rsidRDefault="00491B2C" w:rsidP="00491B2C">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p>
    <w:p w:rsidR="00491B2C" w:rsidRPr="003E3488" w:rsidRDefault="00491B2C" w:rsidP="00491B2C">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3E3488">
        <w:rPr>
          <w:i/>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91B2C" w:rsidRPr="003E3488" w:rsidRDefault="00491B2C" w:rsidP="00491B2C">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p>
    <w:p w:rsidR="00491B2C" w:rsidRPr="003E3488" w:rsidRDefault="00491B2C" w:rsidP="00491B2C">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3E3488">
        <w:rPr>
          <w:i/>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491B2C" w:rsidRDefault="00491B2C" w:rsidP="00491B2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491B2C" w:rsidRDefault="00491B2C" w:rsidP="00491B2C">
      <w:pPr>
        <w:pStyle w:val="BodyTextIndent2"/>
        <w:tabs>
          <w:tab w:val="left" w:pos="720"/>
        </w:tabs>
        <w:spacing w:after="0" w:line="240" w:lineRule="auto"/>
        <w:ind w:left="720"/>
      </w:pPr>
      <w:r>
        <w:t xml:space="preserve">OSMRE had a team of regional and field office staffs review the proposed revisions to the regulations for the proposed Stream Protection rule.  We developed program changes as a result of this review and have incorporated them into this collection request.  </w:t>
      </w:r>
    </w:p>
    <w:p w:rsidR="00491B2C" w:rsidRDefault="00491B2C" w:rsidP="00491B2C">
      <w:pPr>
        <w:pStyle w:val="BodyTextIndent2"/>
        <w:tabs>
          <w:tab w:val="left" w:pos="720"/>
        </w:tabs>
        <w:spacing w:after="0" w:line="240" w:lineRule="auto"/>
        <w:ind w:left="720"/>
      </w:pPr>
    </w:p>
    <w:p w:rsidR="00491B2C" w:rsidRDefault="00491B2C" w:rsidP="00491B2C">
      <w:pPr>
        <w:ind w:left="720"/>
      </w:pPr>
      <w:r>
        <w:t xml:space="preserve">In the </w:t>
      </w:r>
      <w:proofErr w:type="gramStart"/>
      <w:r>
        <w:t>S</w:t>
      </w:r>
      <w:r w:rsidR="003A7302">
        <w:t>ummer</w:t>
      </w:r>
      <w:proofErr w:type="gramEnd"/>
      <w:r>
        <w:t xml:space="preserve"> of 2015, OSMRE will publish </w:t>
      </w:r>
      <w:r w:rsidRPr="00925041">
        <w:t xml:space="preserve">in the </w:t>
      </w:r>
      <w:r w:rsidRPr="00925041">
        <w:rPr>
          <w:u w:val="single"/>
        </w:rPr>
        <w:t>Federal</w:t>
      </w:r>
      <w:r w:rsidRPr="00925041">
        <w:t xml:space="preserve"> </w:t>
      </w:r>
      <w:r w:rsidRPr="00925041">
        <w:rPr>
          <w:u w:val="single"/>
        </w:rPr>
        <w:t>Register</w:t>
      </w:r>
      <w:r w:rsidRPr="00925041">
        <w:t xml:space="preserve"> </w:t>
      </w:r>
      <w:r>
        <w:t xml:space="preserve">a proposed Stream Protection rule which will seek </w:t>
      </w:r>
      <w:r w:rsidRPr="00925041">
        <w:t xml:space="preserve">comments from the public regarding the need for the collection of information, the accuracy of the burden estimate, ways to enhance the information collection, and ways to minimize the burden on respondents.  This notice </w:t>
      </w:r>
      <w:r>
        <w:t xml:space="preserve">will </w:t>
      </w:r>
      <w:r w:rsidRPr="00925041">
        <w:t>g</w:t>
      </w:r>
      <w:r>
        <w:t>i</w:t>
      </w:r>
      <w:r w:rsidRPr="00925041">
        <w:t>ve the public 60 days in which to comment.</w:t>
      </w:r>
    </w:p>
    <w:p w:rsidR="00491B2C" w:rsidRPr="00DF2CE2" w:rsidRDefault="00491B2C" w:rsidP="00491B2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491B2C" w:rsidRPr="003E3488" w:rsidRDefault="00491B2C" w:rsidP="00491B2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DF2CE2">
        <w:t>9.</w:t>
      </w:r>
      <w:r w:rsidRPr="00DF2CE2">
        <w:tab/>
      </w:r>
      <w:r w:rsidRPr="003E3488">
        <w:rPr>
          <w:i/>
        </w:rPr>
        <w:t>Explain any decision to provide any payment or gift to respondents, other than remuneration of contractors or grantees.</w:t>
      </w:r>
    </w:p>
    <w:p w:rsidR="00491B2C" w:rsidRDefault="00491B2C" w:rsidP="00491B2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491B2C" w:rsidRPr="00C17D0E" w:rsidRDefault="00491B2C" w:rsidP="00491B2C">
      <w:pPr>
        <w:ind w:left="720"/>
      </w:pPr>
      <w:r w:rsidRPr="00C17D0E">
        <w:t>Not applicable.  OSM</w:t>
      </w:r>
      <w:r>
        <w:t>RE</w:t>
      </w:r>
      <w:r w:rsidRPr="00C17D0E">
        <w:t xml:space="preserve"> does not provide payments or gifts to respondents.</w:t>
      </w:r>
    </w:p>
    <w:p w:rsidR="00491B2C" w:rsidRPr="00DF2CE2" w:rsidRDefault="00491B2C" w:rsidP="00491B2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491B2C" w:rsidRPr="003E3488" w:rsidRDefault="00491B2C" w:rsidP="00491B2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DF2CE2">
        <w:t>10.</w:t>
      </w:r>
      <w:r w:rsidRPr="00DF2CE2">
        <w:tab/>
      </w:r>
      <w:r w:rsidRPr="003E3488">
        <w:rPr>
          <w:i/>
        </w:rPr>
        <w:t>Describe any assurance of confidentiality provided to respondents and the basis for the assurance in statute, regulation, or agency policy.</w:t>
      </w:r>
    </w:p>
    <w:p w:rsidR="00491B2C" w:rsidRDefault="00491B2C" w:rsidP="00491B2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491B2C" w:rsidRPr="00C17D0E" w:rsidRDefault="00491B2C" w:rsidP="00491B2C">
      <w:pPr>
        <w:ind w:left="720"/>
      </w:pPr>
      <w:r w:rsidRPr="00C17D0E">
        <w:t>No confidential information is solicited or required under the</w:t>
      </w:r>
      <w:r>
        <w:t>se</w:t>
      </w:r>
      <w:r w:rsidRPr="00C17D0E">
        <w:t xml:space="preserve"> information collection requirements.  If an applicant identifies information </w:t>
      </w:r>
      <w:r>
        <w:t>for</w:t>
      </w:r>
      <w:r w:rsidRPr="00C17D0E">
        <w:t xml:space="preserve"> 30 </w:t>
      </w:r>
      <w:smartTag w:uri="urn:schemas-microsoft-com:office:smarttags" w:element="stockticker">
        <w:r w:rsidRPr="00C17D0E">
          <w:t>CFR</w:t>
        </w:r>
      </w:smartTag>
      <w:r w:rsidRPr="00C17D0E">
        <w:t xml:space="preserve"> 774 it wants to remain confidential, regulatory authorities rely upon the regulatory provisions at 30 </w:t>
      </w:r>
      <w:smartTag w:uri="urn:schemas-microsoft-com:office:smarttags" w:element="stockticker">
        <w:r w:rsidRPr="00C17D0E">
          <w:t>CFR</w:t>
        </w:r>
      </w:smartTag>
      <w:r w:rsidRPr="00C17D0E">
        <w:t xml:space="preserve"> 773.6(d) to ensure confidentiality of qualified information.  </w:t>
      </w:r>
    </w:p>
    <w:p w:rsidR="00491B2C" w:rsidRPr="00DF2CE2" w:rsidRDefault="00491B2C" w:rsidP="00491B2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491B2C" w:rsidRPr="003E3488" w:rsidRDefault="00491B2C" w:rsidP="00491B2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DF2CE2">
        <w:t>11.</w:t>
      </w:r>
      <w:r w:rsidRPr="00DF2CE2">
        <w:tab/>
      </w:r>
      <w:r w:rsidRPr="003E3488">
        <w:rPr>
          <w:i/>
        </w:rPr>
        <w:t xml:space="preserve">Provide additional justification for any questions of a sensitive nature, such as sexual behavior and attitudes, religious beliefs, and other matters that are commonly </w:t>
      </w:r>
      <w:r w:rsidRPr="003E3488">
        <w:rPr>
          <w:i/>
        </w:rPr>
        <w:lastRenderedPageBreak/>
        <w:t>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91B2C" w:rsidRDefault="00491B2C" w:rsidP="00491B2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491B2C" w:rsidRPr="00C17D0E" w:rsidRDefault="00491B2C" w:rsidP="00491B2C">
      <w:pPr>
        <w:ind w:left="720"/>
      </w:pPr>
      <w:r w:rsidRPr="00C17D0E">
        <w:t xml:space="preserve">Not applicable.  No sensitive information is solicited or required under the information collection requirements for 30 </w:t>
      </w:r>
      <w:smartTag w:uri="urn:schemas-microsoft-com:office:smarttags" w:element="stockticker">
        <w:r w:rsidRPr="00C17D0E">
          <w:t>CFR</w:t>
        </w:r>
      </w:smartTag>
      <w:r w:rsidRPr="00C17D0E">
        <w:t xml:space="preserve"> 774.</w:t>
      </w:r>
    </w:p>
    <w:p w:rsidR="00491B2C" w:rsidRPr="00DF2CE2" w:rsidRDefault="00491B2C" w:rsidP="00491B2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491B2C" w:rsidRPr="003E3488" w:rsidRDefault="00491B2C" w:rsidP="00491B2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DF2CE2">
        <w:t>12.</w:t>
      </w:r>
      <w:r w:rsidRPr="00DF2CE2">
        <w:tab/>
      </w:r>
      <w:r w:rsidRPr="003E3488">
        <w:rPr>
          <w:i/>
        </w:rPr>
        <w:t>Provide estimates of the hour burden of the collection of information.  The statement should:</w:t>
      </w:r>
    </w:p>
    <w:p w:rsidR="00491B2C" w:rsidRPr="003E3488" w:rsidRDefault="00491B2C" w:rsidP="00491B2C">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3E3488">
        <w:rPr>
          <w:i/>
        </w:rPr>
        <w:tab/>
        <w:t>*</w:t>
      </w:r>
      <w:r w:rsidRPr="003E3488">
        <w:rPr>
          <w:i/>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91B2C" w:rsidRPr="003E3488" w:rsidRDefault="00491B2C" w:rsidP="00491B2C">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3E3488">
        <w:rPr>
          <w:i/>
        </w:rPr>
        <w:tab/>
        <w:t>*</w:t>
      </w:r>
      <w:r w:rsidRPr="003E3488">
        <w:rPr>
          <w:i/>
        </w:rPr>
        <w:tab/>
        <w:t>If this request for approval covers more than one form, provide separate hour burden estimates for each form and aggregate the hour burdens.</w:t>
      </w:r>
    </w:p>
    <w:p w:rsidR="00491B2C" w:rsidRPr="003E3488" w:rsidRDefault="00491B2C" w:rsidP="00491B2C">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3E3488">
        <w:rPr>
          <w:i/>
        </w:rPr>
        <w:tab/>
        <w:t>*</w:t>
      </w:r>
      <w:r w:rsidRPr="003E3488">
        <w:rPr>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491B2C" w:rsidRDefault="00491B2C" w:rsidP="00491B2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491B2C" w:rsidRDefault="00491B2C" w:rsidP="00491B2C">
      <w:pPr>
        <w:numPr>
          <w:ilvl w:val="0"/>
          <w:numId w:val="18"/>
        </w:numPr>
        <w:rPr>
          <w:u w:val="single"/>
        </w:rPr>
      </w:pPr>
      <w:r w:rsidRPr="00C17D0E">
        <w:rPr>
          <w:u w:val="single"/>
        </w:rPr>
        <w:t>Burden Hour Estimates for Respondents</w:t>
      </w:r>
    </w:p>
    <w:p w:rsidR="00491B2C" w:rsidRDefault="00491B2C" w:rsidP="00491B2C">
      <w:pPr>
        <w:ind w:left="1080"/>
        <w:rPr>
          <w:u w:val="single"/>
        </w:rPr>
      </w:pPr>
    </w:p>
    <w:p w:rsidR="00491B2C" w:rsidRDefault="00491B2C" w:rsidP="00491B2C">
      <w:pPr>
        <w:tabs>
          <w:tab w:val="left" w:pos="360"/>
          <w:tab w:val="left" w:pos="720"/>
        </w:tabs>
        <w:ind w:left="720"/>
      </w:pPr>
      <w:r>
        <w:t xml:space="preserve">Potential respondents include surface coal mine operators and state regulatory authorities.  The burden estimates include the time for reviewing instructions, searching existing data sources, gathering and maintaining the data needed, and completing and reviewing the collection of information.  Responses are required to obtain a benefit.  We are providing burden estimates to demonstrate program changes due to the proposed Stream Protection rule where we are adjusting burden.  This table does not demonstrate burden changes where we are moving burden between sections or between parts where the burden to comply with the rule will not change for respondents.  Refer to the tables for a breakdown of the burdens. </w:t>
      </w:r>
    </w:p>
    <w:p w:rsidR="0051601A" w:rsidRPr="00EC5811" w:rsidRDefault="0051601A" w:rsidP="0051601A">
      <w:pPr>
        <w:tabs>
          <w:tab w:val="left" w:pos="360"/>
          <w:tab w:val="left" w:pos="720"/>
        </w:tabs>
      </w:pPr>
    </w:p>
    <w:p w:rsidR="0051601A" w:rsidRPr="00EC5811" w:rsidRDefault="0051601A" w:rsidP="0051601A">
      <w:pPr>
        <w:tabs>
          <w:tab w:val="left" w:pos="360"/>
          <w:tab w:val="left" w:pos="720"/>
        </w:tabs>
      </w:pPr>
    </w:p>
    <w:tbl>
      <w:tblPr>
        <w:tblW w:w="946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9"/>
        <w:gridCol w:w="2232"/>
        <w:gridCol w:w="1611"/>
        <w:gridCol w:w="1253"/>
        <w:gridCol w:w="1253"/>
        <w:gridCol w:w="1240"/>
      </w:tblGrid>
      <w:tr w:rsidR="00DF1629" w:rsidRPr="00EC5811" w:rsidTr="00DF1629">
        <w:tc>
          <w:tcPr>
            <w:tcW w:w="1879" w:type="dxa"/>
            <w:vAlign w:val="center"/>
          </w:tcPr>
          <w:p w:rsidR="00DF1629" w:rsidRPr="00EC5811" w:rsidRDefault="00DF1629" w:rsidP="00940A7A">
            <w:pPr>
              <w:jc w:val="center"/>
              <w:rPr>
                <w:b/>
                <w:sz w:val="21"/>
                <w:szCs w:val="21"/>
              </w:rPr>
            </w:pPr>
            <w:r w:rsidRPr="00EC5811">
              <w:rPr>
                <w:b/>
                <w:sz w:val="21"/>
                <w:szCs w:val="21"/>
              </w:rPr>
              <w:t>Section (30 CFR)</w:t>
            </w:r>
          </w:p>
        </w:tc>
        <w:tc>
          <w:tcPr>
            <w:tcW w:w="2232" w:type="dxa"/>
            <w:vAlign w:val="center"/>
          </w:tcPr>
          <w:p w:rsidR="00DF1629" w:rsidRPr="00EC5811" w:rsidRDefault="00DF1629" w:rsidP="00940A7A">
            <w:pPr>
              <w:jc w:val="center"/>
              <w:rPr>
                <w:b/>
                <w:sz w:val="21"/>
                <w:szCs w:val="21"/>
              </w:rPr>
            </w:pPr>
            <w:r w:rsidRPr="00EC5811">
              <w:rPr>
                <w:b/>
                <w:sz w:val="21"/>
                <w:szCs w:val="21"/>
              </w:rPr>
              <w:t>Type of Respondent</w:t>
            </w:r>
          </w:p>
        </w:tc>
        <w:tc>
          <w:tcPr>
            <w:tcW w:w="1611" w:type="dxa"/>
            <w:vAlign w:val="center"/>
          </w:tcPr>
          <w:p w:rsidR="00DF1629" w:rsidRPr="00EC5811" w:rsidRDefault="00DF1629" w:rsidP="00940A7A">
            <w:pPr>
              <w:jc w:val="center"/>
              <w:rPr>
                <w:b/>
                <w:sz w:val="21"/>
                <w:szCs w:val="21"/>
              </w:rPr>
            </w:pPr>
            <w:r w:rsidRPr="00EC5811">
              <w:rPr>
                <w:b/>
                <w:sz w:val="21"/>
                <w:szCs w:val="21"/>
              </w:rPr>
              <w:t xml:space="preserve">Average No. of Annual Responses </w:t>
            </w:r>
          </w:p>
        </w:tc>
        <w:tc>
          <w:tcPr>
            <w:tcW w:w="1253" w:type="dxa"/>
            <w:vAlign w:val="center"/>
          </w:tcPr>
          <w:p w:rsidR="00DF1629" w:rsidRPr="00EC5811" w:rsidRDefault="00DF1629" w:rsidP="00940A7A">
            <w:pPr>
              <w:jc w:val="center"/>
              <w:rPr>
                <w:b/>
                <w:sz w:val="21"/>
                <w:szCs w:val="21"/>
              </w:rPr>
            </w:pPr>
            <w:r w:rsidRPr="00EC5811">
              <w:rPr>
                <w:b/>
                <w:sz w:val="21"/>
                <w:szCs w:val="21"/>
              </w:rPr>
              <w:t>Hour Burden</w:t>
            </w:r>
          </w:p>
        </w:tc>
        <w:tc>
          <w:tcPr>
            <w:tcW w:w="1253" w:type="dxa"/>
          </w:tcPr>
          <w:p w:rsidR="00DF1629" w:rsidRPr="00EC5811" w:rsidRDefault="00DF1629" w:rsidP="00940A7A">
            <w:pPr>
              <w:jc w:val="center"/>
              <w:rPr>
                <w:b/>
                <w:sz w:val="21"/>
                <w:szCs w:val="21"/>
              </w:rPr>
            </w:pPr>
            <w:r w:rsidRPr="00EC5811">
              <w:rPr>
                <w:b/>
                <w:sz w:val="21"/>
                <w:szCs w:val="21"/>
              </w:rPr>
              <w:t>Annual Burden Hours</w:t>
            </w:r>
          </w:p>
        </w:tc>
        <w:tc>
          <w:tcPr>
            <w:tcW w:w="1240" w:type="dxa"/>
          </w:tcPr>
          <w:p w:rsidR="00DF1629" w:rsidRPr="00EC5811" w:rsidRDefault="00DF1629" w:rsidP="00940A7A">
            <w:pPr>
              <w:jc w:val="center"/>
              <w:rPr>
                <w:b/>
                <w:sz w:val="21"/>
                <w:szCs w:val="21"/>
              </w:rPr>
            </w:pPr>
            <w:r>
              <w:rPr>
                <w:b/>
                <w:sz w:val="21"/>
                <w:szCs w:val="21"/>
              </w:rPr>
              <w:t>Change due to Rule</w:t>
            </w:r>
          </w:p>
        </w:tc>
      </w:tr>
      <w:tr w:rsidR="00DF1629" w:rsidRPr="00EC5811" w:rsidTr="00DF1629">
        <w:trPr>
          <w:trHeight w:val="432"/>
        </w:trPr>
        <w:tc>
          <w:tcPr>
            <w:tcW w:w="1879" w:type="dxa"/>
            <w:vMerge w:val="restart"/>
            <w:vAlign w:val="center"/>
          </w:tcPr>
          <w:p w:rsidR="00DF1629" w:rsidRPr="00EC5811" w:rsidRDefault="00DF1629" w:rsidP="00940A7A">
            <w:pPr>
              <w:keepNext/>
              <w:keepLines/>
              <w:rPr>
                <w:sz w:val="21"/>
                <w:szCs w:val="21"/>
              </w:rPr>
            </w:pPr>
            <w:r w:rsidRPr="00EC5811">
              <w:rPr>
                <w:sz w:val="21"/>
                <w:szCs w:val="21"/>
              </w:rPr>
              <w:t>774.12(a)</w:t>
            </w:r>
          </w:p>
          <w:p w:rsidR="00DF1629" w:rsidRPr="00EC5811" w:rsidRDefault="00DF1629" w:rsidP="00940A7A">
            <w:pPr>
              <w:rPr>
                <w:sz w:val="21"/>
                <w:szCs w:val="21"/>
              </w:rPr>
            </w:pPr>
            <w:r w:rsidRPr="00EC5811">
              <w:rPr>
                <w:sz w:val="21"/>
                <w:szCs w:val="21"/>
              </w:rPr>
              <w:t>Update information after issuance of a cessation order</w:t>
            </w:r>
          </w:p>
        </w:tc>
        <w:tc>
          <w:tcPr>
            <w:tcW w:w="2232" w:type="dxa"/>
            <w:vAlign w:val="center"/>
          </w:tcPr>
          <w:p w:rsidR="00DF1629" w:rsidRPr="00EC5811" w:rsidRDefault="00DF1629" w:rsidP="00940A7A">
            <w:pPr>
              <w:rPr>
                <w:sz w:val="21"/>
                <w:szCs w:val="21"/>
              </w:rPr>
            </w:pPr>
            <w:r w:rsidRPr="00EC5811">
              <w:rPr>
                <w:sz w:val="21"/>
                <w:szCs w:val="21"/>
              </w:rPr>
              <w:t>Operators</w:t>
            </w:r>
          </w:p>
        </w:tc>
        <w:tc>
          <w:tcPr>
            <w:tcW w:w="1611" w:type="dxa"/>
            <w:vAlign w:val="center"/>
          </w:tcPr>
          <w:p w:rsidR="00DF1629" w:rsidRPr="00EC5811" w:rsidRDefault="00DF1629" w:rsidP="00CE40ED">
            <w:pPr>
              <w:ind w:right="-46"/>
              <w:jc w:val="center"/>
              <w:rPr>
                <w:sz w:val="21"/>
                <w:szCs w:val="21"/>
              </w:rPr>
            </w:pPr>
            <w:r>
              <w:rPr>
                <w:sz w:val="21"/>
                <w:szCs w:val="21"/>
              </w:rPr>
              <w:t>97</w:t>
            </w:r>
          </w:p>
        </w:tc>
        <w:tc>
          <w:tcPr>
            <w:tcW w:w="1253" w:type="dxa"/>
            <w:vAlign w:val="center"/>
          </w:tcPr>
          <w:p w:rsidR="00DF1629" w:rsidRPr="00EC5811" w:rsidRDefault="00DF1629" w:rsidP="00CE40ED">
            <w:pPr>
              <w:jc w:val="center"/>
              <w:rPr>
                <w:sz w:val="21"/>
                <w:szCs w:val="21"/>
              </w:rPr>
            </w:pPr>
            <w:r>
              <w:rPr>
                <w:sz w:val="21"/>
                <w:szCs w:val="21"/>
              </w:rPr>
              <w:t>2</w:t>
            </w:r>
          </w:p>
        </w:tc>
        <w:tc>
          <w:tcPr>
            <w:tcW w:w="1253" w:type="dxa"/>
            <w:vAlign w:val="center"/>
          </w:tcPr>
          <w:p w:rsidR="00DF1629" w:rsidRPr="00EC5811" w:rsidRDefault="00DF1629" w:rsidP="00CE40ED">
            <w:pPr>
              <w:jc w:val="center"/>
              <w:rPr>
                <w:sz w:val="21"/>
                <w:szCs w:val="21"/>
              </w:rPr>
            </w:pPr>
            <w:r>
              <w:rPr>
                <w:sz w:val="21"/>
                <w:szCs w:val="21"/>
              </w:rPr>
              <w:t>194</w:t>
            </w:r>
          </w:p>
        </w:tc>
        <w:tc>
          <w:tcPr>
            <w:tcW w:w="1240" w:type="dxa"/>
            <w:vAlign w:val="center"/>
          </w:tcPr>
          <w:p w:rsidR="00DF1629" w:rsidRDefault="00DF1629" w:rsidP="00DF1629">
            <w:pPr>
              <w:jc w:val="center"/>
              <w:rPr>
                <w:sz w:val="21"/>
                <w:szCs w:val="21"/>
              </w:rPr>
            </w:pPr>
            <w:r>
              <w:rPr>
                <w:sz w:val="21"/>
                <w:szCs w:val="21"/>
              </w:rPr>
              <w:t>0</w:t>
            </w:r>
          </w:p>
        </w:tc>
      </w:tr>
      <w:tr w:rsidR="00DF1629" w:rsidRPr="00EC5811" w:rsidTr="00DF1629">
        <w:trPr>
          <w:trHeight w:val="432"/>
        </w:trPr>
        <w:tc>
          <w:tcPr>
            <w:tcW w:w="1879" w:type="dxa"/>
            <w:vMerge/>
            <w:vAlign w:val="center"/>
          </w:tcPr>
          <w:p w:rsidR="00DF1629" w:rsidRPr="00EC5811" w:rsidRDefault="00DF1629" w:rsidP="00940A7A">
            <w:pPr>
              <w:rPr>
                <w:sz w:val="21"/>
                <w:szCs w:val="21"/>
              </w:rPr>
            </w:pPr>
          </w:p>
        </w:tc>
        <w:tc>
          <w:tcPr>
            <w:tcW w:w="2232" w:type="dxa"/>
            <w:vAlign w:val="center"/>
          </w:tcPr>
          <w:p w:rsidR="00DF1629" w:rsidRPr="00EC5811" w:rsidRDefault="00DF1629" w:rsidP="00940A7A">
            <w:pPr>
              <w:rPr>
                <w:sz w:val="21"/>
                <w:szCs w:val="21"/>
              </w:rPr>
            </w:pPr>
            <w:r w:rsidRPr="00EC5811">
              <w:rPr>
                <w:sz w:val="21"/>
                <w:szCs w:val="21"/>
              </w:rPr>
              <w:t>State regulatory authorities</w:t>
            </w:r>
          </w:p>
        </w:tc>
        <w:tc>
          <w:tcPr>
            <w:tcW w:w="1611" w:type="dxa"/>
            <w:vAlign w:val="center"/>
          </w:tcPr>
          <w:p w:rsidR="00DF1629" w:rsidRPr="00EC5811" w:rsidRDefault="00DF1629" w:rsidP="00CE40ED">
            <w:pPr>
              <w:ind w:right="-46"/>
              <w:jc w:val="center"/>
              <w:rPr>
                <w:sz w:val="21"/>
                <w:szCs w:val="21"/>
              </w:rPr>
            </w:pPr>
            <w:r>
              <w:rPr>
                <w:sz w:val="21"/>
                <w:szCs w:val="21"/>
              </w:rPr>
              <w:t>97</w:t>
            </w:r>
          </w:p>
        </w:tc>
        <w:tc>
          <w:tcPr>
            <w:tcW w:w="1253" w:type="dxa"/>
            <w:vAlign w:val="center"/>
          </w:tcPr>
          <w:p w:rsidR="00DF1629" w:rsidRPr="00EC5811" w:rsidRDefault="00DF1629" w:rsidP="00CE40ED">
            <w:pPr>
              <w:jc w:val="center"/>
              <w:rPr>
                <w:sz w:val="21"/>
                <w:szCs w:val="21"/>
              </w:rPr>
            </w:pPr>
            <w:r>
              <w:rPr>
                <w:sz w:val="21"/>
                <w:szCs w:val="21"/>
              </w:rPr>
              <w:t>2</w:t>
            </w:r>
          </w:p>
        </w:tc>
        <w:tc>
          <w:tcPr>
            <w:tcW w:w="1253" w:type="dxa"/>
            <w:vAlign w:val="center"/>
          </w:tcPr>
          <w:p w:rsidR="00DF1629" w:rsidRPr="00EC5811" w:rsidRDefault="00DF1629" w:rsidP="00CE40ED">
            <w:pPr>
              <w:jc w:val="center"/>
              <w:rPr>
                <w:sz w:val="21"/>
                <w:szCs w:val="21"/>
              </w:rPr>
            </w:pPr>
            <w:r>
              <w:rPr>
                <w:sz w:val="21"/>
                <w:szCs w:val="21"/>
              </w:rPr>
              <w:t>194</w:t>
            </w:r>
          </w:p>
        </w:tc>
        <w:tc>
          <w:tcPr>
            <w:tcW w:w="1240" w:type="dxa"/>
            <w:vAlign w:val="center"/>
          </w:tcPr>
          <w:p w:rsidR="00DF1629" w:rsidRDefault="00DF1629" w:rsidP="00DF1629">
            <w:pPr>
              <w:jc w:val="center"/>
              <w:rPr>
                <w:sz w:val="21"/>
                <w:szCs w:val="21"/>
              </w:rPr>
            </w:pPr>
            <w:r>
              <w:rPr>
                <w:sz w:val="21"/>
                <w:szCs w:val="21"/>
              </w:rPr>
              <w:t>0</w:t>
            </w:r>
          </w:p>
        </w:tc>
      </w:tr>
      <w:tr w:rsidR="00DF1629" w:rsidRPr="00EC5811" w:rsidTr="00DF1629">
        <w:trPr>
          <w:trHeight w:val="432"/>
        </w:trPr>
        <w:tc>
          <w:tcPr>
            <w:tcW w:w="1879" w:type="dxa"/>
            <w:vMerge w:val="restart"/>
            <w:vAlign w:val="center"/>
          </w:tcPr>
          <w:p w:rsidR="00DF1629" w:rsidRPr="00EC5811" w:rsidRDefault="00DF1629" w:rsidP="00940A7A">
            <w:pPr>
              <w:rPr>
                <w:sz w:val="21"/>
                <w:szCs w:val="21"/>
              </w:rPr>
            </w:pPr>
            <w:r w:rsidRPr="00EC5811">
              <w:rPr>
                <w:sz w:val="21"/>
                <w:szCs w:val="21"/>
              </w:rPr>
              <w:t xml:space="preserve">774.12(c)  </w:t>
            </w:r>
          </w:p>
          <w:p w:rsidR="00DF1629" w:rsidRPr="00EC5811" w:rsidRDefault="00DF1629" w:rsidP="00940A7A">
            <w:pPr>
              <w:rPr>
                <w:sz w:val="21"/>
                <w:szCs w:val="21"/>
              </w:rPr>
            </w:pPr>
            <w:r w:rsidRPr="00EC5811">
              <w:rPr>
                <w:sz w:val="21"/>
                <w:szCs w:val="21"/>
              </w:rPr>
              <w:lastRenderedPageBreak/>
              <w:t>Update information after change in position as described in §778.11(c)</w:t>
            </w:r>
          </w:p>
        </w:tc>
        <w:tc>
          <w:tcPr>
            <w:tcW w:w="2232" w:type="dxa"/>
            <w:vAlign w:val="center"/>
          </w:tcPr>
          <w:p w:rsidR="00DF1629" w:rsidRPr="00EC5811" w:rsidRDefault="00DF1629" w:rsidP="00940A7A">
            <w:pPr>
              <w:rPr>
                <w:sz w:val="21"/>
                <w:szCs w:val="21"/>
              </w:rPr>
            </w:pPr>
            <w:r w:rsidRPr="00EC5811">
              <w:rPr>
                <w:sz w:val="21"/>
                <w:szCs w:val="21"/>
              </w:rPr>
              <w:lastRenderedPageBreak/>
              <w:t>Operators</w:t>
            </w:r>
          </w:p>
        </w:tc>
        <w:tc>
          <w:tcPr>
            <w:tcW w:w="1611" w:type="dxa"/>
            <w:vAlign w:val="center"/>
          </w:tcPr>
          <w:p w:rsidR="00DF1629" w:rsidRPr="00EC5811" w:rsidRDefault="00DF1629" w:rsidP="00940A7A">
            <w:pPr>
              <w:ind w:right="-46"/>
              <w:jc w:val="center"/>
              <w:rPr>
                <w:sz w:val="21"/>
                <w:szCs w:val="21"/>
              </w:rPr>
            </w:pPr>
            <w:r>
              <w:rPr>
                <w:sz w:val="21"/>
                <w:szCs w:val="21"/>
              </w:rPr>
              <w:t>400</w:t>
            </w:r>
          </w:p>
        </w:tc>
        <w:tc>
          <w:tcPr>
            <w:tcW w:w="1253" w:type="dxa"/>
            <w:vAlign w:val="center"/>
          </w:tcPr>
          <w:p w:rsidR="00DF1629" w:rsidRPr="00EC5811" w:rsidRDefault="00DF1629" w:rsidP="00940A7A">
            <w:pPr>
              <w:jc w:val="center"/>
              <w:rPr>
                <w:sz w:val="21"/>
                <w:szCs w:val="21"/>
              </w:rPr>
            </w:pPr>
            <w:r>
              <w:rPr>
                <w:sz w:val="21"/>
                <w:szCs w:val="21"/>
              </w:rPr>
              <w:t>2</w:t>
            </w:r>
          </w:p>
        </w:tc>
        <w:tc>
          <w:tcPr>
            <w:tcW w:w="1253" w:type="dxa"/>
            <w:vAlign w:val="center"/>
          </w:tcPr>
          <w:p w:rsidR="00DF1629" w:rsidRPr="00EC5811" w:rsidRDefault="00DF1629" w:rsidP="00940A7A">
            <w:pPr>
              <w:jc w:val="center"/>
              <w:rPr>
                <w:sz w:val="21"/>
                <w:szCs w:val="21"/>
              </w:rPr>
            </w:pPr>
            <w:r>
              <w:rPr>
                <w:sz w:val="21"/>
                <w:szCs w:val="21"/>
              </w:rPr>
              <w:t>800</w:t>
            </w:r>
          </w:p>
        </w:tc>
        <w:tc>
          <w:tcPr>
            <w:tcW w:w="1240" w:type="dxa"/>
            <w:vAlign w:val="center"/>
          </w:tcPr>
          <w:p w:rsidR="00DF1629" w:rsidRDefault="00DF1629" w:rsidP="00DF1629">
            <w:pPr>
              <w:jc w:val="center"/>
              <w:rPr>
                <w:sz w:val="21"/>
                <w:szCs w:val="21"/>
              </w:rPr>
            </w:pPr>
            <w:r>
              <w:rPr>
                <w:sz w:val="21"/>
                <w:szCs w:val="21"/>
              </w:rPr>
              <w:t>0</w:t>
            </w:r>
          </w:p>
        </w:tc>
      </w:tr>
      <w:tr w:rsidR="00DF1629" w:rsidRPr="00EC5811" w:rsidTr="00DF1629">
        <w:trPr>
          <w:trHeight w:val="432"/>
        </w:trPr>
        <w:tc>
          <w:tcPr>
            <w:tcW w:w="1879" w:type="dxa"/>
            <w:vMerge/>
            <w:vAlign w:val="center"/>
          </w:tcPr>
          <w:p w:rsidR="00DF1629" w:rsidRPr="00EC5811" w:rsidRDefault="00DF1629" w:rsidP="00940A7A">
            <w:pPr>
              <w:rPr>
                <w:sz w:val="21"/>
                <w:szCs w:val="21"/>
              </w:rPr>
            </w:pPr>
          </w:p>
        </w:tc>
        <w:tc>
          <w:tcPr>
            <w:tcW w:w="2232" w:type="dxa"/>
            <w:vAlign w:val="center"/>
          </w:tcPr>
          <w:p w:rsidR="00DF1629" w:rsidRPr="00EC5811" w:rsidRDefault="00DF1629" w:rsidP="00940A7A">
            <w:pPr>
              <w:rPr>
                <w:sz w:val="21"/>
                <w:szCs w:val="21"/>
              </w:rPr>
            </w:pPr>
            <w:r w:rsidRPr="00EC5811">
              <w:rPr>
                <w:sz w:val="21"/>
                <w:szCs w:val="21"/>
              </w:rPr>
              <w:t>State regulatory authorities</w:t>
            </w:r>
          </w:p>
        </w:tc>
        <w:tc>
          <w:tcPr>
            <w:tcW w:w="1611" w:type="dxa"/>
            <w:vAlign w:val="center"/>
          </w:tcPr>
          <w:p w:rsidR="00DF1629" w:rsidRPr="00EC5811" w:rsidRDefault="00DF1629" w:rsidP="00940A7A">
            <w:pPr>
              <w:tabs>
                <w:tab w:val="left" w:pos="848"/>
              </w:tabs>
              <w:jc w:val="center"/>
              <w:rPr>
                <w:sz w:val="21"/>
                <w:szCs w:val="21"/>
              </w:rPr>
            </w:pPr>
            <w:r>
              <w:rPr>
                <w:sz w:val="21"/>
                <w:szCs w:val="21"/>
              </w:rPr>
              <w:t>400</w:t>
            </w:r>
          </w:p>
        </w:tc>
        <w:tc>
          <w:tcPr>
            <w:tcW w:w="1253" w:type="dxa"/>
            <w:vAlign w:val="center"/>
          </w:tcPr>
          <w:p w:rsidR="00DF1629" w:rsidRPr="00EC5811" w:rsidRDefault="00DF1629" w:rsidP="00940A7A">
            <w:pPr>
              <w:tabs>
                <w:tab w:val="left" w:pos="848"/>
              </w:tabs>
              <w:jc w:val="center"/>
              <w:rPr>
                <w:sz w:val="21"/>
                <w:szCs w:val="21"/>
              </w:rPr>
            </w:pPr>
            <w:r>
              <w:rPr>
                <w:sz w:val="21"/>
                <w:szCs w:val="21"/>
              </w:rPr>
              <w:t>2</w:t>
            </w:r>
          </w:p>
        </w:tc>
        <w:tc>
          <w:tcPr>
            <w:tcW w:w="1253" w:type="dxa"/>
            <w:vAlign w:val="center"/>
          </w:tcPr>
          <w:p w:rsidR="00DF1629" w:rsidRPr="00EC5811" w:rsidRDefault="00DF1629" w:rsidP="00940A7A">
            <w:pPr>
              <w:tabs>
                <w:tab w:val="left" w:pos="848"/>
              </w:tabs>
              <w:jc w:val="center"/>
              <w:rPr>
                <w:sz w:val="21"/>
                <w:szCs w:val="21"/>
              </w:rPr>
            </w:pPr>
            <w:r>
              <w:rPr>
                <w:sz w:val="21"/>
                <w:szCs w:val="21"/>
              </w:rPr>
              <w:t>80</w:t>
            </w:r>
            <w:r w:rsidRPr="00EC5811">
              <w:rPr>
                <w:sz w:val="21"/>
                <w:szCs w:val="21"/>
              </w:rPr>
              <w:t>0</w:t>
            </w:r>
          </w:p>
        </w:tc>
        <w:tc>
          <w:tcPr>
            <w:tcW w:w="1240" w:type="dxa"/>
            <w:vAlign w:val="center"/>
          </w:tcPr>
          <w:p w:rsidR="00DF1629" w:rsidRDefault="00DF1629" w:rsidP="00DF1629">
            <w:pPr>
              <w:tabs>
                <w:tab w:val="left" w:pos="848"/>
              </w:tabs>
              <w:jc w:val="center"/>
              <w:rPr>
                <w:sz w:val="21"/>
                <w:szCs w:val="21"/>
              </w:rPr>
            </w:pPr>
            <w:r>
              <w:rPr>
                <w:sz w:val="21"/>
                <w:szCs w:val="21"/>
              </w:rPr>
              <w:t>0</w:t>
            </w:r>
          </w:p>
        </w:tc>
      </w:tr>
      <w:tr w:rsidR="00DF1629" w:rsidRPr="00EC5811" w:rsidTr="00DF1629">
        <w:trPr>
          <w:trHeight w:val="432"/>
        </w:trPr>
        <w:tc>
          <w:tcPr>
            <w:tcW w:w="1879" w:type="dxa"/>
            <w:vMerge w:val="restart"/>
            <w:vAlign w:val="center"/>
          </w:tcPr>
          <w:p w:rsidR="00DF1629" w:rsidRPr="00EC5811" w:rsidRDefault="00DF1629" w:rsidP="00940A7A">
            <w:pPr>
              <w:rPr>
                <w:sz w:val="21"/>
                <w:szCs w:val="21"/>
              </w:rPr>
            </w:pPr>
            <w:r w:rsidRPr="00EC5811">
              <w:rPr>
                <w:sz w:val="21"/>
                <w:szCs w:val="21"/>
              </w:rPr>
              <w:lastRenderedPageBreak/>
              <w:t>774.13</w:t>
            </w:r>
          </w:p>
          <w:p w:rsidR="00DF1629" w:rsidRPr="00EC5811" w:rsidRDefault="00DF1629" w:rsidP="00940A7A">
            <w:pPr>
              <w:rPr>
                <w:sz w:val="21"/>
                <w:szCs w:val="21"/>
              </w:rPr>
            </w:pPr>
            <w:r w:rsidRPr="00EC5811">
              <w:rPr>
                <w:sz w:val="21"/>
                <w:szCs w:val="21"/>
              </w:rPr>
              <w:t>Permit revisions</w:t>
            </w:r>
          </w:p>
        </w:tc>
        <w:tc>
          <w:tcPr>
            <w:tcW w:w="2232" w:type="dxa"/>
            <w:vAlign w:val="center"/>
          </w:tcPr>
          <w:p w:rsidR="00DF1629" w:rsidRPr="00EC5811" w:rsidRDefault="00DF1629" w:rsidP="00940A7A">
            <w:pPr>
              <w:tabs>
                <w:tab w:val="left" w:pos="848"/>
              </w:tabs>
              <w:rPr>
                <w:sz w:val="21"/>
                <w:szCs w:val="21"/>
              </w:rPr>
            </w:pPr>
            <w:r w:rsidRPr="00EC5811">
              <w:rPr>
                <w:sz w:val="21"/>
                <w:szCs w:val="21"/>
              </w:rPr>
              <w:t>Operators</w:t>
            </w:r>
          </w:p>
        </w:tc>
        <w:tc>
          <w:tcPr>
            <w:tcW w:w="1611" w:type="dxa"/>
            <w:vAlign w:val="center"/>
          </w:tcPr>
          <w:p w:rsidR="00DF1629" w:rsidRPr="00EC5811" w:rsidRDefault="00DF1629" w:rsidP="00940A7A">
            <w:pPr>
              <w:ind w:right="-46"/>
              <w:jc w:val="center"/>
              <w:rPr>
                <w:sz w:val="21"/>
                <w:szCs w:val="21"/>
              </w:rPr>
            </w:pPr>
            <w:r>
              <w:rPr>
                <w:sz w:val="21"/>
                <w:szCs w:val="21"/>
              </w:rPr>
              <w:t>2,110</w:t>
            </w:r>
          </w:p>
        </w:tc>
        <w:tc>
          <w:tcPr>
            <w:tcW w:w="1253" w:type="dxa"/>
            <w:vAlign w:val="center"/>
          </w:tcPr>
          <w:p w:rsidR="00DF1629" w:rsidRPr="00EC5811" w:rsidRDefault="00DF1629" w:rsidP="00940A7A">
            <w:pPr>
              <w:jc w:val="center"/>
              <w:rPr>
                <w:sz w:val="21"/>
                <w:szCs w:val="21"/>
              </w:rPr>
            </w:pPr>
            <w:r>
              <w:rPr>
                <w:sz w:val="21"/>
                <w:szCs w:val="21"/>
              </w:rPr>
              <w:t>72</w:t>
            </w:r>
          </w:p>
        </w:tc>
        <w:tc>
          <w:tcPr>
            <w:tcW w:w="1253" w:type="dxa"/>
            <w:vAlign w:val="center"/>
          </w:tcPr>
          <w:p w:rsidR="00DF1629" w:rsidRPr="00EC5811" w:rsidRDefault="00DF1629" w:rsidP="00940A7A">
            <w:pPr>
              <w:jc w:val="center"/>
              <w:rPr>
                <w:sz w:val="21"/>
                <w:szCs w:val="21"/>
              </w:rPr>
            </w:pPr>
            <w:r>
              <w:rPr>
                <w:sz w:val="21"/>
                <w:szCs w:val="21"/>
              </w:rPr>
              <w:t>151,920</w:t>
            </w:r>
          </w:p>
        </w:tc>
        <w:tc>
          <w:tcPr>
            <w:tcW w:w="1240" w:type="dxa"/>
            <w:vAlign w:val="center"/>
          </w:tcPr>
          <w:p w:rsidR="00DF1629" w:rsidRDefault="00DF1629" w:rsidP="00DF1629">
            <w:pPr>
              <w:jc w:val="center"/>
              <w:rPr>
                <w:sz w:val="21"/>
                <w:szCs w:val="21"/>
              </w:rPr>
            </w:pPr>
            <w:r>
              <w:rPr>
                <w:sz w:val="21"/>
                <w:szCs w:val="21"/>
              </w:rPr>
              <w:t>0</w:t>
            </w:r>
          </w:p>
        </w:tc>
      </w:tr>
      <w:tr w:rsidR="00DF1629" w:rsidRPr="00EC5811" w:rsidTr="00DF1629">
        <w:trPr>
          <w:trHeight w:val="432"/>
        </w:trPr>
        <w:tc>
          <w:tcPr>
            <w:tcW w:w="1879" w:type="dxa"/>
            <w:vMerge/>
            <w:vAlign w:val="center"/>
          </w:tcPr>
          <w:p w:rsidR="00DF1629" w:rsidRPr="00EC5811" w:rsidRDefault="00DF1629" w:rsidP="00940A7A">
            <w:pPr>
              <w:rPr>
                <w:sz w:val="21"/>
                <w:szCs w:val="21"/>
              </w:rPr>
            </w:pPr>
          </w:p>
        </w:tc>
        <w:tc>
          <w:tcPr>
            <w:tcW w:w="2232" w:type="dxa"/>
            <w:vAlign w:val="center"/>
          </w:tcPr>
          <w:p w:rsidR="00DF1629" w:rsidRPr="00EC5811" w:rsidRDefault="00DF1629" w:rsidP="00940A7A">
            <w:pPr>
              <w:rPr>
                <w:sz w:val="21"/>
                <w:szCs w:val="21"/>
              </w:rPr>
            </w:pPr>
            <w:r w:rsidRPr="00EC5811">
              <w:rPr>
                <w:sz w:val="21"/>
                <w:szCs w:val="21"/>
              </w:rPr>
              <w:t>State regulatory authorities</w:t>
            </w:r>
          </w:p>
        </w:tc>
        <w:tc>
          <w:tcPr>
            <w:tcW w:w="1611" w:type="dxa"/>
            <w:vAlign w:val="center"/>
          </w:tcPr>
          <w:p w:rsidR="00DF1629" w:rsidRPr="00EC5811" w:rsidRDefault="00DF1629" w:rsidP="002020D2">
            <w:pPr>
              <w:ind w:right="-46"/>
              <w:jc w:val="center"/>
              <w:rPr>
                <w:sz w:val="21"/>
                <w:szCs w:val="21"/>
              </w:rPr>
            </w:pPr>
            <w:r>
              <w:rPr>
                <w:sz w:val="21"/>
                <w:szCs w:val="21"/>
              </w:rPr>
              <w:t>1,963</w:t>
            </w:r>
          </w:p>
        </w:tc>
        <w:tc>
          <w:tcPr>
            <w:tcW w:w="1253" w:type="dxa"/>
            <w:vAlign w:val="center"/>
          </w:tcPr>
          <w:p w:rsidR="00DF1629" w:rsidRPr="00EC5811" w:rsidRDefault="00DF1629" w:rsidP="00940A7A">
            <w:pPr>
              <w:jc w:val="center"/>
              <w:rPr>
                <w:sz w:val="21"/>
                <w:szCs w:val="21"/>
              </w:rPr>
            </w:pPr>
            <w:r>
              <w:rPr>
                <w:sz w:val="21"/>
                <w:szCs w:val="21"/>
              </w:rPr>
              <w:t>34</w:t>
            </w:r>
          </w:p>
        </w:tc>
        <w:tc>
          <w:tcPr>
            <w:tcW w:w="1253" w:type="dxa"/>
            <w:vAlign w:val="center"/>
          </w:tcPr>
          <w:p w:rsidR="00DF1629" w:rsidRPr="00EC5811" w:rsidRDefault="00DF1629" w:rsidP="00940A7A">
            <w:pPr>
              <w:jc w:val="center"/>
              <w:rPr>
                <w:sz w:val="21"/>
                <w:szCs w:val="21"/>
              </w:rPr>
            </w:pPr>
            <w:r>
              <w:rPr>
                <w:sz w:val="21"/>
                <w:szCs w:val="21"/>
              </w:rPr>
              <w:t>66,742</w:t>
            </w:r>
          </w:p>
        </w:tc>
        <w:tc>
          <w:tcPr>
            <w:tcW w:w="1240" w:type="dxa"/>
            <w:vAlign w:val="center"/>
          </w:tcPr>
          <w:p w:rsidR="00DF1629" w:rsidRDefault="00DF1629" w:rsidP="00DF1629">
            <w:pPr>
              <w:jc w:val="center"/>
              <w:rPr>
                <w:sz w:val="21"/>
                <w:szCs w:val="21"/>
              </w:rPr>
            </w:pPr>
            <w:r>
              <w:rPr>
                <w:sz w:val="21"/>
                <w:szCs w:val="21"/>
              </w:rPr>
              <w:t>0</w:t>
            </w:r>
          </w:p>
        </w:tc>
      </w:tr>
      <w:tr w:rsidR="00DF1629" w:rsidRPr="00EC5811" w:rsidTr="00DF1629">
        <w:trPr>
          <w:trHeight w:val="432"/>
        </w:trPr>
        <w:tc>
          <w:tcPr>
            <w:tcW w:w="1879" w:type="dxa"/>
            <w:vMerge w:val="restart"/>
            <w:vAlign w:val="center"/>
          </w:tcPr>
          <w:p w:rsidR="00DF1629" w:rsidRPr="00EC5811" w:rsidRDefault="00DF1629" w:rsidP="00940A7A">
            <w:pPr>
              <w:rPr>
                <w:sz w:val="21"/>
                <w:szCs w:val="21"/>
              </w:rPr>
            </w:pPr>
            <w:r w:rsidRPr="00EC5811">
              <w:rPr>
                <w:sz w:val="21"/>
                <w:szCs w:val="21"/>
              </w:rPr>
              <w:t>774.15</w:t>
            </w:r>
          </w:p>
          <w:p w:rsidR="00DF1629" w:rsidRPr="00EC5811" w:rsidRDefault="00DF1629" w:rsidP="00940A7A">
            <w:pPr>
              <w:rPr>
                <w:sz w:val="21"/>
                <w:szCs w:val="21"/>
              </w:rPr>
            </w:pPr>
            <w:r w:rsidRPr="00EC5811">
              <w:rPr>
                <w:sz w:val="21"/>
                <w:szCs w:val="21"/>
              </w:rPr>
              <w:t>How can I renew a permit?</w:t>
            </w:r>
          </w:p>
        </w:tc>
        <w:tc>
          <w:tcPr>
            <w:tcW w:w="2232" w:type="dxa"/>
            <w:vAlign w:val="center"/>
          </w:tcPr>
          <w:p w:rsidR="00DF1629" w:rsidRPr="00EC5811" w:rsidRDefault="00DF1629" w:rsidP="00940A7A">
            <w:pPr>
              <w:tabs>
                <w:tab w:val="left" w:pos="848"/>
              </w:tabs>
              <w:rPr>
                <w:sz w:val="21"/>
                <w:szCs w:val="21"/>
              </w:rPr>
            </w:pPr>
            <w:r w:rsidRPr="00EC5811">
              <w:rPr>
                <w:sz w:val="21"/>
                <w:szCs w:val="21"/>
              </w:rPr>
              <w:t>Operators</w:t>
            </w:r>
          </w:p>
        </w:tc>
        <w:tc>
          <w:tcPr>
            <w:tcW w:w="1611" w:type="dxa"/>
            <w:vAlign w:val="center"/>
          </w:tcPr>
          <w:p w:rsidR="00DF1629" w:rsidRDefault="00DF1629" w:rsidP="00940A7A">
            <w:pPr>
              <w:ind w:right="-46"/>
              <w:jc w:val="center"/>
              <w:rPr>
                <w:sz w:val="21"/>
                <w:szCs w:val="21"/>
              </w:rPr>
            </w:pPr>
            <w:r>
              <w:rPr>
                <w:sz w:val="21"/>
                <w:szCs w:val="21"/>
              </w:rPr>
              <w:t>600</w:t>
            </w:r>
          </w:p>
        </w:tc>
        <w:tc>
          <w:tcPr>
            <w:tcW w:w="1253" w:type="dxa"/>
            <w:vAlign w:val="center"/>
          </w:tcPr>
          <w:p w:rsidR="00DF1629" w:rsidRDefault="00DF1629" w:rsidP="002020D2">
            <w:pPr>
              <w:jc w:val="center"/>
              <w:rPr>
                <w:sz w:val="21"/>
                <w:szCs w:val="21"/>
              </w:rPr>
            </w:pPr>
            <w:r>
              <w:rPr>
                <w:sz w:val="21"/>
                <w:szCs w:val="21"/>
              </w:rPr>
              <w:t>16</w:t>
            </w:r>
          </w:p>
        </w:tc>
        <w:tc>
          <w:tcPr>
            <w:tcW w:w="1253" w:type="dxa"/>
            <w:vAlign w:val="center"/>
          </w:tcPr>
          <w:p w:rsidR="00DF1629" w:rsidRDefault="00DF1629" w:rsidP="002020D2">
            <w:pPr>
              <w:jc w:val="center"/>
              <w:rPr>
                <w:sz w:val="21"/>
                <w:szCs w:val="21"/>
              </w:rPr>
            </w:pPr>
            <w:r>
              <w:rPr>
                <w:sz w:val="21"/>
                <w:szCs w:val="21"/>
              </w:rPr>
              <w:t>9,600</w:t>
            </w:r>
          </w:p>
        </w:tc>
        <w:tc>
          <w:tcPr>
            <w:tcW w:w="1240" w:type="dxa"/>
            <w:vAlign w:val="center"/>
          </w:tcPr>
          <w:p w:rsidR="00DF1629" w:rsidRDefault="00DF1629" w:rsidP="00DF1629">
            <w:pPr>
              <w:jc w:val="center"/>
              <w:rPr>
                <w:sz w:val="21"/>
                <w:szCs w:val="21"/>
              </w:rPr>
            </w:pPr>
            <w:r>
              <w:rPr>
                <w:sz w:val="21"/>
                <w:szCs w:val="21"/>
              </w:rPr>
              <w:t>6,000</w:t>
            </w:r>
          </w:p>
        </w:tc>
      </w:tr>
      <w:tr w:rsidR="00DF1629" w:rsidRPr="00EC5811" w:rsidTr="00DF1629">
        <w:trPr>
          <w:trHeight w:val="432"/>
        </w:trPr>
        <w:tc>
          <w:tcPr>
            <w:tcW w:w="1879" w:type="dxa"/>
            <w:vMerge/>
            <w:vAlign w:val="center"/>
          </w:tcPr>
          <w:p w:rsidR="00DF1629" w:rsidRPr="00EC5811" w:rsidRDefault="00DF1629" w:rsidP="00940A7A">
            <w:pPr>
              <w:rPr>
                <w:sz w:val="21"/>
                <w:szCs w:val="21"/>
              </w:rPr>
            </w:pPr>
          </w:p>
        </w:tc>
        <w:tc>
          <w:tcPr>
            <w:tcW w:w="2232" w:type="dxa"/>
            <w:vAlign w:val="center"/>
          </w:tcPr>
          <w:p w:rsidR="00DF1629" w:rsidRPr="00EC5811" w:rsidRDefault="00DF1629" w:rsidP="00940A7A">
            <w:pPr>
              <w:rPr>
                <w:sz w:val="21"/>
                <w:szCs w:val="21"/>
              </w:rPr>
            </w:pPr>
            <w:r w:rsidRPr="00EC5811">
              <w:rPr>
                <w:sz w:val="21"/>
                <w:szCs w:val="21"/>
              </w:rPr>
              <w:t>State regulatory authorities</w:t>
            </w:r>
          </w:p>
        </w:tc>
        <w:tc>
          <w:tcPr>
            <w:tcW w:w="1611" w:type="dxa"/>
            <w:vAlign w:val="center"/>
          </w:tcPr>
          <w:p w:rsidR="00DF1629" w:rsidRDefault="00DF1629" w:rsidP="00940A7A">
            <w:pPr>
              <w:ind w:right="-46"/>
              <w:jc w:val="center"/>
              <w:rPr>
                <w:sz w:val="21"/>
                <w:szCs w:val="21"/>
              </w:rPr>
            </w:pPr>
            <w:r>
              <w:rPr>
                <w:sz w:val="21"/>
                <w:szCs w:val="21"/>
              </w:rPr>
              <w:t>593</w:t>
            </w:r>
          </w:p>
        </w:tc>
        <w:tc>
          <w:tcPr>
            <w:tcW w:w="1253" w:type="dxa"/>
            <w:vAlign w:val="center"/>
          </w:tcPr>
          <w:p w:rsidR="00DF1629" w:rsidRDefault="00DF1629" w:rsidP="002020D2">
            <w:pPr>
              <w:jc w:val="center"/>
              <w:rPr>
                <w:sz w:val="21"/>
                <w:szCs w:val="21"/>
              </w:rPr>
            </w:pPr>
            <w:r>
              <w:rPr>
                <w:sz w:val="21"/>
                <w:szCs w:val="21"/>
              </w:rPr>
              <w:t>24</w:t>
            </w:r>
          </w:p>
        </w:tc>
        <w:tc>
          <w:tcPr>
            <w:tcW w:w="1253" w:type="dxa"/>
            <w:vAlign w:val="center"/>
          </w:tcPr>
          <w:p w:rsidR="00DF1629" w:rsidRDefault="00DF1629" w:rsidP="002020D2">
            <w:pPr>
              <w:jc w:val="center"/>
              <w:rPr>
                <w:sz w:val="21"/>
                <w:szCs w:val="21"/>
              </w:rPr>
            </w:pPr>
            <w:r>
              <w:rPr>
                <w:sz w:val="21"/>
                <w:szCs w:val="21"/>
              </w:rPr>
              <w:t>14,232</w:t>
            </w:r>
          </w:p>
        </w:tc>
        <w:tc>
          <w:tcPr>
            <w:tcW w:w="1240" w:type="dxa"/>
            <w:vAlign w:val="center"/>
          </w:tcPr>
          <w:p w:rsidR="00DF1629" w:rsidRDefault="00BA478E" w:rsidP="00BA478E">
            <w:pPr>
              <w:jc w:val="center"/>
              <w:rPr>
                <w:sz w:val="21"/>
                <w:szCs w:val="21"/>
              </w:rPr>
            </w:pPr>
            <w:r>
              <w:rPr>
                <w:sz w:val="21"/>
                <w:szCs w:val="21"/>
              </w:rPr>
              <w:t>6</w:t>
            </w:r>
            <w:r w:rsidR="00DF1629">
              <w:rPr>
                <w:sz w:val="21"/>
                <w:szCs w:val="21"/>
              </w:rPr>
              <w:t>,</w:t>
            </w:r>
            <w:r>
              <w:rPr>
                <w:sz w:val="21"/>
                <w:szCs w:val="21"/>
              </w:rPr>
              <w:t>226</w:t>
            </w:r>
          </w:p>
        </w:tc>
      </w:tr>
      <w:tr w:rsidR="00DF1629" w:rsidRPr="00EC5811" w:rsidTr="00DF1629">
        <w:trPr>
          <w:trHeight w:val="432"/>
        </w:trPr>
        <w:tc>
          <w:tcPr>
            <w:tcW w:w="1879" w:type="dxa"/>
            <w:vMerge w:val="restart"/>
            <w:vAlign w:val="center"/>
          </w:tcPr>
          <w:p w:rsidR="00DF1629" w:rsidRPr="00EC5811" w:rsidRDefault="00DF1629" w:rsidP="00940A7A">
            <w:pPr>
              <w:rPr>
                <w:sz w:val="21"/>
                <w:szCs w:val="21"/>
              </w:rPr>
            </w:pPr>
            <w:r w:rsidRPr="00EC5811">
              <w:rPr>
                <w:sz w:val="21"/>
                <w:szCs w:val="21"/>
              </w:rPr>
              <w:t>774.17</w:t>
            </w:r>
          </w:p>
          <w:p w:rsidR="00DF1629" w:rsidRPr="00EC5811" w:rsidRDefault="00DF1629" w:rsidP="00940A7A">
            <w:pPr>
              <w:rPr>
                <w:sz w:val="21"/>
                <w:szCs w:val="21"/>
              </w:rPr>
            </w:pPr>
            <w:r w:rsidRPr="00EC5811">
              <w:rPr>
                <w:sz w:val="21"/>
                <w:szCs w:val="21"/>
              </w:rPr>
              <w:t>Transfer, assignment, or sale of permit rights</w:t>
            </w:r>
          </w:p>
        </w:tc>
        <w:tc>
          <w:tcPr>
            <w:tcW w:w="2232" w:type="dxa"/>
            <w:vAlign w:val="center"/>
          </w:tcPr>
          <w:p w:rsidR="00DF1629" w:rsidRPr="00EC5811" w:rsidRDefault="00DF1629" w:rsidP="00940A7A">
            <w:pPr>
              <w:tabs>
                <w:tab w:val="left" w:pos="848"/>
              </w:tabs>
              <w:rPr>
                <w:sz w:val="21"/>
                <w:szCs w:val="21"/>
              </w:rPr>
            </w:pPr>
            <w:r w:rsidRPr="00EC5811">
              <w:rPr>
                <w:sz w:val="21"/>
                <w:szCs w:val="21"/>
              </w:rPr>
              <w:t>Operators</w:t>
            </w:r>
          </w:p>
        </w:tc>
        <w:tc>
          <w:tcPr>
            <w:tcW w:w="1611" w:type="dxa"/>
            <w:vAlign w:val="center"/>
          </w:tcPr>
          <w:p w:rsidR="00DF1629" w:rsidRPr="00EC5811" w:rsidRDefault="00DF1629" w:rsidP="00940A7A">
            <w:pPr>
              <w:ind w:right="-46"/>
              <w:jc w:val="center"/>
              <w:rPr>
                <w:sz w:val="21"/>
                <w:szCs w:val="21"/>
              </w:rPr>
            </w:pPr>
            <w:r>
              <w:rPr>
                <w:sz w:val="21"/>
                <w:szCs w:val="21"/>
              </w:rPr>
              <w:t>303</w:t>
            </w:r>
          </w:p>
        </w:tc>
        <w:tc>
          <w:tcPr>
            <w:tcW w:w="1253" w:type="dxa"/>
            <w:vAlign w:val="center"/>
          </w:tcPr>
          <w:p w:rsidR="00DF1629" w:rsidRPr="00EC5811" w:rsidRDefault="00DF1629" w:rsidP="00940A7A">
            <w:pPr>
              <w:jc w:val="center"/>
              <w:rPr>
                <w:sz w:val="21"/>
                <w:szCs w:val="21"/>
              </w:rPr>
            </w:pPr>
            <w:r>
              <w:rPr>
                <w:sz w:val="21"/>
                <w:szCs w:val="21"/>
              </w:rPr>
              <w:t>16</w:t>
            </w:r>
          </w:p>
        </w:tc>
        <w:tc>
          <w:tcPr>
            <w:tcW w:w="1253" w:type="dxa"/>
            <w:vAlign w:val="center"/>
          </w:tcPr>
          <w:p w:rsidR="00DF1629" w:rsidRPr="00EC5811" w:rsidRDefault="00DF1629" w:rsidP="00940A7A">
            <w:pPr>
              <w:jc w:val="center"/>
              <w:rPr>
                <w:sz w:val="21"/>
                <w:szCs w:val="21"/>
              </w:rPr>
            </w:pPr>
            <w:r>
              <w:rPr>
                <w:sz w:val="21"/>
                <w:szCs w:val="21"/>
              </w:rPr>
              <w:t>4,848</w:t>
            </w:r>
          </w:p>
        </w:tc>
        <w:tc>
          <w:tcPr>
            <w:tcW w:w="1240" w:type="dxa"/>
            <w:vAlign w:val="center"/>
          </w:tcPr>
          <w:p w:rsidR="00DF1629" w:rsidRDefault="00DF1629" w:rsidP="00DF1629">
            <w:pPr>
              <w:jc w:val="center"/>
              <w:rPr>
                <w:sz w:val="21"/>
                <w:szCs w:val="21"/>
              </w:rPr>
            </w:pPr>
            <w:r>
              <w:rPr>
                <w:sz w:val="21"/>
                <w:szCs w:val="21"/>
              </w:rPr>
              <w:t>0</w:t>
            </w:r>
          </w:p>
        </w:tc>
      </w:tr>
      <w:tr w:rsidR="00DF1629" w:rsidRPr="00EC5811" w:rsidTr="00DF1629">
        <w:trPr>
          <w:trHeight w:val="432"/>
        </w:trPr>
        <w:tc>
          <w:tcPr>
            <w:tcW w:w="1879" w:type="dxa"/>
            <w:vMerge/>
          </w:tcPr>
          <w:p w:rsidR="00DF1629" w:rsidRPr="00EC5811" w:rsidRDefault="00DF1629" w:rsidP="00940A7A">
            <w:pPr>
              <w:rPr>
                <w:sz w:val="21"/>
                <w:szCs w:val="21"/>
              </w:rPr>
            </w:pPr>
          </w:p>
        </w:tc>
        <w:tc>
          <w:tcPr>
            <w:tcW w:w="2232" w:type="dxa"/>
            <w:vAlign w:val="center"/>
          </w:tcPr>
          <w:p w:rsidR="00DF1629" w:rsidRPr="00EC5811" w:rsidRDefault="00DF1629" w:rsidP="00940A7A">
            <w:pPr>
              <w:rPr>
                <w:sz w:val="21"/>
                <w:szCs w:val="21"/>
              </w:rPr>
            </w:pPr>
            <w:r w:rsidRPr="00EC5811">
              <w:rPr>
                <w:sz w:val="21"/>
                <w:szCs w:val="21"/>
              </w:rPr>
              <w:t>State regulatory authorities</w:t>
            </w:r>
          </w:p>
        </w:tc>
        <w:tc>
          <w:tcPr>
            <w:tcW w:w="1611" w:type="dxa"/>
            <w:vAlign w:val="center"/>
          </w:tcPr>
          <w:p w:rsidR="00DF1629" w:rsidRPr="00EC5811" w:rsidRDefault="00DF1629" w:rsidP="00940A7A">
            <w:pPr>
              <w:ind w:right="-46"/>
              <w:jc w:val="center"/>
              <w:rPr>
                <w:sz w:val="21"/>
                <w:szCs w:val="21"/>
              </w:rPr>
            </w:pPr>
            <w:r>
              <w:rPr>
                <w:sz w:val="21"/>
                <w:szCs w:val="21"/>
              </w:rPr>
              <w:t>290</w:t>
            </w:r>
          </w:p>
        </w:tc>
        <w:tc>
          <w:tcPr>
            <w:tcW w:w="1253" w:type="dxa"/>
            <w:vAlign w:val="center"/>
          </w:tcPr>
          <w:p w:rsidR="00DF1629" w:rsidRPr="00EC5811" w:rsidRDefault="00DF1629" w:rsidP="00940A7A">
            <w:pPr>
              <w:jc w:val="center"/>
              <w:rPr>
                <w:sz w:val="21"/>
                <w:szCs w:val="21"/>
              </w:rPr>
            </w:pPr>
            <w:r>
              <w:rPr>
                <w:sz w:val="21"/>
                <w:szCs w:val="21"/>
              </w:rPr>
              <w:t>17.5</w:t>
            </w:r>
          </w:p>
        </w:tc>
        <w:tc>
          <w:tcPr>
            <w:tcW w:w="1253" w:type="dxa"/>
            <w:vAlign w:val="center"/>
          </w:tcPr>
          <w:p w:rsidR="00DF1629" w:rsidRPr="00EC5811" w:rsidRDefault="00DF1629" w:rsidP="00940A7A">
            <w:pPr>
              <w:jc w:val="center"/>
              <w:rPr>
                <w:sz w:val="21"/>
                <w:szCs w:val="21"/>
              </w:rPr>
            </w:pPr>
            <w:r>
              <w:rPr>
                <w:sz w:val="21"/>
                <w:szCs w:val="21"/>
              </w:rPr>
              <w:t>5,075</w:t>
            </w:r>
          </w:p>
        </w:tc>
        <w:tc>
          <w:tcPr>
            <w:tcW w:w="1240" w:type="dxa"/>
            <w:vAlign w:val="center"/>
          </w:tcPr>
          <w:p w:rsidR="00DF1629" w:rsidRDefault="00DF1629" w:rsidP="00DF1629">
            <w:pPr>
              <w:jc w:val="center"/>
              <w:rPr>
                <w:sz w:val="21"/>
                <w:szCs w:val="21"/>
              </w:rPr>
            </w:pPr>
            <w:r>
              <w:rPr>
                <w:sz w:val="21"/>
                <w:szCs w:val="21"/>
              </w:rPr>
              <w:t>0</w:t>
            </w:r>
          </w:p>
        </w:tc>
      </w:tr>
      <w:tr w:rsidR="00DF1629" w:rsidRPr="00EC5811" w:rsidTr="00DF1629">
        <w:trPr>
          <w:trHeight w:val="432"/>
        </w:trPr>
        <w:tc>
          <w:tcPr>
            <w:tcW w:w="1879" w:type="dxa"/>
            <w:vMerge w:val="restart"/>
            <w:vAlign w:val="center"/>
          </w:tcPr>
          <w:p w:rsidR="00DF1629" w:rsidRPr="00EC5811" w:rsidRDefault="00DF1629" w:rsidP="00940A7A">
            <w:pPr>
              <w:rPr>
                <w:sz w:val="21"/>
                <w:szCs w:val="21"/>
              </w:rPr>
            </w:pPr>
            <w:r w:rsidRPr="00EC5811">
              <w:rPr>
                <w:b/>
                <w:sz w:val="21"/>
                <w:szCs w:val="21"/>
              </w:rPr>
              <w:t>Total Hour Burden by Respondent</w:t>
            </w:r>
          </w:p>
        </w:tc>
        <w:tc>
          <w:tcPr>
            <w:tcW w:w="2232" w:type="dxa"/>
            <w:vAlign w:val="center"/>
          </w:tcPr>
          <w:p w:rsidR="00DF1629" w:rsidRPr="00EC5811" w:rsidRDefault="00DF1629" w:rsidP="00940A7A">
            <w:pPr>
              <w:tabs>
                <w:tab w:val="left" w:pos="848"/>
              </w:tabs>
              <w:rPr>
                <w:sz w:val="21"/>
                <w:szCs w:val="21"/>
              </w:rPr>
            </w:pPr>
            <w:r w:rsidRPr="00EC5811">
              <w:rPr>
                <w:sz w:val="21"/>
                <w:szCs w:val="21"/>
              </w:rPr>
              <w:t>Operators</w:t>
            </w:r>
          </w:p>
        </w:tc>
        <w:tc>
          <w:tcPr>
            <w:tcW w:w="1611" w:type="dxa"/>
            <w:vAlign w:val="center"/>
          </w:tcPr>
          <w:p w:rsidR="00DF1629" w:rsidRPr="00EC5811" w:rsidRDefault="00DF1629" w:rsidP="00940A7A">
            <w:pPr>
              <w:ind w:right="-46"/>
              <w:jc w:val="center"/>
              <w:rPr>
                <w:sz w:val="21"/>
                <w:szCs w:val="21"/>
              </w:rPr>
            </w:pPr>
          </w:p>
        </w:tc>
        <w:tc>
          <w:tcPr>
            <w:tcW w:w="1253" w:type="dxa"/>
            <w:vAlign w:val="center"/>
          </w:tcPr>
          <w:p w:rsidR="00DF1629" w:rsidRPr="00EC5811" w:rsidRDefault="00DF1629" w:rsidP="00940A7A">
            <w:pPr>
              <w:jc w:val="center"/>
              <w:rPr>
                <w:sz w:val="21"/>
                <w:szCs w:val="21"/>
              </w:rPr>
            </w:pPr>
          </w:p>
        </w:tc>
        <w:tc>
          <w:tcPr>
            <w:tcW w:w="1253" w:type="dxa"/>
            <w:vAlign w:val="center"/>
          </w:tcPr>
          <w:p w:rsidR="00DF1629" w:rsidRPr="00EC5811" w:rsidRDefault="00DF1629" w:rsidP="00587689">
            <w:pPr>
              <w:jc w:val="center"/>
              <w:rPr>
                <w:sz w:val="21"/>
                <w:szCs w:val="21"/>
              </w:rPr>
            </w:pPr>
            <w:r>
              <w:rPr>
                <w:sz w:val="21"/>
                <w:szCs w:val="21"/>
              </w:rPr>
              <w:t>167,362</w:t>
            </w:r>
          </w:p>
        </w:tc>
        <w:tc>
          <w:tcPr>
            <w:tcW w:w="1240" w:type="dxa"/>
            <w:vAlign w:val="center"/>
          </w:tcPr>
          <w:p w:rsidR="00DF1629" w:rsidRDefault="00DF1629" w:rsidP="00DF1629">
            <w:pPr>
              <w:jc w:val="center"/>
              <w:rPr>
                <w:sz w:val="21"/>
                <w:szCs w:val="21"/>
              </w:rPr>
            </w:pPr>
            <w:r>
              <w:rPr>
                <w:sz w:val="21"/>
                <w:szCs w:val="21"/>
              </w:rPr>
              <w:t>6,000</w:t>
            </w:r>
          </w:p>
        </w:tc>
      </w:tr>
      <w:tr w:rsidR="00DF1629" w:rsidRPr="00EC5811" w:rsidTr="00DF1629">
        <w:trPr>
          <w:trHeight w:val="432"/>
        </w:trPr>
        <w:tc>
          <w:tcPr>
            <w:tcW w:w="1879" w:type="dxa"/>
            <w:vMerge/>
          </w:tcPr>
          <w:p w:rsidR="00DF1629" w:rsidRPr="00EC5811" w:rsidRDefault="00DF1629" w:rsidP="00940A7A">
            <w:pPr>
              <w:rPr>
                <w:sz w:val="21"/>
                <w:szCs w:val="21"/>
              </w:rPr>
            </w:pPr>
          </w:p>
        </w:tc>
        <w:tc>
          <w:tcPr>
            <w:tcW w:w="2232" w:type="dxa"/>
            <w:vAlign w:val="center"/>
          </w:tcPr>
          <w:p w:rsidR="00DF1629" w:rsidRPr="00EC5811" w:rsidRDefault="00DF1629" w:rsidP="00940A7A">
            <w:pPr>
              <w:rPr>
                <w:sz w:val="21"/>
                <w:szCs w:val="21"/>
              </w:rPr>
            </w:pPr>
            <w:r w:rsidRPr="00EC5811">
              <w:rPr>
                <w:sz w:val="21"/>
                <w:szCs w:val="21"/>
              </w:rPr>
              <w:t>State regulatory authorities</w:t>
            </w:r>
          </w:p>
        </w:tc>
        <w:tc>
          <w:tcPr>
            <w:tcW w:w="1611" w:type="dxa"/>
            <w:vAlign w:val="center"/>
          </w:tcPr>
          <w:p w:rsidR="00DF1629" w:rsidRPr="00EC5811" w:rsidRDefault="00DF1629" w:rsidP="00940A7A">
            <w:pPr>
              <w:ind w:right="-46"/>
              <w:jc w:val="center"/>
              <w:rPr>
                <w:sz w:val="21"/>
                <w:szCs w:val="21"/>
              </w:rPr>
            </w:pPr>
          </w:p>
        </w:tc>
        <w:tc>
          <w:tcPr>
            <w:tcW w:w="1253" w:type="dxa"/>
            <w:vAlign w:val="center"/>
          </w:tcPr>
          <w:p w:rsidR="00DF1629" w:rsidRPr="00EC5811" w:rsidRDefault="00DF1629" w:rsidP="00940A7A">
            <w:pPr>
              <w:jc w:val="center"/>
              <w:rPr>
                <w:sz w:val="21"/>
                <w:szCs w:val="21"/>
              </w:rPr>
            </w:pPr>
          </w:p>
        </w:tc>
        <w:tc>
          <w:tcPr>
            <w:tcW w:w="1253" w:type="dxa"/>
            <w:vAlign w:val="center"/>
          </w:tcPr>
          <w:p w:rsidR="00DF1629" w:rsidRPr="00EC5811" w:rsidRDefault="00DF1629" w:rsidP="00587689">
            <w:pPr>
              <w:jc w:val="center"/>
              <w:rPr>
                <w:sz w:val="21"/>
                <w:szCs w:val="21"/>
              </w:rPr>
            </w:pPr>
            <w:r>
              <w:rPr>
                <w:sz w:val="21"/>
                <w:szCs w:val="21"/>
              </w:rPr>
              <w:t>87,043</w:t>
            </w:r>
          </w:p>
        </w:tc>
        <w:tc>
          <w:tcPr>
            <w:tcW w:w="1240" w:type="dxa"/>
            <w:vAlign w:val="center"/>
          </w:tcPr>
          <w:p w:rsidR="00DF1629" w:rsidRDefault="00BA478E" w:rsidP="00DF1629">
            <w:pPr>
              <w:jc w:val="center"/>
              <w:rPr>
                <w:sz w:val="21"/>
                <w:szCs w:val="21"/>
              </w:rPr>
            </w:pPr>
            <w:r>
              <w:rPr>
                <w:sz w:val="21"/>
                <w:szCs w:val="21"/>
              </w:rPr>
              <w:t>6,226</w:t>
            </w:r>
          </w:p>
        </w:tc>
      </w:tr>
      <w:tr w:rsidR="00DF1629" w:rsidRPr="00EC5811" w:rsidTr="00DF1629">
        <w:trPr>
          <w:trHeight w:val="432"/>
        </w:trPr>
        <w:tc>
          <w:tcPr>
            <w:tcW w:w="4111" w:type="dxa"/>
            <w:gridSpan w:val="2"/>
            <w:vAlign w:val="center"/>
          </w:tcPr>
          <w:p w:rsidR="00DF1629" w:rsidRPr="00EC5811" w:rsidRDefault="00DF1629" w:rsidP="0051601A">
            <w:pPr>
              <w:jc w:val="center"/>
              <w:rPr>
                <w:sz w:val="21"/>
                <w:szCs w:val="21"/>
              </w:rPr>
            </w:pPr>
            <w:r w:rsidRPr="0097343C">
              <w:rPr>
                <w:b/>
                <w:sz w:val="21"/>
                <w:szCs w:val="21"/>
              </w:rPr>
              <w:t>Total Hour Burden</w:t>
            </w:r>
          </w:p>
        </w:tc>
        <w:tc>
          <w:tcPr>
            <w:tcW w:w="1611" w:type="dxa"/>
            <w:vAlign w:val="center"/>
          </w:tcPr>
          <w:p w:rsidR="00DF1629" w:rsidRPr="0097343C" w:rsidRDefault="00DF1629" w:rsidP="00940A7A">
            <w:pPr>
              <w:ind w:right="-46"/>
              <w:jc w:val="center"/>
              <w:rPr>
                <w:b/>
                <w:sz w:val="21"/>
                <w:szCs w:val="21"/>
              </w:rPr>
            </w:pPr>
          </w:p>
        </w:tc>
        <w:tc>
          <w:tcPr>
            <w:tcW w:w="1253" w:type="dxa"/>
            <w:vAlign w:val="center"/>
          </w:tcPr>
          <w:p w:rsidR="00DF1629" w:rsidRPr="0097343C" w:rsidRDefault="00DF1629" w:rsidP="00940A7A">
            <w:pPr>
              <w:jc w:val="center"/>
              <w:rPr>
                <w:b/>
                <w:sz w:val="21"/>
                <w:szCs w:val="21"/>
              </w:rPr>
            </w:pPr>
          </w:p>
        </w:tc>
        <w:tc>
          <w:tcPr>
            <w:tcW w:w="1253" w:type="dxa"/>
            <w:vAlign w:val="center"/>
          </w:tcPr>
          <w:p w:rsidR="00DF1629" w:rsidRPr="0097343C" w:rsidRDefault="00DF1629" w:rsidP="00BA478E">
            <w:pPr>
              <w:jc w:val="center"/>
              <w:rPr>
                <w:b/>
                <w:sz w:val="21"/>
                <w:szCs w:val="21"/>
              </w:rPr>
            </w:pPr>
            <w:r>
              <w:rPr>
                <w:b/>
                <w:sz w:val="21"/>
                <w:szCs w:val="21"/>
              </w:rPr>
              <w:t>254,</w:t>
            </w:r>
            <w:r w:rsidR="00BA478E">
              <w:rPr>
                <w:b/>
                <w:sz w:val="21"/>
                <w:szCs w:val="21"/>
              </w:rPr>
              <w:t>405</w:t>
            </w:r>
          </w:p>
        </w:tc>
        <w:tc>
          <w:tcPr>
            <w:tcW w:w="1240" w:type="dxa"/>
            <w:vAlign w:val="center"/>
          </w:tcPr>
          <w:p w:rsidR="00DF1629" w:rsidRDefault="00DF1629" w:rsidP="00BA478E">
            <w:pPr>
              <w:jc w:val="center"/>
              <w:rPr>
                <w:b/>
                <w:sz w:val="21"/>
                <w:szCs w:val="21"/>
              </w:rPr>
            </w:pPr>
            <w:r>
              <w:rPr>
                <w:b/>
                <w:sz w:val="21"/>
                <w:szCs w:val="21"/>
              </w:rPr>
              <w:t>1</w:t>
            </w:r>
            <w:r w:rsidR="00BA478E">
              <w:rPr>
                <w:b/>
                <w:sz w:val="21"/>
                <w:szCs w:val="21"/>
              </w:rPr>
              <w:t>2</w:t>
            </w:r>
            <w:r>
              <w:rPr>
                <w:b/>
                <w:sz w:val="21"/>
                <w:szCs w:val="21"/>
              </w:rPr>
              <w:t>,</w:t>
            </w:r>
            <w:r w:rsidR="00BA478E">
              <w:rPr>
                <w:b/>
                <w:sz w:val="21"/>
                <w:szCs w:val="21"/>
              </w:rPr>
              <w:t>226</w:t>
            </w:r>
          </w:p>
        </w:tc>
      </w:tr>
    </w:tbl>
    <w:p w:rsidR="00E24146" w:rsidRDefault="00E24146" w:rsidP="00E5415C">
      <w:pPr>
        <w:tabs>
          <w:tab w:val="left" w:pos="360"/>
          <w:tab w:val="left" w:pos="720"/>
        </w:tabs>
        <w:ind w:left="720"/>
      </w:pPr>
    </w:p>
    <w:p w:rsidR="003A3CAE" w:rsidRDefault="003A3CAE" w:rsidP="003A3CAE">
      <w:pPr>
        <w:ind w:left="720" w:hanging="720"/>
        <w:rPr>
          <w:u w:val="single"/>
        </w:rPr>
      </w:pPr>
      <w:r>
        <w:tab/>
      </w:r>
      <w:r w:rsidRPr="00C17D0E">
        <w:t xml:space="preserve">b.  </w:t>
      </w:r>
      <w:r w:rsidRPr="00C17D0E">
        <w:rPr>
          <w:u w:val="single"/>
        </w:rPr>
        <w:t>Estimated Wage Cost to Respondents</w:t>
      </w:r>
    </w:p>
    <w:p w:rsidR="003A3CAE" w:rsidRDefault="003A3CAE" w:rsidP="003A3CAE">
      <w:pPr>
        <w:pStyle w:val="BodyTextIndent"/>
        <w:ind w:left="720" w:hanging="720"/>
      </w:pPr>
      <w:r>
        <w:tab/>
      </w:r>
    </w:p>
    <w:p w:rsidR="007F6B4A" w:rsidRDefault="007E6073" w:rsidP="007F6B4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pPr>
      <w:r>
        <w:tab/>
      </w:r>
      <w:r w:rsidR="003E3488">
        <w:t>OSMRE</w:t>
      </w:r>
      <w:r w:rsidRPr="007E6073">
        <w:t xml:space="preserve"> has estimated wage costs for respondents:  industry and state regulatory employees.  </w:t>
      </w:r>
      <w:r w:rsidR="003E3488">
        <w:t>OSMRE</w:t>
      </w:r>
      <w:r w:rsidRPr="007E6073">
        <w:t xml:space="preserve"> has derived these wages from the Bureau of Labor Statistics (BLS) websites at (</w:t>
      </w:r>
      <w:hyperlink r:id="rId9" w:history="1">
        <w:r w:rsidRPr="007E6073">
          <w:rPr>
            <w:color w:val="0000FF"/>
            <w:u w:val="single"/>
          </w:rPr>
          <w:t>http://www.bls.gov/oes/current/naics4_212100.htm</w:t>
        </w:r>
      </w:hyperlink>
      <w:r w:rsidRPr="007E6073">
        <w:t xml:space="preserve"> for industry wages, and </w:t>
      </w:r>
      <w:hyperlink r:id="rId10" w:history="1">
        <w:r w:rsidRPr="007E6073">
          <w:rPr>
            <w:color w:val="0000FF"/>
            <w:u w:val="single"/>
          </w:rPr>
          <w:t>http://www.bls.gov/oes/current/naics4_999200.htm</w:t>
        </w:r>
      </w:hyperlink>
      <w:r w:rsidRPr="007E6073">
        <w:t xml:space="preserve"> for state employees (both updated May 201</w:t>
      </w:r>
      <w:r w:rsidR="003A7302">
        <w:t>4</w:t>
      </w:r>
      <w:r w:rsidRPr="007E6073">
        <w:t xml:space="preserve">).  </w:t>
      </w:r>
      <w:r w:rsidR="007F6B4A" w:rsidRPr="007F6B4A">
        <w:t>Benefits have been calculated using a rate of 1.4 of the salary for industry personnel and 1.5 for State employees per the BLS news release USDL-15-</w:t>
      </w:r>
      <w:r w:rsidR="003A7302">
        <w:t>1132</w:t>
      </w:r>
      <w:r w:rsidR="007F6B4A" w:rsidRPr="007F6B4A">
        <w:t>, EMPLOYER COSTS FOR EMPLOYEE COMPENSATION—</w:t>
      </w:r>
      <w:r w:rsidR="003A7302">
        <w:t>March 2015</w:t>
      </w:r>
      <w:r w:rsidR="007F6B4A" w:rsidRPr="007F6B4A">
        <w:t xml:space="preserve">, dated </w:t>
      </w:r>
      <w:r w:rsidR="003A7302">
        <w:t>June 10</w:t>
      </w:r>
      <w:r w:rsidR="007F6B4A" w:rsidRPr="007F6B4A">
        <w:t>, 2015 (</w:t>
      </w:r>
      <w:hyperlink r:id="rId11" w:history="1">
        <w:r w:rsidR="007F6B4A" w:rsidRPr="00460D4D">
          <w:rPr>
            <w:rStyle w:val="Hyperlink"/>
          </w:rPr>
          <w:t>http://www.bls.gov/news.release/pdf/ecec.pdf</w:t>
        </w:r>
      </w:hyperlink>
      <w:r w:rsidR="007F6B4A" w:rsidRPr="007F6B4A">
        <w:t>).</w:t>
      </w:r>
    </w:p>
    <w:p w:rsidR="007F6B4A" w:rsidRDefault="007F6B4A" w:rsidP="007F6B4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pPr>
    </w:p>
    <w:p w:rsidR="006728AE" w:rsidRPr="00CE45CF" w:rsidRDefault="006728AE" w:rsidP="007F6B4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jc w:val="center"/>
        <w:rPr>
          <w:b/>
        </w:rPr>
      </w:pPr>
      <w:r w:rsidRPr="00CE45CF">
        <w:rPr>
          <w:b/>
        </w:rPr>
        <w:t>Industry Wage Cost</w:t>
      </w:r>
    </w:p>
    <w:p w:rsidR="006728AE" w:rsidRPr="007D2D95" w:rsidRDefault="006728AE" w:rsidP="006728A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pPr>
    </w:p>
    <w:tbl>
      <w:tblPr>
        <w:tblW w:w="8370" w:type="dxa"/>
        <w:jc w:val="center"/>
        <w:tblInd w:w="108" w:type="dxa"/>
        <w:tblCellMar>
          <w:left w:w="0" w:type="dxa"/>
          <w:right w:w="0" w:type="dxa"/>
        </w:tblCellMar>
        <w:tblLook w:val="04A0" w:firstRow="1" w:lastRow="0" w:firstColumn="1" w:lastColumn="0" w:noHBand="0" w:noVBand="1"/>
      </w:tblPr>
      <w:tblGrid>
        <w:gridCol w:w="1890"/>
        <w:gridCol w:w="1350"/>
        <w:gridCol w:w="1800"/>
        <w:gridCol w:w="1620"/>
        <w:gridCol w:w="1710"/>
      </w:tblGrid>
      <w:tr w:rsidR="006728AE" w:rsidRPr="007D2D95" w:rsidTr="00C60194">
        <w:trPr>
          <w:jc w:val="center"/>
        </w:trPr>
        <w:tc>
          <w:tcPr>
            <w:tcW w:w="1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728AE" w:rsidRPr="007D2D95" w:rsidRDefault="006728AE" w:rsidP="006728AE">
            <w:pPr>
              <w:autoSpaceDE w:val="0"/>
              <w:autoSpaceDN w:val="0"/>
              <w:adjustRightInd w:val="0"/>
            </w:pPr>
            <w:r w:rsidRPr="007D2D95">
              <w:rPr>
                <w:bCs/>
              </w:rPr>
              <w:t>Position</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728AE" w:rsidRPr="007D2D95" w:rsidRDefault="006728AE" w:rsidP="006728AE">
            <w:pPr>
              <w:autoSpaceDE w:val="0"/>
              <w:autoSpaceDN w:val="0"/>
              <w:adjustRightInd w:val="0"/>
              <w:jc w:val="center"/>
              <w:rPr>
                <w:rFonts w:ascii="Arial" w:hAnsi="Arial" w:cs="Arial"/>
              </w:rPr>
            </w:pPr>
            <w:r w:rsidRPr="007D2D95">
              <w:rPr>
                <w:bCs/>
              </w:rPr>
              <w:t xml:space="preserve">Cost Per </w:t>
            </w:r>
          </w:p>
          <w:p w:rsidR="006728AE" w:rsidRPr="007D2D95" w:rsidRDefault="006728AE" w:rsidP="006728AE">
            <w:pPr>
              <w:autoSpaceDE w:val="0"/>
              <w:autoSpaceDN w:val="0"/>
              <w:adjustRightInd w:val="0"/>
              <w:jc w:val="center"/>
            </w:pPr>
            <w:r w:rsidRPr="007D2D95">
              <w:rPr>
                <w:bCs/>
              </w:rPr>
              <w:t>Hour ($)</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728AE" w:rsidRPr="007D2D95" w:rsidRDefault="006728AE" w:rsidP="006728AE">
            <w:pPr>
              <w:autoSpaceDE w:val="0"/>
              <w:autoSpaceDN w:val="0"/>
              <w:adjustRightInd w:val="0"/>
              <w:jc w:val="center"/>
            </w:pPr>
            <w:r w:rsidRPr="007D2D95">
              <w:rPr>
                <w:bCs/>
              </w:rPr>
              <w:t>Hourly Rate with Benefits (x 1.4)  ($)</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728AE" w:rsidRPr="007D2D95" w:rsidRDefault="006728AE" w:rsidP="006728AE">
            <w:pPr>
              <w:autoSpaceDE w:val="0"/>
              <w:autoSpaceDN w:val="0"/>
              <w:adjustRightInd w:val="0"/>
              <w:jc w:val="center"/>
            </w:pPr>
            <w:r w:rsidRPr="007D2D95">
              <w:rPr>
                <w:bCs/>
              </w:rPr>
              <w:t>Percent of time spent on collection</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728AE" w:rsidRPr="007D2D95" w:rsidRDefault="006728AE" w:rsidP="006728AE">
            <w:pPr>
              <w:autoSpaceDE w:val="0"/>
              <w:autoSpaceDN w:val="0"/>
              <w:adjustRightInd w:val="0"/>
              <w:jc w:val="center"/>
            </w:pPr>
            <w:r w:rsidRPr="007D2D95">
              <w:rPr>
                <w:bCs/>
              </w:rPr>
              <w:t>Weighted Average per hour</w:t>
            </w:r>
          </w:p>
        </w:tc>
      </w:tr>
      <w:tr w:rsidR="006728AE" w:rsidRPr="007D2D95" w:rsidTr="00C60194">
        <w:trPr>
          <w:trHeight w:val="576"/>
          <w:jc w:val="center"/>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28AE" w:rsidRPr="007D2D95" w:rsidRDefault="006728AE" w:rsidP="006728AE">
            <w:pPr>
              <w:autoSpaceDE w:val="0"/>
              <w:autoSpaceDN w:val="0"/>
              <w:adjustRightInd w:val="0"/>
            </w:pPr>
            <w:r w:rsidRPr="007D2D95">
              <w:rPr>
                <w:bCs/>
              </w:rPr>
              <w:t>Administrative Support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8AE" w:rsidRPr="007D2D95" w:rsidRDefault="006728AE" w:rsidP="007F6B4A">
            <w:pPr>
              <w:autoSpaceDE w:val="0"/>
              <w:autoSpaceDN w:val="0"/>
              <w:adjustRightInd w:val="0"/>
              <w:jc w:val="center"/>
            </w:pPr>
            <w:r w:rsidRPr="007D2D95">
              <w:rPr>
                <w:bCs/>
              </w:rPr>
              <w:t>1</w:t>
            </w:r>
            <w:r w:rsidR="007F6B4A">
              <w:rPr>
                <w:bCs/>
              </w:rPr>
              <w:t>8</w:t>
            </w:r>
            <w:r w:rsidRPr="007D2D95">
              <w:rPr>
                <w:bCs/>
              </w:rPr>
              <w:t>.</w:t>
            </w:r>
            <w:r w:rsidR="007F6B4A">
              <w:rPr>
                <w:bCs/>
              </w:rPr>
              <w:t>79</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8AE" w:rsidRPr="007D2D95" w:rsidRDefault="006728AE" w:rsidP="007F6B4A">
            <w:pPr>
              <w:autoSpaceDE w:val="0"/>
              <w:autoSpaceDN w:val="0"/>
              <w:adjustRightInd w:val="0"/>
              <w:jc w:val="center"/>
            </w:pPr>
            <w:r w:rsidRPr="007D2D95">
              <w:rPr>
                <w:bCs/>
              </w:rPr>
              <w:t>2</w:t>
            </w:r>
            <w:r w:rsidR="007F6B4A">
              <w:rPr>
                <w:bCs/>
              </w:rPr>
              <w:t>6</w:t>
            </w:r>
            <w:r w:rsidRPr="007D2D95">
              <w:rPr>
                <w:bCs/>
              </w:rPr>
              <w:t>.</w:t>
            </w:r>
            <w:r w:rsidR="007F6B4A">
              <w:rPr>
                <w:bCs/>
              </w:rPr>
              <w:t>31</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8AE" w:rsidRPr="007D2D95" w:rsidRDefault="006728AE" w:rsidP="006728AE">
            <w:pPr>
              <w:autoSpaceDE w:val="0"/>
              <w:autoSpaceDN w:val="0"/>
              <w:adjustRightInd w:val="0"/>
              <w:jc w:val="center"/>
            </w:pPr>
            <w:r w:rsidRPr="007D2D95">
              <w:rPr>
                <w:bCs/>
              </w:rPr>
              <w:t>10%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8AE" w:rsidRPr="007D2D95" w:rsidRDefault="006728AE" w:rsidP="00596E71">
            <w:pPr>
              <w:autoSpaceDE w:val="0"/>
              <w:autoSpaceDN w:val="0"/>
              <w:adjustRightInd w:val="0"/>
              <w:jc w:val="center"/>
            </w:pPr>
            <w:r w:rsidRPr="007D2D95">
              <w:rPr>
                <w:bCs/>
              </w:rPr>
              <w:t>$2.</w:t>
            </w:r>
            <w:r w:rsidR="00596E71">
              <w:rPr>
                <w:bCs/>
              </w:rPr>
              <w:t>63</w:t>
            </w:r>
          </w:p>
        </w:tc>
      </w:tr>
      <w:tr w:rsidR="006728AE" w:rsidRPr="007D2D95" w:rsidTr="00C60194">
        <w:trPr>
          <w:trHeight w:val="576"/>
          <w:jc w:val="center"/>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28AE" w:rsidRPr="007D2D95" w:rsidRDefault="006728AE" w:rsidP="007F6B4A">
            <w:pPr>
              <w:autoSpaceDE w:val="0"/>
              <w:autoSpaceDN w:val="0"/>
              <w:adjustRightInd w:val="0"/>
            </w:pPr>
            <w:r w:rsidRPr="007D2D95">
              <w:rPr>
                <w:bCs/>
              </w:rPr>
              <w:t xml:space="preserve">Environmental </w:t>
            </w:r>
            <w:r w:rsidR="007F6B4A">
              <w:rPr>
                <w:bCs/>
              </w:rPr>
              <w:t>Engineer</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8AE" w:rsidRPr="007D2D95" w:rsidRDefault="006728AE" w:rsidP="00596E71">
            <w:pPr>
              <w:autoSpaceDE w:val="0"/>
              <w:autoSpaceDN w:val="0"/>
              <w:adjustRightInd w:val="0"/>
              <w:jc w:val="center"/>
            </w:pPr>
            <w:r w:rsidRPr="007D2D95">
              <w:rPr>
                <w:bCs/>
              </w:rPr>
              <w:t>3</w:t>
            </w:r>
            <w:r w:rsidR="00596E71">
              <w:rPr>
                <w:bCs/>
              </w:rPr>
              <w:t>9</w:t>
            </w:r>
            <w:r w:rsidRPr="007D2D95">
              <w:rPr>
                <w:bCs/>
              </w:rPr>
              <w:t>.</w:t>
            </w:r>
            <w:r w:rsidR="00596E71">
              <w:rPr>
                <w:bCs/>
              </w:rPr>
              <w:t>46</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8AE" w:rsidRPr="007D2D95" w:rsidRDefault="00596E71" w:rsidP="00596E71">
            <w:pPr>
              <w:autoSpaceDE w:val="0"/>
              <w:autoSpaceDN w:val="0"/>
              <w:adjustRightInd w:val="0"/>
              <w:jc w:val="center"/>
            </w:pPr>
            <w:r>
              <w:rPr>
                <w:bCs/>
              </w:rPr>
              <w:t>55</w:t>
            </w:r>
            <w:r w:rsidR="006728AE" w:rsidRPr="007D2D95">
              <w:rPr>
                <w:bCs/>
              </w:rPr>
              <w:t>.</w:t>
            </w:r>
            <w:r>
              <w:rPr>
                <w:bCs/>
              </w:rPr>
              <w:t>24</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8AE" w:rsidRPr="007D2D95" w:rsidRDefault="006728AE" w:rsidP="006728AE">
            <w:pPr>
              <w:autoSpaceDE w:val="0"/>
              <w:autoSpaceDN w:val="0"/>
              <w:adjustRightInd w:val="0"/>
              <w:jc w:val="center"/>
            </w:pPr>
            <w:r w:rsidRPr="007D2D95">
              <w:rPr>
                <w:bCs/>
              </w:rPr>
              <w:t>40%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8AE" w:rsidRPr="007D2D95" w:rsidRDefault="006728AE" w:rsidP="00596E71">
            <w:pPr>
              <w:autoSpaceDE w:val="0"/>
              <w:autoSpaceDN w:val="0"/>
              <w:adjustRightInd w:val="0"/>
              <w:jc w:val="center"/>
            </w:pPr>
            <w:r w:rsidRPr="007D2D95">
              <w:rPr>
                <w:bCs/>
              </w:rPr>
              <w:t>$</w:t>
            </w:r>
            <w:r w:rsidR="00596E71">
              <w:rPr>
                <w:bCs/>
              </w:rPr>
              <w:t>22</w:t>
            </w:r>
            <w:r w:rsidRPr="007D2D95">
              <w:rPr>
                <w:bCs/>
              </w:rPr>
              <w:t>.</w:t>
            </w:r>
            <w:r w:rsidR="00596E71">
              <w:rPr>
                <w:bCs/>
              </w:rPr>
              <w:t>1</w:t>
            </w:r>
            <w:r w:rsidRPr="007D2D95">
              <w:rPr>
                <w:bCs/>
              </w:rPr>
              <w:t>0</w:t>
            </w:r>
          </w:p>
        </w:tc>
      </w:tr>
      <w:tr w:rsidR="006728AE" w:rsidRPr="007D2D95" w:rsidTr="00C60194">
        <w:trPr>
          <w:trHeight w:val="576"/>
          <w:jc w:val="center"/>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28AE" w:rsidRPr="007D2D95" w:rsidRDefault="006728AE" w:rsidP="006728AE">
            <w:pPr>
              <w:autoSpaceDE w:val="0"/>
              <w:autoSpaceDN w:val="0"/>
              <w:adjustRightInd w:val="0"/>
            </w:pPr>
            <w:r w:rsidRPr="007D2D95">
              <w:rPr>
                <w:bCs/>
              </w:rPr>
              <w:t>Engineer (General)</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8AE" w:rsidRPr="007D2D95" w:rsidRDefault="007F6B4A" w:rsidP="007F6B4A">
            <w:pPr>
              <w:autoSpaceDE w:val="0"/>
              <w:autoSpaceDN w:val="0"/>
              <w:adjustRightInd w:val="0"/>
              <w:jc w:val="center"/>
            </w:pPr>
            <w:r>
              <w:rPr>
                <w:bCs/>
              </w:rPr>
              <w:t>41.99</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8AE" w:rsidRPr="007D2D95" w:rsidRDefault="006728AE" w:rsidP="007F6B4A">
            <w:pPr>
              <w:autoSpaceDE w:val="0"/>
              <w:autoSpaceDN w:val="0"/>
              <w:adjustRightInd w:val="0"/>
              <w:jc w:val="center"/>
            </w:pPr>
            <w:r w:rsidRPr="007D2D95">
              <w:rPr>
                <w:bCs/>
              </w:rPr>
              <w:t>58.</w:t>
            </w:r>
            <w:r w:rsidR="007F6B4A">
              <w:rPr>
                <w:bCs/>
              </w:rPr>
              <w:t>79</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8AE" w:rsidRPr="007D2D95" w:rsidRDefault="006728AE" w:rsidP="006728AE">
            <w:pPr>
              <w:autoSpaceDE w:val="0"/>
              <w:autoSpaceDN w:val="0"/>
              <w:adjustRightInd w:val="0"/>
              <w:jc w:val="center"/>
            </w:pPr>
            <w:r w:rsidRPr="007D2D95">
              <w:rPr>
                <w:bCs/>
              </w:rPr>
              <w:t>40%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8AE" w:rsidRPr="007D2D95" w:rsidRDefault="006728AE" w:rsidP="00596E71">
            <w:pPr>
              <w:autoSpaceDE w:val="0"/>
              <w:autoSpaceDN w:val="0"/>
              <w:adjustRightInd w:val="0"/>
              <w:jc w:val="center"/>
            </w:pPr>
            <w:r w:rsidRPr="007D2D95">
              <w:rPr>
                <w:bCs/>
              </w:rPr>
              <w:t>$23.</w:t>
            </w:r>
            <w:r w:rsidR="00596E71">
              <w:rPr>
                <w:bCs/>
              </w:rPr>
              <w:t>52</w:t>
            </w:r>
          </w:p>
        </w:tc>
      </w:tr>
      <w:tr w:rsidR="006728AE" w:rsidRPr="007D2D95" w:rsidTr="00C60194">
        <w:trPr>
          <w:trHeight w:val="576"/>
          <w:jc w:val="center"/>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28AE" w:rsidRPr="007D2D95" w:rsidRDefault="006728AE" w:rsidP="006728AE">
            <w:pPr>
              <w:autoSpaceDE w:val="0"/>
              <w:autoSpaceDN w:val="0"/>
              <w:adjustRightInd w:val="0"/>
            </w:pPr>
            <w:r w:rsidRPr="007D2D95">
              <w:rPr>
                <w:bCs/>
              </w:rPr>
              <w:t>Operations Manager</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8AE" w:rsidRPr="007D2D95" w:rsidRDefault="006728AE" w:rsidP="006728AE">
            <w:pPr>
              <w:autoSpaceDE w:val="0"/>
              <w:autoSpaceDN w:val="0"/>
              <w:adjustRightInd w:val="0"/>
              <w:jc w:val="center"/>
            </w:pPr>
            <w:r w:rsidRPr="007D2D95">
              <w:rPr>
                <w:bCs/>
              </w:rPr>
              <w:t>58.31</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8AE" w:rsidRPr="007D2D95" w:rsidRDefault="006728AE" w:rsidP="00A4148B">
            <w:pPr>
              <w:autoSpaceDE w:val="0"/>
              <w:autoSpaceDN w:val="0"/>
              <w:adjustRightInd w:val="0"/>
              <w:jc w:val="center"/>
            </w:pPr>
            <w:r w:rsidRPr="007D2D95">
              <w:rPr>
                <w:bCs/>
              </w:rPr>
              <w:t>8</w:t>
            </w:r>
            <w:r w:rsidR="00A4148B">
              <w:rPr>
                <w:bCs/>
              </w:rPr>
              <w:t>1</w:t>
            </w:r>
            <w:r w:rsidRPr="007D2D95">
              <w:rPr>
                <w:bCs/>
              </w:rPr>
              <w:t>.</w:t>
            </w:r>
            <w:r w:rsidR="00A4148B">
              <w:rPr>
                <w:bCs/>
              </w:rPr>
              <w:t>63</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8AE" w:rsidRPr="007D2D95" w:rsidRDefault="006728AE" w:rsidP="006728AE">
            <w:pPr>
              <w:autoSpaceDE w:val="0"/>
              <w:autoSpaceDN w:val="0"/>
              <w:adjustRightInd w:val="0"/>
              <w:jc w:val="center"/>
            </w:pPr>
            <w:r w:rsidRPr="007D2D95">
              <w:rPr>
                <w:bCs/>
              </w:rPr>
              <w:t>10%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8AE" w:rsidRPr="007D2D95" w:rsidRDefault="006728AE" w:rsidP="0027568C">
            <w:pPr>
              <w:autoSpaceDE w:val="0"/>
              <w:autoSpaceDN w:val="0"/>
              <w:adjustRightInd w:val="0"/>
              <w:jc w:val="center"/>
            </w:pPr>
            <w:r w:rsidRPr="007D2D95">
              <w:rPr>
                <w:bCs/>
              </w:rPr>
              <w:t>$8.</w:t>
            </w:r>
            <w:r w:rsidR="0027568C">
              <w:rPr>
                <w:bCs/>
              </w:rPr>
              <w:t>16</w:t>
            </w:r>
          </w:p>
        </w:tc>
      </w:tr>
      <w:tr w:rsidR="006728AE" w:rsidRPr="007D2D95" w:rsidTr="00C60194">
        <w:trPr>
          <w:trHeight w:val="576"/>
          <w:jc w:val="center"/>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28AE" w:rsidRPr="007D2D95" w:rsidRDefault="006728AE" w:rsidP="006728AE">
            <w:pPr>
              <w:autoSpaceDE w:val="0"/>
              <w:autoSpaceDN w:val="0"/>
              <w:adjustRightInd w:val="0"/>
            </w:pPr>
            <w:r w:rsidRPr="007D2D95">
              <w:rPr>
                <w:bCs/>
              </w:rPr>
              <w:lastRenderedPageBreak/>
              <w:t>Total</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6728AE" w:rsidRPr="007D2D95" w:rsidRDefault="006728AE" w:rsidP="006728AE">
            <w:pPr>
              <w:autoSpaceDE w:val="0"/>
              <w:autoSpaceDN w:val="0"/>
              <w:adjustRightInd w:val="0"/>
              <w:jc w:val="center"/>
            </w:pP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tcPr>
          <w:p w:rsidR="006728AE" w:rsidRPr="007D2D95" w:rsidRDefault="006728AE" w:rsidP="006728AE">
            <w:pPr>
              <w:autoSpaceDE w:val="0"/>
              <w:autoSpaceDN w:val="0"/>
              <w:adjustRightInd w:val="0"/>
              <w:jc w:val="center"/>
            </w:pP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8AE" w:rsidRPr="007D2D95" w:rsidRDefault="006728AE" w:rsidP="006728AE">
            <w:pPr>
              <w:autoSpaceDE w:val="0"/>
              <w:autoSpaceDN w:val="0"/>
              <w:adjustRightInd w:val="0"/>
              <w:jc w:val="center"/>
            </w:pPr>
            <w:r w:rsidRPr="007D2D95">
              <w:rPr>
                <w:bCs/>
              </w:rPr>
              <w:t>100%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8AE" w:rsidRPr="007D2D95" w:rsidRDefault="001D7BFA" w:rsidP="006728AE">
            <w:pPr>
              <w:autoSpaceDE w:val="0"/>
              <w:autoSpaceDN w:val="0"/>
              <w:adjustRightInd w:val="0"/>
              <w:jc w:val="center"/>
            </w:pPr>
            <w:r>
              <w:fldChar w:fldCharType="begin"/>
            </w:r>
            <w:r>
              <w:instrText xml:space="preserve"> =SUM(ABOVE) </w:instrText>
            </w:r>
            <w:r>
              <w:fldChar w:fldCharType="separate"/>
            </w:r>
            <w:r>
              <w:rPr>
                <w:noProof/>
              </w:rPr>
              <w:t>$56.41</w:t>
            </w:r>
            <w:r>
              <w:fldChar w:fldCharType="end"/>
            </w:r>
          </w:p>
        </w:tc>
      </w:tr>
    </w:tbl>
    <w:p w:rsidR="006728AE" w:rsidRPr="007D2D95" w:rsidRDefault="006728AE" w:rsidP="006728AE">
      <w:pPr>
        <w:autoSpaceDE w:val="0"/>
        <w:autoSpaceDN w:val="0"/>
        <w:adjustRightInd w:val="0"/>
        <w:ind w:left="720"/>
      </w:pPr>
    </w:p>
    <w:p w:rsidR="006728AE" w:rsidRPr="007D2D95" w:rsidRDefault="006728AE" w:rsidP="00CE45CF">
      <w:pPr>
        <w:autoSpaceDE w:val="0"/>
        <w:autoSpaceDN w:val="0"/>
        <w:adjustRightInd w:val="0"/>
        <w:ind w:left="720"/>
      </w:pPr>
      <w:r w:rsidRPr="007D2D95">
        <w:t>Therefore, the estimated total annual wage cost for industry respondents to implement the provisions of the Stream Protection Rule for Part 774 is $5</w:t>
      </w:r>
      <w:r w:rsidR="00596E71">
        <w:t>6.</w:t>
      </w:r>
      <w:r w:rsidR="0027568C">
        <w:t>41</w:t>
      </w:r>
      <w:r w:rsidRPr="007D2D95">
        <w:t xml:space="preserve"> per hour x </w:t>
      </w:r>
      <w:r w:rsidR="00DF1629">
        <w:t>1</w:t>
      </w:r>
      <w:r w:rsidRPr="007D2D95">
        <w:t>6</w:t>
      </w:r>
      <w:r w:rsidR="00DF1629">
        <w:t>7</w:t>
      </w:r>
      <w:r w:rsidRPr="007D2D95">
        <w:t>,</w:t>
      </w:r>
      <w:r w:rsidR="00DF1629">
        <w:t xml:space="preserve">362 </w:t>
      </w:r>
      <w:r w:rsidRPr="007D2D95">
        <w:t>hours = $</w:t>
      </w:r>
      <w:r w:rsidR="00596E71">
        <w:t>9</w:t>
      </w:r>
      <w:r w:rsidR="00587689">
        <w:t>,</w:t>
      </w:r>
      <w:r w:rsidR="00596E71">
        <w:t>4</w:t>
      </w:r>
      <w:r w:rsidR="0027568C">
        <w:t>40</w:t>
      </w:r>
      <w:r w:rsidR="00587689">
        <w:t>,</w:t>
      </w:r>
      <w:r w:rsidR="0027568C">
        <w:t>890</w:t>
      </w:r>
      <w:r w:rsidRPr="007D2D95">
        <w:t>.</w:t>
      </w:r>
    </w:p>
    <w:p w:rsidR="00CE45CF" w:rsidRDefault="00CE45CF" w:rsidP="006728A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jc w:val="center"/>
        <w:rPr>
          <w:b/>
        </w:rPr>
      </w:pPr>
    </w:p>
    <w:p w:rsidR="006728AE" w:rsidRPr="00CE45CF" w:rsidRDefault="006728AE" w:rsidP="006728A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jc w:val="center"/>
        <w:rPr>
          <w:b/>
        </w:rPr>
      </w:pPr>
      <w:r w:rsidRPr="00CE45CF">
        <w:rPr>
          <w:b/>
        </w:rPr>
        <w:t>State Wage Cost</w:t>
      </w:r>
    </w:p>
    <w:p w:rsidR="006728AE" w:rsidRPr="007D2D95" w:rsidRDefault="006728AE" w:rsidP="006728A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pPr>
    </w:p>
    <w:tbl>
      <w:tblPr>
        <w:tblW w:w="8370" w:type="dxa"/>
        <w:jc w:val="center"/>
        <w:tblInd w:w="108" w:type="dxa"/>
        <w:tblCellMar>
          <w:left w:w="0" w:type="dxa"/>
          <w:right w:w="0" w:type="dxa"/>
        </w:tblCellMar>
        <w:tblLook w:val="04A0" w:firstRow="1" w:lastRow="0" w:firstColumn="1" w:lastColumn="0" w:noHBand="0" w:noVBand="1"/>
      </w:tblPr>
      <w:tblGrid>
        <w:gridCol w:w="1890"/>
        <w:gridCol w:w="1350"/>
        <w:gridCol w:w="1800"/>
        <w:gridCol w:w="1620"/>
        <w:gridCol w:w="1710"/>
      </w:tblGrid>
      <w:tr w:rsidR="006728AE" w:rsidRPr="007D2D95" w:rsidTr="00C60194">
        <w:trPr>
          <w:jc w:val="center"/>
        </w:trPr>
        <w:tc>
          <w:tcPr>
            <w:tcW w:w="1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728AE" w:rsidRPr="007D2D95" w:rsidRDefault="006728AE" w:rsidP="006728AE">
            <w:pPr>
              <w:autoSpaceDE w:val="0"/>
              <w:autoSpaceDN w:val="0"/>
              <w:adjustRightInd w:val="0"/>
            </w:pPr>
            <w:r w:rsidRPr="007D2D95">
              <w:rPr>
                <w:bCs/>
              </w:rPr>
              <w:t>Position</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728AE" w:rsidRPr="007D2D95" w:rsidRDefault="006728AE" w:rsidP="006728AE">
            <w:pPr>
              <w:autoSpaceDE w:val="0"/>
              <w:autoSpaceDN w:val="0"/>
              <w:adjustRightInd w:val="0"/>
              <w:jc w:val="center"/>
              <w:rPr>
                <w:rFonts w:ascii="Arial" w:hAnsi="Arial" w:cs="Arial"/>
              </w:rPr>
            </w:pPr>
            <w:r w:rsidRPr="007D2D95">
              <w:rPr>
                <w:bCs/>
              </w:rPr>
              <w:t>Cost Per</w:t>
            </w:r>
          </w:p>
          <w:p w:rsidR="006728AE" w:rsidRPr="007D2D95" w:rsidRDefault="006728AE" w:rsidP="006728AE">
            <w:pPr>
              <w:autoSpaceDE w:val="0"/>
              <w:autoSpaceDN w:val="0"/>
              <w:adjustRightInd w:val="0"/>
              <w:jc w:val="center"/>
            </w:pPr>
            <w:r w:rsidRPr="007D2D95">
              <w:rPr>
                <w:bCs/>
              </w:rPr>
              <w:t>Hour ($)</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728AE" w:rsidRPr="007D2D95" w:rsidRDefault="006728AE" w:rsidP="006728AE">
            <w:pPr>
              <w:autoSpaceDE w:val="0"/>
              <w:autoSpaceDN w:val="0"/>
              <w:adjustRightInd w:val="0"/>
              <w:jc w:val="center"/>
            </w:pPr>
            <w:r w:rsidRPr="007D2D95">
              <w:rPr>
                <w:bCs/>
              </w:rPr>
              <w:t>Hourly Rate with Benefits (x 1.5)  ($)</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728AE" w:rsidRPr="007D2D95" w:rsidRDefault="006728AE" w:rsidP="006728AE">
            <w:pPr>
              <w:autoSpaceDE w:val="0"/>
              <w:autoSpaceDN w:val="0"/>
              <w:adjustRightInd w:val="0"/>
              <w:jc w:val="center"/>
            </w:pPr>
            <w:r w:rsidRPr="007D2D95">
              <w:rPr>
                <w:bCs/>
              </w:rPr>
              <w:t>Percent of time spent on collection</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728AE" w:rsidRPr="007D2D95" w:rsidRDefault="006728AE" w:rsidP="006728AE">
            <w:pPr>
              <w:autoSpaceDE w:val="0"/>
              <w:autoSpaceDN w:val="0"/>
              <w:adjustRightInd w:val="0"/>
              <w:jc w:val="center"/>
            </w:pPr>
            <w:r w:rsidRPr="007D2D95">
              <w:rPr>
                <w:bCs/>
              </w:rPr>
              <w:t>Weighted Average per hour</w:t>
            </w:r>
          </w:p>
        </w:tc>
      </w:tr>
      <w:tr w:rsidR="006728AE" w:rsidRPr="007D2D95" w:rsidTr="00C60194">
        <w:trPr>
          <w:jc w:val="center"/>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28AE" w:rsidRPr="007D2D95" w:rsidRDefault="006728AE" w:rsidP="006728AE">
            <w:pPr>
              <w:autoSpaceDE w:val="0"/>
              <w:autoSpaceDN w:val="0"/>
              <w:adjustRightInd w:val="0"/>
            </w:pPr>
            <w:r w:rsidRPr="007D2D95">
              <w:rPr>
                <w:bCs/>
              </w:rPr>
              <w:t>Administrative Support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8AE" w:rsidRPr="007D2D95" w:rsidRDefault="006728AE" w:rsidP="007C4DD2">
            <w:pPr>
              <w:autoSpaceDE w:val="0"/>
              <w:autoSpaceDN w:val="0"/>
              <w:adjustRightInd w:val="0"/>
              <w:jc w:val="center"/>
            </w:pPr>
            <w:r w:rsidRPr="007D2D95">
              <w:rPr>
                <w:bCs/>
              </w:rPr>
              <w:t>1</w:t>
            </w:r>
            <w:r w:rsidR="007C4DD2">
              <w:rPr>
                <w:bCs/>
              </w:rPr>
              <w:t>7</w:t>
            </w:r>
            <w:r w:rsidRPr="007D2D95">
              <w:rPr>
                <w:bCs/>
              </w:rPr>
              <w:t>.</w:t>
            </w:r>
            <w:r w:rsidR="007C4DD2">
              <w:rPr>
                <w:bCs/>
              </w:rPr>
              <w:t>61</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8AE" w:rsidRPr="007D2D95" w:rsidRDefault="006728AE" w:rsidP="007C4DD2">
            <w:pPr>
              <w:autoSpaceDE w:val="0"/>
              <w:autoSpaceDN w:val="0"/>
              <w:adjustRightInd w:val="0"/>
              <w:jc w:val="center"/>
            </w:pPr>
            <w:r w:rsidRPr="007D2D95">
              <w:rPr>
                <w:bCs/>
              </w:rPr>
              <w:t>2</w:t>
            </w:r>
            <w:r w:rsidR="007C4DD2">
              <w:rPr>
                <w:bCs/>
              </w:rPr>
              <w:t>6</w:t>
            </w:r>
            <w:r w:rsidRPr="007D2D95">
              <w:rPr>
                <w:bCs/>
              </w:rPr>
              <w:t>.</w:t>
            </w:r>
            <w:r w:rsidR="007C4DD2">
              <w:rPr>
                <w:bCs/>
              </w:rPr>
              <w:t>31</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8AE" w:rsidRPr="007D2D95" w:rsidRDefault="006728AE" w:rsidP="006728AE">
            <w:pPr>
              <w:autoSpaceDE w:val="0"/>
              <w:autoSpaceDN w:val="0"/>
              <w:adjustRightInd w:val="0"/>
              <w:jc w:val="center"/>
            </w:pPr>
            <w:r w:rsidRPr="007D2D95">
              <w:rPr>
                <w:bCs/>
              </w:rPr>
              <w:t>10%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8AE" w:rsidRPr="007D2D95" w:rsidRDefault="006728AE" w:rsidP="001D7BFA">
            <w:pPr>
              <w:autoSpaceDE w:val="0"/>
              <w:autoSpaceDN w:val="0"/>
              <w:adjustRightInd w:val="0"/>
              <w:jc w:val="center"/>
            </w:pPr>
            <w:r w:rsidRPr="007D2D95">
              <w:rPr>
                <w:bCs/>
              </w:rPr>
              <w:t>$2.</w:t>
            </w:r>
            <w:r w:rsidR="001D7BFA">
              <w:rPr>
                <w:bCs/>
              </w:rPr>
              <w:t>63</w:t>
            </w:r>
          </w:p>
        </w:tc>
      </w:tr>
      <w:tr w:rsidR="006728AE" w:rsidRPr="007D2D95" w:rsidTr="00C60194">
        <w:trPr>
          <w:jc w:val="center"/>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28AE" w:rsidRPr="007D2D95" w:rsidRDefault="006728AE" w:rsidP="006728AE">
            <w:pPr>
              <w:autoSpaceDE w:val="0"/>
              <w:autoSpaceDN w:val="0"/>
              <w:adjustRightInd w:val="0"/>
            </w:pPr>
            <w:r w:rsidRPr="007D2D95">
              <w:rPr>
                <w:bCs/>
              </w:rPr>
              <w:t>Environmental Scientist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8AE" w:rsidRPr="007D2D95" w:rsidRDefault="006728AE" w:rsidP="00596E71">
            <w:pPr>
              <w:autoSpaceDE w:val="0"/>
              <w:autoSpaceDN w:val="0"/>
              <w:adjustRightInd w:val="0"/>
              <w:jc w:val="center"/>
            </w:pPr>
            <w:r w:rsidRPr="007D2D95">
              <w:rPr>
                <w:bCs/>
              </w:rPr>
              <w:t>29.</w:t>
            </w:r>
            <w:r w:rsidR="00596E71">
              <w:rPr>
                <w:bCs/>
              </w:rPr>
              <w:t>53</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8AE" w:rsidRPr="007D2D95" w:rsidRDefault="006728AE" w:rsidP="00596E71">
            <w:pPr>
              <w:autoSpaceDE w:val="0"/>
              <w:autoSpaceDN w:val="0"/>
              <w:adjustRightInd w:val="0"/>
              <w:jc w:val="center"/>
            </w:pPr>
            <w:r w:rsidRPr="007D2D95">
              <w:rPr>
                <w:bCs/>
              </w:rPr>
              <w:t>4</w:t>
            </w:r>
            <w:r w:rsidR="00596E71">
              <w:rPr>
                <w:bCs/>
              </w:rPr>
              <w:t>4</w:t>
            </w:r>
            <w:r w:rsidRPr="007D2D95">
              <w:rPr>
                <w:bCs/>
              </w:rPr>
              <w:t>.</w:t>
            </w:r>
            <w:r w:rsidR="00596E71">
              <w:rPr>
                <w:bCs/>
              </w:rPr>
              <w:t>30</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8AE" w:rsidRPr="007D2D95" w:rsidRDefault="006728AE" w:rsidP="006728AE">
            <w:pPr>
              <w:autoSpaceDE w:val="0"/>
              <w:autoSpaceDN w:val="0"/>
              <w:adjustRightInd w:val="0"/>
              <w:jc w:val="center"/>
            </w:pPr>
            <w:r w:rsidRPr="007D2D95">
              <w:rPr>
                <w:bCs/>
              </w:rPr>
              <w:t>40%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8AE" w:rsidRPr="007D2D95" w:rsidRDefault="006728AE" w:rsidP="00596E71">
            <w:pPr>
              <w:autoSpaceDE w:val="0"/>
              <w:autoSpaceDN w:val="0"/>
              <w:adjustRightInd w:val="0"/>
              <w:jc w:val="center"/>
            </w:pPr>
            <w:r w:rsidRPr="007D2D95">
              <w:rPr>
                <w:bCs/>
              </w:rPr>
              <w:t>$17.</w:t>
            </w:r>
            <w:r w:rsidR="00596E71">
              <w:rPr>
                <w:bCs/>
              </w:rPr>
              <w:t>72</w:t>
            </w:r>
          </w:p>
        </w:tc>
      </w:tr>
      <w:tr w:rsidR="006728AE" w:rsidRPr="007D2D95" w:rsidTr="00C60194">
        <w:trPr>
          <w:trHeight w:val="432"/>
          <w:jc w:val="center"/>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28AE" w:rsidRPr="007D2D95" w:rsidRDefault="006728AE" w:rsidP="006728AE">
            <w:pPr>
              <w:autoSpaceDE w:val="0"/>
              <w:autoSpaceDN w:val="0"/>
              <w:adjustRightInd w:val="0"/>
            </w:pPr>
            <w:r w:rsidRPr="007D2D95">
              <w:rPr>
                <w:bCs/>
              </w:rPr>
              <w:t>Engineer (General)</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8AE" w:rsidRPr="007D2D95" w:rsidRDefault="006728AE" w:rsidP="00596E71">
            <w:pPr>
              <w:autoSpaceDE w:val="0"/>
              <w:autoSpaceDN w:val="0"/>
              <w:adjustRightInd w:val="0"/>
              <w:jc w:val="center"/>
            </w:pPr>
            <w:r w:rsidRPr="007D2D95">
              <w:rPr>
                <w:bCs/>
              </w:rPr>
              <w:t>3</w:t>
            </w:r>
            <w:r w:rsidR="00596E71">
              <w:rPr>
                <w:bCs/>
              </w:rPr>
              <w:t>7</w:t>
            </w:r>
            <w:r w:rsidRPr="007D2D95">
              <w:rPr>
                <w:bCs/>
              </w:rPr>
              <w:t>.</w:t>
            </w:r>
            <w:r w:rsidR="00596E71">
              <w:rPr>
                <w:bCs/>
              </w:rPr>
              <w:t>95</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8AE" w:rsidRPr="007D2D95" w:rsidRDefault="006728AE" w:rsidP="00596E71">
            <w:pPr>
              <w:autoSpaceDE w:val="0"/>
              <w:autoSpaceDN w:val="0"/>
              <w:adjustRightInd w:val="0"/>
              <w:jc w:val="center"/>
            </w:pPr>
            <w:r w:rsidRPr="007D2D95">
              <w:rPr>
                <w:bCs/>
              </w:rPr>
              <w:t>5</w:t>
            </w:r>
            <w:r w:rsidR="00596E71">
              <w:rPr>
                <w:bCs/>
              </w:rPr>
              <w:t>6</w:t>
            </w:r>
            <w:r w:rsidRPr="007D2D95">
              <w:rPr>
                <w:bCs/>
              </w:rPr>
              <w:t>.</w:t>
            </w:r>
            <w:r w:rsidR="00596E71">
              <w:rPr>
                <w:bCs/>
              </w:rPr>
              <w:t>93</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8AE" w:rsidRPr="007D2D95" w:rsidRDefault="006728AE" w:rsidP="006728AE">
            <w:pPr>
              <w:autoSpaceDE w:val="0"/>
              <w:autoSpaceDN w:val="0"/>
              <w:adjustRightInd w:val="0"/>
              <w:jc w:val="center"/>
            </w:pPr>
            <w:r w:rsidRPr="007D2D95">
              <w:rPr>
                <w:bCs/>
              </w:rPr>
              <w:t>40%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8AE" w:rsidRPr="007D2D95" w:rsidRDefault="006728AE" w:rsidP="00596E71">
            <w:pPr>
              <w:autoSpaceDE w:val="0"/>
              <w:autoSpaceDN w:val="0"/>
              <w:adjustRightInd w:val="0"/>
              <w:jc w:val="center"/>
            </w:pPr>
            <w:r w:rsidRPr="007D2D95">
              <w:rPr>
                <w:bCs/>
              </w:rPr>
              <w:t>$22.</w:t>
            </w:r>
            <w:r w:rsidR="00596E71">
              <w:rPr>
                <w:bCs/>
              </w:rPr>
              <w:t>77</w:t>
            </w:r>
          </w:p>
        </w:tc>
      </w:tr>
      <w:tr w:rsidR="006728AE" w:rsidRPr="007D2D95" w:rsidTr="00C60194">
        <w:trPr>
          <w:jc w:val="center"/>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28AE" w:rsidRPr="007D2D95" w:rsidRDefault="006728AE" w:rsidP="006728AE">
            <w:pPr>
              <w:autoSpaceDE w:val="0"/>
              <w:autoSpaceDN w:val="0"/>
              <w:adjustRightInd w:val="0"/>
            </w:pPr>
            <w:r w:rsidRPr="007D2D95">
              <w:rPr>
                <w:bCs/>
              </w:rPr>
              <w:t>Operations Manager</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8AE" w:rsidRPr="007D2D95" w:rsidRDefault="006728AE" w:rsidP="00596E71">
            <w:pPr>
              <w:autoSpaceDE w:val="0"/>
              <w:autoSpaceDN w:val="0"/>
              <w:adjustRightInd w:val="0"/>
              <w:jc w:val="center"/>
            </w:pPr>
            <w:r w:rsidRPr="007D2D95">
              <w:rPr>
                <w:bCs/>
              </w:rPr>
              <w:t>4</w:t>
            </w:r>
            <w:r w:rsidR="00596E71">
              <w:rPr>
                <w:bCs/>
              </w:rPr>
              <w:t>4</w:t>
            </w:r>
            <w:r w:rsidRPr="007D2D95">
              <w:rPr>
                <w:bCs/>
              </w:rPr>
              <w:t>.</w:t>
            </w:r>
            <w:r w:rsidR="00596E71">
              <w:rPr>
                <w:bCs/>
              </w:rPr>
              <w:t>47</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8AE" w:rsidRPr="007D2D95" w:rsidRDefault="006728AE" w:rsidP="00596E71">
            <w:pPr>
              <w:autoSpaceDE w:val="0"/>
              <w:autoSpaceDN w:val="0"/>
              <w:adjustRightInd w:val="0"/>
              <w:jc w:val="center"/>
            </w:pPr>
            <w:r w:rsidRPr="007D2D95">
              <w:rPr>
                <w:bCs/>
              </w:rPr>
              <w:t>6</w:t>
            </w:r>
            <w:r w:rsidR="00596E71">
              <w:rPr>
                <w:bCs/>
              </w:rPr>
              <w:t>6</w:t>
            </w:r>
            <w:r w:rsidRPr="007D2D95">
              <w:rPr>
                <w:bCs/>
              </w:rPr>
              <w:t>.</w:t>
            </w:r>
            <w:r w:rsidR="00596E71">
              <w:rPr>
                <w:bCs/>
              </w:rPr>
              <w:t>71</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8AE" w:rsidRPr="007D2D95" w:rsidRDefault="006728AE" w:rsidP="006728AE">
            <w:pPr>
              <w:autoSpaceDE w:val="0"/>
              <w:autoSpaceDN w:val="0"/>
              <w:adjustRightInd w:val="0"/>
              <w:jc w:val="center"/>
            </w:pPr>
            <w:r w:rsidRPr="007D2D95">
              <w:rPr>
                <w:bCs/>
              </w:rPr>
              <w:t>10%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8AE" w:rsidRPr="007D2D95" w:rsidRDefault="006728AE" w:rsidP="00596E71">
            <w:pPr>
              <w:autoSpaceDE w:val="0"/>
              <w:autoSpaceDN w:val="0"/>
              <w:adjustRightInd w:val="0"/>
              <w:jc w:val="center"/>
            </w:pPr>
            <w:r w:rsidRPr="007D2D95">
              <w:rPr>
                <w:bCs/>
              </w:rPr>
              <w:t>$6.</w:t>
            </w:r>
            <w:r w:rsidR="00596E71">
              <w:rPr>
                <w:bCs/>
              </w:rPr>
              <w:t>67</w:t>
            </w:r>
          </w:p>
        </w:tc>
      </w:tr>
      <w:tr w:rsidR="006728AE" w:rsidRPr="007D2D95" w:rsidTr="00C60194">
        <w:trPr>
          <w:trHeight w:val="432"/>
          <w:jc w:val="center"/>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28AE" w:rsidRPr="007D2D95" w:rsidRDefault="006728AE" w:rsidP="006728AE">
            <w:pPr>
              <w:autoSpaceDE w:val="0"/>
              <w:autoSpaceDN w:val="0"/>
              <w:adjustRightInd w:val="0"/>
            </w:pPr>
            <w:r w:rsidRPr="007D2D95">
              <w:rPr>
                <w:bCs/>
              </w:rPr>
              <w:t>Total</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6728AE" w:rsidRPr="007D2D95" w:rsidRDefault="006728AE" w:rsidP="006728AE">
            <w:pPr>
              <w:autoSpaceDE w:val="0"/>
              <w:autoSpaceDN w:val="0"/>
              <w:adjustRightInd w:val="0"/>
              <w:jc w:val="center"/>
            </w:pP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tcPr>
          <w:p w:rsidR="006728AE" w:rsidRPr="007D2D95" w:rsidRDefault="006728AE" w:rsidP="006728AE">
            <w:pPr>
              <w:autoSpaceDE w:val="0"/>
              <w:autoSpaceDN w:val="0"/>
              <w:adjustRightInd w:val="0"/>
              <w:jc w:val="center"/>
            </w:pP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8AE" w:rsidRPr="007D2D95" w:rsidRDefault="006728AE" w:rsidP="006728AE">
            <w:pPr>
              <w:autoSpaceDE w:val="0"/>
              <w:autoSpaceDN w:val="0"/>
              <w:adjustRightInd w:val="0"/>
              <w:jc w:val="center"/>
            </w:pPr>
            <w:r w:rsidRPr="007D2D95">
              <w:rPr>
                <w:bCs/>
              </w:rPr>
              <w:t>100%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8AE" w:rsidRPr="007D2D95" w:rsidRDefault="001D7BFA" w:rsidP="006728AE">
            <w:pPr>
              <w:autoSpaceDE w:val="0"/>
              <w:autoSpaceDN w:val="0"/>
              <w:adjustRightInd w:val="0"/>
              <w:jc w:val="center"/>
            </w:pPr>
            <w:r>
              <w:rPr>
                <w:bCs/>
              </w:rPr>
              <w:fldChar w:fldCharType="begin"/>
            </w:r>
            <w:r>
              <w:rPr>
                <w:bCs/>
              </w:rPr>
              <w:instrText xml:space="preserve"> =SUM(ABOVE) </w:instrText>
            </w:r>
            <w:r>
              <w:rPr>
                <w:bCs/>
              </w:rPr>
              <w:fldChar w:fldCharType="separate"/>
            </w:r>
            <w:r>
              <w:rPr>
                <w:bCs/>
                <w:noProof/>
              </w:rPr>
              <w:t>$49.79</w:t>
            </w:r>
            <w:r>
              <w:rPr>
                <w:bCs/>
              </w:rPr>
              <w:fldChar w:fldCharType="end"/>
            </w:r>
          </w:p>
        </w:tc>
      </w:tr>
    </w:tbl>
    <w:p w:rsidR="006728AE" w:rsidRPr="007D2D95" w:rsidRDefault="006728AE" w:rsidP="006728A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pPr>
    </w:p>
    <w:p w:rsidR="006728AE" w:rsidRPr="007D2D95" w:rsidRDefault="006728AE" w:rsidP="006728AE">
      <w:pPr>
        <w:autoSpaceDE w:val="0"/>
        <w:autoSpaceDN w:val="0"/>
        <w:adjustRightInd w:val="0"/>
        <w:ind w:left="720"/>
      </w:pPr>
      <w:r w:rsidRPr="007D2D95">
        <w:t xml:space="preserve">Therefore, the estimated total annual additional wage cost for state respondents to implement the provisions of the Stream Protection Rule for </w:t>
      </w:r>
      <w:r w:rsidR="00033293" w:rsidRPr="007D2D95">
        <w:t>p</w:t>
      </w:r>
      <w:r w:rsidRPr="007D2D95">
        <w:t>art 774 is $49</w:t>
      </w:r>
      <w:r w:rsidR="00596E71">
        <w:t>.</w:t>
      </w:r>
      <w:r w:rsidR="001D7BFA">
        <w:t>79</w:t>
      </w:r>
      <w:r w:rsidRPr="007D2D95">
        <w:t xml:space="preserve"> per hour x </w:t>
      </w:r>
      <w:r w:rsidR="00587689">
        <w:t>87,043</w:t>
      </w:r>
      <w:r w:rsidRPr="007D2D95">
        <w:t xml:space="preserve"> hours = $</w:t>
      </w:r>
      <w:r w:rsidR="00587689">
        <w:t>4,</w:t>
      </w:r>
      <w:r w:rsidR="00596E71">
        <w:t>3</w:t>
      </w:r>
      <w:r w:rsidR="001D7BFA">
        <w:t>33</w:t>
      </w:r>
      <w:r w:rsidR="00587689">
        <w:t>,</w:t>
      </w:r>
      <w:r w:rsidR="001D7BFA">
        <w:t>871</w:t>
      </w:r>
      <w:r w:rsidRPr="007D2D95">
        <w:t>.</w:t>
      </w:r>
    </w:p>
    <w:p w:rsidR="006728AE" w:rsidRPr="007D2D95" w:rsidRDefault="006728AE" w:rsidP="006728AE">
      <w:pPr>
        <w:tabs>
          <w:tab w:val="left" w:pos="4305"/>
        </w:tabs>
        <w:autoSpaceDE w:val="0"/>
        <w:autoSpaceDN w:val="0"/>
        <w:adjustRightInd w:val="0"/>
        <w:ind w:left="720" w:hanging="720"/>
      </w:pPr>
    </w:p>
    <w:p w:rsidR="006728AE" w:rsidRPr="007D2D95" w:rsidRDefault="006728AE" w:rsidP="006728AE">
      <w:pPr>
        <w:autoSpaceDE w:val="0"/>
        <w:autoSpaceDN w:val="0"/>
        <w:adjustRightInd w:val="0"/>
        <w:ind w:left="720"/>
      </w:pPr>
      <w:r w:rsidRPr="007D2D95">
        <w:t xml:space="preserve">Therefore, the estimated total annual additional wage cost for all respondents </w:t>
      </w:r>
      <w:r w:rsidR="00BA478E">
        <w:t xml:space="preserve">which include changes due to </w:t>
      </w:r>
      <w:r w:rsidRPr="007D2D95">
        <w:t>the Stream Protection Rule is $</w:t>
      </w:r>
      <w:r w:rsidR="00587689">
        <w:t>13,</w:t>
      </w:r>
      <w:r w:rsidR="001D7BFA">
        <w:t>774</w:t>
      </w:r>
      <w:r w:rsidR="00587689">
        <w:t>,</w:t>
      </w:r>
      <w:r w:rsidR="001D7BFA">
        <w:t>761</w:t>
      </w:r>
      <w:r w:rsidRPr="007D2D95">
        <w:t>.</w:t>
      </w:r>
    </w:p>
    <w:p w:rsidR="00727C80" w:rsidRPr="00DF2CE2" w:rsidRDefault="00727C80"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7D2D95" w:rsidRPr="007D2D95" w:rsidRDefault="00B5273E" w:rsidP="007D2D9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DF2CE2">
        <w:t>13.</w:t>
      </w:r>
      <w:r w:rsidRPr="00DF2CE2">
        <w:tab/>
      </w:r>
      <w:r w:rsidR="007D2D95" w:rsidRPr="007D2D95">
        <w:rPr>
          <w:i/>
        </w:rPr>
        <w:t xml:space="preserve">Provide an estimate of the total annual non-hour cost burden to respondents or </w:t>
      </w:r>
      <w:proofErr w:type="spellStart"/>
      <w:r w:rsidR="007D2D95" w:rsidRPr="007D2D95">
        <w:rPr>
          <w:i/>
        </w:rPr>
        <w:t>recordkeepers</w:t>
      </w:r>
      <w:proofErr w:type="spellEnd"/>
      <w:r w:rsidR="007D2D95" w:rsidRPr="007D2D95">
        <w:rPr>
          <w:i/>
        </w:rPr>
        <w:t xml:space="preserve"> resulting from the collection of information.  (Do not include the cost of any hour burden already reflected in item 12.)</w:t>
      </w:r>
    </w:p>
    <w:p w:rsidR="007D2D95" w:rsidRPr="007D2D95" w:rsidRDefault="007D2D95" w:rsidP="007D2D95">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7D2D95">
        <w:rPr>
          <w:i/>
        </w:rPr>
        <w:tab/>
        <w:t>*</w:t>
      </w:r>
      <w:r w:rsidRPr="007D2D95">
        <w:rPr>
          <w:i/>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D2D95" w:rsidRPr="007D2D95" w:rsidRDefault="007D2D95" w:rsidP="007D2D95">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7D2D95">
        <w:rPr>
          <w:i/>
        </w:rPr>
        <w:tab/>
        <w:t>*</w:t>
      </w:r>
      <w:r w:rsidRPr="007D2D95">
        <w:rPr>
          <w:i/>
        </w:rPr>
        <w:tab/>
        <w:t xml:space="preserve">If cost estimates are expected to vary widely, agencies should present ranges of cost burdens and explain the reasons for the variance.  The cost of purchasing or </w:t>
      </w:r>
      <w:r w:rsidRPr="007D2D95">
        <w:rPr>
          <w:i/>
        </w:rPr>
        <w:lastRenderedPageBreak/>
        <w:t>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D2D95" w:rsidRPr="007D2D95" w:rsidRDefault="007D2D95" w:rsidP="007D2D95">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sidRPr="007D2D95">
        <w:rPr>
          <w:i/>
        </w:rPr>
        <w:tab/>
        <w:t>*</w:t>
      </w:r>
      <w:r w:rsidRPr="007D2D95">
        <w:rPr>
          <w:i/>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5273E" w:rsidRDefault="00B5273E" w:rsidP="007D2D9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DE4491" w:rsidRPr="00C17D0E" w:rsidRDefault="00DE4491" w:rsidP="00DE4491">
      <w:pPr>
        <w:ind w:left="720" w:hanging="720"/>
      </w:pPr>
      <w:r>
        <w:tab/>
      </w:r>
      <w:r w:rsidRPr="00C17D0E">
        <w:t xml:space="preserve">a.  </w:t>
      </w:r>
      <w:r w:rsidRPr="00C17D0E">
        <w:rPr>
          <w:u w:val="single"/>
        </w:rPr>
        <w:t>Annual Capital and Start-up Costs</w:t>
      </w:r>
    </w:p>
    <w:p w:rsidR="00DE4491" w:rsidRPr="00C17D0E" w:rsidRDefault="00DE4491" w:rsidP="00DE4491">
      <w:pPr>
        <w:ind w:left="720" w:hanging="720"/>
      </w:pPr>
    </w:p>
    <w:p w:rsidR="00DE4491" w:rsidRPr="00C17D0E" w:rsidRDefault="00DE4491" w:rsidP="00DE4491">
      <w:pPr>
        <w:pStyle w:val="BodyTextIndent"/>
        <w:ind w:left="720" w:hanging="720"/>
      </w:pPr>
      <w:r>
        <w:tab/>
      </w:r>
      <w:r w:rsidRPr="00C17D0E">
        <w:t xml:space="preserve">The information collection requirements </w:t>
      </w:r>
      <w:r>
        <w:t xml:space="preserve">for part </w:t>
      </w:r>
      <w:r w:rsidRPr="00C17D0E">
        <w:t>774 do not involve any capital or start-up costs apart from expenditures associated with customary business practices.</w:t>
      </w:r>
    </w:p>
    <w:p w:rsidR="00DE4491" w:rsidRPr="00C17D0E" w:rsidRDefault="00DE4491" w:rsidP="00DE4491">
      <w:pPr>
        <w:ind w:left="720" w:hanging="720"/>
      </w:pPr>
    </w:p>
    <w:p w:rsidR="00DE4491" w:rsidRPr="00C17D0E" w:rsidRDefault="00DE4491" w:rsidP="00DE4491">
      <w:pPr>
        <w:ind w:left="720" w:hanging="720"/>
      </w:pPr>
      <w:r>
        <w:tab/>
      </w:r>
      <w:r w:rsidRPr="00C17D0E">
        <w:t xml:space="preserve">b.  </w:t>
      </w:r>
      <w:r w:rsidRPr="00C17D0E">
        <w:rPr>
          <w:u w:val="single"/>
        </w:rPr>
        <w:t>Operation and Maintenance Costs</w:t>
      </w:r>
    </w:p>
    <w:p w:rsidR="00DE4491" w:rsidRPr="00C17D0E" w:rsidRDefault="00DE4491" w:rsidP="00DE4491">
      <w:pPr>
        <w:ind w:left="720" w:hanging="720"/>
      </w:pPr>
    </w:p>
    <w:p w:rsidR="00DE4491" w:rsidRPr="00C17D0E" w:rsidRDefault="00DE4491" w:rsidP="00DE4491">
      <w:pPr>
        <w:ind w:left="720" w:hanging="720"/>
      </w:pPr>
      <w:r>
        <w:tab/>
      </w:r>
      <w:r w:rsidR="00DF1629" w:rsidRPr="00DF1629">
        <w:t>Each applicant for a revision or renewal is required to publish a newspaper notice advertising the application and seeking public comment once a week for four consecutive weeks; each applicant for a transfer, assignment, or sale of permit rights is required to publish a newspaper notice advertising the application and seeking public comment one time only.  At $322 per 4 weekly publications, and $100 for a one time publication, the cost to all applicants is $902,920 (2,710 x $322) + (303 x $100).</w:t>
      </w:r>
      <w:r w:rsidR="009D795D">
        <w:t xml:space="preserve">  </w:t>
      </w:r>
      <w:r w:rsidR="006728AE">
        <w:t>The proposed Stream Protection rule will not add any operations and maintenance costs to the currently approved burden.</w:t>
      </w:r>
    </w:p>
    <w:p w:rsidR="00DE4491" w:rsidRPr="00DF2CE2" w:rsidRDefault="00DE4491"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7D2D95" w:rsidRPr="007D2D95" w:rsidRDefault="00B5273E" w:rsidP="007D2D9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DF2CE2">
        <w:t>14.</w:t>
      </w:r>
      <w:r w:rsidRPr="00DF2CE2">
        <w:tab/>
      </w:r>
      <w:r w:rsidR="007D2D95" w:rsidRPr="007D2D95">
        <w:rPr>
          <w:i/>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D45F79" w:rsidRDefault="007A4C0D" w:rsidP="007D2D9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r>
    </w:p>
    <w:p w:rsidR="007A4C0D" w:rsidRDefault="007A4C0D" w:rsidP="00D45F79">
      <w:pPr>
        <w:ind w:left="720"/>
      </w:pPr>
      <w:r>
        <w:t xml:space="preserve">The total hourly burden to the federal government </w:t>
      </w:r>
      <w:r w:rsidR="00574F8D">
        <w:t>is</w:t>
      </w:r>
      <w:r>
        <w:t xml:space="preserve"> as follows:</w:t>
      </w:r>
    </w:p>
    <w:p w:rsidR="007D2D95" w:rsidRDefault="007A4C0D" w:rsidP="007D2D95">
      <w:pPr>
        <w:ind w:left="720" w:hanging="720"/>
      </w:pPr>
      <w:r>
        <w:tab/>
      </w:r>
    </w:p>
    <w:p w:rsidR="009D795D" w:rsidRPr="00C17D0E" w:rsidRDefault="009D795D" w:rsidP="009D795D">
      <w:pPr>
        <w:ind w:left="720" w:hanging="720"/>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440"/>
        <w:gridCol w:w="1170"/>
        <w:gridCol w:w="1080"/>
        <w:gridCol w:w="1620"/>
        <w:gridCol w:w="1080"/>
        <w:gridCol w:w="1440"/>
        <w:gridCol w:w="1530"/>
      </w:tblGrid>
      <w:tr w:rsidR="009D795D" w:rsidRPr="00FE09BC" w:rsidTr="00352E67">
        <w:tc>
          <w:tcPr>
            <w:tcW w:w="1260" w:type="dxa"/>
            <w:tcBorders>
              <w:top w:val="double" w:sz="4" w:space="0" w:color="auto"/>
              <w:left w:val="double" w:sz="4" w:space="0" w:color="auto"/>
              <w:bottom w:val="double" w:sz="4" w:space="0" w:color="auto"/>
            </w:tcBorders>
            <w:vAlign w:val="center"/>
          </w:tcPr>
          <w:p w:rsidR="009D795D" w:rsidRPr="00F44EB0" w:rsidRDefault="009D795D" w:rsidP="00352E67">
            <w:pPr>
              <w:ind w:right="-720"/>
              <w:jc w:val="center"/>
              <w:rPr>
                <w:sz w:val="22"/>
                <w:szCs w:val="22"/>
              </w:rPr>
            </w:pPr>
          </w:p>
          <w:p w:rsidR="009D795D" w:rsidRPr="00F44EB0" w:rsidRDefault="009D795D" w:rsidP="00352E67">
            <w:pPr>
              <w:ind w:right="-108"/>
              <w:jc w:val="center"/>
              <w:rPr>
                <w:sz w:val="22"/>
                <w:szCs w:val="22"/>
              </w:rPr>
            </w:pPr>
            <w:r w:rsidRPr="00F44EB0">
              <w:rPr>
                <w:sz w:val="22"/>
                <w:szCs w:val="22"/>
              </w:rPr>
              <w:t>SECTION</w:t>
            </w:r>
          </w:p>
        </w:tc>
        <w:tc>
          <w:tcPr>
            <w:tcW w:w="1440" w:type="dxa"/>
            <w:tcBorders>
              <w:top w:val="double" w:sz="4" w:space="0" w:color="auto"/>
              <w:bottom w:val="double" w:sz="4" w:space="0" w:color="auto"/>
            </w:tcBorders>
            <w:vAlign w:val="center"/>
          </w:tcPr>
          <w:p w:rsidR="009D795D" w:rsidRPr="00F44EB0" w:rsidRDefault="009D795D" w:rsidP="00352E67">
            <w:pPr>
              <w:ind w:right="-720"/>
              <w:jc w:val="center"/>
              <w:rPr>
                <w:sz w:val="22"/>
                <w:szCs w:val="22"/>
              </w:rPr>
            </w:pPr>
          </w:p>
          <w:p w:rsidR="009D795D" w:rsidRPr="00F44EB0" w:rsidRDefault="009D795D" w:rsidP="00352E67">
            <w:pPr>
              <w:ind w:right="-108"/>
              <w:jc w:val="center"/>
              <w:rPr>
                <w:sz w:val="22"/>
                <w:szCs w:val="22"/>
              </w:rPr>
            </w:pPr>
            <w:r w:rsidRPr="00F44EB0">
              <w:rPr>
                <w:sz w:val="22"/>
                <w:szCs w:val="22"/>
              </w:rPr>
              <w:t>OVERSIGHT BURDEN HOURS</w:t>
            </w:r>
          </w:p>
        </w:tc>
        <w:tc>
          <w:tcPr>
            <w:tcW w:w="3870" w:type="dxa"/>
            <w:gridSpan w:val="3"/>
            <w:tcBorders>
              <w:top w:val="double" w:sz="4" w:space="0" w:color="auto"/>
              <w:bottom w:val="double" w:sz="4" w:space="0" w:color="auto"/>
            </w:tcBorders>
            <w:vAlign w:val="center"/>
          </w:tcPr>
          <w:p w:rsidR="009D795D" w:rsidRPr="00F44EB0" w:rsidRDefault="009D795D" w:rsidP="00352E67">
            <w:pPr>
              <w:ind w:right="-720"/>
              <w:jc w:val="center"/>
              <w:rPr>
                <w:sz w:val="22"/>
                <w:szCs w:val="22"/>
              </w:rPr>
            </w:pPr>
          </w:p>
          <w:p w:rsidR="009D795D" w:rsidRPr="00F44EB0" w:rsidRDefault="009D795D" w:rsidP="00352E67">
            <w:pPr>
              <w:ind w:right="-108"/>
              <w:jc w:val="center"/>
              <w:rPr>
                <w:sz w:val="22"/>
                <w:szCs w:val="22"/>
              </w:rPr>
            </w:pPr>
            <w:r w:rsidRPr="00F44EB0">
              <w:rPr>
                <w:sz w:val="22"/>
                <w:szCs w:val="22"/>
              </w:rPr>
              <w:t>FEDERAL PROGRAM</w:t>
            </w:r>
          </w:p>
        </w:tc>
        <w:tc>
          <w:tcPr>
            <w:tcW w:w="1080" w:type="dxa"/>
            <w:tcBorders>
              <w:top w:val="double" w:sz="4" w:space="0" w:color="auto"/>
              <w:bottom w:val="double" w:sz="4" w:space="0" w:color="auto"/>
            </w:tcBorders>
            <w:vAlign w:val="center"/>
          </w:tcPr>
          <w:p w:rsidR="009D795D" w:rsidRPr="00F44EB0" w:rsidRDefault="009D795D" w:rsidP="00352E67">
            <w:pPr>
              <w:ind w:right="-720"/>
              <w:jc w:val="center"/>
              <w:rPr>
                <w:sz w:val="22"/>
                <w:szCs w:val="22"/>
              </w:rPr>
            </w:pPr>
          </w:p>
          <w:p w:rsidR="009D795D" w:rsidRPr="00F44EB0" w:rsidRDefault="009D795D" w:rsidP="00352E67">
            <w:pPr>
              <w:ind w:right="-108"/>
              <w:jc w:val="center"/>
              <w:rPr>
                <w:sz w:val="22"/>
                <w:szCs w:val="22"/>
              </w:rPr>
            </w:pPr>
            <w:r w:rsidRPr="00F44EB0">
              <w:rPr>
                <w:sz w:val="22"/>
                <w:szCs w:val="22"/>
              </w:rPr>
              <w:t>TOTAL</w:t>
            </w:r>
          </w:p>
          <w:p w:rsidR="009D795D" w:rsidRPr="00F44EB0" w:rsidRDefault="009D795D" w:rsidP="00352E67">
            <w:pPr>
              <w:ind w:right="-108"/>
              <w:jc w:val="center"/>
              <w:rPr>
                <w:sz w:val="22"/>
                <w:szCs w:val="22"/>
              </w:rPr>
            </w:pPr>
            <w:r w:rsidRPr="00F44EB0">
              <w:rPr>
                <w:sz w:val="22"/>
                <w:szCs w:val="22"/>
              </w:rPr>
              <w:t>HOURS</w:t>
            </w:r>
          </w:p>
        </w:tc>
        <w:tc>
          <w:tcPr>
            <w:tcW w:w="1440" w:type="dxa"/>
            <w:tcBorders>
              <w:top w:val="double" w:sz="4" w:space="0" w:color="auto"/>
              <w:bottom w:val="double" w:sz="4" w:space="0" w:color="auto"/>
            </w:tcBorders>
            <w:vAlign w:val="center"/>
          </w:tcPr>
          <w:p w:rsidR="009D795D" w:rsidRPr="00F44EB0" w:rsidRDefault="009D795D" w:rsidP="00352E67">
            <w:pPr>
              <w:ind w:right="-720"/>
              <w:jc w:val="center"/>
              <w:rPr>
                <w:sz w:val="22"/>
                <w:szCs w:val="22"/>
              </w:rPr>
            </w:pPr>
          </w:p>
          <w:p w:rsidR="009D795D" w:rsidRPr="00F44EB0" w:rsidRDefault="009D795D" w:rsidP="00352E67">
            <w:pPr>
              <w:ind w:right="-108"/>
              <w:jc w:val="center"/>
              <w:rPr>
                <w:sz w:val="22"/>
                <w:szCs w:val="22"/>
              </w:rPr>
            </w:pPr>
            <w:r w:rsidRPr="00F44EB0">
              <w:rPr>
                <w:sz w:val="22"/>
                <w:szCs w:val="22"/>
              </w:rPr>
              <w:t>HOURLY COST $ (W/ BENEFITS)</w:t>
            </w:r>
          </w:p>
        </w:tc>
        <w:tc>
          <w:tcPr>
            <w:tcW w:w="1530" w:type="dxa"/>
            <w:tcBorders>
              <w:top w:val="double" w:sz="4" w:space="0" w:color="auto"/>
              <w:bottom w:val="double" w:sz="4" w:space="0" w:color="auto"/>
              <w:right w:val="double" w:sz="4" w:space="0" w:color="auto"/>
            </w:tcBorders>
            <w:vAlign w:val="center"/>
          </w:tcPr>
          <w:p w:rsidR="009D795D" w:rsidRPr="00F44EB0" w:rsidRDefault="009D795D" w:rsidP="00352E67">
            <w:pPr>
              <w:jc w:val="center"/>
              <w:rPr>
                <w:sz w:val="22"/>
                <w:szCs w:val="22"/>
              </w:rPr>
            </w:pPr>
            <w:r w:rsidRPr="00F44EB0">
              <w:rPr>
                <w:sz w:val="22"/>
                <w:szCs w:val="22"/>
              </w:rPr>
              <w:t>TOTAL FEDERAL COST $</w:t>
            </w:r>
          </w:p>
        </w:tc>
      </w:tr>
      <w:tr w:rsidR="009D795D" w:rsidRPr="00FE09BC" w:rsidTr="00352E67">
        <w:trPr>
          <w:trHeight w:val="432"/>
        </w:trPr>
        <w:tc>
          <w:tcPr>
            <w:tcW w:w="1260" w:type="dxa"/>
            <w:tcBorders>
              <w:left w:val="double" w:sz="4" w:space="0" w:color="auto"/>
            </w:tcBorders>
            <w:vAlign w:val="center"/>
          </w:tcPr>
          <w:p w:rsidR="009D795D" w:rsidRPr="00F44EB0" w:rsidRDefault="009D795D" w:rsidP="00352E67">
            <w:pPr>
              <w:ind w:right="-720"/>
              <w:jc w:val="center"/>
              <w:rPr>
                <w:sz w:val="22"/>
                <w:szCs w:val="22"/>
              </w:rPr>
            </w:pPr>
          </w:p>
        </w:tc>
        <w:tc>
          <w:tcPr>
            <w:tcW w:w="1440" w:type="dxa"/>
            <w:vAlign w:val="center"/>
          </w:tcPr>
          <w:p w:rsidR="009D795D" w:rsidRPr="00F44EB0" w:rsidRDefault="009D795D" w:rsidP="00352E67">
            <w:pPr>
              <w:ind w:right="-108"/>
              <w:jc w:val="center"/>
              <w:rPr>
                <w:sz w:val="22"/>
                <w:szCs w:val="22"/>
              </w:rPr>
            </w:pPr>
          </w:p>
        </w:tc>
        <w:tc>
          <w:tcPr>
            <w:tcW w:w="1170" w:type="dxa"/>
            <w:vAlign w:val="center"/>
          </w:tcPr>
          <w:p w:rsidR="009D795D" w:rsidRPr="00F44EB0" w:rsidRDefault="009D795D" w:rsidP="00352E67">
            <w:pPr>
              <w:ind w:right="-108"/>
              <w:jc w:val="center"/>
              <w:rPr>
                <w:sz w:val="22"/>
                <w:szCs w:val="22"/>
              </w:rPr>
            </w:pPr>
            <w:r w:rsidRPr="00F44EB0">
              <w:rPr>
                <w:sz w:val="22"/>
                <w:szCs w:val="22"/>
              </w:rPr>
              <w:t>Responses</w:t>
            </w:r>
          </w:p>
        </w:tc>
        <w:tc>
          <w:tcPr>
            <w:tcW w:w="1080" w:type="dxa"/>
            <w:vAlign w:val="center"/>
          </w:tcPr>
          <w:p w:rsidR="009D795D" w:rsidRPr="00F44EB0" w:rsidRDefault="009D795D" w:rsidP="00352E67">
            <w:pPr>
              <w:ind w:right="-108"/>
              <w:jc w:val="center"/>
              <w:rPr>
                <w:sz w:val="22"/>
                <w:szCs w:val="22"/>
              </w:rPr>
            </w:pPr>
            <w:r w:rsidRPr="00F44EB0">
              <w:rPr>
                <w:sz w:val="22"/>
                <w:szCs w:val="22"/>
              </w:rPr>
              <w:t>Hour Burden</w:t>
            </w:r>
          </w:p>
        </w:tc>
        <w:tc>
          <w:tcPr>
            <w:tcW w:w="1620" w:type="dxa"/>
            <w:vAlign w:val="center"/>
          </w:tcPr>
          <w:p w:rsidR="009D795D" w:rsidRPr="00F44EB0" w:rsidRDefault="009D795D" w:rsidP="00352E67">
            <w:pPr>
              <w:ind w:right="-108"/>
              <w:jc w:val="center"/>
              <w:rPr>
                <w:sz w:val="22"/>
                <w:szCs w:val="22"/>
              </w:rPr>
            </w:pPr>
            <w:r w:rsidRPr="00F44EB0">
              <w:rPr>
                <w:sz w:val="22"/>
                <w:szCs w:val="22"/>
              </w:rPr>
              <w:t>Total Burden Hours</w:t>
            </w:r>
          </w:p>
        </w:tc>
        <w:tc>
          <w:tcPr>
            <w:tcW w:w="1080" w:type="dxa"/>
            <w:vAlign w:val="center"/>
          </w:tcPr>
          <w:p w:rsidR="009D795D" w:rsidRPr="00F44EB0" w:rsidRDefault="009D795D" w:rsidP="00352E67">
            <w:pPr>
              <w:ind w:right="-108"/>
              <w:jc w:val="center"/>
              <w:rPr>
                <w:sz w:val="22"/>
                <w:szCs w:val="22"/>
              </w:rPr>
            </w:pPr>
          </w:p>
        </w:tc>
        <w:tc>
          <w:tcPr>
            <w:tcW w:w="1440" w:type="dxa"/>
            <w:vAlign w:val="center"/>
          </w:tcPr>
          <w:p w:rsidR="009D795D" w:rsidRPr="00F44EB0" w:rsidRDefault="009D795D" w:rsidP="00352E67">
            <w:pPr>
              <w:ind w:right="-108"/>
              <w:jc w:val="center"/>
              <w:rPr>
                <w:sz w:val="22"/>
                <w:szCs w:val="22"/>
              </w:rPr>
            </w:pPr>
          </w:p>
        </w:tc>
        <w:tc>
          <w:tcPr>
            <w:tcW w:w="1530" w:type="dxa"/>
            <w:tcBorders>
              <w:right w:val="double" w:sz="4" w:space="0" w:color="auto"/>
            </w:tcBorders>
            <w:vAlign w:val="center"/>
          </w:tcPr>
          <w:p w:rsidR="009D795D" w:rsidRPr="00F44EB0" w:rsidRDefault="009D795D" w:rsidP="00352E67">
            <w:pPr>
              <w:ind w:right="-108"/>
              <w:jc w:val="center"/>
              <w:rPr>
                <w:sz w:val="22"/>
                <w:szCs w:val="22"/>
              </w:rPr>
            </w:pPr>
          </w:p>
        </w:tc>
      </w:tr>
      <w:tr w:rsidR="009D795D" w:rsidRPr="00A2157C" w:rsidTr="00352E67">
        <w:trPr>
          <w:trHeight w:val="432"/>
        </w:trPr>
        <w:tc>
          <w:tcPr>
            <w:tcW w:w="1260" w:type="dxa"/>
            <w:tcBorders>
              <w:left w:val="double" w:sz="4" w:space="0" w:color="auto"/>
            </w:tcBorders>
            <w:vAlign w:val="center"/>
          </w:tcPr>
          <w:p w:rsidR="009D795D" w:rsidRPr="00A2157C" w:rsidRDefault="009D795D" w:rsidP="00352E67">
            <w:pPr>
              <w:ind w:right="-720"/>
              <w:rPr>
                <w:sz w:val="22"/>
                <w:szCs w:val="22"/>
              </w:rPr>
            </w:pPr>
            <w:r w:rsidRPr="00A2157C">
              <w:rPr>
                <w:sz w:val="22"/>
                <w:szCs w:val="22"/>
              </w:rPr>
              <w:t>774.12</w:t>
            </w:r>
          </w:p>
        </w:tc>
        <w:tc>
          <w:tcPr>
            <w:tcW w:w="1440" w:type="dxa"/>
            <w:vAlign w:val="center"/>
          </w:tcPr>
          <w:p w:rsidR="009D795D" w:rsidRPr="00A2157C" w:rsidRDefault="009D795D" w:rsidP="00352E67">
            <w:pPr>
              <w:ind w:right="-108"/>
              <w:jc w:val="center"/>
              <w:rPr>
                <w:sz w:val="22"/>
                <w:szCs w:val="22"/>
              </w:rPr>
            </w:pPr>
            <w:r w:rsidRPr="00A2157C">
              <w:rPr>
                <w:sz w:val="22"/>
                <w:szCs w:val="22"/>
              </w:rPr>
              <w:t>16</w:t>
            </w:r>
          </w:p>
        </w:tc>
        <w:tc>
          <w:tcPr>
            <w:tcW w:w="1170" w:type="dxa"/>
            <w:vAlign w:val="center"/>
          </w:tcPr>
          <w:p w:rsidR="009D795D" w:rsidRPr="00A2157C" w:rsidRDefault="009D795D" w:rsidP="00352E67">
            <w:pPr>
              <w:ind w:right="-108"/>
              <w:jc w:val="center"/>
              <w:rPr>
                <w:sz w:val="22"/>
                <w:szCs w:val="22"/>
              </w:rPr>
            </w:pPr>
            <w:r w:rsidRPr="00A2157C">
              <w:rPr>
                <w:sz w:val="22"/>
                <w:szCs w:val="22"/>
              </w:rPr>
              <w:t>0</w:t>
            </w:r>
          </w:p>
        </w:tc>
        <w:tc>
          <w:tcPr>
            <w:tcW w:w="1080" w:type="dxa"/>
            <w:vAlign w:val="center"/>
          </w:tcPr>
          <w:p w:rsidR="009D795D" w:rsidRPr="00A2157C" w:rsidRDefault="009D795D" w:rsidP="00352E67">
            <w:pPr>
              <w:ind w:right="-108"/>
              <w:jc w:val="center"/>
              <w:rPr>
                <w:sz w:val="22"/>
                <w:szCs w:val="22"/>
              </w:rPr>
            </w:pPr>
            <w:r w:rsidRPr="00A2157C">
              <w:rPr>
                <w:sz w:val="22"/>
                <w:szCs w:val="22"/>
              </w:rPr>
              <w:t>0</w:t>
            </w:r>
          </w:p>
        </w:tc>
        <w:tc>
          <w:tcPr>
            <w:tcW w:w="1620" w:type="dxa"/>
            <w:vAlign w:val="center"/>
          </w:tcPr>
          <w:p w:rsidR="009D795D" w:rsidRPr="00A2157C" w:rsidRDefault="009D795D" w:rsidP="00352E67">
            <w:pPr>
              <w:ind w:right="-108"/>
              <w:jc w:val="center"/>
              <w:rPr>
                <w:sz w:val="22"/>
                <w:szCs w:val="22"/>
              </w:rPr>
            </w:pPr>
            <w:r w:rsidRPr="00A2157C">
              <w:rPr>
                <w:sz w:val="22"/>
                <w:szCs w:val="22"/>
              </w:rPr>
              <w:fldChar w:fldCharType="begin"/>
            </w:r>
            <w:r w:rsidRPr="00A2157C">
              <w:rPr>
                <w:sz w:val="22"/>
                <w:szCs w:val="22"/>
              </w:rPr>
              <w:instrText xml:space="preserve"> =SUM(ABOVE) </w:instrText>
            </w:r>
            <w:r w:rsidRPr="00A2157C">
              <w:rPr>
                <w:sz w:val="22"/>
                <w:szCs w:val="22"/>
              </w:rPr>
              <w:fldChar w:fldCharType="end"/>
            </w:r>
            <w:r w:rsidRPr="00A2157C">
              <w:rPr>
                <w:sz w:val="22"/>
                <w:szCs w:val="22"/>
              </w:rPr>
              <w:t>0</w:t>
            </w:r>
          </w:p>
        </w:tc>
        <w:tc>
          <w:tcPr>
            <w:tcW w:w="1080" w:type="dxa"/>
            <w:vAlign w:val="center"/>
          </w:tcPr>
          <w:p w:rsidR="009D795D" w:rsidRPr="00A2157C" w:rsidRDefault="009D795D" w:rsidP="00352E67">
            <w:pPr>
              <w:ind w:right="-108"/>
              <w:jc w:val="center"/>
              <w:rPr>
                <w:sz w:val="22"/>
                <w:szCs w:val="22"/>
              </w:rPr>
            </w:pPr>
            <w:r w:rsidRPr="00A2157C">
              <w:rPr>
                <w:sz w:val="22"/>
                <w:szCs w:val="22"/>
              </w:rPr>
              <w:t>16</w:t>
            </w:r>
          </w:p>
        </w:tc>
        <w:tc>
          <w:tcPr>
            <w:tcW w:w="1440" w:type="dxa"/>
            <w:vAlign w:val="center"/>
          </w:tcPr>
          <w:p w:rsidR="009D795D" w:rsidRPr="00A2157C" w:rsidRDefault="00610263" w:rsidP="00352E67">
            <w:pPr>
              <w:ind w:right="-108"/>
              <w:jc w:val="center"/>
              <w:rPr>
                <w:sz w:val="22"/>
                <w:szCs w:val="22"/>
              </w:rPr>
            </w:pPr>
            <w:r>
              <w:rPr>
                <w:sz w:val="22"/>
                <w:szCs w:val="22"/>
              </w:rPr>
              <w:t>6</w:t>
            </w:r>
            <w:r w:rsidR="00C81360">
              <w:rPr>
                <w:sz w:val="22"/>
                <w:szCs w:val="22"/>
              </w:rPr>
              <w:t>6</w:t>
            </w:r>
          </w:p>
        </w:tc>
        <w:tc>
          <w:tcPr>
            <w:tcW w:w="1530" w:type="dxa"/>
            <w:tcBorders>
              <w:right w:val="double" w:sz="4" w:space="0" w:color="auto"/>
            </w:tcBorders>
            <w:vAlign w:val="center"/>
          </w:tcPr>
          <w:p w:rsidR="009D795D" w:rsidRPr="00A2157C" w:rsidRDefault="00610263" w:rsidP="00C81360">
            <w:pPr>
              <w:ind w:right="-108"/>
              <w:jc w:val="center"/>
              <w:rPr>
                <w:sz w:val="22"/>
                <w:szCs w:val="22"/>
              </w:rPr>
            </w:pPr>
            <w:r>
              <w:rPr>
                <w:sz w:val="22"/>
                <w:szCs w:val="22"/>
              </w:rPr>
              <w:t>1,0</w:t>
            </w:r>
            <w:r w:rsidR="00C81360">
              <w:rPr>
                <w:sz w:val="22"/>
                <w:szCs w:val="22"/>
              </w:rPr>
              <w:t>56</w:t>
            </w:r>
          </w:p>
        </w:tc>
      </w:tr>
      <w:tr w:rsidR="009D795D" w:rsidRPr="00A2157C" w:rsidTr="00352E67">
        <w:trPr>
          <w:trHeight w:val="432"/>
        </w:trPr>
        <w:tc>
          <w:tcPr>
            <w:tcW w:w="1260" w:type="dxa"/>
            <w:tcBorders>
              <w:left w:val="double" w:sz="4" w:space="0" w:color="auto"/>
            </w:tcBorders>
            <w:vAlign w:val="center"/>
          </w:tcPr>
          <w:p w:rsidR="009D795D" w:rsidRPr="00A2157C" w:rsidRDefault="009D795D" w:rsidP="00352E67">
            <w:pPr>
              <w:ind w:right="-720"/>
              <w:rPr>
                <w:sz w:val="22"/>
                <w:szCs w:val="22"/>
              </w:rPr>
            </w:pPr>
            <w:r w:rsidRPr="00A2157C">
              <w:rPr>
                <w:sz w:val="22"/>
                <w:szCs w:val="22"/>
              </w:rPr>
              <w:t>774.13-</w:t>
            </w:r>
          </w:p>
          <w:p w:rsidR="009D795D" w:rsidRPr="00A2157C" w:rsidRDefault="009D795D" w:rsidP="00352E67">
            <w:pPr>
              <w:ind w:right="-720"/>
              <w:rPr>
                <w:sz w:val="22"/>
                <w:szCs w:val="22"/>
              </w:rPr>
            </w:pPr>
            <w:r w:rsidRPr="00A2157C">
              <w:rPr>
                <w:sz w:val="22"/>
                <w:szCs w:val="22"/>
              </w:rPr>
              <w:t>revisions</w:t>
            </w:r>
          </w:p>
        </w:tc>
        <w:tc>
          <w:tcPr>
            <w:tcW w:w="1440" w:type="dxa"/>
            <w:vAlign w:val="center"/>
          </w:tcPr>
          <w:p w:rsidR="009D795D" w:rsidRPr="00A2157C" w:rsidDel="00C34E57" w:rsidRDefault="009D795D" w:rsidP="00352E67">
            <w:pPr>
              <w:ind w:right="-108"/>
              <w:jc w:val="center"/>
              <w:rPr>
                <w:sz w:val="22"/>
                <w:szCs w:val="22"/>
              </w:rPr>
            </w:pPr>
            <w:r w:rsidRPr="00A2157C">
              <w:rPr>
                <w:sz w:val="22"/>
                <w:szCs w:val="22"/>
              </w:rPr>
              <w:t>80</w:t>
            </w:r>
          </w:p>
        </w:tc>
        <w:tc>
          <w:tcPr>
            <w:tcW w:w="1170" w:type="dxa"/>
            <w:vAlign w:val="center"/>
          </w:tcPr>
          <w:p w:rsidR="009D795D" w:rsidRPr="00A2157C" w:rsidRDefault="009D795D" w:rsidP="00352E67">
            <w:pPr>
              <w:ind w:right="-108"/>
              <w:jc w:val="center"/>
              <w:rPr>
                <w:sz w:val="22"/>
                <w:szCs w:val="22"/>
              </w:rPr>
            </w:pPr>
            <w:r w:rsidRPr="00A2157C">
              <w:rPr>
                <w:sz w:val="22"/>
                <w:szCs w:val="22"/>
              </w:rPr>
              <w:t>147</w:t>
            </w:r>
          </w:p>
        </w:tc>
        <w:tc>
          <w:tcPr>
            <w:tcW w:w="1080" w:type="dxa"/>
            <w:vAlign w:val="center"/>
          </w:tcPr>
          <w:p w:rsidR="009D795D" w:rsidRPr="00A2157C" w:rsidRDefault="009D795D" w:rsidP="00352E67">
            <w:pPr>
              <w:ind w:right="-108"/>
              <w:jc w:val="center"/>
              <w:rPr>
                <w:sz w:val="22"/>
                <w:szCs w:val="22"/>
              </w:rPr>
            </w:pPr>
            <w:r w:rsidRPr="00A2157C">
              <w:rPr>
                <w:sz w:val="22"/>
                <w:szCs w:val="22"/>
              </w:rPr>
              <w:t>16</w:t>
            </w:r>
          </w:p>
        </w:tc>
        <w:tc>
          <w:tcPr>
            <w:tcW w:w="1620" w:type="dxa"/>
            <w:vAlign w:val="center"/>
          </w:tcPr>
          <w:p w:rsidR="009D795D" w:rsidRPr="00A2157C" w:rsidRDefault="009D795D" w:rsidP="00352E67">
            <w:pPr>
              <w:ind w:right="-108"/>
              <w:jc w:val="center"/>
              <w:rPr>
                <w:sz w:val="22"/>
                <w:szCs w:val="22"/>
              </w:rPr>
            </w:pPr>
            <w:r w:rsidRPr="00A2157C">
              <w:rPr>
                <w:sz w:val="22"/>
                <w:szCs w:val="22"/>
              </w:rPr>
              <w:t>2,352</w:t>
            </w:r>
          </w:p>
        </w:tc>
        <w:tc>
          <w:tcPr>
            <w:tcW w:w="1080" w:type="dxa"/>
            <w:vAlign w:val="center"/>
          </w:tcPr>
          <w:p w:rsidR="009D795D" w:rsidRPr="00A2157C" w:rsidDel="00C34E57" w:rsidRDefault="009D795D" w:rsidP="00352E67">
            <w:pPr>
              <w:ind w:right="-108"/>
              <w:jc w:val="center"/>
              <w:rPr>
                <w:sz w:val="22"/>
                <w:szCs w:val="22"/>
              </w:rPr>
            </w:pPr>
            <w:r w:rsidRPr="00A2157C">
              <w:rPr>
                <w:sz w:val="22"/>
                <w:szCs w:val="22"/>
              </w:rPr>
              <w:t>2,432</w:t>
            </w:r>
          </w:p>
        </w:tc>
        <w:tc>
          <w:tcPr>
            <w:tcW w:w="1440" w:type="dxa"/>
            <w:tcBorders>
              <w:bottom w:val="single" w:sz="4" w:space="0" w:color="auto"/>
            </w:tcBorders>
            <w:vAlign w:val="center"/>
          </w:tcPr>
          <w:p w:rsidR="009D795D" w:rsidRPr="00A2157C" w:rsidRDefault="00610263" w:rsidP="00352E67">
            <w:pPr>
              <w:jc w:val="center"/>
            </w:pPr>
            <w:r>
              <w:rPr>
                <w:sz w:val="22"/>
                <w:szCs w:val="22"/>
              </w:rPr>
              <w:t>6</w:t>
            </w:r>
            <w:r w:rsidR="00C81360">
              <w:rPr>
                <w:sz w:val="22"/>
                <w:szCs w:val="22"/>
              </w:rPr>
              <w:t>6</w:t>
            </w:r>
          </w:p>
        </w:tc>
        <w:tc>
          <w:tcPr>
            <w:tcW w:w="1530" w:type="dxa"/>
            <w:tcBorders>
              <w:right w:val="double" w:sz="4" w:space="0" w:color="auto"/>
            </w:tcBorders>
            <w:vAlign w:val="center"/>
          </w:tcPr>
          <w:p w:rsidR="009D795D" w:rsidRPr="00A2157C" w:rsidDel="00C34E57" w:rsidRDefault="00610263" w:rsidP="00C81360">
            <w:pPr>
              <w:ind w:right="-108"/>
              <w:jc w:val="center"/>
              <w:rPr>
                <w:sz w:val="22"/>
                <w:szCs w:val="22"/>
              </w:rPr>
            </w:pPr>
            <w:r>
              <w:rPr>
                <w:sz w:val="22"/>
                <w:szCs w:val="22"/>
              </w:rPr>
              <w:t>1</w:t>
            </w:r>
            <w:r w:rsidR="00C81360">
              <w:rPr>
                <w:sz w:val="22"/>
                <w:szCs w:val="22"/>
              </w:rPr>
              <w:t>60</w:t>
            </w:r>
            <w:r>
              <w:rPr>
                <w:sz w:val="22"/>
                <w:szCs w:val="22"/>
              </w:rPr>
              <w:t>,</w:t>
            </w:r>
            <w:r w:rsidR="00C81360">
              <w:rPr>
                <w:sz w:val="22"/>
                <w:szCs w:val="22"/>
              </w:rPr>
              <w:t>512</w:t>
            </w:r>
          </w:p>
        </w:tc>
      </w:tr>
      <w:tr w:rsidR="009D795D" w:rsidRPr="00A2157C" w:rsidTr="00352E67">
        <w:trPr>
          <w:trHeight w:val="432"/>
        </w:trPr>
        <w:tc>
          <w:tcPr>
            <w:tcW w:w="1260" w:type="dxa"/>
            <w:tcBorders>
              <w:left w:val="double" w:sz="4" w:space="0" w:color="auto"/>
            </w:tcBorders>
            <w:vAlign w:val="center"/>
          </w:tcPr>
          <w:p w:rsidR="009D795D" w:rsidRPr="00A2157C" w:rsidRDefault="009D795D" w:rsidP="00352E67">
            <w:pPr>
              <w:ind w:right="-720"/>
              <w:rPr>
                <w:sz w:val="22"/>
                <w:szCs w:val="22"/>
              </w:rPr>
            </w:pPr>
            <w:r w:rsidRPr="00A2157C">
              <w:rPr>
                <w:sz w:val="22"/>
                <w:szCs w:val="22"/>
              </w:rPr>
              <w:t>774.15-</w:t>
            </w:r>
          </w:p>
          <w:p w:rsidR="009D795D" w:rsidRPr="00A2157C" w:rsidRDefault="009D795D" w:rsidP="00352E67">
            <w:pPr>
              <w:ind w:right="-720"/>
              <w:rPr>
                <w:sz w:val="22"/>
                <w:szCs w:val="22"/>
              </w:rPr>
            </w:pPr>
            <w:r w:rsidRPr="00A2157C">
              <w:rPr>
                <w:sz w:val="22"/>
                <w:szCs w:val="22"/>
              </w:rPr>
              <w:lastRenderedPageBreak/>
              <w:t>renewals</w:t>
            </w:r>
          </w:p>
        </w:tc>
        <w:tc>
          <w:tcPr>
            <w:tcW w:w="1440" w:type="dxa"/>
            <w:vAlign w:val="center"/>
          </w:tcPr>
          <w:p w:rsidR="009D795D" w:rsidRPr="00A2157C" w:rsidRDefault="009D795D" w:rsidP="00352E67">
            <w:pPr>
              <w:ind w:right="-108"/>
              <w:jc w:val="center"/>
              <w:rPr>
                <w:sz w:val="22"/>
                <w:szCs w:val="22"/>
              </w:rPr>
            </w:pPr>
            <w:r w:rsidRPr="00A2157C">
              <w:rPr>
                <w:sz w:val="22"/>
                <w:szCs w:val="22"/>
              </w:rPr>
              <w:lastRenderedPageBreak/>
              <w:t>80</w:t>
            </w:r>
          </w:p>
        </w:tc>
        <w:tc>
          <w:tcPr>
            <w:tcW w:w="1170" w:type="dxa"/>
            <w:vAlign w:val="center"/>
          </w:tcPr>
          <w:p w:rsidR="009D795D" w:rsidRPr="00A2157C" w:rsidRDefault="009D795D" w:rsidP="00352E67">
            <w:pPr>
              <w:ind w:right="-108"/>
              <w:jc w:val="center"/>
              <w:rPr>
                <w:sz w:val="22"/>
                <w:szCs w:val="22"/>
              </w:rPr>
            </w:pPr>
            <w:r w:rsidRPr="00A2157C">
              <w:rPr>
                <w:sz w:val="22"/>
                <w:szCs w:val="22"/>
              </w:rPr>
              <w:t>7</w:t>
            </w:r>
          </w:p>
        </w:tc>
        <w:tc>
          <w:tcPr>
            <w:tcW w:w="1080" w:type="dxa"/>
            <w:vAlign w:val="center"/>
          </w:tcPr>
          <w:p w:rsidR="009D795D" w:rsidRPr="00A2157C" w:rsidRDefault="009D795D" w:rsidP="00352E67">
            <w:pPr>
              <w:ind w:right="-108"/>
              <w:jc w:val="center"/>
              <w:rPr>
                <w:sz w:val="22"/>
                <w:szCs w:val="22"/>
              </w:rPr>
            </w:pPr>
            <w:r>
              <w:rPr>
                <w:sz w:val="22"/>
                <w:szCs w:val="22"/>
              </w:rPr>
              <w:t>97</w:t>
            </w:r>
          </w:p>
        </w:tc>
        <w:tc>
          <w:tcPr>
            <w:tcW w:w="1620" w:type="dxa"/>
            <w:vAlign w:val="center"/>
          </w:tcPr>
          <w:p w:rsidR="009D795D" w:rsidRPr="00A2157C" w:rsidRDefault="009D795D" w:rsidP="009D795D">
            <w:pPr>
              <w:ind w:right="-108"/>
              <w:jc w:val="center"/>
              <w:rPr>
                <w:sz w:val="22"/>
                <w:szCs w:val="22"/>
              </w:rPr>
            </w:pPr>
            <w:r w:rsidRPr="00A2157C">
              <w:rPr>
                <w:sz w:val="22"/>
                <w:szCs w:val="22"/>
              </w:rPr>
              <w:t>6</w:t>
            </w:r>
            <w:r>
              <w:rPr>
                <w:sz w:val="22"/>
                <w:szCs w:val="22"/>
              </w:rPr>
              <w:t>79</w:t>
            </w:r>
            <w:r w:rsidRPr="00A2157C">
              <w:rPr>
                <w:sz w:val="22"/>
                <w:szCs w:val="22"/>
              </w:rPr>
              <w:t>*</w:t>
            </w:r>
          </w:p>
        </w:tc>
        <w:tc>
          <w:tcPr>
            <w:tcW w:w="1080" w:type="dxa"/>
            <w:tcBorders>
              <w:bottom w:val="single" w:sz="4" w:space="0" w:color="auto"/>
            </w:tcBorders>
            <w:vAlign w:val="center"/>
          </w:tcPr>
          <w:p w:rsidR="009D795D" w:rsidRPr="00A2157C" w:rsidRDefault="009D795D" w:rsidP="00352E67">
            <w:pPr>
              <w:ind w:right="-108"/>
              <w:jc w:val="center"/>
              <w:rPr>
                <w:sz w:val="22"/>
                <w:szCs w:val="22"/>
              </w:rPr>
            </w:pPr>
            <w:r>
              <w:rPr>
                <w:sz w:val="22"/>
                <w:szCs w:val="22"/>
              </w:rPr>
              <w:t>759</w:t>
            </w:r>
          </w:p>
        </w:tc>
        <w:tc>
          <w:tcPr>
            <w:tcW w:w="1440" w:type="dxa"/>
            <w:tcBorders>
              <w:bottom w:val="single" w:sz="4" w:space="0" w:color="auto"/>
            </w:tcBorders>
            <w:vAlign w:val="center"/>
          </w:tcPr>
          <w:p w:rsidR="009D795D" w:rsidRPr="00A2157C" w:rsidRDefault="00610263" w:rsidP="00352E67">
            <w:pPr>
              <w:jc w:val="center"/>
            </w:pPr>
            <w:r>
              <w:rPr>
                <w:sz w:val="22"/>
                <w:szCs w:val="22"/>
              </w:rPr>
              <w:t>6</w:t>
            </w:r>
            <w:r w:rsidR="00C81360">
              <w:rPr>
                <w:sz w:val="22"/>
                <w:szCs w:val="22"/>
              </w:rPr>
              <w:t>6</w:t>
            </w:r>
          </w:p>
        </w:tc>
        <w:tc>
          <w:tcPr>
            <w:tcW w:w="1530" w:type="dxa"/>
            <w:tcBorders>
              <w:right w:val="double" w:sz="4" w:space="0" w:color="auto"/>
            </w:tcBorders>
            <w:vAlign w:val="center"/>
          </w:tcPr>
          <w:p w:rsidR="009D795D" w:rsidRPr="00A2157C" w:rsidRDefault="00C81360" w:rsidP="00C81360">
            <w:pPr>
              <w:ind w:right="-108"/>
              <w:jc w:val="center"/>
              <w:rPr>
                <w:sz w:val="22"/>
                <w:szCs w:val="22"/>
              </w:rPr>
            </w:pPr>
            <w:r>
              <w:rPr>
                <w:sz w:val="22"/>
                <w:szCs w:val="22"/>
              </w:rPr>
              <w:t>50</w:t>
            </w:r>
            <w:r w:rsidR="009D795D" w:rsidRPr="00A2157C">
              <w:rPr>
                <w:sz w:val="22"/>
                <w:szCs w:val="22"/>
              </w:rPr>
              <w:t>,</w:t>
            </w:r>
            <w:r>
              <w:rPr>
                <w:sz w:val="22"/>
                <w:szCs w:val="22"/>
              </w:rPr>
              <w:t>094</w:t>
            </w:r>
          </w:p>
        </w:tc>
      </w:tr>
      <w:tr w:rsidR="009D795D" w:rsidRPr="00A2157C" w:rsidTr="00352E67">
        <w:trPr>
          <w:trHeight w:val="432"/>
        </w:trPr>
        <w:tc>
          <w:tcPr>
            <w:tcW w:w="1260" w:type="dxa"/>
            <w:tcBorders>
              <w:left w:val="double" w:sz="4" w:space="0" w:color="auto"/>
            </w:tcBorders>
            <w:vAlign w:val="center"/>
          </w:tcPr>
          <w:p w:rsidR="009D795D" w:rsidRPr="00A2157C" w:rsidRDefault="009D795D" w:rsidP="00352E67">
            <w:pPr>
              <w:ind w:right="-720"/>
              <w:rPr>
                <w:sz w:val="22"/>
                <w:szCs w:val="22"/>
              </w:rPr>
            </w:pPr>
            <w:r w:rsidRPr="00A2157C">
              <w:rPr>
                <w:sz w:val="22"/>
                <w:szCs w:val="22"/>
              </w:rPr>
              <w:lastRenderedPageBreak/>
              <w:t>774.17-</w:t>
            </w:r>
          </w:p>
          <w:p w:rsidR="009D795D" w:rsidRPr="00A2157C" w:rsidRDefault="009D795D" w:rsidP="00352E67">
            <w:pPr>
              <w:ind w:right="-720"/>
              <w:rPr>
                <w:sz w:val="22"/>
                <w:szCs w:val="22"/>
              </w:rPr>
            </w:pPr>
            <w:r w:rsidRPr="00A2157C">
              <w:rPr>
                <w:sz w:val="22"/>
                <w:szCs w:val="22"/>
              </w:rPr>
              <w:t>TAS</w:t>
            </w:r>
          </w:p>
        </w:tc>
        <w:tc>
          <w:tcPr>
            <w:tcW w:w="1440" w:type="dxa"/>
            <w:vAlign w:val="center"/>
          </w:tcPr>
          <w:p w:rsidR="009D795D" w:rsidRPr="00A2157C" w:rsidRDefault="009D795D" w:rsidP="00352E67">
            <w:pPr>
              <w:ind w:right="-108"/>
              <w:jc w:val="center"/>
              <w:rPr>
                <w:sz w:val="22"/>
                <w:szCs w:val="22"/>
              </w:rPr>
            </w:pPr>
            <w:r w:rsidRPr="00A2157C">
              <w:rPr>
                <w:sz w:val="22"/>
                <w:szCs w:val="22"/>
              </w:rPr>
              <w:t>80</w:t>
            </w:r>
          </w:p>
        </w:tc>
        <w:tc>
          <w:tcPr>
            <w:tcW w:w="1170" w:type="dxa"/>
            <w:vAlign w:val="center"/>
          </w:tcPr>
          <w:p w:rsidR="009D795D" w:rsidRPr="00A2157C" w:rsidRDefault="009D795D" w:rsidP="00352E67">
            <w:pPr>
              <w:ind w:right="-108"/>
              <w:jc w:val="center"/>
              <w:rPr>
                <w:sz w:val="22"/>
                <w:szCs w:val="22"/>
              </w:rPr>
            </w:pPr>
            <w:r w:rsidRPr="00A2157C">
              <w:rPr>
                <w:sz w:val="22"/>
                <w:szCs w:val="22"/>
              </w:rPr>
              <w:t>13</w:t>
            </w:r>
          </w:p>
        </w:tc>
        <w:tc>
          <w:tcPr>
            <w:tcW w:w="1080" w:type="dxa"/>
            <w:vAlign w:val="center"/>
          </w:tcPr>
          <w:p w:rsidR="009D795D" w:rsidRPr="00A2157C" w:rsidRDefault="009D795D" w:rsidP="00352E67">
            <w:pPr>
              <w:ind w:right="-108"/>
              <w:jc w:val="center"/>
              <w:rPr>
                <w:sz w:val="22"/>
                <w:szCs w:val="22"/>
              </w:rPr>
            </w:pPr>
            <w:r w:rsidRPr="00A2157C">
              <w:rPr>
                <w:sz w:val="22"/>
                <w:szCs w:val="22"/>
              </w:rPr>
              <w:t>8.5</w:t>
            </w:r>
          </w:p>
        </w:tc>
        <w:tc>
          <w:tcPr>
            <w:tcW w:w="1620" w:type="dxa"/>
            <w:vAlign w:val="center"/>
          </w:tcPr>
          <w:p w:rsidR="009D795D" w:rsidRPr="00A2157C" w:rsidRDefault="009D795D" w:rsidP="00352E67">
            <w:pPr>
              <w:ind w:right="-108"/>
              <w:jc w:val="center"/>
              <w:rPr>
                <w:sz w:val="22"/>
                <w:szCs w:val="22"/>
              </w:rPr>
            </w:pPr>
            <w:r w:rsidRPr="00A2157C">
              <w:rPr>
                <w:sz w:val="22"/>
                <w:szCs w:val="22"/>
              </w:rPr>
              <w:t>111</w:t>
            </w:r>
          </w:p>
        </w:tc>
        <w:tc>
          <w:tcPr>
            <w:tcW w:w="1080" w:type="dxa"/>
            <w:vAlign w:val="center"/>
          </w:tcPr>
          <w:p w:rsidR="009D795D" w:rsidRPr="00A2157C" w:rsidRDefault="009D795D" w:rsidP="00352E67">
            <w:pPr>
              <w:ind w:right="-108"/>
              <w:jc w:val="center"/>
              <w:rPr>
                <w:sz w:val="22"/>
                <w:szCs w:val="22"/>
              </w:rPr>
            </w:pPr>
            <w:r w:rsidRPr="00A2157C">
              <w:rPr>
                <w:sz w:val="22"/>
                <w:szCs w:val="22"/>
              </w:rPr>
              <w:t>191</w:t>
            </w:r>
          </w:p>
        </w:tc>
        <w:tc>
          <w:tcPr>
            <w:tcW w:w="1440" w:type="dxa"/>
            <w:tcBorders>
              <w:top w:val="single" w:sz="4" w:space="0" w:color="auto"/>
            </w:tcBorders>
            <w:vAlign w:val="center"/>
          </w:tcPr>
          <w:p w:rsidR="009D795D" w:rsidRPr="00A2157C" w:rsidRDefault="00C81360" w:rsidP="00352E67">
            <w:pPr>
              <w:jc w:val="center"/>
            </w:pPr>
            <w:r>
              <w:rPr>
                <w:sz w:val="22"/>
                <w:szCs w:val="22"/>
              </w:rPr>
              <w:t>66</w:t>
            </w:r>
          </w:p>
        </w:tc>
        <w:tc>
          <w:tcPr>
            <w:tcW w:w="1530" w:type="dxa"/>
            <w:tcBorders>
              <w:right w:val="double" w:sz="4" w:space="0" w:color="auto"/>
            </w:tcBorders>
            <w:vAlign w:val="center"/>
          </w:tcPr>
          <w:p w:rsidR="009D795D" w:rsidRPr="00A2157C" w:rsidRDefault="009D795D" w:rsidP="00C81360">
            <w:pPr>
              <w:ind w:right="-108"/>
              <w:jc w:val="center"/>
              <w:rPr>
                <w:sz w:val="22"/>
                <w:szCs w:val="22"/>
              </w:rPr>
            </w:pPr>
            <w:r w:rsidRPr="00A2157C">
              <w:rPr>
                <w:sz w:val="22"/>
                <w:szCs w:val="22"/>
              </w:rPr>
              <w:t>1</w:t>
            </w:r>
            <w:r w:rsidR="00610263">
              <w:rPr>
                <w:sz w:val="22"/>
                <w:szCs w:val="22"/>
              </w:rPr>
              <w:t>2</w:t>
            </w:r>
            <w:r w:rsidRPr="00A2157C">
              <w:rPr>
                <w:sz w:val="22"/>
                <w:szCs w:val="22"/>
              </w:rPr>
              <w:t>,</w:t>
            </w:r>
            <w:r w:rsidR="00C81360">
              <w:rPr>
                <w:sz w:val="22"/>
                <w:szCs w:val="22"/>
              </w:rPr>
              <w:t>606</w:t>
            </w:r>
          </w:p>
        </w:tc>
      </w:tr>
      <w:tr w:rsidR="009D795D" w:rsidRPr="00A2157C" w:rsidTr="00352E67">
        <w:trPr>
          <w:trHeight w:val="432"/>
        </w:trPr>
        <w:tc>
          <w:tcPr>
            <w:tcW w:w="1260" w:type="dxa"/>
            <w:tcBorders>
              <w:left w:val="double" w:sz="4" w:space="0" w:color="auto"/>
              <w:bottom w:val="double" w:sz="4" w:space="0" w:color="auto"/>
            </w:tcBorders>
            <w:vAlign w:val="center"/>
          </w:tcPr>
          <w:p w:rsidR="009D795D" w:rsidRPr="00A2157C" w:rsidRDefault="009D795D" w:rsidP="00352E67">
            <w:pPr>
              <w:ind w:right="-720"/>
              <w:rPr>
                <w:sz w:val="22"/>
                <w:szCs w:val="22"/>
              </w:rPr>
            </w:pPr>
            <w:r w:rsidRPr="00A2157C">
              <w:rPr>
                <w:sz w:val="22"/>
                <w:szCs w:val="22"/>
              </w:rPr>
              <w:t>TOTALS</w:t>
            </w:r>
          </w:p>
        </w:tc>
        <w:tc>
          <w:tcPr>
            <w:tcW w:w="1440" w:type="dxa"/>
            <w:tcBorders>
              <w:bottom w:val="double" w:sz="4" w:space="0" w:color="auto"/>
            </w:tcBorders>
            <w:vAlign w:val="center"/>
          </w:tcPr>
          <w:p w:rsidR="009D795D" w:rsidRPr="00A2157C" w:rsidRDefault="009D795D" w:rsidP="00352E67">
            <w:pPr>
              <w:ind w:right="-78"/>
              <w:jc w:val="center"/>
              <w:rPr>
                <w:sz w:val="22"/>
                <w:szCs w:val="22"/>
              </w:rPr>
            </w:pPr>
            <w:r w:rsidRPr="00A2157C">
              <w:rPr>
                <w:sz w:val="22"/>
                <w:szCs w:val="22"/>
              </w:rPr>
              <w:fldChar w:fldCharType="begin"/>
            </w:r>
            <w:r w:rsidRPr="00A2157C">
              <w:rPr>
                <w:sz w:val="22"/>
                <w:szCs w:val="22"/>
              </w:rPr>
              <w:instrText xml:space="preserve"> =SUM(ABOVE) </w:instrText>
            </w:r>
            <w:r w:rsidRPr="00A2157C">
              <w:rPr>
                <w:sz w:val="22"/>
                <w:szCs w:val="22"/>
              </w:rPr>
              <w:fldChar w:fldCharType="separate"/>
            </w:r>
            <w:r w:rsidRPr="00A2157C">
              <w:rPr>
                <w:noProof/>
                <w:sz w:val="22"/>
                <w:szCs w:val="22"/>
              </w:rPr>
              <w:t>256</w:t>
            </w:r>
            <w:r w:rsidRPr="00A2157C">
              <w:rPr>
                <w:sz w:val="22"/>
                <w:szCs w:val="22"/>
              </w:rPr>
              <w:fldChar w:fldCharType="end"/>
            </w:r>
          </w:p>
        </w:tc>
        <w:tc>
          <w:tcPr>
            <w:tcW w:w="1170" w:type="dxa"/>
            <w:tcBorders>
              <w:bottom w:val="double" w:sz="4" w:space="0" w:color="auto"/>
            </w:tcBorders>
            <w:vAlign w:val="center"/>
          </w:tcPr>
          <w:p w:rsidR="009D795D" w:rsidRPr="00A2157C" w:rsidRDefault="009D795D" w:rsidP="00352E67">
            <w:pPr>
              <w:ind w:right="-108"/>
              <w:jc w:val="center"/>
              <w:rPr>
                <w:sz w:val="22"/>
                <w:szCs w:val="22"/>
              </w:rPr>
            </w:pPr>
            <w:r w:rsidRPr="00A2157C">
              <w:rPr>
                <w:sz w:val="22"/>
                <w:szCs w:val="22"/>
              </w:rPr>
              <w:fldChar w:fldCharType="begin"/>
            </w:r>
            <w:r w:rsidRPr="00A2157C">
              <w:rPr>
                <w:sz w:val="22"/>
                <w:szCs w:val="22"/>
              </w:rPr>
              <w:instrText xml:space="preserve"> =SUM(ABOVE) </w:instrText>
            </w:r>
            <w:r w:rsidRPr="00A2157C">
              <w:rPr>
                <w:sz w:val="22"/>
                <w:szCs w:val="22"/>
              </w:rPr>
              <w:fldChar w:fldCharType="separate"/>
            </w:r>
            <w:r w:rsidRPr="00A2157C">
              <w:rPr>
                <w:noProof/>
                <w:sz w:val="22"/>
                <w:szCs w:val="22"/>
              </w:rPr>
              <w:t>167</w:t>
            </w:r>
            <w:r w:rsidRPr="00A2157C">
              <w:rPr>
                <w:sz w:val="22"/>
                <w:szCs w:val="22"/>
              </w:rPr>
              <w:fldChar w:fldCharType="end"/>
            </w:r>
          </w:p>
        </w:tc>
        <w:tc>
          <w:tcPr>
            <w:tcW w:w="1080" w:type="dxa"/>
            <w:tcBorders>
              <w:bottom w:val="double" w:sz="4" w:space="0" w:color="auto"/>
            </w:tcBorders>
            <w:vAlign w:val="center"/>
          </w:tcPr>
          <w:p w:rsidR="009D795D" w:rsidRPr="00A2157C" w:rsidRDefault="009D795D" w:rsidP="00352E67">
            <w:pPr>
              <w:ind w:right="-108"/>
              <w:jc w:val="center"/>
              <w:rPr>
                <w:sz w:val="22"/>
                <w:szCs w:val="22"/>
              </w:rPr>
            </w:pPr>
          </w:p>
        </w:tc>
        <w:tc>
          <w:tcPr>
            <w:tcW w:w="1620" w:type="dxa"/>
            <w:tcBorders>
              <w:bottom w:val="double" w:sz="4" w:space="0" w:color="auto"/>
            </w:tcBorders>
            <w:vAlign w:val="center"/>
          </w:tcPr>
          <w:p w:rsidR="009D795D" w:rsidRPr="00A2157C" w:rsidRDefault="009D795D" w:rsidP="00D52DE1">
            <w:pPr>
              <w:ind w:right="-108"/>
              <w:jc w:val="center"/>
              <w:rPr>
                <w:sz w:val="22"/>
                <w:szCs w:val="22"/>
              </w:rPr>
            </w:pPr>
            <w:r w:rsidRPr="00A2157C">
              <w:rPr>
                <w:sz w:val="22"/>
                <w:szCs w:val="22"/>
              </w:rPr>
              <w:t>3,</w:t>
            </w:r>
            <w:r w:rsidR="00D52DE1">
              <w:rPr>
                <w:sz w:val="22"/>
                <w:szCs w:val="22"/>
              </w:rPr>
              <w:t>142</w:t>
            </w:r>
          </w:p>
        </w:tc>
        <w:tc>
          <w:tcPr>
            <w:tcW w:w="1080" w:type="dxa"/>
            <w:tcBorders>
              <w:bottom w:val="double" w:sz="4" w:space="0" w:color="auto"/>
            </w:tcBorders>
            <w:vAlign w:val="center"/>
          </w:tcPr>
          <w:p w:rsidR="009D795D" w:rsidRPr="00A2157C" w:rsidRDefault="009D795D" w:rsidP="00C81360">
            <w:pPr>
              <w:ind w:right="-108"/>
              <w:jc w:val="center"/>
              <w:rPr>
                <w:sz w:val="22"/>
                <w:szCs w:val="22"/>
              </w:rPr>
            </w:pPr>
            <w:r w:rsidRPr="00A2157C">
              <w:rPr>
                <w:sz w:val="22"/>
                <w:szCs w:val="22"/>
              </w:rPr>
              <w:t>3,3</w:t>
            </w:r>
            <w:r w:rsidR="00C81360">
              <w:rPr>
                <w:sz w:val="22"/>
                <w:szCs w:val="22"/>
              </w:rPr>
              <w:t>98</w:t>
            </w:r>
            <w:bookmarkStart w:id="0" w:name="_GoBack"/>
            <w:bookmarkEnd w:id="0"/>
          </w:p>
        </w:tc>
        <w:tc>
          <w:tcPr>
            <w:tcW w:w="1440" w:type="dxa"/>
            <w:tcBorders>
              <w:bottom w:val="double" w:sz="4" w:space="0" w:color="auto"/>
            </w:tcBorders>
            <w:vAlign w:val="center"/>
          </w:tcPr>
          <w:p w:rsidR="009D795D" w:rsidRPr="00A2157C" w:rsidRDefault="00C81360" w:rsidP="00D52DE1">
            <w:pPr>
              <w:jc w:val="center"/>
            </w:pPr>
            <w:r>
              <w:rPr>
                <w:sz w:val="22"/>
                <w:szCs w:val="22"/>
              </w:rPr>
              <w:t>66</w:t>
            </w:r>
          </w:p>
        </w:tc>
        <w:tc>
          <w:tcPr>
            <w:tcW w:w="1530" w:type="dxa"/>
            <w:tcBorders>
              <w:bottom w:val="double" w:sz="4" w:space="0" w:color="auto"/>
              <w:right w:val="double" w:sz="4" w:space="0" w:color="auto"/>
            </w:tcBorders>
            <w:vAlign w:val="center"/>
          </w:tcPr>
          <w:p w:rsidR="009D795D" w:rsidRPr="00A2157C" w:rsidRDefault="00C81360" w:rsidP="00352E67">
            <w:pPr>
              <w:ind w:right="-108"/>
              <w:jc w:val="center"/>
              <w:rPr>
                <w:sz w:val="22"/>
                <w:szCs w:val="22"/>
              </w:rPr>
            </w:pPr>
            <w:r>
              <w:rPr>
                <w:sz w:val="22"/>
                <w:szCs w:val="22"/>
              </w:rPr>
              <w:fldChar w:fldCharType="begin"/>
            </w:r>
            <w:r>
              <w:rPr>
                <w:sz w:val="22"/>
                <w:szCs w:val="22"/>
              </w:rPr>
              <w:instrText xml:space="preserve"> =SUM(ABOVE) </w:instrText>
            </w:r>
            <w:r>
              <w:rPr>
                <w:sz w:val="22"/>
                <w:szCs w:val="22"/>
              </w:rPr>
              <w:fldChar w:fldCharType="separate"/>
            </w:r>
            <w:r>
              <w:rPr>
                <w:noProof/>
                <w:sz w:val="22"/>
                <w:szCs w:val="22"/>
              </w:rPr>
              <w:t>224,268</w:t>
            </w:r>
            <w:r>
              <w:rPr>
                <w:sz w:val="22"/>
                <w:szCs w:val="22"/>
              </w:rPr>
              <w:fldChar w:fldCharType="end"/>
            </w:r>
          </w:p>
        </w:tc>
      </w:tr>
    </w:tbl>
    <w:p w:rsidR="009D795D" w:rsidRPr="00A2157C" w:rsidRDefault="009D795D" w:rsidP="009D795D">
      <w:pPr>
        <w:jc w:val="center"/>
        <w:rPr>
          <w:sz w:val="20"/>
          <w:szCs w:val="20"/>
        </w:rPr>
      </w:pPr>
    </w:p>
    <w:p w:rsidR="009D795D" w:rsidRPr="00A2157C" w:rsidRDefault="009D795D" w:rsidP="009D795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r w:rsidRPr="00A2157C">
        <w:t>*Includes 1 renewal @500 hours</w:t>
      </w:r>
    </w:p>
    <w:p w:rsidR="00DE4491" w:rsidRDefault="00DE4491" w:rsidP="00DE449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u w:val="single"/>
        </w:rPr>
      </w:pPr>
    </w:p>
    <w:p w:rsidR="006728AE" w:rsidRPr="006728AE" w:rsidRDefault="00610263" w:rsidP="006728AE">
      <w:pPr>
        <w:tabs>
          <w:tab w:val="left" w:pos="360"/>
        </w:tabs>
        <w:autoSpaceDE w:val="0"/>
        <w:autoSpaceDN w:val="0"/>
        <w:adjustRightInd w:val="0"/>
        <w:ind w:left="720"/>
      </w:pPr>
      <w:r>
        <w:t>B</w:t>
      </w:r>
      <w:r w:rsidRPr="00B72687">
        <w:t>ased on the U.S. Office of Personnel Management Salary Table 201</w:t>
      </w:r>
      <w:r w:rsidR="00C81360">
        <w:t>5</w:t>
      </w:r>
      <w:r w:rsidRPr="00B72687">
        <w:t>-RUS located at</w:t>
      </w:r>
      <w:r>
        <w:t xml:space="preserve">, </w:t>
      </w:r>
      <w:hyperlink r:id="rId12" w:history="1">
        <w:r w:rsidR="00C81360" w:rsidRPr="00413193">
          <w:rPr>
            <w:rStyle w:val="Hyperlink"/>
          </w:rPr>
          <w:t>http://www.opm.gov/policy-data-oversight/pay-leave/salaries-wages/salary-tables/pdf/2015/RU</w:t>
        </w:r>
        <w:r w:rsidR="00C81360" w:rsidRPr="00413193">
          <w:rPr>
            <w:rStyle w:val="Hyperlink"/>
          </w:rPr>
          <w:t>S</w:t>
        </w:r>
        <w:r w:rsidR="00C81360" w:rsidRPr="00413193">
          <w:rPr>
            <w:rStyle w:val="Hyperlink"/>
          </w:rPr>
          <w:t>_h.pdf</w:t>
        </w:r>
      </w:hyperlink>
      <w:r w:rsidR="00C81360">
        <w:t xml:space="preserve"> </w:t>
      </w:r>
      <w:r>
        <w:t>, t</w:t>
      </w:r>
      <w:r w:rsidRPr="00C17D0E">
        <w:t>he annual average salary used to estimate the wage cost to the Federal Government is $</w:t>
      </w:r>
      <w:r w:rsidR="00C81360">
        <w:t>66</w:t>
      </w:r>
      <w:r w:rsidRPr="00C17D0E">
        <w:t xml:space="preserve"> per hour</w:t>
      </w:r>
      <w:r>
        <w:t xml:space="preserve"> for a GS 13 step 4 </w:t>
      </w:r>
      <w:proofErr w:type="gramStart"/>
      <w:r>
        <w:t>technician</w:t>
      </w:r>
      <w:proofErr w:type="gramEnd"/>
      <w:r>
        <w:t xml:space="preserve">.  Incorporating </w:t>
      </w:r>
      <w:r w:rsidRPr="00B72687">
        <w:t xml:space="preserve">benefits </w:t>
      </w:r>
      <w:r w:rsidRPr="004349D8">
        <w:t>using a 1.</w:t>
      </w:r>
      <w:r>
        <w:t>5</w:t>
      </w:r>
      <w:r w:rsidRPr="004349D8">
        <w:t xml:space="preserve"> multiplier from the ratio between wages and benefits derived using OSM’s </w:t>
      </w:r>
      <w:r w:rsidRPr="004349D8">
        <w:rPr>
          <w:color w:val="000000"/>
        </w:rPr>
        <w:t>Financial and Business Management System</w:t>
      </w:r>
      <w:r>
        <w:t>, t</w:t>
      </w:r>
      <w:r w:rsidRPr="00B72687">
        <w:t xml:space="preserve">he hourly </w:t>
      </w:r>
      <w:r>
        <w:t xml:space="preserve">wage </w:t>
      </w:r>
      <w:r w:rsidRPr="00B72687">
        <w:t xml:space="preserve">cost to the Federal Government is </w:t>
      </w:r>
      <w:r>
        <w:t>$6</w:t>
      </w:r>
      <w:r w:rsidR="00C81360">
        <w:t>6</w:t>
      </w:r>
      <w:r>
        <w:t xml:space="preserve"> per hour.  </w:t>
      </w:r>
      <w:r w:rsidR="006728AE" w:rsidRPr="006728AE">
        <w:t xml:space="preserve">A multiplier of 1.5 [as implied by BLS new release USDL-14-1075, EMPLOYER COSTS FOR EMPLOYEE COMPENSATION—MARCH 2014 (see </w:t>
      </w:r>
      <w:hyperlink r:id="rId13" w:history="1">
        <w:r w:rsidR="006728AE" w:rsidRPr="006728AE">
          <w:rPr>
            <w:color w:val="0000FF"/>
            <w:u w:val="single"/>
          </w:rPr>
          <w:t>http://www.bls.gov/news.release/ecec.nr0.htm)</w:t>
        </w:r>
      </w:hyperlink>
      <w:r w:rsidR="006728AE" w:rsidRPr="006728AE">
        <w:t xml:space="preserve">] was added for benefits. </w:t>
      </w:r>
    </w:p>
    <w:p w:rsidR="006728AE" w:rsidRPr="006728AE" w:rsidRDefault="006728AE" w:rsidP="006728AE">
      <w:pPr>
        <w:tabs>
          <w:tab w:val="left" w:pos="360"/>
        </w:tabs>
        <w:autoSpaceDE w:val="0"/>
        <w:autoSpaceDN w:val="0"/>
        <w:adjustRightInd w:val="0"/>
        <w:ind w:left="720"/>
      </w:pPr>
    </w:p>
    <w:p w:rsidR="00C64E7D" w:rsidRDefault="00B5273E" w:rsidP="007D2D9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DF2CE2">
        <w:t>15.</w:t>
      </w:r>
      <w:r w:rsidRPr="00DF2CE2">
        <w:tab/>
      </w:r>
      <w:r w:rsidR="007D2D95" w:rsidRPr="00072AA0">
        <w:rPr>
          <w:i/>
        </w:rPr>
        <w:t>Explain the reasons for any program changes or adjustments in hour or cost burden.</w:t>
      </w:r>
    </w:p>
    <w:p w:rsidR="007D2D95" w:rsidRDefault="007D2D95" w:rsidP="007D2D9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C64E7D" w:rsidRDefault="00C64E7D" w:rsidP="00C64E7D">
      <w:pPr>
        <w:pStyle w:val="BodyTextIndent"/>
        <w:ind w:left="720" w:hanging="720"/>
      </w:pPr>
      <w:r>
        <w:tab/>
      </w:r>
      <w:r w:rsidRPr="00E84869">
        <w:t xml:space="preserve">This information collection request </w:t>
      </w:r>
      <w:r>
        <w:t>will increase the burden estimate for part 774 due to a</w:t>
      </w:r>
      <w:r w:rsidR="00410340">
        <w:t xml:space="preserve"> program change from the Stream Protection rule</w:t>
      </w:r>
      <w:r w:rsidR="003B578C">
        <w:t xml:space="preserve"> a</w:t>
      </w:r>
      <w:r>
        <w:t>s shown below.</w:t>
      </w:r>
      <w:r w:rsidR="007D2D95">
        <w:t xml:space="preserve">  </w:t>
      </w:r>
    </w:p>
    <w:p w:rsidR="00C64E7D" w:rsidRDefault="00C64E7D" w:rsidP="00C64E7D">
      <w:pPr>
        <w:pStyle w:val="BodyTextIndent"/>
        <w:ind w:left="0"/>
      </w:pPr>
    </w:p>
    <w:p w:rsidR="00C64E7D" w:rsidRDefault="00C64E7D" w:rsidP="00E8768E">
      <w:pPr>
        <w:pStyle w:val="BodyTextIndent"/>
        <w:tabs>
          <w:tab w:val="left" w:pos="1080"/>
        </w:tabs>
        <w:ind w:left="720" w:hanging="720"/>
      </w:pPr>
      <w:r>
        <w:tab/>
      </w:r>
      <w:r>
        <w:tab/>
      </w:r>
      <w:r w:rsidR="00CE4726">
        <w:t>242,179</w:t>
      </w:r>
      <w:r>
        <w:t xml:space="preserve">  hours currently approved</w:t>
      </w:r>
    </w:p>
    <w:p w:rsidR="00C64E7D" w:rsidRPr="00E831F0" w:rsidRDefault="00410340" w:rsidP="00C64E7D">
      <w:pPr>
        <w:pStyle w:val="BodyTextIndent"/>
        <w:tabs>
          <w:tab w:val="left" w:pos="1080"/>
        </w:tabs>
        <w:ind w:left="720" w:hanging="720"/>
      </w:pPr>
      <w:r>
        <w:tab/>
      </w:r>
      <w:r w:rsidR="00C64E7D" w:rsidRPr="00AF4093">
        <w:rPr>
          <w:u w:val="single"/>
        </w:rPr>
        <w:t>+</w:t>
      </w:r>
      <w:r w:rsidR="00C64E7D">
        <w:rPr>
          <w:u w:val="single"/>
        </w:rPr>
        <w:tab/>
      </w:r>
      <w:r w:rsidR="00E8768E">
        <w:rPr>
          <w:u w:val="single"/>
        </w:rPr>
        <w:t xml:space="preserve"> </w:t>
      </w:r>
      <w:r w:rsidR="00CE4726">
        <w:rPr>
          <w:u w:val="single"/>
        </w:rPr>
        <w:t xml:space="preserve"> </w:t>
      </w:r>
      <w:proofErr w:type="gramStart"/>
      <w:r w:rsidR="00C64E7D">
        <w:rPr>
          <w:u w:val="single"/>
        </w:rPr>
        <w:t>1</w:t>
      </w:r>
      <w:r w:rsidR="00BA478E">
        <w:rPr>
          <w:u w:val="single"/>
        </w:rPr>
        <w:t>2</w:t>
      </w:r>
      <w:r w:rsidR="00C64E7D">
        <w:rPr>
          <w:u w:val="single"/>
        </w:rPr>
        <w:t>,</w:t>
      </w:r>
      <w:r w:rsidR="00BA478E">
        <w:rPr>
          <w:u w:val="single"/>
        </w:rPr>
        <w:t>226</w:t>
      </w:r>
      <w:r w:rsidR="00C64E7D" w:rsidRPr="00E831F0">
        <w:t xml:space="preserve">  hours</w:t>
      </w:r>
      <w:proofErr w:type="gramEnd"/>
      <w:r w:rsidR="00C64E7D" w:rsidRPr="00E831F0">
        <w:t xml:space="preserve"> due to </w:t>
      </w:r>
      <w:r w:rsidR="003B578C">
        <w:t xml:space="preserve">a </w:t>
      </w:r>
      <w:r w:rsidR="00D45F79">
        <w:t>program change</w:t>
      </w:r>
    </w:p>
    <w:p w:rsidR="00C64E7D" w:rsidRDefault="00C64E7D" w:rsidP="00C64E7D">
      <w:pPr>
        <w:tabs>
          <w:tab w:val="left" w:pos="1080"/>
        </w:tabs>
        <w:ind w:left="720" w:hanging="720"/>
      </w:pPr>
      <w:r>
        <w:tab/>
      </w:r>
      <w:r>
        <w:tab/>
      </w:r>
      <w:proofErr w:type="gramStart"/>
      <w:r w:rsidR="00E8768E">
        <w:t>254,</w:t>
      </w:r>
      <w:r w:rsidR="00BA478E">
        <w:t>405</w:t>
      </w:r>
      <w:r w:rsidR="00D45F79">
        <w:t xml:space="preserve">  </w:t>
      </w:r>
      <w:r>
        <w:t>hours</w:t>
      </w:r>
      <w:proofErr w:type="gramEnd"/>
      <w:r>
        <w:t xml:space="preserve"> requested</w:t>
      </w:r>
    </w:p>
    <w:p w:rsidR="00B5273E" w:rsidRDefault="00B5273E"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6B3FC6" w:rsidRDefault="006B3FC6"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 xml:space="preserve">This collection </w:t>
      </w:r>
      <w:r w:rsidR="006512F9">
        <w:t xml:space="preserve">does not alter </w:t>
      </w:r>
      <w:r w:rsidR="009A6A6E">
        <w:t xml:space="preserve">the non-wage cost </w:t>
      </w:r>
      <w:r>
        <w:t xml:space="preserve">burden </w:t>
      </w:r>
      <w:r w:rsidR="006512F9">
        <w:t xml:space="preserve">of </w:t>
      </w:r>
      <w:r>
        <w:t>$</w:t>
      </w:r>
      <w:r w:rsidR="00E8768E">
        <w:t>902,920</w:t>
      </w:r>
      <w:r w:rsidR="006B4A36">
        <w:t xml:space="preserve"> currently approved by OMB</w:t>
      </w:r>
      <w:r>
        <w:t>.</w:t>
      </w:r>
    </w:p>
    <w:p w:rsidR="006B3FC6" w:rsidRPr="00DF2CE2" w:rsidRDefault="006B3FC6"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7D2D95" w:rsidRPr="007D2D95" w:rsidRDefault="00B5273E" w:rsidP="007D2D9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DF2CE2">
        <w:t>16.</w:t>
      </w:r>
      <w:r w:rsidRPr="00DF2CE2">
        <w:tab/>
      </w:r>
      <w:r w:rsidR="007D2D95" w:rsidRPr="007D2D95">
        <w:rPr>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8573E" w:rsidRDefault="0078573E" w:rsidP="007D2D9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78573E" w:rsidRPr="00C17D0E" w:rsidRDefault="0078573E" w:rsidP="0078573E">
      <w:pPr>
        <w:ind w:left="720"/>
      </w:pPr>
      <w:r w:rsidRPr="00C17D0E">
        <w:t xml:space="preserve">Not applicable.  </w:t>
      </w:r>
      <w:r w:rsidR="003E3488">
        <w:t>OSMRE</w:t>
      </w:r>
      <w:r w:rsidRPr="00C17D0E">
        <w:t xml:space="preserve"> has no plans to publish the information collected under 30 </w:t>
      </w:r>
      <w:smartTag w:uri="urn:schemas-microsoft-com:office:smarttags" w:element="stockticker">
        <w:r w:rsidRPr="00C17D0E">
          <w:t>CFR</w:t>
        </w:r>
      </w:smartTag>
      <w:r w:rsidRPr="00C17D0E">
        <w:t xml:space="preserve"> 774.</w:t>
      </w:r>
    </w:p>
    <w:p w:rsidR="00B5273E" w:rsidRPr="00DF2CE2" w:rsidRDefault="00B5273E"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7D2D95" w:rsidRPr="007D2D95" w:rsidRDefault="00B22E4A" w:rsidP="007D2D9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t>17.</w:t>
      </w:r>
      <w:r>
        <w:tab/>
      </w:r>
      <w:r w:rsidR="007D2D95" w:rsidRPr="007D2D95">
        <w:rPr>
          <w:i/>
        </w:rPr>
        <w:t>If seeking approval to not display the expiration date for OMB approval of the information collection, explain the reasons that display would be inappropriate.</w:t>
      </w:r>
    </w:p>
    <w:p w:rsidR="00B5273E" w:rsidRDefault="00B5273E"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78573E" w:rsidRPr="00C17D0E" w:rsidRDefault="00C64E7D" w:rsidP="00C64E7D">
      <w:pPr>
        <w:ind w:left="720" w:hanging="720"/>
      </w:pPr>
      <w:r>
        <w:tab/>
      </w:r>
      <w:r w:rsidR="0078573E" w:rsidRPr="00C17D0E">
        <w:t xml:space="preserve">Not applicable.  </w:t>
      </w:r>
    </w:p>
    <w:p w:rsidR="0078573E" w:rsidRPr="00FE264D" w:rsidRDefault="0078573E"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7D2D95" w:rsidRPr="007D2D95" w:rsidRDefault="00B5273E" w:rsidP="007D2D9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DF2CE2">
        <w:lastRenderedPageBreak/>
        <w:t>18.</w:t>
      </w:r>
      <w:r w:rsidRPr="00DF2CE2">
        <w:tab/>
      </w:r>
      <w:r w:rsidR="007D2D95" w:rsidRPr="007D2D95">
        <w:rPr>
          <w:i/>
        </w:rPr>
        <w:t>Explain each exception to the topics of the certification statement identified in "Certification for Paperwork Reduction Act Submissions."</w:t>
      </w:r>
    </w:p>
    <w:p w:rsidR="00B5273E" w:rsidRPr="00DF2CE2" w:rsidRDefault="00B5273E" w:rsidP="00B5273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rsidR="00C64E7D" w:rsidRPr="00C17D0E" w:rsidRDefault="00C64E7D" w:rsidP="00C64E7D">
      <w:pPr>
        <w:ind w:left="720"/>
      </w:pPr>
      <w:r w:rsidRPr="00C17D0E">
        <w:t xml:space="preserve">Not applicable.  There are no exceptions to </w:t>
      </w:r>
      <w:r>
        <w:t xml:space="preserve">OMB’s </w:t>
      </w:r>
      <w:r w:rsidRPr="00DF2CE2">
        <w:rPr>
          <w:i/>
        </w:rPr>
        <w:t>Certification for Paperwork Reduction Act Submissions</w:t>
      </w:r>
      <w:r w:rsidRPr="00C17D0E">
        <w:t>.</w:t>
      </w:r>
    </w:p>
    <w:p w:rsidR="00EE78F2" w:rsidRDefault="00EE78F2" w:rsidP="00C64E7D"/>
    <w:p w:rsidR="00B55A1B" w:rsidRPr="00C17D0E" w:rsidRDefault="00B55A1B" w:rsidP="007345B2">
      <w:pPr>
        <w:ind w:left="720" w:hanging="720"/>
      </w:pPr>
    </w:p>
    <w:sectPr w:rsidR="00B55A1B" w:rsidRPr="00C17D0E" w:rsidSect="00DF332F">
      <w:footerReference w:type="even" r:id="rId14"/>
      <w:footerReference w:type="default" r:id="rId15"/>
      <w:pgSz w:w="12240" w:h="15840"/>
      <w:pgMar w:top="1440" w:right="180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656" w:rsidRDefault="00AE3656">
      <w:r>
        <w:separator/>
      </w:r>
    </w:p>
  </w:endnote>
  <w:endnote w:type="continuationSeparator" w:id="0">
    <w:p w:rsidR="00AE3656" w:rsidRDefault="00AE3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F72" w:rsidRDefault="00BC7F72" w:rsidP="00DF33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C7F72" w:rsidRDefault="00BC7F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F72" w:rsidRDefault="00BC7F72" w:rsidP="00DF33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81360">
      <w:rPr>
        <w:rStyle w:val="PageNumber"/>
        <w:noProof/>
      </w:rPr>
      <w:t>10</w:t>
    </w:r>
    <w:r>
      <w:rPr>
        <w:rStyle w:val="PageNumber"/>
      </w:rPr>
      <w:fldChar w:fldCharType="end"/>
    </w:r>
  </w:p>
  <w:p w:rsidR="00BC7F72" w:rsidRDefault="00BC7F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656" w:rsidRDefault="00AE3656">
      <w:r>
        <w:separator/>
      </w:r>
    </w:p>
  </w:footnote>
  <w:footnote w:type="continuationSeparator" w:id="0">
    <w:p w:rsidR="00AE3656" w:rsidRDefault="00AE36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622FE"/>
    <w:multiLevelType w:val="hybridMultilevel"/>
    <w:tmpl w:val="0D34C1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F9A27BF"/>
    <w:multiLevelType w:val="hybridMultilevel"/>
    <w:tmpl w:val="3460A482"/>
    <w:lvl w:ilvl="0" w:tplc="9AE02EA0">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BC5868"/>
    <w:multiLevelType w:val="hybridMultilevel"/>
    <w:tmpl w:val="24423EB0"/>
    <w:lvl w:ilvl="0" w:tplc="BD64263C">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433A8276">
      <w:start w:val="2"/>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D8782A"/>
    <w:multiLevelType w:val="hybridMultilevel"/>
    <w:tmpl w:val="809C426C"/>
    <w:lvl w:ilvl="0" w:tplc="F0C4273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587070B"/>
    <w:multiLevelType w:val="hybridMultilevel"/>
    <w:tmpl w:val="8C481AF0"/>
    <w:lvl w:ilvl="0" w:tplc="C9D6B5F6">
      <w:start w:val="7"/>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EA58F3"/>
    <w:multiLevelType w:val="hybridMultilevel"/>
    <w:tmpl w:val="E342E46A"/>
    <w:lvl w:ilvl="0" w:tplc="72B621F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FF76F73"/>
    <w:multiLevelType w:val="hybridMultilevel"/>
    <w:tmpl w:val="B19C36BE"/>
    <w:lvl w:ilvl="0" w:tplc="78CE05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3F2394B"/>
    <w:multiLevelType w:val="hybridMultilevel"/>
    <w:tmpl w:val="50288C90"/>
    <w:lvl w:ilvl="0" w:tplc="02A6E758">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AA1270F"/>
    <w:multiLevelType w:val="hybridMultilevel"/>
    <w:tmpl w:val="A400363C"/>
    <w:lvl w:ilvl="0" w:tplc="F4E8F0C8">
      <w:start w:val="1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0BE0C7A"/>
    <w:multiLevelType w:val="hybridMultilevel"/>
    <w:tmpl w:val="415840BE"/>
    <w:lvl w:ilvl="0" w:tplc="0C265D1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21F741E"/>
    <w:multiLevelType w:val="hybridMultilevel"/>
    <w:tmpl w:val="AE0812F4"/>
    <w:lvl w:ilvl="0" w:tplc="8460C524">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68C1FA1"/>
    <w:multiLevelType w:val="multilevel"/>
    <w:tmpl w:val="262824BE"/>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nsid w:val="483261ED"/>
    <w:multiLevelType w:val="hybridMultilevel"/>
    <w:tmpl w:val="7894318A"/>
    <w:lvl w:ilvl="0" w:tplc="ED3CD56C">
      <w:start w:val="1"/>
      <w:numFmt w:val="decimal"/>
      <w:lvlText w:val="%1."/>
      <w:lvlJc w:val="left"/>
      <w:pPr>
        <w:tabs>
          <w:tab w:val="num" w:pos="360"/>
        </w:tabs>
        <w:ind w:left="360" w:hanging="360"/>
      </w:pPr>
      <w:rPr>
        <w:rFonts w:hint="default"/>
      </w:rPr>
    </w:lvl>
    <w:lvl w:ilvl="1" w:tplc="D06E8FA4">
      <w:start w:val="1"/>
      <w:numFmt w:val="lowerLetter"/>
      <w:lvlText w:val="%2."/>
      <w:lvlJc w:val="left"/>
      <w:pPr>
        <w:tabs>
          <w:tab w:val="num" w:pos="792"/>
        </w:tabs>
        <w:ind w:left="79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AD507BF"/>
    <w:multiLevelType w:val="hybridMultilevel"/>
    <w:tmpl w:val="F7DEAE0C"/>
    <w:lvl w:ilvl="0" w:tplc="9856917E">
      <w:start w:val="8"/>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nsid w:val="53C916DE"/>
    <w:multiLevelType w:val="hybridMultilevel"/>
    <w:tmpl w:val="7446FD14"/>
    <w:lvl w:ilvl="0" w:tplc="7DCC5B4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3431DE3"/>
    <w:multiLevelType w:val="hybridMultilevel"/>
    <w:tmpl w:val="A6BE74F2"/>
    <w:lvl w:ilvl="0" w:tplc="8BC2363E">
      <w:start w:val="3"/>
      <w:numFmt w:val="decimal"/>
      <w:lvlText w:val="%1."/>
      <w:lvlJc w:val="left"/>
      <w:pPr>
        <w:tabs>
          <w:tab w:val="num" w:pos="360"/>
        </w:tabs>
        <w:ind w:left="360" w:hanging="360"/>
      </w:pPr>
      <w:rPr>
        <w:rFonts w:hint="default"/>
      </w:rPr>
    </w:lvl>
    <w:lvl w:ilvl="1" w:tplc="065EA820">
      <w:start w:val="2"/>
      <w:numFmt w:val="upperLetter"/>
      <w:lvlText w:val="%2."/>
      <w:lvlJc w:val="left"/>
      <w:pPr>
        <w:tabs>
          <w:tab w:val="num" w:pos="360"/>
        </w:tabs>
        <w:ind w:left="360" w:hanging="360"/>
      </w:pPr>
      <w:rPr>
        <w:rFonts w:hint="default"/>
      </w:rPr>
    </w:lvl>
    <w:lvl w:ilvl="2" w:tplc="0F8E07B6">
      <w:start w:val="2"/>
      <w:numFmt w:val="lowerLetter"/>
      <w:lvlText w:val="%3."/>
      <w:lvlJc w:val="left"/>
      <w:pPr>
        <w:tabs>
          <w:tab w:val="num" w:pos="2340"/>
        </w:tabs>
        <w:ind w:left="2340" w:hanging="360"/>
      </w:pPr>
      <w:rPr>
        <w:rFonts w:hint="default"/>
      </w:rPr>
    </w:lvl>
    <w:lvl w:ilvl="3" w:tplc="6316B242">
      <w:start w:val="3"/>
      <w:numFmt w:val="bullet"/>
      <w:lvlText w:val="-"/>
      <w:lvlJc w:val="left"/>
      <w:pPr>
        <w:tabs>
          <w:tab w:val="num" w:pos="720"/>
        </w:tabs>
        <w:ind w:left="720" w:hanging="360"/>
      </w:pPr>
      <w:rPr>
        <w:rFonts w:ascii="Times New Roman" w:eastAsia="Times New Roman" w:hAnsi="Times New Roman" w:cs="Times New Roman" w:hint="default"/>
      </w:rPr>
    </w:lvl>
    <w:lvl w:ilvl="4" w:tplc="AFFA9714">
      <w:start w:val="6"/>
      <w:numFmt w:val="decimal"/>
      <w:lvlText w:val="%5."/>
      <w:lvlJc w:val="left"/>
      <w:pPr>
        <w:tabs>
          <w:tab w:val="num" w:pos="360"/>
        </w:tabs>
        <w:ind w:left="36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9F56C90"/>
    <w:multiLevelType w:val="hybridMultilevel"/>
    <w:tmpl w:val="262824BE"/>
    <w:lvl w:ilvl="0" w:tplc="EC565FB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7D852E34"/>
    <w:multiLevelType w:val="hybridMultilevel"/>
    <w:tmpl w:val="6638DA3E"/>
    <w:lvl w:ilvl="0" w:tplc="A74CADE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5"/>
  </w:num>
  <w:num w:numId="3">
    <w:abstractNumId w:val="12"/>
  </w:num>
  <w:num w:numId="4">
    <w:abstractNumId w:val="6"/>
  </w:num>
  <w:num w:numId="5">
    <w:abstractNumId w:val="5"/>
  </w:num>
  <w:num w:numId="6">
    <w:abstractNumId w:val="7"/>
  </w:num>
  <w:num w:numId="7">
    <w:abstractNumId w:val="4"/>
  </w:num>
  <w:num w:numId="8">
    <w:abstractNumId w:val="2"/>
  </w:num>
  <w:num w:numId="9">
    <w:abstractNumId w:val="8"/>
  </w:num>
  <w:num w:numId="10">
    <w:abstractNumId w:val="14"/>
  </w:num>
  <w:num w:numId="11">
    <w:abstractNumId w:val="9"/>
  </w:num>
  <w:num w:numId="12">
    <w:abstractNumId w:val="1"/>
  </w:num>
  <w:num w:numId="13">
    <w:abstractNumId w:val="16"/>
  </w:num>
  <w:num w:numId="14">
    <w:abstractNumId w:val="11"/>
  </w:num>
  <w:num w:numId="15">
    <w:abstractNumId w:val="3"/>
  </w:num>
  <w:num w:numId="16">
    <w:abstractNumId w:val="0"/>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73E"/>
    <w:rsid w:val="000008BE"/>
    <w:rsid w:val="000074C5"/>
    <w:rsid w:val="00010C39"/>
    <w:rsid w:val="00011516"/>
    <w:rsid w:val="00014B07"/>
    <w:rsid w:val="00023D75"/>
    <w:rsid w:val="00026822"/>
    <w:rsid w:val="00033293"/>
    <w:rsid w:val="000363B5"/>
    <w:rsid w:val="0003682C"/>
    <w:rsid w:val="00046F4A"/>
    <w:rsid w:val="00050EE5"/>
    <w:rsid w:val="00051907"/>
    <w:rsid w:val="00057C98"/>
    <w:rsid w:val="00060A7C"/>
    <w:rsid w:val="00062115"/>
    <w:rsid w:val="00062331"/>
    <w:rsid w:val="0006297E"/>
    <w:rsid w:val="0006581F"/>
    <w:rsid w:val="00066CE2"/>
    <w:rsid w:val="00073576"/>
    <w:rsid w:val="00074AC6"/>
    <w:rsid w:val="00076CD4"/>
    <w:rsid w:val="00076E74"/>
    <w:rsid w:val="00085B78"/>
    <w:rsid w:val="00087A44"/>
    <w:rsid w:val="00092009"/>
    <w:rsid w:val="00096379"/>
    <w:rsid w:val="000A3D21"/>
    <w:rsid w:val="000B5941"/>
    <w:rsid w:val="000C1A59"/>
    <w:rsid w:val="000C365C"/>
    <w:rsid w:val="000D0195"/>
    <w:rsid w:val="000D1336"/>
    <w:rsid w:val="000D2440"/>
    <w:rsid w:val="000D4713"/>
    <w:rsid w:val="000D52CA"/>
    <w:rsid w:val="000D69DC"/>
    <w:rsid w:val="000E1183"/>
    <w:rsid w:val="000E2118"/>
    <w:rsid w:val="000E4551"/>
    <w:rsid w:val="000E55B8"/>
    <w:rsid w:val="000E5A73"/>
    <w:rsid w:val="000F0C61"/>
    <w:rsid w:val="000F1763"/>
    <w:rsid w:val="000F744A"/>
    <w:rsid w:val="000F7568"/>
    <w:rsid w:val="0010008C"/>
    <w:rsid w:val="00101465"/>
    <w:rsid w:val="001039D8"/>
    <w:rsid w:val="00103F02"/>
    <w:rsid w:val="00105FB0"/>
    <w:rsid w:val="00111BEB"/>
    <w:rsid w:val="00116F00"/>
    <w:rsid w:val="00120121"/>
    <w:rsid w:val="00127355"/>
    <w:rsid w:val="001323E2"/>
    <w:rsid w:val="001325ED"/>
    <w:rsid w:val="001333E6"/>
    <w:rsid w:val="001404B3"/>
    <w:rsid w:val="00140DAD"/>
    <w:rsid w:val="00141DFF"/>
    <w:rsid w:val="00145A85"/>
    <w:rsid w:val="00155F80"/>
    <w:rsid w:val="001627E4"/>
    <w:rsid w:val="001669CD"/>
    <w:rsid w:val="0017239C"/>
    <w:rsid w:val="0018073F"/>
    <w:rsid w:val="001818A8"/>
    <w:rsid w:val="001851AB"/>
    <w:rsid w:val="00190BE3"/>
    <w:rsid w:val="00191601"/>
    <w:rsid w:val="00195655"/>
    <w:rsid w:val="001A0FA0"/>
    <w:rsid w:val="001A3C64"/>
    <w:rsid w:val="001A58EF"/>
    <w:rsid w:val="001B1EB0"/>
    <w:rsid w:val="001C1D30"/>
    <w:rsid w:val="001C23FE"/>
    <w:rsid w:val="001C58AC"/>
    <w:rsid w:val="001C6E04"/>
    <w:rsid w:val="001D1967"/>
    <w:rsid w:val="001D3E09"/>
    <w:rsid w:val="001D7BFA"/>
    <w:rsid w:val="001F280C"/>
    <w:rsid w:val="001F4634"/>
    <w:rsid w:val="001F4B65"/>
    <w:rsid w:val="002020D2"/>
    <w:rsid w:val="00202DCC"/>
    <w:rsid w:val="00216C0E"/>
    <w:rsid w:val="00226162"/>
    <w:rsid w:val="00232C27"/>
    <w:rsid w:val="002338C7"/>
    <w:rsid w:val="0023540A"/>
    <w:rsid w:val="00241166"/>
    <w:rsid w:val="0024388A"/>
    <w:rsid w:val="002467DE"/>
    <w:rsid w:val="00256330"/>
    <w:rsid w:val="0026567C"/>
    <w:rsid w:val="002667C6"/>
    <w:rsid w:val="00270022"/>
    <w:rsid w:val="00274FC5"/>
    <w:rsid w:val="0027568C"/>
    <w:rsid w:val="002855E3"/>
    <w:rsid w:val="0028706B"/>
    <w:rsid w:val="00291353"/>
    <w:rsid w:val="002920DF"/>
    <w:rsid w:val="0029356F"/>
    <w:rsid w:val="00297D0A"/>
    <w:rsid w:val="002A547A"/>
    <w:rsid w:val="002A6F18"/>
    <w:rsid w:val="002A78C9"/>
    <w:rsid w:val="002B195A"/>
    <w:rsid w:val="002B79F3"/>
    <w:rsid w:val="002C2615"/>
    <w:rsid w:val="002C3E0B"/>
    <w:rsid w:val="002D028B"/>
    <w:rsid w:val="002D517B"/>
    <w:rsid w:val="002D6B8E"/>
    <w:rsid w:val="002D7F9E"/>
    <w:rsid w:val="002E1C49"/>
    <w:rsid w:val="002E4FDD"/>
    <w:rsid w:val="002F08E7"/>
    <w:rsid w:val="002F5E61"/>
    <w:rsid w:val="00304BFE"/>
    <w:rsid w:val="00304F9F"/>
    <w:rsid w:val="0030563E"/>
    <w:rsid w:val="00310159"/>
    <w:rsid w:val="003233C5"/>
    <w:rsid w:val="00324A98"/>
    <w:rsid w:val="00326591"/>
    <w:rsid w:val="00333B2C"/>
    <w:rsid w:val="00340616"/>
    <w:rsid w:val="00342A77"/>
    <w:rsid w:val="00350BE5"/>
    <w:rsid w:val="00356FDC"/>
    <w:rsid w:val="00363ECF"/>
    <w:rsid w:val="00364B93"/>
    <w:rsid w:val="003707FD"/>
    <w:rsid w:val="00371368"/>
    <w:rsid w:val="00373261"/>
    <w:rsid w:val="003739D2"/>
    <w:rsid w:val="003772F7"/>
    <w:rsid w:val="00381791"/>
    <w:rsid w:val="00383631"/>
    <w:rsid w:val="00383C2B"/>
    <w:rsid w:val="00387FCE"/>
    <w:rsid w:val="00396791"/>
    <w:rsid w:val="003A3AD5"/>
    <w:rsid w:val="003A3CAE"/>
    <w:rsid w:val="003A4A2C"/>
    <w:rsid w:val="003A4B64"/>
    <w:rsid w:val="003A7302"/>
    <w:rsid w:val="003B0CBA"/>
    <w:rsid w:val="003B578C"/>
    <w:rsid w:val="003D3886"/>
    <w:rsid w:val="003D6370"/>
    <w:rsid w:val="003E2E61"/>
    <w:rsid w:val="003E3488"/>
    <w:rsid w:val="003F1D25"/>
    <w:rsid w:val="003F22EC"/>
    <w:rsid w:val="00410340"/>
    <w:rsid w:val="004135C7"/>
    <w:rsid w:val="00415256"/>
    <w:rsid w:val="0041688D"/>
    <w:rsid w:val="00430453"/>
    <w:rsid w:val="00434C7D"/>
    <w:rsid w:val="00443DBF"/>
    <w:rsid w:val="004445E4"/>
    <w:rsid w:val="00450008"/>
    <w:rsid w:val="0045018E"/>
    <w:rsid w:val="00451E3E"/>
    <w:rsid w:val="00464916"/>
    <w:rsid w:val="004655B6"/>
    <w:rsid w:val="004818B7"/>
    <w:rsid w:val="00481C56"/>
    <w:rsid w:val="0048249F"/>
    <w:rsid w:val="00483AE7"/>
    <w:rsid w:val="00491B2C"/>
    <w:rsid w:val="00492F18"/>
    <w:rsid w:val="004A0917"/>
    <w:rsid w:val="004A0B95"/>
    <w:rsid w:val="004B1B9E"/>
    <w:rsid w:val="004B353B"/>
    <w:rsid w:val="004B3667"/>
    <w:rsid w:val="004C2D18"/>
    <w:rsid w:val="004C4160"/>
    <w:rsid w:val="004E17EB"/>
    <w:rsid w:val="004E4C3A"/>
    <w:rsid w:val="004F21E2"/>
    <w:rsid w:val="004F3988"/>
    <w:rsid w:val="00504D89"/>
    <w:rsid w:val="005071FD"/>
    <w:rsid w:val="005141E4"/>
    <w:rsid w:val="0051601A"/>
    <w:rsid w:val="005164D3"/>
    <w:rsid w:val="005209FB"/>
    <w:rsid w:val="00530AFA"/>
    <w:rsid w:val="00531E31"/>
    <w:rsid w:val="00540FBB"/>
    <w:rsid w:val="0054477D"/>
    <w:rsid w:val="0054742B"/>
    <w:rsid w:val="0054767D"/>
    <w:rsid w:val="0055253D"/>
    <w:rsid w:val="00570549"/>
    <w:rsid w:val="00570BCC"/>
    <w:rsid w:val="00572085"/>
    <w:rsid w:val="00573DD7"/>
    <w:rsid w:val="00574F8D"/>
    <w:rsid w:val="00577DAD"/>
    <w:rsid w:val="00581E7D"/>
    <w:rsid w:val="0058473E"/>
    <w:rsid w:val="00587689"/>
    <w:rsid w:val="00590939"/>
    <w:rsid w:val="005943C5"/>
    <w:rsid w:val="005951A2"/>
    <w:rsid w:val="00596E71"/>
    <w:rsid w:val="005A56F2"/>
    <w:rsid w:val="005A7C1A"/>
    <w:rsid w:val="005C216E"/>
    <w:rsid w:val="005D36F9"/>
    <w:rsid w:val="005E2DE8"/>
    <w:rsid w:val="005E3BB9"/>
    <w:rsid w:val="005E4902"/>
    <w:rsid w:val="005E55D6"/>
    <w:rsid w:val="005E6E33"/>
    <w:rsid w:val="005F5625"/>
    <w:rsid w:val="005F6F80"/>
    <w:rsid w:val="006007D3"/>
    <w:rsid w:val="006049B9"/>
    <w:rsid w:val="00605E56"/>
    <w:rsid w:val="00610263"/>
    <w:rsid w:val="00611CB4"/>
    <w:rsid w:val="006154B9"/>
    <w:rsid w:val="006203C2"/>
    <w:rsid w:val="0062134D"/>
    <w:rsid w:val="00624E14"/>
    <w:rsid w:val="00631892"/>
    <w:rsid w:val="0063491D"/>
    <w:rsid w:val="006402A9"/>
    <w:rsid w:val="0064032B"/>
    <w:rsid w:val="006416C8"/>
    <w:rsid w:val="00647ECC"/>
    <w:rsid w:val="0065066A"/>
    <w:rsid w:val="006512F9"/>
    <w:rsid w:val="0065232A"/>
    <w:rsid w:val="006635BD"/>
    <w:rsid w:val="00667D9D"/>
    <w:rsid w:val="006712CD"/>
    <w:rsid w:val="006728AE"/>
    <w:rsid w:val="00672C67"/>
    <w:rsid w:val="006837D9"/>
    <w:rsid w:val="00683889"/>
    <w:rsid w:val="0068622D"/>
    <w:rsid w:val="00686981"/>
    <w:rsid w:val="006919AA"/>
    <w:rsid w:val="00693A6E"/>
    <w:rsid w:val="00697021"/>
    <w:rsid w:val="0069763B"/>
    <w:rsid w:val="00697780"/>
    <w:rsid w:val="006A710C"/>
    <w:rsid w:val="006B3FC6"/>
    <w:rsid w:val="006B4A36"/>
    <w:rsid w:val="006C2BCE"/>
    <w:rsid w:val="006C6D7B"/>
    <w:rsid w:val="006D2EA2"/>
    <w:rsid w:val="006D4B88"/>
    <w:rsid w:val="006E2562"/>
    <w:rsid w:val="006E3619"/>
    <w:rsid w:val="006E58E6"/>
    <w:rsid w:val="006E764A"/>
    <w:rsid w:val="006F005B"/>
    <w:rsid w:val="006F22EA"/>
    <w:rsid w:val="006F23A6"/>
    <w:rsid w:val="006F36C8"/>
    <w:rsid w:val="006F6F72"/>
    <w:rsid w:val="00704BFE"/>
    <w:rsid w:val="007123A3"/>
    <w:rsid w:val="00716BE6"/>
    <w:rsid w:val="007178E7"/>
    <w:rsid w:val="00721DE8"/>
    <w:rsid w:val="00722607"/>
    <w:rsid w:val="007246BE"/>
    <w:rsid w:val="00726326"/>
    <w:rsid w:val="00727C80"/>
    <w:rsid w:val="007345B2"/>
    <w:rsid w:val="00740B20"/>
    <w:rsid w:val="00742236"/>
    <w:rsid w:val="00742522"/>
    <w:rsid w:val="00743E33"/>
    <w:rsid w:val="00745ADA"/>
    <w:rsid w:val="00760E97"/>
    <w:rsid w:val="007611B9"/>
    <w:rsid w:val="00764092"/>
    <w:rsid w:val="00765D5D"/>
    <w:rsid w:val="00772EFA"/>
    <w:rsid w:val="0077375C"/>
    <w:rsid w:val="007739ED"/>
    <w:rsid w:val="00773D80"/>
    <w:rsid w:val="007757F6"/>
    <w:rsid w:val="00780345"/>
    <w:rsid w:val="00783FAC"/>
    <w:rsid w:val="00784E4E"/>
    <w:rsid w:val="0078573E"/>
    <w:rsid w:val="00785827"/>
    <w:rsid w:val="00793C81"/>
    <w:rsid w:val="00795357"/>
    <w:rsid w:val="007956C3"/>
    <w:rsid w:val="00796404"/>
    <w:rsid w:val="007971F3"/>
    <w:rsid w:val="007A1487"/>
    <w:rsid w:val="007A4C0D"/>
    <w:rsid w:val="007A5571"/>
    <w:rsid w:val="007A6F3A"/>
    <w:rsid w:val="007B1285"/>
    <w:rsid w:val="007B40F8"/>
    <w:rsid w:val="007B5A89"/>
    <w:rsid w:val="007B5CAF"/>
    <w:rsid w:val="007C18BD"/>
    <w:rsid w:val="007C4DD2"/>
    <w:rsid w:val="007C7F3C"/>
    <w:rsid w:val="007D2D95"/>
    <w:rsid w:val="007D3EEB"/>
    <w:rsid w:val="007D4A33"/>
    <w:rsid w:val="007D7192"/>
    <w:rsid w:val="007D7A5B"/>
    <w:rsid w:val="007E4F50"/>
    <w:rsid w:val="007E5447"/>
    <w:rsid w:val="007E6073"/>
    <w:rsid w:val="007E7555"/>
    <w:rsid w:val="007F0684"/>
    <w:rsid w:val="007F286A"/>
    <w:rsid w:val="007F6B4A"/>
    <w:rsid w:val="0080120C"/>
    <w:rsid w:val="00810607"/>
    <w:rsid w:val="008124AC"/>
    <w:rsid w:val="008144B9"/>
    <w:rsid w:val="00816D4F"/>
    <w:rsid w:val="00820DDD"/>
    <w:rsid w:val="0082364F"/>
    <w:rsid w:val="0082794C"/>
    <w:rsid w:val="008332EB"/>
    <w:rsid w:val="00841D5B"/>
    <w:rsid w:val="00843185"/>
    <w:rsid w:val="00845939"/>
    <w:rsid w:val="00846580"/>
    <w:rsid w:val="00851EA9"/>
    <w:rsid w:val="00862352"/>
    <w:rsid w:val="00864B05"/>
    <w:rsid w:val="00873CD5"/>
    <w:rsid w:val="00880FDD"/>
    <w:rsid w:val="00895370"/>
    <w:rsid w:val="00897326"/>
    <w:rsid w:val="00897454"/>
    <w:rsid w:val="008A1FD5"/>
    <w:rsid w:val="008A5BEC"/>
    <w:rsid w:val="008B009E"/>
    <w:rsid w:val="008B3CE3"/>
    <w:rsid w:val="008B40E5"/>
    <w:rsid w:val="008B5289"/>
    <w:rsid w:val="008B6214"/>
    <w:rsid w:val="008C1204"/>
    <w:rsid w:val="008D494C"/>
    <w:rsid w:val="008D5EAC"/>
    <w:rsid w:val="008D67AE"/>
    <w:rsid w:val="008E49B5"/>
    <w:rsid w:val="008E50D9"/>
    <w:rsid w:val="008E7837"/>
    <w:rsid w:val="008F25D4"/>
    <w:rsid w:val="008F661C"/>
    <w:rsid w:val="008F6A43"/>
    <w:rsid w:val="0091580D"/>
    <w:rsid w:val="00915A56"/>
    <w:rsid w:val="00920255"/>
    <w:rsid w:val="00920DAA"/>
    <w:rsid w:val="00921C78"/>
    <w:rsid w:val="00922CB4"/>
    <w:rsid w:val="0092406A"/>
    <w:rsid w:val="00937228"/>
    <w:rsid w:val="00940DE1"/>
    <w:rsid w:val="00945829"/>
    <w:rsid w:val="00950EE2"/>
    <w:rsid w:val="00952CA9"/>
    <w:rsid w:val="0095512C"/>
    <w:rsid w:val="00955FD3"/>
    <w:rsid w:val="00956D19"/>
    <w:rsid w:val="00970E9A"/>
    <w:rsid w:val="009715BE"/>
    <w:rsid w:val="00974832"/>
    <w:rsid w:val="00975472"/>
    <w:rsid w:val="009762AC"/>
    <w:rsid w:val="009843E6"/>
    <w:rsid w:val="00990C5D"/>
    <w:rsid w:val="00993876"/>
    <w:rsid w:val="009A4330"/>
    <w:rsid w:val="009A6A6E"/>
    <w:rsid w:val="009B26A1"/>
    <w:rsid w:val="009C4196"/>
    <w:rsid w:val="009C7ADA"/>
    <w:rsid w:val="009D1213"/>
    <w:rsid w:val="009D1CB8"/>
    <w:rsid w:val="009D1D81"/>
    <w:rsid w:val="009D5EFF"/>
    <w:rsid w:val="009D70F4"/>
    <w:rsid w:val="009D795D"/>
    <w:rsid w:val="009E0101"/>
    <w:rsid w:val="009E0829"/>
    <w:rsid w:val="009E128A"/>
    <w:rsid w:val="009E13A2"/>
    <w:rsid w:val="009E17CA"/>
    <w:rsid w:val="009E3F22"/>
    <w:rsid w:val="009E4D1F"/>
    <w:rsid w:val="009E56E6"/>
    <w:rsid w:val="009F14AF"/>
    <w:rsid w:val="009F3BE6"/>
    <w:rsid w:val="009F4A03"/>
    <w:rsid w:val="009F4ABB"/>
    <w:rsid w:val="009F6F9C"/>
    <w:rsid w:val="00A03CB0"/>
    <w:rsid w:val="00A136DC"/>
    <w:rsid w:val="00A13974"/>
    <w:rsid w:val="00A15F1A"/>
    <w:rsid w:val="00A22A97"/>
    <w:rsid w:val="00A26C7B"/>
    <w:rsid w:val="00A2726C"/>
    <w:rsid w:val="00A35625"/>
    <w:rsid w:val="00A362FC"/>
    <w:rsid w:val="00A4032D"/>
    <w:rsid w:val="00A4148B"/>
    <w:rsid w:val="00A427ED"/>
    <w:rsid w:val="00A46006"/>
    <w:rsid w:val="00A50898"/>
    <w:rsid w:val="00A52E40"/>
    <w:rsid w:val="00A542FC"/>
    <w:rsid w:val="00A549B9"/>
    <w:rsid w:val="00A55713"/>
    <w:rsid w:val="00A60E03"/>
    <w:rsid w:val="00A631F8"/>
    <w:rsid w:val="00A639F4"/>
    <w:rsid w:val="00A66409"/>
    <w:rsid w:val="00A67723"/>
    <w:rsid w:val="00A73160"/>
    <w:rsid w:val="00A73AD5"/>
    <w:rsid w:val="00A75957"/>
    <w:rsid w:val="00A77588"/>
    <w:rsid w:val="00A862F4"/>
    <w:rsid w:val="00A92ECA"/>
    <w:rsid w:val="00A96AC5"/>
    <w:rsid w:val="00AA064F"/>
    <w:rsid w:val="00AA186B"/>
    <w:rsid w:val="00AA242F"/>
    <w:rsid w:val="00AA3A83"/>
    <w:rsid w:val="00AA421E"/>
    <w:rsid w:val="00AA7B3B"/>
    <w:rsid w:val="00AD02F8"/>
    <w:rsid w:val="00AD4287"/>
    <w:rsid w:val="00AD7346"/>
    <w:rsid w:val="00AE046C"/>
    <w:rsid w:val="00AE1FD1"/>
    <w:rsid w:val="00AE2092"/>
    <w:rsid w:val="00AE2200"/>
    <w:rsid w:val="00AE275C"/>
    <w:rsid w:val="00AE3656"/>
    <w:rsid w:val="00AF4093"/>
    <w:rsid w:val="00B00777"/>
    <w:rsid w:val="00B06852"/>
    <w:rsid w:val="00B12944"/>
    <w:rsid w:val="00B12E68"/>
    <w:rsid w:val="00B22E4A"/>
    <w:rsid w:val="00B267DF"/>
    <w:rsid w:val="00B26822"/>
    <w:rsid w:val="00B44FEF"/>
    <w:rsid w:val="00B45E4D"/>
    <w:rsid w:val="00B466BE"/>
    <w:rsid w:val="00B50F76"/>
    <w:rsid w:val="00B5148E"/>
    <w:rsid w:val="00B51A7A"/>
    <w:rsid w:val="00B5273E"/>
    <w:rsid w:val="00B534A9"/>
    <w:rsid w:val="00B53D3B"/>
    <w:rsid w:val="00B55A1B"/>
    <w:rsid w:val="00B55A1E"/>
    <w:rsid w:val="00B64FCC"/>
    <w:rsid w:val="00B70AB0"/>
    <w:rsid w:val="00B732D9"/>
    <w:rsid w:val="00B769E1"/>
    <w:rsid w:val="00B77C73"/>
    <w:rsid w:val="00B801F9"/>
    <w:rsid w:val="00B8238D"/>
    <w:rsid w:val="00B84BC6"/>
    <w:rsid w:val="00B947B8"/>
    <w:rsid w:val="00B97BD8"/>
    <w:rsid w:val="00B97D9C"/>
    <w:rsid w:val="00BA44F8"/>
    <w:rsid w:val="00BA478E"/>
    <w:rsid w:val="00BB1A60"/>
    <w:rsid w:val="00BB1AFA"/>
    <w:rsid w:val="00BB495B"/>
    <w:rsid w:val="00BB6773"/>
    <w:rsid w:val="00BC5B27"/>
    <w:rsid w:val="00BC7F72"/>
    <w:rsid w:val="00BD04A8"/>
    <w:rsid w:val="00BD0820"/>
    <w:rsid w:val="00BD4203"/>
    <w:rsid w:val="00BD5C1D"/>
    <w:rsid w:val="00BD63E4"/>
    <w:rsid w:val="00BD7D87"/>
    <w:rsid w:val="00BE6720"/>
    <w:rsid w:val="00BF4214"/>
    <w:rsid w:val="00C02ED8"/>
    <w:rsid w:val="00C049F2"/>
    <w:rsid w:val="00C06892"/>
    <w:rsid w:val="00C1458B"/>
    <w:rsid w:val="00C17D0E"/>
    <w:rsid w:val="00C3130D"/>
    <w:rsid w:val="00C34004"/>
    <w:rsid w:val="00C34E57"/>
    <w:rsid w:val="00C4238C"/>
    <w:rsid w:val="00C57D10"/>
    <w:rsid w:val="00C61392"/>
    <w:rsid w:val="00C61D18"/>
    <w:rsid w:val="00C63194"/>
    <w:rsid w:val="00C64E7D"/>
    <w:rsid w:val="00C67B2F"/>
    <w:rsid w:val="00C8065F"/>
    <w:rsid w:val="00C81360"/>
    <w:rsid w:val="00C83569"/>
    <w:rsid w:val="00C92EFA"/>
    <w:rsid w:val="00CA5E6E"/>
    <w:rsid w:val="00CB03FF"/>
    <w:rsid w:val="00CB1AC9"/>
    <w:rsid w:val="00CB2D83"/>
    <w:rsid w:val="00CB791C"/>
    <w:rsid w:val="00CB7BF7"/>
    <w:rsid w:val="00CC5CC5"/>
    <w:rsid w:val="00CE1ABF"/>
    <w:rsid w:val="00CE24D7"/>
    <w:rsid w:val="00CE40ED"/>
    <w:rsid w:val="00CE45CF"/>
    <w:rsid w:val="00CE4726"/>
    <w:rsid w:val="00CE668F"/>
    <w:rsid w:val="00CF0821"/>
    <w:rsid w:val="00CF3163"/>
    <w:rsid w:val="00D06E6F"/>
    <w:rsid w:val="00D20290"/>
    <w:rsid w:val="00D20632"/>
    <w:rsid w:val="00D249DF"/>
    <w:rsid w:val="00D311E3"/>
    <w:rsid w:val="00D33189"/>
    <w:rsid w:val="00D33B62"/>
    <w:rsid w:val="00D34878"/>
    <w:rsid w:val="00D34A49"/>
    <w:rsid w:val="00D45F79"/>
    <w:rsid w:val="00D47B58"/>
    <w:rsid w:val="00D50B39"/>
    <w:rsid w:val="00D52C35"/>
    <w:rsid w:val="00D52DE1"/>
    <w:rsid w:val="00D53583"/>
    <w:rsid w:val="00D62501"/>
    <w:rsid w:val="00D642C3"/>
    <w:rsid w:val="00D64468"/>
    <w:rsid w:val="00D65F90"/>
    <w:rsid w:val="00D676CD"/>
    <w:rsid w:val="00D67DA8"/>
    <w:rsid w:val="00D709F3"/>
    <w:rsid w:val="00D73642"/>
    <w:rsid w:val="00D7589E"/>
    <w:rsid w:val="00D7636B"/>
    <w:rsid w:val="00D76BA3"/>
    <w:rsid w:val="00D77F1E"/>
    <w:rsid w:val="00D814B3"/>
    <w:rsid w:val="00D8523E"/>
    <w:rsid w:val="00D94262"/>
    <w:rsid w:val="00D949E5"/>
    <w:rsid w:val="00DA2AED"/>
    <w:rsid w:val="00DC3FFC"/>
    <w:rsid w:val="00DD7E8C"/>
    <w:rsid w:val="00DE0CE6"/>
    <w:rsid w:val="00DE22C5"/>
    <w:rsid w:val="00DE2C82"/>
    <w:rsid w:val="00DE4491"/>
    <w:rsid w:val="00DF1629"/>
    <w:rsid w:val="00DF2CE2"/>
    <w:rsid w:val="00DF332F"/>
    <w:rsid w:val="00E00F75"/>
    <w:rsid w:val="00E0609B"/>
    <w:rsid w:val="00E063E3"/>
    <w:rsid w:val="00E10147"/>
    <w:rsid w:val="00E11C0D"/>
    <w:rsid w:val="00E1317A"/>
    <w:rsid w:val="00E1726A"/>
    <w:rsid w:val="00E2178C"/>
    <w:rsid w:val="00E24146"/>
    <w:rsid w:val="00E30DBD"/>
    <w:rsid w:val="00E34DCB"/>
    <w:rsid w:val="00E44741"/>
    <w:rsid w:val="00E50893"/>
    <w:rsid w:val="00E52183"/>
    <w:rsid w:val="00E538ED"/>
    <w:rsid w:val="00E5415C"/>
    <w:rsid w:val="00E5502D"/>
    <w:rsid w:val="00E7086C"/>
    <w:rsid w:val="00E7187F"/>
    <w:rsid w:val="00E831F0"/>
    <w:rsid w:val="00E84869"/>
    <w:rsid w:val="00E8768E"/>
    <w:rsid w:val="00E91E09"/>
    <w:rsid w:val="00E9626A"/>
    <w:rsid w:val="00EB2292"/>
    <w:rsid w:val="00EC3F75"/>
    <w:rsid w:val="00EE192B"/>
    <w:rsid w:val="00EE1A59"/>
    <w:rsid w:val="00EE403A"/>
    <w:rsid w:val="00EE78F2"/>
    <w:rsid w:val="00EF1C5F"/>
    <w:rsid w:val="00EF4299"/>
    <w:rsid w:val="00EF7650"/>
    <w:rsid w:val="00F02A21"/>
    <w:rsid w:val="00F031FD"/>
    <w:rsid w:val="00F11FEF"/>
    <w:rsid w:val="00F147F4"/>
    <w:rsid w:val="00F153B9"/>
    <w:rsid w:val="00F17B10"/>
    <w:rsid w:val="00F23A1E"/>
    <w:rsid w:val="00F24303"/>
    <w:rsid w:val="00F30CAD"/>
    <w:rsid w:val="00F336B8"/>
    <w:rsid w:val="00F3407F"/>
    <w:rsid w:val="00F37D26"/>
    <w:rsid w:val="00F43D0E"/>
    <w:rsid w:val="00F44EB0"/>
    <w:rsid w:val="00F54E31"/>
    <w:rsid w:val="00F5688B"/>
    <w:rsid w:val="00F56F46"/>
    <w:rsid w:val="00F57695"/>
    <w:rsid w:val="00F747ED"/>
    <w:rsid w:val="00F8092F"/>
    <w:rsid w:val="00F81A2B"/>
    <w:rsid w:val="00F84817"/>
    <w:rsid w:val="00F877AF"/>
    <w:rsid w:val="00F92D9C"/>
    <w:rsid w:val="00F978C5"/>
    <w:rsid w:val="00FA15EB"/>
    <w:rsid w:val="00FA42DA"/>
    <w:rsid w:val="00FA435B"/>
    <w:rsid w:val="00FA5600"/>
    <w:rsid w:val="00FA6646"/>
    <w:rsid w:val="00FB043C"/>
    <w:rsid w:val="00FB311B"/>
    <w:rsid w:val="00FC0305"/>
    <w:rsid w:val="00FD2F41"/>
    <w:rsid w:val="00FE012F"/>
    <w:rsid w:val="00FE09BC"/>
    <w:rsid w:val="00FE0B3B"/>
    <w:rsid w:val="00FE264D"/>
    <w:rsid w:val="00FE270E"/>
    <w:rsid w:val="00FE4A38"/>
    <w:rsid w:val="00FF0C99"/>
    <w:rsid w:val="00FF5E54"/>
    <w:rsid w:val="00FF7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273E"/>
    <w:rPr>
      <w:sz w:val="24"/>
      <w:szCs w:val="24"/>
    </w:rPr>
  </w:style>
  <w:style w:type="paragraph" w:styleId="Heading1">
    <w:name w:val="heading 1"/>
    <w:basedOn w:val="Normal"/>
    <w:next w:val="Normal"/>
    <w:qFormat/>
    <w:rsid w:val="00B5273E"/>
    <w:pPr>
      <w:keepNext/>
      <w:outlineLvl w:val="0"/>
    </w:pPr>
    <w:rPr>
      <w:u w:val="single"/>
    </w:rPr>
  </w:style>
  <w:style w:type="paragraph" w:styleId="Heading2">
    <w:name w:val="heading 2"/>
    <w:basedOn w:val="Normal"/>
    <w:next w:val="Normal"/>
    <w:qFormat/>
    <w:rsid w:val="00B5273E"/>
    <w:pPr>
      <w:keepNext/>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5273E"/>
    <w:pPr>
      <w:ind w:left="360"/>
    </w:pPr>
  </w:style>
  <w:style w:type="paragraph" w:styleId="BodyText">
    <w:name w:val="Body Text"/>
    <w:basedOn w:val="Normal"/>
    <w:rsid w:val="00B5273E"/>
    <w:pPr>
      <w:jc w:val="center"/>
    </w:pPr>
  </w:style>
  <w:style w:type="paragraph" w:styleId="Footer">
    <w:name w:val="footer"/>
    <w:basedOn w:val="Normal"/>
    <w:rsid w:val="00B5273E"/>
    <w:pPr>
      <w:tabs>
        <w:tab w:val="center" w:pos="4320"/>
        <w:tab w:val="right" w:pos="8640"/>
      </w:tabs>
    </w:pPr>
  </w:style>
  <w:style w:type="character" w:styleId="PageNumber">
    <w:name w:val="page number"/>
    <w:basedOn w:val="DefaultParagraphFont"/>
    <w:rsid w:val="00B5273E"/>
  </w:style>
  <w:style w:type="paragraph" w:styleId="BodyTextIndent3">
    <w:name w:val="Body Text Indent 3"/>
    <w:basedOn w:val="Normal"/>
    <w:rsid w:val="00B5273E"/>
    <w:pPr>
      <w:ind w:left="360" w:hanging="360"/>
    </w:pPr>
  </w:style>
  <w:style w:type="table" w:styleId="TableGrid">
    <w:name w:val="Table Grid"/>
    <w:basedOn w:val="TableNormal"/>
    <w:rsid w:val="00B52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B1AFA"/>
    <w:rPr>
      <w:rFonts w:ascii="Tahoma" w:hAnsi="Tahoma" w:cs="Tahoma"/>
      <w:sz w:val="16"/>
      <w:szCs w:val="16"/>
    </w:rPr>
  </w:style>
  <w:style w:type="character" w:styleId="CommentReference">
    <w:name w:val="annotation reference"/>
    <w:semiHidden/>
    <w:rsid w:val="00B769E1"/>
    <w:rPr>
      <w:sz w:val="16"/>
      <w:szCs w:val="16"/>
    </w:rPr>
  </w:style>
  <w:style w:type="paragraph" w:styleId="CommentText">
    <w:name w:val="annotation text"/>
    <w:basedOn w:val="Normal"/>
    <w:semiHidden/>
    <w:rsid w:val="00B769E1"/>
    <w:rPr>
      <w:sz w:val="20"/>
      <w:szCs w:val="20"/>
    </w:rPr>
  </w:style>
  <w:style w:type="paragraph" w:styleId="CommentSubject">
    <w:name w:val="annotation subject"/>
    <w:basedOn w:val="CommentText"/>
    <w:next w:val="CommentText"/>
    <w:semiHidden/>
    <w:rsid w:val="00B769E1"/>
    <w:rPr>
      <w:b/>
      <w:bCs/>
    </w:rPr>
  </w:style>
  <w:style w:type="paragraph" w:styleId="Header">
    <w:name w:val="header"/>
    <w:basedOn w:val="Normal"/>
    <w:rsid w:val="006E3619"/>
    <w:pPr>
      <w:tabs>
        <w:tab w:val="center" w:pos="4320"/>
        <w:tab w:val="right" w:pos="8640"/>
      </w:tabs>
    </w:pPr>
  </w:style>
  <w:style w:type="paragraph" w:styleId="HTMLPreformatted">
    <w:name w:val="HTML Preformatted"/>
    <w:basedOn w:val="Normal"/>
    <w:link w:val="HTMLPreformattedChar"/>
    <w:rsid w:val="009E4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3B0CBA"/>
    <w:rPr>
      <w:color w:val="0000FF"/>
      <w:u w:val="single"/>
    </w:rPr>
  </w:style>
  <w:style w:type="character" w:styleId="FollowedHyperlink">
    <w:name w:val="FollowedHyperlink"/>
    <w:rsid w:val="008F25D4"/>
    <w:rPr>
      <w:color w:val="800080"/>
      <w:u w:val="single"/>
    </w:rPr>
  </w:style>
  <w:style w:type="paragraph" w:styleId="BodyTextIndent2">
    <w:name w:val="Body Text Indent 2"/>
    <w:basedOn w:val="Normal"/>
    <w:link w:val="BodyTextIndent2Char"/>
    <w:rsid w:val="000B5941"/>
    <w:pPr>
      <w:spacing w:after="120" w:line="480" w:lineRule="auto"/>
      <w:ind w:left="360"/>
    </w:pPr>
  </w:style>
  <w:style w:type="character" w:customStyle="1" w:styleId="BodyTextIndent2Char">
    <w:name w:val="Body Text Indent 2 Char"/>
    <w:link w:val="BodyTextIndent2"/>
    <w:rsid w:val="000B5941"/>
    <w:rPr>
      <w:sz w:val="24"/>
      <w:szCs w:val="24"/>
    </w:rPr>
  </w:style>
  <w:style w:type="character" w:customStyle="1" w:styleId="HTMLPreformattedChar">
    <w:name w:val="HTML Preformatted Char"/>
    <w:link w:val="HTMLPreformatted"/>
    <w:rsid w:val="008F6A43"/>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273E"/>
    <w:rPr>
      <w:sz w:val="24"/>
      <w:szCs w:val="24"/>
    </w:rPr>
  </w:style>
  <w:style w:type="paragraph" w:styleId="Heading1">
    <w:name w:val="heading 1"/>
    <w:basedOn w:val="Normal"/>
    <w:next w:val="Normal"/>
    <w:qFormat/>
    <w:rsid w:val="00B5273E"/>
    <w:pPr>
      <w:keepNext/>
      <w:outlineLvl w:val="0"/>
    </w:pPr>
    <w:rPr>
      <w:u w:val="single"/>
    </w:rPr>
  </w:style>
  <w:style w:type="paragraph" w:styleId="Heading2">
    <w:name w:val="heading 2"/>
    <w:basedOn w:val="Normal"/>
    <w:next w:val="Normal"/>
    <w:qFormat/>
    <w:rsid w:val="00B5273E"/>
    <w:pPr>
      <w:keepNext/>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5273E"/>
    <w:pPr>
      <w:ind w:left="360"/>
    </w:pPr>
  </w:style>
  <w:style w:type="paragraph" w:styleId="BodyText">
    <w:name w:val="Body Text"/>
    <w:basedOn w:val="Normal"/>
    <w:rsid w:val="00B5273E"/>
    <w:pPr>
      <w:jc w:val="center"/>
    </w:pPr>
  </w:style>
  <w:style w:type="paragraph" w:styleId="Footer">
    <w:name w:val="footer"/>
    <w:basedOn w:val="Normal"/>
    <w:rsid w:val="00B5273E"/>
    <w:pPr>
      <w:tabs>
        <w:tab w:val="center" w:pos="4320"/>
        <w:tab w:val="right" w:pos="8640"/>
      </w:tabs>
    </w:pPr>
  </w:style>
  <w:style w:type="character" w:styleId="PageNumber">
    <w:name w:val="page number"/>
    <w:basedOn w:val="DefaultParagraphFont"/>
    <w:rsid w:val="00B5273E"/>
  </w:style>
  <w:style w:type="paragraph" w:styleId="BodyTextIndent3">
    <w:name w:val="Body Text Indent 3"/>
    <w:basedOn w:val="Normal"/>
    <w:rsid w:val="00B5273E"/>
    <w:pPr>
      <w:ind w:left="360" w:hanging="360"/>
    </w:pPr>
  </w:style>
  <w:style w:type="table" w:styleId="TableGrid">
    <w:name w:val="Table Grid"/>
    <w:basedOn w:val="TableNormal"/>
    <w:rsid w:val="00B52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B1AFA"/>
    <w:rPr>
      <w:rFonts w:ascii="Tahoma" w:hAnsi="Tahoma" w:cs="Tahoma"/>
      <w:sz w:val="16"/>
      <w:szCs w:val="16"/>
    </w:rPr>
  </w:style>
  <w:style w:type="character" w:styleId="CommentReference">
    <w:name w:val="annotation reference"/>
    <w:semiHidden/>
    <w:rsid w:val="00B769E1"/>
    <w:rPr>
      <w:sz w:val="16"/>
      <w:szCs w:val="16"/>
    </w:rPr>
  </w:style>
  <w:style w:type="paragraph" w:styleId="CommentText">
    <w:name w:val="annotation text"/>
    <w:basedOn w:val="Normal"/>
    <w:semiHidden/>
    <w:rsid w:val="00B769E1"/>
    <w:rPr>
      <w:sz w:val="20"/>
      <w:szCs w:val="20"/>
    </w:rPr>
  </w:style>
  <w:style w:type="paragraph" w:styleId="CommentSubject">
    <w:name w:val="annotation subject"/>
    <w:basedOn w:val="CommentText"/>
    <w:next w:val="CommentText"/>
    <w:semiHidden/>
    <w:rsid w:val="00B769E1"/>
    <w:rPr>
      <w:b/>
      <w:bCs/>
    </w:rPr>
  </w:style>
  <w:style w:type="paragraph" w:styleId="Header">
    <w:name w:val="header"/>
    <w:basedOn w:val="Normal"/>
    <w:rsid w:val="006E3619"/>
    <w:pPr>
      <w:tabs>
        <w:tab w:val="center" w:pos="4320"/>
        <w:tab w:val="right" w:pos="8640"/>
      </w:tabs>
    </w:pPr>
  </w:style>
  <w:style w:type="paragraph" w:styleId="HTMLPreformatted">
    <w:name w:val="HTML Preformatted"/>
    <w:basedOn w:val="Normal"/>
    <w:link w:val="HTMLPreformattedChar"/>
    <w:rsid w:val="009E4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3B0CBA"/>
    <w:rPr>
      <w:color w:val="0000FF"/>
      <w:u w:val="single"/>
    </w:rPr>
  </w:style>
  <w:style w:type="character" w:styleId="FollowedHyperlink">
    <w:name w:val="FollowedHyperlink"/>
    <w:rsid w:val="008F25D4"/>
    <w:rPr>
      <w:color w:val="800080"/>
      <w:u w:val="single"/>
    </w:rPr>
  </w:style>
  <w:style w:type="paragraph" w:styleId="BodyTextIndent2">
    <w:name w:val="Body Text Indent 2"/>
    <w:basedOn w:val="Normal"/>
    <w:link w:val="BodyTextIndent2Char"/>
    <w:rsid w:val="000B5941"/>
    <w:pPr>
      <w:spacing w:after="120" w:line="480" w:lineRule="auto"/>
      <w:ind w:left="360"/>
    </w:pPr>
  </w:style>
  <w:style w:type="character" w:customStyle="1" w:styleId="BodyTextIndent2Char">
    <w:name w:val="Body Text Indent 2 Char"/>
    <w:link w:val="BodyTextIndent2"/>
    <w:rsid w:val="000B5941"/>
    <w:rPr>
      <w:sz w:val="24"/>
      <w:szCs w:val="24"/>
    </w:rPr>
  </w:style>
  <w:style w:type="character" w:customStyle="1" w:styleId="HTMLPreformattedChar">
    <w:name w:val="HTML Preformatted Char"/>
    <w:link w:val="HTMLPreformatted"/>
    <w:rsid w:val="008F6A4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news.release/ecec.nr0.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pm.gov/policy-data-oversight/pay-leave/salaries-wages/salary-tables/pdf/2015/RUS_h.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pdf/ecec.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bls.gov/oes/current/naics4_999200.htm" TargetMode="External"/><Relationship Id="rId4" Type="http://schemas.microsoft.com/office/2007/relationships/stylesWithEffects" Target="stylesWithEffects.xml"/><Relationship Id="rId9" Type="http://schemas.openxmlformats.org/officeDocument/2006/relationships/hyperlink" Target="http://www.bls.gov/oes/current/naics4_212100.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69B82-4A0A-4DFA-9E41-D4F002B99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3625</Words>
  <Characters>21267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Supporting Statements for Reporting and Recordkeeping</vt:lpstr>
    </vt:vector>
  </TitlesOfParts>
  <Company>OSM</Company>
  <LinksUpToDate>false</LinksUpToDate>
  <CharactersWithSpaces>24843</CharactersWithSpaces>
  <SharedDoc>false</SharedDoc>
  <HLinks>
    <vt:vector size="36" baseType="variant">
      <vt:variant>
        <vt:i4>1769560</vt:i4>
      </vt:variant>
      <vt:variant>
        <vt:i4>51</vt:i4>
      </vt:variant>
      <vt:variant>
        <vt:i4>0</vt:i4>
      </vt:variant>
      <vt:variant>
        <vt:i4>5</vt:i4>
      </vt:variant>
      <vt:variant>
        <vt:lpwstr>http://www.bls.gov/news.release/ecec.nr0.htm)</vt:lpwstr>
      </vt:variant>
      <vt:variant>
        <vt:lpwstr/>
      </vt:variant>
      <vt:variant>
        <vt:i4>3866641</vt:i4>
      </vt:variant>
      <vt:variant>
        <vt:i4>48</vt:i4>
      </vt:variant>
      <vt:variant>
        <vt:i4>0</vt:i4>
      </vt:variant>
      <vt:variant>
        <vt:i4>5</vt:i4>
      </vt:variant>
      <vt:variant>
        <vt:lpwstr>http://www.opm.gov/oca/10tables/html/RUS_h.asp</vt:lpwstr>
      </vt:variant>
      <vt:variant>
        <vt:lpwstr/>
      </vt:variant>
      <vt:variant>
        <vt:i4>3866641</vt:i4>
      </vt:variant>
      <vt:variant>
        <vt:i4>45</vt:i4>
      </vt:variant>
      <vt:variant>
        <vt:i4>0</vt:i4>
      </vt:variant>
      <vt:variant>
        <vt:i4>5</vt:i4>
      </vt:variant>
      <vt:variant>
        <vt:lpwstr>http://www.opm.gov/oca/10tables/html/RUS_h.asp</vt:lpwstr>
      </vt:variant>
      <vt:variant>
        <vt:lpwstr/>
      </vt:variant>
      <vt:variant>
        <vt:i4>1900546</vt:i4>
      </vt:variant>
      <vt:variant>
        <vt:i4>18</vt:i4>
      </vt:variant>
      <vt:variant>
        <vt:i4>0</vt:i4>
      </vt:variant>
      <vt:variant>
        <vt:i4>5</vt:i4>
      </vt:variant>
      <vt:variant>
        <vt:lpwstr>http://www.bls.gov/news.release/pdf/ecec.pdf</vt:lpwstr>
      </vt:variant>
      <vt:variant>
        <vt:lpwstr/>
      </vt:variant>
      <vt:variant>
        <vt:i4>4128848</vt:i4>
      </vt:variant>
      <vt:variant>
        <vt:i4>15</vt:i4>
      </vt:variant>
      <vt:variant>
        <vt:i4>0</vt:i4>
      </vt:variant>
      <vt:variant>
        <vt:i4>5</vt:i4>
      </vt:variant>
      <vt:variant>
        <vt:lpwstr>http://www.bls.gov/oes/current/naics4_999200.htm</vt:lpwstr>
      </vt:variant>
      <vt:variant>
        <vt:lpwstr>b00-0000</vt:lpwstr>
      </vt:variant>
      <vt:variant>
        <vt:i4>2686978</vt:i4>
      </vt:variant>
      <vt:variant>
        <vt:i4>12</vt:i4>
      </vt:variant>
      <vt:variant>
        <vt:i4>0</vt:i4>
      </vt:variant>
      <vt:variant>
        <vt:i4>5</vt:i4>
      </vt:variant>
      <vt:variant>
        <vt:lpwstr>http://www.bls.gov/oes/current/naics4_212100.htm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Statements for Reporting and Recordkeeping</dc:title>
  <dc:creator>Trelease, John A</dc:creator>
  <cp:lastModifiedBy>Trelease, John A</cp:lastModifiedBy>
  <cp:revision>3</cp:revision>
  <cp:lastPrinted>2015-06-04T18:23:00Z</cp:lastPrinted>
  <dcterms:created xsi:type="dcterms:W3CDTF">2015-06-26T13:45:00Z</dcterms:created>
  <dcterms:modified xsi:type="dcterms:W3CDTF">2015-06-26T13:53:00Z</dcterms:modified>
</cp:coreProperties>
</file>