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88C" w:rsidRDefault="0090388C" w:rsidP="0090388C">
      <w:pPr>
        <w:pStyle w:val="MessageHeader"/>
        <w:ind w:left="0" w:firstLine="0"/>
        <w:jc w:val="center"/>
        <w:rPr>
          <w:rFonts w:ascii="Times New Roman" w:hAnsi="Times New Roman"/>
          <w:b/>
          <w:sz w:val="32"/>
          <w:szCs w:val="32"/>
        </w:rPr>
      </w:pPr>
    </w:p>
    <w:p w:rsidR="0090388C" w:rsidRDefault="0090388C" w:rsidP="0090388C">
      <w:pPr>
        <w:pStyle w:val="MessageHeader"/>
        <w:ind w:left="0" w:firstLine="0"/>
        <w:jc w:val="center"/>
        <w:rPr>
          <w:rFonts w:ascii="Times New Roman" w:hAnsi="Times New Roman"/>
          <w:b/>
          <w:sz w:val="32"/>
          <w:szCs w:val="32"/>
        </w:rPr>
      </w:pPr>
    </w:p>
    <w:p w:rsidR="0090388C" w:rsidRDefault="0090388C" w:rsidP="0090388C">
      <w:pPr>
        <w:pStyle w:val="MessageHeader"/>
        <w:ind w:left="0" w:firstLine="0"/>
        <w:jc w:val="center"/>
        <w:rPr>
          <w:rFonts w:ascii="Times New Roman" w:hAnsi="Times New Roman"/>
          <w:b/>
          <w:sz w:val="32"/>
          <w:szCs w:val="32"/>
        </w:rPr>
      </w:pPr>
    </w:p>
    <w:p w:rsidR="0090388C" w:rsidRDefault="0090388C" w:rsidP="0090388C">
      <w:pPr>
        <w:pStyle w:val="MessageHeader"/>
        <w:ind w:left="0" w:firstLine="0"/>
        <w:jc w:val="center"/>
        <w:rPr>
          <w:rFonts w:ascii="Times New Roman" w:hAnsi="Times New Roman"/>
          <w:b/>
          <w:sz w:val="32"/>
          <w:szCs w:val="32"/>
        </w:rPr>
      </w:pPr>
    </w:p>
    <w:p w:rsidR="0090388C" w:rsidRDefault="0090388C" w:rsidP="0090388C">
      <w:pPr>
        <w:pStyle w:val="MessageHeader"/>
        <w:ind w:left="0" w:firstLine="0"/>
        <w:jc w:val="center"/>
        <w:rPr>
          <w:rFonts w:ascii="Times New Roman" w:hAnsi="Times New Roman"/>
          <w:b/>
          <w:sz w:val="32"/>
          <w:szCs w:val="32"/>
        </w:rPr>
      </w:pPr>
      <w:r>
        <w:rPr>
          <w:rFonts w:ascii="Times New Roman" w:hAnsi="Times New Roman"/>
          <w:b/>
          <w:sz w:val="32"/>
          <w:szCs w:val="32"/>
        </w:rPr>
        <w:t xml:space="preserve">REPORT: </w:t>
      </w:r>
      <w:r w:rsidR="00514B02" w:rsidRPr="0090388C">
        <w:rPr>
          <w:rFonts w:ascii="Times New Roman" w:hAnsi="Times New Roman"/>
          <w:b/>
          <w:sz w:val="32"/>
          <w:szCs w:val="32"/>
        </w:rPr>
        <w:t xml:space="preserve">use of Formative generic </w:t>
      </w:r>
      <w:r w:rsidR="00566C29" w:rsidRPr="0090388C">
        <w:rPr>
          <w:rFonts w:ascii="Times New Roman" w:hAnsi="Times New Roman"/>
          <w:b/>
          <w:sz w:val="32"/>
          <w:szCs w:val="32"/>
        </w:rPr>
        <w:t xml:space="preserve">Clearance </w:t>
      </w:r>
    </w:p>
    <w:p w:rsidR="00514B02" w:rsidRPr="0090388C" w:rsidRDefault="00514B02" w:rsidP="0090388C">
      <w:pPr>
        <w:pStyle w:val="MessageHeader"/>
        <w:ind w:left="0" w:firstLine="0"/>
        <w:jc w:val="center"/>
        <w:rPr>
          <w:rFonts w:ascii="Times New Roman" w:hAnsi="Times New Roman"/>
          <w:b/>
          <w:sz w:val="32"/>
          <w:szCs w:val="32"/>
        </w:rPr>
      </w:pPr>
      <w:r w:rsidRPr="0090388C">
        <w:rPr>
          <w:rFonts w:ascii="Times New Roman" w:hAnsi="Times New Roman"/>
          <w:b/>
          <w:sz w:val="32"/>
          <w:szCs w:val="32"/>
        </w:rPr>
        <w:t>(0970-0356) From 2008-2011</w:t>
      </w:r>
    </w:p>
    <w:p w:rsidR="0090388C" w:rsidRPr="00F01F62" w:rsidRDefault="0090388C" w:rsidP="0090388C">
      <w:pPr>
        <w:widowControl w:val="0"/>
        <w:suppressAutoHyphens/>
        <w:jc w:val="center"/>
        <w:rPr>
          <w:rFonts w:ascii="Calibri" w:eastAsia="Calibri" w:hAnsi="Calibri" w:cs="Times New Roman"/>
        </w:rPr>
      </w:pPr>
    </w:p>
    <w:p w:rsidR="0090388C" w:rsidRPr="0090388C" w:rsidRDefault="0090388C" w:rsidP="0090388C">
      <w:pPr>
        <w:jc w:val="center"/>
        <w:rPr>
          <w:rFonts w:ascii="Calibri" w:eastAsia="Calibri" w:hAnsi="Calibri" w:cs="Times New Roman"/>
          <w:sz w:val="28"/>
          <w:szCs w:val="28"/>
        </w:rPr>
      </w:pPr>
      <w:r w:rsidRPr="0090388C">
        <w:rPr>
          <w:sz w:val="28"/>
          <w:szCs w:val="28"/>
        </w:rPr>
        <w:t>January 2012</w:t>
      </w: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jc w:val="center"/>
        <w:rPr>
          <w:rFonts w:ascii="Calibri" w:eastAsia="Calibri" w:hAnsi="Calibri" w:cs="Times New Roman"/>
        </w:rPr>
      </w:pPr>
    </w:p>
    <w:p w:rsidR="0090388C" w:rsidRDefault="0090388C" w:rsidP="0090388C">
      <w:pPr>
        <w:rPr>
          <w:rFonts w:ascii="Arial" w:eastAsia="Calibri" w:hAnsi="Arial" w:cs="Arial"/>
        </w:rPr>
      </w:pPr>
    </w:p>
    <w:p w:rsidR="0090388C" w:rsidRDefault="0090388C" w:rsidP="0090388C">
      <w:pPr>
        <w:jc w:val="center"/>
        <w:rPr>
          <w:rFonts w:ascii="Arial" w:eastAsia="Calibri" w:hAnsi="Arial" w:cs="Arial"/>
        </w:rPr>
      </w:pPr>
    </w:p>
    <w:p w:rsidR="0090388C" w:rsidRDefault="0090388C" w:rsidP="0090388C">
      <w:pPr>
        <w:jc w:val="center"/>
        <w:rPr>
          <w:rFonts w:ascii="Arial" w:eastAsia="Calibri" w:hAnsi="Arial" w:cs="Arial"/>
        </w:rPr>
      </w:pP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Office of Planning, Research and Evaluation</w:t>
      </w: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 xml:space="preserve">Administration for Children and Families </w:t>
      </w: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U.S. Department of Health and Human Services</w:t>
      </w:r>
    </w:p>
    <w:p w:rsidR="0090388C" w:rsidRPr="0090388C" w:rsidRDefault="0090388C" w:rsidP="0090388C">
      <w:pPr>
        <w:jc w:val="center"/>
        <w:rPr>
          <w:rFonts w:ascii="Times New Roman" w:eastAsia="Calibri" w:hAnsi="Times New Roman" w:cs="Times New Roman"/>
        </w:rPr>
      </w:pP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7</w:t>
      </w:r>
      <w:r w:rsidRPr="0090388C">
        <w:rPr>
          <w:rFonts w:ascii="Times New Roman" w:eastAsia="Calibri" w:hAnsi="Times New Roman" w:cs="Times New Roman"/>
          <w:vertAlign w:val="superscript"/>
        </w:rPr>
        <w:t>th</w:t>
      </w:r>
      <w:r w:rsidRPr="0090388C">
        <w:rPr>
          <w:rFonts w:ascii="Times New Roman" w:eastAsia="Calibri" w:hAnsi="Times New Roman" w:cs="Times New Roman"/>
        </w:rPr>
        <w:t xml:space="preserve"> Floor, West Aerospace Building</w:t>
      </w: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370 L’Enfant Promenade, SW</w:t>
      </w:r>
    </w:p>
    <w:p w:rsidR="0090388C" w:rsidRPr="0090388C" w:rsidRDefault="0090388C" w:rsidP="0090388C">
      <w:pPr>
        <w:jc w:val="center"/>
        <w:rPr>
          <w:rFonts w:ascii="Times New Roman" w:eastAsia="Calibri" w:hAnsi="Times New Roman" w:cs="Times New Roman"/>
        </w:rPr>
      </w:pPr>
      <w:r w:rsidRPr="0090388C">
        <w:rPr>
          <w:rFonts w:ascii="Times New Roman" w:eastAsia="Calibri" w:hAnsi="Times New Roman" w:cs="Times New Roman"/>
        </w:rPr>
        <w:t>Washington, D.C. 20447</w:t>
      </w:r>
    </w:p>
    <w:p w:rsidR="00514B02" w:rsidRDefault="00514B02" w:rsidP="00514B02">
      <w:pPr>
        <w:rPr>
          <w:rFonts w:ascii="TimesNewRoman" w:hAnsi="TimesNewRoman" w:cs="TimesNewRoman"/>
        </w:rPr>
      </w:pPr>
      <w:r>
        <w:rPr>
          <w:rFonts w:ascii="TimesNewRoman" w:hAnsi="TimesNewRoman" w:cs="TimesNewRoman"/>
        </w:rPr>
        <w:lastRenderedPageBreak/>
        <w:t xml:space="preserve">In October 2008, OMB approved ACF’s request for a generic information collection </w:t>
      </w:r>
      <w:r w:rsidR="00E95C3C">
        <w:rPr>
          <w:rFonts w:ascii="TimesNewRoman" w:hAnsi="TimesNewRoman" w:cs="TimesNewRoman"/>
        </w:rPr>
        <w:t>to conduct a variety of</w:t>
      </w:r>
      <w:r>
        <w:rPr>
          <w:rFonts w:ascii="TimesNewRoman" w:hAnsi="TimesNewRoman" w:cs="TimesNewRoman"/>
        </w:rPr>
        <w:t xml:space="preserve"> formative data collections (0970-0356). This </w:t>
      </w:r>
      <w:r w:rsidR="00C56E93">
        <w:rPr>
          <w:rFonts w:ascii="TimesNewRoman" w:hAnsi="TimesNewRoman" w:cs="TimesNewRoman"/>
        </w:rPr>
        <w:t xml:space="preserve">report describes </w:t>
      </w:r>
      <w:r>
        <w:rPr>
          <w:rFonts w:ascii="TimesNewRoman" w:hAnsi="TimesNewRoman" w:cs="TimesNewRoman"/>
        </w:rPr>
        <w:t xml:space="preserve">the use of the generic IC during the first three years, including the number of hours used, as well as the nature and results of the activities completed under this generic clearance. </w:t>
      </w:r>
    </w:p>
    <w:p w:rsidR="00514B02" w:rsidRDefault="00514B02" w:rsidP="00514B02">
      <w:pPr>
        <w:rPr>
          <w:rFonts w:ascii="TimesNewRoman" w:hAnsi="TimesNewRoman" w:cs="TimesNewRoman"/>
        </w:rPr>
      </w:pPr>
    </w:p>
    <w:p w:rsidR="00EC1F10" w:rsidRDefault="00514B02" w:rsidP="00514B02">
      <w:pPr>
        <w:rPr>
          <w:rFonts w:ascii="TimesNewRoman" w:hAnsi="TimesNewRoman" w:cs="TimesNewRoman"/>
        </w:rPr>
      </w:pPr>
      <w:r>
        <w:rPr>
          <w:rFonts w:ascii="TimesNewRoman" w:hAnsi="TimesNewRoman" w:cs="TimesNewRoman"/>
        </w:rPr>
        <w:t xml:space="preserve">The original generic IC was approved for three years, during which time ACF requested four generic ICs. </w:t>
      </w:r>
      <w:r w:rsidR="00EC1F10">
        <w:rPr>
          <w:rFonts w:ascii="TimesNewRoman" w:hAnsi="TimesNewRoman" w:cs="TimesNewRoman"/>
        </w:rPr>
        <w:t>After an approved increase in burden during the second year of approval, the total burden approved for the generic IC was 600 annual burden hours.</w:t>
      </w:r>
    </w:p>
    <w:p w:rsidR="00EC1F10" w:rsidRDefault="00EC1F10" w:rsidP="00514B02">
      <w:pPr>
        <w:rPr>
          <w:rFonts w:ascii="TimesNewRoman" w:hAnsi="TimesNewRoman" w:cs="TimesNewRoman"/>
        </w:rPr>
      </w:pPr>
    </w:p>
    <w:p w:rsidR="00514B02" w:rsidRDefault="00514B02" w:rsidP="00514B02">
      <w:pPr>
        <w:rPr>
          <w:rFonts w:ascii="TimesNewRoman" w:hAnsi="TimesNewRoman" w:cs="TimesNewRoman"/>
        </w:rPr>
      </w:pPr>
      <w:r>
        <w:rPr>
          <w:rFonts w:ascii="TimesNewRoman" w:hAnsi="TimesNewRoman" w:cs="TimesNewRoman"/>
        </w:rPr>
        <w:t xml:space="preserve">During the first year of use, two projects used the generic IC to </w:t>
      </w:r>
      <w:r w:rsidR="005041EF">
        <w:rPr>
          <w:rFonts w:ascii="TimesNewRoman" w:hAnsi="TimesNewRoman" w:cs="TimesNewRoman"/>
        </w:rPr>
        <w:t xml:space="preserve">inform </w:t>
      </w:r>
      <w:r w:rsidR="00E95C3C">
        <w:rPr>
          <w:rFonts w:ascii="TimesNewRoman" w:hAnsi="TimesNewRoman" w:cs="TimesNewRoman"/>
        </w:rPr>
        <w:t>development</w:t>
      </w:r>
      <w:r>
        <w:rPr>
          <w:rFonts w:ascii="TimesNewRoman" w:hAnsi="TimesNewRoman" w:cs="TimesNewRoman"/>
        </w:rPr>
        <w:t xml:space="preserve">, using a total of </w:t>
      </w:r>
      <w:r w:rsidR="005041EF">
        <w:rPr>
          <w:rFonts w:ascii="TimesNewRoman" w:hAnsi="TimesNewRoman" w:cs="TimesNewRoman"/>
        </w:rPr>
        <w:t>101</w:t>
      </w:r>
      <w:r w:rsidR="00E95C3C">
        <w:rPr>
          <w:rFonts w:ascii="TimesNewRoman" w:hAnsi="TimesNewRoman" w:cs="TimesNewRoman"/>
        </w:rPr>
        <w:t xml:space="preserve"> </w:t>
      </w:r>
      <w:r>
        <w:rPr>
          <w:rFonts w:ascii="TimesNewRoman" w:hAnsi="TimesNewRoman" w:cs="TimesNewRoman"/>
        </w:rPr>
        <w:t xml:space="preserve">burden hours. During the </w:t>
      </w:r>
      <w:r w:rsidR="005041EF">
        <w:rPr>
          <w:rFonts w:ascii="TimesNewRoman" w:hAnsi="TimesNewRoman" w:cs="TimesNewRoman"/>
        </w:rPr>
        <w:t xml:space="preserve">second year, one project used 72 hours of burden to collection information using a discussion guide. In the </w:t>
      </w:r>
      <w:r>
        <w:rPr>
          <w:rFonts w:ascii="TimesNewRoman" w:hAnsi="TimesNewRoman" w:cs="TimesNewRoman"/>
        </w:rPr>
        <w:t xml:space="preserve">third year, </w:t>
      </w:r>
      <w:r w:rsidR="005041EF">
        <w:rPr>
          <w:rFonts w:ascii="TimesNewRoman" w:hAnsi="TimesNewRoman" w:cs="TimesNewRoman"/>
        </w:rPr>
        <w:t>a final generic IC was approved, using 61 hours of burden</w:t>
      </w:r>
      <w:r>
        <w:rPr>
          <w:rFonts w:ascii="TimesNewRoman" w:hAnsi="TimesNewRoman" w:cs="TimesNewRoman"/>
        </w:rPr>
        <w:t xml:space="preserve">. Over the three years, </w:t>
      </w:r>
      <w:r w:rsidR="005041EF">
        <w:rPr>
          <w:rFonts w:ascii="TimesNewRoman" w:hAnsi="TimesNewRoman" w:cs="TimesNewRoman"/>
        </w:rPr>
        <w:t xml:space="preserve">information was collected from 214 </w:t>
      </w:r>
      <w:r>
        <w:rPr>
          <w:rFonts w:ascii="TimesNewRoman" w:hAnsi="TimesNewRoman" w:cs="TimesNewRoman"/>
        </w:rPr>
        <w:t xml:space="preserve">respondents requiring </w:t>
      </w:r>
      <w:r w:rsidR="005041EF">
        <w:rPr>
          <w:rFonts w:ascii="TimesNewRoman" w:hAnsi="TimesNewRoman" w:cs="TimesNewRoman"/>
        </w:rPr>
        <w:t xml:space="preserve">360 </w:t>
      </w:r>
      <w:r>
        <w:rPr>
          <w:rFonts w:ascii="TimesNewRoman" w:hAnsi="TimesNewRoman" w:cs="TimesNewRoman"/>
        </w:rPr>
        <w:t xml:space="preserve">hours of burden. </w:t>
      </w:r>
    </w:p>
    <w:p w:rsidR="00514B02" w:rsidRDefault="00514B02" w:rsidP="00514B02">
      <w:pPr>
        <w:rPr>
          <w:rFonts w:ascii="TimesNewRoman" w:hAnsi="TimesNewRoman" w:cs="TimesNewRoman"/>
        </w:rPr>
      </w:pPr>
    </w:p>
    <w:tbl>
      <w:tblPr>
        <w:tblStyle w:val="TableGrid"/>
        <w:tblW w:w="0" w:type="auto"/>
        <w:jc w:val="center"/>
        <w:tblLook w:val="04A0"/>
      </w:tblPr>
      <w:tblGrid>
        <w:gridCol w:w="1278"/>
        <w:gridCol w:w="2430"/>
        <w:gridCol w:w="1681"/>
        <w:gridCol w:w="1937"/>
      </w:tblGrid>
      <w:tr w:rsidR="00EC1F10" w:rsidTr="0042261E">
        <w:trPr>
          <w:jc w:val="center"/>
        </w:trPr>
        <w:tc>
          <w:tcPr>
            <w:tcW w:w="1278"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b/>
              </w:rPr>
            </w:pPr>
            <w:r>
              <w:rPr>
                <w:rFonts w:ascii="TimesNewRoman" w:hAnsi="TimesNewRoman" w:cs="TimesNewRoman"/>
                <w:b/>
              </w:rPr>
              <w:t>Date</w:t>
            </w:r>
          </w:p>
        </w:tc>
        <w:tc>
          <w:tcPr>
            <w:tcW w:w="2430"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b/>
              </w:rPr>
            </w:pPr>
            <w:r>
              <w:rPr>
                <w:rFonts w:ascii="TimesNewRoman" w:hAnsi="TimesNewRoman" w:cs="TimesNewRoman"/>
                <w:b/>
              </w:rPr>
              <w:t>Project</w:t>
            </w:r>
          </w:p>
        </w:tc>
        <w:tc>
          <w:tcPr>
            <w:tcW w:w="1681"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b/>
              </w:rPr>
            </w:pPr>
            <w:r>
              <w:rPr>
                <w:rFonts w:ascii="TimesNewRoman" w:hAnsi="TimesNewRoman" w:cs="TimesNewRoman"/>
                <w:b/>
              </w:rPr>
              <w:t>Respondents</w:t>
            </w:r>
          </w:p>
        </w:tc>
        <w:tc>
          <w:tcPr>
            <w:tcW w:w="1937"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b/>
              </w:rPr>
            </w:pPr>
            <w:r>
              <w:rPr>
                <w:rFonts w:ascii="TimesNewRoman" w:hAnsi="TimesNewRoman" w:cs="TimesNewRoman"/>
                <w:b/>
              </w:rPr>
              <w:t>Burden Hours</w:t>
            </w:r>
          </w:p>
        </w:tc>
      </w:tr>
      <w:tr w:rsidR="00EC1F10" w:rsidTr="0042261E">
        <w:trPr>
          <w:trHeight w:val="206"/>
          <w:jc w:val="center"/>
        </w:trPr>
        <w:tc>
          <w:tcPr>
            <w:tcW w:w="1278"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5/5/2009</w:t>
            </w:r>
          </w:p>
        </w:tc>
        <w:tc>
          <w:tcPr>
            <w:tcW w:w="2430"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FACES 2009</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60</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165</w:t>
            </w:r>
          </w:p>
        </w:tc>
      </w:tr>
      <w:tr w:rsidR="00EC1F10" w:rsidTr="0042261E">
        <w:trPr>
          <w:jc w:val="center"/>
        </w:trPr>
        <w:tc>
          <w:tcPr>
            <w:tcW w:w="1278"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6/12/2009</w:t>
            </w:r>
          </w:p>
        </w:tc>
        <w:tc>
          <w:tcPr>
            <w:tcW w:w="2430"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Child Care Quality Rating System Assessment</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41</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62</w:t>
            </w:r>
          </w:p>
        </w:tc>
      </w:tr>
      <w:tr w:rsidR="00EC1F10" w:rsidTr="0042261E">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EC1F10" w:rsidRDefault="00EC1F10">
            <w:pPr>
              <w:jc w:val="right"/>
              <w:rPr>
                <w:rFonts w:ascii="TimesNewRoman" w:hAnsi="TimesNewRoman" w:cs="TimesNewRoman"/>
                <w:b/>
              </w:rPr>
            </w:pPr>
            <w:r>
              <w:rPr>
                <w:rFonts w:ascii="TimesNewRoman" w:hAnsi="TimesNewRoman" w:cs="TimesNewRoman"/>
                <w:b/>
              </w:rPr>
              <w:t>Total Year 1</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101</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227</w:t>
            </w:r>
          </w:p>
        </w:tc>
      </w:tr>
      <w:tr w:rsidR="00EC1F10" w:rsidTr="0042261E">
        <w:trPr>
          <w:jc w:val="center"/>
        </w:trPr>
        <w:tc>
          <w:tcPr>
            <w:tcW w:w="1278"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12/8/2009</w:t>
            </w:r>
          </w:p>
        </w:tc>
        <w:tc>
          <w:tcPr>
            <w:tcW w:w="2430" w:type="dxa"/>
            <w:tcBorders>
              <w:top w:val="single" w:sz="4" w:space="0" w:color="auto"/>
              <w:left w:val="single" w:sz="4" w:space="0" w:color="auto"/>
              <w:bottom w:val="single" w:sz="4" w:space="0" w:color="auto"/>
              <w:right w:val="single" w:sz="4" w:space="0" w:color="auto"/>
            </w:tcBorders>
            <w:hideMark/>
          </w:tcPr>
          <w:p w:rsidR="00EC1F10" w:rsidRDefault="00EC1F10">
            <w:pPr>
              <w:rPr>
                <w:rFonts w:ascii="TimesNewRoman" w:hAnsi="TimesNewRoman" w:cs="TimesNewRoman"/>
              </w:rPr>
            </w:pPr>
            <w:r>
              <w:rPr>
                <w:rFonts w:ascii="TimesNewRoman" w:hAnsi="TimesNewRoman" w:cs="TimesNewRoman"/>
              </w:rPr>
              <w:t>TANF Research Synthesis – TANF and CCDF Discussion Guide</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72</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72</w:t>
            </w:r>
          </w:p>
        </w:tc>
      </w:tr>
      <w:tr w:rsidR="00EC1F10" w:rsidTr="0042261E">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EC1F10" w:rsidRPr="00EC1F10" w:rsidRDefault="00EC1F10" w:rsidP="00EC1F10">
            <w:pPr>
              <w:jc w:val="right"/>
              <w:rPr>
                <w:rFonts w:ascii="TimesNewRoman" w:hAnsi="TimesNewRoman" w:cs="TimesNewRoman"/>
                <w:b/>
              </w:rPr>
            </w:pPr>
            <w:r>
              <w:rPr>
                <w:rFonts w:ascii="TimesNewRoman" w:hAnsi="TimesNewRoman" w:cs="TimesNewRoman"/>
                <w:b/>
              </w:rPr>
              <w:t>Total Year 2</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Pr="00EC1F10" w:rsidRDefault="00EC1F10">
            <w:pPr>
              <w:jc w:val="center"/>
              <w:rPr>
                <w:rFonts w:ascii="TimesNewRoman" w:hAnsi="TimesNewRoman" w:cs="TimesNewRoman"/>
                <w:b/>
              </w:rPr>
            </w:pPr>
            <w:r w:rsidRPr="00EC1F10">
              <w:rPr>
                <w:rFonts w:ascii="TimesNewRoman" w:hAnsi="TimesNewRoman" w:cs="TimesNewRoman"/>
                <w:b/>
              </w:rPr>
              <w:t>72</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Pr="00EC1F10" w:rsidRDefault="00EC1F10">
            <w:pPr>
              <w:jc w:val="center"/>
              <w:rPr>
                <w:rFonts w:ascii="TimesNewRoman" w:hAnsi="TimesNewRoman" w:cs="TimesNewRoman"/>
                <w:b/>
              </w:rPr>
            </w:pPr>
            <w:r w:rsidRPr="00EC1F10">
              <w:rPr>
                <w:rFonts w:ascii="TimesNewRoman" w:hAnsi="TimesNewRoman" w:cs="TimesNewRoman"/>
                <w:b/>
              </w:rPr>
              <w:t>72</w:t>
            </w:r>
          </w:p>
        </w:tc>
      </w:tr>
      <w:tr w:rsidR="00EC1F10" w:rsidTr="0042261E">
        <w:trPr>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EC1F10" w:rsidRDefault="00EC1F10" w:rsidP="00EC1F10">
            <w:pPr>
              <w:tabs>
                <w:tab w:val="left" w:pos="783"/>
              </w:tabs>
              <w:rPr>
                <w:rFonts w:ascii="TimesNewRoman" w:hAnsi="TimesNewRoman" w:cs="TimesNewRoman"/>
              </w:rPr>
            </w:pPr>
            <w:r>
              <w:rPr>
                <w:rFonts w:ascii="TimesNewRoman" w:hAnsi="TimesNewRoman" w:cs="TimesNewRoman"/>
              </w:rPr>
              <w:t>6/20/2011</w:t>
            </w:r>
          </w:p>
        </w:tc>
        <w:tc>
          <w:tcPr>
            <w:tcW w:w="2430" w:type="dxa"/>
            <w:tcBorders>
              <w:top w:val="single" w:sz="4" w:space="0" w:color="auto"/>
              <w:left w:val="single" w:sz="4" w:space="0" w:color="auto"/>
              <w:bottom w:val="single" w:sz="4" w:space="0" w:color="auto"/>
              <w:right w:val="single" w:sz="4" w:space="0" w:color="auto"/>
            </w:tcBorders>
            <w:hideMark/>
          </w:tcPr>
          <w:p w:rsidR="00EC1F10" w:rsidRDefault="00EC1F10" w:rsidP="00EC1F10">
            <w:pPr>
              <w:rPr>
                <w:rFonts w:ascii="TimesNewRoman" w:hAnsi="TimesNewRoman" w:cs="TimesNewRoman"/>
              </w:rPr>
            </w:pPr>
            <w:r>
              <w:rPr>
                <w:rFonts w:ascii="TimesNewRoman" w:hAnsi="TimesNewRoman" w:cs="TimesNewRoman"/>
              </w:rPr>
              <w:t>Family Provider Relationships in Early Care and Education</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41</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rPr>
            </w:pPr>
            <w:r>
              <w:rPr>
                <w:rFonts w:ascii="TimesNewRoman" w:hAnsi="TimesNewRoman" w:cs="TimesNewRoman"/>
              </w:rPr>
              <w:t>61</w:t>
            </w:r>
          </w:p>
        </w:tc>
      </w:tr>
      <w:tr w:rsidR="00EC1F10" w:rsidTr="0042261E">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EC1F10" w:rsidRDefault="00EC1F10">
            <w:pPr>
              <w:jc w:val="right"/>
              <w:rPr>
                <w:rFonts w:ascii="TimesNewRoman" w:hAnsi="TimesNewRoman" w:cs="TimesNewRoman"/>
                <w:b/>
              </w:rPr>
            </w:pPr>
            <w:r>
              <w:rPr>
                <w:rFonts w:ascii="TimesNewRoman" w:hAnsi="TimesNewRoman" w:cs="TimesNewRoman"/>
                <w:b/>
              </w:rPr>
              <w:t>Total Year 3</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41</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61</w:t>
            </w:r>
          </w:p>
        </w:tc>
      </w:tr>
      <w:tr w:rsidR="00EC1F10" w:rsidTr="0042261E">
        <w:trPr>
          <w:jc w:val="center"/>
        </w:trPr>
        <w:tc>
          <w:tcPr>
            <w:tcW w:w="3708" w:type="dxa"/>
            <w:gridSpan w:val="2"/>
            <w:tcBorders>
              <w:top w:val="single" w:sz="4" w:space="0" w:color="auto"/>
              <w:left w:val="single" w:sz="4" w:space="0" w:color="auto"/>
              <w:bottom w:val="single" w:sz="4" w:space="0" w:color="auto"/>
              <w:right w:val="single" w:sz="4" w:space="0" w:color="auto"/>
            </w:tcBorders>
            <w:vAlign w:val="center"/>
            <w:hideMark/>
          </w:tcPr>
          <w:p w:rsidR="00EC1F10" w:rsidRDefault="00EC1F10">
            <w:pPr>
              <w:jc w:val="right"/>
              <w:rPr>
                <w:rFonts w:ascii="TimesNewRoman" w:hAnsi="TimesNewRoman" w:cs="TimesNewRoman"/>
                <w:b/>
              </w:rPr>
            </w:pPr>
            <w:r>
              <w:rPr>
                <w:rFonts w:ascii="TimesNewRoman" w:hAnsi="TimesNewRoman" w:cs="TimesNewRoman"/>
                <w:b/>
              </w:rPr>
              <w:t>Total over 3 Years</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214</w:t>
            </w:r>
          </w:p>
        </w:tc>
        <w:tc>
          <w:tcPr>
            <w:tcW w:w="1937" w:type="dxa"/>
            <w:tcBorders>
              <w:top w:val="single" w:sz="4" w:space="0" w:color="auto"/>
              <w:left w:val="single" w:sz="4" w:space="0" w:color="auto"/>
              <w:bottom w:val="single" w:sz="4" w:space="0" w:color="auto"/>
              <w:right w:val="single" w:sz="4" w:space="0" w:color="auto"/>
            </w:tcBorders>
            <w:vAlign w:val="center"/>
            <w:hideMark/>
          </w:tcPr>
          <w:p w:rsidR="00EC1F10" w:rsidRDefault="00EC1F10">
            <w:pPr>
              <w:jc w:val="center"/>
              <w:rPr>
                <w:rFonts w:ascii="TimesNewRoman" w:hAnsi="TimesNewRoman" w:cs="TimesNewRoman"/>
                <w:b/>
              </w:rPr>
            </w:pPr>
            <w:r>
              <w:rPr>
                <w:rFonts w:ascii="TimesNewRoman" w:hAnsi="TimesNewRoman" w:cs="TimesNewRoman"/>
                <w:b/>
              </w:rPr>
              <w:t>360</w:t>
            </w:r>
          </w:p>
        </w:tc>
      </w:tr>
    </w:tbl>
    <w:p w:rsidR="00514B02" w:rsidRDefault="00514B02" w:rsidP="00514B02">
      <w:pPr>
        <w:rPr>
          <w:rFonts w:ascii="TimesNewRoman" w:hAnsi="TimesNewRoman" w:cs="TimesNewRoman"/>
        </w:rPr>
      </w:pPr>
    </w:p>
    <w:p w:rsidR="00E95C3C" w:rsidRDefault="00E95C3C" w:rsidP="00514B02">
      <w:pPr>
        <w:rPr>
          <w:rFonts w:ascii="TimesNewRoman" w:hAnsi="TimesNewRoman" w:cs="TimesNewRoman"/>
        </w:rPr>
      </w:pPr>
    </w:p>
    <w:p w:rsidR="00514B02" w:rsidRDefault="00514B02" w:rsidP="00514B02">
      <w:pPr>
        <w:rPr>
          <w:rFonts w:ascii="TimesNewRoman" w:hAnsi="TimesNewRoman" w:cs="TimesNewRoman"/>
        </w:rPr>
      </w:pPr>
      <w:r>
        <w:rPr>
          <w:rFonts w:ascii="TimesNewRoman" w:hAnsi="TimesNewRoman" w:cs="TimesNewRoman"/>
        </w:rPr>
        <w:t xml:space="preserve">The use of the </w:t>
      </w:r>
      <w:r w:rsidR="005041EF">
        <w:rPr>
          <w:rFonts w:ascii="TimesNewRoman" w:hAnsi="TimesNewRoman" w:cs="TimesNewRoman"/>
        </w:rPr>
        <w:t>formative</w:t>
      </w:r>
      <w:r>
        <w:rPr>
          <w:rFonts w:ascii="TimesNewRoman" w:hAnsi="TimesNewRoman" w:cs="TimesNewRoman"/>
        </w:rPr>
        <w:t xml:space="preserve"> generic </w:t>
      </w:r>
      <w:r w:rsidR="00650D4B">
        <w:rPr>
          <w:rFonts w:ascii="TimesNewRoman" w:hAnsi="TimesNewRoman" w:cs="TimesNewRoman"/>
        </w:rPr>
        <w:t xml:space="preserve">IC has provided valuable information for the development </w:t>
      </w:r>
      <w:r w:rsidR="00E95C3C">
        <w:rPr>
          <w:rFonts w:ascii="TimesNewRoman" w:hAnsi="TimesNewRoman" w:cs="TimesNewRoman"/>
        </w:rPr>
        <w:t>of our</w:t>
      </w:r>
      <w:r>
        <w:rPr>
          <w:rFonts w:ascii="TimesNewRoman" w:hAnsi="TimesNewRoman" w:cs="TimesNewRoman"/>
        </w:rPr>
        <w:t xml:space="preserve"> projects. </w:t>
      </w:r>
      <w:r w:rsidR="00E95C3C">
        <w:rPr>
          <w:rFonts w:ascii="TimesNewRoman" w:hAnsi="TimesNewRoman" w:cs="TimesNewRoman"/>
        </w:rPr>
        <w:t>I</w:t>
      </w:r>
      <w:r>
        <w:rPr>
          <w:rFonts w:ascii="TimesNewRoman" w:hAnsi="TimesNewRoman" w:cs="TimesNewRoman"/>
        </w:rPr>
        <w:t xml:space="preserve">nformation about </w:t>
      </w:r>
      <w:r w:rsidR="00E95C3C">
        <w:rPr>
          <w:rFonts w:ascii="TimesNewRoman" w:hAnsi="TimesNewRoman" w:cs="TimesNewRoman"/>
        </w:rPr>
        <w:t xml:space="preserve">some specific </w:t>
      </w:r>
      <w:r>
        <w:rPr>
          <w:rFonts w:ascii="TimesNewRoman" w:hAnsi="TimesNewRoman" w:cs="TimesNewRoman"/>
        </w:rPr>
        <w:t>activities completed under this generic clearance</w:t>
      </w:r>
      <w:r w:rsidR="00E95C3C">
        <w:rPr>
          <w:rFonts w:ascii="TimesNewRoman" w:hAnsi="TimesNewRoman" w:cs="TimesNewRoman"/>
        </w:rPr>
        <w:t xml:space="preserve"> is provided below</w:t>
      </w:r>
      <w:r>
        <w:rPr>
          <w:rFonts w:ascii="TimesNewRoman" w:hAnsi="TimesNewRoman" w:cs="TimesNewRoman"/>
        </w:rPr>
        <w:t xml:space="preserve">. </w:t>
      </w:r>
      <w:r w:rsidR="001C5ECF" w:rsidRPr="00E13B88">
        <w:rPr>
          <w:rFonts w:ascii="Times New Roman" w:hAnsi="Times New Roman" w:cs="Times New Roman"/>
        </w:rPr>
        <w:t xml:space="preserve">Under the terms of clearance for this generic IC, all of the methods and the data approved </w:t>
      </w:r>
      <w:r w:rsidR="001C5ECF">
        <w:rPr>
          <w:rFonts w:ascii="Times New Roman" w:hAnsi="Times New Roman" w:cs="Times New Roman"/>
        </w:rPr>
        <w:t xml:space="preserve">in the following ICs </w:t>
      </w:r>
      <w:r w:rsidR="001C5ECF" w:rsidRPr="00E13B88">
        <w:rPr>
          <w:rFonts w:ascii="Times New Roman" w:hAnsi="Times New Roman" w:cs="Times New Roman"/>
        </w:rPr>
        <w:t>were limited to informing OPRE and ACF’s internal decision-making, research planning, and contextual</w:t>
      </w:r>
      <w:r w:rsidR="0042261E">
        <w:rPr>
          <w:rFonts w:ascii="Times New Roman" w:hAnsi="Times New Roman" w:cs="Times New Roman"/>
        </w:rPr>
        <w:t>ization of research findings. T</w:t>
      </w:r>
      <w:r w:rsidR="001C5ECF" w:rsidRPr="00E13B88">
        <w:rPr>
          <w:rFonts w:ascii="Times New Roman" w:hAnsi="Times New Roman" w:cs="Times New Roman"/>
        </w:rPr>
        <w:t>he information collected was used for internal purposes only and was not released to the public.</w:t>
      </w:r>
    </w:p>
    <w:p w:rsidR="00514B02" w:rsidRDefault="00514B02" w:rsidP="00514B02">
      <w:pPr>
        <w:rPr>
          <w:rFonts w:ascii="TimesNewRoman" w:hAnsi="TimesNewRoman" w:cs="TimesNewRoman"/>
        </w:rPr>
      </w:pPr>
    </w:p>
    <w:p w:rsidR="00514B02" w:rsidRDefault="00514B02" w:rsidP="00514B02">
      <w:pPr>
        <w:rPr>
          <w:rFonts w:ascii="TimesNewRoman" w:hAnsi="TimesNewRoman" w:cs="TimesNewRoman"/>
          <w:u w:val="single"/>
        </w:rPr>
      </w:pPr>
      <w:r>
        <w:rPr>
          <w:rFonts w:ascii="TimesNewRoman" w:hAnsi="TimesNewRoman" w:cs="TimesNewRoman"/>
          <w:u w:val="single"/>
        </w:rPr>
        <w:t>FACES 2009</w:t>
      </w:r>
    </w:p>
    <w:p w:rsidR="00203AA9" w:rsidRPr="00203AA9" w:rsidRDefault="00203AA9" w:rsidP="00514B02">
      <w:pPr>
        <w:rPr>
          <w:rFonts w:ascii="Times New Roman" w:hAnsi="Times New Roman" w:cs="Times New Roman"/>
          <w:color w:val="1F497D"/>
          <w:sz w:val="24"/>
          <w:szCs w:val="24"/>
          <w:u w:val="single"/>
        </w:rPr>
      </w:pPr>
      <w:r w:rsidRPr="00203AA9">
        <w:rPr>
          <w:rFonts w:ascii="Times New Roman" w:hAnsi="Times New Roman" w:cs="Times New Roman"/>
          <w:sz w:val="24"/>
          <w:szCs w:val="24"/>
        </w:rPr>
        <w:t xml:space="preserve">In February 2009, ACF requested permission to contact the 60 Head Start programs that were selected to participate in The Head Start Family and Child Experiences Survey 2009 Cohort (FACES 2009) for the purpose </w:t>
      </w:r>
      <w:r w:rsidR="001347FD">
        <w:rPr>
          <w:rFonts w:ascii="Times New Roman" w:hAnsi="Times New Roman" w:cs="Times New Roman"/>
          <w:sz w:val="24"/>
          <w:szCs w:val="24"/>
        </w:rPr>
        <w:t xml:space="preserve">of </w:t>
      </w:r>
      <w:r w:rsidRPr="00203AA9">
        <w:rPr>
          <w:rFonts w:ascii="Times New Roman" w:hAnsi="Times New Roman" w:cs="Times New Roman"/>
          <w:sz w:val="24"/>
          <w:szCs w:val="24"/>
        </w:rPr>
        <w:t xml:space="preserve">gathering information that would be used (1) to develop a sampling frame of Head Start centers in each program and (2) to facilitate the selection of the center, class, and child samples for FACES 2009. The generic clearance allowed us to begin </w:t>
      </w:r>
      <w:r w:rsidRPr="00203AA9">
        <w:rPr>
          <w:rFonts w:ascii="Times New Roman" w:hAnsi="Times New Roman" w:cs="Times New Roman"/>
          <w:sz w:val="24"/>
          <w:szCs w:val="24"/>
        </w:rPr>
        <w:lastRenderedPageBreak/>
        <w:t xml:space="preserve">contacting programs earlier in the sampling process, before the end of the prior school year, for data collection the following fall. </w:t>
      </w:r>
    </w:p>
    <w:p w:rsidR="00203AA9" w:rsidRDefault="00203AA9" w:rsidP="00514B02">
      <w:pPr>
        <w:rPr>
          <w:rFonts w:ascii="TimesNewRoman" w:hAnsi="TimesNewRoman" w:cs="TimesNewRoman"/>
          <w:u w:val="single"/>
        </w:rPr>
      </w:pPr>
    </w:p>
    <w:p w:rsidR="00514B02" w:rsidRPr="005041EF" w:rsidRDefault="005041EF" w:rsidP="00514B02">
      <w:pPr>
        <w:rPr>
          <w:rFonts w:ascii="TimesNewRoman" w:hAnsi="TimesNewRoman" w:cs="TimesNewRoman"/>
          <w:u w:val="single"/>
        </w:rPr>
      </w:pPr>
      <w:r w:rsidRPr="005041EF">
        <w:rPr>
          <w:rFonts w:ascii="TimesNewRoman" w:hAnsi="TimesNewRoman" w:cs="TimesNewRoman"/>
          <w:u w:val="single"/>
        </w:rPr>
        <w:t>Child Care Quality Rating System Assessment</w:t>
      </w:r>
    </w:p>
    <w:p w:rsidR="00E13B88" w:rsidRPr="00E13B88" w:rsidRDefault="00E13B88" w:rsidP="00E13B88">
      <w:pPr>
        <w:rPr>
          <w:rFonts w:ascii="Times New Roman" w:hAnsi="Times New Roman" w:cs="Times New Roman"/>
        </w:rPr>
      </w:pPr>
      <w:r w:rsidRPr="00E13B88">
        <w:rPr>
          <w:rFonts w:ascii="Times New Roman" w:hAnsi="Times New Roman" w:cs="Times New Roman"/>
        </w:rPr>
        <w:t>The purpose of th</w:t>
      </w:r>
      <w:r w:rsidR="00E95C3C">
        <w:rPr>
          <w:rFonts w:ascii="Times New Roman" w:hAnsi="Times New Roman" w:cs="Times New Roman"/>
        </w:rPr>
        <w:t>is</w:t>
      </w:r>
      <w:r w:rsidRPr="00E13B88">
        <w:rPr>
          <w:rFonts w:ascii="Times New Roman" w:hAnsi="Times New Roman" w:cs="Times New Roman"/>
        </w:rPr>
        <w:t xml:space="preserve"> generic clearance</w:t>
      </w:r>
      <w:r w:rsidR="001C5ECF">
        <w:rPr>
          <w:rFonts w:ascii="Times New Roman" w:hAnsi="Times New Roman" w:cs="Times New Roman"/>
        </w:rPr>
        <w:t xml:space="preserve"> IC</w:t>
      </w:r>
      <w:r w:rsidRPr="00E13B88">
        <w:rPr>
          <w:rFonts w:ascii="Times New Roman" w:hAnsi="Times New Roman" w:cs="Times New Roman"/>
        </w:rPr>
        <w:t xml:space="preserve"> was to gather data that were not publicly available to inform the subsequent work of the Child Care Quality Rating System Assessment (QRS) project.  ACF requested permission to contact administrators from the 27 QRS identified for the project by email and telephone to administer a screener designed to collect information on QRS da</w:t>
      </w:r>
      <w:r w:rsidR="0042261E">
        <w:rPr>
          <w:rFonts w:ascii="Times New Roman" w:hAnsi="Times New Roman" w:cs="Times New Roman"/>
        </w:rPr>
        <w:t xml:space="preserve">ta, monitoring and evaluation. </w:t>
      </w:r>
      <w:r w:rsidRPr="00E13B88">
        <w:rPr>
          <w:rFonts w:ascii="Times New Roman" w:hAnsi="Times New Roman" w:cs="Times New Roman"/>
        </w:rPr>
        <w:t xml:space="preserve">Information gathered was used for internal-decision making, </w:t>
      </w:r>
      <w:r w:rsidR="001C5ECF">
        <w:rPr>
          <w:rFonts w:ascii="Times New Roman" w:hAnsi="Times New Roman" w:cs="Times New Roman"/>
        </w:rPr>
        <w:t xml:space="preserve">for </w:t>
      </w:r>
      <w:r w:rsidRPr="00E13B88">
        <w:rPr>
          <w:rFonts w:ascii="Times New Roman" w:hAnsi="Times New Roman" w:cs="Times New Roman"/>
        </w:rPr>
        <w:t xml:space="preserve">research planning, and </w:t>
      </w:r>
      <w:r w:rsidR="001C5ECF">
        <w:rPr>
          <w:rFonts w:ascii="Times New Roman" w:hAnsi="Times New Roman" w:cs="Times New Roman"/>
        </w:rPr>
        <w:t>to put</w:t>
      </w:r>
      <w:r w:rsidRPr="00E13B88">
        <w:rPr>
          <w:rFonts w:ascii="Times New Roman" w:hAnsi="Times New Roman" w:cs="Times New Roman"/>
        </w:rPr>
        <w:t xml:space="preserve"> research findings from all the activities of the project in context. Specifically, data collected from the screener directly informed (1) the selection of QRS sites for the in-depth case studies, (2) identification of evaluation data to conduct secondary data analyses, and 3) identification of gaps in resources to aid states in collecting data and conducting evaluations</w:t>
      </w:r>
      <w:r w:rsidR="001C5ECF">
        <w:rPr>
          <w:rFonts w:ascii="Times New Roman" w:hAnsi="Times New Roman" w:cs="Times New Roman"/>
        </w:rPr>
        <w:t xml:space="preserve">. </w:t>
      </w:r>
      <w:r w:rsidR="001347FD">
        <w:rPr>
          <w:rFonts w:ascii="Times New Roman" w:hAnsi="Times New Roman" w:cs="Times New Roman"/>
        </w:rPr>
        <w:t xml:space="preserve">The identification of gaps informed the development of </w:t>
      </w:r>
      <w:r w:rsidRPr="00E13B88">
        <w:rPr>
          <w:rFonts w:ascii="Times New Roman" w:hAnsi="Times New Roman" w:cs="Times New Roman"/>
        </w:rPr>
        <w:t xml:space="preserve">a toolkit of practices </w:t>
      </w:r>
      <w:r w:rsidR="001347FD">
        <w:rPr>
          <w:rFonts w:ascii="Times New Roman" w:hAnsi="Times New Roman" w:cs="Times New Roman"/>
        </w:rPr>
        <w:t xml:space="preserve">for </w:t>
      </w:r>
      <w:r w:rsidRPr="00E13B88">
        <w:rPr>
          <w:rFonts w:ascii="Times New Roman" w:hAnsi="Times New Roman" w:cs="Times New Roman"/>
        </w:rPr>
        <w:t>evaluati</w:t>
      </w:r>
      <w:r w:rsidR="001347FD">
        <w:rPr>
          <w:rFonts w:ascii="Times New Roman" w:hAnsi="Times New Roman" w:cs="Times New Roman"/>
        </w:rPr>
        <w:t>ng</w:t>
      </w:r>
      <w:r w:rsidRPr="00E13B88">
        <w:rPr>
          <w:rFonts w:ascii="Times New Roman" w:hAnsi="Times New Roman" w:cs="Times New Roman"/>
        </w:rPr>
        <w:t xml:space="preserve"> QRS.  </w:t>
      </w:r>
    </w:p>
    <w:p w:rsidR="0042261E" w:rsidRDefault="0042261E" w:rsidP="00E13B88">
      <w:pPr>
        <w:rPr>
          <w:rFonts w:ascii="Times New Roman" w:hAnsi="Times New Roman" w:cs="Times New Roman"/>
        </w:rPr>
      </w:pPr>
    </w:p>
    <w:p w:rsidR="00E13B88" w:rsidRPr="00E13B88" w:rsidRDefault="00E13B88" w:rsidP="00E13B88">
      <w:pPr>
        <w:rPr>
          <w:rFonts w:ascii="Times New Roman" w:hAnsi="Times New Roman" w:cs="Times New Roman"/>
        </w:rPr>
      </w:pPr>
      <w:r w:rsidRPr="00E13B88">
        <w:rPr>
          <w:rFonts w:ascii="Times New Roman" w:hAnsi="Times New Roman" w:cs="Times New Roman"/>
        </w:rPr>
        <w:t xml:space="preserve">Data collection approved through the generic clearance allowed OPRE/ACF to identify data available for secondary analyses that would not have been identified through other public sources, as well as the information necessary to select the best sites for </w:t>
      </w:r>
      <w:r w:rsidR="001347FD">
        <w:rPr>
          <w:rFonts w:ascii="Times New Roman" w:hAnsi="Times New Roman" w:cs="Times New Roman"/>
        </w:rPr>
        <w:t>an</w:t>
      </w:r>
      <w:r w:rsidR="0090388C">
        <w:rPr>
          <w:rFonts w:ascii="Times New Roman" w:hAnsi="Times New Roman" w:cs="Times New Roman"/>
        </w:rPr>
        <w:t xml:space="preserve"> </w:t>
      </w:r>
      <w:r w:rsidRPr="00E13B88">
        <w:rPr>
          <w:rFonts w:ascii="Times New Roman" w:hAnsi="Times New Roman" w:cs="Times New Roman"/>
        </w:rPr>
        <w:t xml:space="preserve">in-depth study of quality measurement in QRS systems. Reports from both of these activities provided the Agency and states implementing QRS with critical information to be used in planning, data collection and policy </w:t>
      </w:r>
      <w:r w:rsidR="0090388C">
        <w:rPr>
          <w:rFonts w:ascii="Times New Roman" w:hAnsi="Times New Roman" w:cs="Times New Roman"/>
        </w:rPr>
        <w:t>development, which</w:t>
      </w:r>
      <w:r w:rsidRPr="00E13B88">
        <w:rPr>
          <w:rFonts w:ascii="Times New Roman" w:hAnsi="Times New Roman" w:cs="Times New Roman"/>
        </w:rPr>
        <w:t xml:space="preserve"> would not have been available otherwise.</w:t>
      </w:r>
    </w:p>
    <w:p w:rsidR="00514B02" w:rsidRDefault="00514B02" w:rsidP="00514B02">
      <w:pPr>
        <w:rPr>
          <w:rFonts w:ascii="TimesNewRoman" w:hAnsi="TimesNewRoman" w:cs="TimesNewRoman"/>
          <w:u w:val="single"/>
        </w:rPr>
      </w:pPr>
    </w:p>
    <w:p w:rsidR="00514B02" w:rsidRDefault="00514B02" w:rsidP="00514B02">
      <w:pPr>
        <w:rPr>
          <w:rFonts w:ascii="TimesNewRoman" w:hAnsi="TimesNewRoman" w:cs="TimesNewRoman"/>
          <w:u w:val="single"/>
        </w:rPr>
      </w:pPr>
    </w:p>
    <w:p w:rsidR="00514B02" w:rsidRDefault="005041EF">
      <w:pPr>
        <w:rPr>
          <w:rFonts w:ascii="TimesNewRoman" w:hAnsi="TimesNewRoman" w:cs="TimesNewRoman"/>
          <w:u w:val="single"/>
        </w:rPr>
      </w:pPr>
      <w:r w:rsidRPr="005041EF">
        <w:rPr>
          <w:rFonts w:ascii="TimesNewRoman" w:hAnsi="TimesNewRoman" w:cs="TimesNewRoman"/>
          <w:u w:val="single"/>
        </w:rPr>
        <w:t>Family Provider Relationships in Early Care and Education</w:t>
      </w:r>
    </w:p>
    <w:p w:rsidR="00E51731" w:rsidRPr="00E51731" w:rsidRDefault="001C5ECF" w:rsidP="00E51731">
      <w:pPr>
        <w:rPr>
          <w:rFonts w:ascii="Times New Roman" w:hAnsi="Times New Roman" w:cs="Times New Roman"/>
        </w:rPr>
      </w:pPr>
      <w:r>
        <w:rPr>
          <w:rFonts w:ascii="Times New Roman" w:hAnsi="Times New Roman" w:cs="Times New Roman"/>
        </w:rPr>
        <w:t>In June and July 2011</w:t>
      </w:r>
      <w:r w:rsidR="00E51731" w:rsidRPr="00E51731">
        <w:rPr>
          <w:rFonts w:ascii="Times New Roman" w:hAnsi="Times New Roman" w:cs="Times New Roman"/>
        </w:rPr>
        <w:t xml:space="preserve">, the Family-Provider Relationship Quality measure development project conducted focus groups under </w:t>
      </w:r>
      <w:r>
        <w:rPr>
          <w:rFonts w:ascii="Times New Roman" w:hAnsi="Times New Roman" w:cs="Times New Roman"/>
        </w:rPr>
        <w:t>the formative</w:t>
      </w:r>
      <w:r w:rsidR="00E51731" w:rsidRPr="00E51731">
        <w:rPr>
          <w:rFonts w:ascii="Times New Roman" w:hAnsi="Times New Roman" w:cs="Times New Roman"/>
        </w:rPr>
        <w:t xml:space="preserve"> generic </w:t>
      </w:r>
      <w:r>
        <w:rPr>
          <w:rFonts w:ascii="Times New Roman" w:hAnsi="Times New Roman" w:cs="Times New Roman"/>
        </w:rPr>
        <w:t>IC</w:t>
      </w:r>
      <w:r w:rsidR="00E51731" w:rsidRPr="00E51731">
        <w:rPr>
          <w:rFonts w:ascii="Times New Roman" w:hAnsi="Times New Roman" w:cs="Times New Roman"/>
        </w:rPr>
        <w:t>.  The results of the focus groups have been invaluable in shaping the surveys that will capture the quality of the relationships between families and their early care and education providers/teachers.  As an example, through the focus groups</w:t>
      </w:r>
      <w:r w:rsidR="0042261E">
        <w:rPr>
          <w:rFonts w:ascii="Times New Roman" w:hAnsi="Times New Roman" w:cs="Times New Roman"/>
        </w:rPr>
        <w:t>, it was learned</w:t>
      </w:r>
      <w:r w:rsidR="00E51731" w:rsidRPr="00E51731">
        <w:rPr>
          <w:rFonts w:ascii="Times New Roman" w:hAnsi="Times New Roman" w:cs="Times New Roman"/>
        </w:rPr>
        <w:t xml:space="preserve"> that the word “relationship” was not understood by parents, providers and researchers in the same ways, leading </w:t>
      </w:r>
      <w:r w:rsidR="0042261E">
        <w:rPr>
          <w:rFonts w:ascii="Times New Roman" w:hAnsi="Times New Roman" w:cs="Times New Roman"/>
        </w:rPr>
        <w:t>to the development of</w:t>
      </w:r>
      <w:r w:rsidR="00E51731" w:rsidRPr="00E51731">
        <w:rPr>
          <w:rFonts w:ascii="Times New Roman" w:hAnsi="Times New Roman" w:cs="Times New Roman"/>
        </w:rPr>
        <w:t xml:space="preserve"> different, and more universally understood, terms for the idea of “relationship”, which will be used in the surveys.</w:t>
      </w:r>
    </w:p>
    <w:p w:rsidR="00E51731" w:rsidRPr="005041EF" w:rsidRDefault="00E51731">
      <w:pPr>
        <w:rPr>
          <w:u w:val="single"/>
        </w:rPr>
      </w:pPr>
    </w:p>
    <w:sectPr w:rsidR="00E51731" w:rsidRPr="005041EF"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4B02"/>
    <w:rsid w:val="00016502"/>
    <w:rsid w:val="0009480D"/>
    <w:rsid w:val="000A2DB4"/>
    <w:rsid w:val="000F1509"/>
    <w:rsid w:val="001347FD"/>
    <w:rsid w:val="00152121"/>
    <w:rsid w:val="00166223"/>
    <w:rsid w:val="00167827"/>
    <w:rsid w:val="001841B6"/>
    <w:rsid w:val="001C5ECF"/>
    <w:rsid w:val="001D17F9"/>
    <w:rsid w:val="00203AA9"/>
    <w:rsid w:val="00223C62"/>
    <w:rsid w:val="0027707D"/>
    <w:rsid w:val="00333C3F"/>
    <w:rsid w:val="00375D4F"/>
    <w:rsid w:val="003B6089"/>
    <w:rsid w:val="003C3A19"/>
    <w:rsid w:val="003E2797"/>
    <w:rsid w:val="00414135"/>
    <w:rsid w:val="0042261E"/>
    <w:rsid w:val="00422FED"/>
    <w:rsid w:val="004323F2"/>
    <w:rsid w:val="00447D9E"/>
    <w:rsid w:val="005041EF"/>
    <w:rsid w:val="00514B02"/>
    <w:rsid w:val="00517837"/>
    <w:rsid w:val="00566C29"/>
    <w:rsid w:val="005902A9"/>
    <w:rsid w:val="005E091F"/>
    <w:rsid w:val="00650D4B"/>
    <w:rsid w:val="006659E4"/>
    <w:rsid w:val="006706A1"/>
    <w:rsid w:val="006B1D77"/>
    <w:rsid w:val="006F1AC2"/>
    <w:rsid w:val="00722F77"/>
    <w:rsid w:val="007673AC"/>
    <w:rsid w:val="00830815"/>
    <w:rsid w:val="00882B62"/>
    <w:rsid w:val="00893E6B"/>
    <w:rsid w:val="008D2FE2"/>
    <w:rsid w:val="008E21E2"/>
    <w:rsid w:val="008E2315"/>
    <w:rsid w:val="0090388C"/>
    <w:rsid w:val="00954CFC"/>
    <w:rsid w:val="0095558F"/>
    <w:rsid w:val="009974C8"/>
    <w:rsid w:val="009C7948"/>
    <w:rsid w:val="00A513B8"/>
    <w:rsid w:val="00A61C78"/>
    <w:rsid w:val="00A976E4"/>
    <w:rsid w:val="00AA1F98"/>
    <w:rsid w:val="00AB0E71"/>
    <w:rsid w:val="00AB3782"/>
    <w:rsid w:val="00AD74E0"/>
    <w:rsid w:val="00B114FA"/>
    <w:rsid w:val="00B2342A"/>
    <w:rsid w:val="00B243E1"/>
    <w:rsid w:val="00B85298"/>
    <w:rsid w:val="00C30F86"/>
    <w:rsid w:val="00C40F2F"/>
    <w:rsid w:val="00C42577"/>
    <w:rsid w:val="00C56E93"/>
    <w:rsid w:val="00C95C19"/>
    <w:rsid w:val="00D419C7"/>
    <w:rsid w:val="00D51095"/>
    <w:rsid w:val="00DC7814"/>
    <w:rsid w:val="00E13B88"/>
    <w:rsid w:val="00E265F9"/>
    <w:rsid w:val="00E51731"/>
    <w:rsid w:val="00E73310"/>
    <w:rsid w:val="00E73602"/>
    <w:rsid w:val="00E95C3C"/>
    <w:rsid w:val="00EC1F10"/>
    <w:rsid w:val="00EC62BA"/>
    <w:rsid w:val="00ED46FE"/>
    <w:rsid w:val="00F339C7"/>
    <w:rsid w:val="00FB2CBE"/>
    <w:rsid w:val="00FD3050"/>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B02"/>
  </w:style>
  <w:style w:type="paragraph" w:styleId="Heading1">
    <w:name w:val="heading 1"/>
    <w:basedOn w:val="Normal"/>
    <w:next w:val="Normal"/>
    <w:link w:val="Heading1Char"/>
    <w:qFormat/>
    <w:rsid w:val="0090388C"/>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0388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semiHidden/>
    <w:unhideWhenUsed/>
    <w:rsid w:val="00514B02"/>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514B02"/>
    <w:rPr>
      <w:rFonts w:ascii="Garamond" w:eastAsia="Times New Roman" w:hAnsi="Garamond" w:cs="Times New Roman"/>
      <w:caps/>
      <w:sz w:val="18"/>
      <w:szCs w:val="20"/>
    </w:rPr>
  </w:style>
  <w:style w:type="paragraph" w:customStyle="1" w:styleId="DocumentLabel">
    <w:name w:val="Document Label"/>
    <w:next w:val="Normal"/>
    <w:rsid w:val="00514B02"/>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customStyle="1" w:styleId="MessageHeaderFirst">
    <w:name w:val="Message Header First"/>
    <w:basedOn w:val="MessageHeader"/>
    <w:next w:val="MessageHeader"/>
    <w:rsid w:val="00514B02"/>
    <w:pPr>
      <w:spacing w:before="360"/>
    </w:pPr>
  </w:style>
  <w:style w:type="character" w:customStyle="1" w:styleId="MessageHeaderLabel">
    <w:name w:val="Message Header Label"/>
    <w:rsid w:val="00514B02"/>
    <w:rPr>
      <w:b/>
      <w:bCs w:val="0"/>
      <w:sz w:val="18"/>
    </w:rPr>
  </w:style>
  <w:style w:type="table" w:styleId="TableGrid">
    <w:name w:val="Table Grid"/>
    <w:basedOn w:val="TableNormal"/>
    <w:uiPriority w:val="59"/>
    <w:rsid w:val="00514B0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SLAST">
    <w:name w:val="ParagraphSS (LAST)"/>
    <w:basedOn w:val="Normal"/>
    <w:next w:val="Normal"/>
    <w:qFormat/>
    <w:rsid w:val="00E13B88"/>
    <w:pPr>
      <w:tabs>
        <w:tab w:val="left" w:pos="432"/>
      </w:tabs>
      <w:spacing w:after="48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95C3C"/>
    <w:rPr>
      <w:sz w:val="16"/>
      <w:szCs w:val="16"/>
    </w:rPr>
  </w:style>
  <w:style w:type="paragraph" w:styleId="CommentText">
    <w:name w:val="annotation text"/>
    <w:basedOn w:val="Normal"/>
    <w:link w:val="CommentTextChar"/>
    <w:uiPriority w:val="99"/>
    <w:semiHidden/>
    <w:unhideWhenUsed/>
    <w:rsid w:val="00E95C3C"/>
    <w:pPr>
      <w:spacing w:line="240" w:lineRule="auto"/>
    </w:pPr>
    <w:rPr>
      <w:sz w:val="20"/>
      <w:szCs w:val="20"/>
    </w:rPr>
  </w:style>
  <w:style w:type="character" w:customStyle="1" w:styleId="CommentTextChar">
    <w:name w:val="Comment Text Char"/>
    <w:basedOn w:val="DefaultParagraphFont"/>
    <w:link w:val="CommentText"/>
    <w:uiPriority w:val="99"/>
    <w:semiHidden/>
    <w:rsid w:val="00E95C3C"/>
    <w:rPr>
      <w:sz w:val="20"/>
      <w:szCs w:val="20"/>
    </w:rPr>
  </w:style>
  <w:style w:type="paragraph" w:styleId="CommentSubject">
    <w:name w:val="annotation subject"/>
    <w:basedOn w:val="CommentText"/>
    <w:next w:val="CommentText"/>
    <w:link w:val="CommentSubjectChar"/>
    <w:uiPriority w:val="99"/>
    <w:semiHidden/>
    <w:unhideWhenUsed/>
    <w:rsid w:val="00E95C3C"/>
    <w:rPr>
      <w:b/>
      <w:bCs/>
    </w:rPr>
  </w:style>
  <w:style w:type="character" w:customStyle="1" w:styleId="CommentSubjectChar">
    <w:name w:val="Comment Subject Char"/>
    <w:basedOn w:val="CommentTextChar"/>
    <w:link w:val="CommentSubject"/>
    <w:uiPriority w:val="99"/>
    <w:semiHidden/>
    <w:rsid w:val="00E95C3C"/>
    <w:rPr>
      <w:b/>
      <w:bCs/>
    </w:rPr>
  </w:style>
  <w:style w:type="paragraph" w:styleId="BalloonText">
    <w:name w:val="Balloon Text"/>
    <w:basedOn w:val="Normal"/>
    <w:link w:val="BalloonTextChar"/>
    <w:uiPriority w:val="99"/>
    <w:semiHidden/>
    <w:unhideWhenUsed/>
    <w:rsid w:val="00E95C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C3C"/>
    <w:rPr>
      <w:rFonts w:ascii="Tahoma" w:hAnsi="Tahoma" w:cs="Tahoma"/>
      <w:sz w:val="16"/>
      <w:szCs w:val="16"/>
    </w:rPr>
  </w:style>
  <w:style w:type="character" w:customStyle="1" w:styleId="Heading1Char">
    <w:name w:val="Heading 1 Char"/>
    <w:basedOn w:val="DefaultParagraphFont"/>
    <w:link w:val="Heading1"/>
    <w:rsid w:val="0090388C"/>
    <w:rPr>
      <w:rFonts w:ascii="Arial" w:eastAsia="Times New Roman" w:hAnsi="Arial" w:cs="Arial"/>
      <w:b/>
      <w:bCs/>
      <w:kern w:val="32"/>
      <w:sz w:val="32"/>
      <w:szCs w:val="32"/>
    </w:rPr>
  </w:style>
  <w:style w:type="character" w:customStyle="1" w:styleId="Heading2Char">
    <w:name w:val="Heading 2 Char"/>
    <w:basedOn w:val="DefaultParagraphFont"/>
    <w:link w:val="Heading2"/>
    <w:rsid w:val="0090388C"/>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1215384689">
      <w:bodyDiv w:val="1"/>
      <w:marLeft w:val="0"/>
      <w:marRight w:val="0"/>
      <w:marTop w:val="0"/>
      <w:marBottom w:val="0"/>
      <w:divBdr>
        <w:top w:val="none" w:sz="0" w:space="0" w:color="auto"/>
        <w:left w:val="none" w:sz="0" w:space="0" w:color="auto"/>
        <w:bottom w:val="none" w:sz="0" w:space="0" w:color="auto"/>
        <w:right w:val="none" w:sz="0" w:space="0" w:color="auto"/>
      </w:divBdr>
    </w:div>
    <w:div w:id="1572304476">
      <w:bodyDiv w:val="1"/>
      <w:marLeft w:val="0"/>
      <w:marRight w:val="0"/>
      <w:marTop w:val="0"/>
      <w:marBottom w:val="0"/>
      <w:divBdr>
        <w:top w:val="none" w:sz="0" w:space="0" w:color="auto"/>
        <w:left w:val="none" w:sz="0" w:space="0" w:color="auto"/>
        <w:bottom w:val="none" w:sz="0" w:space="0" w:color="auto"/>
        <w:right w:val="none" w:sz="0" w:space="0" w:color="auto"/>
      </w:divBdr>
    </w:div>
    <w:div w:id="1932003017">
      <w:bodyDiv w:val="1"/>
      <w:marLeft w:val="0"/>
      <w:marRight w:val="0"/>
      <w:marTop w:val="0"/>
      <w:marBottom w:val="0"/>
      <w:divBdr>
        <w:top w:val="none" w:sz="0" w:space="0" w:color="auto"/>
        <w:left w:val="none" w:sz="0" w:space="0" w:color="auto"/>
        <w:bottom w:val="none" w:sz="0" w:space="0" w:color="auto"/>
        <w:right w:val="none" w:sz="0" w:space="0" w:color="auto"/>
      </w:divBdr>
    </w:div>
    <w:div w:id="20388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bbarker</cp:lastModifiedBy>
  <cp:revision>2</cp:revision>
  <dcterms:created xsi:type="dcterms:W3CDTF">2012-01-26T19:59:00Z</dcterms:created>
  <dcterms:modified xsi:type="dcterms:W3CDTF">2012-01-26T19:59:00Z</dcterms:modified>
</cp:coreProperties>
</file>