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663" w:rsidRDefault="00C07872" w:rsidP="0072336D">
      <w:pPr>
        <w:pStyle w:val="Heading1"/>
        <w:tabs>
          <w:tab w:val="left" w:pos="1800"/>
        </w:tabs>
        <w:spacing w:before="0" w:after="120" w:line="240" w:lineRule="auto"/>
        <w:ind w:left="1800" w:hanging="1800"/>
        <w:rPr>
          <w:rFonts w:asciiTheme="minorBidi" w:hAnsiTheme="minorBidi" w:cstheme="minorBidi"/>
          <w:i/>
          <w:iCs/>
          <w:sz w:val="22"/>
          <w:szCs w:val="22"/>
        </w:rPr>
      </w:pPr>
      <w:bookmarkStart w:id="0" w:name="_Toc278872056"/>
      <w:r>
        <w:rPr>
          <w:rFonts w:ascii="Arial Black" w:hAnsi="Arial Black"/>
          <w:sz w:val="28"/>
          <w:szCs w:val="28"/>
        </w:rPr>
        <w:t xml:space="preserve">Section </w:t>
      </w:r>
      <w:r w:rsidR="005A1C98" w:rsidRPr="00C07872">
        <w:rPr>
          <w:rFonts w:ascii="Arial Black" w:hAnsi="Arial Black"/>
          <w:sz w:val="28"/>
          <w:szCs w:val="28"/>
        </w:rPr>
        <w:t>B.</w:t>
      </w:r>
      <w:r w:rsidR="000E3C77">
        <w:rPr>
          <w:rFonts w:ascii="Arial Black" w:hAnsi="Arial Black"/>
          <w:sz w:val="28"/>
          <w:szCs w:val="28"/>
        </w:rPr>
        <w:tab/>
      </w:r>
      <w:r w:rsidR="005A1C98" w:rsidRPr="00C07872">
        <w:rPr>
          <w:rFonts w:ascii="Arial Black" w:hAnsi="Arial Black"/>
          <w:sz w:val="28"/>
          <w:szCs w:val="28"/>
        </w:rPr>
        <w:t>Collections of Information Employing Statistical Methods</w:t>
      </w:r>
      <w:bookmarkEnd w:id="0"/>
    </w:p>
    <w:p w:rsidR="005A1C98" w:rsidRDefault="00F60BA7" w:rsidP="0072336D">
      <w:pPr>
        <w:pStyle w:val="Heading2"/>
        <w:spacing w:before="0" w:after="120" w:line="240" w:lineRule="auto"/>
        <w:rPr>
          <w:rFonts w:ascii="Arial Black" w:hAnsi="Arial Black" w:cstheme="minorBidi"/>
          <w:i w:val="0"/>
          <w:iCs w:val="0"/>
          <w:sz w:val="22"/>
          <w:szCs w:val="22"/>
        </w:rPr>
      </w:pPr>
      <w:bookmarkStart w:id="1" w:name="_Toc278872057"/>
      <w:r w:rsidRPr="00F60BA7">
        <w:rPr>
          <w:rFonts w:ascii="Arial Black" w:hAnsi="Arial Black" w:cstheme="minorBidi"/>
          <w:i w:val="0"/>
          <w:iCs w:val="0"/>
          <w:sz w:val="22"/>
          <w:szCs w:val="22"/>
        </w:rPr>
        <w:t>B</w:t>
      </w:r>
      <w:r w:rsidR="008D5DF6">
        <w:rPr>
          <w:rFonts w:ascii="Arial Black" w:hAnsi="Arial Black" w:cstheme="minorBidi"/>
          <w:i w:val="0"/>
          <w:iCs w:val="0"/>
          <w:sz w:val="22"/>
          <w:szCs w:val="22"/>
        </w:rPr>
        <w:t>.</w:t>
      </w:r>
      <w:r w:rsidRPr="00F60BA7">
        <w:rPr>
          <w:rFonts w:ascii="Arial Black" w:hAnsi="Arial Black" w:cstheme="minorBidi"/>
          <w:i w:val="0"/>
          <w:iCs w:val="0"/>
          <w:sz w:val="22"/>
          <w:szCs w:val="22"/>
        </w:rPr>
        <w:t>1</w:t>
      </w:r>
      <w:r w:rsidRPr="00F60BA7">
        <w:rPr>
          <w:rFonts w:ascii="Arial Black" w:hAnsi="Arial Black" w:cstheme="minorBidi"/>
          <w:i w:val="0"/>
          <w:iCs w:val="0"/>
          <w:sz w:val="22"/>
          <w:szCs w:val="22"/>
        </w:rPr>
        <w:tab/>
      </w:r>
      <w:r w:rsidR="005A1C98" w:rsidRPr="00F60BA7">
        <w:rPr>
          <w:rFonts w:ascii="Arial Black" w:hAnsi="Arial Black" w:cstheme="minorBidi"/>
          <w:i w:val="0"/>
          <w:iCs w:val="0"/>
          <w:sz w:val="22"/>
          <w:szCs w:val="22"/>
        </w:rPr>
        <w:t>Respondent Universe and Sampling Methods</w:t>
      </w:r>
      <w:bookmarkEnd w:id="1"/>
    </w:p>
    <w:p w:rsidR="009F053C" w:rsidRPr="00F60BA7" w:rsidRDefault="005A1C98" w:rsidP="0072336D">
      <w:pPr>
        <w:pStyle w:val="bodytextpsg"/>
        <w:spacing w:line="240" w:lineRule="auto"/>
        <w:ind w:firstLine="0"/>
        <w:outlineLvl w:val="1"/>
        <w:rPr>
          <w:rFonts w:asciiTheme="minorBidi" w:hAnsiTheme="minorBidi" w:cstheme="minorBidi"/>
          <w:b/>
          <w:bCs/>
          <w:sz w:val="22"/>
          <w:szCs w:val="22"/>
        </w:rPr>
      </w:pPr>
      <w:bookmarkStart w:id="2" w:name="_Toc278872058"/>
      <w:r w:rsidRPr="00F60BA7">
        <w:rPr>
          <w:rFonts w:asciiTheme="minorBidi" w:hAnsiTheme="minorBidi" w:cstheme="minorBidi"/>
          <w:b/>
          <w:bCs/>
          <w:sz w:val="22"/>
          <w:szCs w:val="22"/>
        </w:rPr>
        <w:t>Frame Development Overview</w:t>
      </w:r>
      <w:bookmarkEnd w:id="2"/>
    </w:p>
    <w:p w:rsidR="0082095B" w:rsidRDefault="00BC651E" w:rsidP="0072336D">
      <w:pPr>
        <w:spacing w:line="240" w:lineRule="auto"/>
      </w:pPr>
      <w:r>
        <w:t xml:space="preserve">The Feasibility Study </w:t>
      </w:r>
      <w:r w:rsidR="00211FD5">
        <w:t xml:space="preserve">aims to enroll a total of 500 children, including 250 exposed children who resided in FEMA-provided </w:t>
      </w:r>
      <w:r w:rsidR="001C667E">
        <w:t>Temporary Housing Units (</w:t>
      </w:r>
      <w:r w:rsidR="00211FD5">
        <w:t>THUs</w:t>
      </w:r>
      <w:r w:rsidR="001C667E">
        <w:t xml:space="preserve">) </w:t>
      </w:r>
      <w:r w:rsidR="00211FD5">
        <w:t xml:space="preserve">and 250 unexposed children who did not reside in FEMA-provided THUs. </w:t>
      </w:r>
    </w:p>
    <w:p w:rsidR="00B30C40" w:rsidRDefault="004044EF" w:rsidP="0072336D">
      <w:pPr>
        <w:spacing w:line="240" w:lineRule="auto"/>
      </w:pPr>
      <w:r>
        <w:t>W</w:t>
      </w:r>
      <w:r w:rsidR="005A1C98" w:rsidRPr="00681A8C">
        <w:t>e will use FEMA data files (i.e., N</w:t>
      </w:r>
      <w:r w:rsidR="005A1C98">
        <w:t xml:space="preserve">ational Emergency Management System </w:t>
      </w:r>
      <w:r w:rsidR="005A1C98" w:rsidRPr="00681A8C">
        <w:t>and F</w:t>
      </w:r>
      <w:r w:rsidR="005A1C98">
        <w:t>EMA Response &amp; Recovery Tracking System</w:t>
      </w:r>
      <w:r>
        <w:t>) to select the exposed sample.</w:t>
      </w:r>
      <w:r w:rsidR="0008035A">
        <w:t xml:space="preserve"> </w:t>
      </w:r>
      <w:r w:rsidR="00E35D9C">
        <w:t xml:space="preserve"> </w:t>
      </w:r>
      <w:r w:rsidR="005258A1">
        <w:t>The</w:t>
      </w:r>
      <w:r w:rsidR="0082095B">
        <w:t>se</w:t>
      </w:r>
      <w:r w:rsidR="005258A1">
        <w:t xml:space="preserve"> FEMA data files provide the most reliable list of individuals who requested assistance from FEMA as a result of the </w:t>
      </w:r>
      <w:r w:rsidR="00B30C40">
        <w:t>H</w:t>
      </w:r>
      <w:r w:rsidR="005258A1">
        <w:t>urricanes</w:t>
      </w:r>
      <w:r w:rsidR="00B30C40">
        <w:t xml:space="preserve"> Katrina and Rita</w:t>
      </w:r>
      <w:r w:rsidR="005258A1">
        <w:t>.</w:t>
      </w:r>
      <w:r w:rsidR="002E76DB">
        <w:t xml:space="preserve"> </w:t>
      </w:r>
      <w:r w:rsidR="005258A1">
        <w:t xml:space="preserve"> The data files </w:t>
      </w:r>
      <w:r w:rsidR="007B3EFF">
        <w:t>were</w:t>
      </w:r>
      <w:r w:rsidR="005258A1">
        <w:t xml:space="preserve"> updated regularly and contain supplementary information that will be useful in locating the sample individuals.</w:t>
      </w:r>
      <w:r w:rsidR="00831E54">
        <w:t xml:space="preserve"> </w:t>
      </w:r>
    </w:p>
    <w:p w:rsidR="00BC438B" w:rsidRDefault="00BC438B" w:rsidP="00BC438B">
      <w:pPr>
        <w:spacing w:line="240" w:lineRule="auto"/>
      </w:pPr>
      <w:r>
        <w:t xml:space="preserve">We employed two general strategies for analyzing the quality of the FEMA data files as a sampling frame—we examined the process in which the information was collected and for internal consistency. We worked closely with the group that standardized and reconciled the data from the FEMA data files that was used to build the master FEMA data file, which represents our final sample frame. </w:t>
      </w:r>
      <w:r w:rsidR="00E35D9C">
        <w:t xml:space="preserve"> </w:t>
      </w:r>
      <w:r>
        <w:t xml:space="preserve">From this group, we learned that the system used to collect the information was conducted in a systematic manner.  We received similar confirmation from other FEMA offices in the Gulf Coast area regarding the thorough information collection process.  As an additional step, we compared several field office lists with the master data file and found virtually no missing cases in the master FEMA data file. </w:t>
      </w:r>
      <w:r w:rsidR="00E35D9C">
        <w:t xml:space="preserve"> </w:t>
      </w:r>
      <w:r>
        <w:t xml:space="preserve">We concluded that the FEMA data files had a high level of accuracy and completeness. </w:t>
      </w:r>
    </w:p>
    <w:p w:rsidR="00B60BA1" w:rsidRDefault="00BC438B" w:rsidP="0072336D">
      <w:pPr>
        <w:spacing w:line="240" w:lineRule="auto"/>
      </w:pPr>
      <w:r>
        <w:t>We also checked the quality of the frame by employing a bootstrapp</w:t>
      </w:r>
      <w:r w:rsidR="000B438E">
        <w:t>ing technique; specifically, we</w:t>
      </w:r>
      <w:r>
        <w:t xml:space="preserve"> reviewed the data in the master data file for internal inconsistencies and other types of error. </w:t>
      </w:r>
      <w:r w:rsidR="00E35D9C">
        <w:t xml:space="preserve"> </w:t>
      </w:r>
      <w:r>
        <w:t xml:space="preserve">We found few data problems such as missing data and duplicates. </w:t>
      </w:r>
      <w:r w:rsidR="000B438E">
        <w:t xml:space="preserve"> </w:t>
      </w:r>
      <w:r>
        <w:t xml:space="preserve">All addresses, except for a few, were complete and locatable (GIS coordinates were identified). </w:t>
      </w:r>
      <w:r w:rsidR="00E35D9C">
        <w:t xml:space="preserve"> </w:t>
      </w:r>
      <w:r>
        <w:t xml:space="preserve">Overall, the occurrence of missing data was estimated to be 0.001%. </w:t>
      </w:r>
      <w:r w:rsidR="00E35D9C">
        <w:t xml:space="preserve"> </w:t>
      </w:r>
      <w:r w:rsidRPr="0072336D">
        <w:t xml:space="preserve">Any duplicates in the master FEMA data file will be eliminated prior to sampling for the exposed population. </w:t>
      </w:r>
      <w:r w:rsidR="00E35D9C">
        <w:t xml:space="preserve"> </w:t>
      </w:r>
      <w:r>
        <w:t xml:space="preserve">We found the master data file to represent a well-constructed and well-maintained list of exposed household addresses. </w:t>
      </w:r>
      <w:r w:rsidR="00E41F54">
        <w:t xml:space="preserve"> </w:t>
      </w:r>
      <w:r>
        <w:t xml:space="preserve">Within this sampling frame, the exposed sample in the Feasibility Study will be drawn from two states:  Louisiana and Mississippi. </w:t>
      </w:r>
      <w:bookmarkStart w:id="3" w:name="_GoBack"/>
      <w:bookmarkEnd w:id="3"/>
    </w:p>
    <w:p w:rsidR="00B22683" w:rsidRDefault="00BC438B" w:rsidP="0072336D">
      <w:pPr>
        <w:spacing w:line="240" w:lineRule="auto"/>
      </w:pPr>
      <w:r w:rsidRPr="00646B4E">
        <w:t xml:space="preserve">To identify the unexposed </w:t>
      </w:r>
      <w:r>
        <w:t>sample</w:t>
      </w:r>
      <w:r w:rsidRPr="00646B4E">
        <w:t xml:space="preserve"> we will use a US Postal Service computerized delivery sequence file (address lists with names added) </w:t>
      </w:r>
      <w:r>
        <w:t xml:space="preserve">as the sample frame. </w:t>
      </w:r>
      <w:r w:rsidR="00E35D9C">
        <w:t xml:space="preserve"> </w:t>
      </w:r>
      <w:r>
        <w:t xml:space="preserve">The unexposed sample will also be drawn from Louisiana and Mississippi, from the same Census Block Groups of the exposed participants. </w:t>
      </w:r>
      <w:r w:rsidR="00E35D9C">
        <w:t xml:space="preserve"> </w:t>
      </w:r>
      <w:r>
        <w:t xml:space="preserve">Address lists as sample frames are increasingly being used in the survey research community, often to replace traditional random digit dialing and cell phone lists. </w:t>
      </w:r>
      <w:r w:rsidR="00E35D9C">
        <w:t xml:space="preserve"> </w:t>
      </w:r>
      <w:r>
        <w:t>The US Postal Service computerized address lists have been shown to offer nearly complete coverage, accurate address information, and in many cases, useful information for contacting the sampled households.</w:t>
      </w:r>
    </w:p>
    <w:p w:rsidR="009F053C" w:rsidRDefault="00C07872" w:rsidP="0072336D">
      <w:pPr>
        <w:keepNext/>
        <w:spacing w:after="120" w:line="240" w:lineRule="auto"/>
        <w:rPr>
          <w:b/>
        </w:rPr>
      </w:pPr>
      <w:r w:rsidRPr="00681A8C">
        <w:rPr>
          <w:b/>
        </w:rPr>
        <w:t>Sample Size and Statistical Power</w:t>
      </w:r>
    </w:p>
    <w:p w:rsidR="001C667E" w:rsidRDefault="00F219E2" w:rsidP="00F219E2">
      <w:pPr>
        <w:pStyle w:val="CommentText"/>
      </w:pPr>
      <w:r w:rsidRPr="00967555">
        <w:rPr>
          <w:sz w:val="22"/>
          <w:szCs w:val="22"/>
        </w:rPr>
        <w:t xml:space="preserve">During the Feasibility Study, we expect to enroll 500 participants at </w:t>
      </w:r>
      <w:r w:rsidR="002E76DB">
        <w:rPr>
          <w:sz w:val="22"/>
          <w:szCs w:val="22"/>
        </w:rPr>
        <w:t>Baseline</w:t>
      </w:r>
      <w:r w:rsidRPr="00967555">
        <w:rPr>
          <w:sz w:val="22"/>
          <w:szCs w:val="22"/>
        </w:rPr>
        <w:t xml:space="preserve"> and retain 450 participants at the </w:t>
      </w:r>
      <w:r w:rsidR="002E76DB">
        <w:rPr>
          <w:sz w:val="22"/>
          <w:szCs w:val="22"/>
        </w:rPr>
        <w:t xml:space="preserve">6-month Follow-up </w:t>
      </w:r>
      <w:r w:rsidRPr="00967555">
        <w:rPr>
          <w:sz w:val="22"/>
          <w:szCs w:val="22"/>
        </w:rPr>
        <w:t xml:space="preserve">(assuming 10% attrition).  </w:t>
      </w:r>
      <w:r w:rsidR="0064754E" w:rsidRPr="00967555">
        <w:rPr>
          <w:sz w:val="22"/>
          <w:szCs w:val="22"/>
        </w:rPr>
        <w:t>The sample size for the F</w:t>
      </w:r>
      <w:r w:rsidR="008119BB" w:rsidRPr="00967555">
        <w:rPr>
          <w:sz w:val="22"/>
          <w:szCs w:val="22"/>
        </w:rPr>
        <w:t xml:space="preserve">easibility </w:t>
      </w:r>
      <w:r w:rsidR="0064754E" w:rsidRPr="00967555">
        <w:rPr>
          <w:sz w:val="22"/>
          <w:szCs w:val="22"/>
        </w:rPr>
        <w:t>Study</w:t>
      </w:r>
      <w:r w:rsidR="008119BB" w:rsidRPr="00967555">
        <w:rPr>
          <w:sz w:val="22"/>
          <w:szCs w:val="22"/>
        </w:rPr>
        <w:t xml:space="preserve"> was </w:t>
      </w:r>
      <w:r w:rsidR="0046763D" w:rsidRPr="00967555">
        <w:rPr>
          <w:sz w:val="22"/>
          <w:szCs w:val="22"/>
        </w:rPr>
        <w:t xml:space="preserve">recommended by CDC in the </w:t>
      </w:r>
      <w:r w:rsidR="008119BB" w:rsidRPr="00967555">
        <w:rPr>
          <w:sz w:val="22"/>
          <w:szCs w:val="22"/>
        </w:rPr>
        <w:t>Request for Proposals</w:t>
      </w:r>
      <w:r w:rsidR="00722D38" w:rsidRPr="00967555">
        <w:rPr>
          <w:sz w:val="22"/>
          <w:szCs w:val="22"/>
        </w:rPr>
        <w:t xml:space="preserve"> (RFP)</w:t>
      </w:r>
      <w:r w:rsidR="0046763D">
        <w:t xml:space="preserve"> </w:t>
      </w:r>
      <w:r w:rsidR="00F76786">
        <w:t>t</w:t>
      </w:r>
      <w:r w:rsidR="00F76786" w:rsidRPr="00F219E2">
        <w:rPr>
          <w:sz w:val="22"/>
          <w:szCs w:val="22"/>
        </w:rPr>
        <w:t>o be able to assess general qualitative trends on specific subgroups to help inform the design of the Full Study.</w:t>
      </w:r>
      <w:r w:rsidR="00E35D9C">
        <w:rPr>
          <w:sz w:val="22"/>
          <w:szCs w:val="22"/>
        </w:rPr>
        <w:t xml:space="preserve"> </w:t>
      </w:r>
      <w:r w:rsidR="00F76786" w:rsidRPr="00F219E2">
        <w:rPr>
          <w:sz w:val="22"/>
          <w:szCs w:val="22"/>
        </w:rPr>
        <w:t xml:space="preserve"> The sample size determination was</w:t>
      </w:r>
      <w:r w:rsidR="00D169D8" w:rsidRPr="00F219E2">
        <w:rPr>
          <w:sz w:val="22"/>
          <w:szCs w:val="22"/>
        </w:rPr>
        <w:t xml:space="preserve"> </w:t>
      </w:r>
      <w:r w:rsidR="00F76786" w:rsidRPr="00F219E2">
        <w:rPr>
          <w:sz w:val="22"/>
          <w:szCs w:val="22"/>
        </w:rPr>
        <w:lastRenderedPageBreak/>
        <w:t xml:space="preserve">not based on the ability to assess statistically significant </w:t>
      </w:r>
      <w:r w:rsidR="00A77C4F" w:rsidRPr="00F219E2">
        <w:rPr>
          <w:sz w:val="22"/>
          <w:szCs w:val="22"/>
        </w:rPr>
        <w:t>differences between groups or to test hypothese</w:t>
      </w:r>
      <w:r w:rsidR="00F76786" w:rsidRPr="00F219E2">
        <w:rPr>
          <w:sz w:val="22"/>
          <w:szCs w:val="22"/>
        </w:rPr>
        <w:t>s</w:t>
      </w:r>
      <w:r w:rsidR="00080E5F" w:rsidRPr="00F219E2">
        <w:rPr>
          <w:sz w:val="22"/>
          <w:szCs w:val="22"/>
        </w:rPr>
        <w:t xml:space="preserve">; rather, </w:t>
      </w:r>
      <w:r w:rsidR="00BC438B" w:rsidRPr="00F219E2">
        <w:rPr>
          <w:sz w:val="22"/>
          <w:szCs w:val="22"/>
        </w:rPr>
        <w:t>the sample size needed to be sufficient to test a variety of operational issues by subgroups</w:t>
      </w:r>
      <w:r w:rsidR="00A61A65" w:rsidRPr="00F219E2">
        <w:rPr>
          <w:sz w:val="22"/>
          <w:szCs w:val="22"/>
        </w:rPr>
        <w:t xml:space="preserve"> within each objective (e.g., children with asthma, families involved in litigation, primary language, etc.).  Also</w:t>
      </w:r>
      <w:r w:rsidRPr="00F219E2">
        <w:rPr>
          <w:sz w:val="22"/>
          <w:szCs w:val="22"/>
        </w:rPr>
        <w:t xml:space="preserve"> it</w:t>
      </w:r>
      <w:r w:rsidR="00A61A65" w:rsidRPr="00F219E2">
        <w:rPr>
          <w:sz w:val="22"/>
          <w:szCs w:val="22"/>
        </w:rPr>
        <w:t xml:space="preserve"> was important that the Feasibility Study attempt to find and enroll a large enough sample size for us to be able to examine, for example, participation rates within various subgroups in order to assess the potential for selection bias (e.g., exposed and unexposed status [250 in each group], involvement in litigation , etc.).  Similarly, the ability to locate medical records is particularly important for the subset of children with a reported health condition, which is expected to be about 15% of the total.</w:t>
      </w:r>
      <w:r w:rsidR="00E35D9C">
        <w:rPr>
          <w:sz w:val="22"/>
          <w:szCs w:val="22"/>
        </w:rPr>
        <w:t xml:space="preserve"> </w:t>
      </w:r>
      <w:r w:rsidR="00A61A65" w:rsidRPr="00F219E2">
        <w:rPr>
          <w:sz w:val="22"/>
          <w:szCs w:val="22"/>
        </w:rPr>
        <w:t xml:space="preserve"> Last, we are also interested in looking at the variability in the biological and environmental measurements over time and we will need a sample size that is la</w:t>
      </w:r>
      <w:r w:rsidR="00722D38">
        <w:rPr>
          <w:sz w:val="22"/>
          <w:szCs w:val="22"/>
        </w:rPr>
        <w:t>rge enough to capture normal/</w:t>
      </w:r>
      <w:r w:rsidR="00A61A65" w:rsidRPr="00F219E2">
        <w:rPr>
          <w:sz w:val="22"/>
          <w:szCs w:val="22"/>
        </w:rPr>
        <w:t>temporal variability, especially for contaminants that do not have prior data.</w:t>
      </w:r>
      <w:r w:rsidR="00E35D9C">
        <w:rPr>
          <w:sz w:val="22"/>
          <w:szCs w:val="22"/>
        </w:rPr>
        <w:t xml:space="preserve"> </w:t>
      </w:r>
      <w:r w:rsidRPr="00F219E2">
        <w:rPr>
          <w:sz w:val="22"/>
          <w:szCs w:val="22"/>
        </w:rPr>
        <w:t xml:space="preserve"> This</w:t>
      </w:r>
      <w:r w:rsidR="00BC438B" w:rsidRPr="00F219E2">
        <w:rPr>
          <w:sz w:val="22"/>
          <w:szCs w:val="22"/>
        </w:rPr>
        <w:t xml:space="preserve"> is described in more detail in </w:t>
      </w:r>
      <w:r w:rsidR="002E76DB">
        <w:rPr>
          <w:sz w:val="22"/>
          <w:szCs w:val="22"/>
        </w:rPr>
        <w:t xml:space="preserve">Section </w:t>
      </w:r>
      <w:r w:rsidR="00BC438B" w:rsidRPr="00F219E2">
        <w:rPr>
          <w:sz w:val="22"/>
          <w:szCs w:val="22"/>
        </w:rPr>
        <w:t>B.2</w:t>
      </w:r>
      <w:r w:rsidR="00A61A65" w:rsidRPr="00F219E2">
        <w:rPr>
          <w:sz w:val="22"/>
          <w:szCs w:val="22"/>
        </w:rPr>
        <w:t xml:space="preserve"> and </w:t>
      </w:r>
      <w:r w:rsidR="00A61A65" w:rsidRPr="002E76DB">
        <w:rPr>
          <w:b/>
          <w:bCs/>
          <w:i/>
          <w:iCs/>
          <w:sz w:val="22"/>
          <w:szCs w:val="22"/>
        </w:rPr>
        <w:t>Exhibit 9</w:t>
      </w:r>
      <w:r w:rsidR="00A61A65" w:rsidRPr="00F219E2">
        <w:rPr>
          <w:sz w:val="22"/>
          <w:szCs w:val="22"/>
        </w:rPr>
        <w:t>.</w:t>
      </w:r>
      <w:r w:rsidR="00BC438B">
        <w:t xml:space="preserve">  </w:t>
      </w:r>
    </w:p>
    <w:p w:rsidR="00D102EB" w:rsidRPr="00D102EB" w:rsidRDefault="00D67B1B" w:rsidP="00E35D9C">
      <w:pPr>
        <w:spacing w:after="120" w:line="240" w:lineRule="auto"/>
      </w:pPr>
      <w:r>
        <w:t xml:space="preserve">Based on information obtained from the </w:t>
      </w:r>
      <w:r w:rsidR="00E9419D">
        <w:t xml:space="preserve">CHATS </w:t>
      </w:r>
      <w:r w:rsidR="00A77C4F">
        <w:t>Community Advisory Panel (</w:t>
      </w:r>
      <w:r>
        <w:t>CAP</w:t>
      </w:r>
      <w:r w:rsidR="00A77C4F">
        <w:t>)</w:t>
      </w:r>
      <w:r>
        <w:t xml:space="preserve"> and </w:t>
      </w:r>
      <w:r w:rsidR="00952ECE">
        <w:t>Technical Advisory Panel (</w:t>
      </w:r>
      <w:r>
        <w:t>TAP</w:t>
      </w:r>
      <w:r w:rsidR="00952ECE">
        <w:t>)</w:t>
      </w:r>
      <w:r>
        <w:t xml:space="preserve">, it is </w:t>
      </w:r>
      <w:r w:rsidR="00D22D4E">
        <w:t xml:space="preserve">believed </w:t>
      </w:r>
      <w:r w:rsidR="002E7840">
        <w:t>that the type and duration of</w:t>
      </w:r>
      <w:r w:rsidR="00D102EB" w:rsidRPr="00D102EB">
        <w:t xml:space="preserve"> exposures</w:t>
      </w:r>
      <w:r w:rsidR="002E7840">
        <w:t xml:space="preserve"> to FEMA-provided THUs </w:t>
      </w:r>
      <w:r w:rsidR="00D22D4E">
        <w:t xml:space="preserve">might </w:t>
      </w:r>
      <w:r w:rsidR="002E7840">
        <w:t>differ according to whether the THUs were located on group sites</w:t>
      </w:r>
      <w:r w:rsidR="00E9419D">
        <w:t xml:space="preserve"> (primarily families that were renters at the time of the Hurricanes)</w:t>
      </w:r>
      <w:r w:rsidR="002E7840">
        <w:t xml:space="preserve"> or on private property</w:t>
      </w:r>
      <w:r w:rsidR="00E9419D">
        <w:t xml:space="preserve"> (primarily families that were home owners at the time of the Hurricanes)</w:t>
      </w:r>
      <w:r>
        <w:t xml:space="preserve">. </w:t>
      </w:r>
      <w:r w:rsidR="00E35D9C">
        <w:t xml:space="preserve"> </w:t>
      </w:r>
      <w:r>
        <w:t>Thus</w:t>
      </w:r>
      <w:r w:rsidR="00D102EB" w:rsidRPr="00D102EB">
        <w:t xml:space="preserve">, we </w:t>
      </w:r>
      <w:r w:rsidR="004A094E">
        <w:t>plan to</w:t>
      </w:r>
      <w:r w:rsidR="004A094E" w:rsidRPr="00D102EB">
        <w:t xml:space="preserve"> </w:t>
      </w:r>
      <w:r w:rsidR="00D102EB" w:rsidRPr="00D102EB">
        <w:t>us</w:t>
      </w:r>
      <w:r w:rsidR="004A094E">
        <w:t>e a</w:t>
      </w:r>
      <w:r w:rsidR="00D102EB" w:rsidRPr="00D102EB">
        <w:t xml:space="preserve"> stratified sampl</w:t>
      </w:r>
      <w:r w:rsidR="004A094E">
        <w:t>e</w:t>
      </w:r>
      <w:r w:rsidR="00D102EB" w:rsidRPr="00D102EB">
        <w:t xml:space="preserve"> </w:t>
      </w:r>
      <w:r w:rsidR="003D477D">
        <w:t xml:space="preserve">of exposed participants </w:t>
      </w:r>
      <w:r w:rsidR="00FF7988">
        <w:t xml:space="preserve">from the </w:t>
      </w:r>
      <w:r w:rsidR="00E9419D">
        <w:t xml:space="preserve">master </w:t>
      </w:r>
      <w:r w:rsidR="00FF7988">
        <w:t>FEMA data files</w:t>
      </w:r>
      <w:r w:rsidR="00AB584F">
        <w:t xml:space="preserve"> </w:t>
      </w:r>
      <w:r w:rsidR="003D477D">
        <w:t xml:space="preserve">that will include </w:t>
      </w:r>
      <w:r w:rsidR="004A094E">
        <w:t xml:space="preserve">125 </w:t>
      </w:r>
      <w:r w:rsidR="003D477D">
        <w:t xml:space="preserve">children who resided in </w:t>
      </w:r>
      <w:proofErr w:type="gramStart"/>
      <w:r w:rsidR="003D477D">
        <w:t>THUs</w:t>
      </w:r>
      <w:proofErr w:type="gramEnd"/>
      <w:r w:rsidR="003D477D">
        <w:t xml:space="preserve"> on group sites and 125 children who resided in THUs on private property</w:t>
      </w:r>
      <w:r w:rsidR="00D102EB">
        <w:t>.</w:t>
      </w:r>
      <w:r w:rsidR="00D102EB" w:rsidRPr="00D102EB">
        <w:rPr>
          <w:b/>
          <w:bCs/>
          <w:i/>
          <w:iCs/>
        </w:rPr>
        <w:t xml:space="preserve"> </w:t>
      </w:r>
      <w:r w:rsidR="000B438E">
        <w:rPr>
          <w:b/>
          <w:bCs/>
          <w:i/>
          <w:iCs/>
        </w:rPr>
        <w:t xml:space="preserve"> </w:t>
      </w:r>
      <w:r w:rsidR="00D102EB" w:rsidRPr="000D3D85">
        <w:rPr>
          <w:b/>
          <w:bCs/>
          <w:i/>
          <w:iCs/>
        </w:rPr>
        <w:t xml:space="preserve">Exhibit </w:t>
      </w:r>
      <w:r w:rsidR="00D102EB">
        <w:rPr>
          <w:b/>
          <w:bCs/>
          <w:i/>
          <w:iCs/>
        </w:rPr>
        <w:t>8</w:t>
      </w:r>
      <w:r w:rsidR="0072336D">
        <w:rPr>
          <w:b/>
          <w:bCs/>
          <w:i/>
          <w:iCs/>
        </w:rPr>
        <w:t xml:space="preserve"> </w:t>
      </w:r>
      <w:r w:rsidR="00D102EB" w:rsidRPr="004E0A7E">
        <w:t>show</w:t>
      </w:r>
      <w:r w:rsidR="00D102EB">
        <w:t>s</w:t>
      </w:r>
      <w:r w:rsidR="00D102EB" w:rsidRPr="004E0A7E">
        <w:t xml:space="preserve"> the sample size</w:t>
      </w:r>
      <w:r w:rsidR="005B4B86">
        <w:t>s expected</w:t>
      </w:r>
      <w:r w:rsidR="00D102EB" w:rsidRPr="004E0A7E">
        <w:t xml:space="preserve"> for the exposed and unexposed </w:t>
      </w:r>
      <w:r w:rsidR="00D102EB">
        <w:t>samples</w:t>
      </w:r>
      <w:r w:rsidR="0064754E">
        <w:t>, stratified by THU location</w:t>
      </w:r>
      <w:r w:rsidR="00D102EB" w:rsidRPr="004E0A7E">
        <w:t>.</w:t>
      </w:r>
      <w:r w:rsidR="000B438E">
        <w:t xml:space="preserve"> </w:t>
      </w:r>
      <w:r w:rsidR="005258A1">
        <w:t xml:space="preserve"> The unexposed sample will be selected from areas in which the exposed participants are currently living, thus the unexposed sample will not be stratified by private</w:t>
      </w:r>
      <w:r w:rsidR="00283F3B">
        <w:t xml:space="preserve"> property</w:t>
      </w:r>
      <w:r w:rsidR="00A77C4F">
        <w:t xml:space="preserve"> or </w:t>
      </w:r>
      <w:r w:rsidR="005258A1">
        <w:t>group site.</w:t>
      </w:r>
    </w:p>
    <w:p w:rsidR="00CB7E23" w:rsidRDefault="00C07872" w:rsidP="0072336D">
      <w:pPr>
        <w:tabs>
          <w:tab w:val="left" w:pos="1080"/>
        </w:tabs>
        <w:spacing w:after="120" w:line="240" w:lineRule="auto"/>
        <w:rPr>
          <w:rFonts w:cs="Arial"/>
          <w:b/>
          <w:bCs/>
        </w:rPr>
      </w:pPr>
      <w:r w:rsidRPr="000D3D85">
        <w:t>The</w:t>
      </w:r>
      <w:r w:rsidRPr="00681A8C">
        <w:t xml:space="preserve"> </w:t>
      </w:r>
      <w:r w:rsidR="005B4B86">
        <w:t xml:space="preserve">response </w:t>
      </w:r>
      <w:r w:rsidRPr="00681A8C">
        <w:t>rates used to calculate the required sample size</w:t>
      </w:r>
      <w:r w:rsidR="003E08C9">
        <w:t xml:space="preserve"> of 500</w:t>
      </w:r>
      <w:r w:rsidRPr="00681A8C">
        <w:t xml:space="preserve"> </w:t>
      </w:r>
      <w:r w:rsidR="0064754E">
        <w:t xml:space="preserve">to be drawn from the sampling frames </w:t>
      </w:r>
      <w:r w:rsidRPr="00681A8C">
        <w:t xml:space="preserve">represent RTI’s best estimates of success at locating the households, screening them, determining eligibility, and then following </w:t>
      </w:r>
      <w:r w:rsidR="00E354A2">
        <w:t>participants</w:t>
      </w:r>
      <w:r w:rsidR="00E354A2" w:rsidRPr="00681A8C">
        <w:t xml:space="preserve"> </w:t>
      </w:r>
      <w:r w:rsidRPr="00681A8C">
        <w:t xml:space="preserve">for various time periods. </w:t>
      </w:r>
      <w:r w:rsidR="00E35D9C">
        <w:t xml:space="preserve"> </w:t>
      </w:r>
      <w:r w:rsidRPr="00681A8C">
        <w:t>These rates are based on extensive and numerous surveys in the past</w:t>
      </w:r>
      <w:r>
        <w:t>,</w:t>
      </w:r>
      <w:r w:rsidRPr="00681A8C">
        <w:t xml:space="preserve"> coupled with local information on the likely conditions for this particular survey.</w:t>
      </w:r>
      <w:r w:rsidR="004E0A7E" w:rsidRPr="004E0A7E">
        <w:t xml:space="preserve"> </w:t>
      </w:r>
      <w:bookmarkStart w:id="4" w:name="_Toc274643435"/>
      <w:r w:rsidR="005E50C4">
        <w:t xml:space="preserve"> </w:t>
      </w:r>
      <w:r w:rsidR="00BC438B">
        <w:t>Specifically, given the information learned from our local partners, the nature of the study that utilizes a personal mode of interview and interaction, and the target audience, we anticipate that our estimated location rate of 65–75%,</w:t>
      </w:r>
      <w:r w:rsidR="00040D11">
        <w:t xml:space="preserve"> </w:t>
      </w:r>
      <w:r w:rsidR="00BC438B">
        <w:t xml:space="preserve">a screening rate of 85%, </w:t>
      </w:r>
      <w:r w:rsidR="00040D11">
        <w:t xml:space="preserve">an eligibility rate of 28%, an acceptance rate of 80%, </w:t>
      </w:r>
      <w:r w:rsidR="00BC438B">
        <w:t>and a 90% retention rate at 6 months, to be achievable.</w:t>
      </w:r>
      <w:r w:rsidR="00E35D9C">
        <w:t xml:space="preserve"> </w:t>
      </w:r>
      <w:r w:rsidR="00BC438B">
        <w:t xml:space="preserve"> These rates were generated based on similar face-to-face surveys conducted previously.</w:t>
      </w:r>
      <w:r w:rsidR="00E35D9C">
        <w:t xml:space="preserve"> </w:t>
      </w:r>
      <w:r w:rsidR="00BC438B">
        <w:t xml:space="preserve"> </w:t>
      </w:r>
      <w:r w:rsidR="003E08C9">
        <w:t>Accordingly, 3455 households need to be drawn from the sampling frame in order to locate 2628 households that could be screened for eligibility.  Additional information regarding maximizing response rates is provided in Section B.3.</w:t>
      </w:r>
    </w:p>
    <w:p w:rsidR="005A1C98" w:rsidRDefault="005A1C98" w:rsidP="0072336D">
      <w:pPr>
        <w:tabs>
          <w:tab w:val="left" w:pos="1080"/>
        </w:tabs>
        <w:spacing w:after="120" w:line="240" w:lineRule="auto"/>
        <w:rPr>
          <w:rFonts w:cs="Arial"/>
          <w:b/>
          <w:bCs/>
        </w:rPr>
      </w:pPr>
      <w:proofErr w:type="gramStart"/>
      <w:r w:rsidRPr="00681A8C">
        <w:rPr>
          <w:rFonts w:cs="Arial"/>
          <w:b/>
          <w:bCs/>
        </w:rPr>
        <w:t xml:space="preserve">Exhibit </w:t>
      </w:r>
      <w:r w:rsidR="00034C75">
        <w:rPr>
          <w:rFonts w:cs="Arial"/>
          <w:b/>
          <w:bCs/>
        </w:rPr>
        <w:t>8</w:t>
      </w:r>
      <w:r w:rsidR="0058602A">
        <w:rPr>
          <w:rFonts w:cs="Arial"/>
          <w:b/>
          <w:bCs/>
        </w:rPr>
        <w:t>.</w:t>
      </w:r>
      <w:proofErr w:type="gramEnd"/>
      <w:r w:rsidR="0058602A">
        <w:rPr>
          <w:rFonts w:cs="Arial"/>
          <w:b/>
          <w:bCs/>
        </w:rPr>
        <w:tab/>
      </w:r>
      <w:r w:rsidRPr="00681A8C">
        <w:rPr>
          <w:rFonts w:cs="Arial"/>
          <w:b/>
          <w:bCs/>
        </w:rPr>
        <w:t xml:space="preserve">Feasibility Study </w:t>
      </w:r>
      <w:r w:rsidR="0064754E">
        <w:rPr>
          <w:rFonts w:cs="Arial"/>
          <w:b/>
          <w:bCs/>
        </w:rPr>
        <w:t xml:space="preserve">Sample </w:t>
      </w:r>
      <w:r w:rsidRPr="00681A8C">
        <w:rPr>
          <w:rFonts w:cs="Arial"/>
          <w:b/>
          <w:bCs/>
        </w:rPr>
        <w:t>Size for Exposed</w:t>
      </w:r>
      <w:r w:rsidR="0064754E">
        <w:rPr>
          <w:rFonts w:cs="Arial"/>
          <w:b/>
          <w:bCs/>
        </w:rPr>
        <w:t xml:space="preserve"> and</w:t>
      </w:r>
      <w:r w:rsidRPr="00681A8C">
        <w:rPr>
          <w:rFonts w:cs="Arial"/>
          <w:b/>
          <w:bCs/>
        </w:rPr>
        <w:t xml:space="preserve"> Unexposed</w:t>
      </w:r>
      <w:bookmarkEnd w:id="4"/>
    </w:p>
    <w:tbl>
      <w:tblPr>
        <w:tblW w:w="0" w:type="auto"/>
        <w:tblLayout w:type="fixed"/>
        <w:tblCellMar>
          <w:left w:w="0" w:type="dxa"/>
          <w:right w:w="0" w:type="dxa"/>
        </w:tblCellMar>
        <w:tblLook w:val="0000"/>
      </w:tblPr>
      <w:tblGrid>
        <w:gridCol w:w="1885"/>
        <w:gridCol w:w="1697"/>
        <w:gridCol w:w="1530"/>
        <w:gridCol w:w="1530"/>
        <w:gridCol w:w="1350"/>
      </w:tblGrid>
      <w:tr w:rsidR="00D23E81" w:rsidRPr="00432DE9" w:rsidTr="00DC7FD9">
        <w:trPr>
          <w:trHeight w:val="288"/>
          <w:tblHeader/>
        </w:trPr>
        <w:tc>
          <w:tcPr>
            <w:tcW w:w="1885" w:type="dxa"/>
            <w:vMerge w:val="restart"/>
            <w:tcBorders>
              <w:top w:val="single" w:sz="12" w:space="0" w:color="auto"/>
              <w:left w:val="nil"/>
              <w:bottom w:val="single" w:sz="8" w:space="0" w:color="auto"/>
              <w:right w:val="single" w:sz="8" w:space="0" w:color="FFFFFF"/>
            </w:tcBorders>
            <w:shd w:val="clear" w:color="auto" w:fill="A6A6A6"/>
            <w:noWrap/>
            <w:tcMar>
              <w:top w:w="29" w:type="dxa"/>
              <w:left w:w="72" w:type="dxa"/>
              <w:bottom w:w="0" w:type="dxa"/>
              <w:right w:w="72" w:type="dxa"/>
            </w:tcMar>
            <w:vAlign w:val="bottom"/>
          </w:tcPr>
          <w:p w:rsidR="00D23E81" w:rsidRPr="00432DE9" w:rsidRDefault="00D23E81" w:rsidP="0058731A">
            <w:pPr>
              <w:spacing w:after="0" w:line="240" w:lineRule="exact"/>
              <w:jc w:val="center"/>
              <w:rPr>
                <w:rFonts w:cs="Arial"/>
                <w:b/>
                <w:bCs/>
                <w:color w:val="FFFFFF"/>
              </w:rPr>
            </w:pPr>
            <w:bookmarkStart w:id="5" w:name="OLE_LINK1"/>
          </w:p>
        </w:tc>
        <w:tc>
          <w:tcPr>
            <w:tcW w:w="1697" w:type="dxa"/>
            <w:tcBorders>
              <w:top w:val="single" w:sz="12" w:space="0" w:color="auto"/>
              <w:left w:val="nil"/>
              <w:bottom w:val="single" w:sz="8" w:space="0" w:color="FFFFFF"/>
              <w:right w:val="single" w:sz="8" w:space="0" w:color="FFFFFF"/>
            </w:tcBorders>
            <w:shd w:val="clear" w:color="auto" w:fill="A6A6A6"/>
            <w:noWrap/>
            <w:tcMar>
              <w:top w:w="29" w:type="dxa"/>
              <w:left w:w="72" w:type="dxa"/>
              <w:bottom w:w="0" w:type="dxa"/>
              <w:right w:w="72" w:type="dxa"/>
            </w:tcMar>
            <w:vAlign w:val="center"/>
          </w:tcPr>
          <w:p w:rsidR="00D23E81" w:rsidRPr="00391B72" w:rsidRDefault="00D23E81" w:rsidP="0058731A">
            <w:pPr>
              <w:spacing w:after="0" w:line="240" w:lineRule="exact"/>
              <w:jc w:val="center"/>
              <w:rPr>
                <w:rFonts w:cs="Arial"/>
                <w:b/>
                <w:bCs/>
              </w:rPr>
            </w:pPr>
            <w:r w:rsidRPr="00391B72">
              <w:rPr>
                <w:rFonts w:cs="Arial"/>
                <w:b/>
                <w:bCs/>
              </w:rPr>
              <w:t>Exposed –</w:t>
            </w:r>
            <w:r>
              <w:rPr>
                <w:rFonts w:cs="Arial"/>
                <w:b/>
                <w:bCs/>
              </w:rPr>
              <w:t>Private Property</w:t>
            </w:r>
          </w:p>
        </w:tc>
        <w:tc>
          <w:tcPr>
            <w:tcW w:w="1530" w:type="dxa"/>
            <w:tcBorders>
              <w:top w:val="single" w:sz="12" w:space="0" w:color="auto"/>
              <w:left w:val="nil"/>
              <w:bottom w:val="single" w:sz="8" w:space="0" w:color="FFFFFF"/>
              <w:right w:val="single" w:sz="8" w:space="0" w:color="FFFFFF"/>
            </w:tcBorders>
            <w:shd w:val="clear" w:color="auto" w:fill="A6A6A6"/>
            <w:noWrap/>
            <w:tcMar>
              <w:top w:w="29" w:type="dxa"/>
              <w:left w:w="72" w:type="dxa"/>
              <w:bottom w:w="0" w:type="dxa"/>
              <w:right w:w="72" w:type="dxa"/>
            </w:tcMar>
            <w:vAlign w:val="center"/>
          </w:tcPr>
          <w:p w:rsidR="00D23E81" w:rsidRPr="00391B72" w:rsidRDefault="00D23E81" w:rsidP="0058731A">
            <w:pPr>
              <w:spacing w:after="0" w:line="240" w:lineRule="exact"/>
              <w:jc w:val="center"/>
              <w:rPr>
                <w:rFonts w:cs="Arial"/>
                <w:b/>
                <w:bCs/>
              </w:rPr>
            </w:pPr>
            <w:r w:rsidRPr="00391B72">
              <w:rPr>
                <w:rFonts w:cs="Arial"/>
                <w:b/>
                <w:bCs/>
              </w:rPr>
              <w:t>Exposed –</w:t>
            </w:r>
            <w:r>
              <w:rPr>
                <w:rFonts w:cs="Arial"/>
                <w:b/>
                <w:bCs/>
              </w:rPr>
              <w:t>Group Site</w:t>
            </w:r>
          </w:p>
        </w:tc>
        <w:tc>
          <w:tcPr>
            <w:tcW w:w="1530" w:type="dxa"/>
            <w:tcBorders>
              <w:top w:val="single" w:sz="12" w:space="0" w:color="auto"/>
              <w:left w:val="nil"/>
              <w:bottom w:val="single" w:sz="8" w:space="0" w:color="FFFFFF"/>
              <w:right w:val="single" w:sz="8" w:space="0" w:color="FFFFFF"/>
            </w:tcBorders>
            <w:shd w:val="clear" w:color="auto" w:fill="A6A6A6"/>
            <w:noWrap/>
            <w:tcMar>
              <w:top w:w="29" w:type="dxa"/>
              <w:left w:w="72" w:type="dxa"/>
              <w:bottom w:w="0" w:type="dxa"/>
              <w:right w:w="72" w:type="dxa"/>
            </w:tcMar>
            <w:vAlign w:val="center"/>
          </w:tcPr>
          <w:p w:rsidR="00D23E81" w:rsidRPr="00391B72" w:rsidRDefault="00D23E81" w:rsidP="0058731A">
            <w:pPr>
              <w:spacing w:after="0" w:line="240" w:lineRule="exact"/>
              <w:jc w:val="center"/>
              <w:rPr>
                <w:rFonts w:cs="Arial"/>
                <w:b/>
                <w:bCs/>
              </w:rPr>
            </w:pPr>
            <w:r w:rsidRPr="00391B72">
              <w:rPr>
                <w:rFonts w:cs="Arial"/>
                <w:b/>
                <w:bCs/>
              </w:rPr>
              <w:t>Unexposed</w:t>
            </w:r>
          </w:p>
        </w:tc>
        <w:tc>
          <w:tcPr>
            <w:tcW w:w="1350" w:type="dxa"/>
            <w:vMerge w:val="restart"/>
            <w:tcBorders>
              <w:top w:val="single" w:sz="12" w:space="0" w:color="auto"/>
              <w:left w:val="nil"/>
              <w:bottom w:val="single" w:sz="8" w:space="0" w:color="auto"/>
              <w:right w:val="nil"/>
            </w:tcBorders>
            <w:shd w:val="clear" w:color="auto" w:fill="A6A6A6"/>
            <w:tcMar>
              <w:top w:w="29" w:type="dxa"/>
              <w:left w:w="72" w:type="dxa"/>
              <w:bottom w:w="0" w:type="dxa"/>
              <w:right w:w="72" w:type="dxa"/>
            </w:tcMar>
            <w:vAlign w:val="bottom"/>
          </w:tcPr>
          <w:p w:rsidR="00D23E81" w:rsidRPr="00391B72" w:rsidRDefault="00D23E81" w:rsidP="0058731A">
            <w:pPr>
              <w:spacing w:after="0" w:line="240" w:lineRule="exact"/>
              <w:jc w:val="center"/>
              <w:rPr>
                <w:rFonts w:cs="Arial"/>
                <w:b/>
                <w:bCs/>
              </w:rPr>
            </w:pPr>
            <w:r w:rsidRPr="00391B72">
              <w:rPr>
                <w:rFonts w:cs="Arial"/>
                <w:b/>
                <w:bCs/>
              </w:rPr>
              <w:t>Total</w:t>
            </w:r>
            <w:r w:rsidR="00CA34ED">
              <w:rPr>
                <w:rFonts w:cs="Arial"/>
                <w:b/>
                <w:bCs/>
              </w:rPr>
              <w:t>*</w:t>
            </w:r>
          </w:p>
        </w:tc>
      </w:tr>
      <w:tr w:rsidR="00DC7FD9" w:rsidRPr="00432DE9" w:rsidTr="00DC7FD9">
        <w:trPr>
          <w:trHeight w:val="255"/>
          <w:tblHeader/>
        </w:trPr>
        <w:tc>
          <w:tcPr>
            <w:tcW w:w="1885" w:type="dxa"/>
            <w:vMerge/>
            <w:tcBorders>
              <w:top w:val="single" w:sz="12" w:space="0" w:color="auto"/>
              <w:left w:val="nil"/>
              <w:bottom w:val="single" w:sz="8" w:space="0" w:color="auto"/>
              <w:right w:val="single" w:sz="8" w:space="0" w:color="FFFFFF"/>
            </w:tcBorders>
            <w:vAlign w:val="center"/>
          </w:tcPr>
          <w:p w:rsidR="00877950" w:rsidRDefault="00877950" w:rsidP="0058731A">
            <w:pPr>
              <w:spacing w:after="0" w:line="240" w:lineRule="exact"/>
              <w:rPr>
                <w:rFonts w:cs="Arial"/>
                <w:b/>
                <w:bCs/>
                <w:color w:val="FFFFFF"/>
              </w:rPr>
            </w:pPr>
          </w:p>
        </w:tc>
        <w:tc>
          <w:tcPr>
            <w:tcW w:w="1697" w:type="dxa"/>
            <w:tcBorders>
              <w:top w:val="nil"/>
              <w:left w:val="nil"/>
              <w:bottom w:val="single" w:sz="8" w:space="0" w:color="auto"/>
              <w:right w:val="single" w:sz="8" w:space="0" w:color="FFFFFF"/>
            </w:tcBorders>
            <w:shd w:val="clear" w:color="auto" w:fill="A6A6A6"/>
            <w:noWrap/>
            <w:tcMar>
              <w:top w:w="29" w:type="dxa"/>
              <w:left w:w="72" w:type="dxa"/>
              <w:bottom w:w="0" w:type="dxa"/>
              <w:right w:w="72" w:type="dxa"/>
            </w:tcMar>
            <w:vAlign w:val="bottom"/>
          </w:tcPr>
          <w:p w:rsidR="00DC7FD9" w:rsidRPr="00391B72" w:rsidRDefault="00DC7FD9" w:rsidP="0058731A">
            <w:pPr>
              <w:spacing w:after="0" w:line="240" w:lineRule="exact"/>
              <w:jc w:val="center"/>
              <w:rPr>
                <w:rFonts w:cs="Arial"/>
                <w:b/>
                <w:bCs/>
              </w:rPr>
            </w:pPr>
            <w:r w:rsidRPr="00391B72">
              <w:rPr>
                <w:rFonts w:cs="Arial"/>
                <w:b/>
                <w:bCs/>
              </w:rPr>
              <w:t>No.</w:t>
            </w:r>
          </w:p>
        </w:tc>
        <w:tc>
          <w:tcPr>
            <w:tcW w:w="1530" w:type="dxa"/>
            <w:tcBorders>
              <w:top w:val="nil"/>
              <w:left w:val="nil"/>
              <w:bottom w:val="single" w:sz="8" w:space="0" w:color="auto"/>
              <w:right w:val="single" w:sz="8" w:space="0" w:color="FFFFFF"/>
            </w:tcBorders>
            <w:shd w:val="clear" w:color="auto" w:fill="A6A6A6"/>
            <w:noWrap/>
            <w:tcMar>
              <w:top w:w="29" w:type="dxa"/>
              <w:left w:w="72" w:type="dxa"/>
              <w:bottom w:w="0" w:type="dxa"/>
              <w:right w:w="72" w:type="dxa"/>
            </w:tcMar>
            <w:vAlign w:val="bottom"/>
          </w:tcPr>
          <w:p w:rsidR="00DC7FD9" w:rsidRPr="00391B72" w:rsidRDefault="00DC7FD9" w:rsidP="0058731A">
            <w:pPr>
              <w:spacing w:after="0" w:line="240" w:lineRule="exact"/>
              <w:jc w:val="center"/>
              <w:rPr>
                <w:rFonts w:cs="Arial"/>
                <w:b/>
                <w:bCs/>
              </w:rPr>
            </w:pPr>
            <w:r w:rsidRPr="00391B72">
              <w:rPr>
                <w:rFonts w:cs="Arial"/>
                <w:b/>
                <w:bCs/>
              </w:rPr>
              <w:t>No.</w:t>
            </w:r>
          </w:p>
        </w:tc>
        <w:tc>
          <w:tcPr>
            <w:tcW w:w="1530" w:type="dxa"/>
            <w:tcBorders>
              <w:top w:val="nil"/>
              <w:left w:val="nil"/>
              <w:bottom w:val="single" w:sz="8" w:space="0" w:color="auto"/>
              <w:right w:val="single" w:sz="8" w:space="0" w:color="FFFFFF"/>
            </w:tcBorders>
            <w:shd w:val="clear" w:color="auto" w:fill="A6A6A6"/>
            <w:tcMar>
              <w:top w:w="29" w:type="dxa"/>
              <w:left w:w="72" w:type="dxa"/>
              <w:bottom w:w="0" w:type="dxa"/>
              <w:right w:w="72" w:type="dxa"/>
            </w:tcMar>
            <w:vAlign w:val="bottom"/>
          </w:tcPr>
          <w:p w:rsidR="00DC7FD9" w:rsidRPr="00391B72" w:rsidRDefault="00DC7FD9" w:rsidP="0058731A">
            <w:pPr>
              <w:spacing w:after="0" w:line="240" w:lineRule="exact"/>
              <w:jc w:val="center"/>
              <w:rPr>
                <w:rFonts w:cs="Arial"/>
                <w:b/>
                <w:bCs/>
              </w:rPr>
            </w:pPr>
            <w:r w:rsidRPr="00391B72">
              <w:rPr>
                <w:rFonts w:cs="Arial"/>
                <w:b/>
                <w:bCs/>
              </w:rPr>
              <w:t>No.</w:t>
            </w:r>
          </w:p>
        </w:tc>
        <w:tc>
          <w:tcPr>
            <w:tcW w:w="1350" w:type="dxa"/>
            <w:vMerge/>
            <w:tcBorders>
              <w:top w:val="single" w:sz="12" w:space="0" w:color="auto"/>
              <w:left w:val="nil"/>
              <w:bottom w:val="single" w:sz="8" w:space="0" w:color="auto"/>
              <w:right w:val="nil"/>
            </w:tcBorders>
            <w:vAlign w:val="center"/>
          </w:tcPr>
          <w:p w:rsidR="00877950" w:rsidRDefault="00877950" w:rsidP="0058731A">
            <w:pPr>
              <w:spacing w:after="0" w:line="240" w:lineRule="exact"/>
              <w:rPr>
                <w:rFonts w:cs="Arial"/>
                <w:b/>
                <w:bCs/>
                <w:color w:val="FFFFFF"/>
              </w:rPr>
            </w:pPr>
          </w:p>
        </w:tc>
      </w:tr>
      <w:tr w:rsidR="00DC7FD9" w:rsidRPr="00432DE9" w:rsidTr="00DC7FD9">
        <w:trPr>
          <w:trHeight w:val="255"/>
        </w:trPr>
        <w:tc>
          <w:tcPr>
            <w:tcW w:w="1885" w:type="dxa"/>
            <w:tcBorders>
              <w:top w:val="nil"/>
              <w:left w:val="nil"/>
              <w:bottom w:val="single" w:sz="8" w:space="0" w:color="auto"/>
              <w:right w:val="single" w:sz="8" w:space="0" w:color="auto"/>
            </w:tcBorders>
            <w:shd w:val="clear" w:color="auto" w:fill="D9D9D9"/>
            <w:noWrap/>
            <w:tcMar>
              <w:top w:w="29" w:type="dxa"/>
              <w:left w:w="72" w:type="dxa"/>
              <w:bottom w:w="0" w:type="dxa"/>
              <w:right w:w="72" w:type="dxa"/>
            </w:tcMar>
          </w:tcPr>
          <w:p w:rsidR="00DC7FD9" w:rsidRPr="00432DE9" w:rsidRDefault="00DC7FD9" w:rsidP="0058731A">
            <w:pPr>
              <w:spacing w:after="0" w:line="240" w:lineRule="exact"/>
              <w:rPr>
                <w:rFonts w:cs="Arial"/>
              </w:rPr>
            </w:pPr>
            <w:r w:rsidRPr="00432DE9">
              <w:rPr>
                <w:rFonts w:cs="Arial"/>
              </w:rPr>
              <w:t>Sample Size</w:t>
            </w:r>
          </w:p>
        </w:tc>
        <w:tc>
          <w:tcPr>
            <w:tcW w:w="1697" w:type="dxa"/>
            <w:tcBorders>
              <w:top w:val="nil"/>
              <w:left w:val="nil"/>
              <w:bottom w:val="single" w:sz="8" w:space="0" w:color="auto"/>
              <w:right w:val="single" w:sz="8" w:space="0" w:color="auto"/>
            </w:tcBorders>
            <w:noWrap/>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87</w:t>
            </w:r>
            <w:r w:rsidR="00CA34ED">
              <w:rPr>
                <w:rFonts w:cs="Arial"/>
              </w:rPr>
              <w:t>5</w:t>
            </w:r>
          </w:p>
        </w:tc>
        <w:tc>
          <w:tcPr>
            <w:tcW w:w="1530" w:type="dxa"/>
            <w:tcBorders>
              <w:top w:val="nil"/>
              <w:left w:val="nil"/>
              <w:bottom w:val="single" w:sz="8" w:space="0" w:color="auto"/>
              <w:right w:val="single" w:sz="8" w:space="0" w:color="auto"/>
            </w:tcBorders>
            <w:noWrap/>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93</w:t>
            </w:r>
            <w:r w:rsidR="00CA34ED">
              <w:rPr>
                <w:rFonts w:cs="Arial"/>
              </w:rPr>
              <w:t>8</w:t>
            </w:r>
          </w:p>
        </w:tc>
        <w:tc>
          <w:tcPr>
            <w:tcW w:w="1530" w:type="dxa"/>
            <w:tcBorders>
              <w:top w:val="nil"/>
              <w:left w:val="nil"/>
              <w:bottom w:val="single" w:sz="8" w:space="0" w:color="auto"/>
              <w:right w:val="single" w:sz="8" w:space="0" w:color="auto"/>
            </w:tcBorders>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164</w:t>
            </w:r>
            <w:r w:rsidR="00CA34ED">
              <w:rPr>
                <w:rFonts w:cs="Arial"/>
              </w:rPr>
              <w:t>0</w:t>
            </w:r>
          </w:p>
        </w:tc>
        <w:tc>
          <w:tcPr>
            <w:tcW w:w="1350" w:type="dxa"/>
            <w:tcBorders>
              <w:top w:val="nil"/>
              <w:left w:val="nil"/>
              <w:bottom w:val="single" w:sz="8" w:space="0" w:color="auto"/>
              <w:right w:val="nil"/>
            </w:tcBorders>
            <w:noWrap/>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345</w:t>
            </w:r>
            <w:r w:rsidR="00CA34ED">
              <w:rPr>
                <w:rFonts w:cs="Arial"/>
              </w:rPr>
              <w:t>5</w:t>
            </w:r>
          </w:p>
        </w:tc>
      </w:tr>
      <w:tr w:rsidR="00A039B1" w:rsidRPr="00432DE9" w:rsidTr="00DC7FD9">
        <w:trPr>
          <w:trHeight w:val="255"/>
        </w:trPr>
        <w:tc>
          <w:tcPr>
            <w:tcW w:w="1885" w:type="dxa"/>
            <w:tcBorders>
              <w:top w:val="nil"/>
              <w:left w:val="nil"/>
              <w:bottom w:val="single" w:sz="8" w:space="0" w:color="auto"/>
              <w:right w:val="single" w:sz="8" w:space="0" w:color="auto"/>
            </w:tcBorders>
            <w:shd w:val="clear" w:color="auto" w:fill="D9D9D9"/>
            <w:noWrap/>
            <w:tcMar>
              <w:top w:w="29" w:type="dxa"/>
              <w:left w:w="72" w:type="dxa"/>
              <w:bottom w:w="0" w:type="dxa"/>
              <w:right w:w="72" w:type="dxa"/>
            </w:tcMar>
          </w:tcPr>
          <w:p w:rsidR="00A039B1" w:rsidRPr="00432DE9" w:rsidRDefault="00A039B1" w:rsidP="0058731A">
            <w:pPr>
              <w:spacing w:after="0" w:line="240" w:lineRule="exact"/>
              <w:rPr>
                <w:rFonts w:cs="Arial"/>
              </w:rPr>
            </w:pPr>
            <w:r>
              <w:rPr>
                <w:rFonts w:cs="Arial"/>
              </w:rPr>
              <w:t>Locat</w:t>
            </w:r>
            <w:r w:rsidR="003E08C9">
              <w:rPr>
                <w:rFonts w:cs="Arial"/>
              </w:rPr>
              <w:t>e</w:t>
            </w:r>
          </w:p>
        </w:tc>
        <w:tc>
          <w:tcPr>
            <w:tcW w:w="1697" w:type="dxa"/>
            <w:tcBorders>
              <w:top w:val="nil"/>
              <w:left w:val="nil"/>
              <w:bottom w:val="single" w:sz="8" w:space="0" w:color="auto"/>
              <w:right w:val="single" w:sz="8" w:space="0" w:color="auto"/>
            </w:tcBorders>
            <w:noWrap/>
            <w:tcMar>
              <w:top w:w="29" w:type="dxa"/>
              <w:left w:w="72" w:type="dxa"/>
              <w:bottom w:w="0" w:type="dxa"/>
              <w:right w:w="72" w:type="dxa"/>
            </w:tcMar>
          </w:tcPr>
          <w:p w:rsidR="00A039B1" w:rsidRDefault="00A039B1" w:rsidP="0058731A">
            <w:pPr>
              <w:spacing w:after="0" w:line="240" w:lineRule="exact"/>
              <w:jc w:val="center"/>
              <w:rPr>
                <w:rFonts w:cs="Arial"/>
              </w:rPr>
            </w:pPr>
            <w:r>
              <w:rPr>
                <w:rFonts w:cs="Arial"/>
              </w:rPr>
              <w:t>657</w:t>
            </w:r>
          </w:p>
        </w:tc>
        <w:tc>
          <w:tcPr>
            <w:tcW w:w="1530" w:type="dxa"/>
            <w:tcBorders>
              <w:top w:val="nil"/>
              <w:left w:val="nil"/>
              <w:bottom w:val="single" w:sz="8" w:space="0" w:color="auto"/>
              <w:right w:val="single" w:sz="8" w:space="0" w:color="auto"/>
            </w:tcBorders>
            <w:noWrap/>
            <w:tcMar>
              <w:top w:w="29" w:type="dxa"/>
              <w:left w:w="72" w:type="dxa"/>
              <w:bottom w:w="0" w:type="dxa"/>
              <w:right w:w="72" w:type="dxa"/>
            </w:tcMar>
          </w:tcPr>
          <w:p w:rsidR="00A039B1" w:rsidRDefault="00A039B1" w:rsidP="0058731A">
            <w:pPr>
              <w:spacing w:after="0" w:line="240" w:lineRule="exact"/>
              <w:jc w:val="center"/>
              <w:rPr>
                <w:rFonts w:cs="Arial"/>
              </w:rPr>
            </w:pPr>
            <w:r>
              <w:rPr>
                <w:rFonts w:cs="Arial"/>
              </w:rPr>
              <w:t>657</w:t>
            </w:r>
          </w:p>
        </w:tc>
        <w:tc>
          <w:tcPr>
            <w:tcW w:w="1530" w:type="dxa"/>
            <w:tcBorders>
              <w:top w:val="nil"/>
              <w:left w:val="nil"/>
              <w:bottom w:val="single" w:sz="8" w:space="0" w:color="auto"/>
              <w:right w:val="single" w:sz="8" w:space="0" w:color="auto"/>
            </w:tcBorders>
            <w:tcMar>
              <w:top w:w="29" w:type="dxa"/>
              <w:left w:w="72" w:type="dxa"/>
              <w:bottom w:w="0" w:type="dxa"/>
              <w:right w:w="72" w:type="dxa"/>
            </w:tcMar>
          </w:tcPr>
          <w:p w:rsidR="00A039B1" w:rsidRDefault="00CA34ED" w:rsidP="0058731A">
            <w:pPr>
              <w:spacing w:after="0" w:line="240" w:lineRule="exact"/>
              <w:jc w:val="center"/>
              <w:rPr>
                <w:rFonts w:cs="Arial"/>
              </w:rPr>
            </w:pPr>
            <w:r>
              <w:rPr>
                <w:rFonts w:cs="Arial"/>
              </w:rPr>
              <w:t>1314</w:t>
            </w:r>
          </w:p>
        </w:tc>
        <w:tc>
          <w:tcPr>
            <w:tcW w:w="1350" w:type="dxa"/>
            <w:tcBorders>
              <w:top w:val="nil"/>
              <w:left w:val="nil"/>
              <w:bottom w:val="single" w:sz="8" w:space="0" w:color="auto"/>
              <w:right w:val="nil"/>
            </w:tcBorders>
            <w:noWrap/>
            <w:tcMar>
              <w:top w:w="29" w:type="dxa"/>
              <w:left w:w="72" w:type="dxa"/>
              <w:bottom w:w="0" w:type="dxa"/>
              <w:right w:w="72" w:type="dxa"/>
            </w:tcMar>
          </w:tcPr>
          <w:p w:rsidR="00A039B1" w:rsidRDefault="00CA34ED" w:rsidP="0058731A">
            <w:pPr>
              <w:spacing w:after="0" w:line="240" w:lineRule="exact"/>
              <w:jc w:val="center"/>
              <w:rPr>
                <w:rFonts w:cs="Arial"/>
              </w:rPr>
            </w:pPr>
            <w:r>
              <w:rPr>
                <w:rFonts w:cs="Arial"/>
              </w:rPr>
              <w:t>2628</w:t>
            </w:r>
          </w:p>
        </w:tc>
      </w:tr>
      <w:tr w:rsidR="00DC7FD9" w:rsidRPr="00432DE9" w:rsidTr="00DC7FD9">
        <w:trPr>
          <w:trHeight w:val="255"/>
        </w:trPr>
        <w:tc>
          <w:tcPr>
            <w:tcW w:w="1885" w:type="dxa"/>
            <w:tcBorders>
              <w:top w:val="nil"/>
              <w:left w:val="nil"/>
              <w:bottom w:val="single" w:sz="8" w:space="0" w:color="auto"/>
              <w:right w:val="single" w:sz="8" w:space="0" w:color="auto"/>
            </w:tcBorders>
            <w:shd w:val="clear" w:color="auto" w:fill="D9D9D9"/>
            <w:noWrap/>
            <w:tcMar>
              <w:top w:w="29" w:type="dxa"/>
              <w:left w:w="72" w:type="dxa"/>
              <w:bottom w:w="0" w:type="dxa"/>
              <w:right w:w="72" w:type="dxa"/>
            </w:tcMar>
          </w:tcPr>
          <w:p w:rsidR="00DC7FD9" w:rsidRPr="00432DE9" w:rsidRDefault="00DC7FD9" w:rsidP="0058731A">
            <w:pPr>
              <w:spacing w:after="0" w:line="240" w:lineRule="exact"/>
              <w:rPr>
                <w:rFonts w:cs="Arial"/>
              </w:rPr>
            </w:pPr>
            <w:r w:rsidRPr="00432DE9">
              <w:rPr>
                <w:rFonts w:cs="Arial"/>
              </w:rPr>
              <w:t>Screen</w:t>
            </w:r>
          </w:p>
        </w:tc>
        <w:tc>
          <w:tcPr>
            <w:tcW w:w="1697" w:type="dxa"/>
            <w:tcBorders>
              <w:top w:val="nil"/>
              <w:left w:val="nil"/>
              <w:bottom w:val="single" w:sz="8" w:space="0" w:color="auto"/>
              <w:right w:val="single" w:sz="8" w:space="0" w:color="auto"/>
            </w:tcBorders>
            <w:noWrap/>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55</w:t>
            </w:r>
            <w:r w:rsidR="00C03F6E">
              <w:rPr>
                <w:rFonts w:cs="Arial"/>
              </w:rPr>
              <w:t>8</w:t>
            </w:r>
          </w:p>
        </w:tc>
        <w:tc>
          <w:tcPr>
            <w:tcW w:w="1530" w:type="dxa"/>
            <w:tcBorders>
              <w:top w:val="nil"/>
              <w:left w:val="nil"/>
              <w:bottom w:val="single" w:sz="8" w:space="0" w:color="auto"/>
              <w:right w:val="single" w:sz="8" w:space="0" w:color="auto"/>
            </w:tcBorders>
            <w:noWrap/>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55</w:t>
            </w:r>
            <w:r w:rsidR="00C03F6E">
              <w:rPr>
                <w:rFonts w:cs="Arial"/>
              </w:rPr>
              <w:t>8</w:t>
            </w:r>
          </w:p>
        </w:tc>
        <w:tc>
          <w:tcPr>
            <w:tcW w:w="1530" w:type="dxa"/>
            <w:tcBorders>
              <w:top w:val="nil"/>
              <w:left w:val="nil"/>
              <w:bottom w:val="single" w:sz="8" w:space="0" w:color="auto"/>
              <w:right w:val="single" w:sz="8" w:space="0" w:color="auto"/>
            </w:tcBorders>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111</w:t>
            </w:r>
            <w:r w:rsidR="00C03F6E">
              <w:rPr>
                <w:rFonts w:cs="Arial"/>
              </w:rPr>
              <w:t>6</w:t>
            </w:r>
          </w:p>
        </w:tc>
        <w:tc>
          <w:tcPr>
            <w:tcW w:w="1350" w:type="dxa"/>
            <w:tcBorders>
              <w:top w:val="nil"/>
              <w:left w:val="nil"/>
              <w:bottom w:val="single" w:sz="8" w:space="0" w:color="auto"/>
              <w:right w:val="nil"/>
            </w:tcBorders>
            <w:noWrap/>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223</w:t>
            </w:r>
            <w:r w:rsidR="00C03F6E">
              <w:rPr>
                <w:rFonts w:cs="Arial"/>
              </w:rPr>
              <w:t>2</w:t>
            </w:r>
          </w:p>
        </w:tc>
      </w:tr>
      <w:tr w:rsidR="00975CE6" w:rsidRPr="00432DE9" w:rsidTr="00DC7FD9">
        <w:trPr>
          <w:trHeight w:val="255"/>
        </w:trPr>
        <w:tc>
          <w:tcPr>
            <w:tcW w:w="1885" w:type="dxa"/>
            <w:tcBorders>
              <w:top w:val="nil"/>
              <w:left w:val="nil"/>
              <w:bottom w:val="single" w:sz="8" w:space="0" w:color="auto"/>
              <w:right w:val="single" w:sz="8" w:space="0" w:color="auto"/>
            </w:tcBorders>
            <w:shd w:val="clear" w:color="auto" w:fill="D9D9D9"/>
            <w:noWrap/>
            <w:tcMar>
              <w:top w:w="29" w:type="dxa"/>
              <w:left w:w="72" w:type="dxa"/>
              <w:bottom w:w="0" w:type="dxa"/>
              <w:right w:w="72" w:type="dxa"/>
            </w:tcMar>
          </w:tcPr>
          <w:p w:rsidR="00975CE6" w:rsidRPr="00432DE9" w:rsidRDefault="00975CE6" w:rsidP="0058731A">
            <w:pPr>
              <w:spacing w:after="0" w:line="240" w:lineRule="exact"/>
              <w:rPr>
                <w:rFonts w:cs="Arial"/>
              </w:rPr>
            </w:pPr>
            <w:r>
              <w:rPr>
                <w:rFonts w:cs="Arial"/>
              </w:rPr>
              <w:t>Eligible</w:t>
            </w:r>
          </w:p>
        </w:tc>
        <w:tc>
          <w:tcPr>
            <w:tcW w:w="1697" w:type="dxa"/>
            <w:tcBorders>
              <w:top w:val="nil"/>
              <w:left w:val="nil"/>
              <w:bottom w:val="single" w:sz="8" w:space="0" w:color="auto"/>
              <w:right w:val="single" w:sz="8" w:space="0" w:color="auto"/>
            </w:tcBorders>
            <w:noWrap/>
            <w:tcMar>
              <w:top w:w="29" w:type="dxa"/>
              <w:left w:w="72" w:type="dxa"/>
              <w:bottom w:w="0" w:type="dxa"/>
              <w:right w:w="72" w:type="dxa"/>
            </w:tcMar>
          </w:tcPr>
          <w:p w:rsidR="00975CE6" w:rsidRDefault="00C529F9" w:rsidP="0058731A">
            <w:pPr>
              <w:spacing w:after="0" w:line="240" w:lineRule="exact"/>
              <w:jc w:val="center"/>
              <w:rPr>
                <w:rFonts w:cs="Arial"/>
              </w:rPr>
            </w:pPr>
            <w:r>
              <w:rPr>
                <w:rFonts w:cs="Arial"/>
              </w:rPr>
              <w:t>157</w:t>
            </w:r>
          </w:p>
        </w:tc>
        <w:tc>
          <w:tcPr>
            <w:tcW w:w="1530" w:type="dxa"/>
            <w:tcBorders>
              <w:top w:val="nil"/>
              <w:left w:val="nil"/>
              <w:bottom w:val="single" w:sz="8" w:space="0" w:color="auto"/>
              <w:right w:val="single" w:sz="8" w:space="0" w:color="auto"/>
            </w:tcBorders>
            <w:noWrap/>
            <w:tcMar>
              <w:top w:w="29" w:type="dxa"/>
              <w:left w:w="72" w:type="dxa"/>
              <w:bottom w:w="0" w:type="dxa"/>
              <w:right w:w="72" w:type="dxa"/>
            </w:tcMar>
          </w:tcPr>
          <w:p w:rsidR="00975CE6" w:rsidRDefault="00C529F9" w:rsidP="0058731A">
            <w:pPr>
              <w:spacing w:after="0" w:line="240" w:lineRule="exact"/>
              <w:jc w:val="center"/>
              <w:rPr>
                <w:rFonts w:cs="Arial"/>
              </w:rPr>
            </w:pPr>
            <w:r>
              <w:rPr>
                <w:rFonts w:cs="Arial"/>
              </w:rPr>
              <w:t>157</w:t>
            </w:r>
          </w:p>
        </w:tc>
        <w:tc>
          <w:tcPr>
            <w:tcW w:w="1530" w:type="dxa"/>
            <w:tcBorders>
              <w:top w:val="nil"/>
              <w:left w:val="nil"/>
              <w:bottom w:val="single" w:sz="8" w:space="0" w:color="auto"/>
              <w:right w:val="single" w:sz="8" w:space="0" w:color="auto"/>
            </w:tcBorders>
            <w:tcMar>
              <w:top w:w="29" w:type="dxa"/>
              <w:left w:w="72" w:type="dxa"/>
              <w:bottom w:w="0" w:type="dxa"/>
              <w:right w:w="72" w:type="dxa"/>
            </w:tcMar>
          </w:tcPr>
          <w:p w:rsidR="00975CE6" w:rsidRDefault="00C529F9" w:rsidP="0058731A">
            <w:pPr>
              <w:spacing w:after="0" w:line="240" w:lineRule="exact"/>
              <w:jc w:val="center"/>
              <w:rPr>
                <w:rFonts w:cs="Arial"/>
              </w:rPr>
            </w:pPr>
            <w:r>
              <w:rPr>
                <w:rFonts w:cs="Arial"/>
              </w:rPr>
              <w:t>314</w:t>
            </w:r>
          </w:p>
        </w:tc>
        <w:tc>
          <w:tcPr>
            <w:tcW w:w="1350" w:type="dxa"/>
            <w:tcBorders>
              <w:top w:val="nil"/>
              <w:left w:val="nil"/>
              <w:bottom w:val="single" w:sz="8" w:space="0" w:color="auto"/>
              <w:right w:val="nil"/>
            </w:tcBorders>
            <w:noWrap/>
            <w:tcMar>
              <w:top w:w="29" w:type="dxa"/>
              <w:left w:w="72" w:type="dxa"/>
              <w:bottom w:w="0" w:type="dxa"/>
              <w:right w:w="72" w:type="dxa"/>
            </w:tcMar>
          </w:tcPr>
          <w:p w:rsidR="00975CE6" w:rsidRPr="00967555" w:rsidRDefault="00C529F9" w:rsidP="0058731A">
            <w:pPr>
              <w:spacing w:after="0" w:line="240" w:lineRule="exact"/>
              <w:jc w:val="center"/>
              <w:rPr>
                <w:rFonts w:cs="Arial"/>
                <w:bCs/>
              </w:rPr>
            </w:pPr>
            <w:r w:rsidRPr="00967555">
              <w:rPr>
                <w:rFonts w:cs="Arial"/>
                <w:bCs/>
              </w:rPr>
              <w:t>628</w:t>
            </w:r>
          </w:p>
        </w:tc>
      </w:tr>
      <w:tr w:rsidR="00DC7FD9" w:rsidRPr="00432DE9" w:rsidTr="00DC7FD9">
        <w:trPr>
          <w:trHeight w:val="255"/>
        </w:trPr>
        <w:tc>
          <w:tcPr>
            <w:tcW w:w="1885" w:type="dxa"/>
            <w:tcBorders>
              <w:top w:val="nil"/>
              <w:left w:val="nil"/>
              <w:bottom w:val="single" w:sz="8" w:space="0" w:color="auto"/>
              <w:right w:val="single" w:sz="8" w:space="0" w:color="auto"/>
            </w:tcBorders>
            <w:shd w:val="clear" w:color="auto" w:fill="D9D9D9"/>
            <w:noWrap/>
            <w:tcMar>
              <w:top w:w="29" w:type="dxa"/>
              <w:left w:w="72" w:type="dxa"/>
              <w:bottom w:w="0" w:type="dxa"/>
              <w:right w:w="72" w:type="dxa"/>
            </w:tcMar>
          </w:tcPr>
          <w:p w:rsidR="00DC7FD9" w:rsidRPr="00432DE9" w:rsidRDefault="00DC7FD9" w:rsidP="0058731A">
            <w:pPr>
              <w:spacing w:after="0" w:line="240" w:lineRule="exact"/>
              <w:rPr>
                <w:rFonts w:cs="Arial"/>
              </w:rPr>
            </w:pPr>
            <w:r w:rsidRPr="00432DE9">
              <w:rPr>
                <w:rFonts w:cs="Arial"/>
              </w:rPr>
              <w:t>Baseline</w:t>
            </w:r>
          </w:p>
        </w:tc>
        <w:tc>
          <w:tcPr>
            <w:tcW w:w="1697" w:type="dxa"/>
            <w:tcBorders>
              <w:top w:val="nil"/>
              <w:left w:val="nil"/>
              <w:bottom w:val="single" w:sz="8" w:space="0" w:color="auto"/>
              <w:right w:val="single" w:sz="8" w:space="0" w:color="auto"/>
            </w:tcBorders>
            <w:noWrap/>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125</w:t>
            </w:r>
          </w:p>
        </w:tc>
        <w:tc>
          <w:tcPr>
            <w:tcW w:w="1530" w:type="dxa"/>
            <w:tcBorders>
              <w:top w:val="nil"/>
              <w:left w:val="nil"/>
              <w:bottom w:val="single" w:sz="8" w:space="0" w:color="auto"/>
              <w:right w:val="single" w:sz="8" w:space="0" w:color="auto"/>
            </w:tcBorders>
            <w:noWrap/>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125</w:t>
            </w:r>
          </w:p>
        </w:tc>
        <w:tc>
          <w:tcPr>
            <w:tcW w:w="1530" w:type="dxa"/>
            <w:tcBorders>
              <w:top w:val="nil"/>
              <w:left w:val="nil"/>
              <w:bottom w:val="single" w:sz="8" w:space="0" w:color="auto"/>
              <w:right w:val="single" w:sz="8" w:space="0" w:color="auto"/>
            </w:tcBorders>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250</w:t>
            </w:r>
          </w:p>
        </w:tc>
        <w:tc>
          <w:tcPr>
            <w:tcW w:w="1350" w:type="dxa"/>
            <w:tcBorders>
              <w:top w:val="nil"/>
              <w:left w:val="nil"/>
              <w:bottom w:val="single" w:sz="8" w:space="0" w:color="auto"/>
              <w:right w:val="nil"/>
            </w:tcBorders>
            <w:noWrap/>
            <w:tcMar>
              <w:top w:w="29" w:type="dxa"/>
              <w:left w:w="72" w:type="dxa"/>
              <w:bottom w:w="0" w:type="dxa"/>
              <w:right w:w="72" w:type="dxa"/>
            </w:tcMar>
          </w:tcPr>
          <w:p w:rsidR="00DC7FD9" w:rsidRPr="0058731A" w:rsidRDefault="00DC7FD9" w:rsidP="0058731A">
            <w:pPr>
              <w:spacing w:after="0" w:line="240" w:lineRule="exact"/>
              <w:jc w:val="center"/>
              <w:rPr>
                <w:rFonts w:cs="Arial"/>
              </w:rPr>
            </w:pPr>
            <w:r w:rsidRPr="0058731A">
              <w:rPr>
                <w:rFonts w:cs="Arial"/>
              </w:rPr>
              <w:t>500</w:t>
            </w:r>
          </w:p>
        </w:tc>
      </w:tr>
      <w:tr w:rsidR="00DC7FD9" w:rsidRPr="00432DE9" w:rsidTr="00DC7FD9">
        <w:trPr>
          <w:trHeight w:val="255"/>
        </w:trPr>
        <w:tc>
          <w:tcPr>
            <w:tcW w:w="1885" w:type="dxa"/>
            <w:tcBorders>
              <w:top w:val="nil"/>
              <w:left w:val="nil"/>
              <w:bottom w:val="single" w:sz="12" w:space="0" w:color="auto"/>
              <w:right w:val="single" w:sz="8" w:space="0" w:color="auto"/>
            </w:tcBorders>
            <w:shd w:val="clear" w:color="auto" w:fill="D9D9D9"/>
            <w:noWrap/>
            <w:tcMar>
              <w:top w:w="29" w:type="dxa"/>
              <w:left w:w="72" w:type="dxa"/>
              <w:bottom w:w="0" w:type="dxa"/>
              <w:right w:w="72" w:type="dxa"/>
            </w:tcMar>
          </w:tcPr>
          <w:p w:rsidR="00DC7FD9" w:rsidRPr="00432DE9" w:rsidRDefault="00DC7FD9" w:rsidP="0058731A">
            <w:pPr>
              <w:spacing w:after="0" w:line="240" w:lineRule="exact"/>
              <w:rPr>
                <w:rFonts w:cs="Arial"/>
              </w:rPr>
            </w:pPr>
            <w:r w:rsidRPr="00432DE9">
              <w:rPr>
                <w:rFonts w:cs="Arial"/>
              </w:rPr>
              <w:t xml:space="preserve">6-month </w:t>
            </w:r>
            <w:r>
              <w:rPr>
                <w:rFonts w:cs="Arial"/>
              </w:rPr>
              <w:t>Follow-Up</w:t>
            </w:r>
          </w:p>
        </w:tc>
        <w:tc>
          <w:tcPr>
            <w:tcW w:w="1697" w:type="dxa"/>
            <w:tcBorders>
              <w:top w:val="nil"/>
              <w:left w:val="nil"/>
              <w:bottom w:val="single" w:sz="12" w:space="0" w:color="auto"/>
              <w:right w:val="single" w:sz="8" w:space="0" w:color="auto"/>
            </w:tcBorders>
            <w:noWrap/>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112</w:t>
            </w:r>
          </w:p>
        </w:tc>
        <w:tc>
          <w:tcPr>
            <w:tcW w:w="1530" w:type="dxa"/>
            <w:tcBorders>
              <w:top w:val="nil"/>
              <w:left w:val="nil"/>
              <w:bottom w:val="single" w:sz="12" w:space="0" w:color="auto"/>
              <w:right w:val="single" w:sz="8" w:space="0" w:color="auto"/>
            </w:tcBorders>
            <w:noWrap/>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113</w:t>
            </w:r>
          </w:p>
        </w:tc>
        <w:tc>
          <w:tcPr>
            <w:tcW w:w="1530" w:type="dxa"/>
            <w:tcBorders>
              <w:top w:val="nil"/>
              <w:left w:val="nil"/>
              <w:bottom w:val="single" w:sz="12" w:space="0" w:color="auto"/>
              <w:right w:val="single" w:sz="8" w:space="0" w:color="auto"/>
            </w:tcBorders>
            <w:tcMar>
              <w:top w:w="29" w:type="dxa"/>
              <w:left w:w="72" w:type="dxa"/>
              <w:bottom w:w="0" w:type="dxa"/>
              <w:right w:w="72" w:type="dxa"/>
            </w:tcMar>
          </w:tcPr>
          <w:p w:rsidR="00DC7FD9" w:rsidRPr="00432DE9" w:rsidRDefault="00DC7FD9" w:rsidP="0058731A">
            <w:pPr>
              <w:spacing w:after="0" w:line="240" w:lineRule="exact"/>
              <w:jc w:val="center"/>
              <w:rPr>
                <w:rFonts w:cs="Arial"/>
              </w:rPr>
            </w:pPr>
            <w:r>
              <w:rPr>
                <w:rFonts w:cs="Arial"/>
              </w:rPr>
              <w:t>225</w:t>
            </w:r>
          </w:p>
        </w:tc>
        <w:tc>
          <w:tcPr>
            <w:tcW w:w="1350" w:type="dxa"/>
            <w:tcBorders>
              <w:top w:val="nil"/>
              <w:left w:val="nil"/>
              <w:bottom w:val="single" w:sz="12" w:space="0" w:color="auto"/>
              <w:right w:val="nil"/>
            </w:tcBorders>
            <w:noWrap/>
            <w:tcMar>
              <w:top w:w="29" w:type="dxa"/>
              <w:left w:w="72" w:type="dxa"/>
              <w:bottom w:w="0" w:type="dxa"/>
              <w:right w:w="72" w:type="dxa"/>
            </w:tcMar>
          </w:tcPr>
          <w:p w:rsidR="00DC7FD9" w:rsidRPr="0058731A" w:rsidRDefault="00DC7FD9" w:rsidP="0058731A">
            <w:pPr>
              <w:spacing w:after="0" w:line="240" w:lineRule="exact"/>
              <w:jc w:val="center"/>
              <w:rPr>
                <w:rFonts w:cs="Arial"/>
              </w:rPr>
            </w:pPr>
            <w:r w:rsidRPr="0058731A">
              <w:rPr>
                <w:rFonts w:cs="Arial"/>
              </w:rPr>
              <w:t>450</w:t>
            </w:r>
          </w:p>
        </w:tc>
      </w:tr>
    </w:tbl>
    <w:p w:rsidR="0058731A" w:rsidRDefault="00C03F6E" w:rsidP="0072336D">
      <w:pPr>
        <w:pStyle w:val="Heading2"/>
        <w:keepLines/>
        <w:spacing w:before="0" w:after="0" w:line="240" w:lineRule="auto"/>
        <w:rPr>
          <w:rFonts w:asciiTheme="minorHAnsi" w:hAnsiTheme="minorHAnsi"/>
          <w:b w:val="0"/>
          <w:bCs w:val="0"/>
          <w:i w:val="0"/>
          <w:iCs w:val="0"/>
          <w:sz w:val="20"/>
          <w:szCs w:val="20"/>
        </w:rPr>
      </w:pPr>
      <w:bookmarkStart w:id="6" w:name="_Toc278872059"/>
      <w:bookmarkEnd w:id="5"/>
      <w:r>
        <w:rPr>
          <w:rFonts w:asciiTheme="minorHAnsi" w:hAnsiTheme="minorHAnsi"/>
          <w:b w:val="0"/>
          <w:bCs w:val="0"/>
          <w:i w:val="0"/>
          <w:iCs w:val="0"/>
          <w:sz w:val="20"/>
          <w:szCs w:val="20"/>
        </w:rPr>
        <w:t>*</w:t>
      </w:r>
      <w:r w:rsidR="005C0DA9" w:rsidRPr="00D13BDF">
        <w:rPr>
          <w:rFonts w:asciiTheme="minorHAnsi" w:hAnsiTheme="minorHAnsi"/>
          <w:b w:val="0"/>
          <w:bCs w:val="0"/>
          <w:i w:val="0"/>
          <w:iCs w:val="0"/>
          <w:sz w:val="20"/>
          <w:szCs w:val="20"/>
        </w:rPr>
        <w:t>Numbers do not sum due to rounding</w:t>
      </w:r>
    </w:p>
    <w:p w:rsidR="0058731A" w:rsidRDefault="0058731A" w:rsidP="0058731A">
      <w:pPr>
        <w:rPr>
          <w:rFonts w:eastAsia="Times New Roman" w:cs="Times New Roman"/>
        </w:rPr>
      </w:pPr>
      <w:r>
        <w:br w:type="page"/>
      </w:r>
    </w:p>
    <w:p w:rsidR="005A1C98" w:rsidRPr="00C07872" w:rsidRDefault="005A1C98" w:rsidP="00E35D9C">
      <w:pPr>
        <w:pStyle w:val="Heading2"/>
        <w:keepLines/>
        <w:spacing w:after="120" w:line="240" w:lineRule="auto"/>
        <w:rPr>
          <w:rFonts w:ascii="Arial Black" w:hAnsi="Arial Black"/>
          <w:b w:val="0"/>
          <w:i w:val="0"/>
          <w:iCs w:val="0"/>
          <w:sz w:val="22"/>
          <w:szCs w:val="22"/>
        </w:rPr>
      </w:pPr>
      <w:r w:rsidRPr="00C07872">
        <w:rPr>
          <w:rFonts w:ascii="Arial Black" w:hAnsi="Arial Black"/>
          <w:i w:val="0"/>
          <w:iCs w:val="0"/>
          <w:sz w:val="22"/>
          <w:szCs w:val="22"/>
        </w:rPr>
        <w:lastRenderedPageBreak/>
        <w:t>B</w:t>
      </w:r>
      <w:r w:rsidR="00026AF6">
        <w:rPr>
          <w:rFonts w:ascii="Arial Black" w:hAnsi="Arial Black"/>
          <w:i w:val="0"/>
          <w:iCs w:val="0"/>
          <w:sz w:val="22"/>
          <w:szCs w:val="22"/>
        </w:rPr>
        <w:t>.</w:t>
      </w:r>
      <w:r w:rsidR="008D5DF6">
        <w:rPr>
          <w:rFonts w:ascii="Arial Black" w:hAnsi="Arial Black"/>
          <w:i w:val="0"/>
          <w:iCs w:val="0"/>
          <w:sz w:val="22"/>
          <w:szCs w:val="22"/>
        </w:rPr>
        <w:t>2</w:t>
      </w:r>
      <w:r w:rsidRPr="00C07872">
        <w:rPr>
          <w:rFonts w:ascii="Arial Black" w:hAnsi="Arial Black"/>
          <w:i w:val="0"/>
          <w:iCs w:val="0"/>
          <w:sz w:val="22"/>
          <w:szCs w:val="22"/>
        </w:rPr>
        <w:tab/>
        <w:t>Procedures for the Collection of Information</w:t>
      </w:r>
      <w:bookmarkEnd w:id="6"/>
    </w:p>
    <w:p w:rsidR="005A1C98" w:rsidRDefault="005A1C98" w:rsidP="0072336D">
      <w:pPr>
        <w:pStyle w:val="ListParagraph"/>
        <w:keepNext/>
        <w:keepLines/>
        <w:spacing w:after="120" w:line="240" w:lineRule="auto"/>
        <w:ind w:left="0"/>
        <w:outlineLvl w:val="2"/>
        <w:rPr>
          <w:rFonts w:asciiTheme="minorBidi" w:hAnsiTheme="minorBidi" w:cstheme="minorBidi"/>
          <w:b/>
        </w:rPr>
      </w:pPr>
      <w:bookmarkStart w:id="7" w:name="_Toc278872060"/>
      <w:r w:rsidRPr="00C07872">
        <w:rPr>
          <w:rFonts w:asciiTheme="minorBidi" w:hAnsiTheme="minorBidi" w:cstheme="minorBidi"/>
          <w:b/>
        </w:rPr>
        <w:t xml:space="preserve">Statistical </w:t>
      </w:r>
      <w:r w:rsidR="00F60BA7">
        <w:rPr>
          <w:rFonts w:asciiTheme="minorBidi" w:hAnsiTheme="minorBidi" w:cstheme="minorBidi"/>
          <w:b/>
        </w:rPr>
        <w:t>M</w:t>
      </w:r>
      <w:r w:rsidRPr="00C07872">
        <w:rPr>
          <w:rFonts w:asciiTheme="minorBidi" w:hAnsiTheme="minorBidi" w:cstheme="minorBidi"/>
          <w:b/>
        </w:rPr>
        <w:t xml:space="preserve">ethod for </w:t>
      </w:r>
      <w:r w:rsidR="00F60BA7">
        <w:rPr>
          <w:rFonts w:asciiTheme="minorBidi" w:hAnsiTheme="minorBidi" w:cstheme="minorBidi"/>
          <w:b/>
        </w:rPr>
        <w:t>S</w:t>
      </w:r>
      <w:r w:rsidRPr="00C07872">
        <w:rPr>
          <w:rFonts w:asciiTheme="minorBidi" w:hAnsiTheme="minorBidi" w:cstheme="minorBidi"/>
          <w:b/>
        </w:rPr>
        <w:t xml:space="preserve">tratification and </w:t>
      </w:r>
      <w:r w:rsidR="00F60BA7">
        <w:rPr>
          <w:rFonts w:asciiTheme="minorBidi" w:hAnsiTheme="minorBidi" w:cstheme="minorBidi"/>
          <w:b/>
        </w:rPr>
        <w:t>S</w:t>
      </w:r>
      <w:r w:rsidRPr="00C07872">
        <w:rPr>
          <w:rFonts w:asciiTheme="minorBidi" w:hAnsiTheme="minorBidi" w:cstheme="minorBidi"/>
          <w:b/>
        </w:rPr>
        <w:t xml:space="preserve">ample </w:t>
      </w:r>
      <w:r w:rsidR="00F60BA7">
        <w:rPr>
          <w:rFonts w:asciiTheme="minorBidi" w:hAnsiTheme="minorBidi" w:cstheme="minorBidi"/>
          <w:b/>
        </w:rPr>
        <w:t>S</w:t>
      </w:r>
      <w:r w:rsidRPr="00C07872">
        <w:rPr>
          <w:rFonts w:asciiTheme="minorBidi" w:hAnsiTheme="minorBidi" w:cstheme="minorBidi"/>
          <w:b/>
        </w:rPr>
        <w:t>election</w:t>
      </w:r>
      <w:bookmarkEnd w:id="7"/>
    </w:p>
    <w:p w:rsidR="006F651F" w:rsidRDefault="006F651F" w:rsidP="0072336D">
      <w:pPr>
        <w:keepNext/>
        <w:keepLines/>
        <w:spacing w:after="120" w:line="240" w:lineRule="auto"/>
      </w:pPr>
      <w:r>
        <w:t xml:space="preserve">The target population for the Feasibility Study is children who </w:t>
      </w:r>
      <w:r w:rsidR="000238C4">
        <w:t xml:space="preserve">currently </w:t>
      </w:r>
      <w:r>
        <w:t xml:space="preserve">reside in designated geographic areas </w:t>
      </w:r>
      <w:r w:rsidR="00C05517">
        <w:t xml:space="preserve">and </w:t>
      </w:r>
      <w:r>
        <w:t>who meet all of the following eligibility criteria:</w:t>
      </w:r>
    </w:p>
    <w:p w:rsidR="006F651F" w:rsidRDefault="006F651F" w:rsidP="00E41F54">
      <w:pPr>
        <w:pStyle w:val="ListParagraph"/>
        <w:numPr>
          <w:ilvl w:val="0"/>
          <w:numId w:val="31"/>
        </w:numPr>
        <w:spacing w:after="120" w:line="240" w:lineRule="auto"/>
        <w:ind w:left="1080"/>
        <w:contextualSpacing/>
      </w:pPr>
      <w:r>
        <w:t>aged 15 years old or less as of June 1, 2011 and were born before December 31, 2007</w:t>
      </w:r>
    </w:p>
    <w:p w:rsidR="006F651F" w:rsidRDefault="006F651F" w:rsidP="00E41F54">
      <w:pPr>
        <w:pStyle w:val="ListParagraph"/>
        <w:numPr>
          <w:ilvl w:val="0"/>
          <w:numId w:val="31"/>
        </w:numPr>
        <w:spacing w:after="120" w:line="240" w:lineRule="auto"/>
        <w:ind w:left="1080"/>
        <w:contextualSpacing/>
      </w:pPr>
      <w:r>
        <w:t>reside in a household with at least one parent/guardian who is aged 18 years or older</w:t>
      </w:r>
    </w:p>
    <w:p w:rsidR="006F651F" w:rsidRDefault="006F651F" w:rsidP="00E41F54">
      <w:pPr>
        <w:pStyle w:val="ListParagraph"/>
        <w:numPr>
          <w:ilvl w:val="0"/>
          <w:numId w:val="31"/>
        </w:numPr>
        <w:spacing w:after="120" w:line="240" w:lineRule="auto"/>
        <w:ind w:left="1080"/>
        <w:contextualSpacing/>
      </w:pPr>
      <w:r>
        <w:t>reside in a household in which the parent/guardian speaks English, Spanish, or Vietnamese</w:t>
      </w:r>
    </w:p>
    <w:p w:rsidR="006F651F" w:rsidRDefault="006F651F" w:rsidP="00E41F54">
      <w:pPr>
        <w:pStyle w:val="ListParagraph"/>
        <w:numPr>
          <w:ilvl w:val="0"/>
          <w:numId w:val="31"/>
        </w:numPr>
        <w:spacing w:after="120" w:line="240" w:lineRule="auto"/>
        <w:ind w:left="1080"/>
        <w:contextualSpacing/>
      </w:pPr>
      <w:r>
        <w:t>currently live in Louisiana or Mississippi</w:t>
      </w:r>
    </w:p>
    <w:p w:rsidR="006F651F" w:rsidRDefault="006F651F" w:rsidP="00E41F54">
      <w:pPr>
        <w:pStyle w:val="ListParagraph"/>
        <w:numPr>
          <w:ilvl w:val="0"/>
          <w:numId w:val="31"/>
        </w:numPr>
        <w:spacing w:after="120" w:line="240" w:lineRule="auto"/>
        <w:ind w:left="1080"/>
        <w:contextualSpacing/>
      </w:pPr>
      <w:r>
        <w:t xml:space="preserve">either resided in the storm affected areas at the time of Hurricanes Katrina or Rita, or were born after the </w:t>
      </w:r>
      <w:r w:rsidR="00831E54">
        <w:t>H</w:t>
      </w:r>
      <w:r>
        <w:t>urricanes, but have subsequently resided in the storm-affected areas</w:t>
      </w:r>
    </w:p>
    <w:p w:rsidR="006F651F" w:rsidRDefault="006F651F" w:rsidP="0058731A">
      <w:pPr>
        <w:pStyle w:val="ListParagraph"/>
        <w:numPr>
          <w:ilvl w:val="0"/>
          <w:numId w:val="31"/>
        </w:numPr>
        <w:spacing w:after="120" w:line="240" w:lineRule="auto"/>
        <w:ind w:left="1080"/>
        <w:contextualSpacing/>
      </w:pPr>
      <w:proofErr w:type="gramStart"/>
      <w:r>
        <w:t>either</w:t>
      </w:r>
      <w:proofErr w:type="gramEnd"/>
      <w:r>
        <w:t xml:space="preserve"> never resided in a FEMA-provided THU </w:t>
      </w:r>
      <w:r>
        <w:rPr>
          <w:i/>
          <w:iCs/>
        </w:rPr>
        <w:t>in utero</w:t>
      </w:r>
      <w:r>
        <w:t xml:space="preserve"> (e.g., pregnant mother must not have lived in a THU) or after birth (unexposed); or resided for at least 2 months in a FEMA-provided THU (exposed). Children born after the </w:t>
      </w:r>
      <w:r w:rsidR="00831E54">
        <w:t>H</w:t>
      </w:r>
      <w:r>
        <w:t xml:space="preserve">urricanes, but whose mother had resided in a FEMA-provided THU while pregnant, will also be included as exposed. </w:t>
      </w:r>
    </w:p>
    <w:p w:rsidR="001B69E1" w:rsidRDefault="00241A25" w:rsidP="0072336D">
      <w:pPr>
        <w:autoSpaceDE w:val="0"/>
        <w:autoSpaceDN w:val="0"/>
        <w:adjustRightInd w:val="0"/>
        <w:spacing w:after="120" w:line="240" w:lineRule="auto"/>
      </w:pPr>
      <w:r>
        <w:t xml:space="preserve">Using the </w:t>
      </w:r>
      <w:r w:rsidR="00696B23">
        <w:t xml:space="preserve">master </w:t>
      </w:r>
      <w:r>
        <w:t>FEMA data files, t</w:t>
      </w:r>
      <w:r w:rsidR="00B15DD2">
        <w:t xml:space="preserve">he exposed </w:t>
      </w:r>
      <w:r w:rsidR="000E0802">
        <w:t>population</w:t>
      </w:r>
      <w:r w:rsidR="00B15DD2">
        <w:t xml:space="preserve"> </w:t>
      </w:r>
      <w:r w:rsidR="001B69E1">
        <w:t>will be divided into two groups</w:t>
      </w:r>
      <w:r w:rsidR="00D22D4E">
        <w:t>—</w:t>
      </w:r>
      <w:r w:rsidR="009C0A61">
        <w:t>private</w:t>
      </w:r>
      <w:r w:rsidR="00E16DFA">
        <w:t xml:space="preserve"> and group THUs</w:t>
      </w:r>
      <w:r w:rsidR="00D22D4E">
        <w:t>—f</w:t>
      </w:r>
      <w:r w:rsidR="001B69E1">
        <w:t xml:space="preserve">or sampling in the </w:t>
      </w:r>
      <w:r w:rsidR="0061374E">
        <w:t>F</w:t>
      </w:r>
      <w:r w:rsidR="001B69E1">
        <w:t xml:space="preserve">easibility </w:t>
      </w:r>
      <w:r w:rsidR="0061374E">
        <w:t>S</w:t>
      </w:r>
      <w:r w:rsidR="001B69E1">
        <w:t>tudy</w:t>
      </w:r>
      <w:r w:rsidR="0072336D">
        <w:t>.</w:t>
      </w:r>
      <w:r w:rsidR="003066DF">
        <w:t xml:space="preserve"> </w:t>
      </w:r>
      <w:r w:rsidR="0058731A">
        <w:t xml:space="preserve"> </w:t>
      </w:r>
      <w:r w:rsidR="008A0016">
        <w:t xml:space="preserve">The exposed sample will be limited to six parishes in Louisiana (Orleans, Jefferson, St. Bernard, East Baton Rouge, Livingston, and St. Helena) and three counties in Mississippi (Harrison, Jackson, and George). </w:t>
      </w:r>
      <w:r w:rsidR="00E35D9C">
        <w:t xml:space="preserve"> </w:t>
      </w:r>
      <w:r w:rsidR="008A0016">
        <w:t xml:space="preserve">These areas were selected to represent a range of urban and rural areas and to capture the general geographic dispersion of the target population. </w:t>
      </w:r>
      <w:r w:rsidR="0058731A">
        <w:t xml:space="preserve"> </w:t>
      </w:r>
      <w:r w:rsidR="008A0016">
        <w:t>All selected areas also represent a relatively high proportion of target population households to help increase our efficiency of screening for the Feasibility Study.</w:t>
      </w:r>
      <w:r w:rsidR="00E35D9C">
        <w:t xml:space="preserve"> </w:t>
      </w:r>
      <w:r w:rsidR="008A0016">
        <w:t xml:space="preserve"> These areas will be treated as strata, thereby enabling us to incorporate the Feasibility Study participants into the Full Study, should that become a reality.</w:t>
      </w:r>
      <w:r w:rsidR="00E35D9C">
        <w:t xml:space="preserve"> </w:t>
      </w:r>
      <w:r w:rsidR="008A0016">
        <w:t xml:space="preserve"> The target sample for each group (private and group THU) will be allocated to the strata in proportion to the number of exposed population households in each stratum. </w:t>
      </w:r>
      <w:r w:rsidR="00E35D9C">
        <w:t xml:space="preserve"> </w:t>
      </w:r>
      <w:r w:rsidR="008A0016">
        <w:t>As much as possible, we will maintain equal selection probabilities, and therefore weights, across the strata.</w:t>
      </w:r>
      <w:r w:rsidR="00E35D9C">
        <w:t xml:space="preserve">  </w:t>
      </w:r>
      <w:r w:rsidR="00A84C49">
        <w:t>Addresses in</w:t>
      </w:r>
      <w:r>
        <w:t xml:space="preserve"> </w:t>
      </w:r>
      <w:r w:rsidR="003066DF">
        <w:t>the</w:t>
      </w:r>
      <w:r w:rsidR="00221BB1">
        <w:t>se designated geog</w:t>
      </w:r>
      <w:r w:rsidR="00696B23">
        <w:t>r</w:t>
      </w:r>
      <w:r w:rsidR="00221BB1">
        <w:t>aphic areas</w:t>
      </w:r>
      <w:r w:rsidR="003066DF">
        <w:t xml:space="preserve"> </w:t>
      </w:r>
      <w:r w:rsidR="00FE5AEC">
        <w:t>identified</w:t>
      </w:r>
      <w:r>
        <w:t xml:space="preserve"> for</w:t>
      </w:r>
      <w:r w:rsidR="00535710">
        <w:t xml:space="preserve"> the</w:t>
      </w:r>
      <w:r>
        <w:t xml:space="preserve"> </w:t>
      </w:r>
      <w:r w:rsidR="00B15DD2">
        <w:t xml:space="preserve">exposed </w:t>
      </w:r>
      <w:r w:rsidR="00535710">
        <w:t xml:space="preserve">population </w:t>
      </w:r>
      <w:r>
        <w:t xml:space="preserve">will be selected using </w:t>
      </w:r>
      <w:r w:rsidR="00C40F7B">
        <w:t xml:space="preserve">stratified </w:t>
      </w:r>
      <w:r>
        <w:t>probability sampling, where each address will have the same probability of selection.</w:t>
      </w:r>
      <w:r w:rsidR="006F651F">
        <w:t xml:space="preserve"> From each </w:t>
      </w:r>
      <w:r w:rsidR="00196ED2">
        <w:t>selected eligible address</w:t>
      </w:r>
      <w:r w:rsidR="006F651F">
        <w:t xml:space="preserve">, the number of eligible children in the </w:t>
      </w:r>
      <w:r w:rsidR="00196ED2">
        <w:t>household will be enumerated and o</w:t>
      </w:r>
      <w:r w:rsidR="006F651F">
        <w:t xml:space="preserve">ne child in each household will be </w:t>
      </w:r>
      <w:r w:rsidR="00196ED2">
        <w:t xml:space="preserve">randomly </w:t>
      </w:r>
      <w:r w:rsidR="006F651F">
        <w:t>selected</w:t>
      </w:r>
      <w:r w:rsidR="00196ED2">
        <w:t xml:space="preserve"> to participate</w:t>
      </w:r>
      <w:r w:rsidR="006F651F">
        <w:t>.</w:t>
      </w:r>
      <w:r w:rsidR="00FE5AEC">
        <w:t xml:space="preserve"> </w:t>
      </w:r>
    </w:p>
    <w:p w:rsidR="006A4631" w:rsidRDefault="001E1AD6" w:rsidP="0072336D">
      <w:pPr>
        <w:pStyle w:val="ListParagraph"/>
        <w:spacing w:after="120" w:line="240" w:lineRule="auto"/>
        <w:ind w:left="0"/>
      </w:pPr>
      <w:r>
        <w:t>T</w:t>
      </w:r>
      <w:r w:rsidR="006F651F">
        <w:t>he u</w:t>
      </w:r>
      <w:r w:rsidR="004831C6">
        <w:t xml:space="preserve">nexposed </w:t>
      </w:r>
      <w:r w:rsidR="006F2CAD">
        <w:t>population</w:t>
      </w:r>
      <w:r w:rsidR="004831C6">
        <w:t xml:space="preserve"> </w:t>
      </w:r>
      <w:r w:rsidR="00D45DB7">
        <w:t>will be selected</w:t>
      </w:r>
      <w:r w:rsidR="006F2CAD">
        <w:t xml:space="preserve"> </w:t>
      </w:r>
      <w:r w:rsidR="004831C6">
        <w:t>from a</w:t>
      </w:r>
      <w:r w:rsidR="00B15DD2">
        <w:t xml:space="preserve"> </w:t>
      </w:r>
      <w:r w:rsidR="004831C6">
        <w:t>current</w:t>
      </w:r>
      <w:r w:rsidR="006F651F">
        <w:t xml:space="preserve"> address</w:t>
      </w:r>
      <w:r w:rsidR="00C05517">
        <w:t xml:space="preserve">‐based sampling </w:t>
      </w:r>
      <w:r w:rsidR="006F651F">
        <w:t>frame</w:t>
      </w:r>
      <w:r w:rsidR="00FE5AEC">
        <w:t xml:space="preserve">–the </w:t>
      </w:r>
      <w:r w:rsidR="00C05517">
        <w:t xml:space="preserve">US Postal </w:t>
      </w:r>
      <w:r w:rsidR="00B15DD2">
        <w:t>Service Delivery Sequence File</w:t>
      </w:r>
      <w:r w:rsidR="00FE5AEC">
        <w:t>—</w:t>
      </w:r>
      <w:r w:rsidR="00B15DD2">
        <w:t xml:space="preserve">in </w:t>
      </w:r>
      <w:r w:rsidR="006F651F">
        <w:t xml:space="preserve">the same </w:t>
      </w:r>
      <w:r w:rsidR="005A1FD2">
        <w:t>Census Block Group</w:t>
      </w:r>
      <w:r w:rsidR="00A77C4F">
        <w:t>s</w:t>
      </w:r>
      <w:r w:rsidR="006F651F">
        <w:t xml:space="preserve"> as the</w:t>
      </w:r>
      <w:r w:rsidR="00C05517">
        <w:t xml:space="preserve"> </w:t>
      </w:r>
      <w:r w:rsidR="00196ED2">
        <w:t xml:space="preserve">exposed </w:t>
      </w:r>
      <w:r w:rsidR="00A84C49">
        <w:t>population</w:t>
      </w:r>
      <w:r w:rsidR="00F15C30">
        <w:t xml:space="preserve"> sample</w:t>
      </w:r>
      <w:r w:rsidR="006F651F">
        <w:t xml:space="preserve">. </w:t>
      </w:r>
      <w:r w:rsidR="00B15DD2">
        <w:t xml:space="preserve"> </w:t>
      </w:r>
      <w:r>
        <w:t xml:space="preserve">We believe that it is important to identify unexposed populations that are similar to the exposed populations. </w:t>
      </w:r>
      <w:r w:rsidR="000B438E">
        <w:t xml:space="preserve"> </w:t>
      </w:r>
      <w:r>
        <w:t>An optimal match between the exposed and unexposed populations would occur if both populations came from the same residential areas</w:t>
      </w:r>
      <w:r w:rsidR="00696B23">
        <w:t xml:space="preserve"> before Hurricanes Katrina and Rita</w:t>
      </w:r>
      <w:r>
        <w:t xml:space="preserve">. </w:t>
      </w:r>
      <w:r w:rsidR="00E35D9C">
        <w:t xml:space="preserve"> </w:t>
      </w:r>
      <w:r>
        <w:t>This tension between drawing an efficient sample and having a good control group complicates the sample design and requires a compromise between these two objectives.  We will therefore select the unexposed sample in areas in which the exposed sample members currently reside</w:t>
      </w:r>
      <w:r w:rsidR="00696B23">
        <w:t>.</w:t>
      </w:r>
      <w:r w:rsidR="00F15C30">
        <w:t xml:space="preserve"> </w:t>
      </w:r>
    </w:p>
    <w:p w:rsidR="008A0016" w:rsidRDefault="008A0016" w:rsidP="0058731A">
      <w:pPr>
        <w:pStyle w:val="ListParagraph"/>
        <w:spacing w:after="120" w:line="240" w:lineRule="auto"/>
        <w:ind w:left="0"/>
      </w:pPr>
      <w:r>
        <w:t>The matching of exposed and unexposed households will be limited to geographical proximity at the</w:t>
      </w:r>
      <w:r w:rsidR="00E35D9C">
        <w:t xml:space="preserve"> </w:t>
      </w:r>
      <w:r>
        <w:t xml:space="preserve">neighborhood level. </w:t>
      </w:r>
      <w:r w:rsidR="00E35D9C">
        <w:t xml:space="preserve"> </w:t>
      </w:r>
      <w:r w:rsidR="0068649C">
        <w:t xml:space="preserve">While a 1:1 match will not be </w:t>
      </w:r>
      <w:r w:rsidR="00D60E25">
        <w:t>attemp</w:t>
      </w:r>
      <w:r w:rsidR="00255AE8">
        <w:t>t</w:t>
      </w:r>
      <w:r w:rsidR="00D60E25">
        <w:t>ed</w:t>
      </w:r>
      <w:r w:rsidR="0068649C">
        <w:t>, w</w:t>
      </w:r>
      <w:r>
        <w:t xml:space="preserve">e anticipate that the samples will be similar not only with respect to geographical distribution but also in many basic demographic and socioeconomic characteristics such as age, gender, household composition, and general socioeconomic status. </w:t>
      </w:r>
      <w:r w:rsidR="0058731A">
        <w:t xml:space="preserve"> </w:t>
      </w:r>
      <w:r>
        <w:t>While it is true that within any Census Block Group the two households (exposed and unexposed) could be different, we anticipate that</w:t>
      </w:r>
      <w:r w:rsidR="0058731A">
        <w:t>—</w:t>
      </w:r>
      <w:r>
        <w:t>on average across all Census Block Groups</w:t>
      </w:r>
      <w:r w:rsidR="0058731A">
        <w:t>—</w:t>
      </w:r>
      <w:r>
        <w:t>the two samples will have similar distribution patterns.</w:t>
      </w:r>
      <w:r w:rsidRPr="00696B23">
        <w:t xml:space="preserve"> </w:t>
      </w:r>
      <w:r>
        <w:t xml:space="preserve"> Furthermore, this approach will not only reduce field </w:t>
      </w:r>
      <w:r>
        <w:lastRenderedPageBreak/>
        <w:t>costs by enabling interviewers to visit both exposed and unexposed sample households in the same areas, but will also help inform us on the feasibility of using this approach for the Full Study.</w:t>
      </w:r>
    </w:p>
    <w:p w:rsidR="006F651F" w:rsidRDefault="004A3FE5" w:rsidP="0072336D">
      <w:pPr>
        <w:autoSpaceDE w:val="0"/>
        <w:autoSpaceDN w:val="0"/>
        <w:adjustRightInd w:val="0"/>
        <w:spacing w:after="120" w:line="240" w:lineRule="auto"/>
      </w:pPr>
      <w:r>
        <w:t xml:space="preserve">Similar to the procedure </w:t>
      </w:r>
      <w:r w:rsidR="00B15DD2">
        <w:t>utilized</w:t>
      </w:r>
      <w:r>
        <w:t xml:space="preserve"> for the exposed </w:t>
      </w:r>
      <w:r w:rsidR="00535710">
        <w:t>population</w:t>
      </w:r>
      <w:r>
        <w:t>,</w:t>
      </w:r>
      <w:r w:rsidR="0032572A">
        <w:t xml:space="preserve"> </w:t>
      </w:r>
      <w:r>
        <w:t>the addresses in the designated geo</w:t>
      </w:r>
      <w:r w:rsidR="00196ED2">
        <w:t>graphic area</w:t>
      </w:r>
      <w:r w:rsidR="00A84C49">
        <w:t>s</w:t>
      </w:r>
      <w:r w:rsidR="00196ED2">
        <w:t xml:space="preserve"> for </w:t>
      </w:r>
      <w:r w:rsidR="00535710">
        <w:t xml:space="preserve">the </w:t>
      </w:r>
      <w:r w:rsidR="00196ED2">
        <w:t xml:space="preserve">unexposed </w:t>
      </w:r>
      <w:r w:rsidR="00535710">
        <w:t>population</w:t>
      </w:r>
      <w:r>
        <w:t xml:space="preserve"> will be selected using probability sampling. </w:t>
      </w:r>
      <w:r w:rsidR="00E35D9C">
        <w:t xml:space="preserve"> </w:t>
      </w:r>
      <w:r>
        <w:t xml:space="preserve">Each address in </w:t>
      </w:r>
      <w:r w:rsidR="00B15DD2">
        <w:t>the</w:t>
      </w:r>
      <w:r>
        <w:t xml:space="preserve"> designated geographic area</w:t>
      </w:r>
      <w:r w:rsidR="00B15DD2">
        <w:t>s</w:t>
      </w:r>
      <w:r>
        <w:t xml:space="preserve"> will have the same probability of selection. </w:t>
      </w:r>
      <w:r w:rsidR="00E35D9C">
        <w:t xml:space="preserve"> </w:t>
      </w:r>
      <w:r w:rsidR="00B15DD2">
        <w:t xml:space="preserve">For </w:t>
      </w:r>
      <w:r>
        <w:t xml:space="preserve">each eligible address selected, the number of eligible children in the </w:t>
      </w:r>
      <w:r w:rsidR="00B15DD2">
        <w:t xml:space="preserve">household will be enumerated and </w:t>
      </w:r>
      <w:r w:rsidR="002142C1">
        <w:t>o</w:t>
      </w:r>
      <w:r>
        <w:t xml:space="preserve">ne </w:t>
      </w:r>
      <w:r w:rsidR="00A84C49">
        <w:t xml:space="preserve">participating </w:t>
      </w:r>
      <w:r>
        <w:t>child in each household will be selected at random.</w:t>
      </w:r>
    </w:p>
    <w:p w:rsidR="008A0016" w:rsidRDefault="008A0016" w:rsidP="0058731A">
      <w:pPr>
        <w:autoSpaceDE w:val="0"/>
        <w:autoSpaceDN w:val="0"/>
        <w:adjustRightInd w:val="0"/>
        <w:spacing w:after="0" w:line="240" w:lineRule="auto"/>
      </w:pPr>
      <w:bookmarkStart w:id="8" w:name="_Toc278872061"/>
      <w:r>
        <w:t xml:space="preserve">For both the exposed and unexposed samples, a main and reserve sample will be created. All sampling and subsampling for the main and reserve samples will be random so the probabilities of selection are known.  A list of households will be drawn from the main sample and provided to the field staff.  In the event we find  a greater number of ineligible or refusal households on that list than anticipated, we will provide more addresses from the main sample; if that turns out to be insufficient, we will release addresses from the reserve sample. </w:t>
      </w:r>
    </w:p>
    <w:p w:rsidR="005A1C98" w:rsidRDefault="005A1C98" w:rsidP="00E41F54">
      <w:pPr>
        <w:pStyle w:val="Heading3"/>
        <w:spacing w:before="120" w:after="120" w:line="240" w:lineRule="auto"/>
        <w:rPr>
          <w:rFonts w:asciiTheme="minorBidi" w:hAnsiTheme="minorBidi" w:cstheme="minorBidi"/>
          <w:sz w:val="22"/>
          <w:szCs w:val="22"/>
        </w:rPr>
      </w:pPr>
      <w:r w:rsidRPr="00C07872">
        <w:rPr>
          <w:rFonts w:asciiTheme="minorBidi" w:hAnsiTheme="minorBidi" w:cstheme="minorBidi"/>
          <w:sz w:val="22"/>
          <w:szCs w:val="22"/>
        </w:rPr>
        <w:t xml:space="preserve">Estimation </w:t>
      </w:r>
      <w:r w:rsidR="00BC706F">
        <w:rPr>
          <w:rFonts w:asciiTheme="minorBidi" w:hAnsiTheme="minorBidi" w:cstheme="minorBidi"/>
          <w:sz w:val="22"/>
          <w:szCs w:val="22"/>
        </w:rPr>
        <w:t>P</w:t>
      </w:r>
      <w:r w:rsidRPr="00C07872">
        <w:rPr>
          <w:rFonts w:asciiTheme="minorBidi" w:hAnsiTheme="minorBidi" w:cstheme="minorBidi"/>
          <w:sz w:val="22"/>
          <w:szCs w:val="22"/>
        </w:rPr>
        <w:t>rocedure</w:t>
      </w:r>
      <w:bookmarkEnd w:id="8"/>
    </w:p>
    <w:p w:rsidR="00EA63FE" w:rsidRDefault="005E6EAB" w:rsidP="0072336D">
      <w:pPr>
        <w:spacing w:after="0" w:line="240" w:lineRule="auto"/>
      </w:pPr>
      <w:r>
        <w:t xml:space="preserve">An objective of the Feasibility Study will be to test the weighting procedure and </w:t>
      </w:r>
      <w:r w:rsidR="00F178AB">
        <w:t xml:space="preserve">to </w:t>
      </w:r>
      <w:r>
        <w:t>identify the extent of outlier weights</w:t>
      </w:r>
      <w:r w:rsidR="00E80BB5">
        <w:t>, as part of the study’s</w:t>
      </w:r>
      <w:r>
        <w:t xml:space="preserve"> operational testing</w:t>
      </w:r>
      <w:r w:rsidR="00F178AB">
        <w:t>,</w:t>
      </w:r>
      <w:r w:rsidR="00E80BB5">
        <w:t xml:space="preserve"> </w:t>
      </w:r>
      <w:r>
        <w:t xml:space="preserve">to assist in the design of the Full Study. </w:t>
      </w:r>
      <w:r w:rsidR="00E80BB5">
        <w:t>To do so, w</w:t>
      </w:r>
      <w:r w:rsidR="00EA63FE">
        <w:t>eight</w:t>
      </w:r>
      <w:r w:rsidR="004B4FD0">
        <w:t>s</w:t>
      </w:r>
      <w:r w:rsidR="007752AA">
        <w:t xml:space="preserve"> </w:t>
      </w:r>
      <w:r w:rsidR="00611601">
        <w:t xml:space="preserve">will be calculated </w:t>
      </w:r>
      <w:r w:rsidR="007752AA">
        <w:t>to adjust for unequal probabilities of selection</w:t>
      </w:r>
      <w:r w:rsidR="008F40B4">
        <w:t>.  Calculation of the final weight</w:t>
      </w:r>
      <w:r w:rsidR="00EA63FE">
        <w:t xml:space="preserve"> consists of three </w:t>
      </w:r>
      <w:r w:rsidR="008F40B4">
        <w:t>component weights</w:t>
      </w:r>
      <w:r w:rsidR="00EA63FE">
        <w:t xml:space="preserve">: </w:t>
      </w:r>
      <w:r w:rsidR="000238C4">
        <w:t>(</w:t>
      </w:r>
      <w:r w:rsidR="00F36DB2">
        <w:t xml:space="preserve">1) </w:t>
      </w:r>
      <w:r w:rsidR="00EA63FE">
        <w:t xml:space="preserve">base weight to adjust for unequal probabilities of selection, both by design and unintentional; </w:t>
      </w:r>
      <w:r w:rsidR="000238C4">
        <w:t>(</w:t>
      </w:r>
      <w:r w:rsidR="00F36DB2">
        <w:t xml:space="preserve">2) </w:t>
      </w:r>
      <w:r w:rsidR="00EA63FE">
        <w:t xml:space="preserve">nonresponse adjustment to account for variable nonresponse; and </w:t>
      </w:r>
      <w:r w:rsidR="000238C4">
        <w:t>(</w:t>
      </w:r>
      <w:r w:rsidR="00F36DB2">
        <w:t xml:space="preserve">3) </w:t>
      </w:r>
      <w:r w:rsidR="00EA63FE">
        <w:t>post</w:t>
      </w:r>
      <w:r w:rsidR="00BC706F">
        <w:t>-</w:t>
      </w:r>
      <w:r w:rsidR="00EA63FE">
        <w:t>stratification to calibrate the sample distributions to known population distributions. The final weight will be the product of the three component weights.</w:t>
      </w:r>
      <w:r w:rsidR="007752AA">
        <w:t xml:space="preserve">  </w:t>
      </w:r>
      <w:r w:rsidR="00611601">
        <w:t>If the Full Study is exercised, t</w:t>
      </w:r>
      <w:r w:rsidR="007752AA">
        <w:t>hese weights can be used to estimate population proportions and means where the population of interest is the</w:t>
      </w:r>
      <w:r w:rsidR="008F08B2">
        <w:t xml:space="preserve"> sampling</w:t>
      </w:r>
      <w:r w:rsidR="007752AA">
        <w:t xml:space="preserve"> frame</w:t>
      </w:r>
      <w:r w:rsidR="008F08B2">
        <w:t>.</w:t>
      </w:r>
      <w:r w:rsidR="00E35D9C">
        <w:t xml:space="preserve"> </w:t>
      </w:r>
      <w:r w:rsidR="00FD6360">
        <w:t xml:space="preserve"> </w:t>
      </w:r>
      <w:r>
        <w:t xml:space="preserve">The second weight adjustment component mentioned above will provide information about nonresponse bias, that is, the extent to which our sample distributions differ from known population distributions. </w:t>
      </w:r>
      <w:r w:rsidR="00E80BB5">
        <w:t>The information will help</w:t>
      </w:r>
      <w:r>
        <w:t xml:space="preserve"> inform </w:t>
      </w:r>
      <w:r w:rsidR="0072336D">
        <w:t xml:space="preserve">future efforts, </w:t>
      </w:r>
      <w:r>
        <w:t>nonresponse bias reduction</w:t>
      </w:r>
      <w:r w:rsidR="0072336D">
        <w:t>, and</w:t>
      </w:r>
      <w:r>
        <w:t xml:space="preserve"> effective adjustment procedures.</w:t>
      </w:r>
    </w:p>
    <w:p w:rsidR="005A1C98" w:rsidRPr="002E76DB" w:rsidRDefault="005A1C98" w:rsidP="00E41F54">
      <w:pPr>
        <w:pStyle w:val="Heading3"/>
        <w:spacing w:before="120" w:after="120" w:line="240" w:lineRule="auto"/>
        <w:rPr>
          <w:rFonts w:asciiTheme="minorBidi" w:hAnsiTheme="minorBidi" w:cstheme="minorBidi"/>
          <w:sz w:val="22"/>
          <w:szCs w:val="22"/>
        </w:rPr>
      </w:pPr>
      <w:bookmarkStart w:id="9" w:name="_Toc278872062"/>
      <w:r w:rsidRPr="00C07872">
        <w:rPr>
          <w:rFonts w:asciiTheme="minorBidi" w:hAnsiTheme="minorBidi" w:cstheme="minorBidi"/>
          <w:sz w:val="22"/>
          <w:szCs w:val="22"/>
        </w:rPr>
        <w:t>Degree of Accuracy Needed for the Purpose Described in the Justification</w:t>
      </w:r>
      <w:bookmarkEnd w:id="9"/>
    </w:p>
    <w:p w:rsidR="008A0016" w:rsidRDefault="008A0016" w:rsidP="002E76DB">
      <w:pPr>
        <w:spacing w:after="120" w:line="240" w:lineRule="auto"/>
      </w:pPr>
      <w:r>
        <w:t xml:space="preserve">The data generated from the Feasibility Study will be used primarily to assess operational issues.  Due to the complexity of the proposed Full Study, a large array of study processes need to be assessed during the Feasibility Study to ensure that unbiased and high quality data are collected during the Full Study.  In addition, the results of the Feasibility Study will be used to assist in streamlining the field assessments in the Full Study so the burden to the participant and cost to the government, which would include more than 3,000 participants with seven visits each, are minimized.  </w:t>
      </w:r>
    </w:p>
    <w:p w:rsidR="008A0016" w:rsidRDefault="008A0016" w:rsidP="002E76DB">
      <w:pPr>
        <w:spacing w:after="120" w:line="240" w:lineRule="auto"/>
      </w:pPr>
      <w:r>
        <w:t xml:space="preserve">Analyses will be conducted to address the following broad areas: locating, enrolling, and retaining study participants; locating medical records; evaluating the ranges and effectiveness of biomarkers to assess exposures (described in </w:t>
      </w:r>
      <w:r w:rsidR="002E76DB">
        <w:t xml:space="preserve">Section </w:t>
      </w:r>
      <w:r>
        <w:t xml:space="preserve">A.1 and </w:t>
      </w:r>
      <w:r w:rsidRPr="002E76DB">
        <w:rPr>
          <w:b/>
          <w:bCs/>
          <w:i/>
          <w:iCs/>
        </w:rPr>
        <w:t>Exhibit 2</w:t>
      </w:r>
      <w:r>
        <w:t xml:space="preserve">); and assessing nonparticipation bias, information bias in the self-reported </w:t>
      </w:r>
      <w:r w:rsidR="000E120A">
        <w:t>Health Assessment</w:t>
      </w:r>
      <w:r>
        <w:t xml:space="preserve">s, and the quality of data.  These analyses will take into account a number of participant and residential characteristics that may affect various operational issues.  These characteristics include: exposure status, language spoken by the participant, age of child, current residential ownership status, awareness of prior reports and litigation of health concerns, and specialty of medical provider.  </w:t>
      </w:r>
      <w:r>
        <w:rPr>
          <w:b/>
          <w:bCs/>
          <w:i/>
          <w:iCs/>
        </w:rPr>
        <w:t>Exhibit 9</w:t>
      </w:r>
      <w:r>
        <w:t xml:space="preserve"> provides examples of the types of analyses that will be performed using the Feasibility Study data and estimates of the sample sizes that will be available for analyses, given a baseline sample size of 500 participants.</w:t>
      </w:r>
      <w:r w:rsidR="00E35D9C">
        <w:t xml:space="preserve"> </w:t>
      </w:r>
      <w:r>
        <w:t xml:space="preserve"> </w:t>
      </w:r>
    </w:p>
    <w:p w:rsidR="008A0016" w:rsidRDefault="008A0016" w:rsidP="002E76DB">
      <w:pPr>
        <w:spacing w:after="120" w:line="240" w:lineRule="auto"/>
      </w:pPr>
      <w:r>
        <w:lastRenderedPageBreak/>
        <w:t xml:space="preserve">The study size at </w:t>
      </w:r>
      <w:r w:rsidR="002E76DB">
        <w:t>Baseline</w:t>
      </w:r>
      <w:r>
        <w:t xml:space="preserve"> was chosen so reasonably precise estimates of the variables of interest could be made for analyses of subgroups shown in </w:t>
      </w:r>
      <w:r>
        <w:rPr>
          <w:b/>
          <w:bCs/>
          <w:i/>
          <w:iCs/>
        </w:rPr>
        <w:t>Exhibit 9</w:t>
      </w:r>
      <w:r>
        <w:t>, even when we are faced</w:t>
      </w:r>
      <w:r>
        <w:rPr>
          <w:b/>
          <w:bCs/>
          <w:i/>
          <w:iCs/>
        </w:rPr>
        <w:t xml:space="preserve"> </w:t>
      </w:r>
      <w:r>
        <w:t xml:space="preserve">with small sample sizes.  For example, to address the objective to locate medical records it is estimated that—among children with reported adverse health outcomes (estimated to be 15% of 500 or n=75)—a 25% medical record abstraction rate would have a confidence interval of 19–33%. </w:t>
      </w:r>
    </w:p>
    <w:p w:rsidR="006D68F6" w:rsidRPr="00870B85" w:rsidRDefault="006D68F6" w:rsidP="0058731A">
      <w:pPr>
        <w:spacing w:before="240" w:after="120" w:line="240" w:lineRule="auto"/>
        <w:rPr>
          <w:b/>
          <w:bCs/>
        </w:rPr>
      </w:pPr>
      <w:proofErr w:type="gramStart"/>
      <w:r>
        <w:rPr>
          <w:b/>
          <w:bCs/>
        </w:rPr>
        <w:t xml:space="preserve">Exhibit </w:t>
      </w:r>
      <w:r w:rsidR="00034C75">
        <w:rPr>
          <w:b/>
          <w:bCs/>
        </w:rPr>
        <w:t>9</w:t>
      </w:r>
      <w:r w:rsidR="00E96298">
        <w:rPr>
          <w:b/>
          <w:bCs/>
        </w:rPr>
        <w:t>.</w:t>
      </w:r>
      <w:proofErr w:type="gramEnd"/>
      <w:r w:rsidR="00E96298">
        <w:rPr>
          <w:b/>
          <w:bCs/>
        </w:rPr>
        <w:tab/>
      </w:r>
      <w:r>
        <w:rPr>
          <w:b/>
          <w:bCs/>
        </w:rPr>
        <w:t>Examples of Feasibility Study Analyses to Assess Operational Issues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2524"/>
        <w:gridCol w:w="2018"/>
        <w:gridCol w:w="2681"/>
      </w:tblGrid>
      <w:tr w:rsidR="00DE6B9A" w:rsidRPr="00D6722B" w:rsidTr="000E120A">
        <w:trPr>
          <w:cantSplit/>
          <w:tblHeader/>
        </w:trPr>
        <w:tc>
          <w:tcPr>
            <w:tcW w:w="2145" w:type="dxa"/>
            <w:shd w:val="pct12" w:color="auto" w:fill="auto"/>
            <w:tcMar>
              <w:left w:w="58" w:type="dxa"/>
              <w:right w:w="58" w:type="dxa"/>
            </w:tcMar>
            <w:vAlign w:val="center"/>
          </w:tcPr>
          <w:p w:rsidR="00DE6B9A" w:rsidRPr="0058731A" w:rsidRDefault="00DE6B9A" w:rsidP="0058731A">
            <w:pPr>
              <w:spacing w:after="0" w:line="240" w:lineRule="auto"/>
              <w:jc w:val="center"/>
              <w:rPr>
                <w:b/>
                <w:bCs/>
              </w:rPr>
            </w:pPr>
            <w:r w:rsidRPr="0058731A">
              <w:rPr>
                <w:b/>
                <w:bCs/>
              </w:rPr>
              <w:t>Operational Issue</w:t>
            </w:r>
          </w:p>
        </w:tc>
        <w:tc>
          <w:tcPr>
            <w:tcW w:w="2524" w:type="dxa"/>
            <w:shd w:val="pct12" w:color="auto" w:fill="auto"/>
            <w:tcMar>
              <w:left w:w="58" w:type="dxa"/>
              <w:right w:w="58" w:type="dxa"/>
            </w:tcMar>
            <w:vAlign w:val="center"/>
          </w:tcPr>
          <w:p w:rsidR="0058731A" w:rsidRDefault="00DE6B9A" w:rsidP="0058731A">
            <w:pPr>
              <w:spacing w:after="0" w:line="240" w:lineRule="auto"/>
              <w:jc w:val="center"/>
              <w:rPr>
                <w:b/>
                <w:bCs/>
              </w:rPr>
            </w:pPr>
            <w:r w:rsidRPr="0058731A">
              <w:rPr>
                <w:b/>
                <w:bCs/>
              </w:rPr>
              <w:t>Variable of Interest</w:t>
            </w:r>
          </w:p>
          <w:p w:rsidR="00DE6B9A" w:rsidRPr="0058731A" w:rsidRDefault="00DE6B9A" w:rsidP="0058731A">
            <w:pPr>
              <w:spacing w:after="0" w:line="240" w:lineRule="auto"/>
              <w:jc w:val="center"/>
              <w:rPr>
                <w:b/>
                <w:bCs/>
              </w:rPr>
            </w:pPr>
            <w:r w:rsidRPr="0058731A">
              <w:rPr>
                <w:b/>
                <w:bCs/>
              </w:rPr>
              <w:t>(Data Source)</w:t>
            </w:r>
          </w:p>
        </w:tc>
        <w:tc>
          <w:tcPr>
            <w:tcW w:w="2018" w:type="dxa"/>
            <w:shd w:val="pct12" w:color="auto" w:fill="auto"/>
            <w:tcMar>
              <w:left w:w="58" w:type="dxa"/>
              <w:right w:w="58" w:type="dxa"/>
            </w:tcMar>
            <w:vAlign w:val="center"/>
          </w:tcPr>
          <w:p w:rsidR="00DE6B9A" w:rsidRPr="0058731A" w:rsidRDefault="00DE6B9A" w:rsidP="0058731A">
            <w:pPr>
              <w:spacing w:after="0" w:line="240" w:lineRule="auto"/>
              <w:jc w:val="center"/>
              <w:rPr>
                <w:b/>
                <w:bCs/>
              </w:rPr>
            </w:pPr>
            <w:r w:rsidRPr="0058731A">
              <w:rPr>
                <w:b/>
                <w:bCs/>
              </w:rPr>
              <w:t>Analytic Process</w:t>
            </w:r>
          </w:p>
        </w:tc>
        <w:tc>
          <w:tcPr>
            <w:tcW w:w="2681" w:type="dxa"/>
            <w:shd w:val="pct12" w:color="auto" w:fill="auto"/>
            <w:tcMar>
              <w:left w:w="58" w:type="dxa"/>
              <w:right w:w="58" w:type="dxa"/>
            </w:tcMar>
            <w:vAlign w:val="center"/>
          </w:tcPr>
          <w:p w:rsidR="0058731A" w:rsidRDefault="0058731A" w:rsidP="0058731A">
            <w:pPr>
              <w:spacing w:after="0" w:line="240" w:lineRule="auto"/>
              <w:jc w:val="center"/>
              <w:rPr>
                <w:b/>
                <w:bCs/>
              </w:rPr>
            </w:pPr>
            <w:r>
              <w:rPr>
                <w:b/>
                <w:bCs/>
              </w:rPr>
              <w:t>Group (Estimated</w:t>
            </w:r>
          </w:p>
          <w:p w:rsidR="00DE6B9A" w:rsidRPr="0058731A" w:rsidRDefault="00DE6B9A" w:rsidP="0058731A">
            <w:pPr>
              <w:spacing w:after="0" w:line="240" w:lineRule="auto"/>
              <w:jc w:val="center"/>
              <w:rPr>
                <w:b/>
                <w:bCs/>
              </w:rPr>
            </w:pPr>
            <w:r w:rsidRPr="0058731A">
              <w:rPr>
                <w:b/>
                <w:bCs/>
              </w:rPr>
              <w:t>Sample Size)</w:t>
            </w:r>
          </w:p>
        </w:tc>
      </w:tr>
      <w:tr w:rsidR="00DE6B9A" w:rsidRPr="00D6722B" w:rsidTr="000E120A">
        <w:trPr>
          <w:cantSplit/>
        </w:trPr>
        <w:tc>
          <w:tcPr>
            <w:tcW w:w="9368" w:type="dxa"/>
            <w:gridSpan w:val="4"/>
            <w:tcMar>
              <w:left w:w="58" w:type="dxa"/>
              <w:right w:w="58" w:type="dxa"/>
            </w:tcMar>
          </w:tcPr>
          <w:p w:rsidR="00DE6B9A" w:rsidRPr="00345114" w:rsidRDefault="00DE6B9A" w:rsidP="00E41F54">
            <w:pPr>
              <w:spacing w:after="60" w:line="240" w:lineRule="auto"/>
              <w:rPr>
                <w:i/>
              </w:rPr>
            </w:pPr>
            <w:r w:rsidRPr="00345114">
              <w:rPr>
                <w:i/>
              </w:rPr>
              <w:t>Locating, Enrolling, and Retaining Study Participants</w:t>
            </w:r>
          </w:p>
        </w:tc>
      </w:tr>
      <w:tr w:rsidR="00DE6B9A" w:rsidRPr="00D6722B" w:rsidTr="00DA6688">
        <w:trPr>
          <w:cantSplit/>
        </w:trPr>
        <w:tc>
          <w:tcPr>
            <w:tcW w:w="2145" w:type="dxa"/>
            <w:tcMar>
              <w:left w:w="58" w:type="dxa"/>
              <w:right w:w="58" w:type="dxa"/>
            </w:tcMar>
          </w:tcPr>
          <w:p w:rsidR="00DE6B9A" w:rsidRPr="00D6722B" w:rsidRDefault="00DE6B9A" w:rsidP="00E41F54">
            <w:pPr>
              <w:spacing w:after="60" w:line="240" w:lineRule="auto"/>
            </w:pPr>
            <w:r w:rsidRPr="00D6722B">
              <w:t>Efficacy of tracing approach</w:t>
            </w:r>
            <w:r>
              <w:t xml:space="preserve"> (exposed sample)</w:t>
            </w:r>
          </w:p>
        </w:tc>
        <w:tc>
          <w:tcPr>
            <w:tcW w:w="2524" w:type="dxa"/>
            <w:tcMar>
              <w:left w:w="58" w:type="dxa"/>
              <w:right w:w="58" w:type="dxa"/>
            </w:tcMar>
          </w:tcPr>
          <w:p w:rsidR="00DE6B9A" w:rsidRPr="00D6722B" w:rsidRDefault="00DE6B9A" w:rsidP="00E41F54">
            <w:pPr>
              <w:spacing w:after="60" w:line="240" w:lineRule="auto"/>
            </w:pPr>
            <w:r w:rsidRPr="00D6722B">
              <w:t>Locate Rate</w:t>
            </w:r>
            <w:r>
              <w:t xml:space="preserve"> (Batch, Interactive and Field Tracing using electronic database searches, e.g., Acxiom, Internet white and yellow pages)</w:t>
            </w:r>
          </w:p>
        </w:tc>
        <w:tc>
          <w:tcPr>
            <w:tcW w:w="2018" w:type="dxa"/>
            <w:tcMar>
              <w:left w:w="58" w:type="dxa"/>
              <w:right w:w="58" w:type="dxa"/>
            </w:tcMar>
          </w:tcPr>
          <w:p w:rsidR="00DE6B9A" w:rsidRPr="00D6722B" w:rsidRDefault="00DE6B9A" w:rsidP="00E41F54">
            <w:pPr>
              <w:spacing w:after="60" w:line="240" w:lineRule="auto"/>
            </w:pPr>
            <w:r w:rsidRPr="00D6722B">
              <w:t xml:space="preserve">Estimate rates for different </w:t>
            </w:r>
            <w:r>
              <w:t xml:space="preserve">tracing </w:t>
            </w:r>
            <w:r w:rsidRPr="00D6722B">
              <w:t>approaches</w:t>
            </w:r>
          </w:p>
        </w:tc>
        <w:tc>
          <w:tcPr>
            <w:tcW w:w="2681" w:type="dxa"/>
            <w:tcMar>
              <w:left w:w="58" w:type="dxa"/>
              <w:right w:w="58" w:type="dxa"/>
            </w:tcMar>
          </w:tcPr>
          <w:p w:rsidR="00DE6B9A" w:rsidRDefault="00DE6B9A" w:rsidP="00E41F54">
            <w:pPr>
              <w:spacing w:after="60" w:line="240" w:lineRule="auto"/>
            </w:pPr>
            <w:r>
              <w:t xml:space="preserve">All (1813*); </w:t>
            </w:r>
          </w:p>
          <w:p w:rsidR="00DE6B9A" w:rsidRDefault="00DE6B9A" w:rsidP="00E41F54">
            <w:pPr>
              <w:spacing w:after="60" w:line="240" w:lineRule="auto"/>
            </w:pPr>
            <w:r>
              <w:t>Private trailer site (875); Group trailer site (938); LA (1179); MS (634)</w:t>
            </w:r>
          </w:p>
          <w:p w:rsidR="00DE6B9A" w:rsidRPr="00D6722B" w:rsidRDefault="00DE6B9A" w:rsidP="00E41F54">
            <w:pPr>
              <w:spacing w:after="60" w:line="240" w:lineRule="auto"/>
            </w:pPr>
            <w:r w:rsidRPr="00804940">
              <w:rPr>
                <w:sz w:val="18"/>
                <w:szCs w:val="18"/>
              </w:rPr>
              <w:t>*We expect to  trace 875+938=181</w:t>
            </w:r>
            <w:r>
              <w:rPr>
                <w:sz w:val="18"/>
                <w:szCs w:val="18"/>
              </w:rPr>
              <w:t>3</w:t>
            </w:r>
            <w:r w:rsidRPr="00804940">
              <w:rPr>
                <w:sz w:val="18"/>
                <w:szCs w:val="18"/>
              </w:rPr>
              <w:t xml:space="preserve"> exposed households (</w:t>
            </w:r>
            <w:r w:rsidRPr="002E76DB">
              <w:rPr>
                <w:b/>
                <w:bCs/>
                <w:i/>
                <w:iCs/>
                <w:sz w:val="18"/>
                <w:szCs w:val="18"/>
              </w:rPr>
              <w:t>Exhibit 8</w:t>
            </w:r>
            <w:r w:rsidRPr="00804940">
              <w:rPr>
                <w:sz w:val="18"/>
                <w:szCs w:val="18"/>
              </w:rPr>
              <w:t>)</w:t>
            </w:r>
          </w:p>
        </w:tc>
      </w:tr>
      <w:tr w:rsidR="00DE6B9A" w:rsidRPr="00D6722B" w:rsidTr="00DA6688">
        <w:trPr>
          <w:cantSplit/>
        </w:trPr>
        <w:tc>
          <w:tcPr>
            <w:tcW w:w="2145" w:type="dxa"/>
            <w:tcMar>
              <w:left w:w="58" w:type="dxa"/>
              <w:right w:w="58" w:type="dxa"/>
            </w:tcMar>
          </w:tcPr>
          <w:p w:rsidR="00DE6B9A" w:rsidRPr="00D6722B" w:rsidRDefault="00DE6B9A" w:rsidP="00E41F54">
            <w:pPr>
              <w:spacing w:after="60" w:line="240" w:lineRule="auto"/>
            </w:pPr>
            <w:r w:rsidRPr="00D6722B">
              <w:t>Effectiveness of outreach campaigns</w:t>
            </w:r>
          </w:p>
        </w:tc>
        <w:tc>
          <w:tcPr>
            <w:tcW w:w="2524" w:type="dxa"/>
            <w:tcMar>
              <w:left w:w="58" w:type="dxa"/>
              <w:right w:w="58" w:type="dxa"/>
            </w:tcMar>
          </w:tcPr>
          <w:p w:rsidR="00DE6B9A" w:rsidRPr="00D6722B" w:rsidRDefault="00DE6B9A" w:rsidP="00E41F54">
            <w:pPr>
              <w:spacing w:after="60" w:line="240" w:lineRule="auto"/>
            </w:pPr>
            <w:r w:rsidRPr="00D6722B">
              <w:t>Percent aware of study</w:t>
            </w:r>
            <w:r>
              <w:t xml:space="preserve"> (Question regarding awareness of study in Eligibility Screener) </w:t>
            </w:r>
          </w:p>
        </w:tc>
        <w:tc>
          <w:tcPr>
            <w:tcW w:w="2018" w:type="dxa"/>
            <w:tcMar>
              <w:left w:w="58" w:type="dxa"/>
              <w:right w:w="58" w:type="dxa"/>
            </w:tcMar>
          </w:tcPr>
          <w:p w:rsidR="00DE6B9A" w:rsidRPr="00D6722B" w:rsidRDefault="00DE6B9A" w:rsidP="00E41F54">
            <w:pPr>
              <w:spacing w:after="60" w:line="240" w:lineRule="auto"/>
            </w:pPr>
            <w:r w:rsidRPr="00D6722B">
              <w:t>Estimate perc</w:t>
            </w:r>
            <w:r>
              <w:t>entage by subgroup</w:t>
            </w:r>
          </w:p>
        </w:tc>
        <w:tc>
          <w:tcPr>
            <w:tcW w:w="2681" w:type="dxa"/>
            <w:tcMar>
              <w:left w:w="58" w:type="dxa"/>
              <w:right w:w="58" w:type="dxa"/>
            </w:tcMar>
          </w:tcPr>
          <w:p w:rsidR="00DE6B9A" w:rsidRDefault="00DE6B9A" w:rsidP="00E41F54">
            <w:pPr>
              <w:spacing w:after="60" w:line="240" w:lineRule="auto"/>
            </w:pPr>
            <w:r>
              <w:t>Urban (400*);</w:t>
            </w:r>
            <w:r w:rsidRPr="00D6722B">
              <w:t xml:space="preserve"> Rural (</w:t>
            </w:r>
            <w:r>
              <w:t>100*);</w:t>
            </w:r>
            <w:r w:rsidRPr="00D6722B">
              <w:t xml:space="preserve"> </w:t>
            </w:r>
            <w:r>
              <w:t>Hispanic (70);</w:t>
            </w:r>
            <w:r w:rsidRPr="00D6722B">
              <w:t xml:space="preserve"> Vietnamese (</w:t>
            </w:r>
            <w:r>
              <w:t>15</w:t>
            </w:r>
            <w:r w:rsidRPr="00D6722B">
              <w:t>)</w:t>
            </w:r>
            <w:r>
              <w:t>; Foreign-language speakers (50);</w:t>
            </w:r>
            <w:r w:rsidRPr="00D6722B">
              <w:t xml:space="preserve"> LA (</w:t>
            </w:r>
            <w:r>
              <w:t>320);</w:t>
            </w:r>
            <w:r w:rsidRPr="00D6722B">
              <w:t xml:space="preserve"> MS</w:t>
            </w:r>
            <w:r>
              <w:t xml:space="preserve"> </w:t>
            </w:r>
            <w:r w:rsidRPr="00D6722B">
              <w:t>(</w:t>
            </w:r>
            <w:r>
              <w:t>180</w:t>
            </w:r>
            <w:r w:rsidRPr="00D6722B">
              <w:t>)</w:t>
            </w:r>
            <w:r>
              <w:t>; Refusals (125)</w:t>
            </w:r>
          </w:p>
          <w:p w:rsidR="00DE6B9A" w:rsidRPr="00804940" w:rsidRDefault="00DE6B9A" w:rsidP="00E41F54">
            <w:pPr>
              <w:spacing w:after="60" w:line="240" w:lineRule="auto"/>
              <w:rPr>
                <w:sz w:val="18"/>
                <w:szCs w:val="18"/>
              </w:rPr>
            </w:pPr>
            <w:r w:rsidRPr="00804940">
              <w:rPr>
                <w:sz w:val="18"/>
                <w:szCs w:val="18"/>
              </w:rPr>
              <w:t>*</w:t>
            </w:r>
            <w:r>
              <w:rPr>
                <w:sz w:val="18"/>
                <w:szCs w:val="18"/>
              </w:rPr>
              <w:t>This question will be asked to the 500 participants who agree to participate in the Feasibility Study</w:t>
            </w:r>
          </w:p>
        </w:tc>
      </w:tr>
      <w:tr w:rsidR="00DE6B9A" w:rsidRPr="00D6722B" w:rsidTr="00DA6688">
        <w:trPr>
          <w:cantSplit/>
        </w:trPr>
        <w:tc>
          <w:tcPr>
            <w:tcW w:w="2145" w:type="dxa"/>
            <w:tcMar>
              <w:left w:w="58" w:type="dxa"/>
              <w:right w:w="58" w:type="dxa"/>
            </w:tcMar>
          </w:tcPr>
          <w:p w:rsidR="00DE6B9A" w:rsidRDefault="00DE6B9A" w:rsidP="00E41F54">
            <w:pPr>
              <w:spacing w:after="60" w:line="240" w:lineRule="auto"/>
            </w:pPr>
            <w:r>
              <w:t>Enrollment</w:t>
            </w:r>
          </w:p>
        </w:tc>
        <w:tc>
          <w:tcPr>
            <w:tcW w:w="2524" w:type="dxa"/>
            <w:tcMar>
              <w:left w:w="58" w:type="dxa"/>
              <w:right w:w="58" w:type="dxa"/>
            </w:tcMar>
          </w:tcPr>
          <w:p w:rsidR="00DE6B9A" w:rsidRDefault="00DE6B9A" w:rsidP="00E41F54">
            <w:pPr>
              <w:spacing w:after="60" w:line="240" w:lineRule="auto"/>
            </w:pPr>
            <w:r>
              <w:t>Percent enrolled in Baseline Session 1</w:t>
            </w:r>
          </w:p>
        </w:tc>
        <w:tc>
          <w:tcPr>
            <w:tcW w:w="2018" w:type="dxa"/>
            <w:tcMar>
              <w:left w:w="58" w:type="dxa"/>
              <w:right w:w="58" w:type="dxa"/>
            </w:tcMar>
          </w:tcPr>
          <w:p w:rsidR="00DE6B9A" w:rsidRDefault="00DE6B9A" w:rsidP="00E41F54">
            <w:pPr>
              <w:spacing w:after="60" w:line="240" w:lineRule="auto"/>
            </w:pPr>
            <w:r>
              <w:t>Estimate percentage by subgroup</w:t>
            </w:r>
          </w:p>
        </w:tc>
        <w:tc>
          <w:tcPr>
            <w:tcW w:w="2681" w:type="dxa"/>
            <w:tcMar>
              <w:left w:w="58" w:type="dxa"/>
              <w:right w:w="58" w:type="dxa"/>
            </w:tcMar>
          </w:tcPr>
          <w:p w:rsidR="00DE6B9A" w:rsidRDefault="00DE6B9A" w:rsidP="00E41F54">
            <w:pPr>
              <w:spacing w:after="60" w:line="240" w:lineRule="auto"/>
            </w:pPr>
            <w:r>
              <w:t>All (500); Hispanic (70</w:t>
            </w:r>
            <w:r w:rsidR="00C529F9">
              <w:t>*</w:t>
            </w:r>
            <w:r>
              <w:t>); Vietnamese (15</w:t>
            </w:r>
            <w:r w:rsidR="00C529F9">
              <w:t>*</w:t>
            </w:r>
            <w:r>
              <w:t>); Foreign-language speakers (50</w:t>
            </w:r>
            <w:r w:rsidR="00C529F9">
              <w:t>*</w:t>
            </w:r>
            <w:r>
              <w:t>); LA (320</w:t>
            </w:r>
            <w:r w:rsidR="00C529F9">
              <w:t>*</w:t>
            </w:r>
            <w:r>
              <w:t>); MS (180</w:t>
            </w:r>
            <w:r w:rsidR="00C529F9">
              <w:t>*</w:t>
            </w:r>
            <w:r>
              <w:t>); Property owner (200</w:t>
            </w:r>
            <w:r w:rsidR="00C529F9">
              <w:t>*</w:t>
            </w:r>
            <w:r>
              <w:t>); Renter (300</w:t>
            </w:r>
            <w:r w:rsidR="00C529F9">
              <w:t>*</w:t>
            </w:r>
            <w:r>
              <w:t>)</w:t>
            </w:r>
          </w:p>
          <w:p w:rsidR="00C529F9" w:rsidRPr="00C529F9" w:rsidRDefault="00C529F9" w:rsidP="00E41F54">
            <w:pPr>
              <w:spacing w:after="60" w:line="240" w:lineRule="auto"/>
              <w:rPr>
                <w:sz w:val="18"/>
                <w:szCs w:val="18"/>
              </w:rPr>
            </w:pPr>
            <w:r w:rsidRPr="00C529F9">
              <w:rPr>
                <w:sz w:val="18"/>
                <w:szCs w:val="18"/>
              </w:rPr>
              <w:t>*</w:t>
            </w:r>
            <w:r w:rsidR="00722D38">
              <w:rPr>
                <w:sz w:val="18"/>
                <w:szCs w:val="18"/>
              </w:rPr>
              <w:t>Estimates are b</w:t>
            </w:r>
            <w:r w:rsidRPr="00C529F9">
              <w:rPr>
                <w:sz w:val="18"/>
                <w:szCs w:val="18"/>
              </w:rPr>
              <w:t>ased on distribution found in master FEMA data</w:t>
            </w:r>
            <w:r>
              <w:rPr>
                <w:sz w:val="18"/>
                <w:szCs w:val="18"/>
              </w:rPr>
              <w:t xml:space="preserve"> </w:t>
            </w:r>
            <w:r w:rsidRPr="00C529F9">
              <w:rPr>
                <w:sz w:val="18"/>
                <w:szCs w:val="18"/>
              </w:rPr>
              <w:t>file.</w:t>
            </w:r>
          </w:p>
        </w:tc>
      </w:tr>
      <w:tr w:rsidR="00DE6B9A" w:rsidRPr="00D6722B" w:rsidTr="00DA6688">
        <w:trPr>
          <w:cantSplit/>
        </w:trPr>
        <w:tc>
          <w:tcPr>
            <w:tcW w:w="2145" w:type="dxa"/>
            <w:tcMar>
              <w:left w:w="58" w:type="dxa"/>
              <w:right w:w="58" w:type="dxa"/>
            </w:tcMar>
          </w:tcPr>
          <w:p w:rsidR="00DE6B9A" w:rsidRDefault="00DE6B9A" w:rsidP="00E41F54">
            <w:pPr>
              <w:spacing w:after="60" w:line="240" w:lineRule="auto"/>
            </w:pPr>
            <w:r>
              <w:t>Participation at 6 months</w:t>
            </w:r>
          </w:p>
        </w:tc>
        <w:tc>
          <w:tcPr>
            <w:tcW w:w="2524" w:type="dxa"/>
            <w:tcMar>
              <w:left w:w="58" w:type="dxa"/>
              <w:right w:w="58" w:type="dxa"/>
            </w:tcMar>
          </w:tcPr>
          <w:p w:rsidR="00DE6B9A" w:rsidRDefault="00DE6B9A" w:rsidP="002E76DB">
            <w:pPr>
              <w:spacing w:after="60" w:line="240" w:lineRule="auto"/>
            </w:pPr>
            <w:r>
              <w:t>Percent retained at 6-month Follow-up, Session 1</w:t>
            </w:r>
          </w:p>
        </w:tc>
        <w:tc>
          <w:tcPr>
            <w:tcW w:w="2018" w:type="dxa"/>
            <w:tcMar>
              <w:left w:w="58" w:type="dxa"/>
              <w:right w:w="58" w:type="dxa"/>
            </w:tcMar>
          </w:tcPr>
          <w:p w:rsidR="00DE6B9A" w:rsidRDefault="00DE6B9A" w:rsidP="00E41F54">
            <w:pPr>
              <w:spacing w:after="60" w:line="240" w:lineRule="auto"/>
            </w:pPr>
            <w:r>
              <w:t>Estimate percentage by subgroup</w:t>
            </w:r>
          </w:p>
        </w:tc>
        <w:tc>
          <w:tcPr>
            <w:tcW w:w="2681" w:type="dxa"/>
            <w:tcMar>
              <w:left w:w="58" w:type="dxa"/>
              <w:right w:w="58" w:type="dxa"/>
            </w:tcMar>
          </w:tcPr>
          <w:p w:rsidR="00DE6B9A" w:rsidRDefault="00DE6B9A" w:rsidP="00E41F54">
            <w:pPr>
              <w:spacing w:after="60" w:line="240" w:lineRule="auto"/>
            </w:pPr>
            <w:r>
              <w:t>All (</w:t>
            </w:r>
            <w:r w:rsidR="00246FF1">
              <w:t>450</w:t>
            </w:r>
            <w:r>
              <w:t>); Hispanic (</w:t>
            </w:r>
            <w:r w:rsidR="00246FF1">
              <w:t>63</w:t>
            </w:r>
            <w:r>
              <w:t>); Vietnamese (</w:t>
            </w:r>
            <w:r w:rsidR="00246FF1">
              <w:t>13</w:t>
            </w:r>
            <w:r>
              <w:t>); Foreign-language speakers (</w:t>
            </w:r>
            <w:r w:rsidR="00246FF1">
              <w:t>45</w:t>
            </w:r>
            <w:r>
              <w:t>); LA (</w:t>
            </w:r>
            <w:r w:rsidR="00246FF1">
              <w:t>288</w:t>
            </w:r>
            <w:r>
              <w:t>); MS (1</w:t>
            </w:r>
            <w:r w:rsidR="00246FF1">
              <w:t>62</w:t>
            </w:r>
            <w:r>
              <w:t>); Property owner (180); Renter (270)</w:t>
            </w:r>
          </w:p>
        </w:tc>
      </w:tr>
      <w:tr w:rsidR="00DE6B9A" w:rsidRPr="00D6722B" w:rsidTr="00DA6688">
        <w:trPr>
          <w:cantSplit/>
        </w:trPr>
        <w:tc>
          <w:tcPr>
            <w:tcW w:w="2145" w:type="dxa"/>
            <w:tcMar>
              <w:left w:w="58" w:type="dxa"/>
              <w:right w:w="58" w:type="dxa"/>
            </w:tcMar>
          </w:tcPr>
          <w:p w:rsidR="00DE6B9A" w:rsidRDefault="00DE6B9A" w:rsidP="00E41F54">
            <w:pPr>
              <w:spacing w:after="60" w:line="240" w:lineRule="auto"/>
            </w:pPr>
            <w:r>
              <w:lastRenderedPageBreak/>
              <w:t>Nonparticipant bias</w:t>
            </w:r>
          </w:p>
        </w:tc>
        <w:tc>
          <w:tcPr>
            <w:tcW w:w="2524" w:type="dxa"/>
            <w:tcMar>
              <w:left w:w="58" w:type="dxa"/>
              <w:right w:w="58" w:type="dxa"/>
            </w:tcMar>
          </w:tcPr>
          <w:p w:rsidR="00DE6B9A" w:rsidRDefault="00DE6B9A" w:rsidP="00E41F54">
            <w:pPr>
              <w:spacing w:after="60" w:line="240" w:lineRule="auto"/>
            </w:pPr>
            <w:r>
              <w:t>Age of Child, Litigation participation, Study awareness, Foreign-language speakers (Eligibility Screener), Trailer site (master FEMA data file)</w:t>
            </w:r>
          </w:p>
        </w:tc>
        <w:tc>
          <w:tcPr>
            <w:tcW w:w="2018" w:type="dxa"/>
            <w:tcMar>
              <w:left w:w="58" w:type="dxa"/>
              <w:right w:w="58" w:type="dxa"/>
            </w:tcMar>
          </w:tcPr>
          <w:p w:rsidR="00DE6B9A" w:rsidRDefault="00DE6B9A" w:rsidP="00E41F54">
            <w:pPr>
              <w:spacing w:after="60" w:line="240" w:lineRule="auto"/>
            </w:pPr>
            <w:r>
              <w:t>Descriptive statistics by responder status</w:t>
            </w:r>
          </w:p>
        </w:tc>
        <w:tc>
          <w:tcPr>
            <w:tcW w:w="2681" w:type="dxa"/>
            <w:tcMar>
              <w:left w:w="58" w:type="dxa"/>
              <w:right w:w="58" w:type="dxa"/>
            </w:tcMar>
          </w:tcPr>
          <w:p w:rsidR="00DE6B9A" w:rsidRDefault="00DE6B9A" w:rsidP="00E41F54">
            <w:pPr>
              <w:spacing w:after="60" w:line="240" w:lineRule="auto"/>
            </w:pPr>
            <w:r>
              <w:t>Enrollees (500); Refusals (12</w:t>
            </w:r>
            <w:r w:rsidR="00722D38">
              <w:t>8</w:t>
            </w:r>
            <w:r w:rsidR="00246FF1">
              <w:t>*</w:t>
            </w:r>
            <w:r>
              <w:t>); Exposed Enrollees (250); Exposed Refusals (6</w:t>
            </w:r>
            <w:r w:rsidR="00C529F9">
              <w:t>4</w:t>
            </w:r>
            <w:r w:rsidR="00246FF1">
              <w:t>*</w:t>
            </w:r>
            <w:r>
              <w:t>)</w:t>
            </w:r>
          </w:p>
          <w:p w:rsidR="00246FF1" w:rsidRPr="00246FF1" w:rsidRDefault="00975CE6" w:rsidP="00E41F54">
            <w:pPr>
              <w:spacing w:after="60" w:line="240" w:lineRule="auto"/>
              <w:rPr>
                <w:sz w:val="18"/>
                <w:szCs w:val="18"/>
              </w:rPr>
            </w:pPr>
            <w:r w:rsidRPr="00246FF1">
              <w:rPr>
                <w:sz w:val="18"/>
                <w:szCs w:val="18"/>
              </w:rPr>
              <w:t>*</w:t>
            </w:r>
            <w:r>
              <w:rPr>
                <w:sz w:val="18"/>
                <w:szCs w:val="18"/>
              </w:rPr>
              <w:t xml:space="preserve">Refusals represent the difference between the </w:t>
            </w:r>
            <w:r w:rsidR="00040D11">
              <w:rPr>
                <w:sz w:val="18"/>
                <w:szCs w:val="18"/>
              </w:rPr>
              <w:t xml:space="preserve">total </w:t>
            </w:r>
            <w:r>
              <w:rPr>
                <w:sz w:val="18"/>
                <w:szCs w:val="18"/>
              </w:rPr>
              <w:t>number of eligible participants (62</w:t>
            </w:r>
            <w:r w:rsidR="00C529F9">
              <w:rPr>
                <w:sz w:val="18"/>
                <w:szCs w:val="18"/>
              </w:rPr>
              <w:t>8</w:t>
            </w:r>
            <w:r w:rsidR="003970E0">
              <w:rPr>
                <w:sz w:val="18"/>
                <w:szCs w:val="18"/>
              </w:rPr>
              <w:t xml:space="preserve">, </w:t>
            </w:r>
            <w:r w:rsidR="003970E0" w:rsidRPr="00DA6688">
              <w:rPr>
                <w:b/>
                <w:i/>
                <w:sz w:val="18"/>
                <w:szCs w:val="18"/>
              </w:rPr>
              <w:t>Exhibit 8</w:t>
            </w:r>
            <w:r>
              <w:rPr>
                <w:sz w:val="18"/>
                <w:szCs w:val="18"/>
              </w:rPr>
              <w:t>) and the number enrolled (500). We</w:t>
            </w:r>
            <w:r w:rsidR="00C529F9">
              <w:rPr>
                <w:sz w:val="18"/>
                <w:szCs w:val="18"/>
              </w:rPr>
              <w:t xml:space="preserve"> anticipate a refusal rate of 20</w:t>
            </w:r>
            <w:r>
              <w:rPr>
                <w:sz w:val="18"/>
                <w:szCs w:val="18"/>
              </w:rPr>
              <w:t>%</w:t>
            </w:r>
            <w:r w:rsidR="00040D11">
              <w:rPr>
                <w:sz w:val="18"/>
                <w:szCs w:val="18"/>
              </w:rPr>
              <w:t xml:space="preserve"> (or an </w:t>
            </w:r>
            <w:r w:rsidR="00C529F9">
              <w:rPr>
                <w:sz w:val="18"/>
                <w:szCs w:val="18"/>
              </w:rPr>
              <w:t>80% acceptance rate</w:t>
            </w:r>
            <w:r w:rsidR="00040D11">
              <w:rPr>
                <w:sz w:val="18"/>
                <w:szCs w:val="18"/>
              </w:rPr>
              <w:t>)</w:t>
            </w:r>
            <w:r>
              <w:rPr>
                <w:sz w:val="18"/>
                <w:szCs w:val="18"/>
              </w:rPr>
              <w:t>.</w:t>
            </w:r>
          </w:p>
        </w:tc>
      </w:tr>
      <w:tr w:rsidR="00DE6B9A" w:rsidRPr="00D6722B" w:rsidTr="000E120A">
        <w:trPr>
          <w:cantSplit/>
        </w:trPr>
        <w:tc>
          <w:tcPr>
            <w:tcW w:w="9368" w:type="dxa"/>
            <w:gridSpan w:val="4"/>
            <w:tcMar>
              <w:left w:w="58" w:type="dxa"/>
              <w:right w:w="58" w:type="dxa"/>
            </w:tcMar>
          </w:tcPr>
          <w:p w:rsidR="00DE6B9A" w:rsidRPr="00345114" w:rsidRDefault="00DE6B9A" w:rsidP="00E41F54">
            <w:pPr>
              <w:spacing w:after="60" w:line="240" w:lineRule="auto"/>
              <w:rPr>
                <w:i/>
              </w:rPr>
            </w:pPr>
            <w:r w:rsidRPr="00345114">
              <w:rPr>
                <w:i/>
              </w:rPr>
              <w:t xml:space="preserve">Locating medical records </w:t>
            </w:r>
          </w:p>
        </w:tc>
      </w:tr>
      <w:tr w:rsidR="00DE6B9A" w:rsidRPr="00D6722B" w:rsidTr="00DA6688">
        <w:trPr>
          <w:cantSplit/>
        </w:trPr>
        <w:tc>
          <w:tcPr>
            <w:tcW w:w="2145" w:type="dxa"/>
            <w:tcMar>
              <w:left w:w="58" w:type="dxa"/>
              <w:right w:w="58" w:type="dxa"/>
            </w:tcMar>
          </w:tcPr>
          <w:p w:rsidR="00DE6B9A" w:rsidRPr="00D6722B" w:rsidRDefault="00DE6B9A" w:rsidP="00E41F54">
            <w:pPr>
              <w:spacing w:after="60" w:line="240" w:lineRule="auto"/>
            </w:pPr>
            <w:r>
              <w:t>Medical record abstraction consent</w:t>
            </w:r>
          </w:p>
        </w:tc>
        <w:tc>
          <w:tcPr>
            <w:tcW w:w="2524" w:type="dxa"/>
            <w:tcMar>
              <w:left w:w="58" w:type="dxa"/>
              <w:right w:w="58" w:type="dxa"/>
            </w:tcMar>
          </w:tcPr>
          <w:p w:rsidR="00DE6B9A" w:rsidRPr="00D6722B" w:rsidRDefault="00DE6B9A" w:rsidP="00E41F54">
            <w:pPr>
              <w:spacing w:after="60" w:line="240" w:lineRule="auto"/>
            </w:pPr>
            <w:r>
              <w:t xml:space="preserve">Percent agreeing to medical chart abstraction (Session 1 of Baseline and </w:t>
            </w:r>
            <w:r w:rsidR="002E76DB">
              <w:t xml:space="preserve">6-month Follow-up </w:t>
            </w:r>
            <w:r w:rsidR="0058731A">
              <w:t>A</w:t>
            </w:r>
            <w:r>
              <w:t xml:space="preserve">ssessments </w:t>
            </w:r>
          </w:p>
        </w:tc>
        <w:tc>
          <w:tcPr>
            <w:tcW w:w="2018" w:type="dxa"/>
            <w:tcMar>
              <w:left w:w="58" w:type="dxa"/>
              <w:right w:w="58" w:type="dxa"/>
            </w:tcMar>
          </w:tcPr>
          <w:p w:rsidR="00DE6B9A" w:rsidRPr="00D6722B" w:rsidRDefault="00DE6B9A" w:rsidP="00E41F54">
            <w:pPr>
              <w:spacing w:after="60" w:line="240" w:lineRule="auto"/>
            </w:pPr>
            <w:r>
              <w:t>Estimate percentage by subgroup</w:t>
            </w:r>
          </w:p>
        </w:tc>
        <w:tc>
          <w:tcPr>
            <w:tcW w:w="2681" w:type="dxa"/>
            <w:tcMar>
              <w:left w:w="58" w:type="dxa"/>
              <w:right w:w="58" w:type="dxa"/>
            </w:tcMar>
          </w:tcPr>
          <w:p w:rsidR="00DE6B9A" w:rsidRDefault="00DE6B9A" w:rsidP="00E41F54">
            <w:pPr>
              <w:spacing w:after="60" w:line="240" w:lineRule="auto"/>
            </w:pPr>
            <w:r>
              <w:t xml:space="preserve">All requested (125*); With reported health outcome (75*); Children &lt;12 </w:t>
            </w:r>
            <w:r w:rsidR="003970E0">
              <w:t xml:space="preserve">yrs </w:t>
            </w:r>
            <w:r>
              <w:t xml:space="preserve">(350); Children </w:t>
            </w:r>
            <w:r>
              <w:rPr>
                <w:u w:val="single"/>
              </w:rPr>
              <w:t>&gt;</w:t>
            </w:r>
            <w:r>
              <w:t>12</w:t>
            </w:r>
            <w:r w:rsidR="003970E0">
              <w:t xml:space="preserve"> yrs</w:t>
            </w:r>
            <w:r>
              <w:t xml:space="preserve"> (150); Without health insurance (100)</w:t>
            </w:r>
          </w:p>
          <w:p w:rsidR="00DE6B9A" w:rsidRPr="00205371" w:rsidRDefault="00DE6B9A" w:rsidP="00E41F54">
            <w:pPr>
              <w:spacing w:after="60" w:line="240" w:lineRule="auto"/>
              <w:rPr>
                <w:sz w:val="18"/>
                <w:szCs w:val="18"/>
              </w:rPr>
            </w:pPr>
            <w:r w:rsidRPr="00205371">
              <w:rPr>
                <w:sz w:val="18"/>
                <w:szCs w:val="18"/>
              </w:rPr>
              <w:t>*Medical record abstraction will be conducted on approximately 30% of children, which includes all children with self-reported asthma or other targeted health outcomes (estimated to be 15% of 500, or 75</w:t>
            </w:r>
            <w:r>
              <w:rPr>
                <w:sz w:val="18"/>
                <w:szCs w:val="18"/>
              </w:rPr>
              <w:t>, and another 50 children who are randomly chosen</w:t>
            </w:r>
            <w:r w:rsidRPr="00205371">
              <w:rPr>
                <w:sz w:val="18"/>
                <w:szCs w:val="18"/>
              </w:rPr>
              <w:t>)</w:t>
            </w:r>
            <w:r>
              <w:rPr>
                <w:sz w:val="18"/>
                <w:szCs w:val="18"/>
              </w:rPr>
              <w:t xml:space="preserve"> (Section A.1., Overview of the Data Collection System)</w:t>
            </w:r>
          </w:p>
        </w:tc>
      </w:tr>
      <w:tr w:rsidR="00DE6B9A" w:rsidRPr="00D6722B" w:rsidTr="00DA6688">
        <w:trPr>
          <w:cantSplit/>
        </w:trPr>
        <w:tc>
          <w:tcPr>
            <w:tcW w:w="2145" w:type="dxa"/>
            <w:tcMar>
              <w:left w:w="58" w:type="dxa"/>
              <w:right w:w="58" w:type="dxa"/>
            </w:tcMar>
          </w:tcPr>
          <w:p w:rsidR="00DE6B9A" w:rsidRPr="00D6722B" w:rsidRDefault="00DE6B9A" w:rsidP="00E41F54">
            <w:pPr>
              <w:spacing w:after="60" w:line="240" w:lineRule="auto"/>
            </w:pPr>
            <w:r>
              <w:t>Ability to provide name of physician</w:t>
            </w:r>
          </w:p>
        </w:tc>
        <w:tc>
          <w:tcPr>
            <w:tcW w:w="2524" w:type="dxa"/>
            <w:tcMar>
              <w:left w:w="58" w:type="dxa"/>
              <w:right w:w="58" w:type="dxa"/>
            </w:tcMar>
          </w:tcPr>
          <w:p w:rsidR="00DE6B9A" w:rsidRPr="00D6722B" w:rsidRDefault="00DE6B9A" w:rsidP="00E41F54">
            <w:pPr>
              <w:spacing w:after="60" w:line="240" w:lineRule="auto"/>
            </w:pPr>
            <w:r>
              <w:t>Name agreement (Baseline Session 1 interview; chart abstraction database)</w:t>
            </w:r>
          </w:p>
        </w:tc>
        <w:tc>
          <w:tcPr>
            <w:tcW w:w="2018" w:type="dxa"/>
            <w:tcMar>
              <w:left w:w="58" w:type="dxa"/>
              <w:right w:w="58" w:type="dxa"/>
            </w:tcMar>
          </w:tcPr>
          <w:p w:rsidR="00DE6B9A" w:rsidRPr="00D6722B" w:rsidRDefault="00DE6B9A" w:rsidP="00E41F54">
            <w:pPr>
              <w:spacing w:after="60" w:line="240" w:lineRule="auto"/>
            </w:pPr>
            <w:r>
              <w:t>Estimate percentage by subgroup</w:t>
            </w:r>
          </w:p>
        </w:tc>
        <w:tc>
          <w:tcPr>
            <w:tcW w:w="2681" w:type="dxa"/>
            <w:tcMar>
              <w:left w:w="58" w:type="dxa"/>
              <w:right w:w="58" w:type="dxa"/>
            </w:tcMar>
          </w:tcPr>
          <w:p w:rsidR="00DE6B9A" w:rsidRDefault="00DE6B9A" w:rsidP="00E41F54">
            <w:pPr>
              <w:spacing w:after="60" w:line="240" w:lineRule="auto"/>
            </w:pPr>
            <w:r>
              <w:t>All (375*); with reported health outcome (225)</w:t>
            </w:r>
          </w:p>
          <w:p w:rsidR="00DE6B9A" w:rsidRPr="00205371" w:rsidRDefault="00DE6B9A" w:rsidP="00E41F54">
            <w:pPr>
              <w:spacing w:after="60" w:line="240" w:lineRule="auto"/>
              <w:rPr>
                <w:sz w:val="18"/>
                <w:szCs w:val="18"/>
              </w:rPr>
            </w:pPr>
            <w:r w:rsidRPr="00205371">
              <w:rPr>
                <w:sz w:val="18"/>
                <w:szCs w:val="18"/>
              </w:rPr>
              <w:t xml:space="preserve">*We will ask each participant who agrees to medical chart abstraction to provide 3 physician names:  3x125=375. </w:t>
            </w:r>
          </w:p>
        </w:tc>
      </w:tr>
      <w:tr w:rsidR="00DE6B9A" w:rsidRPr="00D6722B" w:rsidTr="00DA6688">
        <w:trPr>
          <w:cantSplit/>
        </w:trPr>
        <w:tc>
          <w:tcPr>
            <w:tcW w:w="2145" w:type="dxa"/>
            <w:tcMar>
              <w:left w:w="58" w:type="dxa"/>
              <w:right w:w="58" w:type="dxa"/>
            </w:tcMar>
          </w:tcPr>
          <w:p w:rsidR="00DE6B9A" w:rsidRPr="00D6722B" w:rsidRDefault="00DE6B9A" w:rsidP="00E41F54">
            <w:pPr>
              <w:spacing w:after="60" w:line="240" w:lineRule="auto"/>
            </w:pPr>
            <w:r>
              <w:t>Provider participation rate</w:t>
            </w:r>
          </w:p>
        </w:tc>
        <w:tc>
          <w:tcPr>
            <w:tcW w:w="2524" w:type="dxa"/>
            <w:tcMar>
              <w:left w:w="58" w:type="dxa"/>
              <w:right w:w="58" w:type="dxa"/>
            </w:tcMar>
          </w:tcPr>
          <w:p w:rsidR="00DE6B9A" w:rsidRPr="00D6722B" w:rsidRDefault="00DE6B9A" w:rsidP="00E41F54">
            <w:pPr>
              <w:spacing w:after="60" w:line="240" w:lineRule="auto"/>
            </w:pPr>
            <w:r>
              <w:t>Percent of providers participating (chart abstraction database)</w:t>
            </w:r>
          </w:p>
        </w:tc>
        <w:tc>
          <w:tcPr>
            <w:tcW w:w="2018" w:type="dxa"/>
            <w:tcMar>
              <w:left w:w="58" w:type="dxa"/>
              <w:right w:w="58" w:type="dxa"/>
            </w:tcMar>
          </w:tcPr>
          <w:p w:rsidR="00DE6B9A" w:rsidRPr="00D6722B" w:rsidRDefault="00DE6B9A" w:rsidP="00E41F54">
            <w:pPr>
              <w:spacing w:after="60" w:line="240" w:lineRule="auto"/>
            </w:pPr>
            <w:r>
              <w:t>Estimate percentage by subgroup</w:t>
            </w:r>
          </w:p>
        </w:tc>
        <w:tc>
          <w:tcPr>
            <w:tcW w:w="2681" w:type="dxa"/>
            <w:tcMar>
              <w:left w:w="58" w:type="dxa"/>
              <w:right w:w="58" w:type="dxa"/>
            </w:tcMar>
          </w:tcPr>
          <w:p w:rsidR="00DE6B9A" w:rsidRPr="00D6722B" w:rsidRDefault="00DE6B9A" w:rsidP="00E41F54">
            <w:pPr>
              <w:spacing w:after="60" w:line="240" w:lineRule="auto"/>
            </w:pPr>
            <w:r>
              <w:t>All (375); LA (225); MS (150); General practitioner (175); Specialists (200); Clinic (200); Private practice (175)</w:t>
            </w:r>
          </w:p>
        </w:tc>
      </w:tr>
      <w:tr w:rsidR="00DE6B9A" w:rsidRPr="00D6722B" w:rsidTr="00DA6688">
        <w:trPr>
          <w:cantSplit/>
        </w:trPr>
        <w:tc>
          <w:tcPr>
            <w:tcW w:w="2145" w:type="dxa"/>
            <w:tcMar>
              <w:left w:w="58" w:type="dxa"/>
              <w:right w:w="58" w:type="dxa"/>
            </w:tcMar>
          </w:tcPr>
          <w:p w:rsidR="00DE6B9A" w:rsidRPr="00D6722B" w:rsidRDefault="00DE6B9A" w:rsidP="004C1E8D">
            <w:pPr>
              <w:spacing w:after="60" w:line="240" w:lineRule="auto"/>
            </w:pPr>
            <w:r>
              <w:t xml:space="preserve">Medical </w:t>
            </w:r>
            <w:r w:rsidR="004C1E8D">
              <w:t>r</w:t>
            </w:r>
            <w:r>
              <w:t xml:space="preserve">ecords </w:t>
            </w:r>
            <w:r w:rsidR="004C1E8D">
              <w:t>d</w:t>
            </w:r>
            <w:r>
              <w:t>estroyed</w:t>
            </w:r>
          </w:p>
        </w:tc>
        <w:tc>
          <w:tcPr>
            <w:tcW w:w="2524" w:type="dxa"/>
            <w:tcMar>
              <w:left w:w="58" w:type="dxa"/>
              <w:right w:w="58" w:type="dxa"/>
            </w:tcMar>
          </w:tcPr>
          <w:p w:rsidR="00DE6B9A" w:rsidRPr="00D6722B" w:rsidRDefault="00DE6B9A" w:rsidP="00E41F54">
            <w:pPr>
              <w:spacing w:after="60" w:line="240" w:lineRule="auto"/>
            </w:pPr>
            <w:r>
              <w:t>Percent of charts not located (chart abstraction database)</w:t>
            </w:r>
          </w:p>
        </w:tc>
        <w:tc>
          <w:tcPr>
            <w:tcW w:w="2018" w:type="dxa"/>
            <w:tcMar>
              <w:left w:w="58" w:type="dxa"/>
              <w:right w:w="58" w:type="dxa"/>
            </w:tcMar>
          </w:tcPr>
          <w:p w:rsidR="00DE6B9A" w:rsidRPr="00D6722B" w:rsidRDefault="00DE6B9A" w:rsidP="00E41F54">
            <w:pPr>
              <w:spacing w:after="60" w:line="240" w:lineRule="auto"/>
            </w:pPr>
            <w:r>
              <w:t>Estimate percentage by subgroup</w:t>
            </w:r>
          </w:p>
        </w:tc>
        <w:tc>
          <w:tcPr>
            <w:tcW w:w="2681" w:type="dxa"/>
            <w:tcMar>
              <w:left w:w="58" w:type="dxa"/>
              <w:right w:w="58" w:type="dxa"/>
            </w:tcMar>
          </w:tcPr>
          <w:p w:rsidR="00DE6B9A" w:rsidRPr="00D6722B" w:rsidRDefault="00DE6B9A" w:rsidP="00E41F54">
            <w:pPr>
              <w:spacing w:after="60" w:line="240" w:lineRule="auto"/>
            </w:pPr>
            <w:r>
              <w:t>All (375); LA (225); MS (150)</w:t>
            </w:r>
          </w:p>
        </w:tc>
      </w:tr>
      <w:tr w:rsidR="00DE6B9A" w:rsidRPr="00D6722B" w:rsidTr="00DA6688">
        <w:trPr>
          <w:cantSplit/>
        </w:trPr>
        <w:tc>
          <w:tcPr>
            <w:tcW w:w="2145" w:type="dxa"/>
            <w:tcMar>
              <w:left w:w="58" w:type="dxa"/>
              <w:right w:w="58" w:type="dxa"/>
            </w:tcMar>
          </w:tcPr>
          <w:p w:rsidR="00DE6B9A" w:rsidRDefault="004C1E8D" w:rsidP="00E41F54">
            <w:pPr>
              <w:spacing w:after="60" w:line="240" w:lineRule="auto"/>
            </w:pPr>
            <w:r>
              <w:lastRenderedPageBreak/>
              <w:t>Over- and u</w:t>
            </w:r>
            <w:r w:rsidR="00DE6B9A">
              <w:t>nder-reporting of health outcomes</w:t>
            </w:r>
          </w:p>
        </w:tc>
        <w:tc>
          <w:tcPr>
            <w:tcW w:w="2524" w:type="dxa"/>
            <w:tcMar>
              <w:left w:w="58" w:type="dxa"/>
              <w:right w:w="58" w:type="dxa"/>
            </w:tcMar>
          </w:tcPr>
          <w:p w:rsidR="00DE6B9A" w:rsidRDefault="00DE6B9A" w:rsidP="00E41F54">
            <w:pPr>
              <w:spacing w:after="60" w:line="240" w:lineRule="auto"/>
            </w:pPr>
            <w:r>
              <w:t>Diagnosis and age of onset reported by family and in medical charts (Baseline Session 1 interview; chart abstraction database)</w:t>
            </w:r>
          </w:p>
        </w:tc>
        <w:tc>
          <w:tcPr>
            <w:tcW w:w="2018" w:type="dxa"/>
            <w:tcMar>
              <w:left w:w="58" w:type="dxa"/>
              <w:right w:w="58" w:type="dxa"/>
            </w:tcMar>
          </w:tcPr>
          <w:p w:rsidR="00DE6B9A" w:rsidRDefault="00DE6B9A" w:rsidP="00E41F54">
            <w:pPr>
              <w:spacing w:after="60" w:line="240" w:lineRule="auto"/>
            </w:pPr>
            <w:r>
              <w:t>Estimate agreement by subgroup</w:t>
            </w:r>
          </w:p>
        </w:tc>
        <w:tc>
          <w:tcPr>
            <w:tcW w:w="2681" w:type="dxa"/>
            <w:tcMar>
              <w:left w:w="58" w:type="dxa"/>
              <w:right w:w="58" w:type="dxa"/>
            </w:tcMar>
          </w:tcPr>
          <w:p w:rsidR="00DE6B9A" w:rsidRDefault="00DE6B9A" w:rsidP="00E41F54">
            <w:pPr>
              <w:spacing w:after="60" w:line="240" w:lineRule="auto"/>
            </w:pPr>
            <w:r>
              <w:t>All (125</w:t>
            </w:r>
            <w:r w:rsidR="003970E0">
              <w:t>*</w:t>
            </w:r>
            <w:r>
              <w:t>); with self-reported health outcome (75); with no self-reported health outcome (50)</w:t>
            </w:r>
          </w:p>
          <w:p w:rsidR="003970E0" w:rsidRPr="003970E0" w:rsidRDefault="003970E0" w:rsidP="00E41F54">
            <w:pPr>
              <w:spacing w:after="60" w:line="240" w:lineRule="auto"/>
              <w:rPr>
                <w:sz w:val="18"/>
                <w:szCs w:val="18"/>
              </w:rPr>
            </w:pPr>
            <w:r w:rsidRPr="003970E0">
              <w:rPr>
                <w:sz w:val="18"/>
                <w:szCs w:val="18"/>
              </w:rPr>
              <w:t>*Total number of medical records to be abstracted (please see</w:t>
            </w:r>
            <w:r w:rsidR="00040D11">
              <w:rPr>
                <w:sz w:val="18"/>
                <w:szCs w:val="18"/>
              </w:rPr>
              <w:t xml:space="preserve"> “Medical record</w:t>
            </w:r>
            <w:r w:rsidRPr="003970E0">
              <w:rPr>
                <w:sz w:val="18"/>
                <w:szCs w:val="18"/>
              </w:rPr>
              <w:t xml:space="preserve"> abstraction consent</w:t>
            </w:r>
            <w:r w:rsidR="00040D11">
              <w:rPr>
                <w:sz w:val="18"/>
                <w:szCs w:val="18"/>
              </w:rPr>
              <w:t>”</w:t>
            </w:r>
            <w:r w:rsidRPr="003970E0">
              <w:rPr>
                <w:sz w:val="18"/>
                <w:szCs w:val="18"/>
              </w:rPr>
              <w:t xml:space="preserve"> above)</w:t>
            </w:r>
          </w:p>
        </w:tc>
      </w:tr>
      <w:tr w:rsidR="00DE6B9A" w:rsidRPr="00D6722B" w:rsidTr="000E120A">
        <w:trPr>
          <w:cantSplit/>
        </w:trPr>
        <w:tc>
          <w:tcPr>
            <w:tcW w:w="9368" w:type="dxa"/>
            <w:gridSpan w:val="4"/>
            <w:tcMar>
              <w:left w:w="58" w:type="dxa"/>
              <w:right w:w="58" w:type="dxa"/>
            </w:tcMar>
          </w:tcPr>
          <w:p w:rsidR="00DE6B9A" w:rsidRPr="00345114" w:rsidRDefault="00DE6B9A" w:rsidP="000E120A">
            <w:pPr>
              <w:keepNext/>
              <w:keepLines/>
              <w:spacing w:after="60" w:line="240" w:lineRule="auto"/>
              <w:rPr>
                <w:i/>
              </w:rPr>
            </w:pPr>
            <w:r w:rsidRPr="00345114">
              <w:rPr>
                <w:i/>
              </w:rPr>
              <w:t>Environmental data collection: participation and data quality</w:t>
            </w:r>
          </w:p>
        </w:tc>
      </w:tr>
      <w:tr w:rsidR="00DE6B9A" w:rsidRPr="00D6722B" w:rsidTr="000E120A">
        <w:trPr>
          <w:cantSplit/>
        </w:trPr>
        <w:tc>
          <w:tcPr>
            <w:tcW w:w="2145" w:type="dxa"/>
            <w:tcMar>
              <w:left w:w="58" w:type="dxa"/>
              <w:right w:w="58" w:type="dxa"/>
            </w:tcMar>
          </w:tcPr>
          <w:p w:rsidR="00DE6B9A" w:rsidRDefault="00DE6B9A" w:rsidP="000E120A">
            <w:pPr>
              <w:keepNext/>
              <w:keepLines/>
              <w:spacing w:after="60" w:line="240" w:lineRule="auto"/>
            </w:pPr>
            <w:r>
              <w:t>Environmental monitoring participation rate</w:t>
            </w:r>
          </w:p>
        </w:tc>
        <w:tc>
          <w:tcPr>
            <w:tcW w:w="2524" w:type="dxa"/>
            <w:tcMar>
              <w:left w:w="58" w:type="dxa"/>
              <w:right w:w="58" w:type="dxa"/>
            </w:tcMar>
          </w:tcPr>
          <w:p w:rsidR="00DE6B9A" w:rsidRDefault="00DE6B9A" w:rsidP="000E120A">
            <w:pPr>
              <w:keepNext/>
              <w:keepLines/>
              <w:spacing w:after="60" w:line="240" w:lineRule="auto"/>
            </w:pPr>
            <w:r>
              <w:t>Percent participating in Session 1 of Baseline and 6-month Follow-up</w:t>
            </w:r>
          </w:p>
        </w:tc>
        <w:tc>
          <w:tcPr>
            <w:tcW w:w="2018" w:type="dxa"/>
            <w:tcMar>
              <w:left w:w="58" w:type="dxa"/>
              <w:right w:w="58" w:type="dxa"/>
            </w:tcMar>
          </w:tcPr>
          <w:p w:rsidR="00DE6B9A" w:rsidRDefault="00DE6B9A" w:rsidP="000E120A">
            <w:pPr>
              <w:keepNext/>
              <w:keepLines/>
              <w:spacing w:after="60" w:line="240" w:lineRule="auto"/>
            </w:pPr>
            <w:r>
              <w:t>Estimate percentage by subgroup and assessment period</w:t>
            </w:r>
          </w:p>
        </w:tc>
        <w:tc>
          <w:tcPr>
            <w:tcW w:w="2681" w:type="dxa"/>
            <w:tcMar>
              <w:left w:w="58" w:type="dxa"/>
              <w:right w:w="58" w:type="dxa"/>
            </w:tcMar>
          </w:tcPr>
          <w:p w:rsidR="00DE6B9A" w:rsidRDefault="00DE6B9A" w:rsidP="000E120A">
            <w:pPr>
              <w:keepNext/>
              <w:keepLines/>
              <w:spacing w:after="60" w:line="240" w:lineRule="auto"/>
            </w:pPr>
            <w:r>
              <w:t>All (Baseline: 500, Follow-up: 450); Private trailer site (125, 112); Group trailer site (125, 11</w:t>
            </w:r>
            <w:r w:rsidR="00246FF1">
              <w:t>3</w:t>
            </w:r>
            <w:r>
              <w:t>); Urban (400,3</w:t>
            </w:r>
            <w:r w:rsidR="00246FF1">
              <w:t>6</w:t>
            </w:r>
            <w:r>
              <w:t>0); Rural (100,90); Property owner (200, 180); Renter (300, 270)</w:t>
            </w:r>
          </w:p>
        </w:tc>
      </w:tr>
      <w:tr w:rsidR="00DE6B9A" w:rsidRPr="00D6722B" w:rsidTr="000E120A">
        <w:trPr>
          <w:cantSplit/>
        </w:trPr>
        <w:tc>
          <w:tcPr>
            <w:tcW w:w="2145" w:type="dxa"/>
            <w:tcMar>
              <w:left w:w="58" w:type="dxa"/>
              <w:right w:w="58" w:type="dxa"/>
            </w:tcMar>
          </w:tcPr>
          <w:p w:rsidR="00DE6B9A" w:rsidRDefault="00DE6B9A" w:rsidP="00E41F54">
            <w:pPr>
              <w:spacing w:after="60" w:line="240" w:lineRule="auto"/>
            </w:pPr>
            <w:r>
              <w:t>Environmental data quality</w:t>
            </w:r>
          </w:p>
        </w:tc>
        <w:tc>
          <w:tcPr>
            <w:tcW w:w="2524" w:type="dxa"/>
            <w:tcMar>
              <w:left w:w="58" w:type="dxa"/>
              <w:right w:w="58" w:type="dxa"/>
            </w:tcMar>
          </w:tcPr>
          <w:p w:rsidR="00E41F54" w:rsidRDefault="00DE6B9A" w:rsidP="00E41F54">
            <w:pPr>
              <w:spacing w:after="60" w:line="240" w:lineRule="auto"/>
            </w:pPr>
            <w:proofErr w:type="spellStart"/>
            <w:r w:rsidRPr="009C4446">
              <w:t>Analyte</w:t>
            </w:r>
            <w:proofErr w:type="spellEnd"/>
            <w:r w:rsidRPr="009C4446">
              <w:t xml:space="preserve"> mass, concentration (mass per unit volume), or loading (mass per unit area)</w:t>
            </w:r>
          </w:p>
          <w:p w:rsidR="00DE6B9A" w:rsidRPr="009C4446" w:rsidRDefault="00DE6B9A" w:rsidP="00E41F54">
            <w:pPr>
              <w:spacing w:after="60" w:line="240" w:lineRule="auto"/>
            </w:pPr>
            <w:r>
              <w:t>(Laboratory data base)</w:t>
            </w:r>
          </w:p>
        </w:tc>
        <w:tc>
          <w:tcPr>
            <w:tcW w:w="2018" w:type="dxa"/>
            <w:tcMar>
              <w:left w:w="58" w:type="dxa"/>
              <w:right w:w="58" w:type="dxa"/>
            </w:tcMar>
          </w:tcPr>
          <w:p w:rsidR="00DE6B9A" w:rsidRPr="009C4446" w:rsidRDefault="00DE6B9A" w:rsidP="00E41F54">
            <w:pPr>
              <w:spacing w:after="60" w:line="240" w:lineRule="auto"/>
            </w:pPr>
            <w:r>
              <w:t>Percent</w:t>
            </w:r>
            <w:r w:rsidRPr="009C4446">
              <w:t xml:space="preserve"> </w:t>
            </w:r>
            <w:r>
              <w:t xml:space="preserve">of samples </w:t>
            </w:r>
            <w:r w:rsidRPr="009C4446">
              <w:t>complete, accura</w:t>
            </w:r>
            <w:r>
              <w:t>te</w:t>
            </w:r>
            <w:r w:rsidRPr="009C4446">
              <w:t>, precis</w:t>
            </w:r>
            <w:r>
              <w:t>e; percent</w:t>
            </w:r>
            <w:r w:rsidRPr="009C4446">
              <w:t xml:space="preserve"> </w:t>
            </w:r>
            <w:r>
              <w:t xml:space="preserve">of samples </w:t>
            </w:r>
            <w:r w:rsidRPr="009C4446">
              <w:t>above detection limit</w:t>
            </w:r>
          </w:p>
        </w:tc>
        <w:tc>
          <w:tcPr>
            <w:tcW w:w="2681" w:type="dxa"/>
            <w:tcMar>
              <w:left w:w="58" w:type="dxa"/>
              <w:right w:w="58" w:type="dxa"/>
            </w:tcMar>
          </w:tcPr>
          <w:p w:rsidR="00DE6B9A" w:rsidRDefault="00DE6B9A" w:rsidP="00E41F54">
            <w:pPr>
              <w:spacing w:after="60" w:line="240" w:lineRule="auto"/>
            </w:pPr>
            <w:r w:rsidRPr="009C4446">
              <w:t>All (440</w:t>
            </w:r>
            <w:r w:rsidR="00246FF1">
              <w:t>*</w:t>
            </w:r>
            <w:r w:rsidRPr="009C4446">
              <w:t xml:space="preserve"> personal </w:t>
            </w:r>
            <w:r>
              <w:t>samplers</w:t>
            </w:r>
            <w:r w:rsidRPr="009C4446">
              <w:t xml:space="preserve">, </w:t>
            </w:r>
            <w:r w:rsidRPr="00040D11">
              <w:t>160</w:t>
            </w:r>
            <w:r w:rsidR="00040D11">
              <w:t>*</w:t>
            </w:r>
            <w:r w:rsidRPr="00040D11">
              <w:t xml:space="preserve"> fixed platform</w:t>
            </w:r>
            <w:r>
              <w:t xml:space="preserve"> (i.e., indoor and outdoor), dust 500</w:t>
            </w:r>
            <w:r w:rsidRPr="009C4446">
              <w:t xml:space="preserve">); Urban (350 personal </w:t>
            </w:r>
            <w:r>
              <w:t>samplers</w:t>
            </w:r>
            <w:r w:rsidRPr="009C4446">
              <w:t>, 130 fixed platforms</w:t>
            </w:r>
            <w:r>
              <w:t>, 400 dust</w:t>
            </w:r>
            <w:r w:rsidRPr="009C4446">
              <w:t xml:space="preserve">); Rural (90 personal </w:t>
            </w:r>
            <w:r>
              <w:t>samplers</w:t>
            </w:r>
            <w:r w:rsidRPr="009C4446">
              <w:t>, 30 fixed platforms</w:t>
            </w:r>
            <w:r>
              <w:t>, 100 dust</w:t>
            </w:r>
            <w:r w:rsidRPr="009C4446">
              <w:t>)</w:t>
            </w:r>
          </w:p>
          <w:p w:rsidR="00246FF1" w:rsidRDefault="00246FF1" w:rsidP="00E41F54">
            <w:pPr>
              <w:spacing w:after="60" w:line="240" w:lineRule="auto"/>
            </w:pPr>
            <w:r w:rsidRPr="004507CC">
              <w:rPr>
                <w:sz w:val="18"/>
                <w:szCs w:val="18"/>
              </w:rPr>
              <w:t>*Estimated number of eligible participants</w:t>
            </w:r>
            <w:r w:rsidR="00040D11">
              <w:rPr>
                <w:sz w:val="18"/>
                <w:szCs w:val="18"/>
              </w:rPr>
              <w:t xml:space="preserve"> who will</w:t>
            </w:r>
            <w:r>
              <w:rPr>
                <w:sz w:val="18"/>
                <w:szCs w:val="18"/>
              </w:rPr>
              <w:t xml:space="preserve"> wear the personal sampler</w:t>
            </w:r>
            <w:r w:rsidRPr="004507CC">
              <w:rPr>
                <w:sz w:val="18"/>
                <w:szCs w:val="18"/>
              </w:rPr>
              <w:t>, aged ≥7 years</w:t>
            </w:r>
            <w:r w:rsidR="003970E0">
              <w:rPr>
                <w:sz w:val="18"/>
                <w:szCs w:val="18"/>
              </w:rPr>
              <w:t>.  “Fixed platforms” will be installed in the homes of the 60 participants who are too young to wear the personal sampler</w:t>
            </w:r>
            <w:r w:rsidR="00040D11">
              <w:rPr>
                <w:sz w:val="18"/>
                <w:szCs w:val="18"/>
              </w:rPr>
              <w:t xml:space="preserve"> (&lt;7 yrs)</w:t>
            </w:r>
            <w:r w:rsidR="003970E0">
              <w:rPr>
                <w:sz w:val="18"/>
                <w:szCs w:val="18"/>
              </w:rPr>
              <w:t xml:space="preserve"> plus 100 additional participants</w:t>
            </w:r>
            <w:r w:rsidR="00C529F9">
              <w:rPr>
                <w:sz w:val="18"/>
                <w:szCs w:val="18"/>
              </w:rPr>
              <w:t xml:space="preserve"> who are wearing the personal sampler</w:t>
            </w:r>
            <w:r w:rsidR="003970E0">
              <w:rPr>
                <w:sz w:val="18"/>
                <w:szCs w:val="18"/>
              </w:rPr>
              <w:t xml:space="preserve">. </w:t>
            </w:r>
            <w:r w:rsidR="00722D38">
              <w:rPr>
                <w:sz w:val="18"/>
                <w:szCs w:val="18"/>
              </w:rPr>
              <w:t>This subgroup of 100 represents the group that will be examined in the next row “Exposure misclassification”.</w:t>
            </w:r>
          </w:p>
        </w:tc>
      </w:tr>
      <w:tr w:rsidR="00DE6B9A" w:rsidRPr="00D6722B" w:rsidTr="000E120A">
        <w:trPr>
          <w:cantSplit/>
        </w:trPr>
        <w:tc>
          <w:tcPr>
            <w:tcW w:w="2145" w:type="dxa"/>
            <w:tcMar>
              <w:left w:w="58" w:type="dxa"/>
              <w:right w:w="58" w:type="dxa"/>
            </w:tcMar>
          </w:tcPr>
          <w:p w:rsidR="00DE6B9A" w:rsidRPr="00D6722B" w:rsidRDefault="00DE6B9A" w:rsidP="00E41F54">
            <w:pPr>
              <w:spacing w:after="60" w:line="240" w:lineRule="auto"/>
            </w:pPr>
            <w:r>
              <w:lastRenderedPageBreak/>
              <w:t>Exposure misclassification</w:t>
            </w:r>
          </w:p>
        </w:tc>
        <w:tc>
          <w:tcPr>
            <w:tcW w:w="2524" w:type="dxa"/>
            <w:tcMar>
              <w:left w:w="58" w:type="dxa"/>
              <w:right w:w="58" w:type="dxa"/>
            </w:tcMar>
          </w:tcPr>
          <w:p w:rsidR="00DE6B9A" w:rsidRPr="00D6722B" w:rsidRDefault="00DE6B9A" w:rsidP="0058731A">
            <w:pPr>
              <w:spacing w:after="60" w:line="240" w:lineRule="auto"/>
            </w:pPr>
            <w:r>
              <w:t xml:space="preserve">Quintile assignment of environmental data (personal, indoor, outdoor, dust from Baseline and 6-month Follow-up </w:t>
            </w:r>
            <w:r w:rsidR="002E76DB">
              <w:t>A</w:t>
            </w:r>
            <w:r>
              <w:t>ssessments);</w:t>
            </w:r>
            <w:r w:rsidR="0058731A">
              <w:t xml:space="preserve"> Q</w:t>
            </w:r>
            <w:r>
              <w:t xml:space="preserve">uintile </w:t>
            </w:r>
            <w:r w:rsidRPr="00D01843">
              <w:t>assignment of exposure</w:t>
            </w:r>
            <w:r>
              <w:t xml:space="preserve"> (e.g., children with highest contaminant level measurements or children with highest biomarker level) (monitor, biomarker data from Baseline and 6-month Follow-up </w:t>
            </w:r>
            <w:r w:rsidR="0058731A">
              <w:t>A</w:t>
            </w:r>
            <w:r>
              <w:t>ssessments)</w:t>
            </w:r>
          </w:p>
        </w:tc>
        <w:tc>
          <w:tcPr>
            <w:tcW w:w="2018" w:type="dxa"/>
            <w:tcMar>
              <w:left w:w="58" w:type="dxa"/>
              <w:right w:w="58" w:type="dxa"/>
            </w:tcMar>
          </w:tcPr>
          <w:p w:rsidR="00DE6B9A" w:rsidRPr="00D6722B" w:rsidRDefault="00DE6B9A" w:rsidP="00E41F54">
            <w:pPr>
              <w:spacing w:after="60" w:line="240" w:lineRule="auto"/>
            </w:pPr>
            <w:r>
              <w:t>Quintile agreement between environmental and biomarker by subgroup; quintile agreement  between exposure measured by different platforms</w:t>
            </w:r>
          </w:p>
        </w:tc>
        <w:tc>
          <w:tcPr>
            <w:tcW w:w="2681" w:type="dxa"/>
            <w:tcMar>
              <w:left w:w="58" w:type="dxa"/>
              <w:right w:w="58" w:type="dxa"/>
            </w:tcMar>
          </w:tcPr>
          <w:p w:rsidR="00DE6B9A" w:rsidRDefault="00DE6B9A" w:rsidP="00E41F54">
            <w:pPr>
              <w:spacing w:after="60" w:line="240" w:lineRule="auto"/>
            </w:pPr>
            <w:r>
              <w:t>All (100*); Urban (75); Rural (25)</w:t>
            </w:r>
          </w:p>
          <w:p w:rsidR="00DE6B9A" w:rsidRDefault="00DE6B9A" w:rsidP="00E41F54">
            <w:pPr>
              <w:spacing w:after="60" w:line="240" w:lineRule="auto"/>
            </w:pPr>
          </w:p>
          <w:p w:rsidR="00DE6B9A" w:rsidRDefault="00DE6B9A" w:rsidP="00E41F54">
            <w:pPr>
              <w:spacing w:after="60" w:line="240" w:lineRule="auto"/>
              <w:rPr>
                <w:sz w:val="18"/>
                <w:szCs w:val="18"/>
              </w:rPr>
            </w:pPr>
          </w:p>
          <w:p w:rsidR="00DE6B9A" w:rsidRDefault="00DE6B9A" w:rsidP="00E41F54">
            <w:pPr>
              <w:spacing w:after="60" w:line="240" w:lineRule="auto"/>
              <w:rPr>
                <w:sz w:val="18"/>
                <w:szCs w:val="18"/>
              </w:rPr>
            </w:pPr>
          </w:p>
          <w:p w:rsidR="00DE6B9A" w:rsidRDefault="00DE6B9A" w:rsidP="00E41F54">
            <w:pPr>
              <w:spacing w:after="60" w:line="240" w:lineRule="auto"/>
              <w:rPr>
                <w:sz w:val="18"/>
                <w:szCs w:val="18"/>
              </w:rPr>
            </w:pPr>
          </w:p>
          <w:p w:rsidR="00DE6B9A" w:rsidRDefault="00DE6B9A" w:rsidP="00E41F54">
            <w:pPr>
              <w:spacing w:after="60" w:line="240" w:lineRule="auto"/>
              <w:rPr>
                <w:sz w:val="18"/>
                <w:szCs w:val="18"/>
              </w:rPr>
            </w:pPr>
          </w:p>
          <w:p w:rsidR="00DE6B9A" w:rsidRDefault="00DE6B9A" w:rsidP="00E41F54">
            <w:pPr>
              <w:spacing w:after="60" w:line="240" w:lineRule="auto"/>
              <w:rPr>
                <w:sz w:val="18"/>
                <w:szCs w:val="18"/>
              </w:rPr>
            </w:pPr>
          </w:p>
          <w:p w:rsidR="00DE6B9A" w:rsidRDefault="00DE6B9A" w:rsidP="00E41F54">
            <w:pPr>
              <w:spacing w:after="60" w:line="240" w:lineRule="auto"/>
              <w:rPr>
                <w:sz w:val="18"/>
                <w:szCs w:val="18"/>
              </w:rPr>
            </w:pPr>
          </w:p>
          <w:p w:rsidR="00DE6B9A" w:rsidRDefault="00DE6B9A" w:rsidP="00E41F54">
            <w:pPr>
              <w:spacing w:after="60" w:line="240" w:lineRule="auto"/>
              <w:rPr>
                <w:sz w:val="18"/>
                <w:szCs w:val="18"/>
              </w:rPr>
            </w:pPr>
          </w:p>
          <w:p w:rsidR="00DE6B9A" w:rsidRDefault="00DE6B9A" w:rsidP="00E41F54">
            <w:pPr>
              <w:spacing w:after="60" w:line="240" w:lineRule="auto"/>
              <w:rPr>
                <w:sz w:val="18"/>
                <w:szCs w:val="18"/>
              </w:rPr>
            </w:pPr>
          </w:p>
          <w:p w:rsidR="00DE6B9A" w:rsidRPr="00047220" w:rsidRDefault="00DE6B9A" w:rsidP="00E41F54">
            <w:pPr>
              <w:spacing w:after="60" w:line="240" w:lineRule="auto"/>
              <w:rPr>
                <w:sz w:val="18"/>
                <w:szCs w:val="18"/>
              </w:rPr>
            </w:pPr>
            <w:r w:rsidRPr="00047220">
              <w:rPr>
                <w:sz w:val="18"/>
                <w:szCs w:val="18"/>
              </w:rPr>
              <w:t>*a subgroup of 100 participants will have both environmental and biomarker measurements conducted.</w:t>
            </w:r>
          </w:p>
        </w:tc>
      </w:tr>
      <w:tr w:rsidR="00DE6B9A" w:rsidRPr="00D6722B" w:rsidTr="000E120A">
        <w:trPr>
          <w:cantSplit/>
          <w:trHeight w:val="2411"/>
        </w:trPr>
        <w:tc>
          <w:tcPr>
            <w:tcW w:w="2145" w:type="dxa"/>
            <w:tcMar>
              <w:left w:w="58" w:type="dxa"/>
              <w:right w:w="58" w:type="dxa"/>
            </w:tcMar>
          </w:tcPr>
          <w:p w:rsidR="00DE6B9A" w:rsidRDefault="00DE6B9A" w:rsidP="00E41F54">
            <w:pPr>
              <w:spacing w:after="60" w:line="240" w:lineRule="auto"/>
            </w:pPr>
            <w:r>
              <w:t>Distribution of exposures to environmental pollutants</w:t>
            </w:r>
          </w:p>
        </w:tc>
        <w:tc>
          <w:tcPr>
            <w:tcW w:w="2524" w:type="dxa"/>
            <w:tcMar>
              <w:left w:w="58" w:type="dxa"/>
              <w:right w:w="58" w:type="dxa"/>
            </w:tcMar>
          </w:tcPr>
          <w:p w:rsidR="00DE6B9A" w:rsidRDefault="00DE6B9A" w:rsidP="002E76DB">
            <w:pPr>
              <w:spacing w:after="60" w:line="240" w:lineRule="auto"/>
            </w:pPr>
            <w:r>
              <w:t xml:space="preserve">Contaminant level distribution by environmental sample platform (e.g., personal, indoor, outdoor, dust) (Baseline </w:t>
            </w:r>
            <w:r w:rsidR="002E76DB">
              <w:t>A</w:t>
            </w:r>
            <w:r>
              <w:t>ssessment)</w:t>
            </w:r>
          </w:p>
        </w:tc>
        <w:tc>
          <w:tcPr>
            <w:tcW w:w="2018" w:type="dxa"/>
            <w:tcMar>
              <w:left w:w="58" w:type="dxa"/>
              <w:right w:w="58" w:type="dxa"/>
            </w:tcMar>
          </w:tcPr>
          <w:p w:rsidR="00DE6B9A" w:rsidRDefault="00DE6B9A" w:rsidP="00E41F54">
            <w:pPr>
              <w:spacing w:after="60" w:line="240" w:lineRule="auto"/>
            </w:pPr>
            <w:r>
              <w:t>Descriptive statistics by subgroup</w:t>
            </w:r>
          </w:p>
        </w:tc>
        <w:tc>
          <w:tcPr>
            <w:tcW w:w="2681" w:type="dxa"/>
            <w:tcMar>
              <w:left w:w="58" w:type="dxa"/>
              <w:right w:w="58" w:type="dxa"/>
            </w:tcMar>
          </w:tcPr>
          <w:p w:rsidR="00E41F54" w:rsidRDefault="00DE6B9A" w:rsidP="0058731A">
            <w:pPr>
              <w:spacing w:after="60" w:line="240" w:lineRule="auto"/>
            </w:pPr>
            <w:r>
              <w:t>All (440</w:t>
            </w:r>
            <w:r w:rsidR="00975CE6">
              <w:t>*</w:t>
            </w:r>
            <w:r>
              <w:t xml:space="preserve"> personal sampler, 160 fixed platform, 500 dust); Urban (350 personal sampler, 130 fixed platforms, 400 dust); Rural (90 personal sampler, 30 fixed platforms, 100 dust)</w:t>
            </w:r>
          </w:p>
          <w:p w:rsidR="00DE6B9A" w:rsidRPr="004507CC" w:rsidRDefault="00975CE6" w:rsidP="00E41F54">
            <w:pPr>
              <w:spacing w:after="60" w:line="240" w:lineRule="auto"/>
              <w:rPr>
                <w:sz w:val="18"/>
                <w:szCs w:val="18"/>
              </w:rPr>
            </w:pPr>
            <w:r w:rsidRPr="004507CC">
              <w:rPr>
                <w:sz w:val="18"/>
                <w:szCs w:val="18"/>
              </w:rPr>
              <w:t>*Estimated number of eligible participants</w:t>
            </w:r>
            <w:r>
              <w:rPr>
                <w:sz w:val="18"/>
                <w:szCs w:val="18"/>
              </w:rPr>
              <w:t xml:space="preserve"> </w:t>
            </w:r>
            <w:r w:rsidR="00040D11">
              <w:rPr>
                <w:sz w:val="18"/>
                <w:szCs w:val="18"/>
              </w:rPr>
              <w:t>who will</w:t>
            </w:r>
            <w:r>
              <w:rPr>
                <w:sz w:val="18"/>
                <w:szCs w:val="18"/>
              </w:rPr>
              <w:t xml:space="preserve"> wear the personal sampler</w:t>
            </w:r>
            <w:r w:rsidRPr="004507CC">
              <w:rPr>
                <w:sz w:val="18"/>
                <w:szCs w:val="18"/>
              </w:rPr>
              <w:t>, aged ≥7 years</w:t>
            </w:r>
          </w:p>
        </w:tc>
      </w:tr>
      <w:tr w:rsidR="00DE6B9A" w:rsidRPr="00D6722B" w:rsidTr="000E120A">
        <w:trPr>
          <w:cantSplit/>
        </w:trPr>
        <w:tc>
          <w:tcPr>
            <w:tcW w:w="2145" w:type="dxa"/>
            <w:tcMar>
              <w:left w:w="58" w:type="dxa"/>
              <w:right w:w="58" w:type="dxa"/>
            </w:tcMar>
          </w:tcPr>
          <w:p w:rsidR="00DE6B9A" w:rsidRDefault="00DE6B9A" w:rsidP="00E41F54">
            <w:pPr>
              <w:spacing w:after="60" w:line="240" w:lineRule="auto"/>
            </w:pPr>
            <w:r>
              <w:t>Seasonal variability of exposures</w:t>
            </w:r>
          </w:p>
        </w:tc>
        <w:tc>
          <w:tcPr>
            <w:tcW w:w="2524" w:type="dxa"/>
            <w:tcMar>
              <w:left w:w="58" w:type="dxa"/>
              <w:right w:w="58" w:type="dxa"/>
            </w:tcMar>
          </w:tcPr>
          <w:p w:rsidR="00DE6B9A" w:rsidRDefault="00DE6B9A" w:rsidP="004C1E8D">
            <w:pPr>
              <w:spacing w:after="60" w:line="240" w:lineRule="auto"/>
            </w:pPr>
            <w:r>
              <w:t xml:space="preserve">Contaminant levels from environmental samplers (e.g., personal, indoor, outdoor, dust)  (Baseline and 6-month </w:t>
            </w:r>
            <w:r w:rsidR="004C1E8D">
              <w:t>A</w:t>
            </w:r>
            <w:r>
              <w:t>ssessments)</w:t>
            </w:r>
          </w:p>
        </w:tc>
        <w:tc>
          <w:tcPr>
            <w:tcW w:w="2018" w:type="dxa"/>
            <w:tcMar>
              <w:left w:w="58" w:type="dxa"/>
              <w:right w:w="58" w:type="dxa"/>
            </w:tcMar>
          </w:tcPr>
          <w:p w:rsidR="00DE6B9A" w:rsidRDefault="00DE6B9A" w:rsidP="00E41F54">
            <w:pPr>
              <w:spacing w:after="60" w:line="240" w:lineRule="auto"/>
            </w:pPr>
            <w:r>
              <w:t>Variability of paired differences (intra-household, intra-individual); Difference in means between assessment periods</w:t>
            </w:r>
          </w:p>
        </w:tc>
        <w:tc>
          <w:tcPr>
            <w:tcW w:w="2681" w:type="dxa"/>
            <w:tcMar>
              <w:left w:w="58" w:type="dxa"/>
              <w:right w:w="58" w:type="dxa"/>
            </w:tcMar>
          </w:tcPr>
          <w:p w:rsidR="00DE6B9A" w:rsidRDefault="00DE6B9A" w:rsidP="00E41F54">
            <w:pPr>
              <w:spacing w:after="60" w:line="240" w:lineRule="auto"/>
            </w:pPr>
            <w:r>
              <w:t>All (</w:t>
            </w:r>
            <w:r w:rsidR="00A677DD">
              <w:t>396</w:t>
            </w:r>
            <w:r>
              <w:t xml:space="preserve"> personal sampler, 1</w:t>
            </w:r>
            <w:r w:rsidR="00024DF2">
              <w:t>44</w:t>
            </w:r>
            <w:r>
              <w:t xml:space="preserve"> fixed platform, 450 dust); Urban (31</w:t>
            </w:r>
            <w:r w:rsidR="00024DF2">
              <w:t>5</w:t>
            </w:r>
            <w:r>
              <w:t xml:space="preserve"> personal sampler, 1</w:t>
            </w:r>
            <w:r w:rsidR="00024DF2">
              <w:t>17</w:t>
            </w:r>
            <w:r>
              <w:t xml:space="preserve"> fixed platforms, 360 dust); Rural (8</w:t>
            </w:r>
            <w:r w:rsidR="00024DF2">
              <w:t>1</w:t>
            </w:r>
            <w:r>
              <w:t xml:space="preserve"> personal sampler, 2</w:t>
            </w:r>
            <w:r w:rsidR="00024DF2">
              <w:t>7</w:t>
            </w:r>
            <w:r w:rsidR="00641EB4">
              <w:t xml:space="preserve"> </w:t>
            </w:r>
            <w:r>
              <w:t>fixed platforms,</w:t>
            </w:r>
            <w:r w:rsidR="004C1E8D">
              <w:t xml:space="preserve"> </w:t>
            </w:r>
            <w:r>
              <w:t>90 dust)</w:t>
            </w:r>
          </w:p>
        </w:tc>
      </w:tr>
      <w:tr w:rsidR="00DE6B9A" w:rsidRPr="00D6722B" w:rsidTr="000E120A">
        <w:trPr>
          <w:cantSplit/>
        </w:trPr>
        <w:tc>
          <w:tcPr>
            <w:tcW w:w="9368" w:type="dxa"/>
            <w:gridSpan w:val="4"/>
            <w:tcMar>
              <w:left w:w="58" w:type="dxa"/>
              <w:right w:w="58" w:type="dxa"/>
            </w:tcMar>
          </w:tcPr>
          <w:p w:rsidR="00DE6B9A" w:rsidRPr="003A2A2B" w:rsidRDefault="00DE6B9A" w:rsidP="00E41F54">
            <w:pPr>
              <w:spacing w:after="60" w:line="240" w:lineRule="auto"/>
              <w:rPr>
                <w:i/>
              </w:rPr>
            </w:pPr>
            <w:r w:rsidRPr="003A2A2B">
              <w:rPr>
                <w:i/>
              </w:rPr>
              <w:t>Biomarker data collection:  participation, ability to assess exposures, and data quality</w:t>
            </w:r>
          </w:p>
        </w:tc>
      </w:tr>
      <w:tr w:rsidR="00DE6B9A" w:rsidRPr="00D6722B" w:rsidTr="000E120A">
        <w:trPr>
          <w:cantSplit/>
        </w:trPr>
        <w:tc>
          <w:tcPr>
            <w:tcW w:w="2145" w:type="dxa"/>
            <w:tcMar>
              <w:left w:w="58" w:type="dxa"/>
              <w:right w:w="58" w:type="dxa"/>
            </w:tcMar>
          </w:tcPr>
          <w:p w:rsidR="00DE6B9A" w:rsidRDefault="00DE6B9A" w:rsidP="00E41F54">
            <w:pPr>
              <w:spacing w:after="60" w:line="240" w:lineRule="auto"/>
            </w:pPr>
            <w:proofErr w:type="spellStart"/>
            <w:r>
              <w:t>Biospecimen</w:t>
            </w:r>
            <w:proofErr w:type="spellEnd"/>
            <w:r>
              <w:t xml:space="preserve"> participation rate</w:t>
            </w:r>
          </w:p>
        </w:tc>
        <w:tc>
          <w:tcPr>
            <w:tcW w:w="2524" w:type="dxa"/>
            <w:tcMar>
              <w:left w:w="58" w:type="dxa"/>
              <w:right w:w="58" w:type="dxa"/>
            </w:tcMar>
          </w:tcPr>
          <w:p w:rsidR="00DE6B9A" w:rsidRDefault="00DE6B9A" w:rsidP="0058731A">
            <w:pPr>
              <w:spacing w:after="60" w:line="240" w:lineRule="auto"/>
            </w:pPr>
            <w:r>
              <w:t xml:space="preserve">Percent participating (Session 2 in Baseline and 6-month Follow-up </w:t>
            </w:r>
            <w:r w:rsidR="00E41F54">
              <w:t>A</w:t>
            </w:r>
            <w:r>
              <w:t>ssessments)</w:t>
            </w:r>
          </w:p>
        </w:tc>
        <w:tc>
          <w:tcPr>
            <w:tcW w:w="2018" w:type="dxa"/>
            <w:tcMar>
              <w:left w:w="58" w:type="dxa"/>
              <w:right w:w="58" w:type="dxa"/>
            </w:tcMar>
          </w:tcPr>
          <w:p w:rsidR="00DE6B9A" w:rsidRDefault="00DE6B9A" w:rsidP="00E41F54">
            <w:pPr>
              <w:spacing w:after="60" w:line="240" w:lineRule="auto"/>
            </w:pPr>
            <w:r>
              <w:t>Estimate percentage by subgroup and wave</w:t>
            </w:r>
          </w:p>
        </w:tc>
        <w:tc>
          <w:tcPr>
            <w:tcW w:w="2681" w:type="dxa"/>
            <w:tcMar>
              <w:left w:w="58" w:type="dxa"/>
              <w:right w:w="58" w:type="dxa"/>
            </w:tcMar>
          </w:tcPr>
          <w:p w:rsidR="00DE6B9A" w:rsidRPr="00714D8B" w:rsidRDefault="00DE6B9A" w:rsidP="00E41F54">
            <w:pPr>
              <w:spacing w:after="60" w:line="240" w:lineRule="auto"/>
            </w:pPr>
            <w:r>
              <w:t>All (Baseline: 500, Follow-up: 450); Children &lt;5 (30, 2</w:t>
            </w:r>
            <w:r w:rsidR="009D0E81">
              <w:t>7</w:t>
            </w:r>
            <w:r>
              <w:t>); Children</w:t>
            </w:r>
            <w:r w:rsidR="009D0E81">
              <w:t xml:space="preserve"> </w:t>
            </w:r>
            <w:r>
              <w:rPr>
                <w:u w:val="single"/>
              </w:rPr>
              <w:t>&gt;</w:t>
            </w:r>
            <w:r>
              <w:t>5 (470, 4</w:t>
            </w:r>
            <w:r w:rsidR="009D0E81">
              <w:t>2</w:t>
            </w:r>
            <w:r w:rsidR="00A677DD">
              <w:t>3</w:t>
            </w:r>
            <w:r>
              <w:t>)</w:t>
            </w:r>
          </w:p>
        </w:tc>
      </w:tr>
      <w:tr w:rsidR="00DE6B9A" w:rsidRPr="00D6722B" w:rsidTr="000E120A">
        <w:trPr>
          <w:cantSplit/>
        </w:trPr>
        <w:tc>
          <w:tcPr>
            <w:tcW w:w="2145" w:type="dxa"/>
            <w:tcMar>
              <w:left w:w="58" w:type="dxa"/>
              <w:right w:w="58" w:type="dxa"/>
            </w:tcMar>
          </w:tcPr>
          <w:p w:rsidR="00DE6B9A" w:rsidRPr="00D6722B" w:rsidRDefault="00DE6B9A" w:rsidP="00E41F54">
            <w:pPr>
              <w:spacing w:after="60" w:line="240" w:lineRule="auto"/>
            </w:pPr>
            <w:proofErr w:type="spellStart"/>
            <w:r>
              <w:t>Biospecimen</w:t>
            </w:r>
            <w:proofErr w:type="spellEnd"/>
            <w:r>
              <w:t xml:space="preserve"> shipping/storage</w:t>
            </w:r>
          </w:p>
        </w:tc>
        <w:tc>
          <w:tcPr>
            <w:tcW w:w="2524" w:type="dxa"/>
            <w:tcMar>
              <w:left w:w="58" w:type="dxa"/>
              <w:right w:w="58" w:type="dxa"/>
            </w:tcMar>
          </w:tcPr>
          <w:p w:rsidR="00DE6B9A" w:rsidRPr="00D6722B" w:rsidRDefault="00DE6B9A" w:rsidP="00E41F54">
            <w:pPr>
              <w:spacing w:after="60" w:line="240" w:lineRule="auto"/>
            </w:pPr>
            <w:r>
              <w:t>Loss percentage</w:t>
            </w:r>
          </w:p>
        </w:tc>
        <w:tc>
          <w:tcPr>
            <w:tcW w:w="2018" w:type="dxa"/>
            <w:tcMar>
              <w:left w:w="58" w:type="dxa"/>
              <w:right w:w="58" w:type="dxa"/>
            </w:tcMar>
          </w:tcPr>
          <w:p w:rsidR="00DE6B9A" w:rsidRPr="00D6722B" w:rsidRDefault="00DE6B9A" w:rsidP="00E41F54">
            <w:pPr>
              <w:spacing w:after="60" w:line="240" w:lineRule="auto"/>
            </w:pPr>
            <w:r>
              <w:t>Estimate percent  loss during shipment or percent with poor quality after storage</w:t>
            </w:r>
          </w:p>
        </w:tc>
        <w:tc>
          <w:tcPr>
            <w:tcW w:w="2681" w:type="dxa"/>
            <w:tcMar>
              <w:left w:w="58" w:type="dxa"/>
              <w:right w:w="58" w:type="dxa"/>
            </w:tcMar>
          </w:tcPr>
          <w:p w:rsidR="00DE6B9A" w:rsidRPr="00D6722B" w:rsidRDefault="00DE6B9A" w:rsidP="00E41F54">
            <w:pPr>
              <w:spacing w:after="60" w:line="240" w:lineRule="auto"/>
            </w:pPr>
            <w:r>
              <w:t>All (~4000)</w:t>
            </w:r>
          </w:p>
        </w:tc>
      </w:tr>
      <w:tr w:rsidR="00DE6B9A" w:rsidRPr="00D6722B" w:rsidTr="000E120A">
        <w:trPr>
          <w:cantSplit/>
        </w:trPr>
        <w:tc>
          <w:tcPr>
            <w:tcW w:w="2145" w:type="dxa"/>
            <w:tcMar>
              <w:left w:w="58" w:type="dxa"/>
              <w:right w:w="58" w:type="dxa"/>
            </w:tcMar>
          </w:tcPr>
          <w:p w:rsidR="00DE6B9A" w:rsidRDefault="00DE6B9A" w:rsidP="00E41F54">
            <w:pPr>
              <w:spacing w:after="60" w:line="240" w:lineRule="auto"/>
            </w:pPr>
            <w:r>
              <w:lastRenderedPageBreak/>
              <w:t>Biomarker data quality</w:t>
            </w:r>
          </w:p>
        </w:tc>
        <w:tc>
          <w:tcPr>
            <w:tcW w:w="2524" w:type="dxa"/>
            <w:tcMar>
              <w:left w:w="58" w:type="dxa"/>
              <w:right w:w="58" w:type="dxa"/>
            </w:tcMar>
          </w:tcPr>
          <w:p w:rsidR="00DE6B9A" w:rsidRPr="009C4446" w:rsidRDefault="00DE6B9A" w:rsidP="00E41F54">
            <w:pPr>
              <w:spacing w:after="60" w:line="240" w:lineRule="auto"/>
            </w:pPr>
            <w:r>
              <w:t>Biomarker levels by medium (urine, blood)</w:t>
            </w:r>
            <w:r>
              <w:br/>
              <w:t>(Laboratory data base)</w:t>
            </w:r>
          </w:p>
        </w:tc>
        <w:tc>
          <w:tcPr>
            <w:tcW w:w="2018" w:type="dxa"/>
            <w:tcMar>
              <w:left w:w="58" w:type="dxa"/>
              <w:right w:w="58" w:type="dxa"/>
            </w:tcMar>
          </w:tcPr>
          <w:p w:rsidR="00DE6B9A" w:rsidRPr="009C4446" w:rsidRDefault="00DE6B9A" w:rsidP="00E41F54">
            <w:pPr>
              <w:spacing w:after="60" w:line="240" w:lineRule="auto"/>
            </w:pPr>
            <w:r>
              <w:t>Percent</w:t>
            </w:r>
            <w:r w:rsidRPr="009C4446">
              <w:t xml:space="preserve"> </w:t>
            </w:r>
            <w:r>
              <w:t xml:space="preserve">of samples </w:t>
            </w:r>
            <w:r w:rsidRPr="009C4446">
              <w:t>complete, accura</w:t>
            </w:r>
            <w:r>
              <w:t>te</w:t>
            </w:r>
            <w:r w:rsidRPr="009C4446">
              <w:t>, precis</w:t>
            </w:r>
            <w:r>
              <w:t>e; percent</w:t>
            </w:r>
            <w:r w:rsidRPr="009C4446">
              <w:t xml:space="preserve"> </w:t>
            </w:r>
            <w:r>
              <w:t xml:space="preserve">of samples </w:t>
            </w:r>
            <w:r w:rsidRPr="009C4446">
              <w:t>above detection limit</w:t>
            </w:r>
          </w:p>
        </w:tc>
        <w:tc>
          <w:tcPr>
            <w:tcW w:w="2681" w:type="dxa"/>
            <w:tcMar>
              <w:left w:w="58" w:type="dxa"/>
              <w:right w:w="58" w:type="dxa"/>
            </w:tcMar>
          </w:tcPr>
          <w:p w:rsidR="00EB2A84" w:rsidRDefault="00DE6B9A" w:rsidP="0058731A">
            <w:pPr>
              <w:spacing w:after="60" w:line="240" w:lineRule="auto"/>
            </w:pPr>
            <w:r>
              <w:t>All (500 urine, 470</w:t>
            </w:r>
            <w:r w:rsidR="00EB2A84">
              <w:t>*</w:t>
            </w:r>
            <w:r>
              <w:t xml:space="preserve"> blood)</w:t>
            </w:r>
          </w:p>
          <w:p w:rsidR="00EB2A84" w:rsidRPr="00EB2A84" w:rsidRDefault="00EB2A84" w:rsidP="00E41F54">
            <w:pPr>
              <w:spacing w:after="60" w:line="240" w:lineRule="auto"/>
              <w:rPr>
                <w:sz w:val="18"/>
                <w:szCs w:val="18"/>
              </w:rPr>
            </w:pPr>
            <w:r w:rsidRPr="00EB2A84">
              <w:rPr>
                <w:sz w:val="18"/>
                <w:szCs w:val="18"/>
              </w:rPr>
              <w:t>*</w:t>
            </w:r>
            <w:r>
              <w:rPr>
                <w:sz w:val="18"/>
                <w:szCs w:val="18"/>
              </w:rPr>
              <w:t>B</w:t>
            </w:r>
            <w:r w:rsidRPr="00EB2A84">
              <w:rPr>
                <w:sz w:val="18"/>
                <w:szCs w:val="18"/>
              </w:rPr>
              <w:t>lood will not be drawn on participants &lt;5 years</w:t>
            </w:r>
            <w:r>
              <w:rPr>
                <w:sz w:val="18"/>
                <w:szCs w:val="18"/>
              </w:rPr>
              <w:t>; all participants will provide urine samples.</w:t>
            </w:r>
          </w:p>
        </w:tc>
      </w:tr>
      <w:tr w:rsidR="00DE6B9A" w:rsidRPr="00D6722B" w:rsidTr="000E120A">
        <w:trPr>
          <w:cantSplit/>
        </w:trPr>
        <w:tc>
          <w:tcPr>
            <w:tcW w:w="2145" w:type="dxa"/>
            <w:tcMar>
              <w:left w:w="58" w:type="dxa"/>
              <w:right w:w="58" w:type="dxa"/>
            </w:tcMar>
          </w:tcPr>
          <w:p w:rsidR="00DE6B9A" w:rsidRDefault="00DE6B9A" w:rsidP="00E41F54">
            <w:pPr>
              <w:spacing w:after="60" w:line="240" w:lineRule="auto"/>
            </w:pPr>
            <w:r>
              <w:t>Biomarker distribution</w:t>
            </w:r>
          </w:p>
        </w:tc>
        <w:tc>
          <w:tcPr>
            <w:tcW w:w="2524" w:type="dxa"/>
            <w:tcMar>
              <w:left w:w="58" w:type="dxa"/>
              <w:right w:w="58" w:type="dxa"/>
            </w:tcMar>
          </w:tcPr>
          <w:p w:rsidR="00DE6B9A" w:rsidRDefault="00DE6B9A" w:rsidP="00E41F54">
            <w:pPr>
              <w:spacing w:after="60" w:line="240" w:lineRule="auto"/>
            </w:pPr>
            <w:r>
              <w:t>Biomarker levels by mediu</w:t>
            </w:r>
            <w:r w:rsidR="0058731A">
              <w:t>m (urine and blood</w:t>
            </w:r>
            <w:r w:rsidR="004C1E8D">
              <w:t>)</w:t>
            </w:r>
            <w:r w:rsidR="0058731A">
              <w:t xml:space="preserve"> at Baseline A</w:t>
            </w:r>
            <w:r>
              <w:t>ssessment</w:t>
            </w:r>
            <w:r w:rsidR="004C1E8D">
              <w:t xml:space="preserve"> (Laboratory data base</w:t>
            </w:r>
            <w:r>
              <w:t>)</w:t>
            </w:r>
          </w:p>
        </w:tc>
        <w:tc>
          <w:tcPr>
            <w:tcW w:w="2018" w:type="dxa"/>
            <w:tcMar>
              <w:left w:w="58" w:type="dxa"/>
              <w:right w:w="58" w:type="dxa"/>
            </w:tcMar>
          </w:tcPr>
          <w:p w:rsidR="00DE6B9A" w:rsidRDefault="00DE6B9A" w:rsidP="00E41F54">
            <w:pPr>
              <w:spacing w:after="60" w:line="240" w:lineRule="auto"/>
            </w:pPr>
            <w:r>
              <w:t>Descriptive statistics by subgroup</w:t>
            </w:r>
          </w:p>
        </w:tc>
        <w:tc>
          <w:tcPr>
            <w:tcW w:w="2681" w:type="dxa"/>
            <w:tcMar>
              <w:left w:w="58" w:type="dxa"/>
              <w:right w:w="58" w:type="dxa"/>
            </w:tcMar>
          </w:tcPr>
          <w:p w:rsidR="00DE6B9A" w:rsidRDefault="00DE6B9A" w:rsidP="00E41F54">
            <w:pPr>
              <w:spacing w:after="60" w:line="240" w:lineRule="auto"/>
            </w:pPr>
            <w:r>
              <w:t xml:space="preserve">All (500 urine, 470 blood); Urban (400 urine, 380 blood); Rural (100 urine, 90 blood) </w:t>
            </w:r>
          </w:p>
        </w:tc>
      </w:tr>
      <w:tr w:rsidR="00DE6B9A" w:rsidRPr="00D6722B" w:rsidTr="000E120A">
        <w:trPr>
          <w:cantSplit/>
        </w:trPr>
        <w:tc>
          <w:tcPr>
            <w:tcW w:w="2145" w:type="dxa"/>
            <w:tcMar>
              <w:left w:w="58" w:type="dxa"/>
              <w:right w:w="58" w:type="dxa"/>
            </w:tcMar>
          </w:tcPr>
          <w:p w:rsidR="00DE6B9A" w:rsidRDefault="00DE6B9A" w:rsidP="00E41F54">
            <w:pPr>
              <w:spacing w:after="60" w:line="240" w:lineRule="auto"/>
            </w:pPr>
            <w:r>
              <w:t>Seasonal variability of biomarkers</w:t>
            </w:r>
          </w:p>
        </w:tc>
        <w:tc>
          <w:tcPr>
            <w:tcW w:w="2524" w:type="dxa"/>
            <w:tcMar>
              <w:left w:w="58" w:type="dxa"/>
              <w:right w:w="58" w:type="dxa"/>
            </w:tcMar>
          </w:tcPr>
          <w:p w:rsidR="00DE6B9A" w:rsidRDefault="00DE6B9A" w:rsidP="000E120A">
            <w:pPr>
              <w:spacing w:after="60" w:line="240" w:lineRule="auto"/>
            </w:pPr>
            <w:r>
              <w:t xml:space="preserve">Biomarker levels by </w:t>
            </w:r>
            <w:r w:rsidR="000E120A">
              <w:t>medium at Baseline and 6-months</w:t>
            </w:r>
            <w:r w:rsidR="000E120A">
              <w:br/>
            </w:r>
            <w:r>
              <w:t>(Laboratory data base)</w:t>
            </w:r>
          </w:p>
        </w:tc>
        <w:tc>
          <w:tcPr>
            <w:tcW w:w="2018" w:type="dxa"/>
            <w:tcMar>
              <w:left w:w="58" w:type="dxa"/>
              <w:right w:w="58" w:type="dxa"/>
            </w:tcMar>
          </w:tcPr>
          <w:p w:rsidR="00DE6B9A" w:rsidRDefault="00DE6B9A" w:rsidP="00E41F54">
            <w:pPr>
              <w:spacing w:after="60" w:line="240" w:lineRule="auto"/>
            </w:pPr>
            <w:r>
              <w:t>Variability of paired differences (intra-household, intra-individual); Difference in means between assessment periods</w:t>
            </w:r>
          </w:p>
        </w:tc>
        <w:tc>
          <w:tcPr>
            <w:tcW w:w="2681" w:type="dxa"/>
            <w:tcMar>
              <w:left w:w="58" w:type="dxa"/>
              <w:right w:w="58" w:type="dxa"/>
            </w:tcMar>
          </w:tcPr>
          <w:p w:rsidR="00DE6B9A" w:rsidRDefault="00DE6B9A" w:rsidP="00E41F54">
            <w:pPr>
              <w:spacing w:after="60" w:line="240" w:lineRule="auto"/>
            </w:pPr>
            <w:r>
              <w:t>All (450</w:t>
            </w:r>
            <w:r w:rsidR="00040D11">
              <w:t>*</w:t>
            </w:r>
            <w:r>
              <w:t xml:space="preserve"> urine, 42</w:t>
            </w:r>
            <w:r w:rsidR="00DA41D7">
              <w:t>3</w:t>
            </w:r>
            <w:r w:rsidR="00040D11">
              <w:t>*</w:t>
            </w:r>
            <w:r>
              <w:t xml:space="preserve"> blood); Urban (360 urine, 34</w:t>
            </w:r>
            <w:r w:rsidR="00DA41D7">
              <w:t>2</w:t>
            </w:r>
            <w:r>
              <w:t xml:space="preserve"> blood); Rural (90 urine, 8</w:t>
            </w:r>
            <w:r w:rsidR="00DA41D7">
              <w:t>1</w:t>
            </w:r>
            <w:r>
              <w:t xml:space="preserve"> blood)</w:t>
            </w:r>
          </w:p>
          <w:p w:rsidR="00040D11" w:rsidRPr="00040D11" w:rsidRDefault="00040D11" w:rsidP="00E41F54">
            <w:pPr>
              <w:spacing w:after="60" w:line="240" w:lineRule="auto"/>
              <w:rPr>
                <w:sz w:val="18"/>
                <w:szCs w:val="18"/>
              </w:rPr>
            </w:pPr>
            <w:r w:rsidRPr="00040D11">
              <w:rPr>
                <w:sz w:val="18"/>
                <w:szCs w:val="18"/>
              </w:rPr>
              <w:t>*Assuming 10% attrition at the 6-month Follow up.</w:t>
            </w:r>
          </w:p>
        </w:tc>
      </w:tr>
      <w:tr w:rsidR="00DE6B9A" w:rsidRPr="00D6722B" w:rsidTr="000E120A">
        <w:trPr>
          <w:cantSplit/>
        </w:trPr>
        <w:tc>
          <w:tcPr>
            <w:tcW w:w="2145" w:type="dxa"/>
            <w:tcMar>
              <w:left w:w="58" w:type="dxa"/>
              <w:right w:w="58" w:type="dxa"/>
            </w:tcMar>
          </w:tcPr>
          <w:p w:rsidR="00DE6B9A" w:rsidRPr="00234EBC" w:rsidRDefault="00DE6B9A" w:rsidP="00E41F54">
            <w:pPr>
              <w:spacing w:after="60" w:line="240" w:lineRule="auto"/>
            </w:pPr>
            <w:r w:rsidRPr="00234EBC">
              <w:t>Environmental sample or biomarker association with health outcome</w:t>
            </w:r>
          </w:p>
        </w:tc>
        <w:tc>
          <w:tcPr>
            <w:tcW w:w="2524" w:type="dxa"/>
            <w:tcMar>
              <w:left w:w="58" w:type="dxa"/>
              <w:right w:w="58" w:type="dxa"/>
            </w:tcMar>
          </w:tcPr>
          <w:p w:rsidR="00DE6B9A" w:rsidRPr="00234EBC" w:rsidRDefault="00DE6B9A" w:rsidP="00E41F54">
            <w:pPr>
              <w:spacing w:after="60" w:line="240" w:lineRule="auto"/>
            </w:pPr>
            <w:r w:rsidRPr="00234EBC">
              <w:t xml:space="preserve">Environmental, biomarker, and </w:t>
            </w:r>
            <w:r>
              <w:t xml:space="preserve">current and past </w:t>
            </w:r>
            <w:r w:rsidRPr="00234EBC">
              <w:t>health data (Baseline</w:t>
            </w:r>
            <w:r w:rsidR="002E76DB">
              <w:t xml:space="preserve"> A</w:t>
            </w:r>
            <w:r w:rsidR="00B37EA0">
              <w:t>ssessment; L</w:t>
            </w:r>
            <w:r>
              <w:t>aboratory data base</w:t>
            </w:r>
            <w:r w:rsidRPr="00234EBC">
              <w:t>)</w:t>
            </w:r>
          </w:p>
        </w:tc>
        <w:tc>
          <w:tcPr>
            <w:tcW w:w="2018" w:type="dxa"/>
            <w:tcMar>
              <w:left w:w="58" w:type="dxa"/>
              <w:right w:w="58" w:type="dxa"/>
            </w:tcMar>
          </w:tcPr>
          <w:p w:rsidR="00DE6B9A" w:rsidRPr="00234EBC" w:rsidRDefault="00DE6B9A" w:rsidP="00E41F54">
            <w:pPr>
              <w:spacing w:after="60" w:line="240" w:lineRule="auto"/>
            </w:pPr>
            <w:r w:rsidRPr="00234EBC">
              <w:t>Pearson correlations, multivariate analysis</w:t>
            </w:r>
          </w:p>
        </w:tc>
        <w:tc>
          <w:tcPr>
            <w:tcW w:w="2681" w:type="dxa"/>
            <w:tcMar>
              <w:left w:w="58" w:type="dxa"/>
              <w:right w:w="58" w:type="dxa"/>
            </w:tcMar>
          </w:tcPr>
          <w:p w:rsidR="00DE6B9A" w:rsidRDefault="00DE6B9A" w:rsidP="00E41F54">
            <w:pPr>
              <w:spacing w:after="60" w:line="240" w:lineRule="auto"/>
            </w:pPr>
            <w:r>
              <w:t>All (500 urine, 470 blood, 440 personal sampler, 160 fixed platform, 500 dust)</w:t>
            </w:r>
          </w:p>
        </w:tc>
      </w:tr>
      <w:tr w:rsidR="00DE6B9A" w:rsidRPr="00D6722B" w:rsidTr="000E120A">
        <w:trPr>
          <w:cantSplit/>
        </w:trPr>
        <w:tc>
          <w:tcPr>
            <w:tcW w:w="9368" w:type="dxa"/>
            <w:gridSpan w:val="4"/>
            <w:tcMar>
              <w:left w:w="58" w:type="dxa"/>
              <w:right w:w="58" w:type="dxa"/>
            </w:tcMar>
          </w:tcPr>
          <w:p w:rsidR="00DE6B9A" w:rsidRPr="003A2A2B" w:rsidRDefault="00DE6B9A" w:rsidP="00E41F54">
            <w:pPr>
              <w:spacing w:after="60" w:line="240" w:lineRule="auto"/>
              <w:rPr>
                <w:i/>
              </w:rPr>
            </w:pPr>
            <w:r w:rsidRPr="003A2A2B">
              <w:rPr>
                <w:i/>
              </w:rPr>
              <w:t>Other operational issues to assess residential recall, sample selection, and field operations</w:t>
            </w:r>
          </w:p>
        </w:tc>
      </w:tr>
      <w:tr w:rsidR="00DE6B9A" w:rsidRPr="00D6722B" w:rsidTr="000E120A">
        <w:trPr>
          <w:cantSplit/>
        </w:trPr>
        <w:tc>
          <w:tcPr>
            <w:tcW w:w="2145" w:type="dxa"/>
            <w:tcMar>
              <w:left w:w="58" w:type="dxa"/>
              <w:right w:w="58" w:type="dxa"/>
            </w:tcMar>
          </w:tcPr>
          <w:p w:rsidR="00DE6B9A" w:rsidRPr="00D6722B" w:rsidRDefault="00DE6B9A" w:rsidP="00E41F54">
            <w:pPr>
              <w:spacing w:after="60" w:line="240" w:lineRule="auto"/>
            </w:pPr>
            <w:r>
              <w:t>Agreement of trailer residence</w:t>
            </w:r>
          </w:p>
        </w:tc>
        <w:tc>
          <w:tcPr>
            <w:tcW w:w="2524" w:type="dxa"/>
            <w:tcMar>
              <w:left w:w="58" w:type="dxa"/>
              <w:right w:w="58" w:type="dxa"/>
            </w:tcMar>
          </w:tcPr>
          <w:p w:rsidR="00DE6B9A" w:rsidRPr="00D6722B" w:rsidRDefault="00DE6B9A" w:rsidP="00E41F54">
            <w:pPr>
              <w:spacing w:after="60" w:line="240" w:lineRule="auto"/>
            </w:pPr>
            <w:r>
              <w:t>Type and location of trailer, Length of residence (master FEMA data file, Baseline Session 1 interview)</w:t>
            </w:r>
          </w:p>
        </w:tc>
        <w:tc>
          <w:tcPr>
            <w:tcW w:w="2018" w:type="dxa"/>
            <w:tcMar>
              <w:left w:w="58" w:type="dxa"/>
              <w:right w:w="58" w:type="dxa"/>
            </w:tcMar>
          </w:tcPr>
          <w:p w:rsidR="00DE6B9A" w:rsidRPr="00D6722B" w:rsidRDefault="00DE6B9A" w:rsidP="00E41F54">
            <w:pPr>
              <w:spacing w:after="60" w:line="240" w:lineRule="auto"/>
            </w:pPr>
            <w:r>
              <w:t>Chi-square, quintile agreement</w:t>
            </w:r>
          </w:p>
        </w:tc>
        <w:tc>
          <w:tcPr>
            <w:tcW w:w="2681" w:type="dxa"/>
            <w:tcMar>
              <w:left w:w="58" w:type="dxa"/>
              <w:right w:w="58" w:type="dxa"/>
            </w:tcMar>
          </w:tcPr>
          <w:p w:rsidR="00DE6B9A" w:rsidRPr="00D6722B" w:rsidRDefault="00DE6B9A" w:rsidP="00E41F54">
            <w:pPr>
              <w:spacing w:after="60" w:line="240" w:lineRule="auto"/>
            </w:pPr>
            <w:r>
              <w:t>Exposed (250)</w:t>
            </w:r>
          </w:p>
        </w:tc>
      </w:tr>
      <w:tr w:rsidR="00DE6B9A" w:rsidRPr="00D6722B" w:rsidTr="000E120A">
        <w:trPr>
          <w:cantSplit/>
        </w:trPr>
        <w:tc>
          <w:tcPr>
            <w:tcW w:w="2145" w:type="dxa"/>
            <w:tcMar>
              <w:left w:w="58" w:type="dxa"/>
              <w:right w:w="58" w:type="dxa"/>
            </w:tcMar>
          </w:tcPr>
          <w:p w:rsidR="00DE6B9A" w:rsidRPr="00D6722B" w:rsidRDefault="00DE6B9A" w:rsidP="00E41F54">
            <w:pPr>
              <w:spacing w:after="60" w:line="240" w:lineRule="auto"/>
            </w:pPr>
            <w:r>
              <w:t>Multiple trailer exposures</w:t>
            </w:r>
          </w:p>
        </w:tc>
        <w:tc>
          <w:tcPr>
            <w:tcW w:w="2524" w:type="dxa"/>
            <w:tcMar>
              <w:left w:w="58" w:type="dxa"/>
              <w:right w:w="58" w:type="dxa"/>
            </w:tcMar>
          </w:tcPr>
          <w:p w:rsidR="00DE6B9A" w:rsidRPr="00D6722B" w:rsidRDefault="00DE6B9A" w:rsidP="00E41F54">
            <w:pPr>
              <w:spacing w:after="60" w:line="240" w:lineRule="auto"/>
            </w:pPr>
            <w:r>
              <w:t>Percent of exposed who lived in more than one trailer (master FEMA data file, Baseline Session 1 interview)</w:t>
            </w:r>
          </w:p>
        </w:tc>
        <w:tc>
          <w:tcPr>
            <w:tcW w:w="2018" w:type="dxa"/>
            <w:tcMar>
              <w:left w:w="58" w:type="dxa"/>
              <w:right w:w="58" w:type="dxa"/>
            </w:tcMar>
          </w:tcPr>
          <w:p w:rsidR="00DE6B9A" w:rsidRPr="00D6722B" w:rsidRDefault="00DE6B9A" w:rsidP="00E41F54">
            <w:pPr>
              <w:spacing w:after="60" w:line="240" w:lineRule="auto"/>
            </w:pPr>
            <w:r>
              <w:t>Estimate percentage by subgroup</w:t>
            </w:r>
          </w:p>
        </w:tc>
        <w:tc>
          <w:tcPr>
            <w:tcW w:w="2681" w:type="dxa"/>
            <w:tcMar>
              <w:left w:w="58" w:type="dxa"/>
              <w:right w:w="58" w:type="dxa"/>
            </w:tcMar>
          </w:tcPr>
          <w:p w:rsidR="00DE6B9A" w:rsidRPr="00D6722B" w:rsidRDefault="00DE6B9A" w:rsidP="00E41F54">
            <w:pPr>
              <w:spacing w:after="60" w:line="240" w:lineRule="auto"/>
            </w:pPr>
            <w:r>
              <w:t>Exposed (250); Private trailer site(125); Group trailer site(125); LA (170); MS(</w:t>
            </w:r>
            <w:r w:rsidR="00967555">
              <w:t>8</w:t>
            </w:r>
            <w:r>
              <w:t>0)</w:t>
            </w:r>
          </w:p>
        </w:tc>
      </w:tr>
      <w:tr w:rsidR="00DE6B9A" w:rsidRPr="00D6722B" w:rsidTr="000E120A">
        <w:trPr>
          <w:cantSplit/>
        </w:trPr>
        <w:tc>
          <w:tcPr>
            <w:tcW w:w="2145" w:type="dxa"/>
            <w:tcMar>
              <w:left w:w="58" w:type="dxa"/>
              <w:right w:w="58" w:type="dxa"/>
            </w:tcMar>
          </w:tcPr>
          <w:p w:rsidR="00DE6B9A" w:rsidRPr="00D6722B" w:rsidRDefault="00DE6B9A" w:rsidP="00E41F54">
            <w:pPr>
              <w:spacing w:after="60" w:line="240" w:lineRule="auto"/>
            </w:pPr>
            <w:r>
              <w:t>Potential for exposed: unexposed frequency matching</w:t>
            </w:r>
          </w:p>
        </w:tc>
        <w:tc>
          <w:tcPr>
            <w:tcW w:w="2524" w:type="dxa"/>
            <w:tcMar>
              <w:left w:w="58" w:type="dxa"/>
              <w:right w:w="58" w:type="dxa"/>
            </w:tcMar>
          </w:tcPr>
          <w:p w:rsidR="00DE6B9A" w:rsidRPr="00D6722B" w:rsidRDefault="00DE6B9A" w:rsidP="00E41F54">
            <w:pPr>
              <w:spacing w:after="60" w:line="240" w:lineRule="auto"/>
            </w:pPr>
            <w:r>
              <w:t>Age of child, gender, race/ethnicity, Property owner vs. renter, Health Insurance status (Baseline Session 1 interview)</w:t>
            </w:r>
          </w:p>
        </w:tc>
        <w:tc>
          <w:tcPr>
            <w:tcW w:w="2018" w:type="dxa"/>
            <w:tcMar>
              <w:left w:w="58" w:type="dxa"/>
              <w:right w:w="58" w:type="dxa"/>
            </w:tcMar>
          </w:tcPr>
          <w:p w:rsidR="00DE6B9A" w:rsidRPr="00D6722B" w:rsidRDefault="00DE6B9A" w:rsidP="00E41F54">
            <w:pPr>
              <w:spacing w:after="60" w:line="240" w:lineRule="auto"/>
            </w:pPr>
            <w:r>
              <w:t>Estimate descriptive statistics by subgroup</w:t>
            </w:r>
          </w:p>
        </w:tc>
        <w:tc>
          <w:tcPr>
            <w:tcW w:w="2681" w:type="dxa"/>
            <w:tcMar>
              <w:left w:w="58" w:type="dxa"/>
              <w:right w:w="58" w:type="dxa"/>
            </w:tcMar>
          </w:tcPr>
          <w:p w:rsidR="00DE6B9A" w:rsidRPr="00D6722B" w:rsidRDefault="00DE6B9A" w:rsidP="00E41F54">
            <w:pPr>
              <w:spacing w:after="60" w:line="240" w:lineRule="auto"/>
            </w:pPr>
            <w:r>
              <w:t>Exposed (250); Unexposed (250)</w:t>
            </w:r>
          </w:p>
        </w:tc>
      </w:tr>
      <w:tr w:rsidR="00DE6B9A" w:rsidRPr="00D6722B" w:rsidTr="000E120A">
        <w:trPr>
          <w:cantSplit/>
        </w:trPr>
        <w:tc>
          <w:tcPr>
            <w:tcW w:w="2145" w:type="dxa"/>
            <w:tcMar>
              <w:left w:w="58" w:type="dxa"/>
              <w:right w:w="58" w:type="dxa"/>
            </w:tcMar>
          </w:tcPr>
          <w:p w:rsidR="00DE6B9A" w:rsidRPr="00D6722B" w:rsidRDefault="00DE6B9A" w:rsidP="00E41F54">
            <w:pPr>
              <w:spacing w:after="60" w:line="240" w:lineRule="auto"/>
            </w:pPr>
            <w:r>
              <w:lastRenderedPageBreak/>
              <w:t>Field administration errors</w:t>
            </w:r>
          </w:p>
        </w:tc>
        <w:tc>
          <w:tcPr>
            <w:tcW w:w="2524" w:type="dxa"/>
            <w:tcMar>
              <w:left w:w="58" w:type="dxa"/>
              <w:right w:w="58" w:type="dxa"/>
            </w:tcMar>
          </w:tcPr>
          <w:p w:rsidR="00DE6B9A" w:rsidRDefault="00DE6B9A" w:rsidP="00E41F54">
            <w:pPr>
              <w:spacing w:after="60" w:line="240" w:lineRule="auto"/>
            </w:pPr>
            <w:r>
              <w:t>Q</w:t>
            </w:r>
            <w:r w:rsidRPr="00260912">
              <w:t>ues</w:t>
            </w:r>
            <w:r>
              <w:t>tionnaire administration errors,</w:t>
            </w:r>
            <w:r w:rsidRPr="00260912">
              <w:t xml:space="preserve"> errors in deplo</w:t>
            </w:r>
            <w:r>
              <w:t xml:space="preserve">yment of environmental samplers, </w:t>
            </w:r>
            <w:r w:rsidR="000E120A">
              <w:t>Health Assessment</w:t>
            </w:r>
            <w:r>
              <w:t xml:space="preserve"> errors, shipment</w:t>
            </w:r>
            <w:r w:rsidRPr="00260912">
              <w:t xml:space="preserve"> errors</w:t>
            </w:r>
          </w:p>
          <w:p w:rsidR="00DE6B9A" w:rsidRPr="00260912" w:rsidRDefault="00DE6B9A" w:rsidP="00E41F54">
            <w:pPr>
              <w:spacing w:after="60" w:line="240" w:lineRule="auto"/>
            </w:pPr>
            <w:r>
              <w:t>(Case Management System)</w:t>
            </w:r>
          </w:p>
        </w:tc>
        <w:tc>
          <w:tcPr>
            <w:tcW w:w="2018" w:type="dxa"/>
            <w:tcMar>
              <w:left w:w="58" w:type="dxa"/>
              <w:right w:w="58" w:type="dxa"/>
            </w:tcMar>
          </w:tcPr>
          <w:p w:rsidR="00DE6B9A" w:rsidRPr="00D6722B" w:rsidRDefault="00DE6B9A" w:rsidP="000E120A">
            <w:pPr>
              <w:spacing w:after="60" w:line="240" w:lineRule="auto"/>
            </w:pPr>
            <w:r>
              <w:t>Counts</w:t>
            </w:r>
            <w:r w:rsidR="00A677DD">
              <w:t>:</w:t>
            </w:r>
            <w:r w:rsidR="000E120A">
              <w:t xml:space="preserve"> </w:t>
            </w:r>
            <w:r w:rsidR="000E120A">
              <w:br/>
            </w:r>
            <w:r w:rsidR="00A677DD">
              <w:t>Field interviewer (18 conducting 52 visits); Nurses (6 conducting 150 visits)</w:t>
            </w:r>
          </w:p>
        </w:tc>
        <w:tc>
          <w:tcPr>
            <w:tcW w:w="2681" w:type="dxa"/>
            <w:tcMar>
              <w:left w:w="58" w:type="dxa"/>
              <w:right w:w="58" w:type="dxa"/>
            </w:tcMar>
          </w:tcPr>
          <w:p w:rsidR="00DE6B9A" w:rsidRPr="00D6722B" w:rsidRDefault="00A677DD" w:rsidP="00E41F54">
            <w:pPr>
              <w:spacing w:after="60" w:line="240" w:lineRule="auto"/>
            </w:pPr>
            <w:r>
              <w:t>N/A</w:t>
            </w:r>
          </w:p>
        </w:tc>
      </w:tr>
      <w:tr w:rsidR="00DE6B9A" w:rsidRPr="00D6722B" w:rsidTr="000E120A">
        <w:trPr>
          <w:cantSplit/>
        </w:trPr>
        <w:tc>
          <w:tcPr>
            <w:tcW w:w="2145" w:type="dxa"/>
            <w:tcMar>
              <w:left w:w="58" w:type="dxa"/>
              <w:right w:w="58" w:type="dxa"/>
            </w:tcMar>
          </w:tcPr>
          <w:p w:rsidR="00DE6B9A" w:rsidRPr="00D6722B" w:rsidRDefault="00DE6B9A" w:rsidP="00E41F54">
            <w:pPr>
              <w:spacing w:after="60" w:line="240" w:lineRule="auto"/>
            </w:pPr>
            <w:r w:rsidRPr="00D6722B">
              <w:t>Effectiveness of results communication</w:t>
            </w:r>
            <w:r>
              <w:t xml:space="preserve"> to participants</w:t>
            </w:r>
          </w:p>
        </w:tc>
        <w:tc>
          <w:tcPr>
            <w:tcW w:w="2524" w:type="dxa"/>
            <w:tcMar>
              <w:left w:w="58" w:type="dxa"/>
              <w:right w:w="58" w:type="dxa"/>
            </w:tcMar>
          </w:tcPr>
          <w:p w:rsidR="00DE6B9A" w:rsidRPr="00D6722B" w:rsidRDefault="00DE6B9A" w:rsidP="00E41F54">
            <w:pPr>
              <w:spacing w:after="60" w:line="240" w:lineRule="auto"/>
            </w:pPr>
            <w:r>
              <w:t>Question regarding results in t</w:t>
            </w:r>
            <w:r w:rsidRPr="00D6722B">
              <w:t>elephone inquiries</w:t>
            </w:r>
            <w:r>
              <w:t xml:space="preserve"> to participants</w:t>
            </w:r>
            <w:r w:rsidRPr="00D6722B">
              <w:t xml:space="preserve">; </w:t>
            </w:r>
            <w:r>
              <w:t>n</w:t>
            </w:r>
            <w:r w:rsidRPr="00D6722B">
              <w:t>umber of undelivered letters</w:t>
            </w:r>
            <w:r>
              <w:t xml:space="preserve"> of individual results (</w:t>
            </w:r>
            <w:r w:rsidRPr="0058731A">
              <w:rPr>
                <w:b/>
                <w:bCs/>
                <w:i/>
                <w:iCs/>
              </w:rPr>
              <w:t>Attachment X</w:t>
            </w:r>
            <w:r>
              <w:t xml:space="preserve">). </w:t>
            </w:r>
          </w:p>
        </w:tc>
        <w:tc>
          <w:tcPr>
            <w:tcW w:w="2018" w:type="dxa"/>
            <w:tcMar>
              <w:left w:w="58" w:type="dxa"/>
              <w:right w:w="58" w:type="dxa"/>
            </w:tcMar>
          </w:tcPr>
          <w:p w:rsidR="00026C60" w:rsidRPr="00D6722B" w:rsidRDefault="00DE6B9A" w:rsidP="000E120A">
            <w:pPr>
              <w:spacing w:after="60" w:line="240" w:lineRule="auto"/>
            </w:pPr>
            <w:r>
              <w:t>Counts</w:t>
            </w:r>
            <w:r w:rsidR="00026C60">
              <w:t>:</w:t>
            </w:r>
            <w:r w:rsidR="000E120A">
              <w:t xml:space="preserve"> </w:t>
            </w:r>
            <w:r w:rsidR="000E120A">
              <w:br/>
            </w:r>
            <w:r w:rsidR="00026C60">
              <w:t>Phone inquiries; undelivered letters</w:t>
            </w:r>
          </w:p>
        </w:tc>
        <w:tc>
          <w:tcPr>
            <w:tcW w:w="2681" w:type="dxa"/>
            <w:tcMar>
              <w:left w:w="58" w:type="dxa"/>
              <w:right w:w="58" w:type="dxa"/>
            </w:tcMar>
          </w:tcPr>
          <w:p w:rsidR="00DE6B9A" w:rsidRPr="00D6722B" w:rsidRDefault="00A677DD" w:rsidP="00E41F54">
            <w:pPr>
              <w:spacing w:after="60" w:line="240" w:lineRule="auto"/>
            </w:pPr>
            <w:r>
              <w:t>N/A</w:t>
            </w:r>
          </w:p>
        </w:tc>
      </w:tr>
    </w:tbl>
    <w:p w:rsidR="005A1C98" w:rsidRPr="00EA63FE" w:rsidRDefault="005A1C98" w:rsidP="00E41F54">
      <w:pPr>
        <w:pStyle w:val="Heading3"/>
        <w:spacing w:after="120" w:line="240" w:lineRule="auto"/>
        <w:rPr>
          <w:rFonts w:asciiTheme="minorBidi" w:hAnsiTheme="minorBidi" w:cstheme="minorBidi"/>
          <w:b w:val="0"/>
          <w:sz w:val="22"/>
          <w:szCs w:val="22"/>
        </w:rPr>
      </w:pPr>
      <w:bookmarkStart w:id="10" w:name="_Toc278872063"/>
      <w:r w:rsidRPr="00EA63FE">
        <w:rPr>
          <w:rFonts w:asciiTheme="minorBidi" w:hAnsiTheme="minorBidi" w:cstheme="minorBidi"/>
          <w:sz w:val="22"/>
          <w:szCs w:val="22"/>
        </w:rPr>
        <w:t>Unusual Problems Requiring Specialized Sampling Procedures</w:t>
      </w:r>
      <w:bookmarkEnd w:id="10"/>
    </w:p>
    <w:p w:rsidR="00EA63FE" w:rsidRDefault="00EA63FE" w:rsidP="0072336D">
      <w:pPr>
        <w:pStyle w:val="ListParagraph"/>
        <w:spacing w:after="120" w:line="240" w:lineRule="auto"/>
        <w:ind w:left="0"/>
      </w:pPr>
      <w:r>
        <w:t xml:space="preserve">The major challenge is the need to identify unexposed populations that are similar to the exposed </w:t>
      </w:r>
      <w:r w:rsidR="009662DD">
        <w:t>populations</w:t>
      </w:r>
      <w:r>
        <w:t xml:space="preserve"> and that can serve as controls. </w:t>
      </w:r>
      <w:r w:rsidR="000E120A">
        <w:t xml:space="preserve"> </w:t>
      </w:r>
      <w:r>
        <w:t>For reasons of field efficiency and budgetary considerations</w:t>
      </w:r>
      <w:r w:rsidR="00483904">
        <w:t>,</w:t>
      </w:r>
      <w:r>
        <w:t xml:space="preserve"> it will be necessary to cluster the exposed sample with respect to their current place of residence. </w:t>
      </w:r>
      <w:r w:rsidR="000E120A">
        <w:t xml:space="preserve"> </w:t>
      </w:r>
      <w:r w:rsidR="001D76BC">
        <w:t>An</w:t>
      </w:r>
      <w:r>
        <w:t xml:space="preserve"> optimal match between the exposed and unexposed </w:t>
      </w:r>
      <w:r w:rsidR="001D76BC">
        <w:t xml:space="preserve">populations </w:t>
      </w:r>
      <w:r>
        <w:t xml:space="preserve">would occur if both </w:t>
      </w:r>
      <w:r w:rsidR="001D76BC">
        <w:t xml:space="preserve">populations </w:t>
      </w:r>
      <w:r>
        <w:t>came from the same pre-Katrina residential clusters.</w:t>
      </w:r>
      <w:r w:rsidR="00E41F54">
        <w:t xml:space="preserve"> </w:t>
      </w:r>
      <w:r>
        <w:t xml:space="preserve"> This tension between drawing an efficient sample and having a good control group complicates the sample design </w:t>
      </w:r>
      <w:r w:rsidR="001D76BC">
        <w:t>and requires</w:t>
      </w:r>
      <w:r>
        <w:t xml:space="preserve"> a compromise between these two objectives.</w:t>
      </w:r>
      <w:r w:rsidR="00E51D50">
        <w:t xml:space="preserve">  We will select the unexposed sample in areas in which the expose</w:t>
      </w:r>
      <w:r w:rsidR="00831E54">
        <w:t>d</w:t>
      </w:r>
      <w:r w:rsidR="00E51D50">
        <w:t xml:space="preserve"> sample members currently reside. </w:t>
      </w:r>
      <w:r w:rsidR="00E41F54">
        <w:t xml:space="preserve"> </w:t>
      </w:r>
      <w:r w:rsidR="00E51D50">
        <w:t xml:space="preserve">This will result in a good match between the two samples, </w:t>
      </w:r>
      <w:r w:rsidR="00283F3B">
        <w:t xml:space="preserve">especially </w:t>
      </w:r>
      <w:r w:rsidR="00E51D50">
        <w:t>with respect to residence, and will reduce field costs by enabling interviewers to visit both exposed and unexposed sample households in the same areas.</w:t>
      </w:r>
    </w:p>
    <w:p w:rsidR="005A1C98" w:rsidRPr="00D60C5A" w:rsidRDefault="009662DD" w:rsidP="0072336D">
      <w:pPr>
        <w:pStyle w:val="Heading3"/>
        <w:spacing w:before="0" w:after="120" w:line="240" w:lineRule="auto"/>
        <w:ind w:left="720" w:hanging="720"/>
        <w:rPr>
          <w:rFonts w:asciiTheme="minorBidi" w:hAnsiTheme="minorBidi" w:cstheme="minorBidi"/>
          <w:b w:val="0"/>
          <w:sz w:val="22"/>
          <w:szCs w:val="22"/>
        </w:rPr>
      </w:pPr>
      <w:bookmarkStart w:id="11" w:name="_Toc278872064"/>
      <w:r>
        <w:rPr>
          <w:rFonts w:asciiTheme="minorBidi" w:hAnsiTheme="minorBidi" w:cstheme="minorBidi"/>
          <w:sz w:val="22"/>
          <w:szCs w:val="22"/>
        </w:rPr>
        <w:t>Use</w:t>
      </w:r>
      <w:r w:rsidR="005A1C98" w:rsidRPr="00D60C5A">
        <w:rPr>
          <w:rFonts w:asciiTheme="minorBidi" w:hAnsiTheme="minorBidi" w:cstheme="minorBidi"/>
          <w:sz w:val="22"/>
          <w:szCs w:val="22"/>
        </w:rPr>
        <w:t xml:space="preserve"> of </w:t>
      </w:r>
      <w:r w:rsidR="009F053C" w:rsidRPr="00D60C5A">
        <w:rPr>
          <w:rFonts w:asciiTheme="minorBidi" w:hAnsiTheme="minorBidi" w:cstheme="minorBidi"/>
          <w:sz w:val="22"/>
          <w:szCs w:val="22"/>
        </w:rPr>
        <w:t>P</w:t>
      </w:r>
      <w:r w:rsidR="005A1C98" w:rsidRPr="00D60C5A">
        <w:rPr>
          <w:rFonts w:asciiTheme="minorBidi" w:hAnsiTheme="minorBidi" w:cstheme="minorBidi"/>
          <w:sz w:val="22"/>
          <w:szCs w:val="22"/>
        </w:rPr>
        <w:t xml:space="preserve">eriodic (less frequent than annual) </w:t>
      </w:r>
      <w:r w:rsidR="009F053C" w:rsidRPr="00D60C5A">
        <w:rPr>
          <w:rFonts w:asciiTheme="minorBidi" w:hAnsiTheme="minorBidi" w:cstheme="minorBidi"/>
          <w:sz w:val="22"/>
          <w:szCs w:val="22"/>
        </w:rPr>
        <w:t>D</w:t>
      </w:r>
      <w:r w:rsidR="005A1C98" w:rsidRPr="00D60C5A">
        <w:rPr>
          <w:rFonts w:asciiTheme="minorBidi" w:hAnsiTheme="minorBidi" w:cstheme="minorBidi"/>
          <w:sz w:val="22"/>
          <w:szCs w:val="22"/>
        </w:rPr>
        <w:t xml:space="preserve">ata </w:t>
      </w:r>
      <w:r w:rsidR="009F053C" w:rsidRPr="00D60C5A">
        <w:rPr>
          <w:rFonts w:asciiTheme="minorBidi" w:hAnsiTheme="minorBidi" w:cstheme="minorBidi"/>
          <w:sz w:val="22"/>
          <w:szCs w:val="22"/>
        </w:rPr>
        <w:t>C</w:t>
      </w:r>
      <w:r w:rsidR="005A1C98" w:rsidRPr="00D60C5A">
        <w:rPr>
          <w:rFonts w:asciiTheme="minorBidi" w:hAnsiTheme="minorBidi" w:cstheme="minorBidi"/>
          <w:sz w:val="22"/>
          <w:szCs w:val="22"/>
        </w:rPr>
        <w:t xml:space="preserve">ollection </w:t>
      </w:r>
      <w:r w:rsidR="009F053C" w:rsidRPr="00D60C5A">
        <w:rPr>
          <w:rFonts w:asciiTheme="minorBidi" w:hAnsiTheme="minorBidi" w:cstheme="minorBidi"/>
          <w:sz w:val="22"/>
          <w:szCs w:val="22"/>
        </w:rPr>
        <w:t>C</w:t>
      </w:r>
      <w:r w:rsidR="005A1C98" w:rsidRPr="00D60C5A">
        <w:rPr>
          <w:rFonts w:asciiTheme="minorBidi" w:hAnsiTheme="minorBidi" w:cstheme="minorBidi"/>
          <w:sz w:val="22"/>
          <w:szCs w:val="22"/>
        </w:rPr>
        <w:t xml:space="preserve">ycles to </w:t>
      </w:r>
      <w:r w:rsidR="009F053C" w:rsidRPr="00D60C5A">
        <w:rPr>
          <w:rFonts w:asciiTheme="minorBidi" w:hAnsiTheme="minorBidi" w:cstheme="minorBidi"/>
          <w:sz w:val="22"/>
          <w:szCs w:val="22"/>
        </w:rPr>
        <w:t>R</w:t>
      </w:r>
      <w:r w:rsidR="005A1C98" w:rsidRPr="00D60C5A">
        <w:rPr>
          <w:rFonts w:asciiTheme="minorBidi" w:hAnsiTheme="minorBidi" w:cstheme="minorBidi"/>
          <w:sz w:val="22"/>
          <w:szCs w:val="22"/>
        </w:rPr>
        <w:t xml:space="preserve">educe </w:t>
      </w:r>
      <w:r w:rsidR="009F053C" w:rsidRPr="00D60C5A">
        <w:rPr>
          <w:rFonts w:asciiTheme="minorBidi" w:hAnsiTheme="minorBidi" w:cstheme="minorBidi"/>
          <w:sz w:val="22"/>
          <w:szCs w:val="22"/>
        </w:rPr>
        <w:t>B</w:t>
      </w:r>
      <w:r w:rsidR="005A1C98" w:rsidRPr="00D60C5A">
        <w:rPr>
          <w:rFonts w:asciiTheme="minorBidi" w:hAnsiTheme="minorBidi" w:cstheme="minorBidi"/>
          <w:sz w:val="22"/>
          <w:szCs w:val="22"/>
        </w:rPr>
        <w:t>urden</w:t>
      </w:r>
      <w:bookmarkEnd w:id="11"/>
    </w:p>
    <w:p w:rsidR="000E0802" w:rsidRPr="0008090E" w:rsidRDefault="0066172D" w:rsidP="002E76DB">
      <w:pPr>
        <w:spacing w:after="120" w:line="240" w:lineRule="auto"/>
        <w:rPr>
          <w:bCs/>
        </w:rPr>
      </w:pPr>
      <w:r>
        <w:rPr>
          <w:bCs/>
        </w:rPr>
        <w:t xml:space="preserve">In order to </w:t>
      </w:r>
      <w:r w:rsidR="009662DD">
        <w:rPr>
          <w:bCs/>
        </w:rPr>
        <w:t xml:space="preserve">conduct the Feasibility Study </w:t>
      </w:r>
      <w:r>
        <w:rPr>
          <w:bCs/>
        </w:rPr>
        <w:t>within the two-year contract period</w:t>
      </w:r>
      <w:r w:rsidR="00952ECE">
        <w:rPr>
          <w:bCs/>
        </w:rPr>
        <w:t>,</w:t>
      </w:r>
      <w:r w:rsidR="009662DD">
        <w:rPr>
          <w:bCs/>
        </w:rPr>
        <w:t xml:space="preserve"> both the Baseline and Follow-up </w:t>
      </w:r>
      <w:r w:rsidR="002E76DB">
        <w:rPr>
          <w:bCs/>
        </w:rPr>
        <w:t>A</w:t>
      </w:r>
      <w:r w:rsidR="009662DD">
        <w:rPr>
          <w:bCs/>
        </w:rPr>
        <w:t>ssessments</w:t>
      </w:r>
      <w:r w:rsidR="00952ECE">
        <w:rPr>
          <w:bCs/>
        </w:rPr>
        <w:t xml:space="preserve"> are conducted</w:t>
      </w:r>
      <w:r w:rsidR="009662DD">
        <w:rPr>
          <w:bCs/>
        </w:rPr>
        <w:t xml:space="preserve"> within </w:t>
      </w:r>
      <w:r w:rsidR="001D4BC2">
        <w:rPr>
          <w:bCs/>
        </w:rPr>
        <w:t>a 12-month period</w:t>
      </w:r>
      <w:r w:rsidR="00FA56CC">
        <w:rPr>
          <w:bCs/>
        </w:rPr>
        <w:t>, with t</w:t>
      </w:r>
      <w:r>
        <w:rPr>
          <w:bCs/>
        </w:rPr>
        <w:t xml:space="preserve">he </w:t>
      </w:r>
      <w:r w:rsidR="00E41F54">
        <w:rPr>
          <w:bCs/>
        </w:rPr>
        <w:t>F</w:t>
      </w:r>
      <w:r>
        <w:rPr>
          <w:bCs/>
        </w:rPr>
        <w:t xml:space="preserve">ollow-up </w:t>
      </w:r>
      <w:r w:rsidR="00E41F54">
        <w:rPr>
          <w:bCs/>
        </w:rPr>
        <w:t>A</w:t>
      </w:r>
      <w:r>
        <w:rPr>
          <w:bCs/>
        </w:rPr>
        <w:t xml:space="preserve">ssessment </w:t>
      </w:r>
      <w:r w:rsidR="00FA56CC">
        <w:rPr>
          <w:bCs/>
        </w:rPr>
        <w:t xml:space="preserve">occurring </w:t>
      </w:r>
      <w:r>
        <w:rPr>
          <w:bCs/>
        </w:rPr>
        <w:t xml:space="preserve">6 months after the </w:t>
      </w:r>
      <w:r w:rsidR="00E41F54">
        <w:rPr>
          <w:bCs/>
        </w:rPr>
        <w:t>B</w:t>
      </w:r>
      <w:r>
        <w:rPr>
          <w:bCs/>
        </w:rPr>
        <w:t xml:space="preserve">aseline </w:t>
      </w:r>
      <w:r w:rsidR="00E41F54">
        <w:rPr>
          <w:bCs/>
        </w:rPr>
        <w:t>A</w:t>
      </w:r>
      <w:r>
        <w:rPr>
          <w:bCs/>
        </w:rPr>
        <w:t>ssessment</w:t>
      </w:r>
      <w:r w:rsidR="00FA56CC">
        <w:rPr>
          <w:bCs/>
        </w:rPr>
        <w:t xml:space="preserve">. </w:t>
      </w:r>
      <w:r w:rsidR="00E41F54">
        <w:rPr>
          <w:bCs/>
        </w:rPr>
        <w:t xml:space="preserve"> </w:t>
      </w:r>
      <w:r w:rsidR="00FA56CC">
        <w:rPr>
          <w:bCs/>
        </w:rPr>
        <w:t>T</w:t>
      </w:r>
      <w:r w:rsidR="000E0802">
        <w:rPr>
          <w:bCs/>
        </w:rPr>
        <w:t xml:space="preserve">he </w:t>
      </w:r>
      <w:r w:rsidR="007939EE">
        <w:rPr>
          <w:bCs/>
        </w:rPr>
        <w:t xml:space="preserve">6-month </w:t>
      </w:r>
      <w:r w:rsidR="00E41F54">
        <w:rPr>
          <w:bCs/>
        </w:rPr>
        <w:t>F</w:t>
      </w:r>
      <w:r w:rsidR="000E0802">
        <w:rPr>
          <w:bCs/>
        </w:rPr>
        <w:t xml:space="preserve">ollow-up </w:t>
      </w:r>
      <w:r w:rsidR="00E41F54">
        <w:rPr>
          <w:bCs/>
        </w:rPr>
        <w:t>A</w:t>
      </w:r>
      <w:r w:rsidR="000E0802">
        <w:rPr>
          <w:bCs/>
        </w:rPr>
        <w:t xml:space="preserve">ssessment </w:t>
      </w:r>
      <w:r w:rsidR="00B64F40">
        <w:rPr>
          <w:bCs/>
        </w:rPr>
        <w:t xml:space="preserve">will </w:t>
      </w:r>
      <w:r w:rsidR="000E0802">
        <w:rPr>
          <w:bCs/>
        </w:rPr>
        <w:t xml:space="preserve">assist in evaluating </w:t>
      </w:r>
      <w:r w:rsidR="00FA56CC">
        <w:rPr>
          <w:bCs/>
        </w:rPr>
        <w:t>the feasibility of retaining participants over time as</w:t>
      </w:r>
      <w:r w:rsidR="00B64F40">
        <w:rPr>
          <w:bCs/>
        </w:rPr>
        <w:t xml:space="preserve"> well as allow</w:t>
      </w:r>
      <w:r w:rsidR="000E0802">
        <w:rPr>
          <w:bCs/>
        </w:rPr>
        <w:t xml:space="preserve"> </w:t>
      </w:r>
      <w:r>
        <w:rPr>
          <w:bCs/>
        </w:rPr>
        <w:t xml:space="preserve">the investigators to </w:t>
      </w:r>
      <w:r w:rsidR="005A1C98" w:rsidRPr="00D60C5A">
        <w:rPr>
          <w:bCs/>
        </w:rPr>
        <w:t>assess the potential for seasonality bias</w:t>
      </w:r>
      <w:r w:rsidR="005A653F">
        <w:rPr>
          <w:bCs/>
        </w:rPr>
        <w:t xml:space="preserve"> and</w:t>
      </w:r>
      <w:r w:rsidR="005A1C98" w:rsidRPr="00D60C5A">
        <w:rPr>
          <w:bCs/>
        </w:rPr>
        <w:t xml:space="preserve"> </w:t>
      </w:r>
      <w:r w:rsidR="005A653F">
        <w:rPr>
          <w:bCs/>
        </w:rPr>
        <w:t>changes in health for</w:t>
      </w:r>
      <w:r w:rsidR="005A1C98" w:rsidRPr="00D60C5A">
        <w:rPr>
          <w:bCs/>
        </w:rPr>
        <w:t xml:space="preserve"> each participant</w:t>
      </w:r>
      <w:r w:rsidR="005A653F">
        <w:rPr>
          <w:bCs/>
        </w:rPr>
        <w:t xml:space="preserve"> over time</w:t>
      </w:r>
      <w:r w:rsidR="00EE5B5C">
        <w:rPr>
          <w:bCs/>
        </w:rPr>
        <w:t>.</w:t>
      </w:r>
      <w:r w:rsidR="005A1C98" w:rsidRPr="00D60C5A">
        <w:rPr>
          <w:bCs/>
        </w:rPr>
        <w:t xml:space="preserve">  </w:t>
      </w:r>
    </w:p>
    <w:p w:rsidR="005A1C98" w:rsidRPr="000E3C77" w:rsidRDefault="005A1C98" w:rsidP="0072336D">
      <w:pPr>
        <w:pStyle w:val="ListParagraph"/>
        <w:keepNext/>
        <w:keepLines/>
        <w:spacing w:after="120" w:line="240" w:lineRule="auto"/>
        <w:ind w:left="0"/>
        <w:outlineLvl w:val="2"/>
        <w:rPr>
          <w:rFonts w:ascii="Arial" w:hAnsi="Arial" w:cs="Arial"/>
          <w:b/>
        </w:rPr>
      </w:pPr>
      <w:bookmarkStart w:id="12" w:name="_Toc278872065"/>
      <w:r w:rsidRPr="000E3C77">
        <w:rPr>
          <w:rFonts w:ascii="Arial" w:hAnsi="Arial" w:cs="Arial"/>
          <w:b/>
        </w:rPr>
        <w:t>Data Collection Procedures</w:t>
      </w:r>
      <w:bookmarkEnd w:id="12"/>
    </w:p>
    <w:p w:rsidR="00F146AF" w:rsidRDefault="009C0B81" w:rsidP="0072336D">
      <w:pPr>
        <w:spacing w:after="120" w:line="240" w:lineRule="auto"/>
      </w:pPr>
      <w:r w:rsidRPr="00422C25">
        <w:t xml:space="preserve">Households with potential participants will be notified </w:t>
      </w:r>
      <w:r w:rsidR="00D60C5A" w:rsidRPr="00422C25">
        <w:t>with an introductory</w:t>
      </w:r>
      <w:r w:rsidR="00D60C5A">
        <w:t xml:space="preserve"> letter</w:t>
      </w:r>
      <w:r w:rsidR="00CC7368">
        <w:t xml:space="preserve"> </w:t>
      </w:r>
      <w:r w:rsidR="00CC7368" w:rsidRPr="00CC7368">
        <w:rPr>
          <w:b/>
          <w:bCs/>
          <w:i/>
          <w:iCs/>
        </w:rPr>
        <w:t>(Attachment</w:t>
      </w:r>
      <w:r w:rsidR="00487778">
        <w:rPr>
          <w:b/>
          <w:bCs/>
          <w:i/>
          <w:iCs/>
        </w:rPr>
        <w:t xml:space="preserve"> H</w:t>
      </w:r>
      <w:r w:rsidR="00CC7368" w:rsidRPr="00CC7368">
        <w:rPr>
          <w:b/>
          <w:bCs/>
          <w:i/>
          <w:iCs/>
        </w:rPr>
        <w:t>)</w:t>
      </w:r>
      <w:r w:rsidR="00D60C5A" w:rsidRPr="00422C25">
        <w:t xml:space="preserve"> </w:t>
      </w:r>
      <w:r w:rsidRPr="00422C25">
        <w:t xml:space="preserve">and a brochure </w:t>
      </w:r>
      <w:r w:rsidR="00CC7368" w:rsidRPr="00CC7368">
        <w:rPr>
          <w:b/>
          <w:bCs/>
          <w:i/>
          <w:iCs/>
        </w:rPr>
        <w:t xml:space="preserve">(Attachment </w:t>
      </w:r>
      <w:r w:rsidR="00487778">
        <w:rPr>
          <w:b/>
          <w:bCs/>
          <w:i/>
          <w:iCs/>
        </w:rPr>
        <w:t>I</w:t>
      </w:r>
      <w:r w:rsidR="00CC7368" w:rsidRPr="00CC7368">
        <w:rPr>
          <w:b/>
          <w:bCs/>
          <w:i/>
          <w:iCs/>
        </w:rPr>
        <w:t xml:space="preserve">) </w:t>
      </w:r>
      <w:r w:rsidRPr="00422C25">
        <w:t xml:space="preserve">describing the study. </w:t>
      </w:r>
      <w:r w:rsidR="000E120A">
        <w:t xml:space="preserve"> </w:t>
      </w:r>
      <w:r w:rsidRPr="00422C25">
        <w:t xml:space="preserve">A </w:t>
      </w:r>
      <w:r w:rsidR="000930F4">
        <w:t xml:space="preserve">field </w:t>
      </w:r>
      <w:r w:rsidR="0034670A">
        <w:t>interviewer</w:t>
      </w:r>
      <w:r w:rsidR="000930F4">
        <w:t xml:space="preserve"> (</w:t>
      </w:r>
      <w:r w:rsidR="00D60C5A">
        <w:t>FI</w:t>
      </w:r>
      <w:r w:rsidR="00A8506E">
        <w:t>)</w:t>
      </w:r>
      <w:r w:rsidR="00D60C5A">
        <w:t xml:space="preserve"> </w:t>
      </w:r>
      <w:r w:rsidR="00A8506E" w:rsidRPr="00422C25">
        <w:t>will</w:t>
      </w:r>
      <w:r w:rsidRPr="00422C25">
        <w:t xml:space="preserve"> go to the home and conduct a brief screening interview </w:t>
      </w:r>
      <w:r w:rsidR="00D60C5A">
        <w:t xml:space="preserve">with </w:t>
      </w:r>
      <w:r w:rsidRPr="00422C25">
        <w:t>an adult at least 18 years of age</w:t>
      </w:r>
      <w:r w:rsidR="00A8506E">
        <w:t>,</w:t>
      </w:r>
      <w:r w:rsidRPr="00422C25">
        <w:t xml:space="preserve"> </w:t>
      </w:r>
      <w:r w:rsidR="00D60C5A">
        <w:t xml:space="preserve">using </w:t>
      </w:r>
      <w:r w:rsidRPr="00422C25">
        <w:t xml:space="preserve">a secure </w:t>
      </w:r>
      <w:r w:rsidR="00EE5ED1" w:rsidRPr="00D102EB">
        <w:t>handheld</w:t>
      </w:r>
      <w:r w:rsidR="00D60C5A" w:rsidRPr="00D102EB">
        <w:t xml:space="preserve"> computer</w:t>
      </w:r>
      <w:r w:rsidR="00091401">
        <w:t xml:space="preserve"> (</w:t>
      </w:r>
      <w:r w:rsidR="00091401" w:rsidRPr="00091401">
        <w:rPr>
          <w:b/>
          <w:bCs/>
          <w:i/>
          <w:iCs/>
        </w:rPr>
        <w:t>Attachment K</w:t>
      </w:r>
      <w:r w:rsidR="00091401">
        <w:t>)</w:t>
      </w:r>
      <w:r w:rsidRPr="00422C25">
        <w:t>.</w:t>
      </w:r>
      <w:r w:rsidR="000E120A">
        <w:t xml:space="preserve"> </w:t>
      </w:r>
      <w:r w:rsidRPr="00422C25">
        <w:t xml:space="preserve"> If the household has an eligible child, the FI will speak with the adult </w:t>
      </w:r>
      <w:r w:rsidR="005A653F">
        <w:t>parent/</w:t>
      </w:r>
      <w:r w:rsidRPr="00422C25">
        <w:t xml:space="preserve">guardian about the study and ask for consent to participate. </w:t>
      </w:r>
    </w:p>
    <w:p w:rsidR="009C0B81" w:rsidRPr="00422C25" w:rsidRDefault="00F146AF" w:rsidP="002E76DB">
      <w:pPr>
        <w:spacing w:after="120" w:line="240" w:lineRule="auto"/>
      </w:pPr>
      <w:r>
        <w:t>The Feasibility Study include</w:t>
      </w:r>
      <w:r w:rsidR="00224D29">
        <w:t>s</w:t>
      </w:r>
      <w:r>
        <w:t xml:space="preserve"> a </w:t>
      </w:r>
      <w:r w:rsidR="00E41F54">
        <w:t>B</w:t>
      </w:r>
      <w:r>
        <w:t xml:space="preserve">aseline and 6-month </w:t>
      </w:r>
      <w:r w:rsidR="00E41F54">
        <w:t>F</w:t>
      </w:r>
      <w:r>
        <w:t xml:space="preserve">ollow-up </w:t>
      </w:r>
      <w:r w:rsidR="00E41F54">
        <w:t>A</w:t>
      </w:r>
      <w:r w:rsidR="00A8506E">
        <w:t>ssessm</w:t>
      </w:r>
      <w:r>
        <w:t xml:space="preserve">ent, each of which is comprised of two home visits by field staff, referred to as </w:t>
      </w:r>
      <w:r w:rsidR="00E41F54">
        <w:t>S</w:t>
      </w:r>
      <w:r>
        <w:t xml:space="preserve">ession 1 and </w:t>
      </w:r>
      <w:r w:rsidR="00E41F54">
        <w:t>S</w:t>
      </w:r>
      <w:r>
        <w:t xml:space="preserve">ession </w:t>
      </w:r>
      <w:r w:rsidR="00EA3034">
        <w:t>2 that</w:t>
      </w:r>
      <w:r>
        <w:t xml:space="preserve"> will occur approximately one week apart. </w:t>
      </w:r>
      <w:r w:rsidR="000E120A">
        <w:t xml:space="preserve"> </w:t>
      </w:r>
      <w:r w:rsidR="00D60C5A">
        <w:t xml:space="preserve">During </w:t>
      </w:r>
      <w:r w:rsidR="002E76DB">
        <w:t>S</w:t>
      </w:r>
      <w:r w:rsidR="00D102EB">
        <w:t xml:space="preserve">ession 1 of the </w:t>
      </w:r>
      <w:r w:rsidR="00E41F54">
        <w:t>B</w:t>
      </w:r>
      <w:r w:rsidR="008F7E16">
        <w:t xml:space="preserve">aseline </w:t>
      </w:r>
      <w:r w:rsidR="00E41F54">
        <w:t>A</w:t>
      </w:r>
      <w:r w:rsidR="007E6F45">
        <w:t>ssessment</w:t>
      </w:r>
      <w:r w:rsidR="00D60C5A">
        <w:t>, the FI w</w:t>
      </w:r>
      <w:r w:rsidR="009C0B81" w:rsidRPr="00422C25">
        <w:t xml:space="preserve">ill </w:t>
      </w:r>
      <w:r w:rsidR="00D60C5A">
        <w:t xml:space="preserve">administer </w:t>
      </w:r>
      <w:r w:rsidR="008F7E16">
        <w:t xml:space="preserve">the health and environmental exposure </w:t>
      </w:r>
      <w:r w:rsidR="00D60C5A">
        <w:t xml:space="preserve">questionnaire using </w:t>
      </w:r>
      <w:r w:rsidR="009C0B81" w:rsidRPr="00422C25">
        <w:t xml:space="preserve">a </w:t>
      </w:r>
      <w:r w:rsidR="00D60C5A">
        <w:t>laptop</w:t>
      </w:r>
      <w:r w:rsidR="009C0B81" w:rsidRPr="00422C25">
        <w:t xml:space="preserve">, perform a </w:t>
      </w:r>
      <w:r>
        <w:t>visual home inventory</w:t>
      </w:r>
      <w:r w:rsidR="009C0B81" w:rsidRPr="00422C25">
        <w:t xml:space="preserve">, </w:t>
      </w:r>
      <w:r w:rsidR="00D60C5A">
        <w:t xml:space="preserve">set up </w:t>
      </w:r>
      <w:r>
        <w:t>the exposure assessment</w:t>
      </w:r>
      <w:r w:rsidR="009C0B81" w:rsidRPr="00422C25">
        <w:t xml:space="preserve"> equipment in the house, </w:t>
      </w:r>
      <w:r w:rsidR="008F7E16">
        <w:t xml:space="preserve">explain the time and activity diary procedure, </w:t>
      </w:r>
      <w:r w:rsidR="009C0B81" w:rsidRPr="00422C25">
        <w:t xml:space="preserve">and </w:t>
      </w:r>
      <w:r w:rsidR="00D60C5A">
        <w:lastRenderedPageBreak/>
        <w:t xml:space="preserve">instruct </w:t>
      </w:r>
      <w:r w:rsidR="009C0B81" w:rsidRPr="00422C25">
        <w:t xml:space="preserve">the parent on the use of a cell phone-sized personal </w:t>
      </w:r>
      <w:r>
        <w:t xml:space="preserve">air </w:t>
      </w:r>
      <w:r w:rsidR="009C0B81" w:rsidRPr="00422C25">
        <w:t>monitoring device (</w:t>
      </w:r>
      <w:proofErr w:type="spellStart"/>
      <w:r w:rsidR="009C0B81" w:rsidRPr="00422C25">
        <w:t>MicroPEM</w:t>
      </w:r>
      <w:r w:rsidR="009C0B81">
        <w:rPr>
          <w:vertAlign w:val="superscript"/>
        </w:rPr>
        <w:t>TM</w:t>
      </w:r>
      <w:proofErr w:type="spellEnd"/>
      <w:r w:rsidR="009C0B81" w:rsidRPr="00422C25">
        <w:t xml:space="preserve">) that children aged 7 years and older will wear for one week. </w:t>
      </w:r>
      <w:r w:rsidR="00ED6340">
        <w:t xml:space="preserve"> During </w:t>
      </w:r>
      <w:r w:rsidR="00E41F54">
        <w:t>S</w:t>
      </w:r>
      <w:r w:rsidR="00ED6340">
        <w:t>ession 2</w:t>
      </w:r>
      <w:r w:rsidR="00C0713C">
        <w:t xml:space="preserve"> of the </w:t>
      </w:r>
      <w:r w:rsidR="002E76DB">
        <w:t>Baseline</w:t>
      </w:r>
      <w:r w:rsidR="00C0713C">
        <w:t xml:space="preserve"> </w:t>
      </w:r>
      <w:r w:rsidR="002E76DB">
        <w:t>A</w:t>
      </w:r>
      <w:r w:rsidR="007E6F45">
        <w:t>ssessment</w:t>
      </w:r>
      <w:r w:rsidR="00ED6340">
        <w:t>,</w:t>
      </w:r>
      <w:r w:rsidR="000930F4" w:rsidRPr="00422C25">
        <w:t xml:space="preserve"> </w:t>
      </w:r>
      <w:r w:rsidR="009C0B81" w:rsidRPr="00422C25">
        <w:t>the FI will return to the home</w:t>
      </w:r>
      <w:r w:rsidR="000400C3">
        <w:t xml:space="preserve"> with a registered nurse (RN)</w:t>
      </w:r>
      <w:r w:rsidR="009C0B81" w:rsidRPr="00422C25">
        <w:t xml:space="preserve">. </w:t>
      </w:r>
      <w:r w:rsidR="00E41F54">
        <w:t xml:space="preserve"> </w:t>
      </w:r>
      <w:r w:rsidR="009C0B81" w:rsidRPr="00422C25">
        <w:t xml:space="preserve">The FI will </w:t>
      </w:r>
      <w:r w:rsidR="00C0713C">
        <w:t>administer the exposure questionnaire, record all information gathered from</w:t>
      </w:r>
      <w:r w:rsidR="00C0713C" w:rsidRPr="00422C25">
        <w:t xml:space="preserve"> </w:t>
      </w:r>
      <w:r w:rsidR="009C0B81" w:rsidRPr="00422C25">
        <w:t>th</w:t>
      </w:r>
      <w:r w:rsidR="000930F4">
        <w:t>e</w:t>
      </w:r>
      <w:r w:rsidR="009C0B81" w:rsidRPr="00422C25">
        <w:t xml:space="preserve"> </w:t>
      </w:r>
      <w:r w:rsidR="00C0713C">
        <w:t xml:space="preserve">exposure assessment </w:t>
      </w:r>
      <w:r w:rsidR="009C0B81" w:rsidRPr="00422C25">
        <w:t>equipment</w:t>
      </w:r>
      <w:r w:rsidR="00C0713C">
        <w:t>, enter data from the time and activity diary, and collect GPS information.</w:t>
      </w:r>
      <w:r w:rsidR="009C0B81" w:rsidRPr="00422C25">
        <w:t xml:space="preserve"> </w:t>
      </w:r>
      <w:r w:rsidR="000E120A">
        <w:t xml:space="preserve"> </w:t>
      </w:r>
      <w:r w:rsidR="009C0B81" w:rsidRPr="00422C25">
        <w:t xml:space="preserve">The RN will </w:t>
      </w:r>
      <w:r w:rsidR="00C0713C">
        <w:t xml:space="preserve">conduct the </w:t>
      </w:r>
      <w:r w:rsidR="000E120A">
        <w:t>Health Assessment</w:t>
      </w:r>
      <w:r>
        <w:t xml:space="preserve"> on the child</w:t>
      </w:r>
      <w:r w:rsidR="00C0713C">
        <w:t xml:space="preserve">, which includes </w:t>
      </w:r>
      <w:r w:rsidRPr="00422C25">
        <w:t>measur</w:t>
      </w:r>
      <w:r>
        <w:t>ing</w:t>
      </w:r>
      <w:r w:rsidRPr="00422C25">
        <w:t xml:space="preserve"> </w:t>
      </w:r>
      <w:r w:rsidR="009C0B81" w:rsidRPr="00422C25">
        <w:t>the height and weight of the child, assess</w:t>
      </w:r>
      <w:r>
        <w:t>ing</w:t>
      </w:r>
      <w:r w:rsidR="009C0B81" w:rsidRPr="00422C25">
        <w:t xml:space="preserve"> the child for dermal rashes, conduct</w:t>
      </w:r>
      <w:r>
        <w:t>ing</w:t>
      </w:r>
      <w:r w:rsidR="009C0B81" w:rsidRPr="00422C25">
        <w:t xml:space="preserve"> respiratory assessments, </w:t>
      </w:r>
      <w:r w:rsidR="00206390">
        <w:t xml:space="preserve">and </w:t>
      </w:r>
      <w:r w:rsidR="009C0B81" w:rsidRPr="00422C25">
        <w:t>obtain</w:t>
      </w:r>
      <w:r>
        <w:t>ing</w:t>
      </w:r>
      <w:r w:rsidR="009C0B81" w:rsidRPr="00422C25">
        <w:t xml:space="preserve"> biospecimens (blood and urine).</w:t>
      </w:r>
      <w:r w:rsidR="001D4BC2">
        <w:t xml:space="preserve"> </w:t>
      </w:r>
      <w:r w:rsidR="000E120A">
        <w:t xml:space="preserve"> </w:t>
      </w:r>
      <w:r w:rsidR="001D4BC2">
        <w:t xml:space="preserve">The </w:t>
      </w:r>
      <w:r w:rsidR="00E41F54">
        <w:t>procedures for the 6-month F</w:t>
      </w:r>
      <w:r w:rsidR="001D4BC2">
        <w:t xml:space="preserve">ollow-up </w:t>
      </w:r>
      <w:r w:rsidR="00E41F54">
        <w:t>A</w:t>
      </w:r>
      <w:r w:rsidR="001D4BC2">
        <w:t xml:space="preserve">ssessment are the same as </w:t>
      </w:r>
      <w:r w:rsidR="00F664CE">
        <w:t>for</w:t>
      </w:r>
      <w:r w:rsidR="001D4BC2">
        <w:t xml:space="preserve"> the </w:t>
      </w:r>
      <w:r w:rsidR="00E41F54">
        <w:t>B</w:t>
      </w:r>
      <w:r w:rsidR="001D4BC2">
        <w:t xml:space="preserve">aseline </w:t>
      </w:r>
      <w:r w:rsidR="00E41F54">
        <w:t>A</w:t>
      </w:r>
      <w:r w:rsidR="001D4BC2">
        <w:t>ssessment except that blood will not be collected</w:t>
      </w:r>
      <w:r w:rsidR="002E76DB">
        <w:t xml:space="preserve"> during S</w:t>
      </w:r>
      <w:r w:rsidR="00F664CE">
        <w:t>ession 2</w:t>
      </w:r>
      <w:r w:rsidR="001D4BC2">
        <w:t xml:space="preserve">. </w:t>
      </w:r>
    </w:p>
    <w:p w:rsidR="009C0B81" w:rsidRPr="00422C25" w:rsidRDefault="009C0B81" w:rsidP="0072336D">
      <w:pPr>
        <w:spacing w:after="120" w:line="240" w:lineRule="auto"/>
      </w:pPr>
      <w:r w:rsidRPr="00422C25">
        <w:t xml:space="preserve">Medical record </w:t>
      </w:r>
      <w:r w:rsidR="00842B82" w:rsidRPr="00422C25">
        <w:t>abstraction</w:t>
      </w:r>
      <w:r w:rsidR="00842B82">
        <w:t xml:space="preserve"> </w:t>
      </w:r>
      <w:r w:rsidR="00A50199" w:rsidRPr="00E16DFA">
        <w:rPr>
          <w:rStyle w:val="CommentReference"/>
          <w:sz w:val="22"/>
          <w:szCs w:val="22"/>
        </w:rPr>
        <w:t>(</w:t>
      </w:r>
      <w:r w:rsidR="00A50199" w:rsidRPr="00E41F54">
        <w:rPr>
          <w:rStyle w:val="CommentReference"/>
          <w:b/>
          <w:bCs/>
          <w:i/>
          <w:iCs/>
          <w:sz w:val="22"/>
          <w:szCs w:val="22"/>
        </w:rPr>
        <w:t>Attachment S4</w:t>
      </w:r>
      <w:r w:rsidR="00A50199" w:rsidRPr="00E16DFA">
        <w:rPr>
          <w:rStyle w:val="CommentReference"/>
          <w:sz w:val="22"/>
          <w:szCs w:val="22"/>
        </w:rPr>
        <w:t>)</w:t>
      </w:r>
      <w:r w:rsidR="00842B82">
        <w:rPr>
          <w:rStyle w:val="CommentReference"/>
        </w:rPr>
        <w:t xml:space="preserve"> </w:t>
      </w:r>
      <w:r w:rsidRPr="00422C25">
        <w:t xml:space="preserve">will be conducted </w:t>
      </w:r>
      <w:r w:rsidR="00206390">
        <w:t>on approximately 30% of the children</w:t>
      </w:r>
      <w:r w:rsidR="00831E54">
        <w:t>, which includes all children</w:t>
      </w:r>
      <w:r w:rsidR="00206390">
        <w:t xml:space="preserve"> with self-reported asthma</w:t>
      </w:r>
      <w:r w:rsidR="0020375D">
        <w:t xml:space="preserve"> or other targeted health outcomes</w:t>
      </w:r>
      <w:r w:rsidR="00906671">
        <w:t xml:space="preserve">, such as </w:t>
      </w:r>
      <w:r w:rsidR="00906671" w:rsidRPr="00906671">
        <w:t xml:space="preserve"> </w:t>
      </w:r>
      <w:r w:rsidR="00906671">
        <w:t>dermal irritation, eczema, and increased allergic responses,</w:t>
      </w:r>
      <w:r w:rsidR="00831E54">
        <w:t xml:space="preserve"> and a random sample </w:t>
      </w:r>
      <w:r w:rsidR="00EF5879">
        <w:t xml:space="preserve">(n= 50) </w:t>
      </w:r>
      <w:r w:rsidR="00831E54">
        <w:t>of the other children</w:t>
      </w:r>
      <w:r w:rsidR="00206390">
        <w:t xml:space="preserve">. </w:t>
      </w:r>
      <w:r w:rsidR="004D3E48">
        <w:t xml:space="preserve"> </w:t>
      </w:r>
      <w:r w:rsidR="00206390">
        <w:t>H</w:t>
      </w:r>
      <w:r w:rsidRPr="00422C25">
        <w:t xml:space="preserve">ealth care providers </w:t>
      </w:r>
      <w:r w:rsidR="00206390">
        <w:t xml:space="preserve">will be </w:t>
      </w:r>
      <w:r w:rsidRPr="00422C25">
        <w:t xml:space="preserve">identified by the </w:t>
      </w:r>
      <w:r w:rsidR="00206390">
        <w:t>parent/</w:t>
      </w:r>
      <w:r w:rsidRPr="00422C25">
        <w:t xml:space="preserve">guardian. </w:t>
      </w:r>
      <w:r w:rsidR="004D3E48">
        <w:t xml:space="preserve"> </w:t>
      </w:r>
      <w:r w:rsidRPr="00422C25">
        <w:t xml:space="preserve">Abstraction will be conducted only with those providers for whom the </w:t>
      </w:r>
      <w:r w:rsidR="00CC7368">
        <w:t>parent/</w:t>
      </w:r>
      <w:r w:rsidRPr="00422C25">
        <w:t>guardian provides consent for the study to contact.</w:t>
      </w:r>
    </w:p>
    <w:p w:rsidR="008E25AB" w:rsidRDefault="008E25AB" w:rsidP="00E35D9C">
      <w:pPr>
        <w:spacing w:after="120" w:line="240" w:lineRule="auto"/>
      </w:pPr>
      <w:r>
        <w:t xml:space="preserve">Further details of all data collection procedures are provided in </w:t>
      </w:r>
      <w:r w:rsidRPr="008E25AB">
        <w:rPr>
          <w:b/>
          <w:bCs/>
          <w:i/>
          <w:iCs/>
        </w:rPr>
        <w:t xml:space="preserve">Attachment </w:t>
      </w:r>
      <w:r w:rsidR="00487778">
        <w:rPr>
          <w:b/>
          <w:bCs/>
          <w:i/>
          <w:iCs/>
        </w:rPr>
        <w:t>J</w:t>
      </w:r>
      <w:r>
        <w:t>.</w:t>
      </w:r>
      <w:r w:rsidR="00654D6C">
        <w:t xml:space="preserve"> </w:t>
      </w:r>
      <w:r w:rsidR="002E76DB">
        <w:t xml:space="preserve"> </w:t>
      </w:r>
      <w:r w:rsidR="00654D6C">
        <w:t xml:space="preserve">All questionnaires for the </w:t>
      </w:r>
      <w:r w:rsidR="00E35D9C">
        <w:t>B</w:t>
      </w:r>
      <w:r w:rsidR="00654D6C">
        <w:t xml:space="preserve">aseline </w:t>
      </w:r>
      <w:r w:rsidR="00E35D9C">
        <w:t>S</w:t>
      </w:r>
      <w:r w:rsidR="0035461E">
        <w:t xml:space="preserve">essions 1 and 2 </w:t>
      </w:r>
      <w:r w:rsidR="00654D6C">
        <w:t xml:space="preserve">are provided in </w:t>
      </w:r>
      <w:r w:rsidR="00654D6C" w:rsidRPr="00654D6C">
        <w:rPr>
          <w:b/>
          <w:bCs/>
          <w:i/>
          <w:iCs/>
        </w:rPr>
        <w:t>Attachment</w:t>
      </w:r>
      <w:r w:rsidR="00487778">
        <w:rPr>
          <w:b/>
          <w:bCs/>
          <w:i/>
          <w:iCs/>
        </w:rPr>
        <w:t xml:space="preserve">s </w:t>
      </w:r>
      <w:r w:rsidR="006C5373">
        <w:rPr>
          <w:b/>
          <w:bCs/>
          <w:i/>
          <w:iCs/>
        </w:rPr>
        <w:t>L</w:t>
      </w:r>
      <w:r w:rsidR="00487778">
        <w:rPr>
          <w:b/>
          <w:bCs/>
          <w:i/>
          <w:iCs/>
        </w:rPr>
        <w:t xml:space="preserve"> and </w:t>
      </w:r>
      <w:r w:rsidR="006C5373">
        <w:rPr>
          <w:b/>
          <w:bCs/>
          <w:i/>
          <w:iCs/>
        </w:rPr>
        <w:t>M</w:t>
      </w:r>
      <w:r w:rsidR="00654D6C">
        <w:t xml:space="preserve">, and for the </w:t>
      </w:r>
      <w:r w:rsidR="00E35D9C">
        <w:t>F</w:t>
      </w:r>
      <w:r w:rsidR="00654D6C">
        <w:t xml:space="preserve">ollow-up </w:t>
      </w:r>
      <w:r w:rsidR="00E35D9C">
        <w:t>S</w:t>
      </w:r>
      <w:r w:rsidR="0035461E">
        <w:t xml:space="preserve">essions 1 and 2 </w:t>
      </w:r>
      <w:r w:rsidR="00654D6C">
        <w:t xml:space="preserve">in </w:t>
      </w:r>
      <w:r w:rsidR="00654D6C" w:rsidRPr="00654D6C">
        <w:rPr>
          <w:b/>
          <w:bCs/>
          <w:i/>
          <w:iCs/>
        </w:rPr>
        <w:t>Attachment</w:t>
      </w:r>
      <w:r w:rsidR="00487778">
        <w:rPr>
          <w:b/>
          <w:bCs/>
          <w:i/>
          <w:iCs/>
        </w:rPr>
        <w:t xml:space="preserve">s </w:t>
      </w:r>
      <w:r w:rsidR="006C5373">
        <w:rPr>
          <w:b/>
          <w:bCs/>
          <w:i/>
          <w:iCs/>
        </w:rPr>
        <w:t>N</w:t>
      </w:r>
      <w:r w:rsidR="00487778">
        <w:rPr>
          <w:b/>
          <w:bCs/>
          <w:i/>
          <w:iCs/>
        </w:rPr>
        <w:t xml:space="preserve"> and </w:t>
      </w:r>
      <w:r w:rsidR="006C5373">
        <w:rPr>
          <w:b/>
          <w:bCs/>
          <w:i/>
          <w:iCs/>
        </w:rPr>
        <w:t>O</w:t>
      </w:r>
      <w:r w:rsidR="00654D6C">
        <w:t>.</w:t>
      </w:r>
      <w:r w:rsidR="00466EB4">
        <w:t xml:space="preserve">  </w:t>
      </w:r>
      <w:r w:rsidR="00AF562F" w:rsidRPr="00044B97">
        <w:rPr>
          <w:b/>
          <w:bCs/>
          <w:i/>
          <w:iCs/>
        </w:rPr>
        <w:t>Attachments P</w:t>
      </w:r>
      <w:r w:rsidR="00AF562F" w:rsidRPr="00044B97">
        <w:t xml:space="preserve"> </w:t>
      </w:r>
      <w:r w:rsidR="00AF562F" w:rsidRPr="00044B97">
        <w:rPr>
          <w:b/>
          <w:bCs/>
          <w:i/>
          <w:iCs/>
        </w:rPr>
        <w:t>– Y</w:t>
      </w:r>
      <w:r w:rsidR="00AF562F" w:rsidRPr="00044B97">
        <w:t xml:space="preserve"> </w:t>
      </w:r>
      <w:r w:rsidR="0070687A" w:rsidRPr="00044B97">
        <w:t>is</w:t>
      </w:r>
      <w:r w:rsidR="00AF562F" w:rsidRPr="00044B97">
        <w:t xml:space="preserve"> described in </w:t>
      </w:r>
      <w:r w:rsidR="00AF562F" w:rsidRPr="00044B97">
        <w:rPr>
          <w:b/>
          <w:bCs/>
          <w:i/>
          <w:iCs/>
        </w:rPr>
        <w:t>Attachment J</w:t>
      </w:r>
      <w:r w:rsidR="00466EB4" w:rsidRPr="00044B97">
        <w:t>.</w:t>
      </w:r>
    </w:p>
    <w:p w:rsidR="005A1C98" w:rsidRPr="008810E6" w:rsidRDefault="00026AF6" w:rsidP="0072336D">
      <w:pPr>
        <w:pStyle w:val="Heading2"/>
        <w:spacing w:before="0" w:after="120" w:line="240" w:lineRule="auto"/>
        <w:rPr>
          <w:rFonts w:ascii="Arial Black" w:hAnsi="Arial Black"/>
          <w:b w:val="0"/>
          <w:i w:val="0"/>
          <w:iCs w:val="0"/>
          <w:sz w:val="22"/>
          <w:szCs w:val="22"/>
        </w:rPr>
      </w:pPr>
      <w:bookmarkStart w:id="13" w:name="_Toc278872066"/>
      <w:r>
        <w:rPr>
          <w:rFonts w:ascii="Arial Black" w:hAnsi="Arial Black"/>
          <w:b w:val="0"/>
          <w:i w:val="0"/>
          <w:iCs w:val="0"/>
          <w:sz w:val="22"/>
          <w:szCs w:val="22"/>
        </w:rPr>
        <w:t>B</w:t>
      </w:r>
      <w:r w:rsidR="008D5DF6">
        <w:rPr>
          <w:rFonts w:ascii="Arial Black" w:hAnsi="Arial Black"/>
          <w:b w:val="0"/>
          <w:i w:val="0"/>
          <w:iCs w:val="0"/>
          <w:sz w:val="22"/>
          <w:szCs w:val="22"/>
        </w:rPr>
        <w:t>.</w:t>
      </w:r>
      <w:r w:rsidR="008810E6" w:rsidRPr="00EA7A49">
        <w:rPr>
          <w:rFonts w:ascii="Arial Black" w:hAnsi="Arial Black"/>
          <w:b w:val="0"/>
          <w:i w:val="0"/>
          <w:iCs w:val="0"/>
          <w:sz w:val="22"/>
          <w:szCs w:val="22"/>
        </w:rPr>
        <w:t>3</w:t>
      </w:r>
      <w:r w:rsidR="005A1C98" w:rsidRPr="00EA7A49">
        <w:rPr>
          <w:rFonts w:ascii="Arial Black" w:hAnsi="Arial Black"/>
          <w:b w:val="0"/>
          <w:i w:val="0"/>
          <w:iCs w:val="0"/>
          <w:sz w:val="22"/>
          <w:szCs w:val="22"/>
        </w:rPr>
        <w:tab/>
        <w:t>Methods to Maximi</w:t>
      </w:r>
      <w:r w:rsidR="005A1C98" w:rsidRPr="008810E6">
        <w:rPr>
          <w:rFonts w:ascii="Arial Black" w:hAnsi="Arial Black"/>
          <w:b w:val="0"/>
          <w:i w:val="0"/>
          <w:iCs w:val="0"/>
          <w:sz w:val="22"/>
          <w:szCs w:val="22"/>
        </w:rPr>
        <w:t>ze Response Rates and Deal with Nonresponse</w:t>
      </w:r>
      <w:bookmarkEnd w:id="13"/>
    </w:p>
    <w:p w:rsidR="005A1C98" w:rsidRDefault="005A1C98" w:rsidP="002E76DB">
      <w:pPr>
        <w:spacing w:after="120" w:line="240" w:lineRule="auto"/>
      </w:pPr>
      <w:r w:rsidRPr="007D5751">
        <w:t>Our ability to gain and retain respondent cooperation is critical to the success of the</w:t>
      </w:r>
      <w:r w:rsidR="007C3660">
        <w:t xml:space="preserve"> Feasibility Study</w:t>
      </w:r>
      <w:r w:rsidR="002E76DB">
        <w:t xml:space="preserve"> B</w:t>
      </w:r>
      <w:r w:rsidRPr="007D5751">
        <w:t xml:space="preserve">aseline and </w:t>
      </w:r>
      <w:r w:rsidR="002E76DB">
        <w:t>F</w:t>
      </w:r>
      <w:r w:rsidRPr="007D5751">
        <w:t xml:space="preserve">ollow-up endeavors. </w:t>
      </w:r>
      <w:r w:rsidR="0003391D">
        <w:t xml:space="preserve"> </w:t>
      </w:r>
      <w:r w:rsidR="008A0016">
        <w:t xml:space="preserve">As mentioned previously, we invested considerable effort in establishing realistic levels of response. </w:t>
      </w:r>
      <w:r w:rsidR="004D3E48">
        <w:t xml:space="preserve"> </w:t>
      </w:r>
      <w:r w:rsidR="008A0016">
        <w:t xml:space="preserve">Based on our previous experience with face-to-face personal interviews from a list frame (both the USPS and FEMA data bases are examples of high quality list frames), we believe that it is reasonable to achieve relatively high levels of participation. </w:t>
      </w:r>
      <w:r w:rsidR="004D3E48">
        <w:t xml:space="preserve"> </w:t>
      </w:r>
      <w:r w:rsidR="008A0016">
        <w:t>However, the field strategy will need to be well-planned and tailored to the target population.</w:t>
      </w:r>
      <w:r w:rsidR="008A0016" w:rsidRPr="007D5751">
        <w:t xml:space="preserve"> </w:t>
      </w:r>
      <w:r w:rsidRPr="007D5751">
        <w:t xml:space="preserve">In </w:t>
      </w:r>
      <w:r w:rsidR="007C3660">
        <w:t xml:space="preserve">an </w:t>
      </w:r>
      <w:r w:rsidRPr="007D5751">
        <w:t xml:space="preserve">effort to minimize non-response and maximize the ability to obtain 80% response rates and </w:t>
      </w:r>
      <w:r w:rsidR="007C3660">
        <w:t xml:space="preserve">90% </w:t>
      </w:r>
      <w:r w:rsidRPr="007D5751">
        <w:t xml:space="preserve">retention levels </w:t>
      </w:r>
      <w:r w:rsidR="007C3660">
        <w:t xml:space="preserve">at </w:t>
      </w:r>
      <w:r w:rsidR="002E76DB">
        <w:t xml:space="preserve">6-month Follow-up </w:t>
      </w:r>
      <w:r w:rsidRPr="007D5751">
        <w:t xml:space="preserve">we will: </w:t>
      </w:r>
    </w:p>
    <w:p w:rsidR="005A1C98" w:rsidRPr="007D5751" w:rsidRDefault="005A1C98" w:rsidP="00E41F54">
      <w:pPr>
        <w:numPr>
          <w:ilvl w:val="0"/>
          <w:numId w:val="27"/>
        </w:numPr>
        <w:tabs>
          <w:tab w:val="clear" w:pos="1440"/>
        </w:tabs>
        <w:spacing w:after="60" w:line="240" w:lineRule="auto"/>
        <w:ind w:left="1080" w:hanging="360"/>
      </w:pPr>
      <w:r w:rsidRPr="007D5751">
        <w:t xml:space="preserve">Establish a </w:t>
      </w:r>
      <w:r w:rsidR="00952ECE">
        <w:t xml:space="preserve">CAP </w:t>
      </w:r>
      <w:r w:rsidRPr="007D5751">
        <w:t>to provide insight into the study-related concerns of target neighborhoods across the study area an</w:t>
      </w:r>
      <w:r w:rsidR="00E41F54">
        <w:t xml:space="preserve">d build awareness.  </w:t>
      </w:r>
    </w:p>
    <w:p w:rsidR="005A1C98" w:rsidRPr="007D5751" w:rsidRDefault="005A1C98" w:rsidP="00E41F54">
      <w:pPr>
        <w:numPr>
          <w:ilvl w:val="0"/>
          <w:numId w:val="27"/>
        </w:numPr>
        <w:tabs>
          <w:tab w:val="clear" w:pos="1440"/>
        </w:tabs>
        <w:spacing w:after="60" w:line="240" w:lineRule="auto"/>
        <w:ind w:left="1080" w:hanging="360"/>
      </w:pPr>
      <w:r w:rsidRPr="007D5751">
        <w:t xml:space="preserve">Utilize advanced community outreach to raise awareness about the project and to encourage participation.  </w:t>
      </w:r>
    </w:p>
    <w:p w:rsidR="005A1C98" w:rsidRPr="007D5751" w:rsidRDefault="005A1C98" w:rsidP="00E41F54">
      <w:pPr>
        <w:numPr>
          <w:ilvl w:val="0"/>
          <w:numId w:val="27"/>
        </w:numPr>
        <w:tabs>
          <w:tab w:val="clear" w:pos="1440"/>
        </w:tabs>
        <w:spacing w:after="60" w:line="240" w:lineRule="auto"/>
        <w:ind w:left="1080" w:hanging="360"/>
      </w:pPr>
      <w:r w:rsidRPr="007D5751">
        <w:t>Mail a lead letter along with supporting materials from recognized leaders and organizers within the local community and a high-quality study brochure</w:t>
      </w:r>
      <w:r w:rsidR="00842B82">
        <w:t xml:space="preserve"> (</w:t>
      </w:r>
      <w:r w:rsidR="00842B82" w:rsidRPr="000E292D">
        <w:rPr>
          <w:b/>
          <w:bCs/>
          <w:i/>
          <w:iCs/>
        </w:rPr>
        <w:t>Attachment I</w:t>
      </w:r>
      <w:r w:rsidR="00842B82">
        <w:t>)</w:t>
      </w:r>
      <w:r w:rsidRPr="007D5751">
        <w:t xml:space="preserve"> to potential </w:t>
      </w:r>
      <w:r w:rsidR="004C7BDD">
        <w:t>participants</w:t>
      </w:r>
      <w:r w:rsidR="004C7BDD" w:rsidRPr="007D5751">
        <w:t xml:space="preserve"> </w:t>
      </w:r>
      <w:r w:rsidRPr="007D5751">
        <w:t xml:space="preserve">in advance of making contact to inform them of the study.  </w:t>
      </w:r>
    </w:p>
    <w:p w:rsidR="00EA4A3C" w:rsidRDefault="007C3660" w:rsidP="00E41F54">
      <w:pPr>
        <w:numPr>
          <w:ilvl w:val="0"/>
          <w:numId w:val="27"/>
        </w:numPr>
        <w:tabs>
          <w:tab w:val="clear" w:pos="1440"/>
        </w:tabs>
        <w:spacing w:after="60" w:line="240" w:lineRule="auto"/>
        <w:ind w:left="1080" w:hanging="360"/>
      </w:pPr>
      <w:r>
        <w:t>M</w:t>
      </w:r>
      <w:r w:rsidR="005A1C98" w:rsidRPr="007D5751">
        <w:t xml:space="preserve">ake </w:t>
      </w:r>
      <w:r w:rsidR="00A65A98">
        <w:t>recruitment</w:t>
      </w:r>
      <w:r>
        <w:t xml:space="preserve"> </w:t>
      </w:r>
      <w:r w:rsidR="005A1C98" w:rsidRPr="007D5751">
        <w:t>materials</w:t>
      </w:r>
      <w:r w:rsidR="00A65A98">
        <w:t xml:space="preserve"> and all consent/assent/permission forms</w:t>
      </w:r>
      <w:r w:rsidR="005A1C98" w:rsidRPr="007D5751">
        <w:t xml:space="preserve"> available in English, Spanish</w:t>
      </w:r>
      <w:r w:rsidR="00A65A98">
        <w:t>,</w:t>
      </w:r>
      <w:r w:rsidR="005A1C98" w:rsidRPr="007D5751">
        <w:t xml:space="preserve"> and Vietnamese</w:t>
      </w:r>
      <w:r w:rsidR="00A65A98">
        <w:t xml:space="preserve"> in order to reach a large proportion of non</w:t>
      </w:r>
      <w:r w:rsidR="006F1415">
        <w:t>-</w:t>
      </w:r>
      <w:r w:rsidR="00A65A98">
        <w:t>English-speaking households</w:t>
      </w:r>
      <w:r w:rsidR="005A1C98" w:rsidRPr="007D5751">
        <w:t xml:space="preserve">.  </w:t>
      </w:r>
      <w:r w:rsidR="004D6A22">
        <w:t xml:space="preserve">These materials will be made available in Vietnamese because, during Hurricane Katrina, </w:t>
      </w:r>
      <w:r w:rsidR="004D6A22" w:rsidRPr="001532A9">
        <w:t xml:space="preserve">the Vietnamese community </w:t>
      </w:r>
      <w:r w:rsidR="00E869D1">
        <w:t>(</w:t>
      </w:r>
      <w:r w:rsidR="00252273">
        <w:t>approximately</w:t>
      </w:r>
      <w:r w:rsidR="004D6A22" w:rsidRPr="001532A9">
        <w:t xml:space="preserve"> 20,000</w:t>
      </w:r>
      <w:r w:rsidR="00E869D1">
        <w:t xml:space="preserve"> or </w:t>
      </w:r>
      <w:r w:rsidR="004D6A22" w:rsidRPr="001532A9">
        <w:t>1.5% of the New Orleans population</w:t>
      </w:r>
      <w:r w:rsidR="00A2051A" w:rsidRPr="001532A9">
        <w:t>)</w:t>
      </w:r>
      <w:r w:rsidR="004D6A22" w:rsidRPr="001532A9">
        <w:t xml:space="preserve"> was heavily concentrated in sections of East New Orleans that were impacted by the flooding</w:t>
      </w:r>
      <w:r w:rsidR="00DC0D2A">
        <w:t>.</w:t>
      </w:r>
      <w:r w:rsidR="004D6A22" w:rsidRPr="001532A9">
        <w:t xml:space="preserve"> </w:t>
      </w:r>
    </w:p>
    <w:p w:rsidR="005A1C98" w:rsidRPr="007D5751" w:rsidRDefault="00A65A98" w:rsidP="00E41F54">
      <w:pPr>
        <w:numPr>
          <w:ilvl w:val="0"/>
          <w:numId w:val="27"/>
        </w:numPr>
        <w:tabs>
          <w:tab w:val="clear" w:pos="1440"/>
        </w:tabs>
        <w:spacing w:after="60" w:line="240" w:lineRule="auto"/>
        <w:ind w:left="1080" w:hanging="360"/>
      </w:pPr>
      <w:r>
        <w:t>All interview scripts and q</w:t>
      </w:r>
      <w:r w:rsidR="005A1C98" w:rsidRPr="007D5751">
        <w:t xml:space="preserve">uestionnaires </w:t>
      </w:r>
      <w:r>
        <w:t>have</w:t>
      </w:r>
      <w:r w:rsidR="005A1C98" w:rsidRPr="007D5751">
        <w:t xml:space="preserve"> </w:t>
      </w:r>
      <w:r w:rsidR="00EA4A3C">
        <w:t xml:space="preserve">also </w:t>
      </w:r>
      <w:r w:rsidR="005A1C98" w:rsidRPr="007D5751">
        <w:t>be</w:t>
      </w:r>
      <w:r>
        <w:t>en</w:t>
      </w:r>
      <w:r w:rsidR="005A1C98" w:rsidRPr="007D5751">
        <w:t xml:space="preserve"> translated into Spanish </w:t>
      </w:r>
      <w:r>
        <w:t xml:space="preserve">and will be administered to Spanish-speaking participants in Spanish.  </w:t>
      </w:r>
      <w:r w:rsidR="00EA4A3C">
        <w:t xml:space="preserve">We will have trained Vietnamese interpreters available to administer the interview scripts and questionnaires to Vietnamese-speaking participants in Vietnamese. </w:t>
      </w:r>
      <w:r w:rsidR="0058481B">
        <w:t xml:space="preserve"> </w:t>
      </w:r>
      <w:r w:rsidR="001D4BC2">
        <w:t>Because</w:t>
      </w:r>
      <w:r w:rsidR="007939EE">
        <w:t xml:space="preserve"> the</w:t>
      </w:r>
      <w:r w:rsidR="008177AA">
        <w:t xml:space="preserve"> overall</w:t>
      </w:r>
      <w:r w:rsidR="00916E44">
        <w:t xml:space="preserve"> </w:t>
      </w:r>
      <w:r w:rsidR="007939EE">
        <w:t xml:space="preserve">Vietnamese </w:t>
      </w:r>
      <w:r w:rsidR="001D4BC2">
        <w:t xml:space="preserve">population </w:t>
      </w:r>
      <w:r w:rsidR="007939EE">
        <w:t xml:space="preserve">in the </w:t>
      </w:r>
      <w:r w:rsidR="001E70B6">
        <w:t>G</w:t>
      </w:r>
      <w:r w:rsidR="007939EE">
        <w:t xml:space="preserve">ulf </w:t>
      </w:r>
      <w:r w:rsidR="001E70B6">
        <w:t>C</w:t>
      </w:r>
      <w:r w:rsidR="007939EE">
        <w:t xml:space="preserve">oast </w:t>
      </w:r>
      <w:r w:rsidR="00EA4A3C">
        <w:t>was</w:t>
      </w:r>
      <w:r w:rsidR="00891D32">
        <w:t xml:space="preserve"> estimated to be</w:t>
      </w:r>
      <w:r w:rsidR="007939EE">
        <w:t xml:space="preserve"> </w:t>
      </w:r>
      <w:r w:rsidR="002666A6">
        <w:t>0.33% based on the 2005</w:t>
      </w:r>
      <w:r w:rsidR="00044B97">
        <w:rPr>
          <w:rFonts w:ascii="Arial" w:hAnsi="Arial" w:cs="Arial"/>
        </w:rPr>
        <w:t>–</w:t>
      </w:r>
      <w:r w:rsidR="002666A6">
        <w:t>2007</w:t>
      </w:r>
      <w:r w:rsidR="0070687A">
        <w:t xml:space="preserve"> </w:t>
      </w:r>
      <w:r w:rsidR="002666A6">
        <w:t xml:space="preserve">American Community Survey, </w:t>
      </w:r>
      <w:r w:rsidR="007939EE">
        <w:t xml:space="preserve">we </w:t>
      </w:r>
      <w:r w:rsidR="007939EE">
        <w:lastRenderedPageBreak/>
        <w:t xml:space="preserve">are not translating the </w:t>
      </w:r>
      <w:r>
        <w:t xml:space="preserve">interview materials into Vietnamese </w:t>
      </w:r>
      <w:r w:rsidR="007939EE">
        <w:t xml:space="preserve">for the Feasibility Study. We will re-evaluate the need </w:t>
      </w:r>
      <w:r>
        <w:t xml:space="preserve">to </w:t>
      </w:r>
      <w:r w:rsidR="007939EE">
        <w:t>translat</w:t>
      </w:r>
      <w:r>
        <w:t>e interview materials into Vietnamese</w:t>
      </w:r>
      <w:r w:rsidR="007939EE">
        <w:t xml:space="preserve"> </w:t>
      </w:r>
      <w:r w:rsidR="00EF5879">
        <w:t xml:space="preserve">for the Full Study </w:t>
      </w:r>
      <w:r w:rsidR="007939EE">
        <w:t>based on Feasibility Study results.</w:t>
      </w:r>
    </w:p>
    <w:p w:rsidR="005A1C98" w:rsidRPr="007D5751" w:rsidRDefault="005A1C98" w:rsidP="00E41F54">
      <w:pPr>
        <w:numPr>
          <w:ilvl w:val="0"/>
          <w:numId w:val="27"/>
        </w:numPr>
        <w:tabs>
          <w:tab w:val="clear" w:pos="1440"/>
        </w:tabs>
        <w:spacing w:after="60" w:line="240" w:lineRule="auto"/>
        <w:ind w:left="1080" w:hanging="360"/>
      </w:pPr>
      <w:r w:rsidRPr="007D5751">
        <w:t xml:space="preserve">Hire field interviewers and registered nurses who are members of the community. </w:t>
      </w:r>
    </w:p>
    <w:p w:rsidR="00876663" w:rsidRDefault="005A1C98" w:rsidP="00E41F54">
      <w:pPr>
        <w:numPr>
          <w:ilvl w:val="0"/>
          <w:numId w:val="27"/>
        </w:numPr>
        <w:tabs>
          <w:tab w:val="clear" w:pos="1440"/>
        </w:tabs>
        <w:spacing w:after="60" w:line="240" w:lineRule="auto"/>
        <w:ind w:left="1080" w:hanging="360"/>
      </w:pPr>
      <w:r w:rsidRPr="007D5751">
        <w:t xml:space="preserve">Ensure that participation is as easy and non-burdensome as possible.  </w:t>
      </w:r>
    </w:p>
    <w:p w:rsidR="005A1C98" w:rsidRPr="007D5751" w:rsidRDefault="005A1C98" w:rsidP="00E41F54">
      <w:pPr>
        <w:numPr>
          <w:ilvl w:val="0"/>
          <w:numId w:val="27"/>
        </w:numPr>
        <w:tabs>
          <w:tab w:val="clear" w:pos="1440"/>
        </w:tabs>
        <w:spacing w:after="60" w:line="240" w:lineRule="auto"/>
        <w:ind w:left="1080" w:hanging="360"/>
      </w:pPr>
      <w:r w:rsidRPr="007D5751">
        <w:t xml:space="preserve">Provide focused training to field interviewers and nurses on the issues surrounding decisions to participate in the interview, clinical exams, environmental exposure collections and blood draw.  </w:t>
      </w:r>
    </w:p>
    <w:p w:rsidR="005A1C98" w:rsidRPr="007D5751" w:rsidRDefault="005A1C98" w:rsidP="00E41F54">
      <w:pPr>
        <w:numPr>
          <w:ilvl w:val="0"/>
          <w:numId w:val="28"/>
        </w:numPr>
        <w:tabs>
          <w:tab w:val="clear" w:pos="1080"/>
        </w:tabs>
        <w:spacing w:after="60" w:line="240" w:lineRule="auto"/>
      </w:pPr>
      <w:r w:rsidRPr="007D5751">
        <w:t xml:space="preserve">Offer </w:t>
      </w:r>
      <w:r w:rsidR="00BA2E7A">
        <w:t>tokens of appreciation</w:t>
      </w:r>
      <w:r w:rsidR="00BA2E7A" w:rsidRPr="007D5751">
        <w:t xml:space="preserve"> </w:t>
      </w:r>
      <w:r w:rsidRPr="007D5751">
        <w:t xml:space="preserve">to both the parents and children during each session of participation based on the activity and burden involved.  </w:t>
      </w:r>
    </w:p>
    <w:p w:rsidR="00876663" w:rsidRDefault="005A1C98" w:rsidP="00E41F54">
      <w:pPr>
        <w:numPr>
          <w:ilvl w:val="0"/>
          <w:numId w:val="28"/>
        </w:numPr>
        <w:tabs>
          <w:tab w:val="clear" w:pos="1080"/>
        </w:tabs>
        <w:spacing w:after="60" w:line="240" w:lineRule="auto"/>
      </w:pPr>
      <w:r w:rsidRPr="007D5751">
        <w:t xml:space="preserve">Employ proven refusal conversion methods.  </w:t>
      </w:r>
    </w:p>
    <w:p w:rsidR="005A1C98" w:rsidRPr="007D5751" w:rsidRDefault="005A1C98" w:rsidP="00E41F54">
      <w:pPr>
        <w:numPr>
          <w:ilvl w:val="0"/>
          <w:numId w:val="28"/>
        </w:numPr>
        <w:tabs>
          <w:tab w:val="clear" w:pos="1080"/>
        </w:tabs>
        <w:spacing w:after="120" w:line="240" w:lineRule="auto"/>
      </w:pPr>
      <w:r w:rsidRPr="007D5751">
        <w:t xml:space="preserve">Deploy </w:t>
      </w:r>
      <w:r w:rsidR="005A3BDB">
        <w:t xml:space="preserve">a </w:t>
      </w:r>
      <w:r w:rsidRPr="007D5751">
        <w:t xml:space="preserve">multi-strategy tracking approach of batch, field, interactive and mail-outs to capitalize on recent contacts with study participants and maximize retention.  </w:t>
      </w:r>
    </w:p>
    <w:p w:rsidR="005A1C98" w:rsidRPr="008810E6" w:rsidRDefault="00026AF6" w:rsidP="000E120A">
      <w:pPr>
        <w:pStyle w:val="Heading2"/>
        <w:spacing w:after="120" w:line="240" w:lineRule="auto"/>
        <w:rPr>
          <w:rFonts w:ascii="Arial Black" w:hAnsi="Arial Black"/>
          <w:i w:val="0"/>
          <w:iCs w:val="0"/>
          <w:sz w:val="22"/>
          <w:szCs w:val="22"/>
        </w:rPr>
      </w:pPr>
      <w:bookmarkStart w:id="14" w:name="_Toc278872067"/>
      <w:r>
        <w:rPr>
          <w:rFonts w:ascii="Arial Black" w:hAnsi="Arial Black"/>
          <w:i w:val="0"/>
          <w:iCs w:val="0"/>
          <w:sz w:val="22"/>
          <w:szCs w:val="22"/>
        </w:rPr>
        <w:t>B</w:t>
      </w:r>
      <w:r w:rsidR="008D5DF6">
        <w:rPr>
          <w:rFonts w:ascii="Arial Black" w:hAnsi="Arial Black"/>
          <w:i w:val="0"/>
          <w:iCs w:val="0"/>
          <w:sz w:val="22"/>
          <w:szCs w:val="22"/>
        </w:rPr>
        <w:t>.</w:t>
      </w:r>
      <w:r w:rsidR="005A1C98" w:rsidRPr="008810E6">
        <w:rPr>
          <w:rFonts w:ascii="Arial Black" w:hAnsi="Arial Black"/>
          <w:i w:val="0"/>
          <w:iCs w:val="0"/>
          <w:sz w:val="22"/>
          <w:szCs w:val="22"/>
        </w:rPr>
        <w:t>4</w:t>
      </w:r>
      <w:r w:rsidR="005A1C98" w:rsidRPr="008810E6">
        <w:rPr>
          <w:rFonts w:ascii="Arial Black" w:hAnsi="Arial Black"/>
          <w:i w:val="0"/>
          <w:iCs w:val="0"/>
          <w:sz w:val="22"/>
          <w:szCs w:val="22"/>
        </w:rPr>
        <w:tab/>
        <w:t>Tests of Procedures of Methods to be Undertaken</w:t>
      </w:r>
      <w:bookmarkEnd w:id="14"/>
    </w:p>
    <w:p w:rsidR="005A1C98" w:rsidRPr="005F103D" w:rsidRDefault="005A1C98" w:rsidP="0072336D">
      <w:pPr>
        <w:spacing w:after="120" w:line="240" w:lineRule="auto"/>
      </w:pPr>
      <w:r w:rsidRPr="005F103D">
        <w:t>We plan to thoroughly test the CAPI instrument</w:t>
      </w:r>
      <w:r>
        <w:t>s</w:t>
      </w:r>
      <w:r w:rsidRPr="005F103D">
        <w:t xml:space="preserve"> and all supporting systems prior to data collection. </w:t>
      </w:r>
      <w:r w:rsidR="000E120A">
        <w:t xml:space="preserve"> </w:t>
      </w:r>
      <w:r w:rsidRPr="005F103D">
        <w:t xml:space="preserve">We will also test the </w:t>
      </w:r>
      <w:r>
        <w:t xml:space="preserve">environmental protocol, clinical protocols, and questionnaires </w:t>
      </w:r>
      <w:r w:rsidRPr="005F103D">
        <w:t xml:space="preserve">with fewer than 10 </w:t>
      </w:r>
      <w:r>
        <w:t xml:space="preserve">respondents for each component. </w:t>
      </w:r>
    </w:p>
    <w:p w:rsidR="005A1C98" w:rsidRPr="008810E6" w:rsidRDefault="00026AF6" w:rsidP="00E41F54">
      <w:pPr>
        <w:pStyle w:val="Heading2"/>
        <w:spacing w:before="0" w:after="120" w:line="240" w:lineRule="auto"/>
        <w:ind w:left="720" w:hanging="720"/>
        <w:rPr>
          <w:rFonts w:ascii="Arial Black" w:hAnsi="Arial Black"/>
          <w:b w:val="0"/>
          <w:bCs w:val="0"/>
          <w:i w:val="0"/>
          <w:iCs w:val="0"/>
          <w:sz w:val="22"/>
          <w:szCs w:val="22"/>
        </w:rPr>
      </w:pPr>
      <w:bookmarkStart w:id="15" w:name="_Toc278872068"/>
      <w:r>
        <w:rPr>
          <w:rFonts w:ascii="Arial Black" w:hAnsi="Arial Black"/>
          <w:b w:val="0"/>
          <w:bCs w:val="0"/>
          <w:i w:val="0"/>
          <w:iCs w:val="0"/>
          <w:sz w:val="22"/>
          <w:szCs w:val="22"/>
        </w:rPr>
        <w:t>B</w:t>
      </w:r>
      <w:r w:rsidR="008D5DF6">
        <w:rPr>
          <w:rFonts w:ascii="Arial Black" w:hAnsi="Arial Black"/>
          <w:b w:val="0"/>
          <w:bCs w:val="0"/>
          <w:i w:val="0"/>
          <w:iCs w:val="0"/>
          <w:sz w:val="22"/>
          <w:szCs w:val="22"/>
        </w:rPr>
        <w:t>.</w:t>
      </w:r>
      <w:r w:rsidR="005A1C98" w:rsidRPr="008810E6">
        <w:rPr>
          <w:rFonts w:ascii="Arial Black" w:hAnsi="Arial Black"/>
          <w:b w:val="0"/>
          <w:bCs w:val="0"/>
          <w:i w:val="0"/>
          <w:iCs w:val="0"/>
          <w:sz w:val="22"/>
          <w:szCs w:val="22"/>
        </w:rPr>
        <w:t>5</w:t>
      </w:r>
      <w:r w:rsidR="005A1C98" w:rsidRPr="008810E6">
        <w:rPr>
          <w:rFonts w:ascii="Arial Black" w:hAnsi="Arial Black"/>
          <w:b w:val="0"/>
          <w:bCs w:val="0"/>
          <w:i w:val="0"/>
          <w:iCs w:val="0"/>
          <w:sz w:val="22"/>
          <w:szCs w:val="22"/>
        </w:rPr>
        <w:tab/>
        <w:t>Individual</w:t>
      </w:r>
      <w:r w:rsidR="004C7EE7">
        <w:rPr>
          <w:rFonts w:ascii="Arial Black" w:hAnsi="Arial Black"/>
          <w:b w:val="0"/>
          <w:bCs w:val="0"/>
          <w:i w:val="0"/>
          <w:iCs w:val="0"/>
          <w:sz w:val="22"/>
          <w:szCs w:val="22"/>
        </w:rPr>
        <w:t>s</w:t>
      </w:r>
      <w:r w:rsidR="005A1C98" w:rsidRPr="008810E6">
        <w:rPr>
          <w:rFonts w:ascii="Arial Black" w:hAnsi="Arial Black"/>
          <w:b w:val="0"/>
          <w:bCs w:val="0"/>
          <w:i w:val="0"/>
          <w:iCs w:val="0"/>
          <w:sz w:val="22"/>
          <w:szCs w:val="22"/>
        </w:rPr>
        <w:t xml:space="preserve"> Consulted on </w:t>
      </w:r>
      <w:r w:rsidR="004C7EE7">
        <w:rPr>
          <w:rFonts w:ascii="Arial Black" w:hAnsi="Arial Black"/>
          <w:b w:val="0"/>
          <w:bCs w:val="0"/>
          <w:i w:val="0"/>
          <w:iCs w:val="0"/>
          <w:sz w:val="22"/>
          <w:szCs w:val="22"/>
        </w:rPr>
        <w:t xml:space="preserve">Feasibility Study Objectives - </w:t>
      </w:r>
      <w:r w:rsidR="005A1C98" w:rsidRPr="008810E6">
        <w:rPr>
          <w:rFonts w:ascii="Arial Black" w:hAnsi="Arial Black"/>
          <w:b w:val="0"/>
          <w:bCs w:val="0"/>
          <w:i w:val="0"/>
          <w:iCs w:val="0"/>
          <w:sz w:val="22"/>
          <w:szCs w:val="22"/>
        </w:rPr>
        <w:t>Statistical Aspects and Collecting or Analyzing Data</w:t>
      </w:r>
      <w:bookmarkEnd w:id="15"/>
      <w:r w:rsidR="005A1C98" w:rsidRPr="008810E6">
        <w:rPr>
          <w:rFonts w:ascii="Arial Black" w:hAnsi="Arial Black"/>
          <w:b w:val="0"/>
          <w:bCs w:val="0"/>
          <w:i w:val="0"/>
          <w:iCs w:val="0"/>
          <w:sz w:val="22"/>
          <w:szCs w:val="22"/>
        </w:rPr>
        <w:t xml:space="preserve"> </w:t>
      </w:r>
      <w:r w:rsidR="004C7EE7">
        <w:rPr>
          <w:rFonts w:ascii="Arial Black" w:hAnsi="Arial Black"/>
          <w:b w:val="0"/>
          <w:bCs w:val="0"/>
          <w:i w:val="0"/>
          <w:iCs w:val="0"/>
          <w:sz w:val="22"/>
          <w:szCs w:val="22"/>
        </w:rPr>
        <w:t>on Feasibility and Health/Exposure</w:t>
      </w:r>
    </w:p>
    <w:p w:rsidR="005A1C98" w:rsidRDefault="005A1C98" w:rsidP="0072336D">
      <w:pPr>
        <w:spacing w:after="240" w:line="240" w:lineRule="auto"/>
      </w:pPr>
      <w:r w:rsidRPr="008810E6">
        <w:rPr>
          <w:b/>
          <w:bCs/>
          <w:i/>
          <w:iCs/>
        </w:rPr>
        <w:t xml:space="preserve">Exhibit </w:t>
      </w:r>
      <w:r w:rsidR="008B2519">
        <w:rPr>
          <w:b/>
          <w:bCs/>
          <w:i/>
          <w:iCs/>
        </w:rPr>
        <w:t>10</w:t>
      </w:r>
      <w:r w:rsidR="008B2519">
        <w:t xml:space="preserve"> </w:t>
      </w:r>
      <w:r>
        <w:t xml:space="preserve">shows the individuals who </w:t>
      </w:r>
      <w:r w:rsidR="00967555">
        <w:t xml:space="preserve">were </w:t>
      </w:r>
      <w:r>
        <w:t xml:space="preserve">consulted on the statistical aspects of the design, </w:t>
      </w:r>
      <w:r w:rsidR="00BA2E7A">
        <w:t>as well as the</w:t>
      </w:r>
      <w:r>
        <w:t xml:space="preserve"> agency and contractor staff who will collect and/or analyze the data</w:t>
      </w:r>
      <w:r w:rsidR="00F07E42">
        <w:t xml:space="preserve"> from the Feasibility Study</w:t>
      </w:r>
      <w:r>
        <w:t xml:space="preserve">. </w:t>
      </w:r>
      <w:r w:rsidR="004D3E48">
        <w:t xml:space="preserve"> </w:t>
      </w:r>
      <w:r>
        <w:t xml:space="preserve">Also provided is the CDC </w:t>
      </w:r>
      <w:r w:rsidR="00BA2E7A">
        <w:t xml:space="preserve">project officer </w:t>
      </w:r>
      <w:r>
        <w:t>who will receive and approve contract deliverables.</w:t>
      </w:r>
    </w:p>
    <w:p w:rsidR="005A1C98" w:rsidRPr="002E75E3" w:rsidRDefault="005A1C98" w:rsidP="0072336D">
      <w:pPr>
        <w:pStyle w:val="Heading1"/>
        <w:tabs>
          <w:tab w:val="left" w:pos="1080"/>
        </w:tabs>
        <w:spacing w:before="0" w:line="240" w:lineRule="auto"/>
        <w:ind w:left="1080" w:hanging="1080"/>
        <w:rPr>
          <w:rFonts w:asciiTheme="minorHAnsi" w:hAnsiTheme="minorHAnsi"/>
          <w:sz w:val="22"/>
          <w:szCs w:val="22"/>
        </w:rPr>
      </w:pPr>
      <w:bookmarkStart w:id="16" w:name="_Toc274643446"/>
      <w:bookmarkStart w:id="17" w:name="_Toc278871337"/>
      <w:bookmarkStart w:id="18" w:name="_Toc278871520"/>
      <w:bookmarkStart w:id="19" w:name="_Toc278872069"/>
      <w:proofErr w:type="gramStart"/>
      <w:r w:rsidRPr="002E75E3">
        <w:rPr>
          <w:rFonts w:asciiTheme="minorHAnsi" w:hAnsiTheme="minorHAnsi"/>
          <w:sz w:val="22"/>
          <w:szCs w:val="22"/>
        </w:rPr>
        <w:t xml:space="preserve">Exhibit </w:t>
      </w:r>
      <w:r w:rsidR="008B2519">
        <w:rPr>
          <w:rFonts w:asciiTheme="minorHAnsi" w:hAnsiTheme="minorHAnsi"/>
          <w:sz w:val="22"/>
          <w:szCs w:val="22"/>
        </w:rPr>
        <w:t>10</w:t>
      </w:r>
      <w:r w:rsidR="008810E6" w:rsidRPr="002E75E3">
        <w:rPr>
          <w:rFonts w:asciiTheme="minorHAnsi" w:hAnsiTheme="minorHAnsi"/>
          <w:sz w:val="22"/>
          <w:szCs w:val="22"/>
        </w:rPr>
        <w:t>.</w:t>
      </w:r>
      <w:proofErr w:type="gramEnd"/>
      <w:r w:rsidR="0058602A">
        <w:rPr>
          <w:rFonts w:asciiTheme="minorHAnsi" w:hAnsiTheme="minorHAnsi"/>
          <w:sz w:val="22"/>
          <w:szCs w:val="22"/>
        </w:rPr>
        <w:tab/>
      </w:r>
      <w:r w:rsidRPr="002E75E3">
        <w:rPr>
          <w:rFonts w:asciiTheme="minorHAnsi" w:hAnsiTheme="minorHAnsi"/>
          <w:sz w:val="22"/>
          <w:szCs w:val="22"/>
        </w:rPr>
        <w:t xml:space="preserve">Individuals Consulted on Statistical Aspects of the Design and Personnel </w:t>
      </w:r>
      <w:r w:rsidR="002E75E3">
        <w:rPr>
          <w:rFonts w:asciiTheme="minorHAnsi" w:hAnsiTheme="minorHAnsi"/>
          <w:sz w:val="22"/>
          <w:szCs w:val="22"/>
        </w:rPr>
        <w:t>w</w:t>
      </w:r>
      <w:r w:rsidRPr="002E75E3">
        <w:rPr>
          <w:rFonts w:asciiTheme="minorHAnsi" w:hAnsiTheme="minorHAnsi"/>
          <w:sz w:val="22"/>
          <w:szCs w:val="22"/>
        </w:rPr>
        <w:t xml:space="preserve">ho will </w:t>
      </w:r>
      <w:r w:rsidR="00430FE9">
        <w:rPr>
          <w:rFonts w:asciiTheme="minorHAnsi" w:hAnsiTheme="minorHAnsi"/>
          <w:sz w:val="22"/>
          <w:szCs w:val="22"/>
        </w:rPr>
        <w:t xml:space="preserve">Collect and </w:t>
      </w:r>
      <w:r w:rsidR="00BA2E7A">
        <w:rPr>
          <w:rFonts w:asciiTheme="minorHAnsi" w:hAnsiTheme="minorHAnsi"/>
          <w:sz w:val="22"/>
          <w:szCs w:val="22"/>
        </w:rPr>
        <w:t>Analyze Data</w:t>
      </w:r>
      <w:r w:rsidR="00224D29">
        <w:rPr>
          <w:rFonts w:asciiTheme="minorHAnsi" w:hAnsiTheme="minorHAnsi"/>
          <w:sz w:val="22"/>
          <w:szCs w:val="22"/>
        </w:rPr>
        <w:t xml:space="preserve"> or</w:t>
      </w:r>
      <w:r w:rsidR="00BA2E7A">
        <w:rPr>
          <w:rFonts w:asciiTheme="minorHAnsi" w:hAnsiTheme="minorHAnsi"/>
          <w:sz w:val="22"/>
          <w:szCs w:val="22"/>
        </w:rPr>
        <w:t xml:space="preserve"> </w:t>
      </w:r>
      <w:r w:rsidRPr="002E75E3">
        <w:rPr>
          <w:rFonts w:asciiTheme="minorHAnsi" w:hAnsiTheme="minorHAnsi"/>
          <w:sz w:val="22"/>
          <w:szCs w:val="22"/>
        </w:rPr>
        <w:t>Receive Contract Deliverables</w:t>
      </w:r>
      <w:bookmarkEnd w:id="16"/>
      <w:bookmarkEnd w:id="17"/>
      <w:bookmarkEnd w:id="18"/>
      <w:bookmarkEnd w:id="19"/>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58"/>
        <w:gridCol w:w="1530"/>
        <w:gridCol w:w="3870"/>
        <w:gridCol w:w="2610"/>
      </w:tblGrid>
      <w:tr w:rsidR="005A1C98" w:rsidRPr="000E120A" w:rsidTr="000E120A">
        <w:trPr>
          <w:tblHeader/>
        </w:trPr>
        <w:tc>
          <w:tcPr>
            <w:tcW w:w="1858" w:type="dxa"/>
            <w:shd w:val="clear" w:color="auto" w:fill="A6A6A6" w:themeFill="background1" w:themeFillShade="A6"/>
            <w:tcMar>
              <w:top w:w="14" w:type="dxa"/>
              <w:left w:w="58" w:type="dxa"/>
              <w:bottom w:w="14" w:type="dxa"/>
              <w:right w:w="58" w:type="dxa"/>
            </w:tcMar>
          </w:tcPr>
          <w:p w:rsidR="005A1C98" w:rsidRPr="000E120A" w:rsidRDefault="005A1C98" w:rsidP="0072336D">
            <w:pPr>
              <w:spacing w:after="0" w:line="240" w:lineRule="auto"/>
              <w:jc w:val="center"/>
              <w:rPr>
                <w:rFonts w:asciiTheme="minorHAnsi" w:hAnsiTheme="minorHAnsi"/>
                <w:b/>
                <w:bCs/>
                <w:sz w:val="21"/>
                <w:szCs w:val="21"/>
              </w:rPr>
            </w:pPr>
            <w:r w:rsidRPr="000E120A">
              <w:rPr>
                <w:rFonts w:asciiTheme="minorHAnsi" w:hAnsiTheme="minorHAnsi"/>
                <w:b/>
                <w:bCs/>
                <w:sz w:val="21"/>
                <w:szCs w:val="21"/>
              </w:rPr>
              <w:t>Name</w:t>
            </w:r>
          </w:p>
        </w:tc>
        <w:tc>
          <w:tcPr>
            <w:tcW w:w="1530" w:type="dxa"/>
            <w:shd w:val="clear" w:color="auto" w:fill="A6A6A6" w:themeFill="background1" w:themeFillShade="A6"/>
            <w:tcMar>
              <w:top w:w="14" w:type="dxa"/>
              <w:left w:w="58" w:type="dxa"/>
              <w:bottom w:w="14" w:type="dxa"/>
              <w:right w:w="58" w:type="dxa"/>
            </w:tcMar>
          </w:tcPr>
          <w:p w:rsidR="005A1C98" w:rsidRPr="000E120A" w:rsidRDefault="005A1C98" w:rsidP="0072336D">
            <w:pPr>
              <w:spacing w:after="0" w:line="240" w:lineRule="auto"/>
              <w:jc w:val="center"/>
              <w:rPr>
                <w:rFonts w:asciiTheme="minorHAnsi" w:hAnsiTheme="minorHAnsi"/>
                <w:b/>
                <w:bCs/>
                <w:sz w:val="21"/>
                <w:szCs w:val="21"/>
              </w:rPr>
            </w:pPr>
            <w:r w:rsidRPr="000E120A">
              <w:rPr>
                <w:rFonts w:asciiTheme="minorHAnsi" w:hAnsiTheme="minorHAnsi"/>
                <w:b/>
                <w:bCs/>
                <w:sz w:val="21"/>
                <w:szCs w:val="21"/>
              </w:rPr>
              <w:t>Organization</w:t>
            </w:r>
          </w:p>
        </w:tc>
        <w:tc>
          <w:tcPr>
            <w:tcW w:w="3870" w:type="dxa"/>
            <w:shd w:val="clear" w:color="auto" w:fill="A6A6A6" w:themeFill="background1" w:themeFillShade="A6"/>
            <w:tcMar>
              <w:top w:w="14" w:type="dxa"/>
              <w:left w:w="58" w:type="dxa"/>
              <w:bottom w:w="14" w:type="dxa"/>
              <w:right w:w="58" w:type="dxa"/>
            </w:tcMar>
          </w:tcPr>
          <w:p w:rsidR="005A1C98" w:rsidRPr="000E120A" w:rsidRDefault="005A1C98" w:rsidP="0072336D">
            <w:pPr>
              <w:spacing w:after="0" w:line="240" w:lineRule="auto"/>
              <w:jc w:val="center"/>
              <w:rPr>
                <w:rFonts w:asciiTheme="minorHAnsi" w:hAnsiTheme="minorHAnsi"/>
                <w:b/>
                <w:bCs/>
                <w:sz w:val="21"/>
                <w:szCs w:val="21"/>
              </w:rPr>
            </w:pPr>
            <w:r w:rsidRPr="000E120A">
              <w:rPr>
                <w:rFonts w:asciiTheme="minorHAnsi" w:hAnsiTheme="minorHAnsi"/>
                <w:b/>
                <w:bCs/>
                <w:sz w:val="21"/>
                <w:szCs w:val="21"/>
              </w:rPr>
              <w:t>Title and Role</w:t>
            </w:r>
          </w:p>
        </w:tc>
        <w:tc>
          <w:tcPr>
            <w:tcW w:w="2610" w:type="dxa"/>
            <w:shd w:val="clear" w:color="auto" w:fill="A6A6A6" w:themeFill="background1" w:themeFillShade="A6"/>
            <w:tcMar>
              <w:top w:w="14" w:type="dxa"/>
              <w:left w:w="58" w:type="dxa"/>
              <w:bottom w:w="14" w:type="dxa"/>
              <w:right w:w="58" w:type="dxa"/>
            </w:tcMar>
          </w:tcPr>
          <w:p w:rsidR="005A1C98" w:rsidRPr="000E120A" w:rsidRDefault="005A1C98" w:rsidP="0072336D">
            <w:pPr>
              <w:spacing w:after="0" w:line="240" w:lineRule="auto"/>
              <w:jc w:val="center"/>
              <w:rPr>
                <w:rFonts w:asciiTheme="minorHAnsi" w:hAnsiTheme="minorHAnsi"/>
                <w:b/>
                <w:bCs/>
                <w:sz w:val="21"/>
                <w:szCs w:val="21"/>
              </w:rPr>
            </w:pPr>
            <w:r w:rsidRPr="000E120A">
              <w:rPr>
                <w:rFonts w:asciiTheme="minorHAnsi" w:hAnsiTheme="minorHAnsi"/>
                <w:b/>
                <w:bCs/>
                <w:sz w:val="21"/>
                <w:szCs w:val="21"/>
              </w:rPr>
              <w:t>Telephone/Email</w:t>
            </w:r>
          </w:p>
        </w:tc>
      </w:tr>
      <w:tr w:rsidR="00ED6340" w:rsidRPr="000E120A" w:rsidTr="000E120A">
        <w:tc>
          <w:tcPr>
            <w:tcW w:w="1858" w:type="dxa"/>
            <w:tcMar>
              <w:top w:w="14" w:type="dxa"/>
              <w:left w:w="58" w:type="dxa"/>
              <w:bottom w:w="14" w:type="dxa"/>
              <w:right w:w="58" w:type="dxa"/>
            </w:tcMar>
          </w:tcPr>
          <w:p w:rsidR="00ED6340" w:rsidRPr="000E120A" w:rsidRDefault="00ED6340" w:rsidP="0072336D">
            <w:pPr>
              <w:spacing w:after="0" w:line="240" w:lineRule="auto"/>
              <w:rPr>
                <w:sz w:val="21"/>
                <w:szCs w:val="21"/>
              </w:rPr>
            </w:pPr>
            <w:r w:rsidRPr="000E120A">
              <w:rPr>
                <w:sz w:val="21"/>
                <w:szCs w:val="21"/>
              </w:rPr>
              <w:t>Mr. Gary Teague</w:t>
            </w:r>
          </w:p>
        </w:tc>
        <w:tc>
          <w:tcPr>
            <w:tcW w:w="1530" w:type="dxa"/>
            <w:tcMar>
              <w:top w:w="14" w:type="dxa"/>
              <w:left w:w="58" w:type="dxa"/>
              <w:bottom w:w="14" w:type="dxa"/>
              <w:right w:w="58" w:type="dxa"/>
            </w:tcMar>
          </w:tcPr>
          <w:p w:rsidR="00ED6340" w:rsidRPr="000E120A" w:rsidRDefault="00ED6340" w:rsidP="0072336D">
            <w:pPr>
              <w:spacing w:after="0" w:line="240" w:lineRule="auto"/>
              <w:rPr>
                <w:sz w:val="21"/>
                <w:szCs w:val="21"/>
              </w:rPr>
            </w:pPr>
            <w:r w:rsidRPr="000E120A">
              <w:rPr>
                <w:sz w:val="21"/>
                <w:szCs w:val="21"/>
              </w:rPr>
              <w:t>CDC</w:t>
            </w:r>
          </w:p>
        </w:tc>
        <w:tc>
          <w:tcPr>
            <w:tcW w:w="3870" w:type="dxa"/>
            <w:tcMar>
              <w:top w:w="14" w:type="dxa"/>
              <w:left w:w="58" w:type="dxa"/>
              <w:bottom w:w="14" w:type="dxa"/>
              <w:right w:w="58" w:type="dxa"/>
            </w:tcMar>
          </w:tcPr>
          <w:p w:rsidR="00ED6340" w:rsidRPr="000E120A" w:rsidRDefault="00ED6340" w:rsidP="0072336D">
            <w:pPr>
              <w:spacing w:after="0" w:line="240" w:lineRule="auto"/>
              <w:rPr>
                <w:sz w:val="21"/>
                <w:szCs w:val="21"/>
              </w:rPr>
            </w:pPr>
            <w:r w:rsidRPr="000E120A">
              <w:rPr>
                <w:sz w:val="21"/>
                <w:szCs w:val="21"/>
              </w:rPr>
              <w:t>Project Officer</w:t>
            </w:r>
          </w:p>
        </w:tc>
        <w:tc>
          <w:tcPr>
            <w:tcW w:w="2610" w:type="dxa"/>
            <w:tcMar>
              <w:top w:w="14" w:type="dxa"/>
              <w:left w:w="58" w:type="dxa"/>
              <w:bottom w:w="14" w:type="dxa"/>
              <w:right w:w="58" w:type="dxa"/>
            </w:tcMar>
          </w:tcPr>
          <w:p w:rsidR="00ED6340" w:rsidRPr="000E120A" w:rsidRDefault="00ED6340" w:rsidP="0072336D">
            <w:pPr>
              <w:spacing w:after="0" w:line="240" w:lineRule="auto"/>
              <w:rPr>
                <w:sz w:val="21"/>
                <w:szCs w:val="21"/>
              </w:rPr>
            </w:pPr>
            <w:r w:rsidRPr="000E120A">
              <w:rPr>
                <w:sz w:val="21"/>
                <w:szCs w:val="21"/>
              </w:rPr>
              <w:t>(770) 488-3460</w:t>
            </w:r>
          </w:p>
          <w:p w:rsidR="00ED6340" w:rsidRPr="000E120A" w:rsidRDefault="008713A7" w:rsidP="0072336D">
            <w:pPr>
              <w:spacing w:after="0" w:line="240" w:lineRule="auto"/>
              <w:rPr>
                <w:sz w:val="21"/>
                <w:szCs w:val="21"/>
              </w:rPr>
            </w:pPr>
            <w:hyperlink r:id="rId8" w:history="1">
              <w:r w:rsidR="00ED6340" w:rsidRPr="000E120A">
                <w:rPr>
                  <w:rStyle w:val="Hyperlink"/>
                  <w:rFonts w:cs="Calibri"/>
                  <w:sz w:val="21"/>
                  <w:szCs w:val="21"/>
                </w:rPr>
                <w:t>gteague@cdc.gov</w:t>
              </w:r>
            </w:hyperlink>
          </w:p>
        </w:tc>
      </w:tr>
      <w:tr w:rsidR="005A1C98" w:rsidRPr="000E120A" w:rsidTr="000E120A">
        <w:tc>
          <w:tcPr>
            <w:tcW w:w="1858" w:type="dxa"/>
            <w:tcMar>
              <w:top w:w="14" w:type="dxa"/>
              <w:left w:w="58" w:type="dxa"/>
              <w:bottom w:w="14" w:type="dxa"/>
              <w:right w:w="58" w:type="dxa"/>
            </w:tcMar>
          </w:tcPr>
          <w:p w:rsidR="005A1C98" w:rsidRPr="000E120A" w:rsidRDefault="005A1C98" w:rsidP="0072336D">
            <w:pPr>
              <w:spacing w:after="0" w:line="240" w:lineRule="auto"/>
              <w:rPr>
                <w:sz w:val="21"/>
                <w:szCs w:val="21"/>
                <w:highlight w:val="yellow"/>
              </w:rPr>
            </w:pPr>
            <w:r w:rsidRPr="000E120A">
              <w:rPr>
                <w:sz w:val="21"/>
                <w:szCs w:val="21"/>
              </w:rPr>
              <w:t>Dr. Fuyuen Yip</w:t>
            </w:r>
          </w:p>
        </w:tc>
        <w:tc>
          <w:tcPr>
            <w:tcW w:w="153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CDC</w:t>
            </w:r>
          </w:p>
        </w:tc>
        <w:tc>
          <w:tcPr>
            <w:tcW w:w="387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 xml:space="preserve">Technical monitor; will analyze the data </w:t>
            </w:r>
          </w:p>
        </w:tc>
        <w:tc>
          <w:tcPr>
            <w:tcW w:w="2610" w:type="dxa"/>
            <w:tcMar>
              <w:top w:w="14" w:type="dxa"/>
              <w:left w:w="58" w:type="dxa"/>
              <w:bottom w:w="14" w:type="dxa"/>
              <w:right w:w="58" w:type="dxa"/>
            </w:tcMar>
          </w:tcPr>
          <w:p w:rsidR="005A1C98" w:rsidRPr="000E120A" w:rsidRDefault="002E75E3" w:rsidP="0072336D">
            <w:pPr>
              <w:spacing w:after="0" w:line="240" w:lineRule="auto"/>
              <w:rPr>
                <w:sz w:val="21"/>
                <w:szCs w:val="21"/>
              </w:rPr>
            </w:pPr>
            <w:r w:rsidRPr="000E120A">
              <w:rPr>
                <w:sz w:val="21"/>
                <w:szCs w:val="21"/>
              </w:rPr>
              <w:t>(770) 488-3719</w:t>
            </w:r>
          </w:p>
          <w:p w:rsidR="002E75E3" w:rsidRPr="000E120A" w:rsidRDefault="008713A7" w:rsidP="0072336D">
            <w:pPr>
              <w:spacing w:after="0" w:line="240" w:lineRule="auto"/>
              <w:rPr>
                <w:sz w:val="21"/>
                <w:szCs w:val="21"/>
              </w:rPr>
            </w:pPr>
            <w:hyperlink r:id="rId9" w:history="1">
              <w:r w:rsidR="002E75E3" w:rsidRPr="000E120A">
                <w:rPr>
                  <w:rStyle w:val="Hyperlink"/>
                  <w:rFonts w:cs="Calibri"/>
                  <w:sz w:val="21"/>
                  <w:szCs w:val="21"/>
                </w:rPr>
                <w:t>fyip@cdc.gov</w:t>
              </w:r>
            </w:hyperlink>
          </w:p>
        </w:tc>
      </w:tr>
      <w:tr w:rsidR="004E0A7E" w:rsidRPr="000E120A" w:rsidTr="000E120A">
        <w:tc>
          <w:tcPr>
            <w:tcW w:w="1858" w:type="dxa"/>
            <w:tcMar>
              <w:top w:w="14" w:type="dxa"/>
              <w:left w:w="58" w:type="dxa"/>
              <w:bottom w:w="14" w:type="dxa"/>
              <w:right w:w="58" w:type="dxa"/>
            </w:tcMar>
          </w:tcPr>
          <w:p w:rsidR="004E0A7E" w:rsidRPr="000E120A" w:rsidRDefault="004E0A7E" w:rsidP="0072336D">
            <w:pPr>
              <w:spacing w:after="0" w:line="240" w:lineRule="auto"/>
              <w:rPr>
                <w:sz w:val="21"/>
                <w:szCs w:val="21"/>
              </w:rPr>
            </w:pPr>
            <w:r w:rsidRPr="000E120A">
              <w:rPr>
                <w:sz w:val="21"/>
                <w:szCs w:val="21"/>
              </w:rPr>
              <w:t>Dr. Tegan Boehmer</w:t>
            </w:r>
          </w:p>
        </w:tc>
        <w:tc>
          <w:tcPr>
            <w:tcW w:w="1530" w:type="dxa"/>
            <w:tcMar>
              <w:top w:w="14" w:type="dxa"/>
              <w:left w:w="58" w:type="dxa"/>
              <w:bottom w:w="14" w:type="dxa"/>
              <w:right w:w="58" w:type="dxa"/>
            </w:tcMar>
          </w:tcPr>
          <w:p w:rsidR="004E0A7E" w:rsidRPr="000E120A" w:rsidRDefault="004E0A7E" w:rsidP="0072336D">
            <w:pPr>
              <w:spacing w:after="0" w:line="240" w:lineRule="auto"/>
              <w:rPr>
                <w:sz w:val="21"/>
                <w:szCs w:val="21"/>
              </w:rPr>
            </w:pPr>
            <w:r w:rsidRPr="000E120A">
              <w:rPr>
                <w:sz w:val="21"/>
                <w:szCs w:val="21"/>
              </w:rPr>
              <w:t>CDC</w:t>
            </w:r>
          </w:p>
        </w:tc>
        <w:tc>
          <w:tcPr>
            <w:tcW w:w="3870" w:type="dxa"/>
            <w:tcMar>
              <w:top w:w="14" w:type="dxa"/>
              <w:left w:w="58" w:type="dxa"/>
              <w:bottom w:w="14" w:type="dxa"/>
              <w:right w:w="58" w:type="dxa"/>
            </w:tcMar>
          </w:tcPr>
          <w:p w:rsidR="004E0A7E" w:rsidRPr="000E120A" w:rsidRDefault="004E0A7E" w:rsidP="0072336D">
            <w:pPr>
              <w:spacing w:after="0" w:line="240" w:lineRule="auto"/>
              <w:rPr>
                <w:sz w:val="21"/>
                <w:szCs w:val="21"/>
              </w:rPr>
            </w:pPr>
            <w:r w:rsidRPr="000E120A">
              <w:rPr>
                <w:sz w:val="21"/>
                <w:szCs w:val="21"/>
              </w:rPr>
              <w:t xml:space="preserve">Technical monitor; will analyze the data </w:t>
            </w:r>
          </w:p>
        </w:tc>
        <w:tc>
          <w:tcPr>
            <w:tcW w:w="2610" w:type="dxa"/>
            <w:tcMar>
              <w:top w:w="14" w:type="dxa"/>
              <w:left w:w="58" w:type="dxa"/>
              <w:bottom w:w="14" w:type="dxa"/>
              <w:right w:w="58" w:type="dxa"/>
            </w:tcMar>
          </w:tcPr>
          <w:p w:rsidR="004E0A7E" w:rsidRPr="000E120A" w:rsidRDefault="004E0A7E" w:rsidP="0072336D">
            <w:pPr>
              <w:spacing w:after="0" w:line="240" w:lineRule="auto"/>
              <w:rPr>
                <w:sz w:val="21"/>
                <w:szCs w:val="21"/>
              </w:rPr>
            </w:pPr>
            <w:r w:rsidRPr="000E120A">
              <w:rPr>
                <w:sz w:val="21"/>
                <w:szCs w:val="21"/>
              </w:rPr>
              <w:t>(770) 488-3741</w:t>
            </w:r>
          </w:p>
          <w:p w:rsidR="004E0A7E" w:rsidRPr="000E120A" w:rsidRDefault="008713A7" w:rsidP="0072336D">
            <w:pPr>
              <w:autoSpaceDE w:val="0"/>
              <w:autoSpaceDN w:val="0"/>
              <w:adjustRightInd w:val="0"/>
              <w:spacing w:after="0" w:line="240" w:lineRule="auto"/>
              <w:rPr>
                <w:noProof/>
                <w:sz w:val="21"/>
                <w:szCs w:val="21"/>
              </w:rPr>
            </w:pPr>
            <w:hyperlink r:id="rId10" w:history="1">
              <w:r w:rsidR="004E0A7E" w:rsidRPr="000E120A">
                <w:rPr>
                  <w:rStyle w:val="Hyperlink"/>
                  <w:noProof/>
                  <w:sz w:val="21"/>
                  <w:szCs w:val="21"/>
                </w:rPr>
                <w:t>tboehmer@cdc.gov</w:t>
              </w:r>
            </w:hyperlink>
          </w:p>
        </w:tc>
      </w:tr>
      <w:tr w:rsidR="005A1C98" w:rsidRPr="000E120A" w:rsidTr="000E120A">
        <w:tc>
          <w:tcPr>
            <w:tcW w:w="1858"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Dr. Diane Wagener</w:t>
            </w:r>
          </w:p>
        </w:tc>
        <w:tc>
          <w:tcPr>
            <w:tcW w:w="153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 xml:space="preserve">RTI </w:t>
            </w:r>
            <w:r w:rsidR="00EA7A49" w:rsidRPr="000E120A">
              <w:rPr>
                <w:sz w:val="21"/>
                <w:szCs w:val="21"/>
              </w:rPr>
              <w:t>–</w:t>
            </w:r>
            <w:r w:rsidRPr="000E120A">
              <w:rPr>
                <w:sz w:val="21"/>
                <w:szCs w:val="21"/>
              </w:rPr>
              <w:t>Contractor</w:t>
            </w:r>
          </w:p>
        </w:tc>
        <w:tc>
          <w:tcPr>
            <w:tcW w:w="387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 xml:space="preserve">Project Director; designed </w:t>
            </w:r>
            <w:r w:rsidR="00345D68">
              <w:rPr>
                <w:sz w:val="21"/>
                <w:szCs w:val="21"/>
              </w:rPr>
              <w:t xml:space="preserve">study and </w:t>
            </w:r>
            <w:r w:rsidRPr="000E120A">
              <w:rPr>
                <w:sz w:val="21"/>
                <w:szCs w:val="21"/>
              </w:rPr>
              <w:t>data collection operations</w:t>
            </w:r>
          </w:p>
        </w:tc>
        <w:tc>
          <w:tcPr>
            <w:tcW w:w="261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 xml:space="preserve">(919) </w:t>
            </w:r>
            <w:r w:rsidR="00EF5879" w:rsidRPr="000E120A">
              <w:rPr>
                <w:sz w:val="21"/>
                <w:szCs w:val="21"/>
              </w:rPr>
              <w:t>485-5628</w:t>
            </w:r>
          </w:p>
          <w:p w:rsidR="005A1C98" w:rsidRPr="000E120A" w:rsidRDefault="008713A7" w:rsidP="0072336D">
            <w:pPr>
              <w:spacing w:after="0" w:line="240" w:lineRule="auto"/>
              <w:rPr>
                <w:sz w:val="21"/>
                <w:szCs w:val="21"/>
              </w:rPr>
            </w:pPr>
            <w:hyperlink r:id="rId11" w:history="1">
              <w:r w:rsidR="005A1C98" w:rsidRPr="000E120A">
                <w:rPr>
                  <w:rStyle w:val="Hyperlink"/>
                  <w:sz w:val="21"/>
                  <w:szCs w:val="21"/>
                </w:rPr>
                <w:t>dwagener@rti.org</w:t>
              </w:r>
            </w:hyperlink>
            <w:r w:rsidR="005A1C98" w:rsidRPr="000E120A">
              <w:rPr>
                <w:sz w:val="21"/>
                <w:szCs w:val="21"/>
              </w:rPr>
              <w:t xml:space="preserve"> </w:t>
            </w:r>
          </w:p>
        </w:tc>
      </w:tr>
      <w:tr w:rsidR="005A1C98" w:rsidRPr="000E120A" w:rsidTr="000E120A">
        <w:tc>
          <w:tcPr>
            <w:tcW w:w="1858"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Ms. Lisa Thalji</w:t>
            </w:r>
          </w:p>
        </w:tc>
        <w:tc>
          <w:tcPr>
            <w:tcW w:w="153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 xml:space="preserve">RTI </w:t>
            </w:r>
            <w:r w:rsidR="00EA7A49" w:rsidRPr="000E120A">
              <w:rPr>
                <w:sz w:val="21"/>
                <w:szCs w:val="21"/>
              </w:rPr>
              <w:t>–</w:t>
            </w:r>
            <w:r w:rsidRPr="000E120A">
              <w:rPr>
                <w:sz w:val="21"/>
                <w:szCs w:val="21"/>
              </w:rPr>
              <w:t xml:space="preserve"> Contractor</w:t>
            </w:r>
          </w:p>
        </w:tc>
        <w:tc>
          <w:tcPr>
            <w:tcW w:w="387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Deputy Project Director; designed data collection operations</w:t>
            </w:r>
          </w:p>
        </w:tc>
        <w:tc>
          <w:tcPr>
            <w:tcW w:w="261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(312) 456-5245</w:t>
            </w:r>
          </w:p>
          <w:p w:rsidR="005A1C98" w:rsidRPr="000E120A" w:rsidRDefault="008713A7" w:rsidP="0072336D">
            <w:pPr>
              <w:spacing w:after="0" w:line="240" w:lineRule="auto"/>
              <w:rPr>
                <w:sz w:val="21"/>
                <w:szCs w:val="21"/>
              </w:rPr>
            </w:pPr>
            <w:hyperlink r:id="rId12" w:history="1">
              <w:r w:rsidR="005A1C98" w:rsidRPr="000E120A">
                <w:rPr>
                  <w:rStyle w:val="Hyperlink"/>
                  <w:sz w:val="21"/>
                  <w:szCs w:val="21"/>
                </w:rPr>
                <w:t>thalji@rti.org</w:t>
              </w:r>
            </w:hyperlink>
          </w:p>
        </w:tc>
      </w:tr>
      <w:tr w:rsidR="005A1C98" w:rsidRPr="000E120A" w:rsidTr="000E120A">
        <w:tc>
          <w:tcPr>
            <w:tcW w:w="1858"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Dr. Karol Krotki</w:t>
            </w:r>
          </w:p>
        </w:tc>
        <w:tc>
          <w:tcPr>
            <w:tcW w:w="153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 xml:space="preserve">RTI </w:t>
            </w:r>
            <w:r w:rsidR="00EA7A49" w:rsidRPr="000E120A">
              <w:rPr>
                <w:sz w:val="21"/>
                <w:szCs w:val="21"/>
              </w:rPr>
              <w:t>–</w:t>
            </w:r>
            <w:r w:rsidRPr="000E120A">
              <w:rPr>
                <w:sz w:val="21"/>
                <w:szCs w:val="21"/>
              </w:rPr>
              <w:t xml:space="preserve"> Contractor</w:t>
            </w:r>
          </w:p>
        </w:tc>
        <w:tc>
          <w:tcPr>
            <w:tcW w:w="387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 xml:space="preserve">Director, Sample Design and Statistics; sample design and implementation; </w:t>
            </w:r>
            <w:r w:rsidR="00FC5350" w:rsidRPr="000E120A">
              <w:rPr>
                <w:sz w:val="21"/>
                <w:szCs w:val="21"/>
              </w:rPr>
              <w:t xml:space="preserve">will </w:t>
            </w:r>
            <w:r w:rsidRPr="000E120A">
              <w:rPr>
                <w:sz w:val="21"/>
                <w:szCs w:val="21"/>
              </w:rPr>
              <w:t xml:space="preserve">analyze </w:t>
            </w:r>
            <w:r w:rsidR="00FC5350" w:rsidRPr="000E120A">
              <w:rPr>
                <w:sz w:val="21"/>
                <w:szCs w:val="21"/>
              </w:rPr>
              <w:t xml:space="preserve">the </w:t>
            </w:r>
            <w:r w:rsidRPr="000E120A">
              <w:rPr>
                <w:sz w:val="21"/>
                <w:szCs w:val="21"/>
              </w:rPr>
              <w:t>data</w:t>
            </w:r>
          </w:p>
        </w:tc>
        <w:tc>
          <w:tcPr>
            <w:tcW w:w="2610" w:type="dxa"/>
            <w:tcMar>
              <w:top w:w="14" w:type="dxa"/>
              <w:left w:w="58" w:type="dxa"/>
              <w:bottom w:w="14" w:type="dxa"/>
              <w:right w:w="58" w:type="dxa"/>
            </w:tcMar>
          </w:tcPr>
          <w:p w:rsidR="005A1C98" w:rsidRPr="000E120A" w:rsidRDefault="002E75E3" w:rsidP="0072336D">
            <w:pPr>
              <w:spacing w:after="0" w:line="240" w:lineRule="auto"/>
              <w:rPr>
                <w:sz w:val="21"/>
                <w:szCs w:val="21"/>
              </w:rPr>
            </w:pPr>
            <w:r w:rsidRPr="000E120A">
              <w:rPr>
                <w:sz w:val="21"/>
                <w:szCs w:val="21"/>
              </w:rPr>
              <w:t>(202) 728-2485</w:t>
            </w:r>
          </w:p>
          <w:p w:rsidR="002E75E3" w:rsidRPr="000E120A" w:rsidRDefault="008713A7" w:rsidP="0072336D">
            <w:pPr>
              <w:spacing w:after="0" w:line="240" w:lineRule="auto"/>
              <w:rPr>
                <w:sz w:val="21"/>
                <w:szCs w:val="21"/>
              </w:rPr>
            </w:pPr>
            <w:hyperlink r:id="rId13" w:history="1">
              <w:r w:rsidR="002E75E3" w:rsidRPr="000E120A">
                <w:rPr>
                  <w:rStyle w:val="Hyperlink"/>
                  <w:rFonts w:cs="Calibri"/>
                  <w:sz w:val="21"/>
                  <w:szCs w:val="21"/>
                </w:rPr>
                <w:t>kkrotki@rti.org</w:t>
              </w:r>
            </w:hyperlink>
          </w:p>
        </w:tc>
      </w:tr>
      <w:tr w:rsidR="005A1C98" w:rsidRPr="000E120A" w:rsidTr="000E120A">
        <w:tc>
          <w:tcPr>
            <w:tcW w:w="1858"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Ms. Marjorie Hinsdale-Shouse</w:t>
            </w:r>
          </w:p>
        </w:tc>
        <w:tc>
          <w:tcPr>
            <w:tcW w:w="153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 xml:space="preserve">RTI </w:t>
            </w:r>
            <w:r w:rsidR="00EA7A49" w:rsidRPr="000E120A">
              <w:rPr>
                <w:sz w:val="21"/>
                <w:szCs w:val="21"/>
              </w:rPr>
              <w:t>–</w:t>
            </w:r>
            <w:r w:rsidRPr="000E120A">
              <w:rPr>
                <w:sz w:val="21"/>
                <w:szCs w:val="21"/>
              </w:rPr>
              <w:t xml:space="preserve"> Contractor</w:t>
            </w:r>
          </w:p>
        </w:tc>
        <w:tc>
          <w:tcPr>
            <w:tcW w:w="3870" w:type="dxa"/>
            <w:tcMar>
              <w:top w:w="14" w:type="dxa"/>
              <w:left w:w="58" w:type="dxa"/>
              <w:bottom w:w="14" w:type="dxa"/>
              <w:right w:w="58" w:type="dxa"/>
            </w:tcMar>
          </w:tcPr>
          <w:p w:rsidR="005A1C98" w:rsidRPr="000E120A" w:rsidRDefault="005A1C98" w:rsidP="0072336D">
            <w:pPr>
              <w:spacing w:after="0" w:line="240" w:lineRule="auto"/>
              <w:rPr>
                <w:sz w:val="21"/>
                <w:szCs w:val="21"/>
              </w:rPr>
            </w:pPr>
            <w:r w:rsidRPr="000E120A">
              <w:rPr>
                <w:sz w:val="21"/>
                <w:szCs w:val="21"/>
              </w:rPr>
              <w:t>Director, Participant Recruitment and Data Collection; oversees all recruitment and data collection operations</w:t>
            </w:r>
          </w:p>
        </w:tc>
        <w:tc>
          <w:tcPr>
            <w:tcW w:w="2610" w:type="dxa"/>
            <w:tcMar>
              <w:top w:w="14" w:type="dxa"/>
              <w:left w:w="58" w:type="dxa"/>
              <w:bottom w:w="14" w:type="dxa"/>
              <w:right w:w="58" w:type="dxa"/>
            </w:tcMar>
          </w:tcPr>
          <w:p w:rsidR="005A1C98" w:rsidRPr="000E120A" w:rsidRDefault="002E75E3" w:rsidP="0072336D">
            <w:pPr>
              <w:spacing w:after="0" w:line="240" w:lineRule="auto"/>
              <w:rPr>
                <w:sz w:val="21"/>
                <w:szCs w:val="21"/>
              </w:rPr>
            </w:pPr>
            <w:r w:rsidRPr="000E120A">
              <w:rPr>
                <w:sz w:val="21"/>
                <w:szCs w:val="21"/>
              </w:rPr>
              <w:t>(919) 541-7368</w:t>
            </w:r>
          </w:p>
          <w:p w:rsidR="002E75E3" w:rsidRPr="000E120A" w:rsidRDefault="008713A7" w:rsidP="0072336D">
            <w:pPr>
              <w:spacing w:after="0" w:line="240" w:lineRule="auto"/>
              <w:rPr>
                <w:sz w:val="21"/>
                <w:szCs w:val="21"/>
              </w:rPr>
            </w:pPr>
            <w:hyperlink r:id="rId14" w:history="1">
              <w:r w:rsidR="002E75E3" w:rsidRPr="000E120A">
                <w:rPr>
                  <w:rStyle w:val="Hyperlink"/>
                  <w:rFonts w:cs="Calibri"/>
                  <w:sz w:val="21"/>
                  <w:szCs w:val="21"/>
                </w:rPr>
                <w:t>mhs@rti.org</w:t>
              </w:r>
            </w:hyperlink>
          </w:p>
        </w:tc>
      </w:tr>
      <w:tr w:rsidR="00D60C5A" w:rsidRPr="000E120A" w:rsidTr="000E120A">
        <w:tc>
          <w:tcPr>
            <w:tcW w:w="1858" w:type="dxa"/>
            <w:tcMar>
              <w:top w:w="14" w:type="dxa"/>
              <w:left w:w="58" w:type="dxa"/>
              <w:bottom w:w="14" w:type="dxa"/>
              <w:right w:w="58" w:type="dxa"/>
            </w:tcMar>
          </w:tcPr>
          <w:p w:rsidR="00D60C5A" w:rsidRPr="000E120A" w:rsidRDefault="00D60C5A" w:rsidP="000E120A">
            <w:pPr>
              <w:keepNext/>
              <w:keepLines/>
              <w:spacing w:after="0" w:line="240" w:lineRule="auto"/>
              <w:rPr>
                <w:sz w:val="21"/>
                <w:szCs w:val="21"/>
              </w:rPr>
            </w:pPr>
            <w:r w:rsidRPr="000E120A">
              <w:rPr>
                <w:sz w:val="21"/>
                <w:szCs w:val="21"/>
              </w:rPr>
              <w:lastRenderedPageBreak/>
              <w:t>Dr. Laura Strange</w:t>
            </w:r>
          </w:p>
        </w:tc>
        <w:tc>
          <w:tcPr>
            <w:tcW w:w="1530" w:type="dxa"/>
            <w:tcMar>
              <w:top w:w="14" w:type="dxa"/>
              <w:left w:w="58" w:type="dxa"/>
              <w:bottom w:w="14" w:type="dxa"/>
              <w:right w:w="58" w:type="dxa"/>
            </w:tcMar>
          </w:tcPr>
          <w:p w:rsidR="00D60C5A" w:rsidRPr="000E120A" w:rsidRDefault="002840E0" w:rsidP="000E120A">
            <w:pPr>
              <w:keepNext/>
              <w:keepLines/>
              <w:spacing w:after="0" w:line="240" w:lineRule="auto"/>
              <w:rPr>
                <w:sz w:val="21"/>
                <w:szCs w:val="21"/>
              </w:rPr>
            </w:pPr>
            <w:r w:rsidRPr="000E120A">
              <w:rPr>
                <w:sz w:val="21"/>
                <w:szCs w:val="21"/>
              </w:rPr>
              <w:t>RTI – Contractor</w:t>
            </w:r>
          </w:p>
        </w:tc>
        <w:tc>
          <w:tcPr>
            <w:tcW w:w="3870" w:type="dxa"/>
            <w:tcMar>
              <w:top w:w="14" w:type="dxa"/>
              <w:left w:w="58" w:type="dxa"/>
              <w:bottom w:w="14" w:type="dxa"/>
              <w:right w:w="58" w:type="dxa"/>
            </w:tcMar>
          </w:tcPr>
          <w:p w:rsidR="00D60C5A" w:rsidRPr="000E120A" w:rsidRDefault="00D60C5A" w:rsidP="000E120A">
            <w:pPr>
              <w:keepNext/>
              <w:keepLines/>
              <w:spacing w:after="0" w:line="240" w:lineRule="auto"/>
              <w:rPr>
                <w:sz w:val="21"/>
                <w:szCs w:val="21"/>
              </w:rPr>
            </w:pPr>
            <w:r w:rsidRPr="000E120A">
              <w:rPr>
                <w:sz w:val="21"/>
                <w:szCs w:val="21"/>
              </w:rPr>
              <w:t>Assistant Director, Clinical Data Collection; oversees clinical data collection</w:t>
            </w:r>
          </w:p>
        </w:tc>
        <w:tc>
          <w:tcPr>
            <w:tcW w:w="2610" w:type="dxa"/>
            <w:tcMar>
              <w:top w:w="14" w:type="dxa"/>
              <w:left w:w="58" w:type="dxa"/>
              <w:bottom w:w="14" w:type="dxa"/>
              <w:right w:w="58" w:type="dxa"/>
            </w:tcMar>
          </w:tcPr>
          <w:p w:rsidR="00D60C5A" w:rsidRPr="000E120A" w:rsidRDefault="00D60C5A" w:rsidP="000E120A">
            <w:pPr>
              <w:keepNext/>
              <w:keepLines/>
              <w:spacing w:after="0" w:line="240" w:lineRule="auto"/>
              <w:rPr>
                <w:sz w:val="21"/>
                <w:szCs w:val="21"/>
              </w:rPr>
            </w:pPr>
            <w:r w:rsidRPr="000E120A">
              <w:rPr>
                <w:sz w:val="21"/>
                <w:szCs w:val="21"/>
              </w:rPr>
              <w:t>(770) 986-5052</w:t>
            </w:r>
          </w:p>
          <w:p w:rsidR="00D60C5A" w:rsidRPr="000E120A" w:rsidRDefault="008713A7" w:rsidP="000E120A">
            <w:pPr>
              <w:keepNext/>
              <w:keepLines/>
              <w:spacing w:after="0" w:line="240" w:lineRule="auto"/>
              <w:rPr>
                <w:sz w:val="21"/>
                <w:szCs w:val="21"/>
              </w:rPr>
            </w:pPr>
            <w:hyperlink r:id="rId15" w:history="1">
              <w:r w:rsidR="00D60C5A" w:rsidRPr="000E120A">
                <w:rPr>
                  <w:rStyle w:val="Hyperlink"/>
                  <w:rFonts w:cs="Calibri"/>
                  <w:sz w:val="21"/>
                  <w:szCs w:val="21"/>
                </w:rPr>
                <w:t>lstrange@rti.org</w:t>
              </w:r>
            </w:hyperlink>
          </w:p>
        </w:tc>
      </w:tr>
      <w:tr w:rsidR="00773B57" w:rsidRPr="000E120A" w:rsidTr="000E120A">
        <w:tc>
          <w:tcPr>
            <w:tcW w:w="1858" w:type="dxa"/>
            <w:tcMar>
              <w:top w:w="14" w:type="dxa"/>
              <w:left w:w="58" w:type="dxa"/>
              <w:bottom w:w="14" w:type="dxa"/>
              <w:right w:w="58" w:type="dxa"/>
            </w:tcMar>
          </w:tcPr>
          <w:p w:rsidR="00773B57" w:rsidRPr="000E120A" w:rsidRDefault="00773B57" w:rsidP="0072336D">
            <w:pPr>
              <w:spacing w:after="0" w:line="240" w:lineRule="auto"/>
              <w:rPr>
                <w:sz w:val="21"/>
                <w:szCs w:val="21"/>
              </w:rPr>
            </w:pPr>
            <w:r w:rsidRPr="000E120A">
              <w:rPr>
                <w:sz w:val="21"/>
                <w:szCs w:val="21"/>
              </w:rPr>
              <w:t>Dr. Jonathan Thornburg</w:t>
            </w:r>
          </w:p>
        </w:tc>
        <w:tc>
          <w:tcPr>
            <w:tcW w:w="1530" w:type="dxa"/>
            <w:tcMar>
              <w:top w:w="14" w:type="dxa"/>
              <w:left w:w="58" w:type="dxa"/>
              <w:bottom w:w="14" w:type="dxa"/>
              <w:right w:w="58" w:type="dxa"/>
            </w:tcMar>
          </w:tcPr>
          <w:p w:rsidR="00773B57" w:rsidRPr="000E120A" w:rsidRDefault="00773B57" w:rsidP="0072336D">
            <w:pPr>
              <w:spacing w:after="0" w:line="240" w:lineRule="auto"/>
              <w:rPr>
                <w:sz w:val="21"/>
                <w:szCs w:val="21"/>
              </w:rPr>
            </w:pPr>
            <w:r w:rsidRPr="000E120A">
              <w:rPr>
                <w:sz w:val="21"/>
                <w:szCs w:val="21"/>
              </w:rPr>
              <w:t xml:space="preserve">RTI </w:t>
            </w:r>
            <w:r w:rsidR="00EA7A49" w:rsidRPr="000E120A">
              <w:rPr>
                <w:sz w:val="21"/>
                <w:szCs w:val="21"/>
              </w:rPr>
              <w:t>–</w:t>
            </w:r>
            <w:r w:rsidRPr="000E120A">
              <w:rPr>
                <w:sz w:val="21"/>
                <w:szCs w:val="21"/>
              </w:rPr>
              <w:t xml:space="preserve"> Contractor</w:t>
            </w:r>
          </w:p>
        </w:tc>
        <w:tc>
          <w:tcPr>
            <w:tcW w:w="3870" w:type="dxa"/>
            <w:tcMar>
              <w:top w:w="14" w:type="dxa"/>
              <w:left w:w="58" w:type="dxa"/>
              <w:bottom w:w="14" w:type="dxa"/>
              <w:right w:w="58" w:type="dxa"/>
            </w:tcMar>
          </w:tcPr>
          <w:p w:rsidR="00773B57" w:rsidRPr="000E120A" w:rsidRDefault="00773B57" w:rsidP="0072336D">
            <w:pPr>
              <w:spacing w:after="0" w:line="240" w:lineRule="auto"/>
              <w:rPr>
                <w:sz w:val="21"/>
                <w:szCs w:val="21"/>
              </w:rPr>
            </w:pPr>
            <w:r w:rsidRPr="000E120A">
              <w:rPr>
                <w:sz w:val="21"/>
                <w:szCs w:val="21"/>
              </w:rPr>
              <w:t xml:space="preserve">Assistant Director, Environmental Exposure Assessments; oversees environmental exposure data collection </w:t>
            </w:r>
          </w:p>
        </w:tc>
        <w:tc>
          <w:tcPr>
            <w:tcW w:w="2610" w:type="dxa"/>
            <w:tcMar>
              <w:top w:w="14" w:type="dxa"/>
              <w:left w:w="58" w:type="dxa"/>
              <w:bottom w:w="14" w:type="dxa"/>
              <w:right w:w="58" w:type="dxa"/>
            </w:tcMar>
          </w:tcPr>
          <w:p w:rsidR="00773B57" w:rsidRPr="000E120A" w:rsidRDefault="00773B57" w:rsidP="0072336D">
            <w:pPr>
              <w:spacing w:after="0" w:line="240" w:lineRule="auto"/>
              <w:rPr>
                <w:sz w:val="21"/>
                <w:szCs w:val="21"/>
              </w:rPr>
            </w:pPr>
            <w:r w:rsidRPr="000E120A">
              <w:rPr>
                <w:sz w:val="21"/>
                <w:szCs w:val="21"/>
              </w:rPr>
              <w:t>(919) 541-5971</w:t>
            </w:r>
          </w:p>
          <w:p w:rsidR="00773B57" w:rsidRPr="000E120A" w:rsidRDefault="008713A7" w:rsidP="0072336D">
            <w:pPr>
              <w:spacing w:after="0" w:line="240" w:lineRule="auto"/>
              <w:rPr>
                <w:sz w:val="21"/>
                <w:szCs w:val="21"/>
              </w:rPr>
            </w:pPr>
            <w:hyperlink r:id="rId16" w:history="1">
              <w:r w:rsidR="00773B57" w:rsidRPr="000E120A">
                <w:rPr>
                  <w:rStyle w:val="Hyperlink"/>
                  <w:rFonts w:cs="Calibri"/>
                  <w:sz w:val="21"/>
                  <w:szCs w:val="21"/>
                </w:rPr>
                <w:t>jwt@rti.org</w:t>
              </w:r>
            </w:hyperlink>
          </w:p>
        </w:tc>
      </w:tr>
      <w:tr w:rsidR="00773B57" w:rsidRPr="000E120A" w:rsidTr="000E120A">
        <w:tc>
          <w:tcPr>
            <w:tcW w:w="1858" w:type="dxa"/>
            <w:tcMar>
              <w:top w:w="14" w:type="dxa"/>
              <w:left w:w="58" w:type="dxa"/>
              <w:bottom w:w="14" w:type="dxa"/>
              <w:right w:w="58" w:type="dxa"/>
            </w:tcMar>
          </w:tcPr>
          <w:p w:rsidR="00773B57" w:rsidRPr="000E120A" w:rsidRDefault="00773B57" w:rsidP="0072336D">
            <w:pPr>
              <w:spacing w:after="0" w:line="240" w:lineRule="auto"/>
              <w:rPr>
                <w:sz w:val="21"/>
                <w:szCs w:val="21"/>
              </w:rPr>
            </w:pPr>
            <w:r w:rsidRPr="000E120A">
              <w:rPr>
                <w:sz w:val="21"/>
                <w:szCs w:val="21"/>
              </w:rPr>
              <w:t>Dr. Ralph Delfino</w:t>
            </w:r>
          </w:p>
        </w:tc>
        <w:tc>
          <w:tcPr>
            <w:tcW w:w="1530" w:type="dxa"/>
            <w:tcMar>
              <w:top w:w="14" w:type="dxa"/>
              <w:left w:w="58" w:type="dxa"/>
              <w:bottom w:w="14" w:type="dxa"/>
              <w:right w:w="58" w:type="dxa"/>
            </w:tcMar>
          </w:tcPr>
          <w:p w:rsidR="00773B57" w:rsidRPr="000E120A" w:rsidRDefault="00773B57" w:rsidP="0072336D">
            <w:pPr>
              <w:spacing w:after="0" w:line="240" w:lineRule="auto"/>
              <w:rPr>
                <w:sz w:val="21"/>
                <w:szCs w:val="21"/>
              </w:rPr>
            </w:pPr>
            <w:r w:rsidRPr="000E120A">
              <w:rPr>
                <w:sz w:val="21"/>
                <w:szCs w:val="21"/>
              </w:rPr>
              <w:t>University of California, Irvine</w:t>
            </w:r>
          </w:p>
        </w:tc>
        <w:tc>
          <w:tcPr>
            <w:tcW w:w="3870" w:type="dxa"/>
            <w:tcMar>
              <w:top w:w="14" w:type="dxa"/>
              <w:left w:w="58" w:type="dxa"/>
              <w:bottom w:w="14" w:type="dxa"/>
              <w:right w:w="58" w:type="dxa"/>
            </w:tcMar>
          </w:tcPr>
          <w:p w:rsidR="00773B57" w:rsidRPr="000E120A" w:rsidRDefault="00773B57" w:rsidP="0072336D">
            <w:pPr>
              <w:spacing w:after="0" w:line="240" w:lineRule="auto"/>
              <w:rPr>
                <w:sz w:val="21"/>
                <w:szCs w:val="21"/>
              </w:rPr>
            </w:pPr>
            <w:r w:rsidRPr="000E120A">
              <w:rPr>
                <w:sz w:val="21"/>
                <w:szCs w:val="21"/>
              </w:rPr>
              <w:t>Vice Chair, Research and Graduate Studies, Epidemiology School of Medicine</w:t>
            </w:r>
            <w:r w:rsidR="00167CDF" w:rsidRPr="000E120A">
              <w:rPr>
                <w:sz w:val="21"/>
                <w:szCs w:val="21"/>
              </w:rPr>
              <w:t>; will advise study on use of PEM and asthma data</w:t>
            </w:r>
          </w:p>
        </w:tc>
        <w:tc>
          <w:tcPr>
            <w:tcW w:w="2610" w:type="dxa"/>
            <w:tcMar>
              <w:top w:w="14" w:type="dxa"/>
              <w:left w:w="58" w:type="dxa"/>
              <w:bottom w:w="14" w:type="dxa"/>
              <w:right w:w="58" w:type="dxa"/>
            </w:tcMar>
          </w:tcPr>
          <w:p w:rsidR="00773B57" w:rsidRPr="000E120A" w:rsidRDefault="00773B57" w:rsidP="0072336D">
            <w:pPr>
              <w:spacing w:after="0" w:line="240" w:lineRule="auto"/>
              <w:rPr>
                <w:rFonts w:cs="Arial"/>
                <w:color w:val="333333"/>
                <w:sz w:val="21"/>
                <w:szCs w:val="21"/>
              </w:rPr>
            </w:pPr>
            <w:r w:rsidRPr="000E120A">
              <w:rPr>
                <w:rFonts w:cs="Arial"/>
                <w:color w:val="333333"/>
                <w:sz w:val="21"/>
                <w:szCs w:val="21"/>
              </w:rPr>
              <w:t>(949) 824-1767</w:t>
            </w:r>
          </w:p>
          <w:p w:rsidR="00773B57" w:rsidRPr="000E120A" w:rsidRDefault="008713A7" w:rsidP="0072336D">
            <w:pPr>
              <w:spacing w:after="0" w:line="240" w:lineRule="auto"/>
              <w:rPr>
                <w:sz w:val="21"/>
                <w:szCs w:val="21"/>
              </w:rPr>
            </w:pPr>
            <w:hyperlink r:id="rId17" w:history="1">
              <w:r w:rsidR="00C075FE" w:rsidRPr="000E120A">
                <w:rPr>
                  <w:rStyle w:val="Hyperlink"/>
                  <w:rFonts w:cs="Arial"/>
                  <w:sz w:val="21"/>
                  <w:szCs w:val="21"/>
                </w:rPr>
                <w:t>rdelfino@uci.edu</w:t>
              </w:r>
            </w:hyperlink>
          </w:p>
        </w:tc>
      </w:tr>
      <w:tr w:rsidR="00773B57" w:rsidRPr="000E120A" w:rsidTr="000E120A">
        <w:tc>
          <w:tcPr>
            <w:tcW w:w="1858" w:type="dxa"/>
            <w:tcMar>
              <w:top w:w="14" w:type="dxa"/>
              <w:left w:w="58" w:type="dxa"/>
              <w:bottom w:w="14" w:type="dxa"/>
              <w:right w:w="58" w:type="dxa"/>
            </w:tcMar>
          </w:tcPr>
          <w:p w:rsidR="00773B57" w:rsidRPr="000E120A" w:rsidRDefault="00D60C5A" w:rsidP="0072336D">
            <w:pPr>
              <w:spacing w:after="0" w:line="240" w:lineRule="auto"/>
              <w:rPr>
                <w:color w:val="333333"/>
                <w:sz w:val="21"/>
                <w:szCs w:val="21"/>
              </w:rPr>
            </w:pPr>
            <w:r w:rsidRPr="000E120A">
              <w:rPr>
                <w:sz w:val="21"/>
                <w:szCs w:val="21"/>
              </w:rPr>
              <w:t xml:space="preserve">Dr. </w:t>
            </w:r>
            <w:r w:rsidR="00773B57" w:rsidRPr="000E120A">
              <w:rPr>
                <w:sz w:val="21"/>
                <w:szCs w:val="21"/>
              </w:rPr>
              <w:t>W. Dana Flanders</w:t>
            </w:r>
          </w:p>
        </w:tc>
        <w:tc>
          <w:tcPr>
            <w:tcW w:w="1530" w:type="dxa"/>
            <w:tcMar>
              <w:top w:w="14" w:type="dxa"/>
              <w:left w:w="58" w:type="dxa"/>
              <w:bottom w:w="14" w:type="dxa"/>
              <w:right w:w="58" w:type="dxa"/>
            </w:tcMar>
          </w:tcPr>
          <w:p w:rsidR="00773B57" w:rsidRPr="000E120A" w:rsidRDefault="00773B57" w:rsidP="0072336D">
            <w:pPr>
              <w:spacing w:after="0" w:line="240" w:lineRule="auto"/>
              <w:rPr>
                <w:sz w:val="21"/>
                <w:szCs w:val="21"/>
              </w:rPr>
            </w:pPr>
            <w:r w:rsidRPr="000E120A">
              <w:rPr>
                <w:sz w:val="21"/>
                <w:szCs w:val="21"/>
              </w:rPr>
              <w:t>Emory University School of Public Health</w:t>
            </w:r>
          </w:p>
        </w:tc>
        <w:tc>
          <w:tcPr>
            <w:tcW w:w="3870" w:type="dxa"/>
            <w:tcMar>
              <w:top w:w="14" w:type="dxa"/>
              <w:left w:w="58" w:type="dxa"/>
              <w:bottom w:w="14" w:type="dxa"/>
              <w:right w:w="58" w:type="dxa"/>
            </w:tcMar>
          </w:tcPr>
          <w:p w:rsidR="00773B57" w:rsidRPr="000E120A" w:rsidRDefault="00773B57" w:rsidP="0072336D">
            <w:pPr>
              <w:spacing w:after="0" w:line="240" w:lineRule="auto"/>
              <w:rPr>
                <w:sz w:val="21"/>
                <w:szCs w:val="21"/>
              </w:rPr>
            </w:pPr>
            <w:r w:rsidRPr="000E120A">
              <w:rPr>
                <w:sz w:val="21"/>
                <w:szCs w:val="21"/>
              </w:rPr>
              <w:t>Professor</w:t>
            </w:r>
            <w:r w:rsidR="00FC5350" w:rsidRPr="000E120A">
              <w:rPr>
                <w:sz w:val="21"/>
                <w:szCs w:val="21"/>
              </w:rPr>
              <w:t>, Departments of Epidemiology and Biostatistics and Bioinformatics; will provide consultation on data analysis</w:t>
            </w:r>
          </w:p>
        </w:tc>
        <w:tc>
          <w:tcPr>
            <w:tcW w:w="2610" w:type="dxa"/>
            <w:tcMar>
              <w:top w:w="14" w:type="dxa"/>
              <w:left w:w="58" w:type="dxa"/>
              <w:bottom w:w="14" w:type="dxa"/>
              <w:right w:w="58" w:type="dxa"/>
            </w:tcMar>
          </w:tcPr>
          <w:p w:rsidR="00773B57" w:rsidRPr="000E120A" w:rsidRDefault="00773B57" w:rsidP="0072336D">
            <w:pPr>
              <w:spacing w:after="0" w:line="240" w:lineRule="auto"/>
              <w:rPr>
                <w:sz w:val="21"/>
                <w:szCs w:val="21"/>
              </w:rPr>
            </w:pPr>
            <w:r w:rsidRPr="000E120A">
              <w:rPr>
                <w:sz w:val="21"/>
                <w:szCs w:val="21"/>
              </w:rPr>
              <w:t>(404) 727-8716</w:t>
            </w:r>
          </w:p>
          <w:p w:rsidR="00773B57" w:rsidRPr="000E120A" w:rsidRDefault="008713A7" w:rsidP="0072336D">
            <w:pPr>
              <w:spacing w:after="0" w:line="240" w:lineRule="auto"/>
              <w:rPr>
                <w:rFonts w:cs="Arial"/>
                <w:color w:val="333333"/>
                <w:sz w:val="21"/>
                <w:szCs w:val="21"/>
              </w:rPr>
            </w:pPr>
            <w:hyperlink r:id="rId18" w:history="1">
              <w:r w:rsidR="00773B57" w:rsidRPr="000E120A">
                <w:rPr>
                  <w:rStyle w:val="Hyperlink"/>
                  <w:sz w:val="21"/>
                  <w:szCs w:val="21"/>
                </w:rPr>
                <w:t>wflande@sph.emory.edu</w:t>
              </w:r>
            </w:hyperlink>
          </w:p>
        </w:tc>
      </w:tr>
      <w:tr w:rsidR="00773B57" w:rsidRPr="000E120A" w:rsidTr="000E120A">
        <w:tc>
          <w:tcPr>
            <w:tcW w:w="1858" w:type="dxa"/>
            <w:tcMar>
              <w:top w:w="14" w:type="dxa"/>
              <w:left w:w="58" w:type="dxa"/>
              <w:bottom w:w="14" w:type="dxa"/>
              <w:right w:w="58" w:type="dxa"/>
            </w:tcMar>
          </w:tcPr>
          <w:p w:rsidR="00773B57" w:rsidRPr="000E120A" w:rsidRDefault="00D60C5A" w:rsidP="0072336D">
            <w:pPr>
              <w:spacing w:after="0" w:line="240" w:lineRule="auto"/>
              <w:rPr>
                <w:sz w:val="21"/>
                <w:szCs w:val="21"/>
              </w:rPr>
            </w:pPr>
            <w:r w:rsidRPr="000E120A">
              <w:rPr>
                <w:sz w:val="21"/>
                <w:szCs w:val="21"/>
              </w:rPr>
              <w:t>Dr. David Olsen</w:t>
            </w:r>
            <w:r w:rsidR="00773B57" w:rsidRPr="000E120A">
              <w:rPr>
                <w:sz w:val="21"/>
                <w:szCs w:val="21"/>
              </w:rPr>
              <w:t xml:space="preserve"> </w:t>
            </w:r>
          </w:p>
        </w:tc>
        <w:tc>
          <w:tcPr>
            <w:tcW w:w="1530" w:type="dxa"/>
            <w:tcMar>
              <w:top w:w="14" w:type="dxa"/>
              <w:left w:w="58" w:type="dxa"/>
              <w:bottom w:w="14" w:type="dxa"/>
              <w:right w:w="58" w:type="dxa"/>
            </w:tcMar>
          </w:tcPr>
          <w:p w:rsidR="00773B57" w:rsidRPr="000E120A" w:rsidRDefault="00FC5350" w:rsidP="0072336D">
            <w:pPr>
              <w:spacing w:after="0" w:line="240" w:lineRule="auto"/>
              <w:rPr>
                <w:sz w:val="21"/>
                <w:szCs w:val="21"/>
              </w:rPr>
            </w:pPr>
            <w:r w:rsidRPr="000E120A">
              <w:rPr>
                <w:sz w:val="21"/>
                <w:szCs w:val="21"/>
              </w:rPr>
              <w:t>CDC</w:t>
            </w:r>
          </w:p>
        </w:tc>
        <w:tc>
          <w:tcPr>
            <w:tcW w:w="3870" w:type="dxa"/>
            <w:tcMar>
              <w:top w:w="14" w:type="dxa"/>
              <w:left w:w="58" w:type="dxa"/>
              <w:bottom w:w="14" w:type="dxa"/>
              <w:right w:w="58" w:type="dxa"/>
            </w:tcMar>
          </w:tcPr>
          <w:p w:rsidR="00773B57" w:rsidRPr="000E120A" w:rsidRDefault="00773B57" w:rsidP="0072336D">
            <w:pPr>
              <w:spacing w:after="0" w:line="240" w:lineRule="auto"/>
              <w:rPr>
                <w:noProof/>
                <w:sz w:val="21"/>
                <w:szCs w:val="21"/>
              </w:rPr>
            </w:pPr>
            <w:r w:rsidRPr="000E120A">
              <w:rPr>
                <w:sz w:val="21"/>
                <w:szCs w:val="21"/>
              </w:rPr>
              <w:t>Biostatistician</w:t>
            </w:r>
            <w:r w:rsidR="00FC5350" w:rsidRPr="000E120A">
              <w:rPr>
                <w:sz w:val="21"/>
                <w:szCs w:val="21"/>
              </w:rPr>
              <w:t>; will provide consultation on data analysis</w:t>
            </w:r>
          </w:p>
        </w:tc>
        <w:tc>
          <w:tcPr>
            <w:tcW w:w="2610" w:type="dxa"/>
            <w:tcMar>
              <w:top w:w="14" w:type="dxa"/>
              <w:left w:w="58" w:type="dxa"/>
              <w:bottom w:w="14" w:type="dxa"/>
              <w:right w:w="58" w:type="dxa"/>
            </w:tcMar>
          </w:tcPr>
          <w:p w:rsidR="00773B57" w:rsidRPr="000E120A" w:rsidRDefault="00773B57" w:rsidP="0072336D">
            <w:pPr>
              <w:autoSpaceDE w:val="0"/>
              <w:autoSpaceDN w:val="0"/>
              <w:adjustRightInd w:val="0"/>
              <w:spacing w:after="0" w:line="240" w:lineRule="auto"/>
              <w:rPr>
                <w:noProof/>
                <w:sz w:val="21"/>
                <w:szCs w:val="21"/>
              </w:rPr>
            </w:pPr>
            <w:r w:rsidRPr="000E120A">
              <w:rPr>
                <w:noProof/>
                <w:sz w:val="21"/>
                <w:szCs w:val="21"/>
              </w:rPr>
              <w:t>(770) 488-3724</w:t>
            </w:r>
          </w:p>
          <w:p w:rsidR="00773B57" w:rsidRPr="000E120A" w:rsidRDefault="008713A7" w:rsidP="0072336D">
            <w:pPr>
              <w:autoSpaceDE w:val="0"/>
              <w:autoSpaceDN w:val="0"/>
              <w:adjustRightInd w:val="0"/>
              <w:spacing w:after="0" w:line="240" w:lineRule="auto"/>
              <w:rPr>
                <w:iCs/>
                <w:noProof/>
                <w:sz w:val="21"/>
                <w:szCs w:val="21"/>
              </w:rPr>
            </w:pPr>
            <w:hyperlink r:id="rId19" w:history="1">
              <w:r w:rsidR="00EA7A49" w:rsidRPr="000E120A">
                <w:rPr>
                  <w:rStyle w:val="Hyperlink"/>
                  <w:noProof/>
                  <w:sz w:val="21"/>
                  <w:szCs w:val="21"/>
                </w:rPr>
                <w:t>Dolsen@cdc.gov</w:t>
              </w:r>
            </w:hyperlink>
          </w:p>
        </w:tc>
      </w:tr>
      <w:tr w:rsidR="00773B57" w:rsidRPr="000E120A" w:rsidTr="000E120A">
        <w:tc>
          <w:tcPr>
            <w:tcW w:w="1858" w:type="dxa"/>
            <w:tcMar>
              <w:top w:w="14" w:type="dxa"/>
              <w:left w:w="58" w:type="dxa"/>
              <w:bottom w:w="14" w:type="dxa"/>
              <w:right w:w="58" w:type="dxa"/>
            </w:tcMar>
          </w:tcPr>
          <w:p w:rsidR="00773B57" w:rsidRPr="000E120A" w:rsidRDefault="00D60C5A" w:rsidP="0072336D">
            <w:pPr>
              <w:spacing w:after="0" w:line="240" w:lineRule="auto"/>
              <w:rPr>
                <w:sz w:val="21"/>
                <w:szCs w:val="21"/>
              </w:rPr>
            </w:pPr>
            <w:r w:rsidRPr="000E120A">
              <w:rPr>
                <w:sz w:val="21"/>
                <w:szCs w:val="21"/>
              </w:rPr>
              <w:t xml:space="preserve">Dr. </w:t>
            </w:r>
            <w:r w:rsidR="00773B57" w:rsidRPr="000E120A">
              <w:rPr>
                <w:sz w:val="21"/>
                <w:szCs w:val="21"/>
              </w:rPr>
              <w:t>Shahed Iqbal</w:t>
            </w:r>
          </w:p>
        </w:tc>
        <w:tc>
          <w:tcPr>
            <w:tcW w:w="1530" w:type="dxa"/>
            <w:tcMar>
              <w:top w:w="14" w:type="dxa"/>
              <w:left w:w="58" w:type="dxa"/>
              <w:bottom w:w="14" w:type="dxa"/>
              <w:right w:w="58" w:type="dxa"/>
            </w:tcMar>
          </w:tcPr>
          <w:p w:rsidR="00773B57" w:rsidRPr="000E120A" w:rsidRDefault="00FC5350" w:rsidP="0072336D">
            <w:pPr>
              <w:spacing w:after="0" w:line="240" w:lineRule="auto"/>
              <w:rPr>
                <w:sz w:val="21"/>
                <w:szCs w:val="21"/>
              </w:rPr>
            </w:pPr>
            <w:r w:rsidRPr="000E120A">
              <w:rPr>
                <w:sz w:val="21"/>
                <w:szCs w:val="21"/>
              </w:rPr>
              <w:t>CDC</w:t>
            </w:r>
          </w:p>
        </w:tc>
        <w:tc>
          <w:tcPr>
            <w:tcW w:w="3870" w:type="dxa"/>
            <w:tcMar>
              <w:top w:w="14" w:type="dxa"/>
              <w:left w:w="58" w:type="dxa"/>
              <w:bottom w:w="14" w:type="dxa"/>
              <w:right w:w="58" w:type="dxa"/>
            </w:tcMar>
          </w:tcPr>
          <w:p w:rsidR="00773B57" w:rsidRPr="000E120A" w:rsidRDefault="00773B57" w:rsidP="0072336D">
            <w:pPr>
              <w:spacing w:after="0" w:line="240" w:lineRule="auto"/>
              <w:rPr>
                <w:sz w:val="21"/>
                <w:szCs w:val="21"/>
              </w:rPr>
            </w:pPr>
            <w:r w:rsidRPr="000E120A">
              <w:rPr>
                <w:noProof/>
                <w:sz w:val="21"/>
                <w:szCs w:val="21"/>
              </w:rPr>
              <w:t>Senior Service Fellow</w:t>
            </w:r>
            <w:r w:rsidR="00FC5350" w:rsidRPr="000E120A">
              <w:rPr>
                <w:noProof/>
                <w:sz w:val="21"/>
                <w:szCs w:val="21"/>
              </w:rPr>
              <w:t>; will analyze the data</w:t>
            </w:r>
          </w:p>
        </w:tc>
        <w:tc>
          <w:tcPr>
            <w:tcW w:w="2610" w:type="dxa"/>
            <w:tcMar>
              <w:top w:w="14" w:type="dxa"/>
              <w:left w:w="58" w:type="dxa"/>
              <w:bottom w:w="14" w:type="dxa"/>
              <w:right w:w="58" w:type="dxa"/>
            </w:tcMar>
          </w:tcPr>
          <w:p w:rsidR="00773B57" w:rsidRPr="000E120A" w:rsidRDefault="00773B57" w:rsidP="0072336D">
            <w:pPr>
              <w:autoSpaceDE w:val="0"/>
              <w:autoSpaceDN w:val="0"/>
              <w:adjustRightInd w:val="0"/>
              <w:spacing w:after="0" w:line="240" w:lineRule="auto"/>
              <w:rPr>
                <w:noProof/>
                <w:sz w:val="21"/>
                <w:szCs w:val="21"/>
              </w:rPr>
            </w:pPr>
            <w:r w:rsidRPr="000E120A">
              <w:rPr>
                <w:noProof/>
                <w:sz w:val="21"/>
                <w:szCs w:val="21"/>
              </w:rPr>
              <w:t>(770) 488-0787</w:t>
            </w:r>
          </w:p>
          <w:p w:rsidR="00773B57" w:rsidRPr="000E120A" w:rsidRDefault="008713A7" w:rsidP="0072336D">
            <w:pPr>
              <w:autoSpaceDE w:val="0"/>
              <w:autoSpaceDN w:val="0"/>
              <w:adjustRightInd w:val="0"/>
              <w:spacing w:after="0" w:line="240" w:lineRule="auto"/>
              <w:rPr>
                <w:rFonts w:cs="Arial"/>
                <w:color w:val="333333"/>
                <w:sz w:val="21"/>
                <w:szCs w:val="21"/>
              </w:rPr>
            </w:pPr>
            <w:hyperlink r:id="rId20" w:history="1">
              <w:r w:rsidR="00773B57" w:rsidRPr="000E120A">
                <w:rPr>
                  <w:rStyle w:val="Hyperlink"/>
                  <w:noProof/>
                  <w:sz w:val="21"/>
                  <w:szCs w:val="21"/>
                </w:rPr>
                <w:t>SIqbal@cdc.gov</w:t>
              </w:r>
            </w:hyperlink>
          </w:p>
        </w:tc>
      </w:tr>
    </w:tbl>
    <w:p w:rsidR="00E55A1D" w:rsidRPr="0070687A" w:rsidRDefault="00E55A1D" w:rsidP="0072336D">
      <w:pPr>
        <w:spacing w:after="0" w:line="240" w:lineRule="auto"/>
        <w:rPr>
          <w:sz w:val="20"/>
          <w:szCs w:val="20"/>
        </w:rPr>
      </w:pPr>
    </w:p>
    <w:sectPr w:rsidR="00E55A1D" w:rsidRPr="0070687A" w:rsidSect="00BF1421">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703" w:rsidRDefault="009A4703" w:rsidP="00422C25">
      <w:pPr>
        <w:spacing w:after="0" w:line="240" w:lineRule="auto"/>
      </w:pPr>
      <w:r>
        <w:separator/>
      </w:r>
    </w:p>
  </w:endnote>
  <w:endnote w:type="continuationSeparator" w:id="0">
    <w:p w:rsidR="009A4703" w:rsidRDefault="009A4703" w:rsidP="00422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8D" w:rsidRPr="00790274" w:rsidRDefault="004C1E8D" w:rsidP="00345D68">
    <w:pPr>
      <w:pStyle w:val="Footer"/>
      <w:pBdr>
        <w:top w:val="single" w:sz="2" w:space="0" w:color="auto"/>
      </w:pBdr>
      <w:tabs>
        <w:tab w:val="clear" w:pos="10530"/>
        <w:tab w:val="right" w:pos="9360"/>
      </w:tabs>
      <w:rPr>
        <w:sz w:val="22"/>
        <w:szCs w:val="22"/>
      </w:rPr>
    </w:pPr>
    <w:r>
      <w:t>February 22, 2012</w:t>
    </w:r>
    <w:r>
      <w:tab/>
      <w:t>B-</w:t>
    </w:r>
    <w:r w:rsidR="008713A7">
      <w:fldChar w:fldCharType="begin"/>
    </w:r>
    <w:r>
      <w:instrText xml:space="preserve"> PAGE   \* MERGEFORMAT </w:instrText>
    </w:r>
    <w:r w:rsidR="008713A7">
      <w:fldChar w:fldCharType="separate"/>
    </w:r>
    <w:r w:rsidR="00E56279">
      <w:rPr>
        <w:noProof/>
      </w:rPr>
      <w:t>13</w:t>
    </w:r>
    <w:r w:rsidR="008713A7">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703" w:rsidRDefault="009A4703" w:rsidP="00422C25">
      <w:pPr>
        <w:spacing w:after="0" w:line="240" w:lineRule="auto"/>
      </w:pPr>
      <w:r>
        <w:separator/>
      </w:r>
    </w:p>
  </w:footnote>
  <w:footnote w:type="continuationSeparator" w:id="0">
    <w:p w:rsidR="009A4703" w:rsidRDefault="009A4703" w:rsidP="00422C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4D8"/>
    <w:multiLevelType w:val="hybridMultilevel"/>
    <w:tmpl w:val="B680E1F0"/>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
      <w:lvlJc w:val="left"/>
      <w:pPr>
        <w:tabs>
          <w:tab w:val="num" w:pos="2520"/>
        </w:tabs>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nsid w:val="06552407"/>
    <w:multiLevelType w:val="hybridMultilevel"/>
    <w:tmpl w:val="77489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F4388C"/>
    <w:multiLevelType w:val="hybridMultilevel"/>
    <w:tmpl w:val="39FA92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4B343AC"/>
    <w:multiLevelType w:val="hybridMultilevel"/>
    <w:tmpl w:val="CA022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8B581B"/>
    <w:multiLevelType w:val="hybridMultilevel"/>
    <w:tmpl w:val="AF5043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84A0AC6"/>
    <w:multiLevelType w:val="hybridMultilevel"/>
    <w:tmpl w:val="23DE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9D40CE6"/>
    <w:multiLevelType w:val="hybridMultilevel"/>
    <w:tmpl w:val="2CCAC622"/>
    <w:lvl w:ilvl="0" w:tplc="FFFFFFFF">
      <w:start w:val="1"/>
      <w:numFmt w:val="bullet"/>
      <w:lvlText w:val=""/>
      <w:lvlJc w:val="left"/>
      <w:pPr>
        <w:tabs>
          <w:tab w:val="num" w:pos="1440"/>
        </w:tabs>
        <w:ind w:left="144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A893CBD"/>
    <w:multiLevelType w:val="hybridMultilevel"/>
    <w:tmpl w:val="C37264FC"/>
    <w:lvl w:ilvl="0" w:tplc="BB068E88">
      <w:numFmt w:val="bullet"/>
      <w:lvlText w:val="-"/>
      <w:lvlJc w:val="left"/>
      <w:pPr>
        <w:tabs>
          <w:tab w:val="num" w:pos="-240"/>
        </w:tabs>
        <w:ind w:left="-240" w:hanging="360"/>
      </w:pPr>
      <w:rPr>
        <w:rFonts w:ascii="Times New Roman" w:eastAsia="Times New Roman" w:hAnsi="Times New Roman"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8">
    <w:nsid w:val="1B210720"/>
    <w:multiLevelType w:val="hybridMultilevel"/>
    <w:tmpl w:val="E7C899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B87B8C"/>
    <w:multiLevelType w:val="hybridMultilevel"/>
    <w:tmpl w:val="28A25C94"/>
    <w:lvl w:ilvl="0" w:tplc="04090001">
      <w:start w:val="1"/>
      <w:numFmt w:val="bullet"/>
      <w:lvlText w:val=""/>
      <w:lvlJc w:val="left"/>
      <w:pPr>
        <w:ind w:left="720" w:hanging="360"/>
      </w:pPr>
      <w:rPr>
        <w:rFonts w:ascii="Symbol" w:hAnsi="Symbol" w:hint="default"/>
      </w:rPr>
    </w:lvl>
    <w:lvl w:ilvl="1" w:tplc="7154421E">
      <w:start w:val="3"/>
      <w:numFmt w:val="bullet"/>
      <w:lvlText w:val="•"/>
      <w:lvlJc w:val="left"/>
      <w:pPr>
        <w:ind w:left="1800" w:hanging="72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3478F8"/>
    <w:multiLevelType w:val="hybridMultilevel"/>
    <w:tmpl w:val="060A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3E576A"/>
    <w:multiLevelType w:val="hybridMultilevel"/>
    <w:tmpl w:val="8C982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59C7C55"/>
    <w:multiLevelType w:val="hybridMultilevel"/>
    <w:tmpl w:val="0FA6BEB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26B47CFB"/>
    <w:multiLevelType w:val="hybridMultilevel"/>
    <w:tmpl w:val="1D9A0B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28A5794C"/>
    <w:multiLevelType w:val="hybridMultilevel"/>
    <w:tmpl w:val="047C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8E486C"/>
    <w:multiLevelType w:val="hybridMultilevel"/>
    <w:tmpl w:val="2618B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B4B219E"/>
    <w:multiLevelType w:val="hybridMultilevel"/>
    <w:tmpl w:val="283AA078"/>
    <w:lvl w:ilvl="0" w:tplc="90940B10">
      <w:start w:val="1"/>
      <w:numFmt w:val="bullet"/>
      <w:pStyle w:val="bullets"/>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DAE35F5"/>
    <w:multiLevelType w:val="hybridMultilevel"/>
    <w:tmpl w:val="8AFC644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611563A"/>
    <w:multiLevelType w:val="hybridMultilevel"/>
    <w:tmpl w:val="8B5E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678A9"/>
    <w:multiLevelType w:val="hybridMultilevel"/>
    <w:tmpl w:val="E9ECB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DF17E79"/>
    <w:multiLevelType w:val="hybridMultilevel"/>
    <w:tmpl w:val="846EED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03871AF"/>
    <w:multiLevelType w:val="hybridMultilevel"/>
    <w:tmpl w:val="17D6D28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20"/>
        </w:tabs>
        <w:ind w:left="-120" w:hanging="360"/>
      </w:pPr>
      <w:rPr>
        <w:rFonts w:ascii="Courier New" w:hAnsi="Courier New" w:cs="Courier New" w:hint="default"/>
      </w:rPr>
    </w:lvl>
    <w:lvl w:ilvl="2" w:tplc="04090005">
      <w:start w:val="1"/>
      <w:numFmt w:val="bullet"/>
      <w:lvlText w:val=""/>
      <w:lvlJc w:val="left"/>
      <w:pPr>
        <w:tabs>
          <w:tab w:val="num" w:pos="600"/>
        </w:tabs>
        <w:ind w:left="600" w:hanging="360"/>
      </w:pPr>
      <w:rPr>
        <w:rFonts w:ascii="Wingdings" w:hAnsi="Wingdings" w:hint="default"/>
      </w:rPr>
    </w:lvl>
    <w:lvl w:ilvl="3" w:tplc="04090001">
      <w:start w:val="1"/>
      <w:numFmt w:val="bullet"/>
      <w:lvlText w:val=""/>
      <w:lvlJc w:val="left"/>
      <w:pPr>
        <w:tabs>
          <w:tab w:val="num" w:pos="1320"/>
        </w:tabs>
        <w:ind w:left="1320" w:hanging="360"/>
      </w:pPr>
      <w:rPr>
        <w:rFonts w:ascii="Symbol" w:hAnsi="Symbol" w:hint="default"/>
      </w:rPr>
    </w:lvl>
    <w:lvl w:ilvl="4" w:tplc="04090003" w:tentative="1">
      <w:start w:val="1"/>
      <w:numFmt w:val="bullet"/>
      <w:lvlText w:val="o"/>
      <w:lvlJc w:val="left"/>
      <w:pPr>
        <w:tabs>
          <w:tab w:val="num" w:pos="2040"/>
        </w:tabs>
        <w:ind w:left="2040" w:hanging="360"/>
      </w:pPr>
      <w:rPr>
        <w:rFonts w:ascii="Courier New" w:hAnsi="Courier New" w:cs="Courier New" w:hint="default"/>
      </w:rPr>
    </w:lvl>
    <w:lvl w:ilvl="5" w:tplc="04090005" w:tentative="1">
      <w:start w:val="1"/>
      <w:numFmt w:val="bullet"/>
      <w:lvlText w:val=""/>
      <w:lvlJc w:val="left"/>
      <w:pPr>
        <w:tabs>
          <w:tab w:val="num" w:pos="2760"/>
        </w:tabs>
        <w:ind w:left="2760" w:hanging="360"/>
      </w:pPr>
      <w:rPr>
        <w:rFonts w:ascii="Wingdings" w:hAnsi="Wingdings" w:hint="default"/>
      </w:rPr>
    </w:lvl>
    <w:lvl w:ilvl="6" w:tplc="04090001" w:tentative="1">
      <w:start w:val="1"/>
      <w:numFmt w:val="bullet"/>
      <w:lvlText w:val=""/>
      <w:lvlJc w:val="left"/>
      <w:pPr>
        <w:tabs>
          <w:tab w:val="num" w:pos="3480"/>
        </w:tabs>
        <w:ind w:left="3480" w:hanging="360"/>
      </w:pPr>
      <w:rPr>
        <w:rFonts w:ascii="Symbol" w:hAnsi="Symbol" w:hint="default"/>
      </w:rPr>
    </w:lvl>
    <w:lvl w:ilvl="7" w:tplc="04090003" w:tentative="1">
      <w:start w:val="1"/>
      <w:numFmt w:val="bullet"/>
      <w:lvlText w:val="o"/>
      <w:lvlJc w:val="left"/>
      <w:pPr>
        <w:tabs>
          <w:tab w:val="num" w:pos="4200"/>
        </w:tabs>
        <w:ind w:left="4200" w:hanging="360"/>
      </w:pPr>
      <w:rPr>
        <w:rFonts w:ascii="Courier New" w:hAnsi="Courier New" w:cs="Courier New" w:hint="default"/>
      </w:rPr>
    </w:lvl>
    <w:lvl w:ilvl="8" w:tplc="04090005" w:tentative="1">
      <w:start w:val="1"/>
      <w:numFmt w:val="bullet"/>
      <w:lvlText w:val=""/>
      <w:lvlJc w:val="left"/>
      <w:pPr>
        <w:tabs>
          <w:tab w:val="num" w:pos="4920"/>
        </w:tabs>
        <w:ind w:left="4920" w:hanging="360"/>
      </w:pPr>
      <w:rPr>
        <w:rFonts w:ascii="Wingdings" w:hAnsi="Wingdings" w:hint="default"/>
      </w:rPr>
    </w:lvl>
  </w:abstractNum>
  <w:abstractNum w:abstractNumId="22">
    <w:nsid w:val="447E5C49"/>
    <w:multiLevelType w:val="hybridMultilevel"/>
    <w:tmpl w:val="2DC663B0"/>
    <w:lvl w:ilvl="0" w:tplc="0A6E6F42">
      <w:start w:val="1"/>
      <w:numFmt w:val="bullet"/>
      <w:lvlText w:val=""/>
      <w:lvlJc w:val="left"/>
      <w:pPr>
        <w:tabs>
          <w:tab w:val="num" w:pos="720"/>
        </w:tabs>
        <w:ind w:left="720" w:hanging="360"/>
      </w:pPr>
      <w:rPr>
        <w:rFonts w:ascii="Symbol" w:hAnsi="Symbol" w:hint="default"/>
      </w:rPr>
    </w:lvl>
    <w:lvl w:ilvl="1" w:tplc="A114F5BE">
      <w:start w:val="1"/>
      <w:numFmt w:val="bullet"/>
      <w:lvlText w:val="o"/>
      <w:lvlJc w:val="left"/>
      <w:pPr>
        <w:tabs>
          <w:tab w:val="num" w:pos="-1080"/>
        </w:tabs>
        <w:ind w:left="-1080" w:hanging="360"/>
      </w:pPr>
      <w:rPr>
        <w:rFonts w:ascii="Courier New" w:hAnsi="Courier New" w:hint="default"/>
      </w:rPr>
    </w:lvl>
    <w:lvl w:ilvl="2" w:tplc="2C96BC46">
      <w:start w:val="1"/>
      <w:numFmt w:val="bullet"/>
      <w:lvlText w:val=""/>
      <w:lvlJc w:val="left"/>
      <w:pPr>
        <w:tabs>
          <w:tab w:val="num" w:pos="-360"/>
        </w:tabs>
        <w:ind w:left="-360" w:hanging="360"/>
      </w:pPr>
      <w:rPr>
        <w:rFonts w:ascii="Wingdings" w:hAnsi="Wingdings" w:hint="default"/>
      </w:rPr>
    </w:lvl>
    <w:lvl w:ilvl="3" w:tplc="46CC7E18">
      <w:start w:val="1"/>
      <w:numFmt w:val="bullet"/>
      <w:lvlText w:val=""/>
      <w:lvlJc w:val="left"/>
      <w:pPr>
        <w:tabs>
          <w:tab w:val="num" w:pos="360"/>
        </w:tabs>
        <w:ind w:left="360" w:hanging="360"/>
      </w:pPr>
      <w:rPr>
        <w:rFonts w:ascii="Symbol" w:hAnsi="Symbol" w:hint="default"/>
      </w:rPr>
    </w:lvl>
    <w:lvl w:ilvl="4" w:tplc="E88CF36C">
      <w:start w:val="1"/>
      <w:numFmt w:val="bullet"/>
      <w:lvlText w:val="o"/>
      <w:lvlJc w:val="left"/>
      <w:pPr>
        <w:tabs>
          <w:tab w:val="num" w:pos="1080"/>
        </w:tabs>
        <w:ind w:left="1080" w:hanging="360"/>
      </w:pPr>
      <w:rPr>
        <w:rFonts w:ascii="Courier New" w:hAnsi="Courier New" w:hint="default"/>
      </w:rPr>
    </w:lvl>
    <w:lvl w:ilvl="5" w:tplc="31E81E36">
      <w:start w:val="1"/>
      <w:numFmt w:val="bullet"/>
      <w:lvlText w:val=""/>
      <w:lvlJc w:val="left"/>
      <w:pPr>
        <w:tabs>
          <w:tab w:val="num" w:pos="1800"/>
        </w:tabs>
        <w:ind w:left="1800" w:hanging="360"/>
      </w:pPr>
      <w:rPr>
        <w:rFonts w:ascii="Wingdings" w:hAnsi="Wingdings" w:hint="default"/>
      </w:rPr>
    </w:lvl>
    <w:lvl w:ilvl="6" w:tplc="4C1C45A6">
      <w:start w:val="1"/>
      <w:numFmt w:val="bullet"/>
      <w:lvlText w:val=""/>
      <w:lvlJc w:val="left"/>
      <w:pPr>
        <w:tabs>
          <w:tab w:val="num" w:pos="2520"/>
        </w:tabs>
        <w:ind w:left="2520" w:hanging="360"/>
      </w:pPr>
      <w:rPr>
        <w:rFonts w:ascii="Symbol" w:hAnsi="Symbol" w:hint="default"/>
      </w:rPr>
    </w:lvl>
    <w:lvl w:ilvl="7" w:tplc="5DDC1E14">
      <w:start w:val="1"/>
      <w:numFmt w:val="bullet"/>
      <w:lvlText w:val="o"/>
      <w:lvlJc w:val="left"/>
      <w:pPr>
        <w:tabs>
          <w:tab w:val="num" w:pos="3240"/>
        </w:tabs>
        <w:ind w:left="3240" w:hanging="360"/>
      </w:pPr>
      <w:rPr>
        <w:rFonts w:ascii="Courier New" w:hAnsi="Courier New" w:hint="default"/>
      </w:rPr>
    </w:lvl>
    <w:lvl w:ilvl="8" w:tplc="3BBC020C">
      <w:start w:val="1"/>
      <w:numFmt w:val="bullet"/>
      <w:lvlText w:val=""/>
      <w:lvlJc w:val="left"/>
      <w:pPr>
        <w:tabs>
          <w:tab w:val="num" w:pos="3960"/>
        </w:tabs>
        <w:ind w:left="3960" w:hanging="360"/>
      </w:pPr>
      <w:rPr>
        <w:rFonts w:ascii="Wingdings" w:hAnsi="Wingdings" w:hint="default"/>
      </w:rPr>
    </w:lvl>
  </w:abstractNum>
  <w:abstractNum w:abstractNumId="23">
    <w:nsid w:val="4A805EB5"/>
    <w:multiLevelType w:val="multilevel"/>
    <w:tmpl w:val="4170E78C"/>
    <w:lvl w:ilvl="0">
      <w:start w:val="1"/>
      <w:numFmt w:val="decimal"/>
      <w:pStyle w:val="bodytextpsgCharChar"/>
      <w:suff w:val="nothing"/>
      <w:lvlText w:val="%1   "/>
      <w:lvlJc w:val="left"/>
      <w:pPr>
        <w:ind w:left="720" w:firstLine="360"/>
      </w:pPr>
      <w:rPr>
        <w:rFonts w:cs="Times New Roman" w:hint="default"/>
        <w:b w:val="0"/>
        <w:bCs w:val="0"/>
        <w:vertAlign w:val="superscript"/>
      </w:rPr>
    </w:lvl>
    <w:lvl w:ilvl="1">
      <w:start w:val="1"/>
      <w:numFmt w:val="lowerLetter"/>
      <w:lvlText w:val="%2."/>
      <w:lvlJc w:val="left"/>
      <w:pPr>
        <w:ind w:left="-1890" w:hanging="360"/>
      </w:pPr>
      <w:rPr>
        <w:rFonts w:cs="Times New Roman" w:hint="default"/>
      </w:rPr>
    </w:lvl>
    <w:lvl w:ilvl="2">
      <w:start w:val="1"/>
      <w:numFmt w:val="lowerRoman"/>
      <w:lvlText w:val="%3."/>
      <w:lvlJc w:val="right"/>
      <w:pPr>
        <w:ind w:left="-1170" w:hanging="180"/>
      </w:pPr>
      <w:rPr>
        <w:rFonts w:cs="Times New Roman" w:hint="default"/>
      </w:rPr>
    </w:lvl>
    <w:lvl w:ilvl="3">
      <w:start w:val="1"/>
      <w:numFmt w:val="decimal"/>
      <w:lvlText w:val="%4."/>
      <w:lvlJc w:val="left"/>
      <w:pPr>
        <w:ind w:left="-450" w:hanging="360"/>
      </w:pPr>
      <w:rPr>
        <w:rFonts w:cs="Times New Roman" w:hint="default"/>
      </w:rPr>
    </w:lvl>
    <w:lvl w:ilvl="4">
      <w:start w:val="1"/>
      <w:numFmt w:val="lowerLetter"/>
      <w:lvlText w:val="%5."/>
      <w:lvlJc w:val="left"/>
      <w:pPr>
        <w:ind w:left="270" w:hanging="360"/>
      </w:pPr>
      <w:rPr>
        <w:rFonts w:cs="Times New Roman" w:hint="default"/>
      </w:rPr>
    </w:lvl>
    <w:lvl w:ilvl="5">
      <w:start w:val="1"/>
      <w:numFmt w:val="lowerRoman"/>
      <w:lvlText w:val="%6."/>
      <w:lvlJc w:val="right"/>
      <w:pPr>
        <w:ind w:left="990" w:hanging="180"/>
      </w:pPr>
      <w:rPr>
        <w:rFonts w:cs="Times New Roman" w:hint="default"/>
      </w:rPr>
    </w:lvl>
    <w:lvl w:ilvl="6">
      <w:start w:val="1"/>
      <w:numFmt w:val="decimal"/>
      <w:lvlText w:val="%7."/>
      <w:lvlJc w:val="left"/>
      <w:pPr>
        <w:ind w:left="1710" w:hanging="360"/>
      </w:pPr>
      <w:rPr>
        <w:rFonts w:cs="Times New Roman" w:hint="default"/>
      </w:rPr>
    </w:lvl>
    <w:lvl w:ilvl="7">
      <w:start w:val="1"/>
      <w:numFmt w:val="lowerLetter"/>
      <w:lvlText w:val="%8."/>
      <w:lvlJc w:val="left"/>
      <w:pPr>
        <w:ind w:left="2430" w:hanging="360"/>
      </w:pPr>
      <w:rPr>
        <w:rFonts w:cs="Times New Roman" w:hint="default"/>
      </w:rPr>
    </w:lvl>
    <w:lvl w:ilvl="8">
      <w:start w:val="1"/>
      <w:numFmt w:val="lowerRoman"/>
      <w:lvlText w:val="%9."/>
      <w:lvlJc w:val="right"/>
      <w:pPr>
        <w:ind w:left="3150" w:hanging="180"/>
      </w:pPr>
      <w:rPr>
        <w:rFonts w:cs="Times New Roman" w:hint="default"/>
      </w:rPr>
    </w:lvl>
  </w:abstractNum>
  <w:abstractNum w:abstractNumId="24">
    <w:nsid w:val="527057AD"/>
    <w:multiLevelType w:val="hybridMultilevel"/>
    <w:tmpl w:val="7DF0F182"/>
    <w:lvl w:ilvl="0" w:tplc="0409000F">
      <w:start w:val="1"/>
      <w:numFmt w:val="decimal"/>
      <w:lvlText w:val="%1."/>
      <w:lvlJc w:val="left"/>
      <w:pPr>
        <w:tabs>
          <w:tab w:val="num" w:pos="720"/>
        </w:tabs>
        <w:ind w:left="720" w:hanging="360"/>
      </w:pPr>
      <w:rPr>
        <w:rFonts w:cs="Times New Roman"/>
      </w:rPr>
    </w:lvl>
    <w:lvl w:ilvl="1" w:tplc="180E3FD2">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A8F603A"/>
    <w:multiLevelType w:val="hybridMultilevel"/>
    <w:tmpl w:val="A1D057F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DA55621"/>
    <w:multiLevelType w:val="hybridMultilevel"/>
    <w:tmpl w:val="F3049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C2C7F"/>
    <w:multiLevelType w:val="hybridMultilevel"/>
    <w:tmpl w:val="7C2C1FF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609A4BA7"/>
    <w:multiLevelType w:val="hybridMultilevel"/>
    <w:tmpl w:val="0C5C8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68DF06E2"/>
    <w:multiLevelType w:val="hybridMultilevel"/>
    <w:tmpl w:val="D096825C"/>
    <w:lvl w:ilvl="0" w:tplc="782C97F2">
      <w:start w:val="1"/>
      <w:numFmt w:val="bullet"/>
      <w:pStyle w:val="Bullet"/>
      <w:lvlText w:val=""/>
      <w:lvlJc w:val="left"/>
      <w:pPr>
        <w:tabs>
          <w:tab w:val="num" w:pos="360"/>
        </w:tabs>
        <w:ind w:left="360" w:hanging="360"/>
      </w:pPr>
      <w:rPr>
        <w:rFonts w:ascii="Symbol" w:hAnsi="Symbol" w:hint="default"/>
        <w:b/>
        <w:i w:val="0"/>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nsid w:val="6A7A1778"/>
    <w:multiLevelType w:val="hybridMultilevel"/>
    <w:tmpl w:val="1E424E6E"/>
    <w:lvl w:ilvl="0" w:tplc="04090001">
      <w:start w:val="1"/>
      <w:numFmt w:val="bullet"/>
      <w:pStyle w:val="aft-12"/>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6C327C38"/>
    <w:multiLevelType w:val="hybridMultilevel"/>
    <w:tmpl w:val="488A2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6C815747"/>
    <w:multiLevelType w:val="hybridMultilevel"/>
    <w:tmpl w:val="FC0A9E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6D68059C"/>
    <w:multiLevelType w:val="hybridMultilevel"/>
    <w:tmpl w:val="BD725F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71A52858"/>
    <w:multiLevelType w:val="hybridMultilevel"/>
    <w:tmpl w:val="D5B28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5FD3D46"/>
    <w:multiLevelType w:val="hybridMultilevel"/>
    <w:tmpl w:val="BAB43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7AB70F67"/>
    <w:multiLevelType w:val="hybridMultilevel"/>
    <w:tmpl w:val="226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29"/>
  </w:num>
  <w:num w:numId="4">
    <w:abstractNumId w:val="2"/>
  </w:num>
  <w:num w:numId="5">
    <w:abstractNumId w:val="34"/>
  </w:num>
  <w:num w:numId="6">
    <w:abstractNumId w:val="1"/>
  </w:num>
  <w:num w:numId="7">
    <w:abstractNumId w:val="5"/>
  </w:num>
  <w:num w:numId="8">
    <w:abstractNumId w:val="31"/>
  </w:num>
  <w:num w:numId="9">
    <w:abstractNumId w:val="36"/>
  </w:num>
  <w:num w:numId="10">
    <w:abstractNumId w:val="4"/>
  </w:num>
  <w:num w:numId="11">
    <w:abstractNumId w:val="33"/>
  </w:num>
  <w:num w:numId="12">
    <w:abstractNumId w:val="19"/>
  </w:num>
  <w:num w:numId="13">
    <w:abstractNumId w:val="15"/>
  </w:num>
  <w:num w:numId="14">
    <w:abstractNumId w:val="30"/>
  </w:num>
  <w:num w:numId="15">
    <w:abstractNumId w:val="11"/>
  </w:num>
  <w:num w:numId="16">
    <w:abstractNumId w:val="35"/>
  </w:num>
  <w:num w:numId="17">
    <w:abstractNumId w:val="22"/>
  </w:num>
  <w:num w:numId="18">
    <w:abstractNumId w:val="16"/>
  </w:num>
  <w:num w:numId="19">
    <w:abstractNumId w:val="23"/>
  </w:num>
  <w:num w:numId="20">
    <w:abstractNumId w:val="17"/>
  </w:num>
  <w:num w:numId="21">
    <w:abstractNumId w:val="28"/>
  </w:num>
  <w:num w:numId="22">
    <w:abstractNumId w:val="20"/>
  </w:num>
  <w:num w:numId="23">
    <w:abstractNumId w:val="32"/>
  </w:num>
  <w:num w:numId="24">
    <w:abstractNumId w:val="25"/>
  </w:num>
  <w:num w:numId="25">
    <w:abstractNumId w:val="8"/>
  </w:num>
  <w:num w:numId="26">
    <w:abstractNumId w:val="24"/>
  </w:num>
  <w:num w:numId="27">
    <w:abstractNumId w:val="6"/>
  </w:num>
  <w:num w:numId="28">
    <w:abstractNumId w:val="12"/>
  </w:num>
  <w:num w:numId="29">
    <w:abstractNumId w:val="0"/>
  </w:num>
  <w:num w:numId="30">
    <w:abstractNumId w:val="3"/>
  </w:num>
  <w:num w:numId="31">
    <w:abstractNumId w:val="26"/>
  </w:num>
  <w:num w:numId="32">
    <w:abstractNumId w:val="7"/>
  </w:num>
  <w:num w:numId="33">
    <w:abstractNumId w:val="21"/>
  </w:num>
  <w:num w:numId="34">
    <w:abstractNumId w:val="9"/>
  </w:num>
  <w:num w:numId="35">
    <w:abstractNumId w:val="14"/>
  </w:num>
  <w:num w:numId="36">
    <w:abstractNumId w:val="18"/>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oNotHyphenateCaps/>
  <w:characterSpacingControl w:val="doNotCompress"/>
  <w:doNotValidateAgainstSchema/>
  <w:doNotDemarcateInvalidXml/>
  <w:hdrShapeDefaults>
    <o:shapedefaults v:ext="edit" spidmax="46082"/>
  </w:hdrShapeDefaults>
  <w:footnotePr>
    <w:footnote w:id="-1"/>
    <w:footnote w:id="0"/>
  </w:footnotePr>
  <w:endnotePr>
    <w:endnote w:id="-1"/>
    <w:endnote w:id="0"/>
  </w:endnotePr>
  <w:compat/>
  <w:rsids>
    <w:rsidRoot w:val="00AF25E4"/>
    <w:rsid w:val="00001AB8"/>
    <w:rsid w:val="00005A93"/>
    <w:rsid w:val="0000609F"/>
    <w:rsid w:val="00006685"/>
    <w:rsid w:val="00007405"/>
    <w:rsid w:val="000130EF"/>
    <w:rsid w:val="00017225"/>
    <w:rsid w:val="000238C4"/>
    <w:rsid w:val="00024DF2"/>
    <w:rsid w:val="00026AF6"/>
    <w:rsid w:val="00026C60"/>
    <w:rsid w:val="00030B63"/>
    <w:rsid w:val="0003391D"/>
    <w:rsid w:val="00034C75"/>
    <w:rsid w:val="000357D2"/>
    <w:rsid w:val="000400C3"/>
    <w:rsid w:val="00040712"/>
    <w:rsid w:val="00040D11"/>
    <w:rsid w:val="0004110F"/>
    <w:rsid w:val="00042EF4"/>
    <w:rsid w:val="00044719"/>
    <w:rsid w:val="00044B97"/>
    <w:rsid w:val="00047220"/>
    <w:rsid w:val="000524B5"/>
    <w:rsid w:val="0006670F"/>
    <w:rsid w:val="00073CA5"/>
    <w:rsid w:val="00074EC5"/>
    <w:rsid w:val="0007509A"/>
    <w:rsid w:val="00077B3F"/>
    <w:rsid w:val="0008035A"/>
    <w:rsid w:val="00080E5F"/>
    <w:rsid w:val="000845FF"/>
    <w:rsid w:val="00091401"/>
    <w:rsid w:val="000930F4"/>
    <w:rsid w:val="000935A6"/>
    <w:rsid w:val="000A0875"/>
    <w:rsid w:val="000A1DDC"/>
    <w:rsid w:val="000A4BE5"/>
    <w:rsid w:val="000B0FF0"/>
    <w:rsid w:val="000B20B8"/>
    <w:rsid w:val="000B2509"/>
    <w:rsid w:val="000B3816"/>
    <w:rsid w:val="000B438E"/>
    <w:rsid w:val="000B5F7E"/>
    <w:rsid w:val="000B63E7"/>
    <w:rsid w:val="000C2469"/>
    <w:rsid w:val="000C33C7"/>
    <w:rsid w:val="000C7F05"/>
    <w:rsid w:val="000D353C"/>
    <w:rsid w:val="000D3D85"/>
    <w:rsid w:val="000D57ED"/>
    <w:rsid w:val="000D66B9"/>
    <w:rsid w:val="000E0802"/>
    <w:rsid w:val="000E120A"/>
    <w:rsid w:val="000E292D"/>
    <w:rsid w:val="000E30BC"/>
    <w:rsid w:val="000E3C77"/>
    <w:rsid w:val="000E4025"/>
    <w:rsid w:val="000F204B"/>
    <w:rsid w:val="000F35CA"/>
    <w:rsid w:val="000F3A32"/>
    <w:rsid w:val="000F4012"/>
    <w:rsid w:val="000F49DA"/>
    <w:rsid w:val="000F5C44"/>
    <w:rsid w:val="000F7A11"/>
    <w:rsid w:val="000F7CDD"/>
    <w:rsid w:val="0010005F"/>
    <w:rsid w:val="00100FAF"/>
    <w:rsid w:val="0010479D"/>
    <w:rsid w:val="00104D54"/>
    <w:rsid w:val="0010514C"/>
    <w:rsid w:val="0010548D"/>
    <w:rsid w:val="00117DDF"/>
    <w:rsid w:val="0012129A"/>
    <w:rsid w:val="001238EB"/>
    <w:rsid w:val="00127752"/>
    <w:rsid w:val="00127ABC"/>
    <w:rsid w:val="00133661"/>
    <w:rsid w:val="0014003B"/>
    <w:rsid w:val="001408DD"/>
    <w:rsid w:val="001413FF"/>
    <w:rsid w:val="00141C04"/>
    <w:rsid w:val="00145FBF"/>
    <w:rsid w:val="00146415"/>
    <w:rsid w:val="00147629"/>
    <w:rsid w:val="00147AB3"/>
    <w:rsid w:val="00151794"/>
    <w:rsid w:val="00151F96"/>
    <w:rsid w:val="001522CD"/>
    <w:rsid w:val="001532A9"/>
    <w:rsid w:val="00153CD1"/>
    <w:rsid w:val="00155429"/>
    <w:rsid w:val="001572AB"/>
    <w:rsid w:val="0016435F"/>
    <w:rsid w:val="00165C45"/>
    <w:rsid w:val="00167CDF"/>
    <w:rsid w:val="001712B7"/>
    <w:rsid w:val="00171BA8"/>
    <w:rsid w:val="001736D1"/>
    <w:rsid w:val="00173E05"/>
    <w:rsid w:val="001819CC"/>
    <w:rsid w:val="001823C8"/>
    <w:rsid w:val="0018443A"/>
    <w:rsid w:val="0018707B"/>
    <w:rsid w:val="00190555"/>
    <w:rsid w:val="0019276C"/>
    <w:rsid w:val="001927FF"/>
    <w:rsid w:val="00193E0D"/>
    <w:rsid w:val="00196A0A"/>
    <w:rsid w:val="00196ED2"/>
    <w:rsid w:val="001A23D4"/>
    <w:rsid w:val="001A54E6"/>
    <w:rsid w:val="001B0D28"/>
    <w:rsid w:val="001B0E62"/>
    <w:rsid w:val="001B4293"/>
    <w:rsid w:val="001B4915"/>
    <w:rsid w:val="001B5EFC"/>
    <w:rsid w:val="001B69E1"/>
    <w:rsid w:val="001B7A5C"/>
    <w:rsid w:val="001C0103"/>
    <w:rsid w:val="001C4530"/>
    <w:rsid w:val="001C455F"/>
    <w:rsid w:val="001C667E"/>
    <w:rsid w:val="001D4BC2"/>
    <w:rsid w:val="001D56C0"/>
    <w:rsid w:val="001D76BC"/>
    <w:rsid w:val="001E159B"/>
    <w:rsid w:val="001E19C7"/>
    <w:rsid w:val="001E1AD6"/>
    <w:rsid w:val="001E2D52"/>
    <w:rsid w:val="001E635A"/>
    <w:rsid w:val="001E70B6"/>
    <w:rsid w:val="001F33F6"/>
    <w:rsid w:val="001F3D8E"/>
    <w:rsid w:val="001F4394"/>
    <w:rsid w:val="00200640"/>
    <w:rsid w:val="0020375D"/>
    <w:rsid w:val="00203CAA"/>
    <w:rsid w:val="00205371"/>
    <w:rsid w:val="00206390"/>
    <w:rsid w:val="00211FD5"/>
    <w:rsid w:val="00212816"/>
    <w:rsid w:val="00213279"/>
    <w:rsid w:val="002142C1"/>
    <w:rsid w:val="00214A1C"/>
    <w:rsid w:val="00220323"/>
    <w:rsid w:val="002203A4"/>
    <w:rsid w:val="00221BB1"/>
    <w:rsid w:val="00221D23"/>
    <w:rsid w:val="002244A7"/>
    <w:rsid w:val="00224D29"/>
    <w:rsid w:val="002317D8"/>
    <w:rsid w:val="00233FE6"/>
    <w:rsid w:val="0023643D"/>
    <w:rsid w:val="0023709B"/>
    <w:rsid w:val="00241A25"/>
    <w:rsid w:val="00242A22"/>
    <w:rsid w:val="00242B23"/>
    <w:rsid w:val="00246FF1"/>
    <w:rsid w:val="00251519"/>
    <w:rsid w:val="00252273"/>
    <w:rsid w:val="00252524"/>
    <w:rsid w:val="00255AE8"/>
    <w:rsid w:val="00266607"/>
    <w:rsid w:val="002666A6"/>
    <w:rsid w:val="00267EA0"/>
    <w:rsid w:val="002724B7"/>
    <w:rsid w:val="002760F0"/>
    <w:rsid w:val="00282058"/>
    <w:rsid w:val="00283F3B"/>
    <w:rsid w:val="002840E0"/>
    <w:rsid w:val="002856F8"/>
    <w:rsid w:val="00285DE5"/>
    <w:rsid w:val="00286FF6"/>
    <w:rsid w:val="00287C1D"/>
    <w:rsid w:val="0029144C"/>
    <w:rsid w:val="00291F51"/>
    <w:rsid w:val="00292574"/>
    <w:rsid w:val="00292E5B"/>
    <w:rsid w:val="00294C35"/>
    <w:rsid w:val="00297D48"/>
    <w:rsid w:val="002A4F8A"/>
    <w:rsid w:val="002A75DC"/>
    <w:rsid w:val="002B1538"/>
    <w:rsid w:val="002B23EF"/>
    <w:rsid w:val="002B59EA"/>
    <w:rsid w:val="002B68AE"/>
    <w:rsid w:val="002B74F3"/>
    <w:rsid w:val="002C02C0"/>
    <w:rsid w:val="002C1AEB"/>
    <w:rsid w:val="002C1E9F"/>
    <w:rsid w:val="002C595B"/>
    <w:rsid w:val="002C68FA"/>
    <w:rsid w:val="002C7628"/>
    <w:rsid w:val="002D03EF"/>
    <w:rsid w:val="002D0547"/>
    <w:rsid w:val="002D0984"/>
    <w:rsid w:val="002D164C"/>
    <w:rsid w:val="002D5C3C"/>
    <w:rsid w:val="002D64FA"/>
    <w:rsid w:val="002D6B62"/>
    <w:rsid w:val="002E205D"/>
    <w:rsid w:val="002E5FF8"/>
    <w:rsid w:val="002E75E3"/>
    <w:rsid w:val="002E76DB"/>
    <w:rsid w:val="002E7840"/>
    <w:rsid w:val="002F6DF2"/>
    <w:rsid w:val="00300C47"/>
    <w:rsid w:val="00302CDD"/>
    <w:rsid w:val="00303CFD"/>
    <w:rsid w:val="00304B0C"/>
    <w:rsid w:val="00304D32"/>
    <w:rsid w:val="003058F1"/>
    <w:rsid w:val="003066DF"/>
    <w:rsid w:val="003077D0"/>
    <w:rsid w:val="00311441"/>
    <w:rsid w:val="00311F5C"/>
    <w:rsid w:val="003126BB"/>
    <w:rsid w:val="003140D9"/>
    <w:rsid w:val="003161E9"/>
    <w:rsid w:val="00320FD6"/>
    <w:rsid w:val="003236EF"/>
    <w:rsid w:val="003255A3"/>
    <w:rsid w:val="0032572A"/>
    <w:rsid w:val="003302A1"/>
    <w:rsid w:val="003320D0"/>
    <w:rsid w:val="00332372"/>
    <w:rsid w:val="0033498A"/>
    <w:rsid w:val="00335EEC"/>
    <w:rsid w:val="00337DBD"/>
    <w:rsid w:val="003408E1"/>
    <w:rsid w:val="0034131D"/>
    <w:rsid w:val="00345114"/>
    <w:rsid w:val="00345D68"/>
    <w:rsid w:val="0034670A"/>
    <w:rsid w:val="003500D2"/>
    <w:rsid w:val="00352C48"/>
    <w:rsid w:val="00353090"/>
    <w:rsid w:val="0035461E"/>
    <w:rsid w:val="00355951"/>
    <w:rsid w:val="0035605B"/>
    <w:rsid w:val="00357ACF"/>
    <w:rsid w:val="0036153A"/>
    <w:rsid w:val="00361F3A"/>
    <w:rsid w:val="00371E29"/>
    <w:rsid w:val="00372A2D"/>
    <w:rsid w:val="0037343C"/>
    <w:rsid w:val="00374A44"/>
    <w:rsid w:val="003759AA"/>
    <w:rsid w:val="00376D48"/>
    <w:rsid w:val="003775D9"/>
    <w:rsid w:val="003842CB"/>
    <w:rsid w:val="00386F25"/>
    <w:rsid w:val="00391EA1"/>
    <w:rsid w:val="00393509"/>
    <w:rsid w:val="003970E0"/>
    <w:rsid w:val="003A2A2B"/>
    <w:rsid w:val="003A46DF"/>
    <w:rsid w:val="003A48EB"/>
    <w:rsid w:val="003A65EC"/>
    <w:rsid w:val="003A6F88"/>
    <w:rsid w:val="003B1B78"/>
    <w:rsid w:val="003B314C"/>
    <w:rsid w:val="003B434C"/>
    <w:rsid w:val="003C2C68"/>
    <w:rsid w:val="003C3291"/>
    <w:rsid w:val="003C34E4"/>
    <w:rsid w:val="003C688D"/>
    <w:rsid w:val="003D0918"/>
    <w:rsid w:val="003D23D9"/>
    <w:rsid w:val="003D477D"/>
    <w:rsid w:val="003E08C9"/>
    <w:rsid w:val="003E08D9"/>
    <w:rsid w:val="003E1CFF"/>
    <w:rsid w:val="003F1C90"/>
    <w:rsid w:val="003F2D8D"/>
    <w:rsid w:val="003F3120"/>
    <w:rsid w:val="003F624E"/>
    <w:rsid w:val="004044EF"/>
    <w:rsid w:val="004049FC"/>
    <w:rsid w:val="00405D35"/>
    <w:rsid w:val="00407734"/>
    <w:rsid w:val="00412DD0"/>
    <w:rsid w:val="00422C25"/>
    <w:rsid w:val="00422FEF"/>
    <w:rsid w:val="00423042"/>
    <w:rsid w:val="00427922"/>
    <w:rsid w:val="004279C1"/>
    <w:rsid w:val="00430FE9"/>
    <w:rsid w:val="0044772D"/>
    <w:rsid w:val="004507CC"/>
    <w:rsid w:val="00450B8E"/>
    <w:rsid w:val="004512CF"/>
    <w:rsid w:val="0045218F"/>
    <w:rsid w:val="00455DF1"/>
    <w:rsid w:val="00457032"/>
    <w:rsid w:val="00457EED"/>
    <w:rsid w:val="00460A44"/>
    <w:rsid w:val="00465536"/>
    <w:rsid w:val="00466EB4"/>
    <w:rsid w:val="0046763D"/>
    <w:rsid w:val="00472449"/>
    <w:rsid w:val="00474D1B"/>
    <w:rsid w:val="004831C6"/>
    <w:rsid w:val="00483904"/>
    <w:rsid w:val="00483BF1"/>
    <w:rsid w:val="00486CA4"/>
    <w:rsid w:val="00487778"/>
    <w:rsid w:val="0049029F"/>
    <w:rsid w:val="00493267"/>
    <w:rsid w:val="00493B5F"/>
    <w:rsid w:val="004A094E"/>
    <w:rsid w:val="004A26B2"/>
    <w:rsid w:val="004A3FE5"/>
    <w:rsid w:val="004B2AD9"/>
    <w:rsid w:val="004B4FD0"/>
    <w:rsid w:val="004B5574"/>
    <w:rsid w:val="004B55A3"/>
    <w:rsid w:val="004C1E8D"/>
    <w:rsid w:val="004C305E"/>
    <w:rsid w:val="004C52BF"/>
    <w:rsid w:val="004C6350"/>
    <w:rsid w:val="004C7BDD"/>
    <w:rsid w:val="004C7EE7"/>
    <w:rsid w:val="004D3E48"/>
    <w:rsid w:val="004D6A22"/>
    <w:rsid w:val="004E0A7E"/>
    <w:rsid w:val="004F13EE"/>
    <w:rsid w:val="004F16BC"/>
    <w:rsid w:val="004F1DAA"/>
    <w:rsid w:val="004F267A"/>
    <w:rsid w:val="004F53E9"/>
    <w:rsid w:val="004F5DE5"/>
    <w:rsid w:val="004F6F8A"/>
    <w:rsid w:val="004F7B3C"/>
    <w:rsid w:val="005022AD"/>
    <w:rsid w:val="00503104"/>
    <w:rsid w:val="005032A1"/>
    <w:rsid w:val="00505AF1"/>
    <w:rsid w:val="00506DCA"/>
    <w:rsid w:val="005130EA"/>
    <w:rsid w:val="00514B22"/>
    <w:rsid w:val="00514EB1"/>
    <w:rsid w:val="0051698C"/>
    <w:rsid w:val="00516DBA"/>
    <w:rsid w:val="00520DE5"/>
    <w:rsid w:val="00520EEC"/>
    <w:rsid w:val="005218F9"/>
    <w:rsid w:val="0052197E"/>
    <w:rsid w:val="005258A1"/>
    <w:rsid w:val="00526282"/>
    <w:rsid w:val="0053019F"/>
    <w:rsid w:val="0053316D"/>
    <w:rsid w:val="005342B7"/>
    <w:rsid w:val="00535710"/>
    <w:rsid w:val="005365CC"/>
    <w:rsid w:val="00536A70"/>
    <w:rsid w:val="00541697"/>
    <w:rsid w:val="00546A08"/>
    <w:rsid w:val="00550E9E"/>
    <w:rsid w:val="00552CB9"/>
    <w:rsid w:val="0055450E"/>
    <w:rsid w:val="00556FB5"/>
    <w:rsid w:val="00560F20"/>
    <w:rsid w:val="00562859"/>
    <w:rsid w:val="0056634A"/>
    <w:rsid w:val="00573EBB"/>
    <w:rsid w:val="005823E4"/>
    <w:rsid w:val="00582DC3"/>
    <w:rsid w:val="0058481B"/>
    <w:rsid w:val="005851DA"/>
    <w:rsid w:val="00585B6A"/>
    <w:rsid w:val="0058602A"/>
    <w:rsid w:val="0058731A"/>
    <w:rsid w:val="005936D4"/>
    <w:rsid w:val="005946DF"/>
    <w:rsid w:val="00597E38"/>
    <w:rsid w:val="005A13FD"/>
    <w:rsid w:val="005A1878"/>
    <w:rsid w:val="005A1C98"/>
    <w:rsid w:val="005A1FD2"/>
    <w:rsid w:val="005A3BDB"/>
    <w:rsid w:val="005A3E9A"/>
    <w:rsid w:val="005A4878"/>
    <w:rsid w:val="005A653F"/>
    <w:rsid w:val="005A6B26"/>
    <w:rsid w:val="005A7AD8"/>
    <w:rsid w:val="005B13BF"/>
    <w:rsid w:val="005B39B0"/>
    <w:rsid w:val="005B3E8D"/>
    <w:rsid w:val="005B4008"/>
    <w:rsid w:val="005B43FF"/>
    <w:rsid w:val="005B4B86"/>
    <w:rsid w:val="005B5350"/>
    <w:rsid w:val="005B5DB9"/>
    <w:rsid w:val="005B5FCC"/>
    <w:rsid w:val="005B6C39"/>
    <w:rsid w:val="005B7A66"/>
    <w:rsid w:val="005C0DA9"/>
    <w:rsid w:val="005C2905"/>
    <w:rsid w:val="005D04A1"/>
    <w:rsid w:val="005D106E"/>
    <w:rsid w:val="005D19A0"/>
    <w:rsid w:val="005D3915"/>
    <w:rsid w:val="005D42A0"/>
    <w:rsid w:val="005D6D0A"/>
    <w:rsid w:val="005E22FF"/>
    <w:rsid w:val="005E50C4"/>
    <w:rsid w:val="005E6EAB"/>
    <w:rsid w:val="005E6F9D"/>
    <w:rsid w:val="005F227E"/>
    <w:rsid w:val="005F2DDB"/>
    <w:rsid w:val="00602096"/>
    <w:rsid w:val="00610434"/>
    <w:rsid w:val="00611601"/>
    <w:rsid w:val="006123D1"/>
    <w:rsid w:val="00612EEE"/>
    <w:rsid w:val="00612FEB"/>
    <w:rsid w:val="0061374E"/>
    <w:rsid w:val="00616682"/>
    <w:rsid w:val="00616B88"/>
    <w:rsid w:val="006175CD"/>
    <w:rsid w:val="00620BD7"/>
    <w:rsid w:val="0062698A"/>
    <w:rsid w:val="00631AA1"/>
    <w:rsid w:val="006324E6"/>
    <w:rsid w:val="00634252"/>
    <w:rsid w:val="006351CE"/>
    <w:rsid w:val="006353F8"/>
    <w:rsid w:val="006359D8"/>
    <w:rsid w:val="00637EC9"/>
    <w:rsid w:val="00641EB4"/>
    <w:rsid w:val="0064205A"/>
    <w:rsid w:val="00646B4E"/>
    <w:rsid w:val="0064754E"/>
    <w:rsid w:val="00650A5F"/>
    <w:rsid w:val="00653E95"/>
    <w:rsid w:val="00654295"/>
    <w:rsid w:val="00654D6C"/>
    <w:rsid w:val="0066172D"/>
    <w:rsid w:val="00662B13"/>
    <w:rsid w:val="00665AB6"/>
    <w:rsid w:val="00667C6F"/>
    <w:rsid w:val="006729DC"/>
    <w:rsid w:val="0067724D"/>
    <w:rsid w:val="0067739D"/>
    <w:rsid w:val="00681335"/>
    <w:rsid w:val="00681D3B"/>
    <w:rsid w:val="0068649C"/>
    <w:rsid w:val="00687C7F"/>
    <w:rsid w:val="00693069"/>
    <w:rsid w:val="00696B23"/>
    <w:rsid w:val="006A3B12"/>
    <w:rsid w:val="006A4133"/>
    <w:rsid w:val="006A4631"/>
    <w:rsid w:val="006B011D"/>
    <w:rsid w:val="006B07B0"/>
    <w:rsid w:val="006B2F74"/>
    <w:rsid w:val="006B407B"/>
    <w:rsid w:val="006B763D"/>
    <w:rsid w:val="006C0BDC"/>
    <w:rsid w:val="006C12D7"/>
    <w:rsid w:val="006C32A3"/>
    <w:rsid w:val="006C49F2"/>
    <w:rsid w:val="006C5373"/>
    <w:rsid w:val="006C7404"/>
    <w:rsid w:val="006C7B3E"/>
    <w:rsid w:val="006D15B5"/>
    <w:rsid w:val="006D2DCF"/>
    <w:rsid w:val="006D5601"/>
    <w:rsid w:val="006D6293"/>
    <w:rsid w:val="006D68F6"/>
    <w:rsid w:val="006E157B"/>
    <w:rsid w:val="006E4723"/>
    <w:rsid w:val="006F1415"/>
    <w:rsid w:val="006F2CAD"/>
    <w:rsid w:val="006F51D4"/>
    <w:rsid w:val="006F5239"/>
    <w:rsid w:val="006F61DA"/>
    <w:rsid w:val="006F651F"/>
    <w:rsid w:val="00700465"/>
    <w:rsid w:val="0070687A"/>
    <w:rsid w:val="0071620F"/>
    <w:rsid w:val="007213D6"/>
    <w:rsid w:val="00721D28"/>
    <w:rsid w:val="0072211F"/>
    <w:rsid w:val="00722D38"/>
    <w:rsid w:val="0072336D"/>
    <w:rsid w:val="00723AED"/>
    <w:rsid w:val="00727EF4"/>
    <w:rsid w:val="0073141C"/>
    <w:rsid w:val="00732393"/>
    <w:rsid w:val="00740D17"/>
    <w:rsid w:val="007420DC"/>
    <w:rsid w:val="00745413"/>
    <w:rsid w:val="00750B5B"/>
    <w:rsid w:val="00753DA3"/>
    <w:rsid w:val="007550EA"/>
    <w:rsid w:val="00755778"/>
    <w:rsid w:val="007607CB"/>
    <w:rsid w:val="00760E0F"/>
    <w:rsid w:val="00761448"/>
    <w:rsid w:val="00761951"/>
    <w:rsid w:val="0077146F"/>
    <w:rsid w:val="00772075"/>
    <w:rsid w:val="0077285A"/>
    <w:rsid w:val="00773B57"/>
    <w:rsid w:val="007742F6"/>
    <w:rsid w:val="00774E6B"/>
    <w:rsid w:val="00775073"/>
    <w:rsid w:val="007752AA"/>
    <w:rsid w:val="00781485"/>
    <w:rsid w:val="00781ACC"/>
    <w:rsid w:val="007901CD"/>
    <w:rsid w:val="00790274"/>
    <w:rsid w:val="007924EE"/>
    <w:rsid w:val="007939EE"/>
    <w:rsid w:val="007943F4"/>
    <w:rsid w:val="007A42C7"/>
    <w:rsid w:val="007A5AB6"/>
    <w:rsid w:val="007B16FF"/>
    <w:rsid w:val="007B3EFF"/>
    <w:rsid w:val="007C2B5D"/>
    <w:rsid w:val="007C3660"/>
    <w:rsid w:val="007C38B6"/>
    <w:rsid w:val="007C60D1"/>
    <w:rsid w:val="007C7445"/>
    <w:rsid w:val="007D5751"/>
    <w:rsid w:val="007E18EE"/>
    <w:rsid w:val="007E395B"/>
    <w:rsid w:val="007E5C7B"/>
    <w:rsid w:val="007E5F86"/>
    <w:rsid w:val="007E6F45"/>
    <w:rsid w:val="007E79E8"/>
    <w:rsid w:val="007F1043"/>
    <w:rsid w:val="007F3671"/>
    <w:rsid w:val="007F5B91"/>
    <w:rsid w:val="00804940"/>
    <w:rsid w:val="008062BA"/>
    <w:rsid w:val="008119BB"/>
    <w:rsid w:val="00812260"/>
    <w:rsid w:val="00813467"/>
    <w:rsid w:val="008136DD"/>
    <w:rsid w:val="008177AA"/>
    <w:rsid w:val="0082095B"/>
    <w:rsid w:val="00830566"/>
    <w:rsid w:val="00830845"/>
    <w:rsid w:val="00831C35"/>
    <w:rsid w:val="00831E54"/>
    <w:rsid w:val="008336E2"/>
    <w:rsid w:val="008343EF"/>
    <w:rsid w:val="0083671E"/>
    <w:rsid w:val="008373D6"/>
    <w:rsid w:val="00837B1D"/>
    <w:rsid w:val="00841965"/>
    <w:rsid w:val="00842B82"/>
    <w:rsid w:val="00844930"/>
    <w:rsid w:val="00845D3D"/>
    <w:rsid w:val="00846A0B"/>
    <w:rsid w:val="00847AA8"/>
    <w:rsid w:val="00847B70"/>
    <w:rsid w:val="00847E36"/>
    <w:rsid w:val="008568CA"/>
    <w:rsid w:val="00857D39"/>
    <w:rsid w:val="00860744"/>
    <w:rsid w:val="00860B00"/>
    <w:rsid w:val="0086439A"/>
    <w:rsid w:val="00865E2A"/>
    <w:rsid w:val="008713A7"/>
    <w:rsid w:val="00876663"/>
    <w:rsid w:val="00877950"/>
    <w:rsid w:val="0088076D"/>
    <w:rsid w:val="008810E6"/>
    <w:rsid w:val="0088179C"/>
    <w:rsid w:val="00882753"/>
    <w:rsid w:val="008842FC"/>
    <w:rsid w:val="00885020"/>
    <w:rsid w:val="008874A9"/>
    <w:rsid w:val="00891D32"/>
    <w:rsid w:val="008933E5"/>
    <w:rsid w:val="00893E62"/>
    <w:rsid w:val="0089730A"/>
    <w:rsid w:val="008A0016"/>
    <w:rsid w:val="008A18AA"/>
    <w:rsid w:val="008A1D19"/>
    <w:rsid w:val="008A61E6"/>
    <w:rsid w:val="008A6446"/>
    <w:rsid w:val="008B0FFC"/>
    <w:rsid w:val="008B1D67"/>
    <w:rsid w:val="008B2519"/>
    <w:rsid w:val="008B3BB3"/>
    <w:rsid w:val="008B4784"/>
    <w:rsid w:val="008B5515"/>
    <w:rsid w:val="008C3EDD"/>
    <w:rsid w:val="008C4AF1"/>
    <w:rsid w:val="008C6501"/>
    <w:rsid w:val="008D06F1"/>
    <w:rsid w:val="008D5DF6"/>
    <w:rsid w:val="008E25AB"/>
    <w:rsid w:val="008E6879"/>
    <w:rsid w:val="008E6A57"/>
    <w:rsid w:val="008F08B2"/>
    <w:rsid w:val="008F1770"/>
    <w:rsid w:val="008F2A22"/>
    <w:rsid w:val="008F38E9"/>
    <w:rsid w:val="008F40B4"/>
    <w:rsid w:val="008F657B"/>
    <w:rsid w:val="008F7E16"/>
    <w:rsid w:val="00901C7E"/>
    <w:rsid w:val="00906671"/>
    <w:rsid w:val="00906E86"/>
    <w:rsid w:val="0090724B"/>
    <w:rsid w:val="00914D19"/>
    <w:rsid w:val="00916E44"/>
    <w:rsid w:val="00917811"/>
    <w:rsid w:val="00917C5D"/>
    <w:rsid w:val="00921D0A"/>
    <w:rsid w:val="00924FC9"/>
    <w:rsid w:val="00925D9E"/>
    <w:rsid w:val="009266DE"/>
    <w:rsid w:val="009273E6"/>
    <w:rsid w:val="00927C6D"/>
    <w:rsid w:val="00930D84"/>
    <w:rsid w:val="00941804"/>
    <w:rsid w:val="00941D7B"/>
    <w:rsid w:val="0094245C"/>
    <w:rsid w:val="00942AD4"/>
    <w:rsid w:val="00944554"/>
    <w:rsid w:val="00947470"/>
    <w:rsid w:val="00952A1B"/>
    <w:rsid w:val="00952ECE"/>
    <w:rsid w:val="009534AA"/>
    <w:rsid w:val="009547A7"/>
    <w:rsid w:val="00956D5A"/>
    <w:rsid w:val="00960F70"/>
    <w:rsid w:val="009650B5"/>
    <w:rsid w:val="009652D3"/>
    <w:rsid w:val="009662DD"/>
    <w:rsid w:val="00967555"/>
    <w:rsid w:val="00975336"/>
    <w:rsid w:val="00975CE6"/>
    <w:rsid w:val="00982CFF"/>
    <w:rsid w:val="00982E77"/>
    <w:rsid w:val="00983984"/>
    <w:rsid w:val="009841E7"/>
    <w:rsid w:val="009926A1"/>
    <w:rsid w:val="00994ED1"/>
    <w:rsid w:val="009A0CC4"/>
    <w:rsid w:val="009A0D5E"/>
    <w:rsid w:val="009A17D4"/>
    <w:rsid w:val="009A4703"/>
    <w:rsid w:val="009A5869"/>
    <w:rsid w:val="009A6925"/>
    <w:rsid w:val="009B3926"/>
    <w:rsid w:val="009B4854"/>
    <w:rsid w:val="009B59D8"/>
    <w:rsid w:val="009C0508"/>
    <w:rsid w:val="009C0A61"/>
    <w:rsid w:val="009C0B81"/>
    <w:rsid w:val="009D0E81"/>
    <w:rsid w:val="009D197C"/>
    <w:rsid w:val="009E0307"/>
    <w:rsid w:val="009E242F"/>
    <w:rsid w:val="009E54E2"/>
    <w:rsid w:val="009E595F"/>
    <w:rsid w:val="009E5DC5"/>
    <w:rsid w:val="009F053C"/>
    <w:rsid w:val="009F1C46"/>
    <w:rsid w:val="009F254E"/>
    <w:rsid w:val="00A008F0"/>
    <w:rsid w:val="00A039B1"/>
    <w:rsid w:val="00A04C7E"/>
    <w:rsid w:val="00A06CF5"/>
    <w:rsid w:val="00A153EA"/>
    <w:rsid w:val="00A163CE"/>
    <w:rsid w:val="00A201D8"/>
    <w:rsid w:val="00A2051A"/>
    <w:rsid w:val="00A223FE"/>
    <w:rsid w:val="00A236A3"/>
    <w:rsid w:val="00A23998"/>
    <w:rsid w:val="00A239C6"/>
    <w:rsid w:val="00A24D1D"/>
    <w:rsid w:val="00A25198"/>
    <w:rsid w:val="00A257D8"/>
    <w:rsid w:val="00A3101D"/>
    <w:rsid w:val="00A328CC"/>
    <w:rsid w:val="00A3479E"/>
    <w:rsid w:val="00A363A9"/>
    <w:rsid w:val="00A3656D"/>
    <w:rsid w:val="00A423DB"/>
    <w:rsid w:val="00A50199"/>
    <w:rsid w:val="00A532DD"/>
    <w:rsid w:val="00A5359C"/>
    <w:rsid w:val="00A615AE"/>
    <w:rsid w:val="00A61A65"/>
    <w:rsid w:val="00A648FA"/>
    <w:rsid w:val="00A64B56"/>
    <w:rsid w:val="00A65A98"/>
    <w:rsid w:val="00A6715F"/>
    <w:rsid w:val="00A677DD"/>
    <w:rsid w:val="00A74524"/>
    <w:rsid w:val="00A752B2"/>
    <w:rsid w:val="00A75D50"/>
    <w:rsid w:val="00A76A03"/>
    <w:rsid w:val="00A77C4F"/>
    <w:rsid w:val="00A80664"/>
    <w:rsid w:val="00A80AA4"/>
    <w:rsid w:val="00A839DE"/>
    <w:rsid w:val="00A84C49"/>
    <w:rsid w:val="00A8506E"/>
    <w:rsid w:val="00A85DED"/>
    <w:rsid w:val="00A92921"/>
    <w:rsid w:val="00A95CFF"/>
    <w:rsid w:val="00A97EA1"/>
    <w:rsid w:val="00AA2EAF"/>
    <w:rsid w:val="00AA4372"/>
    <w:rsid w:val="00AA5BB5"/>
    <w:rsid w:val="00AA7FFC"/>
    <w:rsid w:val="00AB10D7"/>
    <w:rsid w:val="00AB2E07"/>
    <w:rsid w:val="00AB4B13"/>
    <w:rsid w:val="00AB584F"/>
    <w:rsid w:val="00AC16B6"/>
    <w:rsid w:val="00AC2205"/>
    <w:rsid w:val="00AC24D0"/>
    <w:rsid w:val="00AC29B0"/>
    <w:rsid w:val="00AC460E"/>
    <w:rsid w:val="00AD042B"/>
    <w:rsid w:val="00AD1E2E"/>
    <w:rsid w:val="00AD4DCD"/>
    <w:rsid w:val="00AE20A1"/>
    <w:rsid w:val="00AF0FD9"/>
    <w:rsid w:val="00AF25E4"/>
    <w:rsid w:val="00AF2CAF"/>
    <w:rsid w:val="00AF2E53"/>
    <w:rsid w:val="00AF3A89"/>
    <w:rsid w:val="00AF402E"/>
    <w:rsid w:val="00AF562F"/>
    <w:rsid w:val="00B0113C"/>
    <w:rsid w:val="00B047DE"/>
    <w:rsid w:val="00B05721"/>
    <w:rsid w:val="00B06C88"/>
    <w:rsid w:val="00B13590"/>
    <w:rsid w:val="00B15DD2"/>
    <w:rsid w:val="00B22683"/>
    <w:rsid w:val="00B244C3"/>
    <w:rsid w:val="00B258BE"/>
    <w:rsid w:val="00B2633D"/>
    <w:rsid w:val="00B26E8D"/>
    <w:rsid w:val="00B30C40"/>
    <w:rsid w:val="00B311BE"/>
    <w:rsid w:val="00B3445A"/>
    <w:rsid w:val="00B34E11"/>
    <w:rsid w:val="00B358AD"/>
    <w:rsid w:val="00B37EA0"/>
    <w:rsid w:val="00B429D8"/>
    <w:rsid w:val="00B43BF1"/>
    <w:rsid w:val="00B44893"/>
    <w:rsid w:val="00B463FA"/>
    <w:rsid w:val="00B47F05"/>
    <w:rsid w:val="00B52352"/>
    <w:rsid w:val="00B533AE"/>
    <w:rsid w:val="00B534B6"/>
    <w:rsid w:val="00B53869"/>
    <w:rsid w:val="00B5548D"/>
    <w:rsid w:val="00B55B3A"/>
    <w:rsid w:val="00B57E53"/>
    <w:rsid w:val="00B60742"/>
    <w:rsid w:val="00B60BA1"/>
    <w:rsid w:val="00B64F40"/>
    <w:rsid w:val="00B67E40"/>
    <w:rsid w:val="00B7042E"/>
    <w:rsid w:val="00B72EF7"/>
    <w:rsid w:val="00B7633F"/>
    <w:rsid w:val="00B80B59"/>
    <w:rsid w:val="00B83D22"/>
    <w:rsid w:val="00B83FE6"/>
    <w:rsid w:val="00B87047"/>
    <w:rsid w:val="00B975D0"/>
    <w:rsid w:val="00BA2538"/>
    <w:rsid w:val="00BA2E7A"/>
    <w:rsid w:val="00BA4995"/>
    <w:rsid w:val="00BC12A6"/>
    <w:rsid w:val="00BC273C"/>
    <w:rsid w:val="00BC2888"/>
    <w:rsid w:val="00BC438B"/>
    <w:rsid w:val="00BC49C8"/>
    <w:rsid w:val="00BC636C"/>
    <w:rsid w:val="00BC651E"/>
    <w:rsid w:val="00BC706F"/>
    <w:rsid w:val="00BD260D"/>
    <w:rsid w:val="00BD3499"/>
    <w:rsid w:val="00BD3A33"/>
    <w:rsid w:val="00BE1609"/>
    <w:rsid w:val="00BE1702"/>
    <w:rsid w:val="00BE2C8A"/>
    <w:rsid w:val="00BE6502"/>
    <w:rsid w:val="00BF01BE"/>
    <w:rsid w:val="00BF1421"/>
    <w:rsid w:val="00BF14A2"/>
    <w:rsid w:val="00BF3EF8"/>
    <w:rsid w:val="00BF71C6"/>
    <w:rsid w:val="00C02542"/>
    <w:rsid w:val="00C026AB"/>
    <w:rsid w:val="00C03F6E"/>
    <w:rsid w:val="00C05517"/>
    <w:rsid w:val="00C05742"/>
    <w:rsid w:val="00C0713C"/>
    <w:rsid w:val="00C075FE"/>
    <w:rsid w:val="00C07872"/>
    <w:rsid w:val="00C10882"/>
    <w:rsid w:val="00C1158B"/>
    <w:rsid w:val="00C131A6"/>
    <w:rsid w:val="00C1392E"/>
    <w:rsid w:val="00C149C7"/>
    <w:rsid w:val="00C17949"/>
    <w:rsid w:val="00C20D2D"/>
    <w:rsid w:val="00C23E81"/>
    <w:rsid w:val="00C241F6"/>
    <w:rsid w:val="00C24DB5"/>
    <w:rsid w:val="00C25462"/>
    <w:rsid w:val="00C26B69"/>
    <w:rsid w:val="00C27192"/>
    <w:rsid w:val="00C27B21"/>
    <w:rsid w:val="00C27F9C"/>
    <w:rsid w:val="00C30A74"/>
    <w:rsid w:val="00C30FE5"/>
    <w:rsid w:val="00C35925"/>
    <w:rsid w:val="00C40F7B"/>
    <w:rsid w:val="00C41293"/>
    <w:rsid w:val="00C433C7"/>
    <w:rsid w:val="00C43D76"/>
    <w:rsid w:val="00C46C42"/>
    <w:rsid w:val="00C47887"/>
    <w:rsid w:val="00C5051F"/>
    <w:rsid w:val="00C529F9"/>
    <w:rsid w:val="00C53BD8"/>
    <w:rsid w:val="00C53D06"/>
    <w:rsid w:val="00C5664E"/>
    <w:rsid w:val="00C61A49"/>
    <w:rsid w:val="00C627C0"/>
    <w:rsid w:val="00C73240"/>
    <w:rsid w:val="00C74F47"/>
    <w:rsid w:val="00C77AFE"/>
    <w:rsid w:val="00C8021A"/>
    <w:rsid w:val="00C846BD"/>
    <w:rsid w:val="00C87741"/>
    <w:rsid w:val="00C91E5E"/>
    <w:rsid w:val="00C9271A"/>
    <w:rsid w:val="00C933E4"/>
    <w:rsid w:val="00C96AC7"/>
    <w:rsid w:val="00CA34ED"/>
    <w:rsid w:val="00CA3E34"/>
    <w:rsid w:val="00CA591D"/>
    <w:rsid w:val="00CA6ADD"/>
    <w:rsid w:val="00CA7320"/>
    <w:rsid w:val="00CB057A"/>
    <w:rsid w:val="00CB7C8B"/>
    <w:rsid w:val="00CB7E23"/>
    <w:rsid w:val="00CC4243"/>
    <w:rsid w:val="00CC7368"/>
    <w:rsid w:val="00CD1564"/>
    <w:rsid w:val="00CD1BC8"/>
    <w:rsid w:val="00CD2050"/>
    <w:rsid w:val="00CD39D6"/>
    <w:rsid w:val="00CD4B98"/>
    <w:rsid w:val="00CD773D"/>
    <w:rsid w:val="00CD78E0"/>
    <w:rsid w:val="00CE2911"/>
    <w:rsid w:val="00CE4147"/>
    <w:rsid w:val="00CE55A8"/>
    <w:rsid w:val="00CF516A"/>
    <w:rsid w:val="00CF6713"/>
    <w:rsid w:val="00CF67E1"/>
    <w:rsid w:val="00CF7846"/>
    <w:rsid w:val="00D01843"/>
    <w:rsid w:val="00D029D3"/>
    <w:rsid w:val="00D06621"/>
    <w:rsid w:val="00D076D4"/>
    <w:rsid w:val="00D102EB"/>
    <w:rsid w:val="00D106D6"/>
    <w:rsid w:val="00D139C6"/>
    <w:rsid w:val="00D13BDF"/>
    <w:rsid w:val="00D169D8"/>
    <w:rsid w:val="00D227D0"/>
    <w:rsid w:val="00D228F9"/>
    <w:rsid w:val="00D22D4E"/>
    <w:rsid w:val="00D23E81"/>
    <w:rsid w:val="00D240A6"/>
    <w:rsid w:val="00D25927"/>
    <w:rsid w:val="00D30772"/>
    <w:rsid w:val="00D30B43"/>
    <w:rsid w:val="00D34B58"/>
    <w:rsid w:val="00D45DB7"/>
    <w:rsid w:val="00D515E3"/>
    <w:rsid w:val="00D60C5A"/>
    <w:rsid w:val="00D60E25"/>
    <w:rsid w:val="00D60EA0"/>
    <w:rsid w:val="00D6359B"/>
    <w:rsid w:val="00D659A2"/>
    <w:rsid w:val="00D67B1B"/>
    <w:rsid w:val="00D721E1"/>
    <w:rsid w:val="00D735A9"/>
    <w:rsid w:val="00D7588C"/>
    <w:rsid w:val="00D76D2E"/>
    <w:rsid w:val="00D816E8"/>
    <w:rsid w:val="00D90B0C"/>
    <w:rsid w:val="00D91422"/>
    <w:rsid w:val="00D91681"/>
    <w:rsid w:val="00D91768"/>
    <w:rsid w:val="00D931E7"/>
    <w:rsid w:val="00D96BA9"/>
    <w:rsid w:val="00D97F25"/>
    <w:rsid w:val="00DA41D7"/>
    <w:rsid w:val="00DA44F8"/>
    <w:rsid w:val="00DA51B5"/>
    <w:rsid w:val="00DA6688"/>
    <w:rsid w:val="00DA7903"/>
    <w:rsid w:val="00DB0C99"/>
    <w:rsid w:val="00DB293D"/>
    <w:rsid w:val="00DB2B67"/>
    <w:rsid w:val="00DB475D"/>
    <w:rsid w:val="00DB51AF"/>
    <w:rsid w:val="00DB5776"/>
    <w:rsid w:val="00DB7EF9"/>
    <w:rsid w:val="00DC0A07"/>
    <w:rsid w:val="00DC0D2A"/>
    <w:rsid w:val="00DC2C6A"/>
    <w:rsid w:val="00DC3DAA"/>
    <w:rsid w:val="00DC4356"/>
    <w:rsid w:val="00DC58FD"/>
    <w:rsid w:val="00DC5B86"/>
    <w:rsid w:val="00DC753C"/>
    <w:rsid w:val="00DC7FD9"/>
    <w:rsid w:val="00DD0591"/>
    <w:rsid w:val="00DD2285"/>
    <w:rsid w:val="00DD3F9F"/>
    <w:rsid w:val="00DD41EA"/>
    <w:rsid w:val="00DD7F33"/>
    <w:rsid w:val="00DE6B9A"/>
    <w:rsid w:val="00DE70B6"/>
    <w:rsid w:val="00DF003B"/>
    <w:rsid w:val="00DF09B1"/>
    <w:rsid w:val="00DF6F98"/>
    <w:rsid w:val="00E01D7B"/>
    <w:rsid w:val="00E020EF"/>
    <w:rsid w:val="00E023A5"/>
    <w:rsid w:val="00E023B2"/>
    <w:rsid w:val="00E03D4E"/>
    <w:rsid w:val="00E14D98"/>
    <w:rsid w:val="00E16DFA"/>
    <w:rsid w:val="00E231C8"/>
    <w:rsid w:val="00E236EA"/>
    <w:rsid w:val="00E30E8F"/>
    <w:rsid w:val="00E354A2"/>
    <w:rsid w:val="00E35D9C"/>
    <w:rsid w:val="00E41F54"/>
    <w:rsid w:val="00E45D2F"/>
    <w:rsid w:val="00E472D2"/>
    <w:rsid w:val="00E5103E"/>
    <w:rsid w:val="00E51136"/>
    <w:rsid w:val="00E515B5"/>
    <w:rsid w:val="00E51D50"/>
    <w:rsid w:val="00E52095"/>
    <w:rsid w:val="00E55A1D"/>
    <w:rsid w:val="00E56279"/>
    <w:rsid w:val="00E5639A"/>
    <w:rsid w:val="00E60FC6"/>
    <w:rsid w:val="00E621D9"/>
    <w:rsid w:val="00E67804"/>
    <w:rsid w:val="00E71D9D"/>
    <w:rsid w:val="00E72556"/>
    <w:rsid w:val="00E772F3"/>
    <w:rsid w:val="00E80B67"/>
    <w:rsid w:val="00E80BB5"/>
    <w:rsid w:val="00E83FFA"/>
    <w:rsid w:val="00E855E6"/>
    <w:rsid w:val="00E8569D"/>
    <w:rsid w:val="00E869D1"/>
    <w:rsid w:val="00E86A90"/>
    <w:rsid w:val="00E86CBA"/>
    <w:rsid w:val="00E93D3B"/>
    <w:rsid w:val="00E9419D"/>
    <w:rsid w:val="00E94F4D"/>
    <w:rsid w:val="00E96298"/>
    <w:rsid w:val="00EA15E6"/>
    <w:rsid w:val="00EA3034"/>
    <w:rsid w:val="00EA4A3C"/>
    <w:rsid w:val="00EA63FE"/>
    <w:rsid w:val="00EA7488"/>
    <w:rsid w:val="00EA7A49"/>
    <w:rsid w:val="00EB2A84"/>
    <w:rsid w:val="00EB2C79"/>
    <w:rsid w:val="00EC305F"/>
    <w:rsid w:val="00EC3309"/>
    <w:rsid w:val="00EC6258"/>
    <w:rsid w:val="00EC763E"/>
    <w:rsid w:val="00ED0E22"/>
    <w:rsid w:val="00ED2807"/>
    <w:rsid w:val="00ED2CD6"/>
    <w:rsid w:val="00ED2CDB"/>
    <w:rsid w:val="00ED42E2"/>
    <w:rsid w:val="00ED5DCD"/>
    <w:rsid w:val="00ED6340"/>
    <w:rsid w:val="00EE5B5C"/>
    <w:rsid w:val="00EE5ED1"/>
    <w:rsid w:val="00EE6061"/>
    <w:rsid w:val="00EF5879"/>
    <w:rsid w:val="00F01D86"/>
    <w:rsid w:val="00F0257E"/>
    <w:rsid w:val="00F03679"/>
    <w:rsid w:val="00F04FDF"/>
    <w:rsid w:val="00F05C2E"/>
    <w:rsid w:val="00F068A0"/>
    <w:rsid w:val="00F07E42"/>
    <w:rsid w:val="00F11AD3"/>
    <w:rsid w:val="00F146AF"/>
    <w:rsid w:val="00F15B36"/>
    <w:rsid w:val="00F15C30"/>
    <w:rsid w:val="00F174C9"/>
    <w:rsid w:val="00F178AB"/>
    <w:rsid w:val="00F20537"/>
    <w:rsid w:val="00F20A8B"/>
    <w:rsid w:val="00F21365"/>
    <w:rsid w:val="00F219E2"/>
    <w:rsid w:val="00F22FE0"/>
    <w:rsid w:val="00F23614"/>
    <w:rsid w:val="00F24A0B"/>
    <w:rsid w:val="00F2660D"/>
    <w:rsid w:val="00F27461"/>
    <w:rsid w:val="00F32159"/>
    <w:rsid w:val="00F32CE3"/>
    <w:rsid w:val="00F34451"/>
    <w:rsid w:val="00F36DB2"/>
    <w:rsid w:val="00F403F1"/>
    <w:rsid w:val="00F4068C"/>
    <w:rsid w:val="00F41237"/>
    <w:rsid w:val="00F42089"/>
    <w:rsid w:val="00F4240B"/>
    <w:rsid w:val="00F43676"/>
    <w:rsid w:val="00F43EC8"/>
    <w:rsid w:val="00F46E7B"/>
    <w:rsid w:val="00F50E9C"/>
    <w:rsid w:val="00F543E5"/>
    <w:rsid w:val="00F56166"/>
    <w:rsid w:val="00F57A35"/>
    <w:rsid w:val="00F57D3F"/>
    <w:rsid w:val="00F60BA7"/>
    <w:rsid w:val="00F60D91"/>
    <w:rsid w:val="00F640AA"/>
    <w:rsid w:val="00F652CA"/>
    <w:rsid w:val="00F662A0"/>
    <w:rsid w:val="00F664CE"/>
    <w:rsid w:val="00F73DE4"/>
    <w:rsid w:val="00F741F3"/>
    <w:rsid w:val="00F74758"/>
    <w:rsid w:val="00F749AD"/>
    <w:rsid w:val="00F758C9"/>
    <w:rsid w:val="00F76786"/>
    <w:rsid w:val="00F809D1"/>
    <w:rsid w:val="00F81A65"/>
    <w:rsid w:val="00F81CA0"/>
    <w:rsid w:val="00F82375"/>
    <w:rsid w:val="00F9066E"/>
    <w:rsid w:val="00F95EBD"/>
    <w:rsid w:val="00FA1C08"/>
    <w:rsid w:val="00FA336E"/>
    <w:rsid w:val="00FA56CC"/>
    <w:rsid w:val="00FA5CA4"/>
    <w:rsid w:val="00FB08D6"/>
    <w:rsid w:val="00FB18F1"/>
    <w:rsid w:val="00FB606F"/>
    <w:rsid w:val="00FB750E"/>
    <w:rsid w:val="00FC5350"/>
    <w:rsid w:val="00FD02F1"/>
    <w:rsid w:val="00FD3AEF"/>
    <w:rsid w:val="00FD6360"/>
    <w:rsid w:val="00FD703E"/>
    <w:rsid w:val="00FE1DD9"/>
    <w:rsid w:val="00FE420A"/>
    <w:rsid w:val="00FE5AEC"/>
    <w:rsid w:val="00FF1F04"/>
    <w:rsid w:val="00FF32C2"/>
    <w:rsid w:val="00FF3C26"/>
    <w:rsid w:val="00FF4465"/>
    <w:rsid w:val="00FF4C56"/>
    <w:rsid w:val="00FF5FC1"/>
    <w:rsid w:val="00FF79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5869"/>
    <w:pPr>
      <w:spacing w:after="200" w:line="276" w:lineRule="auto"/>
    </w:pPr>
    <w:rPr>
      <w:rFonts w:cs="Calibri"/>
      <w:sz w:val="22"/>
      <w:szCs w:val="22"/>
    </w:rPr>
  </w:style>
  <w:style w:type="paragraph" w:styleId="Heading1">
    <w:name w:val="heading 1"/>
    <w:basedOn w:val="Normal"/>
    <w:next w:val="Normal"/>
    <w:link w:val="Heading1Char"/>
    <w:uiPriority w:val="9"/>
    <w:qFormat/>
    <w:locked/>
    <w:rsid w:val="008062BA"/>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locked/>
    <w:rsid w:val="0079027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locked/>
    <w:rsid w:val="00790274"/>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6351CE"/>
    <w:pPr>
      <w:keepNext/>
      <w:tabs>
        <w:tab w:val="left" w:pos="720"/>
        <w:tab w:val="left" w:pos="1440"/>
        <w:tab w:val="right" w:leader="dot" w:pos="9360"/>
        <w:tab w:val="right" w:leader="dot" w:pos="10080"/>
      </w:tabs>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6351CE"/>
    <w:rPr>
      <w:rFonts w:ascii="Calibri" w:hAnsi="Calibri" w:cs="Calibri"/>
      <w:b/>
      <w:bCs/>
      <w:sz w:val="28"/>
      <w:szCs w:val="28"/>
      <w:lang w:val="en-US" w:eastAsia="en-US"/>
    </w:rPr>
  </w:style>
  <w:style w:type="paragraph" w:styleId="BodyText2">
    <w:name w:val="Body Text 2"/>
    <w:basedOn w:val="Normal"/>
    <w:link w:val="BodyText2Char1"/>
    <w:uiPriority w:val="99"/>
    <w:rsid w:val="003408E1"/>
    <w:pPr>
      <w:spacing w:after="0" w:line="240" w:lineRule="auto"/>
      <w:ind w:left="720"/>
    </w:pPr>
    <w:rPr>
      <w:rFonts w:ascii="Times New Roman" w:eastAsia="Times New Roman" w:hAnsi="Times New Roman" w:cs="Times New Roman"/>
      <w:sz w:val="20"/>
      <w:szCs w:val="20"/>
    </w:rPr>
  </w:style>
  <w:style w:type="character" w:customStyle="1" w:styleId="BodyText2Char">
    <w:name w:val="Body Text 2 Char"/>
    <w:basedOn w:val="DefaultParagraphFont"/>
    <w:uiPriority w:val="99"/>
    <w:semiHidden/>
    <w:locked/>
    <w:rsid w:val="006D6293"/>
    <w:rPr>
      <w:rFonts w:cs="Calibri"/>
    </w:rPr>
  </w:style>
  <w:style w:type="character" w:customStyle="1" w:styleId="BodyText2Char1">
    <w:name w:val="Body Text 2 Char1"/>
    <w:basedOn w:val="DefaultParagraphFont"/>
    <w:link w:val="BodyText2"/>
    <w:uiPriority w:val="99"/>
    <w:locked/>
    <w:rsid w:val="003408E1"/>
    <w:rPr>
      <w:rFonts w:ascii="Times New Roman" w:hAnsi="Times New Roman" w:cs="Times New Roman"/>
      <w:sz w:val="20"/>
      <w:szCs w:val="20"/>
    </w:rPr>
  </w:style>
  <w:style w:type="table" w:styleId="TableGrid">
    <w:name w:val="Table Grid"/>
    <w:basedOn w:val="TableNormal"/>
    <w:uiPriority w:val="99"/>
    <w:rsid w:val="004F5DE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6435F"/>
    <w:rPr>
      <w:rFonts w:cs="Times New Roman"/>
      <w:sz w:val="16"/>
      <w:szCs w:val="16"/>
    </w:rPr>
  </w:style>
  <w:style w:type="paragraph" w:styleId="CommentText">
    <w:name w:val="annotation text"/>
    <w:basedOn w:val="Normal"/>
    <w:link w:val="CommentTextChar"/>
    <w:uiPriority w:val="99"/>
    <w:semiHidden/>
    <w:rsid w:val="0016435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6435F"/>
    <w:rPr>
      <w:rFonts w:cs="Times New Roman"/>
      <w:sz w:val="20"/>
      <w:szCs w:val="20"/>
    </w:rPr>
  </w:style>
  <w:style w:type="paragraph" w:styleId="CommentSubject">
    <w:name w:val="annotation subject"/>
    <w:basedOn w:val="CommentText"/>
    <w:next w:val="CommentText"/>
    <w:link w:val="CommentSubjectChar"/>
    <w:uiPriority w:val="99"/>
    <w:semiHidden/>
    <w:rsid w:val="0016435F"/>
    <w:rPr>
      <w:b/>
      <w:bCs/>
    </w:rPr>
  </w:style>
  <w:style w:type="character" w:customStyle="1" w:styleId="CommentSubjectChar">
    <w:name w:val="Comment Subject Char"/>
    <w:basedOn w:val="CommentTextChar"/>
    <w:link w:val="CommentSubject"/>
    <w:uiPriority w:val="99"/>
    <w:semiHidden/>
    <w:locked/>
    <w:rsid w:val="0016435F"/>
    <w:rPr>
      <w:rFonts w:cs="Times New Roman"/>
      <w:b/>
      <w:bCs/>
      <w:sz w:val="20"/>
      <w:szCs w:val="20"/>
    </w:rPr>
  </w:style>
  <w:style w:type="paragraph" w:styleId="BalloonText">
    <w:name w:val="Balloon Text"/>
    <w:basedOn w:val="Normal"/>
    <w:link w:val="BalloonTextChar"/>
    <w:uiPriority w:val="99"/>
    <w:semiHidden/>
    <w:rsid w:val="00164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435F"/>
    <w:rPr>
      <w:rFonts w:ascii="Tahoma" w:hAnsi="Tahoma" w:cs="Tahoma"/>
      <w:sz w:val="16"/>
      <w:szCs w:val="16"/>
    </w:rPr>
  </w:style>
  <w:style w:type="paragraph" w:customStyle="1" w:styleId="Bullet">
    <w:name w:val="Bullet"/>
    <w:basedOn w:val="Normal"/>
    <w:uiPriority w:val="99"/>
    <w:rsid w:val="00CF6713"/>
    <w:pPr>
      <w:numPr>
        <w:numId w:val="3"/>
      </w:numPr>
      <w:spacing w:after="240" w:line="240" w:lineRule="auto"/>
      <w:ind w:left="908" w:hanging="274"/>
    </w:pPr>
    <w:rPr>
      <w:rFonts w:ascii="Times New Roman" w:eastAsia="Times New Roman" w:hAnsi="Times New Roman" w:cs="Times New Roman"/>
      <w:sz w:val="24"/>
      <w:szCs w:val="24"/>
    </w:rPr>
  </w:style>
  <w:style w:type="paragraph" w:styleId="ListParagraph">
    <w:name w:val="List Paragraph"/>
    <w:basedOn w:val="Normal"/>
    <w:uiPriority w:val="34"/>
    <w:qFormat/>
    <w:rsid w:val="002724B7"/>
    <w:pPr>
      <w:ind w:left="720"/>
    </w:pPr>
  </w:style>
  <w:style w:type="character" w:styleId="FootnoteReference">
    <w:name w:val="footnote reference"/>
    <w:aliases w:val="fr"/>
    <w:basedOn w:val="DefaultParagraphFont"/>
    <w:uiPriority w:val="99"/>
    <w:rsid w:val="00422C25"/>
    <w:rPr>
      <w:rFonts w:cs="Times New Roman"/>
      <w:vertAlign w:val="superscript"/>
    </w:rPr>
  </w:style>
  <w:style w:type="paragraph" w:styleId="FootnoteText">
    <w:name w:val="footnote text"/>
    <w:basedOn w:val="Normal"/>
    <w:link w:val="FootnoteTextChar"/>
    <w:uiPriority w:val="99"/>
    <w:semiHidden/>
    <w:rsid w:val="00422C2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422C25"/>
    <w:rPr>
      <w:rFonts w:ascii="Times New Roman" w:hAnsi="Times New Roman" w:cs="Times New Roman"/>
      <w:sz w:val="20"/>
      <w:szCs w:val="20"/>
    </w:rPr>
  </w:style>
  <w:style w:type="character" w:styleId="Hyperlink">
    <w:name w:val="Hyperlink"/>
    <w:basedOn w:val="DefaultParagraphFont"/>
    <w:uiPriority w:val="99"/>
    <w:rsid w:val="00422C25"/>
    <w:rPr>
      <w:rFonts w:cs="Times New Roman"/>
      <w:color w:val="0000FF"/>
      <w:u w:val="single"/>
    </w:rPr>
  </w:style>
  <w:style w:type="paragraph" w:styleId="NoSpacing">
    <w:name w:val="No Spacing"/>
    <w:uiPriority w:val="99"/>
    <w:qFormat/>
    <w:rsid w:val="00422C25"/>
    <w:rPr>
      <w:rFonts w:cs="Calibri"/>
      <w:sz w:val="22"/>
      <w:szCs w:val="22"/>
    </w:rPr>
  </w:style>
  <w:style w:type="paragraph" w:customStyle="1" w:styleId="CM80">
    <w:name w:val="CM80"/>
    <w:basedOn w:val="Normal"/>
    <w:next w:val="Normal"/>
    <w:rsid w:val="0010548D"/>
    <w:pPr>
      <w:widowControl w:val="0"/>
      <w:autoSpaceDE w:val="0"/>
      <w:autoSpaceDN w:val="0"/>
      <w:adjustRightInd w:val="0"/>
      <w:spacing w:after="275" w:line="240" w:lineRule="auto"/>
    </w:pPr>
    <w:rPr>
      <w:rFonts w:ascii="Times New Roman" w:eastAsia="SimSun" w:hAnsi="Times New Roman" w:cs="Times New Roman"/>
      <w:sz w:val="24"/>
      <w:szCs w:val="24"/>
      <w:lang w:eastAsia="zh-CN"/>
    </w:rPr>
  </w:style>
  <w:style w:type="paragraph" w:customStyle="1" w:styleId="Default">
    <w:name w:val="Default"/>
    <w:rsid w:val="00D721E1"/>
    <w:pPr>
      <w:widowControl w:val="0"/>
      <w:autoSpaceDE w:val="0"/>
      <w:autoSpaceDN w:val="0"/>
      <w:adjustRightInd w:val="0"/>
    </w:pPr>
    <w:rPr>
      <w:rFonts w:ascii="Times New Roman" w:eastAsia="SimSun" w:hAnsi="Times New Roman" w:cs="Times New Roman"/>
      <w:color w:val="000000"/>
      <w:sz w:val="24"/>
      <w:szCs w:val="24"/>
      <w:lang w:eastAsia="zh-CN"/>
    </w:rPr>
  </w:style>
  <w:style w:type="paragraph" w:customStyle="1" w:styleId="text">
    <w:name w:val="text"/>
    <w:basedOn w:val="Normal"/>
    <w:uiPriority w:val="99"/>
    <w:rsid w:val="00A06CF5"/>
    <w:pPr>
      <w:numPr>
        <w:ilvl w:val="12"/>
      </w:numPr>
      <w:autoSpaceDE w:val="0"/>
      <w:autoSpaceDN w:val="0"/>
      <w:adjustRightInd w:val="0"/>
      <w:spacing w:before="120" w:after="240" w:line="240" w:lineRule="auto"/>
      <w:ind w:firstLine="547"/>
    </w:pPr>
    <w:rPr>
      <w:rFonts w:ascii="Times New Roman" w:eastAsia="Times New Roman" w:hAnsi="Times New Roman" w:cs="Times New Roman"/>
      <w:sz w:val="24"/>
      <w:szCs w:val="24"/>
    </w:rPr>
  </w:style>
  <w:style w:type="character" w:customStyle="1" w:styleId="bulletsChar">
    <w:name w:val="bullets Char"/>
    <w:aliases w:val="bu Char"/>
    <w:basedOn w:val="DefaultParagraphFont"/>
    <w:link w:val="bullets"/>
    <w:uiPriority w:val="99"/>
    <w:locked/>
    <w:rsid w:val="006351CE"/>
    <w:rPr>
      <w:rFonts w:ascii="Calibri" w:hAnsi="Calibri" w:cs="Calibri"/>
      <w:sz w:val="24"/>
      <w:szCs w:val="24"/>
      <w:lang w:val="en-US" w:eastAsia="en-US"/>
    </w:rPr>
  </w:style>
  <w:style w:type="paragraph" w:customStyle="1" w:styleId="bullets">
    <w:name w:val="bullets"/>
    <w:aliases w:val="bu"/>
    <w:basedOn w:val="Normal"/>
    <w:link w:val="bulletsChar"/>
    <w:uiPriority w:val="99"/>
    <w:rsid w:val="006351CE"/>
    <w:pPr>
      <w:numPr>
        <w:numId w:val="18"/>
      </w:numPr>
      <w:spacing w:after="0" w:line="260" w:lineRule="exact"/>
    </w:pPr>
    <w:rPr>
      <w:sz w:val="24"/>
      <w:szCs w:val="24"/>
    </w:rPr>
  </w:style>
  <w:style w:type="paragraph" w:customStyle="1" w:styleId="bodytextpsgCharChar">
    <w:name w:val="body text_psg Char Char"/>
    <w:basedOn w:val="Normal"/>
    <w:link w:val="bodytextpsgCharCharChar"/>
    <w:uiPriority w:val="99"/>
    <w:rsid w:val="006351CE"/>
    <w:pPr>
      <w:numPr>
        <w:numId w:val="19"/>
      </w:numPr>
      <w:spacing w:after="120" w:line="260" w:lineRule="exact"/>
    </w:pPr>
    <w:rPr>
      <w:sz w:val="24"/>
      <w:szCs w:val="24"/>
    </w:rPr>
  </w:style>
  <w:style w:type="character" w:customStyle="1" w:styleId="bodytextpsgCharCharChar">
    <w:name w:val="body text_psg Char Char Char"/>
    <w:basedOn w:val="DefaultParagraphFont"/>
    <w:link w:val="bodytextpsgCharChar"/>
    <w:uiPriority w:val="99"/>
    <w:locked/>
    <w:rsid w:val="006351CE"/>
    <w:rPr>
      <w:rFonts w:ascii="Calibri" w:hAnsi="Calibri" w:cs="Calibri"/>
      <w:sz w:val="24"/>
      <w:szCs w:val="24"/>
      <w:lang w:val="en-US" w:eastAsia="en-US"/>
    </w:rPr>
  </w:style>
  <w:style w:type="paragraph" w:customStyle="1" w:styleId="bulletlast">
    <w:name w:val="bullet_last"/>
    <w:basedOn w:val="bullets"/>
    <w:uiPriority w:val="99"/>
    <w:rsid w:val="006351CE"/>
    <w:pPr>
      <w:numPr>
        <w:numId w:val="0"/>
      </w:numPr>
      <w:spacing w:after="120"/>
    </w:pPr>
  </w:style>
  <w:style w:type="paragraph" w:customStyle="1" w:styleId="exhibitsource">
    <w:name w:val="exhibit source"/>
    <w:basedOn w:val="Normal"/>
    <w:uiPriority w:val="99"/>
    <w:rsid w:val="006351CE"/>
    <w:pPr>
      <w:keepLines/>
      <w:spacing w:before="40" w:after="40" w:line="200" w:lineRule="exact"/>
      <w:ind w:left="187" w:hanging="187"/>
    </w:pPr>
    <w:rPr>
      <w:rFonts w:ascii="Arial" w:hAnsi="Arial" w:cs="Arial"/>
      <w:sz w:val="18"/>
      <w:szCs w:val="18"/>
    </w:rPr>
  </w:style>
  <w:style w:type="paragraph" w:customStyle="1" w:styleId="TableHeaders">
    <w:name w:val="Table Headers"/>
    <w:basedOn w:val="Normal"/>
    <w:uiPriority w:val="99"/>
    <w:rsid w:val="006351CE"/>
    <w:pPr>
      <w:keepNext/>
      <w:spacing w:before="40" w:after="40" w:line="240" w:lineRule="auto"/>
      <w:jc w:val="center"/>
    </w:pPr>
    <w:rPr>
      <w:rFonts w:ascii="Arial" w:hAnsi="Arial" w:cs="Arial"/>
      <w:b/>
      <w:bCs/>
      <w:color w:val="FFFFFF"/>
      <w:sz w:val="20"/>
      <w:szCs w:val="20"/>
    </w:rPr>
  </w:style>
  <w:style w:type="paragraph" w:customStyle="1" w:styleId="BodyText1">
    <w:name w:val="Body Text1"/>
    <w:aliases w:val="bt,body tx,indent,flush,memo body text"/>
    <w:basedOn w:val="Normal"/>
    <w:link w:val="bodytextChar"/>
    <w:uiPriority w:val="99"/>
    <w:rsid w:val="006351CE"/>
    <w:pPr>
      <w:spacing w:before="120" w:after="120" w:line="240" w:lineRule="auto"/>
      <w:ind w:firstLine="720"/>
    </w:pPr>
    <w:rPr>
      <w:sz w:val="24"/>
      <w:szCs w:val="24"/>
    </w:rPr>
  </w:style>
  <w:style w:type="character" w:customStyle="1" w:styleId="bodytextChar">
    <w:name w:val="body text Char"/>
    <w:aliases w:val="bt Char,body tx Char,indent Char,flush Char,memo body text Char"/>
    <w:basedOn w:val="DefaultParagraphFont"/>
    <w:link w:val="BodyText1"/>
    <w:uiPriority w:val="99"/>
    <w:locked/>
    <w:rsid w:val="006351CE"/>
    <w:rPr>
      <w:rFonts w:ascii="Calibri" w:hAnsi="Calibri" w:cs="Calibri"/>
      <w:sz w:val="24"/>
      <w:szCs w:val="24"/>
      <w:lang w:val="en-US" w:eastAsia="en-US"/>
    </w:rPr>
  </w:style>
  <w:style w:type="paragraph" w:customStyle="1" w:styleId="aft-12">
    <w:name w:val="aft-12"/>
    <w:basedOn w:val="bodytextpsgCharChar"/>
    <w:uiPriority w:val="99"/>
    <w:rsid w:val="006351CE"/>
    <w:pPr>
      <w:numPr>
        <w:numId w:val="14"/>
      </w:numPr>
      <w:tabs>
        <w:tab w:val="num" w:pos="1080"/>
      </w:tabs>
      <w:spacing w:before="240"/>
      <w:ind w:left="1080"/>
    </w:pPr>
  </w:style>
  <w:style w:type="paragraph" w:customStyle="1" w:styleId="bodytextpsg">
    <w:name w:val="body text_psg"/>
    <w:basedOn w:val="Normal"/>
    <w:link w:val="bodytextpsgChar"/>
    <w:uiPriority w:val="99"/>
    <w:rsid w:val="006351CE"/>
    <w:pPr>
      <w:spacing w:after="120" w:line="260" w:lineRule="exact"/>
      <w:ind w:firstLine="360"/>
    </w:pPr>
    <w:rPr>
      <w:rFonts w:ascii="Times New Roman" w:hAnsi="Times New Roman" w:cs="Times New Roman"/>
      <w:sz w:val="24"/>
      <w:szCs w:val="24"/>
    </w:rPr>
  </w:style>
  <w:style w:type="paragraph" w:customStyle="1" w:styleId="ExhibitTitle">
    <w:name w:val="Exhibit Title"/>
    <w:link w:val="ExhibitTitleChar"/>
    <w:uiPriority w:val="99"/>
    <w:rsid w:val="002D0984"/>
    <w:pPr>
      <w:keepNext/>
      <w:keepLines/>
      <w:spacing w:after="60" w:line="240" w:lineRule="exact"/>
      <w:ind w:left="1440" w:hanging="1440"/>
    </w:pPr>
    <w:rPr>
      <w:rFonts w:ascii="Arial Black" w:hAnsi="Arial Black" w:cs="Times New Roman"/>
      <w:sz w:val="22"/>
    </w:rPr>
  </w:style>
  <w:style w:type="character" w:customStyle="1" w:styleId="ExhibitTitleChar">
    <w:name w:val="Exhibit Title Char"/>
    <w:basedOn w:val="DefaultParagraphFont"/>
    <w:link w:val="ExhibitTitle"/>
    <w:uiPriority w:val="99"/>
    <w:locked/>
    <w:rsid w:val="002D0984"/>
    <w:rPr>
      <w:rFonts w:ascii="Arial Black" w:hAnsi="Arial Black" w:cs="Times New Roman"/>
      <w:sz w:val="22"/>
      <w:lang w:val="en-US" w:eastAsia="en-US" w:bidi="ar-SA"/>
    </w:rPr>
  </w:style>
  <w:style w:type="character" w:customStyle="1" w:styleId="bodytextpsgChar">
    <w:name w:val="body text_psg Char"/>
    <w:basedOn w:val="DefaultParagraphFont"/>
    <w:link w:val="bodytextpsg"/>
    <w:uiPriority w:val="99"/>
    <w:locked/>
    <w:rsid w:val="002D0984"/>
    <w:rPr>
      <w:rFonts w:cs="Times New Roman"/>
      <w:sz w:val="24"/>
      <w:szCs w:val="24"/>
      <w:lang w:val="en-US" w:eastAsia="en-US" w:bidi="ar-SA"/>
    </w:rPr>
  </w:style>
  <w:style w:type="paragraph" w:customStyle="1" w:styleId="atabtxt">
    <w:name w:val="atab_txt"/>
    <w:basedOn w:val="Normal"/>
    <w:uiPriority w:val="99"/>
    <w:rsid w:val="002D0984"/>
    <w:pPr>
      <w:keepNext/>
      <w:spacing w:after="0" w:line="240" w:lineRule="auto"/>
    </w:pPr>
    <w:rPr>
      <w:rFonts w:ascii="Arial" w:hAnsi="Arial" w:cs="Times New Roman"/>
      <w:sz w:val="20"/>
      <w:szCs w:val="20"/>
    </w:rPr>
  </w:style>
  <w:style w:type="character" w:customStyle="1" w:styleId="abolditalic">
    <w:name w:val="abold_italic"/>
    <w:basedOn w:val="DefaultParagraphFont"/>
    <w:uiPriority w:val="99"/>
    <w:rsid w:val="002D0984"/>
    <w:rPr>
      <w:rFonts w:cs="Times New Roman"/>
      <w:b/>
      <w:bCs/>
      <w:i/>
      <w:iCs/>
    </w:rPr>
  </w:style>
  <w:style w:type="character" w:customStyle="1" w:styleId="Heading1Char">
    <w:name w:val="Heading 1 Char"/>
    <w:basedOn w:val="DefaultParagraphFont"/>
    <w:link w:val="Heading1"/>
    <w:uiPriority w:val="9"/>
    <w:rsid w:val="008062BA"/>
    <w:rPr>
      <w:rFonts w:ascii="Cambria" w:eastAsia="Times New Roman" w:hAnsi="Cambria" w:cs="Times New Roman"/>
      <w:b/>
      <w:bCs/>
      <w:kern w:val="32"/>
      <w:sz w:val="32"/>
      <w:szCs w:val="32"/>
    </w:rPr>
  </w:style>
  <w:style w:type="paragraph" w:styleId="Footer">
    <w:name w:val="footer"/>
    <w:basedOn w:val="Normal"/>
    <w:link w:val="FooterChar"/>
    <w:uiPriority w:val="99"/>
    <w:locked/>
    <w:rsid w:val="008062BA"/>
    <w:pPr>
      <w:pBdr>
        <w:top w:val="single" w:sz="2" w:space="1" w:color="auto"/>
      </w:pBdr>
      <w:tabs>
        <w:tab w:val="right" w:pos="10530"/>
      </w:tabs>
      <w:spacing w:before="60" w:after="0" w:line="240" w:lineRule="auto"/>
    </w:pPr>
    <w:rPr>
      <w:rFonts w:ascii="Arial" w:eastAsia="Times New Roman" w:hAnsi="Arial" w:cs="Times New Roman"/>
      <w:i/>
      <w:sz w:val="18"/>
      <w:szCs w:val="20"/>
    </w:rPr>
  </w:style>
  <w:style w:type="character" w:customStyle="1" w:styleId="FooterChar">
    <w:name w:val="Footer Char"/>
    <w:basedOn w:val="DefaultParagraphFont"/>
    <w:link w:val="Footer"/>
    <w:uiPriority w:val="99"/>
    <w:rsid w:val="008062BA"/>
    <w:rPr>
      <w:rFonts w:ascii="Arial" w:eastAsia="Times New Roman" w:hAnsi="Arial" w:cs="Times New Roman"/>
      <w:i/>
      <w:sz w:val="18"/>
      <w:szCs w:val="20"/>
    </w:rPr>
  </w:style>
  <w:style w:type="paragraph" w:styleId="Header">
    <w:name w:val="header"/>
    <w:basedOn w:val="Normal"/>
    <w:link w:val="HeaderChar"/>
    <w:uiPriority w:val="99"/>
    <w:locked/>
    <w:rsid w:val="008062BA"/>
    <w:pPr>
      <w:pBdr>
        <w:bottom w:val="single" w:sz="6" w:space="1" w:color="auto"/>
      </w:pBdr>
      <w:tabs>
        <w:tab w:val="right" w:pos="10530"/>
      </w:tabs>
      <w:spacing w:after="120" w:line="240" w:lineRule="auto"/>
    </w:pPr>
    <w:rPr>
      <w:rFonts w:ascii="Arial" w:eastAsia="Times New Roman" w:hAnsi="Arial" w:cs="Times New Roman"/>
      <w:b/>
      <w:sz w:val="20"/>
      <w:szCs w:val="20"/>
    </w:rPr>
  </w:style>
  <w:style w:type="character" w:customStyle="1" w:styleId="HeaderChar">
    <w:name w:val="Header Char"/>
    <w:basedOn w:val="DefaultParagraphFont"/>
    <w:link w:val="Header"/>
    <w:uiPriority w:val="99"/>
    <w:rsid w:val="008062BA"/>
    <w:rPr>
      <w:rFonts w:ascii="Arial" w:eastAsia="Times New Roman" w:hAnsi="Arial" w:cs="Times New Roman"/>
      <w:b/>
      <w:sz w:val="20"/>
      <w:szCs w:val="20"/>
    </w:rPr>
  </w:style>
  <w:style w:type="paragraph" w:customStyle="1" w:styleId="Cov-Address">
    <w:name w:val="Cov-Address"/>
    <w:basedOn w:val="Normal"/>
    <w:rsid w:val="008062BA"/>
    <w:pPr>
      <w:spacing w:after="0" w:line="240" w:lineRule="auto"/>
      <w:jc w:val="right"/>
    </w:pPr>
    <w:rPr>
      <w:rFonts w:ascii="Verdana" w:eastAsia="Times New Roman" w:hAnsi="Verdana" w:cs="Times New Roman"/>
      <w:szCs w:val="20"/>
    </w:rPr>
  </w:style>
  <w:style w:type="paragraph" w:customStyle="1" w:styleId="Cov-Author">
    <w:name w:val="Cov-Author"/>
    <w:basedOn w:val="Normal"/>
    <w:rsid w:val="008062BA"/>
    <w:pPr>
      <w:spacing w:after="0" w:line="240" w:lineRule="auto"/>
      <w:jc w:val="right"/>
    </w:pPr>
    <w:rPr>
      <w:rFonts w:ascii="Verdana" w:eastAsia="Times New Roman" w:hAnsi="Verdana" w:cs="Times New Roman"/>
      <w:b/>
      <w:szCs w:val="20"/>
    </w:rPr>
  </w:style>
  <w:style w:type="paragraph" w:customStyle="1" w:styleId="Cov-Date">
    <w:name w:val="Cov-Date"/>
    <w:basedOn w:val="Normal"/>
    <w:rsid w:val="008062BA"/>
    <w:pPr>
      <w:spacing w:after="0" w:line="240" w:lineRule="auto"/>
      <w:jc w:val="right"/>
    </w:pPr>
    <w:rPr>
      <w:rFonts w:ascii="Verdana" w:eastAsia="Times New Roman" w:hAnsi="Verdana" w:cs="Times New Roman"/>
      <w:b/>
      <w:sz w:val="28"/>
      <w:szCs w:val="20"/>
    </w:rPr>
  </w:style>
  <w:style w:type="paragraph" w:customStyle="1" w:styleId="Cov-Disclaimer">
    <w:name w:val="Cov-Disclaimer"/>
    <w:basedOn w:val="Normal"/>
    <w:rsid w:val="008062BA"/>
    <w:pPr>
      <w:spacing w:after="0" w:line="240" w:lineRule="auto"/>
      <w:jc w:val="right"/>
    </w:pPr>
    <w:rPr>
      <w:rFonts w:ascii="Verdana" w:eastAsia="Times New Roman" w:hAnsi="Verdana" w:cs="Arial"/>
      <w:sz w:val="18"/>
      <w:szCs w:val="18"/>
    </w:rPr>
  </w:style>
  <w:style w:type="paragraph" w:customStyle="1" w:styleId="Cov-Subtitle">
    <w:name w:val="Cov-Subtitle"/>
    <w:basedOn w:val="Normal"/>
    <w:rsid w:val="008062BA"/>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rsid w:val="008062BA"/>
    <w:pPr>
      <w:spacing w:after="0" w:line="240" w:lineRule="auto"/>
      <w:jc w:val="right"/>
    </w:pPr>
    <w:rPr>
      <w:rFonts w:ascii="Verdana" w:eastAsia="Times New Roman" w:hAnsi="Verdana" w:cs="Times New Roman"/>
      <w:b/>
      <w:sz w:val="48"/>
      <w:szCs w:val="20"/>
    </w:rPr>
  </w:style>
  <w:style w:type="paragraph" w:styleId="TOC5">
    <w:name w:val="toc 5"/>
    <w:aliases w:val="toc tab/fig"/>
    <w:basedOn w:val="TOC2"/>
    <w:next w:val="Normal"/>
    <w:uiPriority w:val="39"/>
    <w:locked/>
    <w:rsid w:val="008062BA"/>
    <w:pPr>
      <w:spacing w:before="80" w:after="80"/>
      <w:ind w:left="700" w:hanging="700"/>
    </w:pPr>
  </w:style>
  <w:style w:type="paragraph" w:styleId="TOC2">
    <w:name w:val="toc 2"/>
    <w:basedOn w:val="Normal"/>
    <w:next w:val="Normal"/>
    <w:autoRedefine/>
    <w:uiPriority w:val="39"/>
    <w:locked/>
    <w:rsid w:val="00DC2C6A"/>
    <w:pPr>
      <w:tabs>
        <w:tab w:val="right" w:leader="dot" w:pos="9360"/>
      </w:tabs>
      <w:spacing w:after="120" w:line="240" w:lineRule="auto"/>
      <w:ind w:left="1170" w:right="720" w:hanging="630"/>
    </w:pPr>
    <w:rPr>
      <w:rFonts w:asciiTheme="minorBidi" w:eastAsia="MS Mincho" w:hAnsiTheme="minorBidi" w:cstheme="minorBidi"/>
      <w:b/>
      <w:bCs/>
      <w:noProof/>
      <w:sz w:val="20"/>
      <w:szCs w:val="20"/>
    </w:rPr>
  </w:style>
  <w:style w:type="paragraph" w:styleId="TOC1">
    <w:name w:val="toc 1"/>
    <w:basedOn w:val="Normal"/>
    <w:next w:val="Normal"/>
    <w:uiPriority w:val="39"/>
    <w:locked/>
    <w:rsid w:val="008062BA"/>
    <w:pPr>
      <w:tabs>
        <w:tab w:val="right" w:pos="9360"/>
      </w:tabs>
      <w:spacing w:before="240" w:after="0" w:line="240" w:lineRule="auto"/>
      <w:ind w:left="547" w:right="720" w:hanging="547"/>
    </w:pPr>
    <w:rPr>
      <w:rFonts w:ascii="Verdana" w:eastAsia="MS Mincho" w:hAnsi="Verdana" w:cs="Times New Roman"/>
      <w:b/>
      <w:noProof/>
      <w:sz w:val="20"/>
      <w:szCs w:val="20"/>
    </w:rPr>
  </w:style>
  <w:style w:type="paragraph" w:customStyle="1" w:styleId="toc0">
    <w:name w:val="toc 0"/>
    <w:basedOn w:val="Normal"/>
    <w:rsid w:val="008062BA"/>
    <w:pPr>
      <w:keepNext/>
      <w:pBdr>
        <w:bottom w:val="single" w:sz="2" w:space="10" w:color="auto"/>
      </w:pBdr>
      <w:spacing w:before="240" w:after="360" w:line="240" w:lineRule="auto"/>
      <w:jc w:val="center"/>
    </w:pPr>
    <w:rPr>
      <w:rFonts w:ascii="Verdana" w:eastAsia="MS Mincho" w:hAnsi="Verdana" w:cs="Times New Roman"/>
      <w:b/>
      <w:sz w:val="32"/>
      <w:szCs w:val="26"/>
    </w:rPr>
  </w:style>
  <w:style w:type="paragraph" w:styleId="TOC3">
    <w:name w:val="toc 3"/>
    <w:basedOn w:val="Normal"/>
    <w:next w:val="Normal"/>
    <w:uiPriority w:val="39"/>
    <w:locked/>
    <w:rsid w:val="008062BA"/>
    <w:pPr>
      <w:tabs>
        <w:tab w:val="right" w:leader="dot" w:pos="9360"/>
      </w:tabs>
      <w:spacing w:before="80" w:after="0" w:line="240" w:lineRule="auto"/>
      <w:ind w:left="1800" w:right="720" w:hanging="720"/>
    </w:pPr>
    <w:rPr>
      <w:rFonts w:ascii="Verdana" w:eastAsia="MS Mincho" w:hAnsi="Verdana" w:cs="Times New Roman"/>
      <w:noProof/>
      <w:sz w:val="20"/>
      <w:szCs w:val="20"/>
    </w:rPr>
  </w:style>
  <w:style w:type="paragraph" w:customStyle="1" w:styleId="TOCHeader">
    <w:name w:val="TOC Header"/>
    <w:basedOn w:val="Normal"/>
    <w:rsid w:val="008062BA"/>
    <w:pPr>
      <w:tabs>
        <w:tab w:val="right" w:pos="9360"/>
      </w:tabs>
      <w:spacing w:after="240" w:line="240" w:lineRule="auto"/>
    </w:pPr>
    <w:rPr>
      <w:rFonts w:ascii="Verdana" w:eastAsia="Times New Roman" w:hAnsi="Verdana" w:cs="Times New Roman"/>
      <w:b/>
      <w:sz w:val="20"/>
      <w:szCs w:val="20"/>
    </w:rPr>
  </w:style>
  <w:style w:type="character" w:customStyle="1" w:styleId="Heading2Char">
    <w:name w:val="Heading 2 Char"/>
    <w:basedOn w:val="DefaultParagraphFont"/>
    <w:link w:val="Heading2"/>
    <w:uiPriority w:val="9"/>
    <w:rsid w:val="00790274"/>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790274"/>
    <w:pPr>
      <w:keepLines/>
      <w:spacing w:before="480" w:after="0"/>
      <w:outlineLvl w:val="9"/>
    </w:pPr>
    <w:rPr>
      <w:color w:val="365F91"/>
      <w:kern w:val="0"/>
      <w:sz w:val="28"/>
      <w:szCs w:val="28"/>
    </w:rPr>
  </w:style>
  <w:style w:type="character" w:customStyle="1" w:styleId="Heading3Char">
    <w:name w:val="Heading 3 Char"/>
    <w:basedOn w:val="DefaultParagraphFont"/>
    <w:link w:val="Heading3"/>
    <w:uiPriority w:val="9"/>
    <w:rsid w:val="00790274"/>
    <w:rPr>
      <w:rFonts w:ascii="Cambria" w:eastAsia="Times New Roman" w:hAnsi="Cambria" w:cs="Times New Roman"/>
      <w:b/>
      <w:bCs/>
      <w:sz w:val="26"/>
      <w:szCs w:val="26"/>
    </w:rPr>
  </w:style>
  <w:style w:type="paragraph" w:customStyle="1" w:styleId="exhibitsource-2">
    <w:name w:val="exhibit source-2"/>
    <w:basedOn w:val="Normal"/>
    <w:uiPriority w:val="99"/>
    <w:rsid w:val="005A1C98"/>
    <w:pPr>
      <w:spacing w:before="40" w:after="120" w:line="200" w:lineRule="exact"/>
      <w:ind w:left="187" w:hanging="187"/>
    </w:pPr>
    <w:rPr>
      <w:rFonts w:ascii="Arial" w:eastAsia="Times New Roman" w:hAnsi="Arial" w:cs="Arial"/>
      <w:sz w:val="18"/>
      <w:szCs w:val="18"/>
    </w:rPr>
  </w:style>
  <w:style w:type="paragraph" w:customStyle="1" w:styleId="agraph">
    <w:name w:val="agraph"/>
    <w:basedOn w:val="Normal"/>
    <w:uiPriority w:val="99"/>
    <w:rsid w:val="005A1C98"/>
    <w:pPr>
      <w:keepNext/>
      <w:spacing w:before="60" w:after="60" w:line="240" w:lineRule="auto"/>
      <w:jc w:val="center"/>
    </w:pPr>
    <w:rPr>
      <w:rFonts w:ascii="Times New Roman" w:eastAsia="Times New Roman" w:hAnsi="Times New Roman" w:cs="Times New Roman"/>
      <w:sz w:val="24"/>
      <w:szCs w:val="20"/>
    </w:rPr>
  </w:style>
  <w:style w:type="paragraph" w:customStyle="1" w:styleId="CM12">
    <w:name w:val="CM12"/>
    <w:basedOn w:val="Default"/>
    <w:next w:val="Default"/>
    <w:rsid w:val="00BC273C"/>
    <w:pPr>
      <w:spacing w:line="260" w:lineRule="atLeast"/>
    </w:pPr>
    <w:rPr>
      <w:color w:val="auto"/>
    </w:rPr>
  </w:style>
  <w:style w:type="paragraph" w:customStyle="1" w:styleId="CM15">
    <w:name w:val="CM15"/>
    <w:basedOn w:val="Default"/>
    <w:next w:val="Default"/>
    <w:rsid w:val="006123D1"/>
    <w:pPr>
      <w:spacing w:line="278"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5869"/>
    <w:pPr>
      <w:spacing w:after="200" w:line="276" w:lineRule="auto"/>
    </w:pPr>
    <w:rPr>
      <w:rFonts w:cs="Calibri"/>
      <w:sz w:val="22"/>
      <w:szCs w:val="22"/>
    </w:rPr>
  </w:style>
  <w:style w:type="paragraph" w:styleId="Heading1">
    <w:name w:val="heading 1"/>
    <w:basedOn w:val="Normal"/>
    <w:next w:val="Normal"/>
    <w:link w:val="Heading1Char"/>
    <w:uiPriority w:val="9"/>
    <w:qFormat/>
    <w:locked/>
    <w:rsid w:val="008062BA"/>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locked/>
    <w:rsid w:val="00790274"/>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locked/>
    <w:rsid w:val="00790274"/>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6351CE"/>
    <w:pPr>
      <w:keepNext/>
      <w:tabs>
        <w:tab w:val="left" w:pos="720"/>
        <w:tab w:val="left" w:pos="1440"/>
        <w:tab w:val="right" w:leader="dot" w:pos="9360"/>
        <w:tab w:val="right" w:leader="dot" w:pos="10080"/>
      </w:tabs>
      <w:spacing w:after="0" w:line="240" w:lineRule="auto"/>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6351CE"/>
    <w:rPr>
      <w:rFonts w:ascii="Calibri" w:hAnsi="Calibri" w:cs="Calibri"/>
      <w:b/>
      <w:bCs/>
      <w:sz w:val="28"/>
      <w:szCs w:val="28"/>
      <w:lang w:val="en-US" w:eastAsia="en-US"/>
    </w:rPr>
  </w:style>
  <w:style w:type="paragraph" w:styleId="BodyText2">
    <w:name w:val="Body Text 2"/>
    <w:basedOn w:val="Normal"/>
    <w:link w:val="BodyText2Char1"/>
    <w:uiPriority w:val="99"/>
    <w:rsid w:val="003408E1"/>
    <w:pPr>
      <w:spacing w:after="0" w:line="240" w:lineRule="auto"/>
      <w:ind w:left="720"/>
    </w:pPr>
    <w:rPr>
      <w:rFonts w:ascii="Times New Roman" w:eastAsia="Times New Roman" w:hAnsi="Times New Roman" w:cs="Times New Roman"/>
      <w:sz w:val="20"/>
      <w:szCs w:val="20"/>
    </w:rPr>
  </w:style>
  <w:style w:type="character" w:customStyle="1" w:styleId="BodyText2Char">
    <w:name w:val="Body Text 2 Char"/>
    <w:basedOn w:val="DefaultParagraphFont"/>
    <w:uiPriority w:val="99"/>
    <w:semiHidden/>
    <w:locked/>
    <w:rsid w:val="006D6293"/>
    <w:rPr>
      <w:rFonts w:cs="Calibri"/>
    </w:rPr>
  </w:style>
  <w:style w:type="character" w:customStyle="1" w:styleId="BodyText2Char1">
    <w:name w:val="Body Text 2 Char1"/>
    <w:basedOn w:val="DefaultParagraphFont"/>
    <w:link w:val="BodyText2"/>
    <w:uiPriority w:val="99"/>
    <w:locked/>
    <w:rsid w:val="003408E1"/>
    <w:rPr>
      <w:rFonts w:ascii="Times New Roman" w:hAnsi="Times New Roman" w:cs="Times New Roman"/>
      <w:sz w:val="20"/>
      <w:szCs w:val="20"/>
    </w:rPr>
  </w:style>
  <w:style w:type="table" w:styleId="TableGrid">
    <w:name w:val="Table Grid"/>
    <w:basedOn w:val="TableNormal"/>
    <w:uiPriority w:val="99"/>
    <w:rsid w:val="004F5DE5"/>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16435F"/>
    <w:rPr>
      <w:rFonts w:cs="Times New Roman"/>
      <w:sz w:val="16"/>
      <w:szCs w:val="16"/>
    </w:rPr>
  </w:style>
  <w:style w:type="paragraph" w:styleId="CommentText">
    <w:name w:val="annotation text"/>
    <w:basedOn w:val="Normal"/>
    <w:link w:val="CommentTextChar"/>
    <w:uiPriority w:val="99"/>
    <w:semiHidden/>
    <w:rsid w:val="0016435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6435F"/>
    <w:rPr>
      <w:rFonts w:cs="Times New Roman"/>
      <w:sz w:val="20"/>
      <w:szCs w:val="20"/>
    </w:rPr>
  </w:style>
  <w:style w:type="paragraph" w:styleId="CommentSubject">
    <w:name w:val="annotation subject"/>
    <w:basedOn w:val="CommentText"/>
    <w:next w:val="CommentText"/>
    <w:link w:val="CommentSubjectChar"/>
    <w:uiPriority w:val="99"/>
    <w:semiHidden/>
    <w:rsid w:val="0016435F"/>
    <w:rPr>
      <w:b/>
      <w:bCs/>
    </w:rPr>
  </w:style>
  <w:style w:type="character" w:customStyle="1" w:styleId="CommentSubjectChar">
    <w:name w:val="Comment Subject Char"/>
    <w:basedOn w:val="CommentTextChar"/>
    <w:link w:val="CommentSubject"/>
    <w:uiPriority w:val="99"/>
    <w:semiHidden/>
    <w:locked/>
    <w:rsid w:val="0016435F"/>
    <w:rPr>
      <w:rFonts w:cs="Times New Roman"/>
      <w:b/>
      <w:bCs/>
      <w:sz w:val="20"/>
      <w:szCs w:val="20"/>
    </w:rPr>
  </w:style>
  <w:style w:type="paragraph" w:styleId="BalloonText">
    <w:name w:val="Balloon Text"/>
    <w:basedOn w:val="Normal"/>
    <w:link w:val="BalloonTextChar"/>
    <w:uiPriority w:val="99"/>
    <w:semiHidden/>
    <w:rsid w:val="00164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435F"/>
    <w:rPr>
      <w:rFonts w:ascii="Tahoma" w:hAnsi="Tahoma" w:cs="Tahoma"/>
      <w:sz w:val="16"/>
      <w:szCs w:val="16"/>
    </w:rPr>
  </w:style>
  <w:style w:type="paragraph" w:customStyle="1" w:styleId="Bullet">
    <w:name w:val="Bullet"/>
    <w:basedOn w:val="Normal"/>
    <w:uiPriority w:val="99"/>
    <w:rsid w:val="00CF6713"/>
    <w:pPr>
      <w:numPr>
        <w:numId w:val="3"/>
      </w:numPr>
      <w:spacing w:after="240" w:line="240" w:lineRule="auto"/>
      <w:ind w:left="908" w:hanging="274"/>
    </w:pPr>
    <w:rPr>
      <w:rFonts w:ascii="Times New Roman" w:eastAsia="Times New Roman" w:hAnsi="Times New Roman" w:cs="Times New Roman"/>
      <w:sz w:val="24"/>
      <w:szCs w:val="24"/>
    </w:rPr>
  </w:style>
  <w:style w:type="paragraph" w:styleId="ListParagraph">
    <w:name w:val="List Paragraph"/>
    <w:basedOn w:val="Normal"/>
    <w:uiPriority w:val="34"/>
    <w:qFormat/>
    <w:rsid w:val="002724B7"/>
    <w:pPr>
      <w:ind w:left="720"/>
    </w:pPr>
  </w:style>
  <w:style w:type="character" w:styleId="FootnoteReference">
    <w:name w:val="footnote reference"/>
    <w:aliases w:val="fr"/>
    <w:basedOn w:val="DefaultParagraphFont"/>
    <w:uiPriority w:val="99"/>
    <w:rsid w:val="00422C25"/>
    <w:rPr>
      <w:rFonts w:cs="Times New Roman"/>
      <w:vertAlign w:val="superscript"/>
    </w:rPr>
  </w:style>
  <w:style w:type="paragraph" w:styleId="FootnoteText">
    <w:name w:val="footnote text"/>
    <w:basedOn w:val="Normal"/>
    <w:link w:val="FootnoteTextChar"/>
    <w:uiPriority w:val="99"/>
    <w:semiHidden/>
    <w:rsid w:val="00422C2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locked/>
    <w:rsid w:val="00422C25"/>
    <w:rPr>
      <w:rFonts w:ascii="Times New Roman" w:hAnsi="Times New Roman" w:cs="Times New Roman"/>
      <w:sz w:val="20"/>
      <w:szCs w:val="20"/>
    </w:rPr>
  </w:style>
  <w:style w:type="character" w:styleId="Hyperlink">
    <w:name w:val="Hyperlink"/>
    <w:basedOn w:val="DefaultParagraphFont"/>
    <w:uiPriority w:val="99"/>
    <w:rsid w:val="00422C25"/>
    <w:rPr>
      <w:rFonts w:cs="Times New Roman"/>
      <w:color w:val="0000FF"/>
      <w:u w:val="single"/>
    </w:rPr>
  </w:style>
  <w:style w:type="paragraph" w:styleId="NoSpacing">
    <w:name w:val="No Spacing"/>
    <w:uiPriority w:val="99"/>
    <w:qFormat/>
    <w:rsid w:val="00422C25"/>
    <w:rPr>
      <w:rFonts w:cs="Calibri"/>
      <w:sz w:val="22"/>
      <w:szCs w:val="22"/>
    </w:rPr>
  </w:style>
  <w:style w:type="paragraph" w:customStyle="1" w:styleId="CM80">
    <w:name w:val="CM80"/>
    <w:basedOn w:val="Normal"/>
    <w:next w:val="Normal"/>
    <w:rsid w:val="0010548D"/>
    <w:pPr>
      <w:widowControl w:val="0"/>
      <w:autoSpaceDE w:val="0"/>
      <w:autoSpaceDN w:val="0"/>
      <w:adjustRightInd w:val="0"/>
      <w:spacing w:after="275" w:line="240" w:lineRule="auto"/>
    </w:pPr>
    <w:rPr>
      <w:rFonts w:ascii="Times New Roman" w:eastAsia="SimSun" w:hAnsi="Times New Roman" w:cs="Times New Roman"/>
      <w:sz w:val="24"/>
      <w:szCs w:val="24"/>
      <w:lang w:eastAsia="zh-CN"/>
    </w:rPr>
  </w:style>
  <w:style w:type="paragraph" w:customStyle="1" w:styleId="Default">
    <w:name w:val="Default"/>
    <w:rsid w:val="00D721E1"/>
    <w:pPr>
      <w:widowControl w:val="0"/>
      <w:autoSpaceDE w:val="0"/>
      <w:autoSpaceDN w:val="0"/>
      <w:adjustRightInd w:val="0"/>
    </w:pPr>
    <w:rPr>
      <w:rFonts w:ascii="Times New Roman" w:eastAsia="SimSun" w:hAnsi="Times New Roman" w:cs="Times New Roman"/>
      <w:color w:val="000000"/>
      <w:sz w:val="24"/>
      <w:szCs w:val="24"/>
      <w:lang w:eastAsia="zh-CN"/>
    </w:rPr>
  </w:style>
  <w:style w:type="paragraph" w:customStyle="1" w:styleId="text">
    <w:name w:val="text"/>
    <w:basedOn w:val="Normal"/>
    <w:uiPriority w:val="99"/>
    <w:rsid w:val="00A06CF5"/>
    <w:pPr>
      <w:numPr>
        <w:ilvl w:val="12"/>
      </w:numPr>
      <w:autoSpaceDE w:val="0"/>
      <w:autoSpaceDN w:val="0"/>
      <w:adjustRightInd w:val="0"/>
      <w:spacing w:before="120" w:after="240" w:line="240" w:lineRule="auto"/>
      <w:ind w:firstLine="547"/>
    </w:pPr>
    <w:rPr>
      <w:rFonts w:ascii="Times New Roman" w:eastAsia="Times New Roman" w:hAnsi="Times New Roman" w:cs="Times New Roman"/>
      <w:sz w:val="24"/>
      <w:szCs w:val="24"/>
    </w:rPr>
  </w:style>
  <w:style w:type="character" w:customStyle="1" w:styleId="bulletsChar">
    <w:name w:val="bullets Char"/>
    <w:aliases w:val="bu Char"/>
    <w:basedOn w:val="DefaultParagraphFont"/>
    <w:link w:val="bullets"/>
    <w:uiPriority w:val="99"/>
    <w:locked/>
    <w:rsid w:val="006351CE"/>
    <w:rPr>
      <w:rFonts w:ascii="Calibri" w:hAnsi="Calibri" w:cs="Calibri"/>
      <w:sz w:val="24"/>
      <w:szCs w:val="24"/>
      <w:lang w:val="en-US" w:eastAsia="en-US"/>
    </w:rPr>
  </w:style>
  <w:style w:type="paragraph" w:customStyle="1" w:styleId="bullets">
    <w:name w:val="bullets"/>
    <w:aliases w:val="bu"/>
    <w:basedOn w:val="Normal"/>
    <w:link w:val="bulletsChar"/>
    <w:uiPriority w:val="99"/>
    <w:rsid w:val="006351CE"/>
    <w:pPr>
      <w:numPr>
        <w:numId w:val="18"/>
      </w:numPr>
      <w:spacing w:after="0" w:line="260" w:lineRule="exact"/>
    </w:pPr>
    <w:rPr>
      <w:sz w:val="24"/>
      <w:szCs w:val="24"/>
    </w:rPr>
  </w:style>
  <w:style w:type="paragraph" w:customStyle="1" w:styleId="bodytextpsgCharChar">
    <w:name w:val="body text_psg Char Char"/>
    <w:basedOn w:val="Normal"/>
    <w:link w:val="bodytextpsgCharCharChar"/>
    <w:uiPriority w:val="99"/>
    <w:rsid w:val="006351CE"/>
    <w:pPr>
      <w:numPr>
        <w:numId w:val="19"/>
      </w:numPr>
      <w:spacing w:after="120" w:line="260" w:lineRule="exact"/>
    </w:pPr>
    <w:rPr>
      <w:sz w:val="24"/>
      <w:szCs w:val="24"/>
    </w:rPr>
  </w:style>
  <w:style w:type="character" w:customStyle="1" w:styleId="bodytextpsgCharCharChar">
    <w:name w:val="body text_psg Char Char Char"/>
    <w:basedOn w:val="DefaultParagraphFont"/>
    <w:link w:val="bodytextpsgCharChar"/>
    <w:uiPriority w:val="99"/>
    <w:locked/>
    <w:rsid w:val="006351CE"/>
    <w:rPr>
      <w:rFonts w:ascii="Calibri" w:hAnsi="Calibri" w:cs="Calibri"/>
      <w:sz w:val="24"/>
      <w:szCs w:val="24"/>
      <w:lang w:val="en-US" w:eastAsia="en-US"/>
    </w:rPr>
  </w:style>
  <w:style w:type="paragraph" w:customStyle="1" w:styleId="bulletlast">
    <w:name w:val="bullet_last"/>
    <w:basedOn w:val="bullets"/>
    <w:uiPriority w:val="99"/>
    <w:rsid w:val="006351CE"/>
    <w:pPr>
      <w:numPr>
        <w:numId w:val="0"/>
      </w:numPr>
      <w:spacing w:after="120"/>
    </w:pPr>
  </w:style>
  <w:style w:type="paragraph" w:customStyle="1" w:styleId="exhibitsource">
    <w:name w:val="exhibit source"/>
    <w:basedOn w:val="Normal"/>
    <w:uiPriority w:val="99"/>
    <w:rsid w:val="006351CE"/>
    <w:pPr>
      <w:keepLines/>
      <w:spacing w:before="40" w:after="40" w:line="200" w:lineRule="exact"/>
      <w:ind w:left="187" w:hanging="187"/>
    </w:pPr>
    <w:rPr>
      <w:rFonts w:ascii="Arial" w:hAnsi="Arial" w:cs="Arial"/>
      <w:sz w:val="18"/>
      <w:szCs w:val="18"/>
    </w:rPr>
  </w:style>
  <w:style w:type="paragraph" w:customStyle="1" w:styleId="TableHeaders">
    <w:name w:val="Table Headers"/>
    <w:basedOn w:val="Normal"/>
    <w:uiPriority w:val="99"/>
    <w:rsid w:val="006351CE"/>
    <w:pPr>
      <w:keepNext/>
      <w:spacing w:before="40" w:after="40" w:line="240" w:lineRule="auto"/>
      <w:jc w:val="center"/>
    </w:pPr>
    <w:rPr>
      <w:rFonts w:ascii="Arial" w:hAnsi="Arial" w:cs="Arial"/>
      <w:b/>
      <w:bCs/>
      <w:color w:val="FFFFFF"/>
      <w:sz w:val="20"/>
      <w:szCs w:val="20"/>
    </w:rPr>
  </w:style>
  <w:style w:type="paragraph" w:customStyle="1" w:styleId="BodyText1">
    <w:name w:val="Body Text1"/>
    <w:aliases w:val="bt,body tx,indent,flush,memo body text"/>
    <w:basedOn w:val="Normal"/>
    <w:link w:val="bodytextChar"/>
    <w:uiPriority w:val="99"/>
    <w:rsid w:val="006351CE"/>
    <w:pPr>
      <w:spacing w:before="120" w:after="120" w:line="240" w:lineRule="auto"/>
      <w:ind w:firstLine="720"/>
    </w:pPr>
    <w:rPr>
      <w:sz w:val="24"/>
      <w:szCs w:val="24"/>
    </w:rPr>
  </w:style>
  <w:style w:type="character" w:customStyle="1" w:styleId="bodytextChar">
    <w:name w:val="body text Char"/>
    <w:aliases w:val="bt Char,body tx Char,indent Char,flush Char,memo body text Char"/>
    <w:basedOn w:val="DefaultParagraphFont"/>
    <w:link w:val="BodyText1"/>
    <w:uiPriority w:val="99"/>
    <w:locked/>
    <w:rsid w:val="006351CE"/>
    <w:rPr>
      <w:rFonts w:ascii="Calibri" w:hAnsi="Calibri" w:cs="Calibri"/>
      <w:sz w:val="24"/>
      <w:szCs w:val="24"/>
      <w:lang w:val="en-US" w:eastAsia="en-US"/>
    </w:rPr>
  </w:style>
  <w:style w:type="paragraph" w:customStyle="1" w:styleId="aft-12">
    <w:name w:val="aft-12"/>
    <w:basedOn w:val="bodytextpsgCharChar"/>
    <w:uiPriority w:val="99"/>
    <w:rsid w:val="006351CE"/>
    <w:pPr>
      <w:numPr>
        <w:numId w:val="14"/>
      </w:numPr>
      <w:tabs>
        <w:tab w:val="num" w:pos="1080"/>
      </w:tabs>
      <w:spacing w:before="240"/>
      <w:ind w:left="1080"/>
    </w:pPr>
  </w:style>
  <w:style w:type="paragraph" w:customStyle="1" w:styleId="bodytextpsg">
    <w:name w:val="body text_psg"/>
    <w:basedOn w:val="Normal"/>
    <w:link w:val="bodytextpsgChar"/>
    <w:uiPriority w:val="99"/>
    <w:rsid w:val="006351CE"/>
    <w:pPr>
      <w:spacing w:after="120" w:line="260" w:lineRule="exact"/>
      <w:ind w:firstLine="360"/>
    </w:pPr>
    <w:rPr>
      <w:rFonts w:ascii="Times New Roman" w:hAnsi="Times New Roman" w:cs="Times New Roman"/>
      <w:sz w:val="24"/>
      <w:szCs w:val="24"/>
    </w:rPr>
  </w:style>
  <w:style w:type="paragraph" w:customStyle="1" w:styleId="ExhibitTitle">
    <w:name w:val="Exhibit Title"/>
    <w:link w:val="ExhibitTitleChar"/>
    <w:uiPriority w:val="99"/>
    <w:rsid w:val="002D0984"/>
    <w:pPr>
      <w:keepNext/>
      <w:keepLines/>
      <w:spacing w:after="60" w:line="240" w:lineRule="exact"/>
      <w:ind w:left="1440" w:hanging="1440"/>
    </w:pPr>
    <w:rPr>
      <w:rFonts w:ascii="Arial Black" w:hAnsi="Arial Black" w:cs="Times New Roman"/>
      <w:sz w:val="22"/>
    </w:rPr>
  </w:style>
  <w:style w:type="character" w:customStyle="1" w:styleId="ExhibitTitleChar">
    <w:name w:val="Exhibit Title Char"/>
    <w:basedOn w:val="DefaultParagraphFont"/>
    <w:link w:val="ExhibitTitle"/>
    <w:uiPriority w:val="99"/>
    <w:locked/>
    <w:rsid w:val="002D0984"/>
    <w:rPr>
      <w:rFonts w:ascii="Arial Black" w:hAnsi="Arial Black" w:cs="Times New Roman"/>
      <w:sz w:val="22"/>
      <w:lang w:val="en-US" w:eastAsia="en-US" w:bidi="ar-SA"/>
    </w:rPr>
  </w:style>
  <w:style w:type="character" w:customStyle="1" w:styleId="bodytextpsgChar">
    <w:name w:val="body text_psg Char"/>
    <w:basedOn w:val="DefaultParagraphFont"/>
    <w:link w:val="bodytextpsg"/>
    <w:uiPriority w:val="99"/>
    <w:locked/>
    <w:rsid w:val="002D0984"/>
    <w:rPr>
      <w:rFonts w:cs="Times New Roman"/>
      <w:sz w:val="24"/>
      <w:szCs w:val="24"/>
      <w:lang w:val="en-US" w:eastAsia="en-US" w:bidi="ar-SA"/>
    </w:rPr>
  </w:style>
  <w:style w:type="paragraph" w:customStyle="1" w:styleId="atabtxt">
    <w:name w:val="atab_txt"/>
    <w:basedOn w:val="Normal"/>
    <w:uiPriority w:val="99"/>
    <w:rsid w:val="002D0984"/>
    <w:pPr>
      <w:keepNext/>
      <w:spacing w:after="0" w:line="240" w:lineRule="auto"/>
    </w:pPr>
    <w:rPr>
      <w:rFonts w:ascii="Arial" w:hAnsi="Arial" w:cs="Times New Roman"/>
      <w:sz w:val="20"/>
      <w:szCs w:val="20"/>
    </w:rPr>
  </w:style>
  <w:style w:type="character" w:customStyle="1" w:styleId="abolditalic">
    <w:name w:val="abold_italic"/>
    <w:basedOn w:val="DefaultParagraphFont"/>
    <w:uiPriority w:val="99"/>
    <w:rsid w:val="002D0984"/>
    <w:rPr>
      <w:rFonts w:cs="Times New Roman"/>
      <w:b/>
      <w:bCs/>
      <w:i/>
      <w:iCs/>
    </w:rPr>
  </w:style>
  <w:style w:type="character" w:customStyle="1" w:styleId="Heading1Char">
    <w:name w:val="Heading 1 Char"/>
    <w:basedOn w:val="DefaultParagraphFont"/>
    <w:link w:val="Heading1"/>
    <w:uiPriority w:val="9"/>
    <w:rsid w:val="008062BA"/>
    <w:rPr>
      <w:rFonts w:ascii="Cambria" w:eastAsia="Times New Roman" w:hAnsi="Cambria" w:cs="Times New Roman"/>
      <w:b/>
      <w:bCs/>
      <w:kern w:val="32"/>
      <w:sz w:val="32"/>
      <w:szCs w:val="32"/>
    </w:rPr>
  </w:style>
  <w:style w:type="paragraph" w:styleId="Footer">
    <w:name w:val="footer"/>
    <w:basedOn w:val="Normal"/>
    <w:link w:val="FooterChar"/>
    <w:uiPriority w:val="99"/>
    <w:locked/>
    <w:rsid w:val="008062BA"/>
    <w:pPr>
      <w:pBdr>
        <w:top w:val="single" w:sz="2" w:space="1" w:color="auto"/>
      </w:pBdr>
      <w:tabs>
        <w:tab w:val="right" w:pos="10530"/>
      </w:tabs>
      <w:spacing w:before="60" w:after="0" w:line="240" w:lineRule="auto"/>
    </w:pPr>
    <w:rPr>
      <w:rFonts w:ascii="Arial" w:eastAsia="Times New Roman" w:hAnsi="Arial" w:cs="Times New Roman"/>
      <w:i/>
      <w:sz w:val="18"/>
      <w:szCs w:val="20"/>
    </w:rPr>
  </w:style>
  <w:style w:type="character" w:customStyle="1" w:styleId="FooterChar">
    <w:name w:val="Footer Char"/>
    <w:basedOn w:val="DefaultParagraphFont"/>
    <w:link w:val="Footer"/>
    <w:uiPriority w:val="99"/>
    <w:rsid w:val="008062BA"/>
    <w:rPr>
      <w:rFonts w:ascii="Arial" w:eastAsia="Times New Roman" w:hAnsi="Arial" w:cs="Times New Roman"/>
      <w:i/>
      <w:sz w:val="18"/>
      <w:szCs w:val="20"/>
    </w:rPr>
  </w:style>
  <w:style w:type="paragraph" w:styleId="Header">
    <w:name w:val="header"/>
    <w:basedOn w:val="Normal"/>
    <w:link w:val="HeaderChar"/>
    <w:uiPriority w:val="99"/>
    <w:locked/>
    <w:rsid w:val="008062BA"/>
    <w:pPr>
      <w:pBdr>
        <w:bottom w:val="single" w:sz="6" w:space="1" w:color="auto"/>
      </w:pBdr>
      <w:tabs>
        <w:tab w:val="right" w:pos="10530"/>
      </w:tabs>
      <w:spacing w:after="120" w:line="240" w:lineRule="auto"/>
    </w:pPr>
    <w:rPr>
      <w:rFonts w:ascii="Arial" w:eastAsia="Times New Roman" w:hAnsi="Arial" w:cs="Times New Roman"/>
      <w:b/>
      <w:sz w:val="20"/>
      <w:szCs w:val="20"/>
    </w:rPr>
  </w:style>
  <w:style w:type="character" w:customStyle="1" w:styleId="HeaderChar">
    <w:name w:val="Header Char"/>
    <w:basedOn w:val="DefaultParagraphFont"/>
    <w:link w:val="Header"/>
    <w:uiPriority w:val="99"/>
    <w:rsid w:val="008062BA"/>
    <w:rPr>
      <w:rFonts w:ascii="Arial" w:eastAsia="Times New Roman" w:hAnsi="Arial" w:cs="Times New Roman"/>
      <w:b/>
      <w:sz w:val="20"/>
      <w:szCs w:val="20"/>
    </w:rPr>
  </w:style>
  <w:style w:type="paragraph" w:customStyle="1" w:styleId="Cov-Address">
    <w:name w:val="Cov-Address"/>
    <w:basedOn w:val="Normal"/>
    <w:rsid w:val="008062BA"/>
    <w:pPr>
      <w:spacing w:after="0" w:line="240" w:lineRule="auto"/>
      <w:jc w:val="right"/>
    </w:pPr>
    <w:rPr>
      <w:rFonts w:ascii="Verdana" w:eastAsia="Times New Roman" w:hAnsi="Verdana" w:cs="Times New Roman"/>
      <w:szCs w:val="20"/>
    </w:rPr>
  </w:style>
  <w:style w:type="paragraph" w:customStyle="1" w:styleId="Cov-Author">
    <w:name w:val="Cov-Author"/>
    <w:basedOn w:val="Normal"/>
    <w:rsid w:val="008062BA"/>
    <w:pPr>
      <w:spacing w:after="0" w:line="240" w:lineRule="auto"/>
      <w:jc w:val="right"/>
    </w:pPr>
    <w:rPr>
      <w:rFonts w:ascii="Verdana" w:eastAsia="Times New Roman" w:hAnsi="Verdana" w:cs="Times New Roman"/>
      <w:b/>
      <w:szCs w:val="20"/>
    </w:rPr>
  </w:style>
  <w:style w:type="paragraph" w:customStyle="1" w:styleId="Cov-Date">
    <w:name w:val="Cov-Date"/>
    <w:basedOn w:val="Normal"/>
    <w:rsid w:val="008062BA"/>
    <w:pPr>
      <w:spacing w:after="0" w:line="240" w:lineRule="auto"/>
      <w:jc w:val="right"/>
    </w:pPr>
    <w:rPr>
      <w:rFonts w:ascii="Verdana" w:eastAsia="Times New Roman" w:hAnsi="Verdana" w:cs="Times New Roman"/>
      <w:b/>
      <w:sz w:val="28"/>
      <w:szCs w:val="20"/>
    </w:rPr>
  </w:style>
  <w:style w:type="paragraph" w:customStyle="1" w:styleId="Cov-Disclaimer">
    <w:name w:val="Cov-Disclaimer"/>
    <w:basedOn w:val="Normal"/>
    <w:rsid w:val="008062BA"/>
    <w:pPr>
      <w:spacing w:after="0" w:line="240" w:lineRule="auto"/>
      <w:jc w:val="right"/>
    </w:pPr>
    <w:rPr>
      <w:rFonts w:ascii="Verdana" w:eastAsia="Times New Roman" w:hAnsi="Verdana" w:cs="Arial"/>
      <w:sz w:val="18"/>
      <w:szCs w:val="18"/>
    </w:rPr>
  </w:style>
  <w:style w:type="paragraph" w:customStyle="1" w:styleId="Cov-Subtitle">
    <w:name w:val="Cov-Subtitle"/>
    <w:basedOn w:val="Normal"/>
    <w:rsid w:val="008062BA"/>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rsid w:val="008062BA"/>
    <w:pPr>
      <w:spacing w:after="0" w:line="240" w:lineRule="auto"/>
      <w:jc w:val="right"/>
    </w:pPr>
    <w:rPr>
      <w:rFonts w:ascii="Verdana" w:eastAsia="Times New Roman" w:hAnsi="Verdana" w:cs="Times New Roman"/>
      <w:b/>
      <w:sz w:val="48"/>
      <w:szCs w:val="20"/>
    </w:rPr>
  </w:style>
  <w:style w:type="paragraph" w:styleId="TOC5">
    <w:name w:val="toc 5"/>
    <w:aliases w:val="toc tab/fig"/>
    <w:basedOn w:val="TOC2"/>
    <w:next w:val="Normal"/>
    <w:uiPriority w:val="39"/>
    <w:locked/>
    <w:rsid w:val="008062BA"/>
    <w:pPr>
      <w:spacing w:before="80" w:after="80"/>
      <w:ind w:left="700" w:hanging="700"/>
    </w:pPr>
  </w:style>
  <w:style w:type="paragraph" w:styleId="TOC2">
    <w:name w:val="toc 2"/>
    <w:basedOn w:val="Normal"/>
    <w:next w:val="Normal"/>
    <w:autoRedefine/>
    <w:uiPriority w:val="39"/>
    <w:locked/>
    <w:rsid w:val="00DC2C6A"/>
    <w:pPr>
      <w:tabs>
        <w:tab w:val="right" w:leader="dot" w:pos="9360"/>
      </w:tabs>
      <w:spacing w:after="120" w:line="240" w:lineRule="auto"/>
      <w:ind w:left="1170" w:right="720" w:hanging="630"/>
    </w:pPr>
    <w:rPr>
      <w:rFonts w:asciiTheme="minorBidi" w:eastAsia="MS Mincho" w:hAnsiTheme="minorBidi" w:cstheme="minorBidi"/>
      <w:b/>
      <w:bCs/>
      <w:noProof/>
      <w:sz w:val="20"/>
      <w:szCs w:val="20"/>
    </w:rPr>
  </w:style>
  <w:style w:type="paragraph" w:styleId="TOC1">
    <w:name w:val="toc 1"/>
    <w:basedOn w:val="Normal"/>
    <w:next w:val="Normal"/>
    <w:uiPriority w:val="39"/>
    <w:locked/>
    <w:rsid w:val="008062BA"/>
    <w:pPr>
      <w:tabs>
        <w:tab w:val="right" w:pos="9360"/>
      </w:tabs>
      <w:spacing w:before="240" w:after="0" w:line="240" w:lineRule="auto"/>
      <w:ind w:left="547" w:right="720" w:hanging="547"/>
    </w:pPr>
    <w:rPr>
      <w:rFonts w:ascii="Verdana" w:eastAsia="MS Mincho" w:hAnsi="Verdana" w:cs="Times New Roman"/>
      <w:b/>
      <w:noProof/>
      <w:sz w:val="20"/>
      <w:szCs w:val="20"/>
    </w:rPr>
  </w:style>
  <w:style w:type="paragraph" w:customStyle="1" w:styleId="toc0">
    <w:name w:val="toc 0"/>
    <w:basedOn w:val="Normal"/>
    <w:rsid w:val="008062BA"/>
    <w:pPr>
      <w:keepNext/>
      <w:pBdr>
        <w:bottom w:val="single" w:sz="2" w:space="10" w:color="auto"/>
      </w:pBdr>
      <w:spacing w:before="240" w:after="360" w:line="240" w:lineRule="auto"/>
      <w:jc w:val="center"/>
    </w:pPr>
    <w:rPr>
      <w:rFonts w:ascii="Verdana" w:eastAsia="MS Mincho" w:hAnsi="Verdana" w:cs="Times New Roman"/>
      <w:b/>
      <w:sz w:val="32"/>
      <w:szCs w:val="26"/>
    </w:rPr>
  </w:style>
  <w:style w:type="paragraph" w:styleId="TOC3">
    <w:name w:val="toc 3"/>
    <w:basedOn w:val="Normal"/>
    <w:next w:val="Normal"/>
    <w:uiPriority w:val="39"/>
    <w:locked/>
    <w:rsid w:val="008062BA"/>
    <w:pPr>
      <w:tabs>
        <w:tab w:val="right" w:leader="dot" w:pos="9360"/>
      </w:tabs>
      <w:spacing w:before="80" w:after="0" w:line="240" w:lineRule="auto"/>
      <w:ind w:left="1800" w:right="720" w:hanging="720"/>
    </w:pPr>
    <w:rPr>
      <w:rFonts w:ascii="Verdana" w:eastAsia="MS Mincho" w:hAnsi="Verdana" w:cs="Times New Roman"/>
      <w:noProof/>
      <w:sz w:val="20"/>
      <w:szCs w:val="20"/>
    </w:rPr>
  </w:style>
  <w:style w:type="paragraph" w:customStyle="1" w:styleId="TOCHeader">
    <w:name w:val="TOC Header"/>
    <w:basedOn w:val="Normal"/>
    <w:rsid w:val="008062BA"/>
    <w:pPr>
      <w:tabs>
        <w:tab w:val="right" w:pos="9360"/>
      </w:tabs>
      <w:spacing w:after="240" w:line="240" w:lineRule="auto"/>
    </w:pPr>
    <w:rPr>
      <w:rFonts w:ascii="Verdana" w:eastAsia="Times New Roman" w:hAnsi="Verdana" w:cs="Times New Roman"/>
      <w:b/>
      <w:sz w:val="20"/>
      <w:szCs w:val="20"/>
    </w:rPr>
  </w:style>
  <w:style w:type="character" w:customStyle="1" w:styleId="Heading2Char">
    <w:name w:val="Heading 2 Char"/>
    <w:basedOn w:val="DefaultParagraphFont"/>
    <w:link w:val="Heading2"/>
    <w:uiPriority w:val="9"/>
    <w:rsid w:val="00790274"/>
    <w:rPr>
      <w:rFonts w:ascii="Cambria" w:eastAsia="Times New Roman" w:hAnsi="Cambria" w:cs="Times New Roman"/>
      <w:b/>
      <w:bCs/>
      <w:i/>
      <w:iCs/>
      <w:sz w:val="28"/>
      <w:szCs w:val="28"/>
    </w:rPr>
  </w:style>
  <w:style w:type="paragraph" w:styleId="TOCHeading">
    <w:name w:val="TOC Heading"/>
    <w:basedOn w:val="Heading1"/>
    <w:next w:val="Normal"/>
    <w:uiPriority w:val="39"/>
    <w:semiHidden/>
    <w:unhideWhenUsed/>
    <w:qFormat/>
    <w:rsid w:val="00790274"/>
    <w:pPr>
      <w:keepLines/>
      <w:spacing w:before="480" w:after="0"/>
      <w:outlineLvl w:val="9"/>
    </w:pPr>
    <w:rPr>
      <w:color w:val="365F91"/>
      <w:kern w:val="0"/>
      <w:sz w:val="28"/>
      <w:szCs w:val="28"/>
    </w:rPr>
  </w:style>
  <w:style w:type="character" w:customStyle="1" w:styleId="Heading3Char">
    <w:name w:val="Heading 3 Char"/>
    <w:basedOn w:val="DefaultParagraphFont"/>
    <w:link w:val="Heading3"/>
    <w:uiPriority w:val="9"/>
    <w:rsid w:val="00790274"/>
    <w:rPr>
      <w:rFonts w:ascii="Cambria" w:eastAsia="Times New Roman" w:hAnsi="Cambria" w:cs="Times New Roman"/>
      <w:b/>
      <w:bCs/>
      <w:sz w:val="26"/>
      <w:szCs w:val="26"/>
    </w:rPr>
  </w:style>
  <w:style w:type="paragraph" w:customStyle="1" w:styleId="exhibitsource-2">
    <w:name w:val="exhibit source-2"/>
    <w:basedOn w:val="Normal"/>
    <w:uiPriority w:val="99"/>
    <w:rsid w:val="005A1C98"/>
    <w:pPr>
      <w:spacing w:before="40" w:after="120" w:line="200" w:lineRule="exact"/>
      <w:ind w:left="187" w:hanging="187"/>
    </w:pPr>
    <w:rPr>
      <w:rFonts w:ascii="Arial" w:eastAsia="Times New Roman" w:hAnsi="Arial" w:cs="Arial"/>
      <w:sz w:val="18"/>
      <w:szCs w:val="18"/>
    </w:rPr>
  </w:style>
  <w:style w:type="paragraph" w:customStyle="1" w:styleId="agraph">
    <w:name w:val="agraph"/>
    <w:basedOn w:val="Normal"/>
    <w:uiPriority w:val="99"/>
    <w:rsid w:val="005A1C98"/>
    <w:pPr>
      <w:keepNext/>
      <w:spacing w:before="60" w:after="60" w:line="240" w:lineRule="auto"/>
      <w:jc w:val="center"/>
    </w:pPr>
    <w:rPr>
      <w:rFonts w:ascii="Times New Roman" w:eastAsia="Times New Roman" w:hAnsi="Times New Roman" w:cs="Times New Roman"/>
      <w:sz w:val="24"/>
      <w:szCs w:val="20"/>
    </w:rPr>
  </w:style>
  <w:style w:type="paragraph" w:customStyle="1" w:styleId="CM12">
    <w:name w:val="CM12"/>
    <w:basedOn w:val="Default"/>
    <w:next w:val="Default"/>
    <w:rsid w:val="00BC273C"/>
    <w:pPr>
      <w:spacing w:line="260" w:lineRule="atLeast"/>
    </w:pPr>
    <w:rPr>
      <w:color w:val="auto"/>
    </w:rPr>
  </w:style>
  <w:style w:type="paragraph" w:customStyle="1" w:styleId="CM15">
    <w:name w:val="CM15"/>
    <w:basedOn w:val="Default"/>
    <w:next w:val="Default"/>
    <w:rsid w:val="006123D1"/>
    <w:pPr>
      <w:spacing w:line="278" w:lineRule="atLeast"/>
    </w:pPr>
    <w:rPr>
      <w:color w:val="auto"/>
    </w:rPr>
  </w:style>
</w:styles>
</file>

<file path=word/webSettings.xml><?xml version="1.0" encoding="utf-8"?>
<w:webSettings xmlns:r="http://schemas.openxmlformats.org/officeDocument/2006/relationships" xmlns:w="http://schemas.openxmlformats.org/wordprocessingml/2006/main">
  <w:divs>
    <w:div w:id="48313286">
      <w:bodyDiv w:val="1"/>
      <w:marLeft w:val="0"/>
      <w:marRight w:val="0"/>
      <w:marTop w:val="0"/>
      <w:marBottom w:val="0"/>
      <w:divBdr>
        <w:top w:val="none" w:sz="0" w:space="0" w:color="auto"/>
        <w:left w:val="none" w:sz="0" w:space="0" w:color="auto"/>
        <w:bottom w:val="none" w:sz="0" w:space="0" w:color="auto"/>
        <w:right w:val="none" w:sz="0" w:space="0" w:color="auto"/>
      </w:divBdr>
    </w:div>
    <w:div w:id="525559359">
      <w:bodyDiv w:val="1"/>
      <w:marLeft w:val="0"/>
      <w:marRight w:val="0"/>
      <w:marTop w:val="0"/>
      <w:marBottom w:val="0"/>
      <w:divBdr>
        <w:top w:val="none" w:sz="0" w:space="0" w:color="auto"/>
        <w:left w:val="none" w:sz="0" w:space="0" w:color="auto"/>
        <w:bottom w:val="none" w:sz="0" w:space="0" w:color="auto"/>
        <w:right w:val="none" w:sz="0" w:space="0" w:color="auto"/>
      </w:divBdr>
    </w:div>
    <w:div w:id="548227505">
      <w:bodyDiv w:val="1"/>
      <w:marLeft w:val="0"/>
      <w:marRight w:val="0"/>
      <w:marTop w:val="0"/>
      <w:marBottom w:val="0"/>
      <w:divBdr>
        <w:top w:val="none" w:sz="0" w:space="0" w:color="auto"/>
        <w:left w:val="none" w:sz="0" w:space="0" w:color="auto"/>
        <w:bottom w:val="none" w:sz="0" w:space="0" w:color="auto"/>
        <w:right w:val="none" w:sz="0" w:space="0" w:color="auto"/>
      </w:divBdr>
    </w:div>
    <w:div w:id="859126220">
      <w:bodyDiv w:val="1"/>
      <w:marLeft w:val="0"/>
      <w:marRight w:val="0"/>
      <w:marTop w:val="0"/>
      <w:marBottom w:val="0"/>
      <w:divBdr>
        <w:top w:val="none" w:sz="0" w:space="0" w:color="auto"/>
        <w:left w:val="none" w:sz="0" w:space="0" w:color="auto"/>
        <w:bottom w:val="none" w:sz="0" w:space="0" w:color="auto"/>
        <w:right w:val="none" w:sz="0" w:space="0" w:color="auto"/>
      </w:divBdr>
    </w:div>
    <w:div w:id="959385059">
      <w:marLeft w:val="0"/>
      <w:marRight w:val="0"/>
      <w:marTop w:val="0"/>
      <w:marBottom w:val="0"/>
      <w:divBdr>
        <w:top w:val="none" w:sz="0" w:space="0" w:color="auto"/>
        <w:left w:val="none" w:sz="0" w:space="0" w:color="auto"/>
        <w:bottom w:val="none" w:sz="0" w:space="0" w:color="auto"/>
        <w:right w:val="none" w:sz="0" w:space="0" w:color="auto"/>
      </w:divBdr>
    </w:div>
    <w:div w:id="959385060">
      <w:marLeft w:val="0"/>
      <w:marRight w:val="0"/>
      <w:marTop w:val="0"/>
      <w:marBottom w:val="0"/>
      <w:divBdr>
        <w:top w:val="none" w:sz="0" w:space="0" w:color="auto"/>
        <w:left w:val="none" w:sz="0" w:space="0" w:color="auto"/>
        <w:bottom w:val="none" w:sz="0" w:space="0" w:color="auto"/>
        <w:right w:val="none" w:sz="0" w:space="0" w:color="auto"/>
      </w:divBdr>
    </w:div>
    <w:div w:id="959385061">
      <w:marLeft w:val="0"/>
      <w:marRight w:val="0"/>
      <w:marTop w:val="0"/>
      <w:marBottom w:val="0"/>
      <w:divBdr>
        <w:top w:val="none" w:sz="0" w:space="0" w:color="auto"/>
        <w:left w:val="none" w:sz="0" w:space="0" w:color="auto"/>
        <w:bottom w:val="none" w:sz="0" w:space="0" w:color="auto"/>
        <w:right w:val="none" w:sz="0" w:space="0" w:color="auto"/>
      </w:divBdr>
    </w:div>
    <w:div w:id="959385062">
      <w:marLeft w:val="0"/>
      <w:marRight w:val="0"/>
      <w:marTop w:val="0"/>
      <w:marBottom w:val="0"/>
      <w:divBdr>
        <w:top w:val="none" w:sz="0" w:space="0" w:color="auto"/>
        <w:left w:val="none" w:sz="0" w:space="0" w:color="auto"/>
        <w:bottom w:val="none" w:sz="0" w:space="0" w:color="auto"/>
        <w:right w:val="none" w:sz="0" w:space="0" w:color="auto"/>
      </w:divBdr>
    </w:div>
    <w:div w:id="15914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TINTS6\GCCHS\OMB\Draft4%20ICR\ICR\gteague@cdc.gov" TargetMode="External"/><Relationship Id="rId13" Type="http://schemas.openxmlformats.org/officeDocument/2006/relationships/hyperlink" Target="mailto:kkrotki@rti.org" TargetMode="External"/><Relationship Id="rId18" Type="http://schemas.openxmlformats.org/officeDocument/2006/relationships/hyperlink" Target="mailto:wflande@sph.emory.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halji@rti.org" TargetMode="External"/><Relationship Id="rId17" Type="http://schemas.openxmlformats.org/officeDocument/2006/relationships/hyperlink" Target="mailto:rdelfino@uci.edu" TargetMode="External"/><Relationship Id="rId2" Type="http://schemas.openxmlformats.org/officeDocument/2006/relationships/numbering" Target="numbering.xml"/><Relationship Id="rId16" Type="http://schemas.openxmlformats.org/officeDocument/2006/relationships/hyperlink" Target="mailto:jwt@rti.org" TargetMode="External"/><Relationship Id="rId20" Type="http://schemas.openxmlformats.org/officeDocument/2006/relationships/hyperlink" Target="mailto:SIqbal@c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agener@rti.org"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lstrange@rti.org" TargetMode="External"/><Relationship Id="rId23" Type="http://schemas.openxmlformats.org/officeDocument/2006/relationships/theme" Target="theme/theme1.xml"/><Relationship Id="rId10" Type="http://schemas.openxmlformats.org/officeDocument/2006/relationships/hyperlink" Target="mailto:tboehmer@cdc.gov" TargetMode="External"/><Relationship Id="rId19" Type="http://schemas.openxmlformats.org/officeDocument/2006/relationships/hyperlink" Target="mailto:Dolsen@cdc.gov" TargetMode="External"/><Relationship Id="rId4" Type="http://schemas.openxmlformats.org/officeDocument/2006/relationships/settings" Target="settings.xml"/><Relationship Id="rId9" Type="http://schemas.openxmlformats.org/officeDocument/2006/relationships/hyperlink" Target="mailto:fyip@cdc.gov" TargetMode="External"/><Relationship Id="rId14" Type="http://schemas.openxmlformats.org/officeDocument/2006/relationships/hyperlink" Target="mailto:mhs@rti.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E6DCE-6A85-4A52-80B8-2E495E07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5362</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thalji</dc:creator>
  <cp:lastModifiedBy>ctac</cp:lastModifiedBy>
  <cp:revision>2</cp:revision>
  <cp:lastPrinted>2011-08-03T19:01:00Z</cp:lastPrinted>
  <dcterms:created xsi:type="dcterms:W3CDTF">2012-02-29T19:04:00Z</dcterms:created>
  <dcterms:modified xsi:type="dcterms:W3CDTF">2012-02-29T19:04:00Z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