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80" w:rsidRPr="00F374F5" w:rsidRDefault="00CB265B" w:rsidP="0093658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September 15</w:t>
      </w:r>
      <w:r w:rsidR="00936580" w:rsidRPr="00F374F5">
        <w:rPr>
          <w:rFonts w:ascii="Times New Roman" w:hAnsi="Times New Roman"/>
          <w:sz w:val="24"/>
          <w:szCs w:val="24"/>
        </w:rPr>
        <w:t>, 2011</w:t>
      </w:r>
      <w:r w:rsidR="001C0EE0">
        <w:rPr>
          <w:rFonts w:ascii="Times New Roman" w:hAnsi="Times New Roman"/>
          <w:sz w:val="24"/>
          <w:szCs w:val="24"/>
        </w:rPr>
        <w:t xml:space="preserve"> 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</w:p>
    <w:p w:rsidR="00936580" w:rsidRPr="00F374F5" w:rsidRDefault="00936580" w:rsidP="00936580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FROM:</w:t>
      </w:r>
      <w:r w:rsidRPr="00F374F5">
        <w:rPr>
          <w:rFonts w:ascii="Times New Roman" w:hAnsi="Times New Roman"/>
          <w:sz w:val="24"/>
          <w:szCs w:val="24"/>
        </w:rPr>
        <w:tab/>
        <w:t>Reports Clearance Officer, HRSA</w:t>
      </w:r>
    </w:p>
    <w:p w:rsidR="00936580" w:rsidRPr="00F374F5" w:rsidRDefault="00936580" w:rsidP="00936580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</w:p>
    <w:p w:rsidR="00936580" w:rsidRPr="00F374F5" w:rsidRDefault="00936580" w:rsidP="00936580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TO:</w:t>
      </w:r>
      <w:r w:rsidRPr="00F374F5">
        <w:rPr>
          <w:rFonts w:ascii="Times New Roman" w:hAnsi="Times New Roman"/>
          <w:sz w:val="24"/>
          <w:szCs w:val="24"/>
        </w:rPr>
        <w:tab/>
      </w:r>
      <w:r w:rsidRPr="00F374F5">
        <w:rPr>
          <w:rFonts w:ascii="Times New Roman" w:hAnsi="Times New Roman"/>
          <w:sz w:val="24"/>
          <w:szCs w:val="24"/>
        </w:rPr>
        <w:tab/>
        <w:t>Office of Information and Regulatory Affairs, OMB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</w:p>
    <w:p w:rsidR="00936580" w:rsidRPr="00F374F5" w:rsidRDefault="00936580" w:rsidP="00936580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SUBJECT:</w:t>
      </w:r>
      <w:r w:rsidRPr="00F374F5">
        <w:rPr>
          <w:rFonts w:ascii="Times New Roman" w:hAnsi="Times New Roman"/>
          <w:sz w:val="24"/>
          <w:szCs w:val="24"/>
        </w:rPr>
        <w:tab/>
        <w:t>HRSA Request for Non-Substantive Change to the National Practitioner Data Bank for Adverse Information on Physicians and Other Health Care Practitioners:  Regulations and Forms</w:t>
      </w:r>
      <w:r w:rsidR="0028448C" w:rsidRPr="00F374F5">
        <w:rPr>
          <w:rFonts w:ascii="Times New Roman" w:hAnsi="Times New Roman"/>
          <w:sz w:val="24"/>
          <w:szCs w:val="24"/>
        </w:rPr>
        <w:t xml:space="preserve"> (OMB Control N</w:t>
      </w:r>
      <w:r w:rsidR="009A5FDA" w:rsidRPr="00F374F5">
        <w:rPr>
          <w:rFonts w:ascii="Times New Roman" w:hAnsi="Times New Roman"/>
          <w:sz w:val="24"/>
          <w:szCs w:val="24"/>
        </w:rPr>
        <w:t>o. 0915-0126)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36580" w:rsidRPr="00F37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6580" w:rsidRPr="00F374F5" w:rsidRDefault="00936580" w:rsidP="0093658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36580" w:rsidRPr="00F374F5" w:rsidRDefault="00936580" w:rsidP="00936580">
      <w:pPr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36580" w:rsidRPr="00F37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6580" w:rsidRPr="00F374F5" w:rsidRDefault="00936580" w:rsidP="0093658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36580" w:rsidRPr="00F374F5" w:rsidRDefault="00936580" w:rsidP="00936580">
      <w:pPr>
        <w:tabs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The Health Resources and Services Administration (HRSA) is requesting Office of Management and Budget (OMB) review and approval of a non-substantive change to the</w:t>
      </w:r>
      <w:r w:rsidR="009A5FDA" w:rsidRPr="00F374F5">
        <w:rPr>
          <w:rFonts w:ascii="Times New Roman" w:hAnsi="Times New Roman"/>
          <w:sz w:val="24"/>
          <w:szCs w:val="24"/>
        </w:rPr>
        <w:t xml:space="preserve"> National Practitioner Data Bank for Adverse Information on Physicians and Other Health Care Practitioners</w:t>
      </w:r>
      <w:r w:rsidRPr="00F374F5">
        <w:rPr>
          <w:rFonts w:ascii="Times New Roman" w:hAnsi="Times New Roman"/>
          <w:sz w:val="24"/>
          <w:szCs w:val="24"/>
        </w:rPr>
        <w:t xml:space="preserve">. </w:t>
      </w:r>
      <w:r w:rsidR="0028448C" w:rsidRPr="00F374F5">
        <w:rPr>
          <w:rFonts w:ascii="Times New Roman" w:hAnsi="Times New Roman"/>
          <w:sz w:val="24"/>
          <w:szCs w:val="24"/>
        </w:rPr>
        <w:t xml:space="preserve">Specifically, HRSA is requesting to merge </w:t>
      </w:r>
      <w:r w:rsidR="00EB57AB">
        <w:rPr>
          <w:rFonts w:ascii="Times New Roman" w:hAnsi="Times New Roman"/>
          <w:sz w:val="24"/>
          <w:szCs w:val="24"/>
        </w:rPr>
        <w:t xml:space="preserve">three </w:t>
      </w:r>
      <w:r w:rsidR="0028448C" w:rsidRPr="00F374F5">
        <w:rPr>
          <w:rFonts w:ascii="Times New Roman" w:hAnsi="Times New Roman"/>
          <w:sz w:val="24"/>
          <w:szCs w:val="24"/>
        </w:rPr>
        <w:t xml:space="preserve">forms and </w:t>
      </w:r>
      <w:r w:rsidR="00EB57AB">
        <w:rPr>
          <w:rFonts w:ascii="Times New Roman" w:hAnsi="Times New Roman"/>
          <w:sz w:val="24"/>
          <w:szCs w:val="24"/>
        </w:rPr>
        <w:t xml:space="preserve">their associated </w:t>
      </w:r>
      <w:r w:rsidR="0028448C" w:rsidRPr="00F374F5">
        <w:rPr>
          <w:rFonts w:ascii="Times New Roman" w:hAnsi="Times New Roman"/>
          <w:sz w:val="24"/>
          <w:szCs w:val="24"/>
        </w:rPr>
        <w:t>burden included in OMB Control No. 0915-0331 into OMB Control No. 0915-0126, per OMB’s request.</w:t>
      </w:r>
      <w:r w:rsidRPr="00F374F5">
        <w:rPr>
          <w:rFonts w:ascii="Times New Roman" w:hAnsi="Times New Roman"/>
          <w:sz w:val="24"/>
          <w:szCs w:val="24"/>
        </w:rPr>
        <w:t xml:space="preserve"> </w:t>
      </w:r>
    </w:p>
    <w:p w:rsidR="0028448C" w:rsidRPr="00F374F5" w:rsidRDefault="0028448C" w:rsidP="00936580">
      <w:pPr>
        <w:rPr>
          <w:rFonts w:ascii="Times New Roman" w:hAnsi="Times New Roman"/>
          <w:sz w:val="24"/>
          <w:szCs w:val="24"/>
        </w:rPr>
      </w:pPr>
    </w:p>
    <w:p w:rsidR="0028448C" w:rsidRPr="00F374F5" w:rsidRDefault="0028448C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 xml:space="preserve">On March 15, 2010, a Notice of Action was issued for 0915-0331.  The </w:t>
      </w:r>
      <w:r w:rsidR="005C0FD6" w:rsidRPr="00F374F5">
        <w:rPr>
          <w:rFonts w:ascii="Times New Roman" w:hAnsi="Times New Roman"/>
          <w:sz w:val="24"/>
          <w:szCs w:val="24"/>
        </w:rPr>
        <w:t>package was approved</w:t>
      </w:r>
      <w:r w:rsidRPr="00F374F5">
        <w:rPr>
          <w:rFonts w:ascii="Times New Roman" w:hAnsi="Times New Roman"/>
          <w:sz w:val="24"/>
          <w:szCs w:val="24"/>
        </w:rPr>
        <w:t xml:space="preserve">, with the following Terms of Clearance Statement:  </w:t>
      </w:r>
    </w:p>
    <w:p w:rsidR="0028448C" w:rsidRPr="00F374F5" w:rsidRDefault="0028448C" w:rsidP="00936580">
      <w:pPr>
        <w:rPr>
          <w:rFonts w:ascii="Times New Roman" w:hAnsi="Times New Roman"/>
          <w:sz w:val="24"/>
          <w:szCs w:val="24"/>
        </w:rPr>
      </w:pPr>
    </w:p>
    <w:p w:rsidR="0028448C" w:rsidRPr="00F374F5" w:rsidRDefault="0028448C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“This ICR is approved without change, consistent with the final rule it is associated with. HRSA agrees to merge this burden into 0915-0126 as soon as practicable and before this 18 month approval has expired. In doing so, HRSA may submit the burden merger as a non-substantive change request. Once the burden has been merged into 0915-0126, HRSA agrees to promptly discontinue this ICR so that the burden is not double-counted.”</w:t>
      </w:r>
    </w:p>
    <w:p w:rsidR="0028448C" w:rsidRPr="00F374F5" w:rsidRDefault="0028448C" w:rsidP="00936580">
      <w:pPr>
        <w:rPr>
          <w:rFonts w:ascii="Times New Roman" w:hAnsi="Times New Roman"/>
          <w:sz w:val="24"/>
          <w:szCs w:val="24"/>
        </w:rPr>
      </w:pPr>
    </w:p>
    <w:p w:rsidR="00E87589" w:rsidRDefault="00E87589" w:rsidP="009365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Many of the forms and associated burden estimates from package 0915-0331 have already been incorporated into either 0915-0126 or another related package, titled </w:t>
      </w:r>
      <w:r w:rsidR="00E2568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Health Integrity and Protection Data Bank for Final Adverse Information on Health Care Providers, Suppliers, and Practitioners</w:t>
      </w:r>
      <w:r w:rsidR="00E2568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(0915-0239).  </w:t>
      </w:r>
    </w:p>
    <w:p w:rsidR="00E87589" w:rsidRDefault="00E87589" w:rsidP="00936580">
      <w:pPr>
        <w:rPr>
          <w:rFonts w:ascii="Times New Roman" w:hAnsi="Times New Roman"/>
          <w:sz w:val="24"/>
          <w:szCs w:val="24"/>
        </w:rPr>
      </w:pPr>
    </w:p>
    <w:p w:rsidR="000C7B41" w:rsidRPr="00F374F5" w:rsidRDefault="000C7B41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The following forms that</w:t>
      </w:r>
      <w:r w:rsidR="00945275" w:rsidRPr="00F374F5">
        <w:rPr>
          <w:rFonts w:ascii="Times New Roman" w:hAnsi="Times New Roman"/>
          <w:sz w:val="24"/>
          <w:szCs w:val="24"/>
        </w:rPr>
        <w:t xml:space="preserve"> </w:t>
      </w:r>
      <w:r w:rsidR="00CB265B">
        <w:rPr>
          <w:rFonts w:ascii="Times New Roman" w:hAnsi="Times New Roman"/>
          <w:sz w:val="24"/>
          <w:szCs w:val="24"/>
        </w:rPr>
        <w:t>HRSA is requesting to be</w:t>
      </w:r>
      <w:r w:rsidR="00945275" w:rsidRPr="00F374F5">
        <w:rPr>
          <w:rFonts w:ascii="Times New Roman" w:hAnsi="Times New Roman"/>
          <w:sz w:val="24"/>
          <w:szCs w:val="24"/>
        </w:rPr>
        <w:t xml:space="preserve"> merged</w:t>
      </w:r>
      <w:r w:rsidRPr="00F374F5">
        <w:rPr>
          <w:rFonts w:ascii="Times New Roman" w:hAnsi="Times New Roman"/>
          <w:sz w:val="24"/>
          <w:szCs w:val="24"/>
        </w:rPr>
        <w:t xml:space="preserve"> from 0915-0331 and into 0915-0126 are listed below:</w:t>
      </w:r>
    </w:p>
    <w:p w:rsidR="000C7B41" w:rsidRPr="00F374F5" w:rsidRDefault="000C7B41" w:rsidP="000C7B41">
      <w:pPr>
        <w:rPr>
          <w:rFonts w:ascii="Times New Roman" w:hAnsi="Times New Roman"/>
          <w:sz w:val="24"/>
          <w:szCs w:val="24"/>
        </w:rPr>
      </w:pPr>
    </w:p>
    <w:p w:rsidR="000C7B41" w:rsidRPr="00F374F5" w:rsidRDefault="000C7B41" w:rsidP="000C7B4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60.9 – Licensure Actions</w:t>
      </w:r>
      <w:r w:rsidR="00945275" w:rsidRPr="00F374F5">
        <w:rPr>
          <w:rFonts w:ascii="Times New Roman" w:hAnsi="Times New Roman"/>
          <w:sz w:val="24"/>
          <w:szCs w:val="24"/>
        </w:rPr>
        <w:t xml:space="preserve"> </w:t>
      </w:r>
    </w:p>
    <w:p w:rsidR="000C7B41" w:rsidRPr="00F374F5" w:rsidRDefault="000C7B41" w:rsidP="000C7B4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60.10 – Adverse Action Private Accreditation Entities</w:t>
      </w:r>
    </w:p>
    <w:p w:rsidR="000C7B41" w:rsidRPr="00F374F5" w:rsidRDefault="000C7B41" w:rsidP="000C7B4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60.10 – Adverse Actions Peer Review Organizations</w:t>
      </w:r>
    </w:p>
    <w:p w:rsidR="000C7B41" w:rsidRPr="00F374F5" w:rsidRDefault="000C7B41" w:rsidP="000C7B41">
      <w:pPr>
        <w:rPr>
          <w:rFonts w:ascii="Times New Roman" w:hAnsi="Times New Roman"/>
          <w:sz w:val="24"/>
          <w:szCs w:val="24"/>
        </w:rPr>
      </w:pPr>
    </w:p>
    <w:p w:rsidR="000C7B41" w:rsidRPr="00F374F5" w:rsidRDefault="00945275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The total burden hours associated with eac</w:t>
      </w:r>
      <w:r w:rsidR="00912BA8" w:rsidRPr="00F374F5">
        <w:rPr>
          <w:rFonts w:ascii="Times New Roman" w:hAnsi="Times New Roman"/>
          <w:sz w:val="24"/>
          <w:szCs w:val="24"/>
        </w:rPr>
        <w:t>h of the forms are shown below</w:t>
      </w:r>
      <w:r w:rsidRPr="00F374F5">
        <w:rPr>
          <w:rFonts w:ascii="Times New Roman" w:hAnsi="Times New Roman"/>
          <w:sz w:val="24"/>
          <w:szCs w:val="24"/>
        </w:rPr>
        <w:t>:</w:t>
      </w:r>
    </w:p>
    <w:p w:rsidR="00945275" w:rsidRPr="00F374F5" w:rsidRDefault="00945275" w:rsidP="00936580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945275" w:rsidRPr="00F374F5" w:rsidTr="00945275"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Instrument</w:t>
            </w:r>
          </w:p>
        </w:tc>
        <w:tc>
          <w:tcPr>
            <w:tcW w:w="1596" w:type="dxa"/>
          </w:tcPr>
          <w:p w:rsidR="00945275" w:rsidRPr="00F374F5" w:rsidRDefault="00F94A3E" w:rsidP="009365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</w:t>
            </w:r>
            <w:r w:rsidR="00945275" w:rsidRPr="00F374F5">
              <w:rPr>
                <w:rFonts w:ascii="Times New Roman" w:hAnsi="Times New Roman"/>
                <w:sz w:val="24"/>
                <w:szCs w:val="24"/>
              </w:rPr>
              <w:t xml:space="preserve"> of Respondents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Responses per Respondent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Total Responses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Hours per Response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Total Burden Hours</w:t>
            </w:r>
          </w:p>
        </w:tc>
      </w:tr>
      <w:tr w:rsidR="00945275" w:rsidRPr="00F374F5" w:rsidTr="00945275"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60.9 Licensure Actions</w:t>
            </w:r>
          </w:p>
        </w:tc>
        <w:tc>
          <w:tcPr>
            <w:tcW w:w="1596" w:type="dxa"/>
          </w:tcPr>
          <w:p w:rsidR="00945275" w:rsidRPr="00F94A3E" w:rsidRDefault="00945275" w:rsidP="0093658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0</w:t>
            </w:r>
            <w:r w:rsidR="00F94A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6" w:type="dxa"/>
          </w:tcPr>
          <w:p w:rsidR="00945275" w:rsidRPr="00F94A3E" w:rsidRDefault="00945275" w:rsidP="0093658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0</w:t>
            </w:r>
            <w:r w:rsidR="00F94A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6" w:type="dxa"/>
          </w:tcPr>
          <w:p w:rsidR="00945275" w:rsidRPr="00F94A3E" w:rsidRDefault="00945275" w:rsidP="0093658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0</w:t>
            </w:r>
            <w:r w:rsidR="00F94A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6" w:type="dxa"/>
          </w:tcPr>
          <w:p w:rsidR="00945275" w:rsidRPr="00F94A3E" w:rsidRDefault="00945275" w:rsidP="0093658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0</w:t>
            </w:r>
            <w:r w:rsidR="00F94A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6" w:type="dxa"/>
          </w:tcPr>
          <w:p w:rsidR="00945275" w:rsidRPr="00F94A3E" w:rsidRDefault="00945275" w:rsidP="0093658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0</w:t>
            </w:r>
            <w:r w:rsidR="00F94A3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45275" w:rsidRPr="00F374F5" w:rsidTr="00945275"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lastRenderedPageBreak/>
              <w:t>60.10 Adverse Actions Private Accreditation Entities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.75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8.25</w:t>
            </w:r>
          </w:p>
        </w:tc>
      </w:tr>
      <w:tr w:rsidR="00945275" w:rsidRPr="00F374F5" w:rsidTr="00945275"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60.10 Adverse Actions Peer Review Organizations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.75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37.5</w:t>
            </w:r>
          </w:p>
        </w:tc>
      </w:tr>
      <w:tr w:rsidR="00945275" w:rsidRPr="00F374F5" w:rsidTr="00945275"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45275" w:rsidRPr="00F374F5" w:rsidRDefault="00945275" w:rsidP="00936580">
            <w:pPr>
              <w:rPr>
                <w:rFonts w:ascii="Times New Roman" w:hAnsi="Times New Roman"/>
                <w:sz w:val="24"/>
                <w:szCs w:val="24"/>
              </w:rPr>
            </w:pPr>
            <w:r w:rsidRPr="00F374F5">
              <w:rPr>
                <w:rFonts w:ascii="Times New Roman" w:hAnsi="Times New Roman"/>
                <w:sz w:val="24"/>
                <w:szCs w:val="24"/>
              </w:rPr>
              <w:t>45.75</w:t>
            </w:r>
          </w:p>
        </w:tc>
      </w:tr>
    </w:tbl>
    <w:p w:rsidR="000C7B41" w:rsidRPr="00F374F5" w:rsidRDefault="000C7B41" w:rsidP="00936580">
      <w:pPr>
        <w:rPr>
          <w:rFonts w:ascii="Times New Roman" w:hAnsi="Times New Roman"/>
          <w:sz w:val="24"/>
          <w:szCs w:val="24"/>
        </w:rPr>
      </w:pPr>
    </w:p>
    <w:p w:rsidR="00F94A3E" w:rsidRPr="00F94A3E" w:rsidRDefault="00F94A3E" w:rsidP="00F94A3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94A3E">
        <w:rPr>
          <w:rFonts w:ascii="Times New Roman" w:hAnsi="Times New Roman"/>
          <w:sz w:val="24"/>
          <w:szCs w:val="24"/>
        </w:rPr>
        <w:t>Burden already included in the estimate for reporting adverse licensure actions to the HIPDB in 45 CFR Part 61 (OMB #0915-0239)</w:t>
      </w:r>
    </w:p>
    <w:p w:rsidR="00F94A3E" w:rsidRDefault="00F94A3E" w:rsidP="008975FF">
      <w:pPr>
        <w:rPr>
          <w:rFonts w:ascii="Times New Roman" w:hAnsi="Times New Roman"/>
          <w:sz w:val="24"/>
          <w:szCs w:val="24"/>
        </w:rPr>
      </w:pPr>
    </w:p>
    <w:p w:rsidR="00F94A3E" w:rsidRDefault="00F94A3E" w:rsidP="008975FF">
      <w:pPr>
        <w:rPr>
          <w:rFonts w:ascii="Times New Roman" w:hAnsi="Times New Roman"/>
          <w:sz w:val="24"/>
          <w:szCs w:val="24"/>
        </w:rPr>
      </w:pPr>
    </w:p>
    <w:p w:rsidR="008975FF" w:rsidRPr="00F374F5" w:rsidRDefault="007E22A2" w:rsidP="008975FF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T</w:t>
      </w:r>
      <w:r w:rsidR="00A70FE5" w:rsidRPr="00F374F5">
        <w:rPr>
          <w:rFonts w:ascii="Times New Roman" w:hAnsi="Times New Roman"/>
          <w:sz w:val="24"/>
          <w:szCs w:val="24"/>
        </w:rPr>
        <w:t>he addition of these forms result</w:t>
      </w:r>
      <w:r w:rsidRPr="00F374F5">
        <w:rPr>
          <w:rFonts w:ascii="Times New Roman" w:hAnsi="Times New Roman"/>
          <w:sz w:val="24"/>
          <w:szCs w:val="24"/>
        </w:rPr>
        <w:t>s</w:t>
      </w:r>
      <w:r w:rsidR="00A70FE5" w:rsidRPr="00F374F5">
        <w:rPr>
          <w:rFonts w:ascii="Times New Roman" w:hAnsi="Times New Roman"/>
          <w:sz w:val="24"/>
          <w:szCs w:val="24"/>
        </w:rPr>
        <w:t xml:space="preserve"> in an increase of 45.75 burden hours t</w:t>
      </w:r>
      <w:r w:rsidRPr="00F374F5">
        <w:rPr>
          <w:rFonts w:ascii="Times New Roman" w:hAnsi="Times New Roman"/>
          <w:sz w:val="24"/>
          <w:szCs w:val="24"/>
        </w:rPr>
        <w:t xml:space="preserve">o the package.  </w:t>
      </w:r>
      <w:r w:rsidR="00CB265B">
        <w:rPr>
          <w:rFonts w:ascii="Times New Roman" w:hAnsi="Times New Roman"/>
          <w:sz w:val="24"/>
          <w:szCs w:val="24"/>
        </w:rPr>
        <w:t>Thus</w:t>
      </w:r>
      <w:r w:rsidR="001E70A1">
        <w:rPr>
          <w:rFonts w:ascii="Times New Roman" w:hAnsi="Times New Roman"/>
          <w:sz w:val="24"/>
          <w:szCs w:val="24"/>
        </w:rPr>
        <w:t>, t</w:t>
      </w:r>
      <w:r w:rsidR="008975FF" w:rsidRPr="00F374F5">
        <w:rPr>
          <w:rFonts w:ascii="Times New Roman" w:hAnsi="Times New Roman"/>
          <w:sz w:val="24"/>
          <w:szCs w:val="24"/>
        </w:rPr>
        <w:t>he total burden hours reques</w:t>
      </w:r>
      <w:r w:rsidR="00CB265B">
        <w:rPr>
          <w:rFonts w:ascii="Times New Roman" w:hAnsi="Times New Roman"/>
          <w:sz w:val="24"/>
          <w:szCs w:val="24"/>
        </w:rPr>
        <w:t>ted for this package are 324,823</w:t>
      </w:r>
      <w:r w:rsidR="008975FF" w:rsidRPr="00F374F5">
        <w:rPr>
          <w:rFonts w:ascii="Times New Roman" w:hAnsi="Times New Roman"/>
          <w:sz w:val="24"/>
          <w:szCs w:val="24"/>
        </w:rPr>
        <w:t xml:space="preserve">.  </w:t>
      </w:r>
    </w:p>
    <w:p w:rsidR="007E22A2" w:rsidRPr="00F374F5" w:rsidRDefault="007E22A2" w:rsidP="00936580">
      <w:pPr>
        <w:rPr>
          <w:rFonts w:ascii="Times New Roman" w:hAnsi="Times New Roman"/>
          <w:sz w:val="24"/>
          <w:szCs w:val="24"/>
        </w:rPr>
      </w:pPr>
    </w:p>
    <w:p w:rsidR="001E70A1" w:rsidRPr="00F374F5" w:rsidRDefault="001E70A1" w:rsidP="009365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let m</w:t>
      </w:r>
      <w:r w:rsidR="00E87589">
        <w:rPr>
          <w:rFonts w:ascii="Times New Roman" w:hAnsi="Times New Roman"/>
          <w:sz w:val="24"/>
          <w:szCs w:val="24"/>
        </w:rPr>
        <w:t>e know if you have any questions</w:t>
      </w:r>
      <w:r>
        <w:rPr>
          <w:rFonts w:ascii="Times New Roman" w:hAnsi="Times New Roman"/>
          <w:sz w:val="24"/>
          <w:szCs w:val="24"/>
        </w:rPr>
        <w:t>.</w:t>
      </w:r>
    </w:p>
    <w:p w:rsidR="00945275" w:rsidRPr="00F374F5" w:rsidRDefault="00945275" w:rsidP="00936580">
      <w:pPr>
        <w:rPr>
          <w:rFonts w:ascii="Times New Roman" w:hAnsi="Times New Roman"/>
          <w:sz w:val="24"/>
          <w:szCs w:val="24"/>
        </w:rPr>
      </w:pPr>
    </w:p>
    <w:p w:rsidR="00945275" w:rsidRPr="00F374F5" w:rsidRDefault="00945275" w:rsidP="00936580">
      <w:pPr>
        <w:rPr>
          <w:rFonts w:ascii="Times New Roman" w:hAnsi="Times New Roman"/>
          <w:sz w:val="24"/>
          <w:szCs w:val="24"/>
        </w:rPr>
      </w:pPr>
    </w:p>
    <w:p w:rsidR="00945275" w:rsidRPr="00F374F5" w:rsidRDefault="00945275" w:rsidP="00936580">
      <w:pPr>
        <w:rPr>
          <w:rFonts w:ascii="Times New Roman" w:hAnsi="Times New Roman"/>
          <w:sz w:val="24"/>
          <w:szCs w:val="24"/>
        </w:rPr>
      </w:pPr>
    </w:p>
    <w:p w:rsidR="00936580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Thank you.</w:t>
      </w:r>
    </w:p>
    <w:p w:rsidR="00CB265B" w:rsidRPr="00F374F5" w:rsidRDefault="00CB265B" w:rsidP="00936580">
      <w:pPr>
        <w:rPr>
          <w:rFonts w:ascii="Times New Roman" w:hAnsi="Times New Roman"/>
          <w:sz w:val="24"/>
          <w:szCs w:val="24"/>
        </w:rPr>
      </w:pP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Carla Haddad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</w:p>
    <w:p w:rsidR="00936580" w:rsidRPr="00F374F5" w:rsidRDefault="00936580" w:rsidP="00936580">
      <w:pPr>
        <w:rPr>
          <w:rFonts w:ascii="Times New Roman" w:hAnsi="Times New Roman"/>
          <w:b/>
          <w:bCs/>
          <w:sz w:val="24"/>
          <w:szCs w:val="24"/>
        </w:rPr>
      </w:pPr>
    </w:p>
    <w:p w:rsidR="00936580" w:rsidRPr="00F374F5" w:rsidRDefault="00936580" w:rsidP="00936580">
      <w:pPr>
        <w:rPr>
          <w:rFonts w:ascii="Times New Roman" w:hAnsi="Times New Roman"/>
          <w:bCs/>
          <w:sz w:val="24"/>
          <w:szCs w:val="24"/>
        </w:rPr>
      </w:pPr>
      <w:r w:rsidRPr="00F374F5">
        <w:rPr>
          <w:rFonts w:ascii="Times New Roman" w:hAnsi="Times New Roman"/>
          <w:bCs/>
          <w:sz w:val="24"/>
          <w:szCs w:val="24"/>
        </w:rPr>
        <w:t>Carla Haddad, MPH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Public Health Analyst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Office of Planning, Analysis and Evaluation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Health Resources and Services Administration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5600 Fishers Lane, Rm 10-49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Rockville, MD 20857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>Phone: (301) 443-0165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  <w:r w:rsidRPr="00F374F5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Pr="00F374F5">
          <w:rPr>
            <w:rStyle w:val="Hyperlink"/>
            <w:rFonts w:ascii="Times New Roman" w:hAnsi="Times New Roman"/>
            <w:sz w:val="24"/>
            <w:szCs w:val="24"/>
          </w:rPr>
          <w:t>CHaddad@hrsa.gov</w:t>
        </w:r>
      </w:hyperlink>
      <w:r w:rsidRPr="00F374F5">
        <w:rPr>
          <w:rFonts w:ascii="Times New Roman" w:hAnsi="Times New Roman"/>
          <w:sz w:val="24"/>
          <w:szCs w:val="24"/>
        </w:rPr>
        <w:t xml:space="preserve"> </w:t>
      </w:r>
    </w:p>
    <w:p w:rsidR="00936580" w:rsidRPr="00F374F5" w:rsidRDefault="00936580" w:rsidP="00936580">
      <w:pPr>
        <w:rPr>
          <w:rFonts w:ascii="Times New Roman" w:hAnsi="Times New Roman"/>
          <w:sz w:val="24"/>
          <w:szCs w:val="24"/>
        </w:rPr>
      </w:pPr>
    </w:p>
    <w:p w:rsidR="007E22A2" w:rsidRPr="00F374F5" w:rsidRDefault="007E22A2">
      <w:pPr>
        <w:rPr>
          <w:rFonts w:ascii="Times New Roman" w:hAnsi="Times New Roman"/>
          <w:sz w:val="24"/>
          <w:szCs w:val="24"/>
        </w:rPr>
      </w:pPr>
    </w:p>
    <w:sectPr w:rsidR="007E22A2" w:rsidRPr="00F374F5" w:rsidSect="007E22A2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EE0" w:rsidRDefault="001C0EE0" w:rsidP="001C0EE0">
      <w:r>
        <w:separator/>
      </w:r>
    </w:p>
  </w:endnote>
  <w:endnote w:type="continuationSeparator" w:id="1">
    <w:p w:rsidR="001C0EE0" w:rsidRDefault="001C0EE0" w:rsidP="001C0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EE0" w:rsidRDefault="001C0EE0" w:rsidP="001C0EE0">
      <w:r>
        <w:separator/>
      </w:r>
    </w:p>
  </w:footnote>
  <w:footnote w:type="continuationSeparator" w:id="1">
    <w:p w:rsidR="001C0EE0" w:rsidRDefault="001C0EE0" w:rsidP="001C0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E0" w:rsidRDefault="001C0E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E0" w:rsidRDefault="001C0E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E0" w:rsidRDefault="001C0E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D133C"/>
    <w:multiLevelType w:val="hybridMultilevel"/>
    <w:tmpl w:val="AA786692"/>
    <w:lvl w:ilvl="0" w:tplc="628E737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3057D"/>
    <w:multiLevelType w:val="hybridMultilevel"/>
    <w:tmpl w:val="8152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E4424"/>
    <w:multiLevelType w:val="hybridMultilevel"/>
    <w:tmpl w:val="C6E4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A074A"/>
    <w:multiLevelType w:val="hybridMultilevel"/>
    <w:tmpl w:val="8586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63328"/>
    <w:multiLevelType w:val="hybridMultilevel"/>
    <w:tmpl w:val="90406EFC"/>
    <w:lvl w:ilvl="0" w:tplc="5296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23978"/>
    <w:multiLevelType w:val="hybridMultilevel"/>
    <w:tmpl w:val="89ACFA5C"/>
    <w:lvl w:ilvl="0" w:tplc="4834502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936580"/>
    <w:rsid w:val="000C7B41"/>
    <w:rsid w:val="001C0EE0"/>
    <w:rsid w:val="001E70A1"/>
    <w:rsid w:val="0028448C"/>
    <w:rsid w:val="00336EBA"/>
    <w:rsid w:val="003D4174"/>
    <w:rsid w:val="005C0FD6"/>
    <w:rsid w:val="00627642"/>
    <w:rsid w:val="00754CAA"/>
    <w:rsid w:val="007E22A2"/>
    <w:rsid w:val="00820384"/>
    <w:rsid w:val="008975FF"/>
    <w:rsid w:val="008B4632"/>
    <w:rsid w:val="00912BA8"/>
    <w:rsid w:val="00936580"/>
    <w:rsid w:val="00945275"/>
    <w:rsid w:val="00952565"/>
    <w:rsid w:val="00956A82"/>
    <w:rsid w:val="009A5FDA"/>
    <w:rsid w:val="00A70FE5"/>
    <w:rsid w:val="00A9091F"/>
    <w:rsid w:val="00BC5E43"/>
    <w:rsid w:val="00C9673A"/>
    <w:rsid w:val="00CB265B"/>
    <w:rsid w:val="00E23322"/>
    <w:rsid w:val="00E25686"/>
    <w:rsid w:val="00E61878"/>
    <w:rsid w:val="00E87589"/>
    <w:rsid w:val="00EB57AB"/>
    <w:rsid w:val="00F374F5"/>
    <w:rsid w:val="00F94A3E"/>
    <w:rsid w:val="00FA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80"/>
    <w:pPr>
      <w:spacing w:after="0" w:line="240" w:lineRule="auto"/>
    </w:pPr>
    <w:rPr>
      <w:rFonts w:ascii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936580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580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93658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3658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45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0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EE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C0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EE0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ddad@hrs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407F-8068-4576-9981-B4118482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CHaddad</dc:creator>
  <cp:keywords/>
  <dc:description/>
  <cp:lastModifiedBy>CHaddad</cp:lastModifiedBy>
  <cp:revision>16</cp:revision>
  <dcterms:created xsi:type="dcterms:W3CDTF">2011-08-29T15:43:00Z</dcterms:created>
  <dcterms:modified xsi:type="dcterms:W3CDTF">2011-09-16T16:38:00Z</dcterms:modified>
</cp:coreProperties>
</file>