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06C" w:rsidRDefault="00002B02" w:rsidP="00BD56EF">
      <w:pPr>
        <w:pStyle w:val="BodyText"/>
        <w:jc w:val="center"/>
        <w:rPr>
          <w:b/>
          <w:sz w:val="48"/>
        </w:rPr>
      </w:pPr>
      <w:bookmarkStart w:id="0" w:name="_Toc224972095"/>
      <w:bookmarkStart w:id="1" w:name="_Toc233444275"/>
      <w:r>
        <w:rPr>
          <w:b/>
          <w:sz w:val="48"/>
        </w:rPr>
        <w:t>DATA COLLE</w:t>
      </w:r>
      <w:r w:rsidR="0002406C">
        <w:rPr>
          <w:b/>
          <w:sz w:val="48"/>
        </w:rPr>
        <w:t>C</w:t>
      </w:r>
      <w:r>
        <w:rPr>
          <w:b/>
          <w:sz w:val="48"/>
        </w:rPr>
        <w:t>TION AND REPORTING FOR HUD</w:t>
      </w:r>
      <w:r w:rsidR="0002406C">
        <w:rPr>
          <w:b/>
          <w:sz w:val="48"/>
        </w:rPr>
        <w:t>’S</w:t>
      </w:r>
      <w:r>
        <w:rPr>
          <w:b/>
          <w:sz w:val="48"/>
        </w:rPr>
        <w:t xml:space="preserve"> </w:t>
      </w:r>
    </w:p>
    <w:p w:rsidR="00E9087D" w:rsidRDefault="00494496" w:rsidP="00BD56EF">
      <w:pPr>
        <w:pStyle w:val="BodyText"/>
        <w:jc w:val="center"/>
        <w:rPr>
          <w:b/>
          <w:sz w:val="48"/>
        </w:rPr>
      </w:pPr>
      <w:r>
        <w:rPr>
          <w:b/>
          <w:sz w:val="48"/>
        </w:rPr>
        <w:t xml:space="preserve">McKinney-Vento Technical Assistance </w:t>
      </w:r>
      <w:r w:rsidR="00867184">
        <w:rPr>
          <w:b/>
          <w:sz w:val="48"/>
        </w:rPr>
        <w:t>Narrative,</w:t>
      </w:r>
      <w:r w:rsidR="00AB307B">
        <w:rPr>
          <w:b/>
          <w:sz w:val="48"/>
        </w:rPr>
        <w:t xml:space="preserve"> </w:t>
      </w:r>
      <w:r>
        <w:rPr>
          <w:b/>
          <w:sz w:val="48"/>
        </w:rPr>
        <w:t>Matrices</w:t>
      </w:r>
      <w:r w:rsidR="00867184">
        <w:rPr>
          <w:b/>
          <w:sz w:val="48"/>
        </w:rPr>
        <w:t>, and Reporting</w:t>
      </w:r>
      <w:r w:rsidR="009F4BF2">
        <w:rPr>
          <w:b/>
          <w:sz w:val="48"/>
        </w:rPr>
        <w:t xml:space="preserve"> Requirements</w:t>
      </w:r>
    </w:p>
    <w:p w:rsidR="00BD56EF" w:rsidRDefault="00BD56EF" w:rsidP="00BD56EF">
      <w:pPr>
        <w:pStyle w:val="BodyText"/>
        <w:jc w:val="center"/>
        <w:rPr>
          <w:b/>
          <w:sz w:val="40"/>
        </w:rPr>
      </w:pPr>
    </w:p>
    <w:p w:rsidR="00BD56EF" w:rsidRDefault="00BD56EF" w:rsidP="00BD56EF">
      <w:pPr>
        <w:pStyle w:val="BodyText"/>
        <w:jc w:val="center"/>
        <w:rPr>
          <w:b/>
          <w:sz w:val="40"/>
        </w:rPr>
      </w:pPr>
    </w:p>
    <w:p w:rsidR="00BD56EF" w:rsidRDefault="00BD56EF" w:rsidP="00BD56EF">
      <w:pPr>
        <w:pStyle w:val="BodyText"/>
        <w:jc w:val="center"/>
        <w:rPr>
          <w:b/>
          <w:sz w:val="40"/>
        </w:rPr>
      </w:pPr>
    </w:p>
    <w:p w:rsidR="00BD56EF" w:rsidRDefault="00BD56EF" w:rsidP="00BD56EF">
      <w:pPr>
        <w:pStyle w:val="BodyText"/>
        <w:jc w:val="center"/>
        <w:rPr>
          <w:b/>
          <w:sz w:val="40"/>
        </w:rPr>
      </w:pPr>
    </w:p>
    <w:p w:rsidR="00BD56EF" w:rsidRDefault="00BD56EF" w:rsidP="00BD56EF">
      <w:pPr>
        <w:pStyle w:val="BodyText"/>
        <w:jc w:val="center"/>
        <w:rPr>
          <w:b/>
          <w:sz w:val="40"/>
        </w:rPr>
      </w:pPr>
    </w:p>
    <w:p w:rsidR="00BD56EF" w:rsidRDefault="00BD56EF" w:rsidP="00BD56EF">
      <w:pPr>
        <w:pStyle w:val="BodyText"/>
        <w:jc w:val="center"/>
        <w:rPr>
          <w:b/>
          <w:sz w:val="40"/>
        </w:rPr>
      </w:pPr>
      <w:r>
        <w:rPr>
          <w:b/>
          <w:sz w:val="40"/>
        </w:rPr>
        <w:t>OMB PAPERWORK REDUCTION ACT SUBMISSION</w:t>
      </w:r>
    </w:p>
    <w:p w:rsidR="00BD56EF" w:rsidRDefault="00BD56EF" w:rsidP="00BD56EF">
      <w:pPr>
        <w:pStyle w:val="BodyText"/>
        <w:jc w:val="center"/>
        <w:rPr>
          <w:b/>
          <w:sz w:val="40"/>
        </w:rPr>
      </w:pPr>
    </w:p>
    <w:p w:rsidR="00BD56EF" w:rsidRDefault="00DC7B9B" w:rsidP="00BD56EF">
      <w:pPr>
        <w:pStyle w:val="BodyText"/>
        <w:jc w:val="center"/>
        <w:rPr>
          <w:b/>
          <w:sz w:val="40"/>
        </w:rPr>
      </w:pPr>
      <w:r>
        <w:rPr>
          <w:b/>
          <w:sz w:val="40"/>
        </w:rPr>
        <w:t>April 2011</w:t>
      </w:r>
    </w:p>
    <w:p w:rsidR="00BD56EF" w:rsidRDefault="00BD56EF" w:rsidP="00BD56EF">
      <w:pPr>
        <w:jc w:val="center"/>
        <w:rPr>
          <w:rFonts w:ascii="Arial" w:hAnsi="Arial"/>
          <w:b/>
          <w:sz w:val="36"/>
        </w:rPr>
        <w:sectPr w:rsidR="00BD56EF" w:rsidSect="00BD56EF">
          <w:footerReference w:type="default" r:id="rId8"/>
          <w:pgSz w:w="12240" w:h="15840" w:code="1"/>
          <w:pgMar w:top="1440" w:right="1440" w:bottom="1440" w:left="1440" w:header="720" w:footer="576" w:gutter="0"/>
          <w:pgNumType w:fmt="lowerRoman" w:start="1"/>
          <w:cols w:space="720"/>
        </w:sectPr>
      </w:pPr>
    </w:p>
    <w:p w:rsidR="00BD56EF" w:rsidRDefault="005B7C99" w:rsidP="00BD56EF">
      <w:pPr>
        <w:jc w:val="center"/>
        <w:rPr>
          <w:rFonts w:ascii="Arial" w:hAnsi="Arial"/>
          <w:b/>
          <w:sz w:val="36"/>
        </w:rPr>
      </w:pPr>
      <w:r>
        <w:rPr>
          <w:rFonts w:ascii="Arial" w:hAnsi="Arial"/>
          <w:b/>
          <w:noProof/>
          <w:sz w:val="36"/>
        </w:rPr>
        <w:lastRenderedPageBreak/>
        <w:pict>
          <v:line id="_x0000_s1026" style="position:absolute;left:0;text-align:left;z-index:251657728" from="0,21.45pt" to="452.6pt,21.45pt" o:allowincell="f"/>
        </w:pict>
      </w:r>
      <w:r w:rsidR="00BD56EF">
        <w:rPr>
          <w:rFonts w:ascii="Arial" w:hAnsi="Arial"/>
          <w:b/>
          <w:sz w:val="36"/>
        </w:rPr>
        <w:t>Table of Contents</w:t>
      </w:r>
    </w:p>
    <w:p w:rsidR="00BD56EF" w:rsidRDefault="00BD56EF" w:rsidP="00BD56EF">
      <w:pPr>
        <w:tabs>
          <w:tab w:val="right" w:leader="dot" w:pos="9360"/>
        </w:tabs>
      </w:pPr>
    </w:p>
    <w:p w:rsidR="009F4BF2" w:rsidRDefault="005B7C99">
      <w:pPr>
        <w:pStyle w:val="TOC1"/>
        <w:tabs>
          <w:tab w:val="right" w:leader="dot" w:pos="9350"/>
        </w:tabs>
        <w:rPr>
          <w:rFonts w:asciiTheme="minorHAnsi" w:eastAsiaTheme="minorEastAsia" w:hAnsiTheme="minorHAnsi" w:cstheme="minorBidi"/>
          <w:b w:val="0"/>
          <w:noProof/>
          <w:sz w:val="22"/>
          <w:szCs w:val="22"/>
        </w:rPr>
      </w:pPr>
      <w:r w:rsidRPr="005B7C99">
        <w:fldChar w:fldCharType="begin"/>
      </w:r>
      <w:r w:rsidR="000826D1">
        <w:instrText xml:space="preserve"> TOC \o "1-3" </w:instrText>
      </w:r>
      <w:r w:rsidRPr="005B7C99">
        <w:fldChar w:fldCharType="separate"/>
      </w:r>
      <w:r w:rsidR="009F4BF2">
        <w:rPr>
          <w:noProof/>
        </w:rPr>
        <w:t>Part A Justification</w:t>
      </w:r>
      <w:r w:rsidR="009F4BF2">
        <w:rPr>
          <w:noProof/>
        </w:rPr>
        <w:tab/>
      </w:r>
      <w:r>
        <w:rPr>
          <w:noProof/>
        </w:rPr>
        <w:fldChar w:fldCharType="begin"/>
      </w:r>
      <w:r w:rsidR="009F4BF2">
        <w:rPr>
          <w:noProof/>
        </w:rPr>
        <w:instrText xml:space="preserve"> PAGEREF _Toc291677930 \h </w:instrText>
      </w:r>
      <w:r>
        <w:rPr>
          <w:noProof/>
        </w:rPr>
      </w:r>
      <w:r>
        <w:rPr>
          <w:noProof/>
        </w:rPr>
        <w:fldChar w:fldCharType="separate"/>
      </w:r>
      <w:r w:rsidR="009F4BF2">
        <w:rPr>
          <w:noProof/>
        </w:rPr>
        <w:t>2</w:t>
      </w:r>
      <w:r>
        <w:rPr>
          <w:noProof/>
        </w:rPr>
        <w:fldChar w:fldCharType="end"/>
      </w:r>
    </w:p>
    <w:p w:rsidR="009F4BF2" w:rsidRDefault="009F4BF2">
      <w:pPr>
        <w:pStyle w:val="TOC2"/>
        <w:rPr>
          <w:rFonts w:asciiTheme="minorHAnsi" w:eastAsiaTheme="minorEastAsia" w:hAnsiTheme="minorHAnsi" w:cstheme="minorBidi"/>
          <w:sz w:val="22"/>
          <w:szCs w:val="22"/>
        </w:rPr>
      </w:pPr>
      <w:r>
        <w:t>A1</w:t>
      </w:r>
      <w:r>
        <w:rPr>
          <w:rFonts w:asciiTheme="minorHAnsi" w:eastAsiaTheme="minorEastAsia" w:hAnsiTheme="minorHAnsi" w:cstheme="minorBidi"/>
          <w:sz w:val="22"/>
          <w:szCs w:val="22"/>
        </w:rPr>
        <w:tab/>
      </w:r>
      <w:r>
        <w:t>Need and Legal Basis</w:t>
      </w:r>
      <w:r>
        <w:tab/>
      </w:r>
      <w:r w:rsidR="005B7C99">
        <w:fldChar w:fldCharType="begin"/>
      </w:r>
      <w:r>
        <w:instrText xml:space="preserve"> PAGEREF _Toc291677931 \h </w:instrText>
      </w:r>
      <w:r w:rsidR="005B7C99">
        <w:fldChar w:fldCharType="separate"/>
      </w:r>
      <w:r>
        <w:t>2</w:t>
      </w:r>
      <w:r w:rsidR="005B7C99">
        <w:fldChar w:fldCharType="end"/>
      </w:r>
    </w:p>
    <w:p w:rsidR="009F4BF2" w:rsidRDefault="009F4BF2">
      <w:pPr>
        <w:pStyle w:val="TOC2"/>
        <w:rPr>
          <w:rFonts w:asciiTheme="minorHAnsi" w:eastAsiaTheme="minorEastAsia" w:hAnsiTheme="minorHAnsi" w:cstheme="minorBidi"/>
          <w:sz w:val="22"/>
          <w:szCs w:val="22"/>
        </w:rPr>
      </w:pPr>
      <w:r>
        <w:t>A2</w:t>
      </w:r>
      <w:r>
        <w:rPr>
          <w:rFonts w:asciiTheme="minorHAnsi" w:eastAsiaTheme="minorEastAsia" w:hAnsiTheme="minorHAnsi" w:cstheme="minorBidi"/>
          <w:sz w:val="22"/>
          <w:szCs w:val="22"/>
        </w:rPr>
        <w:tab/>
      </w:r>
      <w:r>
        <w:t>Information Users</w:t>
      </w:r>
      <w:r>
        <w:tab/>
      </w:r>
      <w:r w:rsidR="005B7C99">
        <w:fldChar w:fldCharType="begin"/>
      </w:r>
      <w:r>
        <w:instrText xml:space="preserve"> PAGEREF _Toc291677932 \h </w:instrText>
      </w:r>
      <w:r w:rsidR="005B7C99">
        <w:fldChar w:fldCharType="separate"/>
      </w:r>
      <w:r>
        <w:t>3</w:t>
      </w:r>
      <w:r w:rsidR="005B7C99">
        <w:fldChar w:fldCharType="end"/>
      </w:r>
    </w:p>
    <w:p w:rsidR="009F4BF2" w:rsidRDefault="009F4BF2">
      <w:pPr>
        <w:pStyle w:val="TOC2"/>
        <w:rPr>
          <w:rFonts w:asciiTheme="minorHAnsi" w:eastAsiaTheme="minorEastAsia" w:hAnsiTheme="minorHAnsi" w:cstheme="minorBidi"/>
          <w:sz w:val="22"/>
          <w:szCs w:val="22"/>
        </w:rPr>
      </w:pPr>
      <w:r>
        <w:t>A3</w:t>
      </w:r>
      <w:r>
        <w:rPr>
          <w:rFonts w:asciiTheme="minorHAnsi" w:eastAsiaTheme="minorEastAsia" w:hAnsiTheme="minorHAnsi" w:cstheme="minorBidi"/>
          <w:sz w:val="22"/>
          <w:szCs w:val="22"/>
        </w:rPr>
        <w:tab/>
      </w:r>
      <w:r>
        <w:t>Improved Information Technologies</w:t>
      </w:r>
      <w:r>
        <w:tab/>
      </w:r>
      <w:r w:rsidR="005B7C99">
        <w:fldChar w:fldCharType="begin"/>
      </w:r>
      <w:r>
        <w:instrText xml:space="preserve"> PAGEREF _Toc291677933 \h </w:instrText>
      </w:r>
      <w:r w:rsidR="005B7C99">
        <w:fldChar w:fldCharType="separate"/>
      </w:r>
      <w:r>
        <w:t>4</w:t>
      </w:r>
      <w:r w:rsidR="005B7C99">
        <w:fldChar w:fldCharType="end"/>
      </w:r>
    </w:p>
    <w:p w:rsidR="009F4BF2" w:rsidRDefault="009F4BF2">
      <w:pPr>
        <w:pStyle w:val="TOC2"/>
        <w:rPr>
          <w:rFonts w:asciiTheme="minorHAnsi" w:eastAsiaTheme="minorEastAsia" w:hAnsiTheme="minorHAnsi" w:cstheme="minorBidi"/>
          <w:sz w:val="22"/>
          <w:szCs w:val="22"/>
        </w:rPr>
      </w:pPr>
      <w:r>
        <w:t>A4</w:t>
      </w:r>
      <w:r>
        <w:rPr>
          <w:rFonts w:asciiTheme="minorHAnsi" w:eastAsiaTheme="minorEastAsia" w:hAnsiTheme="minorHAnsi" w:cstheme="minorBidi"/>
          <w:sz w:val="22"/>
          <w:szCs w:val="22"/>
        </w:rPr>
        <w:tab/>
      </w:r>
      <w:r>
        <w:t>Duplication of Similar Information</w:t>
      </w:r>
      <w:r>
        <w:tab/>
      </w:r>
      <w:r w:rsidR="005B7C99">
        <w:fldChar w:fldCharType="begin"/>
      </w:r>
      <w:r>
        <w:instrText xml:space="preserve"> PAGEREF _Toc291677934 \h </w:instrText>
      </w:r>
      <w:r w:rsidR="005B7C99">
        <w:fldChar w:fldCharType="separate"/>
      </w:r>
      <w:r>
        <w:t>5</w:t>
      </w:r>
      <w:r w:rsidR="005B7C99">
        <w:fldChar w:fldCharType="end"/>
      </w:r>
    </w:p>
    <w:p w:rsidR="009F4BF2" w:rsidRDefault="009F4BF2">
      <w:pPr>
        <w:pStyle w:val="TOC2"/>
        <w:rPr>
          <w:rFonts w:asciiTheme="minorHAnsi" w:eastAsiaTheme="minorEastAsia" w:hAnsiTheme="minorHAnsi" w:cstheme="minorBidi"/>
          <w:sz w:val="22"/>
          <w:szCs w:val="22"/>
        </w:rPr>
      </w:pPr>
      <w:r>
        <w:t>A5</w:t>
      </w:r>
      <w:r>
        <w:rPr>
          <w:rFonts w:asciiTheme="minorHAnsi" w:eastAsiaTheme="minorEastAsia" w:hAnsiTheme="minorHAnsi" w:cstheme="minorBidi"/>
          <w:sz w:val="22"/>
          <w:szCs w:val="22"/>
        </w:rPr>
        <w:tab/>
      </w:r>
      <w:r>
        <w:t>Small Businesses</w:t>
      </w:r>
      <w:r>
        <w:tab/>
      </w:r>
      <w:r w:rsidR="005B7C99">
        <w:fldChar w:fldCharType="begin"/>
      </w:r>
      <w:r>
        <w:instrText xml:space="preserve"> PAGEREF _Toc291677935 \h </w:instrText>
      </w:r>
      <w:r w:rsidR="005B7C99">
        <w:fldChar w:fldCharType="separate"/>
      </w:r>
      <w:r>
        <w:t>5</w:t>
      </w:r>
      <w:r w:rsidR="005B7C99">
        <w:fldChar w:fldCharType="end"/>
      </w:r>
    </w:p>
    <w:p w:rsidR="009F4BF2" w:rsidRDefault="009F4BF2">
      <w:pPr>
        <w:pStyle w:val="TOC2"/>
        <w:rPr>
          <w:rFonts w:asciiTheme="minorHAnsi" w:eastAsiaTheme="minorEastAsia" w:hAnsiTheme="minorHAnsi" w:cstheme="minorBidi"/>
          <w:sz w:val="22"/>
          <w:szCs w:val="22"/>
        </w:rPr>
      </w:pPr>
      <w:r>
        <w:t>A6</w:t>
      </w:r>
      <w:r>
        <w:rPr>
          <w:rFonts w:asciiTheme="minorHAnsi" w:eastAsiaTheme="minorEastAsia" w:hAnsiTheme="minorHAnsi" w:cstheme="minorBidi"/>
          <w:sz w:val="22"/>
          <w:szCs w:val="22"/>
        </w:rPr>
        <w:tab/>
      </w:r>
      <w:r>
        <w:t>Less Frequent Data Collection</w:t>
      </w:r>
      <w:r>
        <w:tab/>
      </w:r>
      <w:r w:rsidR="005B7C99">
        <w:fldChar w:fldCharType="begin"/>
      </w:r>
      <w:r>
        <w:instrText xml:space="preserve"> PAGEREF _Toc291677936 \h </w:instrText>
      </w:r>
      <w:r w:rsidR="005B7C99">
        <w:fldChar w:fldCharType="separate"/>
      </w:r>
      <w:r>
        <w:t>6</w:t>
      </w:r>
      <w:r w:rsidR="005B7C99">
        <w:fldChar w:fldCharType="end"/>
      </w:r>
    </w:p>
    <w:p w:rsidR="009F4BF2" w:rsidRDefault="009F4BF2">
      <w:pPr>
        <w:pStyle w:val="TOC2"/>
        <w:rPr>
          <w:rFonts w:asciiTheme="minorHAnsi" w:eastAsiaTheme="minorEastAsia" w:hAnsiTheme="minorHAnsi" w:cstheme="minorBidi"/>
          <w:sz w:val="22"/>
          <w:szCs w:val="22"/>
        </w:rPr>
      </w:pPr>
      <w:r>
        <w:t>A7</w:t>
      </w:r>
      <w:r>
        <w:rPr>
          <w:rFonts w:asciiTheme="minorHAnsi" w:eastAsiaTheme="minorEastAsia" w:hAnsiTheme="minorHAnsi" w:cstheme="minorBidi"/>
          <w:sz w:val="22"/>
          <w:szCs w:val="22"/>
        </w:rPr>
        <w:tab/>
      </w:r>
      <w:r>
        <w:t>Special Circumstances</w:t>
      </w:r>
      <w:r>
        <w:tab/>
      </w:r>
      <w:r w:rsidR="005B7C99">
        <w:fldChar w:fldCharType="begin"/>
      </w:r>
      <w:r>
        <w:instrText xml:space="preserve"> PAGEREF _Toc291677937 \h </w:instrText>
      </w:r>
      <w:r w:rsidR="005B7C99">
        <w:fldChar w:fldCharType="separate"/>
      </w:r>
      <w:r>
        <w:t>6</w:t>
      </w:r>
      <w:r w:rsidR="005B7C99">
        <w:fldChar w:fldCharType="end"/>
      </w:r>
    </w:p>
    <w:p w:rsidR="009F4BF2" w:rsidRDefault="009F4BF2">
      <w:pPr>
        <w:pStyle w:val="TOC2"/>
        <w:rPr>
          <w:rFonts w:asciiTheme="minorHAnsi" w:eastAsiaTheme="minorEastAsia" w:hAnsiTheme="minorHAnsi" w:cstheme="minorBidi"/>
          <w:sz w:val="22"/>
          <w:szCs w:val="22"/>
        </w:rPr>
      </w:pPr>
      <w:r>
        <w:t>A8</w:t>
      </w:r>
      <w:r>
        <w:rPr>
          <w:rFonts w:asciiTheme="minorHAnsi" w:eastAsiaTheme="minorEastAsia" w:hAnsiTheme="minorHAnsi" w:cstheme="minorBidi"/>
          <w:sz w:val="22"/>
          <w:szCs w:val="22"/>
        </w:rPr>
        <w:tab/>
      </w:r>
      <w:r>
        <w:t>Federal Register Notice/Outside Consultation</w:t>
      </w:r>
      <w:r>
        <w:tab/>
      </w:r>
      <w:r w:rsidR="005B7C99">
        <w:fldChar w:fldCharType="begin"/>
      </w:r>
      <w:r>
        <w:instrText xml:space="preserve"> PAGEREF _Toc291677938 \h </w:instrText>
      </w:r>
      <w:r w:rsidR="005B7C99">
        <w:fldChar w:fldCharType="separate"/>
      </w:r>
      <w:r>
        <w:t>6</w:t>
      </w:r>
      <w:r w:rsidR="005B7C99">
        <w:fldChar w:fldCharType="end"/>
      </w:r>
    </w:p>
    <w:p w:rsidR="009F4BF2" w:rsidRDefault="009F4BF2">
      <w:pPr>
        <w:pStyle w:val="TOC2"/>
        <w:rPr>
          <w:rFonts w:asciiTheme="minorHAnsi" w:eastAsiaTheme="minorEastAsia" w:hAnsiTheme="minorHAnsi" w:cstheme="minorBidi"/>
          <w:sz w:val="22"/>
          <w:szCs w:val="22"/>
        </w:rPr>
      </w:pPr>
      <w:r>
        <w:t>A9</w:t>
      </w:r>
      <w:r>
        <w:rPr>
          <w:rFonts w:asciiTheme="minorHAnsi" w:eastAsiaTheme="minorEastAsia" w:hAnsiTheme="minorHAnsi" w:cstheme="minorBidi"/>
          <w:sz w:val="22"/>
          <w:szCs w:val="22"/>
        </w:rPr>
        <w:tab/>
      </w:r>
      <w:r>
        <w:t>Payment/Gift to Respondents</w:t>
      </w:r>
      <w:r>
        <w:tab/>
      </w:r>
      <w:r w:rsidR="005B7C99">
        <w:fldChar w:fldCharType="begin"/>
      </w:r>
      <w:r>
        <w:instrText xml:space="preserve"> PAGEREF _Toc291677939 \h </w:instrText>
      </w:r>
      <w:r w:rsidR="005B7C99">
        <w:fldChar w:fldCharType="separate"/>
      </w:r>
      <w:r>
        <w:t>6</w:t>
      </w:r>
      <w:r w:rsidR="005B7C99">
        <w:fldChar w:fldCharType="end"/>
      </w:r>
    </w:p>
    <w:p w:rsidR="009F4BF2" w:rsidRDefault="009F4BF2">
      <w:pPr>
        <w:pStyle w:val="TOC2"/>
        <w:rPr>
          <w:rFonts w:asciiTheme="minorHAnsi" w:eastAsiaTheme="minorEastAsia" w:hAnsiTheme="minorHAnsi" w:cstheme="minorBidi"/>
          <w:sz w:val="22"/>
          <w:szCs w:val="22"/>
        </w:rPr>
      </w:pPr>
      <w:r>
        <w:t>A10</w:t>
      </w:r>
      <w:r>
        <w:rPr>
          <w:rFonts w:asciiTheme="minorHAnsi" w:eastAsiaTheme="minorEastAsia" w:hAnsiTheme="minorHAnsi" w:cstheme="minorBidi"/>
          <w:sz w:val="22"/>
          <w:szCs w:val="22"/>
        </w:rPr>
        <w:tab/>
      </w:r>
      <w:r>
        <w:t>Confidentiality</w:t>
      </w:r>
      <w:r>
        <w:tab/>
      </w:r>
      <w:r w:rsidR="005B7C99">
        <w:fldChar w:fldCharType="begin"/>
      </w:r>
      <w:r>
        <w:instrText xml:space="preserve"> PAGEREF _Toc291677940 \h </w:instrText>
      </w:r>
      <w:r w:rsidR="005B7C99">
        <w:fldChar w:fldCharType="separate"/>
      </w:r>
      <w:r>
        <w:t>7</w:t>
      </w:r>
      <w:r w:rsidR="005B7C99">
        <w:fldChar w:fldCharType="end"/>
      </w:r>
    </w:p>
    <w:p w:rsidR="009F4BF2" w:rsidRDefault="009F4BF2">
      <w:pPr>
        <w:pStyle w:val="TOC2"/>
        <w:rPr>
          <w:rFonts w:asciiTheme="minorHAnsi" w:eastAsiaTheme="minorEastAsia" w:hAnsiTheme="minorHAnsi" w:cstheme="minorBidi"/>
          <w:sz w:val="22"/>
          <w:szCs w:val="22"/>
        </w:rPr>
      </w:pPr>
      <w:r>
        <w:t>A11</w:t>
      </w:r>
      <w:r>
        <w:rPr>
          <w:rFonts w:asciiTheme="minorHAnsi" w:eastAsiaTheme="minorEastAsia" w:hAnsiTheme="minorHAnsi" w:cstheme="minorBidi"/>
          <w:sz w:val="22"/>
          <w:szCs w:val="22"/>
        </w:rPr>
        <w:tab/>
      </w:r>
      <w:r>
        <w:t>Sensitive Questions</w:t>
      </w:r>
      <w:r>
        <w:tab/>
      </w:r>
      <w:r w:rsidR="005B7C99">
        <w:fldChar w:fldCharType="begin"/>
      </w:r>
      <w:r>
        <w:instrText xml:space="preserve"> PAGEREF _Toc291677941 \h </w:instrText>
      </w:r>
      <w:r w:rsidR="005B7C99">
        <w:fldChar w:fldCharType="separate"/>
      </w:r>
      <w:r>
        <w:t>7</w:t>
      </w:r>
      <w:r w:rsidR="005B7C99">
        <w:fldChar w:fldCharType="end"/>
      </w:r>
    </w:p>
    <w:p w:rsidR="009F4BF2" w:rsidRDefault="009F4BF2">
      <w:pPr>
        <w:pStyle w:val="TOC2"/>
        <w:rPr>
          <w:rFonts w:asciiTheme="minorHAnsi" w:eastAsiaTheme="minorEastAsia" w:hAnsiTheme="minorHAnsi" w:cstheme="minorBidi"/>
          <w:sz w:val="22"/>
          <w:szCs w:val="22"/>
        </w:rPr>
      </w:pPr>
      <w:r>
        <w:t>A12</w:t>
      </w:r>
      <w:r>
        <w:rPr>
          <w:rFonts w:asciiTheme="minorHAnsi" w:eastAsiaTheme="minorEastAsia" w:hAnsiTheme="minorHAnsi" w:cstheme="minorBidi"/>
          <w:sz w:val="22"/>
          <w:szCs w:val="22"/>
        </w:rPr>
        <w:tab/>
      </w:r>
      <w:r>
        <w:t>Burden Estimate (Total Hours and Wages)</w:t>
      </w:r>
      <w:r>
        <w:tab/>
      </w:r>
      <w:r w:rsidR="005B7C99">
        <w:fldChar w:fldCharType="begin"/>
      </w:r>
      <w:r>
        <w:instrText xml:space="preserve"> PAGEREF _Toc291677942 \h </w:instrText>
      </w:r>
      <w:r w:rsidR="005B7C99">
        <w:fldChar w:fldCharType="separate"/>
      </w:r>
      <w:r>
        <w:t>7</w:t>
      </w:r>
      <w:r w:rsidR="005B7C99">
        <w:fldChar w:fldCharType="end"/>
      </w:r>
    </w:p>
    <w:p w:rsidR="009F4BF2" w:rsidRDefault="009F4BF2">
      <w:pPr>
        <w:pStyle w:val="TOC2"/>
        <w:rPr>
          <w:rFonts w:asciiTheme="minorHAnsi" w:eastAsiaTheme="minorEastAsia" w:hAnsiTheme="minorHAnsi" w:cstheme="minorBidi"/>
          <w:sz w:val="22"/>
          <w:szCs w:val="22"/>
        </w:rPr>
      </w:pPr>
      <w:r>
        <w:t>A13</w:t>
      </w:r>
      <w:r>
        <w:rPr>
          <w:rFonts w:asciiTheme="minorHAnsi" w:eastAsiaTheme="minorEastAsia" w:hAnsiTheme="minorHAnsi" w:cstheme="minorBidi"/>
          <w:sz w:val="22"/>
          <w:szCs w:val="22"/>
        </w:rPr>
        <w:tab/>
      </w:r>
      <w:r>
        <w:t>Capital Costs</w:t>
      </w:r>
      <w:r>
        <w:tab/>
      </w:r>
      <w:r w:rsidR="005B7C99">
        <w:fldChar w:fldCharType="begin"/>
      </w:r>
      <w:r>
        <w:instrText xml:space="preserve"> PAGEREF _Toc291677943 \h </w:instrText>
      </w:r>
      <w:r w:rsidR="005B7C99">
        <w:fldChar w:fldCharType="separate"/>
      </w:r>
      <w:r>
        <w:t>8</w:t>
      </w:r>
      <w:r w:rsidR="005B7C99">
        <w:fldChar w:fldCharType="end"/>
      </w:r>
    </w:p>
    <w:p w:rsidR="009F4BF2" w:rsidRDefault="009F4BF2">
      <w:pPr>
        <w:pStyle w:val="TOC2"/>
        <w:rPr>
          <w:rFonts w:asciiTheme="minorHAnsi" w:eastAsiaTheme="minorEastAsia" w:hAnsiTheme="minorHAnsi" w:cstheme="minorBidi"/>
          <w:sz w:val="22"/>
          <w:szCs w:val="22"/>
        </w:rPr>
      </w:pPr>
      <w:r>
        <w:t>A14</w:t>
      </w:r>
      <w:r>
        <w:rPr>
          <w:rFonts w:asciiTheme="minorHAnsi" w:eastAsiaTheme="minorEastAsia" w:hAnsiTheme="minorHAnsi" w:cstheme="minorBidi"/>
          <w:sz w:val="22"/>
          <w:szCs w:val="22"/>
        </w:rPr>
        <w:tab/>
      </w:r>
      <w:r>
        <w:t>Cost to the Federal Government</w:t>
      </w:r>
      <w:r>
        <w:tab/>
      </w:r>
      <w:r w:rsidR="005B7C99">
        <w:fldChar w:fldCharType="begin"/>
      </w:r>
      <w:r>
        <w:instrText xml:space="preserve"> PAGEREF _Toc291677944 \h </w:instrText>
      </w:r>
      <w:r w:rsidR="005B7C99">
        <w:fldChar w:fldCharType="separate"/>
      </w:r>
      <w:r>
        <w:t>8</w:t>
      </w:r>
      <w:r w:rsidR="005B7C99">
        <w:fldChar w:fldCharType="end"/>
      </w:r>
    </w:p>
    <w:p w:rsidR="009F4BF2" w:rsidRDefault="009F4BF2">
      <w:pPr>
        <w:pStyle w:val="TOC2"/>
        <w:rPr>
          <w:rFonts w:asciiTheme="minorHAnsi" w:eastAsiaTheme="minorEastAsia" w:hAnsiTheme="minorHAnsi" w:cstheme="minorBidi"/>
          <w:sz w:val="22"/>
          <w:szCs w:val="22"/>
        </w:rPr>
      </w:pPr>
      <w:r>
        <w:t>A15</w:t>
      </w:r>
      <w:r>
        <w:rPr>
          <w:rFonts w:asciiTheme="minorHAnsi" w:eastAsiaTheme="minorEastAsia" w:hAnsiTheme="minorHAnsi" w:cstheme="minorBidi"/>
          <w:sz w:val="22"/>
          <w:szCs w:val="22"/>
        </w:rPr>
        <w:tab/>
      </w:r>
      <w:r>
        <w:t>Program or Burden Changes</w:t>
      </w:r>
      <w:r>
        <w:tab/>
      </w:r>
      <w:r w:rsidR="005B7C99">
        <w:fldChar w:fldCharType="begin"/>
      </w:r>
      <w:r>
        <w:instrText xml:space="preserve"> PAGEREF _Toc291677945 \h </w:instrText>
      </w:r>
      <w:r w:rsidR="005B7C99">
        <w:fldChar w:fldCharType="separate"/>
      </w:r>
      <w:r>
        <w:t>8</w:t>
      </w:r>
      <w:r w:rsidR="005B7C99">
        <w:fldChar w:fldCharType="end"/>
      </w:r>
    </w:p>
    <w:p w:rsidR="009F4BF2" w:rsidRDefault="009F4BF2">
      <w:pPr>
        <w:pStyle w:val="TOC2"/>
        <w:rPr>
          <w:rFonts w:asciiTheme="minorHAnsi" w:eastAsiaTheme="minorEastAsia" w:hAnsiTheme="minorHAnsi" w:cstheme="minorBidi"/>
          <w:sz w:val="22"/>
          <w:szCs w:val="22"/>
        </w:rPr>
      </w:pPr>
      <w:r>
        <w:t>A16</w:t>
      </w:r>
      <w:r>
        <w:rPr>
          <w:rFonts w:asciiTheme="minorHAnsi" w:eastAsiaTheme="minorEastAsia" w:hAnsiTheme="minorHAnsi" w:cstheme="minorBidi"/>
          <w:sz w:val="22"/>
          <w:szCs w:val="22"/>
        </w:rPr>
        <w:tab/>
      </w:r>
      <w:r>
        <w:t>Publication and Tabulation Dates</w:t>
      </w:r>
      <w:r>
        <w:tab/>
      </w:r>
      <w:r w:rsidR="005B7C99">
        <w:fldChar w:fldCharType="begin"/>
      </w:r>
      <w:r>
        <w:instrText xml:space="preserve"> PAGEREF _Toc291677946 \h </w:instrText>
      </w:r>
      <w:r w:rsidR="005B7C99">
        <w:fldChar w:fldCharType="separate"/>
      </w:r>
      <w:r>
        <w:t>8</w:t>
      </w:r>
      <w:r w:rsidR="005B7C99">
        <w:fldChar w:fldCharType="end"/>
      </w:r>
    </w:p>
    <w:p w:rsidR="009F4BF2" w:rsidRDefault="009F4BF2">
      <w:pPr>
        <w:pStyle w:val="TOC2"/>
        <w:rPr>
          <w:rFonts w:asciiTheme="minorHAnsi" w:eastAsiaTheme="minorEastAsia" w:hAnsiTheme="minorHAnsi" w:cstheme="minorBidi"/>
          <w:sz w:val="22"/>
          <w:szCs w:val="22"/>
        </w:rPr>
      </w:pPr>
      <w:r>
        <w:t>A17</w:t>
      </w:r>
      <w:r>
        <w:rPr>
          <w:rFonts w:asciiTheme="minorHAnsi" w:eastAsiaTheme="minorEastAsia" w:hAnsiTheme="minorHAnsi" w:cstheme="minorBidi"/>
          <w:sz w:val="22"/>
          <w:szCs w:val="22"/>
        </w:rPr>
        <w:tab/>
      </w:r>
      <w:r>
        <w:t>Expiration Date</w:t>
      </w:r>
      <w:r>
        <w:tab/>
      </w:r>
      <w:r w:rsidR="005B7C99">
        <w:fldChar w:fldCharType="begin"/>
      </w:r>
      <w:r>
        <w:instrText xml:space="preserve"> PAGEREF _Toc291677947 \h </w:instrText>
      </w:r>
      <w:r w:rsidR="005B7C99">
        <w:fldChar w:fldCharType="separate"/>
      </w:r>
      <w:r>
        <w:t>9</w:t>
      </w:r>
      <w:r w:rsidR="005B7C99">
        <w:fldChar w:fldCharType="end"/>
      </w:r>
    </w:p>
    <w:p w:rsidR="009F4BF2" w:rsidRDefault="009F4BF2">
      <w:pPr>
        <w:pStyle w:val="TOC2"/>
        <w:rPr>
          <w:rFonts w:asciiTheme="minorHAnsi" w:eastAsiaTheme="minorEastAsia" w:hAnsiTheme="minorHAnsi" w:cstheme="minorBidi"/>
          <w:sz w:val="22"/>
          <w:szCs w:val="22"/>
        </w:rPr>
      </w:pPr>
      <w:r>
        <w:t>A18</w:t>
      </w:r>
      <w:r>
        <w:rPr>
          <w:rFonts w:asciiTheme="minorHAnsi" w:eastAsiaTheme="minorEastAsia" w:hAnsiTheme="minorHAnsi" w:cstheme="minorBidi"/>
          <w:sz w:val="22"/>
          <w:szCs w:val="22"/>
        </w:rPr>
        <w:tab/>
      </w:r>
      <w:r>
        <w:t>Certification Statement</w:t>
      </w:r>
      <w:r>
        <w:tab/>
      </w:r>
      <w:r w:rsidR="005B7C99">
        <w:fldChar w:fldCharType="begin"/>
      </w:r>
      <w:r>
        <w:instrText xml:space="preserve"> PAGEREF _Toc291677948 \h </w:instrText>
      </w:r>
      <w:r w:rsidR="005B7C99">
        <w:fldChar w:fldCharType="separate"/>
      </w:r>
      <w:r>
        <w:t>9</w:t>
      </w:r>
      <w:r w:rsidR="005B7C99">
        <w:fldChar w:fldCharType="end"/>
      </w:r>
    </w:p>
    <w:p w:rsidR="000826D1" w:rsidRDefault="005B7C99" w:rsidP="000826D1">
      <w:pPr>
        <w:tabs>
          <w:tab w:val="right" w:leader="dot" w:pos="9360"/>
        </w:tabs>
        <w:sectPr w:rsidR="000826D1" w:rsidSect="00BD56EF">
          <w:footerReference w:type="default" r:id="rId9"/>
          <w:pgSz w:w="12240" w:h="15840" w:code="1"/>
          <w:pgMar w:top="1440" w:right="1440" w:bottom="1440" w:left="1440" w:header="720" w:footer="576" w:gutter="0"/>
          <w:pgNumType w:fmt="lowerRoman" w:start="1"/>
          <w:cols w:space="720"/>
        </w:sectPr>
      </w:pPr>
      <w:r>
        <w:fldChar w:fldCharType="end"/>
      </w:r>
    </w:p>
    <w:p w:rsidR="009E0445" w:rsidRDefault="009E0445" w:rsidP="009E0445">
      <w:pPr>
        <w:pStyle w:val="AbtHeadA"/>
      </w:pPr>
      <w:bookmarkStart w:id="2" w:name="_Toc291677930"/>
      <w:r>
        <w:lastRenderedPageBreak/>
        <w:t>Part A Justification</w:t>
      </w:r>
      <w:bookmarkEnd w:id="0"/>
      <w:bookmarkEnd w:id="1"/>
      <w:bookmarkEnd w:id="2"/>
    </w:p>
    <w:p w:rsidR="009E0445" w:rsidRPr="00FA1CC5" w:rsidRDefault="009E0445" w:rsidP="009E0445">
      <w:pPr>
        <w:pStyle w:val="AbtHeadB"/>
        <w:rPr>
          <w:rFonts w:ascii="Times New Roman" w:hAnsi="Times New Roman"/>
          <w:sz w:val="22"/>
        </w:rPr>
      </w:pPr>
      <w:bookmarkStart w:id="3" w:name="_Toc224972096"/>
      <w:bookmarkStart w:id="4" w:name="_Toc233444276"/>
      <w:bookmarkStart w:id="5" w:name="_Toc291677931"/>
      <w:r w:rsidRPr="00FA1CC5">
        <w:t>A1</w:t>
      </w:r>
      <w:r w:rsidRPr="00FA1CC5">
        <w:tab/>
        <w:t>Need and Legal Basis</w:t>
      </w:r>
      <w:bookmarkEnd w:id="3"/>
      <w:bookmarkEnd w:id="4"/>
      <w:bookmarkEnd w:id="5"/>
    </w:p>
    <w:p w:rsidR="009E0445" w:rsidRPr="00FA1CC5" w:rsidRDefault="009E0445" w:rsidP="00FA1CC5">
      <w:pPr>
        <w:rPr>
          <w:i/>
        </w:rPr>
      </w:pPr>
      <w:bookmarkStart w:id="6" w:name="_Toc228162069"/>
      <w:bookmarkStart w:id="7" w:name="_Toc228162169"/>
      <w:bookmarkStart w:id="8" w:name="_Toc228162241"/>
      <w:bookmarkStart w:id="9" w:name="_Toc233444277"/>
      <w:bookmarkStart w:id="10" w:name="_Toc224972097"/>
      <w:bookmarkStart w:id="11" w:name="_Toc224972193"/>
      <w:bookmarkStart w:id="12" w:name="_Toc224972249"/>
      <w:bookmarkStart w:id="13" w:name="_Toc224972307"/>
      <w:bookmarkStart w:id="14" w:name="_Toc224976962"/>
      <w:r w:rsidRPr="00FA1CC5">
        <w:rPr>
          <w:i/>
        </w:rPr>
        <w:t>Why is this information necessary?  Identify any legal or administrative requirements that necessitate the collection.</w:t>
      </w:r>
      <w:bookmarkEnd w:id="6"/>
      <w:bookmarkEnd w:id="7"/>
      <w:bookmarkEnd w:id="8"/>
      <w:bookmarkEnd w:id="9"/>
      <w:r w:rsidRPr="00FA1CC5">
        <w:rPr>
          <w:i/>
        </w:rPr>
        <w:t xml:space="preserve">  </w:t>
      </w:r>
      <w:bookmarkEnd w:id="10"/>
      <w:bookmarkEnd w:id="11"/>
      <w:bookmarkEnd w:id="12"/>
      <w:bookmarkEnd w:id="13"/>
      <w:bookmarkEnd w:id="14"/>
    </w:p>
    <w:p w:rsidR="004C7488" w:rsidRDefault="004C7488" w:rsidP="004C7488">
      <w:pPr>
        <w:pStyle w:val="CM50"/>
        <w:spacing w:line="253" w:lineRule="atLeast"/>
        <w:ind w:right="259"/>
        <w:rPr>
          <w:rFonts w:ascii="Times New Roman" w:hAnsi="Times New Roman"/>
        </w:rPr>
      </w:pPr>
    </w:p>
    <w:p w:rsidR="005E4FD7" w:rsidRDefault="009E0445" w:rsidP="00002B02">
      <w:pPr>
        <w:pStyle w:val="CM50"/>
        <w:spacing w:after="245" w:line="253" w:lineRule="atLeast"/>
        <w:ind w:right="255"/>
        <w:rPr>
          <w:rFonts w:ascii="Times New Roman" w:hAnsi="Times New Roman"/>
        </w:rPr>
      </w:pPr>
      <w:r w:rsidRPr="00002B02">
        <w:rPr>
          <w:rFonts w:ascii="Times New Roman" w:hAnsi="Times New Roman"/>
        </w:rPr>
        <w:t>This request is for clearance of</w:t>
      </w:r>
      <w:r w:rsidR="00656AD8" w:rsidRPr="00002B02">
        <w:rPr>
          <w:rFonts w:ascii="Times New Roman" w:hAnsi="Times New Roman"/>
        </w:rPr>
        <w:t xml:space="preserve"> </w:t>
      </w:r>
      <w:r w:rsidR="00FA1CC5">
        <w:rPr>
          <w:rFonts w:ascii="Times New Roman" w:hAnsi="Times New Roman"/>
        </w:rPr>
        <w:t xml:space="preserve">the </w:t>
      </w:r>
      <w:r w:rsidR="009F4BF2">
        <w:rPr>
          <w:rFonts w:ascii="Times New Roman" w:hAnsi="Times New Roman"/>
        </w:rPr>
        <w:t>Narrative</w:t>
      </w:r>
      <w:r w:rsidR="00867184">
        <w:rPr>
          <w:rFonts w:ascii="Times New Roman" w:hAnsi="Times New Roman"/>
        </w:rPr>
        <w:t xml:space="preserve">, </w:t>
      </w:r>
      <w:r w:rsidR="009F4BF2">
        <w:rPr>
          <w:rFonts w:ascii="Times New Roman" w:hAnsi="Times New Roman"/>
        </w:rPr>
        <w:t>Matrices</w:t>
      </w:r>
      <w:r w:rsidR="00867184">
        <w:rPr>
          <w:rFonts w:ascii="Times New Roman" w:hAnsi="Times New Roman"/>
        </w:rPr>
        <w:t xml:space="preserve">, and </w:t>
      </w:r>
      <w:r w:rsidR="009F4BF2">
        <w:rPr>
          <w:rFonts w:ascii="Times New Roman" w:hAnsi="Times New Roman"/>
        </w:rPr>
        <w:t>Reporting</w:t>
      </w:r>
      <w:r w:rsidR="00A1564B">
        <w:rPr>
          <w:rFonts w:ascii="Times New Roman" w:hAnsi="Times New Roman"/>
        </w:rPr>
        <w:t xml:space="preserve"> </w:t>
      </w:r>
      <w:r w:rsidR="009F4BF2">
        <w:rPr>
          <w:rFonts w:ascii="Times New Roman" w:hAnsi="Times New Roman"/>
        </w:rPr>
        <w:t>R</w:t>
      </w:r>
      <w:r w:rsidR="005F1B61">
        <w:rPr>
          <w:rFonts w:ascii="Times New Roman" w:hAnsi="Times New Roman"/>
        </w:rPr>
        <w:t>equirement</w:t>
      </w:r>
      <w:r w:rsidR="00A1564B">
        <w:rPr>
          <w:rFonts w:ascii="Times New Roman" w:hAnsi="Times New Roman"/>
        </w:rPr>
        <w:t xml:space="preserve">s </w:t>
      </w:r>
      <w:r w:rsidR="00FA1CC5">
        <w:rPr>
          <w:rFonts w:ascii="Times New Roman" w:hAnsi="Times New Roman"/>
        </w:rPr>
        <w:t xml:space="preserve">that will be filled out by applicants for the McKinney-Vento Technical Assistance (MV-TA) NOFA.  </w:t>
      </w:r>
      <w:r w:rsidR="005E4FD7" w:rsidRPr="005E4FD7">
        <w:rPr>
          <w:rFonts w:ascii="Times New Roman" w:hAnsi="Times New Roman"/>
        </w:rPr>
        <w:t xml:space="preserve">The purpose of the MV-TA </w:t>
      </w:r>
      <w:r w:rsidR="005E4FD7">
        <w:rPr>
          <w:rFonts w:ascii="Times New Roman" w:hAnsi="Times New Roman"/>
        </w:rPr>
        <w:t xml:space="preserve">Program </w:t>
      </w:r>
      <w:r w:rsidR="005E4FD7" w:rsidRPr="005E4FD7">
        <w:rPr>
          <w:rFonts w:ascii="Times New Roman" w:hAnsi="Times New Roman"/>
        </w:rPr>
        <w:t>is to provide technical assistance (TA) to achieve the highest level of performance and results for the programs authorized by Title IV of the McKinney-Vento Act; for implementing local Homeless Management Information Systems (HMIS); and for data collection for Annual Performance Reports (APRs) and the Annual Homeless Assessment Report (AHAR).</w:t>
      </w:r>
      <w:r w:rsidR="005E4FD7">
        <w:rPr>
          <w:rFonts w:ascii="Times New Roman" w:hAnsi="Times New Roman"/>
        </w:rPr>
        <w:t xml:space="preserve">  Eligible applicants include a state, unit of general local government, Public Housing Agency (PHA), a</w:t>
      </w:r>
      <w:r w:rsidR="005E4FD7" w:rsidRPr="005E4FD7">
        <w:rPr>
          <w:rFonts w:ascii="Times New Roman" w:hAnsi="Times New Roman"/>
        </w:rPr>
        <w:t xml:space="preserve"> public or private nonprofit or for profit organization or intermediary, including educational institutions and area-wide planning organizations</w:t>
      </w:r>
      <w:r w:rsidR="005E4FD7">
        <w:rPr>
          <w:rFonts w:ascii="Times New Roman" w:hAnsi="Times New Roman"/>
        </w:rPr>
        <w:t xml:space="preserve">.  </w:t>
      </w:r>
    </w:p>
    <w:p w:rsidR="00E96792" w:rsidRDefault="00881869" w:rsidP="00002B02">
      <w:pPr>
        <w:pStyle w:val="CM50"/>
        <w:spacing w:after="245" w:line="253" w:lineRule="atLeast"/>
        <w:ind w:right="255"/>
        <w:rPr>
          <w:rFonts w:ascii="Times New Roman" w:hAnsi="Times New Roman"/>
        </w:rPr>
      </w:pPr>
      <w:r>
        <w:rPr>
          <w:rFonts w:ascii="Times New Roman" w:hAnsi="Times New Roman"/>
        </w:rPr>
        <w:t>The NOFA requires applicants to write a narrative</w:t>
      </w:r>
      <w:r w:rsidR="00E96792">
        <w:rPr>
          <w:rFonts w:ascii="Times New Roman" w:hAnsi="Times New Roman"/>
        </w:rPr>
        <w:t xml:space="preserve"> designed to collect data on each organization applying for MV-TA funding.  The </w:t>
      </w:r>
      <w:r w:rsidR="009F4BF2">
        <w:rPr>
          <w:rFonts w:ascii="Times New Roman" w:hAnsi="Times New Roman"/>
        </w:rPr>
        <w:t>Narrative</w:t>
      </w:r>
      <w:r w:rsidR="000732D7">
        <w:rPr>
          <w:rFonts w:ascii="Times New Roman" w:hAnsi="Times New Roman"/>
        </w:rPr>
        <w:t xml:space="preserve"> covers three factors which include an Applicant’s Capacity and Relevant Expertise, Soundness of Approach, and Achieving Results and Program Evaluation. The factors are similar to the One CPD factors for technical assistance, but have been simplified to be specifically applicable to SNAPS applicants and to reduce burden.  </w:t>
      </w:r>
    </w:p>
    <w:p w:rsidR="000732D7" w:rsidRPr="000732D7" w:rsidRDefault="000732D7" w:rsidP="000732D7"/>
    <w:p w:rsidR="004C7488" w:rsidRDefault="004C7488" w:rsidP="00002B02">
      <w:pPr>
        <w:pStyle w:val="CM50"/>
        <w:spacing w:after="245" w:line="253" w:lineRule="atLeast"/>
        <w:ind w:right="255"/>
        <w:rPr>
          <w:rFonts w:ascii="Times New Roman" w:hAnsi="Times New Roman"/>
        </w:rPr>
      </w:pPr>
      <w:r>
        <w:rPr>
          <w:rFonts w:ascii="Times New Roman" w:hAnsi="Times New Roman"/>
        </w:rPr>
        <w:t xml:space="preserve">The </w:t>
      </w:r>
      <w:r w:rsidR="009F4BF2">
        <w:rPr>
          <w:rFonts w:ascii="Times New Roman" w:hAnsi="Times New Roman"/>
        </w:rPr>
        <w:t>Matrices</w:t>
      </w:r>
      <w:r>
        <w:rPr>
          <w:rFonts w:ascii="Times New Roman" w:hAnsi="Times New Roman"/>
        </w:rPr>
        <w:t xml:space="preserve"> are designed to accompany the MV-TA NOFA, and to collect data on the experience and expertise of the technical assistance applicants, including previous awards received by applicants.  </w:t>
      </w:r>
      <w:r w:rsidR="000732D7">
        <w:rPr>
          <w:rFonts w:ascii="Times New Roman" w:hAnsi="Times New Roman"/>
        </w:rPr>
        <w:t xml:space="preserve">Like the </w:t>
      </w:r>
      <w:r w:rsidR="009F4BF2">
        <w:rPr>
          <w:rFonts w:ascii="Times New Roman" w:hAnsi="Times New Roman"/>
        </w:rPr>
        <w:t>Narrative</w:t>
      </w:r>
      <w:r w:rsidR="000732D7">
        <w:rPr>
          <w:rFonts w:ascii="Times New Roman" w:hAnsi="Times New Roman"/>
        </w:rPr>
        <w:t xml:space="preserve"> factors, t</w:t>
      </w:r>
      <w:r>
        <w:rPr>
          <w:rFonts w:ascii="Times New Roman" w:hAnsi="Times New Roman"/>
        </w:rPr>
        <w:t>he</w:t>
      </w:r>
      <w:r w:rsidR="000732D7">
        <w:rPr>
          <w:rFonts w:ascii="Times New Roman" w:hAnsi="Times New Roman"/>
        </w:rPr>
        <w:t>se</w:t>
      </w:r>
      <w:r>
        <w:rPr>
          <w:rFonts w:ascii="Times New Roman" w:hAnsi="Times New Roman"/>
        </w:rPr>
        <w:t xml:space="preserve"> questions are similar to the </w:t>
      </w:r>
      <w:r w:rsidR="00F47567">
        <w:rPr>
          <w:rFonts w:ascii="Times New Roman" w:hAnsi="Times New Roman"/>
        </w:rPr>
        <w:t>O</w:t>
      </w:r>
      <w:r>
        <w:rPr>
          <w:rFonts w:ascii="Times New Roman" w:hAnsi="Times New Roman"/>
        </w:rPr>
        <w:t xml:space="preserve">ne CPD </w:t>
      </w:r>
      <w:r w:rsidR="009F4BF2">
        <w:rPr>
          <w:rFonts w:ascii="Times New Roman" w:hAnsi="Times New Roman"/>
        </w:rPr>
        <w:t>Matrices</w:t>
      </w:r>
      <w:r>
        <w:rPr>
          <w:rFonts w:ascii="Times New Roman" w:hAnsi="Times New Roman"/>
        </w:rPr>
        <w:t xml:space="preserve"> for technical assistance, but have been simplified to be specifically applicable to SNAPS applicants and to reduce burden.  </w:t>
      </w:r>
      <w:r w:rsidR="005E4FD7">
        <w:rPr>
          <w:rFonts w:ascii="Times New Roman" w:hAnsi="Times New Roman"/>
        </w:rPr>
        <w:t xml:space="preserve">Given the diversity of competencies required and the potential diversity in applicants, </w:t>
      </w:r>
      <w:r w:rsidR="000732D7">
        <w:rPr>
          <w:rFonts w:ascii="Times New Roman" w:hAnsi="Times New Roman"/>
        </w:rPr>
        <w:t xml:space="preserve">the </w:t>
      </w:r>
      <w:r w:rsidR="009F4BF2">
        <w:rPr>
          <w:rFonts w:ascii="Times New Roman" w:hAnsi="Times New Roman"/>
        </w:rPr>
        <w:t>Narrative</w:t>
      </w:r>
      <w:r w:rsidR="000732D7">
        <w:rPr>
          <w:rFonts w:ascii="Times New Roman" w:hAnsi="Times New Roman"/>
        </w:rPr>
        <w:t xml:space="preserve"> and </w:t>
      </w:r>
      <w:r w:rsidR="005E4FD7">
        <w:rPr>
          <w:rFonts w:ascii="Times New Roman" w:hAnsi="Times New Roman"/>
        </w:rPr>
        <w:t xml:space="preserve">these </w:t>
      </w:r>
      <w:r w:rsidR="009F4BF2">
        <w:rPr>
          <w:rFonts w:ascii="Times New Roman" w:hAnsi="Times New Roman"/>
        </w:rPr>
        <w:t>Matrices</w:t>
      </w:r>
      <w:r w:rsidR="000732D7">
        <w:rPr>
          <w:rFonts w:ascii="Times New Roman" w:hAnsi="Times New Roman"/>
        </w:rPr>
        <w:t xml:space="preserve"> together</w:t>
      </w:r>
      <w:r w:rsidR="005E4FD7">
        <w:rPr>
          <w:rFonts w:ascii="Times New Roman" w:hAnsi="Times New Roman"/>
        </w:rPr>
        <w:t xml:space="preserve"> will serve the indispensible role of helping HUD to identify the strongest and most appropriate applicants for TA delivery.</w:t>
      </w:r>
    </w:p>
    <w:p w:rsidR="00A1564B" w:rsidRDefault="00A1564B" w:rsidP="000732D7">
      <w:r>
        <w:t>Each provider will</w:t>
      </w:r>
      <w:r w:rsidRPr="00A1564B">
        <w:t xml:space="preserve"> develop </w:t>
      </w:r>
      <w:r>
        <w:t>a work plan</w:t>
      </w:r>
      <w:r w:rsidRPr="00A1564B">
        <w:t xml:space="preserve"> with headquarters for each program area in which they </w:t>
      </w:r>
      <w:r>
        <w:t xml:space="preserve">have been awarded funds for </w:t>
      </w:r>
      <w:r w:rsidRPr="00A1564B">
        <w:t>providing services.</w:t>
      </w:r>
      <w:r>
        <w:t xml:space="preserve">  Reporting will then be </w:t>
      </w:r>
      <w:r w:rsidR="000732D7" w:rsidRPr="000732D7">
        <w:t>required to</w:t>
      </w:r>
      <w:r w:rsidR="000732D7">
        <w:t xml:space="preserve"> meet three necessary objectives</w:t>
      </w:r>
      <w:r>
        <w:t xml:space="preserve"> regarding these plans</w:t>
      </w:r>
      <w:r w:rsidR="000732D7">
        <w:t xml:space="preserve">.  Through </w:t>
      </w:r>
      <w:r>
        <w:t xml:space="preserve">monthly record keeping and </w:t>
      </w:r>
      <w:r w:rsidR="001037BD">
        <w:t>quarterly reporting</w:t>
      </w:r>
      <w:r w:rsidR="000732D7">
        <w:t xml:space="preserve">, HUD will </w:t>
      </w:r>
      <w:r w:rsidR="000732D7" w:rsidRPr="000732D7">
        <w:t xml:space="preserve">monitor the eligibility of </w:t>
      </w:r>
      <w:r w:rsidR="001037BD">
        <w:t>awardees</w:t>
      </w:r>
      <w:r w:rsidR="000732D7">
        <w:t xml:space="preserve"> </w:t>
      </w:r>
      <w:r w:rsidR="000732D7" w:rsidRPr="000732D7">
        <w:t xml:space="preserve">activities, evaluate their performance, and measure </w:t>
      </w:r>
      <w:r w:rsidR="001037BD">
        <w:t xml:space="preserve">their </w:t>
      </w:r>
      <w:r w:rsidR="000732D7" w:rsidRPr="000732D7">
        <w:t>performance in achieving program objectives</w:t>
      </w:r>
      <w:r w:rsidR="000732D7">
        <w:t xml:space="preserve">.  </w:t>
      </w:r>
    </w:p>
    <w:p w:rsidR="00A1564B" w:rsidRDefault="00A1564B" w:rsidP="000732D7"/>
    <w:p w:rsidR="000732D7" w:rsidRPr="000732D7" w:rsidRDefault="000732D7" w:rsidP="000732D7">
      <w:r>
        <w:t xml:space="preserve">All </w:t>
      </w:r>
      <w:r w:rsidRPr="000732D7">
        <w:t>MV</w:t>
      </w:r>
      <w:r>
        <w:t>-</w:t>
      </w:r>
      <w:r w:rsidRPr="000732D7">
        <w:t xml:space="preserve">TA activities undertaken by the </w:t>
      </w:r>
      <w:r w:rsidR="001037BD" w:rsidRPr="000732D7">
        <w:t>awardees</w:t>
      </w:r>
      <w:r w:rsidRPr="000732D7">
        <w:t xml:space="preserve"> must be in compliance with 24CFR Part 583.140 of the Supportive Housing Program TA regulations.  </w:t>
      </w:r>
    </w:p>
    <w:p w:rsidR="009E0445" w:rsidRDefault="009E0445"/>
    <w:p w:rsidR="001D3C22" w:rsidRDefault="009E0445" w:rsidP="001D3C22">
      <w:pPr>
        <w:pStyle w:val="AbtHeadB"/>
      </w:pPr>
      <w:bookmarkStart w:id="15" w:name="_Toc224972098"/>
      <w:bookmarkStart w:id="16" w:name="_Toc233444278"/>
      <w:bookmarkStart w:id="17" w:name="_Toc291677932"/>
      <w:r>
        <w:lastRenderedPageBreak/>
        <w:t>A2</w:t>
      </w:r>
      <w:r>
        <w:tab/>
        <w:t>Information Users</w:t>
      </w:r>
      <w:bookmarkEnd w:id="15"/>
      <w:bookmarkEnd w:id="16"/>
      <w:bookmarkEnd w:id="17"/>
    </w:p>
    <w:p w:rsidR="009E0445" w:rsidRDefault="009E0445" w:rsidP="00FA1CC5">
      <w:pPr>
        <w:rPr>
          <w:i/>
        </w:rPr>
      </w:pPr>
      <w:r w:rsidRPr="00FA1CC5">
        <w:rPr>
          <w:i/>
        </w:rPr>
        <w:t xml:space="preserve">How is the information collected and how is the information to be used?  </w:t>
      </w:r>
    </w:p>
    <w:p w:rsidR="00FA1CC5" w:rsidRPr="00FA1CC5" w:rsidRDefault="00FA1CC5" w:rsidP="00FA1CC5">
      <w:pPr>
        <w:rPr>
          <w:i/>
        </w:rPr>
      </w:pPr>
    </w:p>
    <w:p w:rsidR="00FE237E" w:rsidRDefault="001C6D1F" w:rsidP="001C6D1F">
      <w:pPr>
        <w:autoSpaceDE w:val="0"/>
        <w:autoSpaceDN w:val="0"/>
        <w:adjustRightInd w:val="0"/>
      </w:pPr>
      <w:r>
        <w:t xml:space="preserve">The data </w:t>
      </w:r>
      <w:r w:rsidR="003444D5">
        <w:t xml:space="preserve">collected through the </w:t>
      </w:r>
      <w:r w:rsidR="00FE237E">
        <w:t xml:space="preserve">MV-TA </w:t>
      </w:r>
      <w:r>
        <w:t>will be</w:t>
      </w:r>
      <w:r w:rsidR="00FB0F96">
        <w:t xml:space="preserve"> used by </w:t>
      </w:r>
      <w:r w:rsidR="00FE237E">
        <w:t>HUD to determine the capacity, experience, and expertise of eligible applicants for the MV-TA Program</w:t>
      </w:r>
      <w:r w:rsidR="001037BD">
        <w:t>, as well as to monitor their compliance and success post-award</w:t>
      </w:r>
      <w:r w:rsidR="00FE237E">
        <w:t xml:space="preserve">.  </w:t>
      </w:r>
      <w:r w:rsidR="00FB0F96">
        <w:t xml:space="preserve">Completed </w:t>
      </w:r>
      <w:r w:rsidR="009F4BF2">
        <w:t>Narrative</w:t>
      </w:r>
      <w:r w:rsidR="001037BD">
        <w:t xml:space="preserve">s and </w:t>
      </w:r>
      <w:r w:rsidR="009F4BF2">
        <w:t>Matrices</w:t>
      </w:r>
      <w:r w:rsidR="00FE237E">
        <w:t xml:space="preserve"> </w:t>
      </w:r>
      <w:r w:rsidR="00FB0F96">
        <w:t>will be reviewed by HUD</w:t>
      </w:r>
      <w:r w:rsidR="00FE237E">
        <w:t xml:space="preserve"> staff and incorporated into the assessment of the MV-TA application.  HUD with then rank each applicant based on scoring criteria listed in the NOFA, and funds will be awarded accordingly.</w:t>
      </w:r>
    </w:p>
    <w:p w:rsidR="008249FE" w:rsidRDefault="00FE237E" w:rsidP="001C6D1F">
      <w:pPr>
        <w:autoSpaceDE w:val="0"/>
        <w:autoSpaceDN w:val="0"/>
        <w:adjustRightInd w:val="0"/>
      </w:pPr>
      <w:r>
        <w:t xml:space="preserve"> </w:t>
      </w:r>
    </w:p>
    <w:p w:rsidR="001037BD" w:rsidRDefault="001037BD" w:rsidP="001C6D1F">
      <w:pPr>
        <w:autoSpaceDE w:val="0"/>
        <w:autoSpaceDN w:val="0"/>
        <w:adjustRightInd w:val="0"/>
      </w:pPr>
      <w:r>
        <w:t xml:space="preserve">Both the </w:t>
      </w:r>
      <w:r w:rsidR="009F4BF2">
        <w:t>Narrative</w:t>
      </w:r>
      <w:r>
        <w:t xml:space="preserve"> and the </w:t>
      </w:r>
      <w:r w:rsidR="009F4BF2">
        <w:t>Matrices</w:t>
      </w:r>
      <w:r>
        <w:t xml:space="preserve"> cover three factors detailed in the MV-TA NOFA: Applicant’s Capacity and Relevant Expertise, Soundness of Approach, and Achieving Results and Program Evaluation.  The </w:t>
      </w:r>
      <w:r w:rsidR="009F4BF2">
        <w:t>Narrative</w:t>
      </w:r>
      <w:r>
        <w:t xml:space="preserve"> requires that each applicant create one continuous document that covers each of the factors, including the factor details listed in the NOFA. Factor details include subheadings such as, management, policies and procedures, quality control, outcomes, and evaluation.</w:t>
      </w:r>
    </w:p>
    <w:p w:rsidR="001037BD" w:rsidRDefault="001037BD" w:rsidP="001C6D1F">
      <w:pPr>
        <w:autoSpaceDE w:val="0"/>
        <w:autoSpaceDN w:val="0"/>
        <w:adjustRightInd w:val="0"/>
      </w:pPr>
    </w:p>
    <w:p w:rsidR="002B78F0" w:rsidRDefault="001C6D1F" w:rsidP="001C6D1F">
      <w:pPr>
        <w:autoSpaceDE w:val="0"/>
        <w:autoSpaceDN w:val="0"/>
        <w:adjustRightInd w:val="0"/>
        <w:rPr>
          <w:rFonts w:ascii="Arial" w:hAnsi="Arial"/>
          <w:i/>
          <w:color w:val="000000"/>
        </w:rPr>
      </w:pPr>
      <w:r>
        <w:t xml:space="preserve">The </w:t>
      </w:r>
      <w:r w:rsidR="009F4BF2">
        <w:t>Matrices</w:t>
      </w:r>
      <w:r w:rsidR="00FE237E">
        <w:t xml:space="preserve"> </w:t>
      </w:r>
      <w:r w:rsidR="005A1CA0">
        <w:t>include</w:t>
      </w:r>
      <w:r w:rsidR="00FE237E">
        <w:t xml:space="preserve"> three </w:t>
      </w:r>
      <w:r w:rsidR="005A1CA0">
        <w:t>spreadsheets</w:t>
      </w:r>
      <w:r w:rsidR="00FE237E">
        <w:t xml:space="preserve">, </w:t>
      </w:r>
      <w:r>
        <w:t xml:space="preserve">each of which </w:t>
      </w:r>
      <w:r w:rsidR="001B0DC6">
        <w:t xml:space="preserve">also </w:t>
      </w:r>
      <w:r>
        <w:t>includes</w:t>
      </w:r>
      <w:r w:rsidR="001B0DC6">
        <w:t xml:space="preserve"> a series of elements and indicators that allow for </w:t>
      </w:r>
      <w:r w:rsidR="005A1CA0">
        <w:t xml:space="preserve">a comprehensive </w:t>
      </w:r>
      <w:r w:rsidR="001B0DC6">
        <w:t xml:space="preserve">assessment </w:t>
      </w:r>
      <w:r w:rsidR="005A1CA0">
        <w:t xml:space="preserve">of the applicant, the applicant’s relevant history, and the applicant’s proposed project staff.  </w:t>
      </w:r>
      <w:r w:rsidR="00F230C5">
        <w:t xml:space="preserve">For </w:t>
      </w:r>
      <w:r w:rsidR="002B78F0">
        <w:t>e</w:t>
      </w:r>
      <w:r w:rsidR="00F230C5">
        <w:t>xample</w:t>
      </w:r>
      <w:r w:rsidR="002B78F0">
        <w:t xml:space="preserve">, </w:t>
      </w:r>
      <w:r w:rsidR="005A1CA0">
        <w:t xml:space="preserve">the applicant must “Briefly describe up to three (3) TA engagements/activities for each applicable experience type,” including a “Needs Assessment” and “Quantifiable Outcomes.”   </w:t>
      </w:r>
    </w:p>
    <w:p w:rsidR="005A1CA0" w:rsidRDefault="005A1CA0" w:rsidP="00FA1CC5">
      <w:pPr>
        <w:rPr>
          <w:i/>
        </w:rPr>
      </w:pPr>
      <w:bookmarkStart w:id="18" w:name="_Toc217119468"/>
      <w:bookmarkStart w:id="19" w:name="_Toc217119753"/>
      <w:bookmarkStart w:id="20" w:name="_Toc224972100"/>
    </w:p>
    <w:bookmarkEnd w:id="18"/>
    <w:bookmarkEnd w:id="19"/>
    <w:bookmarkEnd w:id="20"/>
    <w:p w:rsidR="008D2164" w:rsidRDefault="005A1CA0" w:rsidP="008D2164">
      <w:pPr>
        <w:autoSpaceDE w:val="0"/>
        <w:autoSpaceDN w:val="0"/>
        <w:adjustRightInd w:val="0"/>
        <w:rPr>
          <w:color w:val="000000"/>
        </w:rPr>
      </w:pPr>
      <w:r>
        <w:t>The three spreadsheets are comprised of the following</w:t>
      </w:r>
      <w:r w:rsidR="008D2164">
        <w:rPr>
          <w:color w:val="000000"/>
        </w:rPr>
        <w:t>:</w:t>
      </w:r>
    </w:p>
    <w:p w:rsidR="001C6D1F" w:rsidRDefault="001C6D1F" w:rsidP="001C6D1F">
      <w:pPr>
        <w:autoSpaceDE w:val="0"/>
        <w:autoSpaceDN w:val="0"/>
        <w:adjustRightInd w:val="0"/>
      </w:pPr>
    </w:p>
    <w:p w:rsidR="005A1CA0" w:rsidRPr="005A1CA0" w:rsidRDefault="005A1CA0" w:rsidP="005A1CA0">
      <w:pPr>
        <w:pStyle w:val="ListParagraph"/>
        <w:numPr>
          <w:ilvl w:val="0"/>
          <w:numId w:val="6"/>
        </w:numPr>
        <w:spacing w:after="200" w:line="276" w:lineRule="auto"/>
        <w:rPr>
          <w:i/>
        </w:rPr>
      </w:pPr>
      <w:r w:rsidRPr="005A1CA0">
        <w:rPr>
          <w:rFonts w:ascii="Times" w:cs="Times"/>
          <w:i/>
        </w:rPr>
        <w:t>McKinney-Vento TA Experience form (.xls or .xlsx format)</w:t>
      </w:r>
      <w:r w:rsidR="00484DC8">
        <w:rPr>
          <w:rFonts w:ascii="Times" w:cs="Times"/>
          <w:i/>
        </w:rPr>
        <w:t xml:space="preserve"> </w:t>
      </w:r>
      <w:r w:rsidR="00484DC8">
        <w:rPr>
          <w:rFonts w:ascii="Times" w:cs="Times"/>
        </w:rPr>
        <w:t>–</w:t>
      </w:r>
      <w:r>
        <w:rPr>
          <w:rFonts w:ascii="Times" w:cs="Times"/>
        </w:rPr>
        <w:t xml:space="preserve"> </w:t>
      </w:r>
      <w:r w:rsidR="00484DC8">
        <w:rPr>
          <w:rFonts w:ascii="Times" w:cs="Times"/>
        </w:rPr>
        <w:t>includes an assessment o</w:t>
      </w:r>
      <w:r w:rsidR="00905CD0">
        <w:rPr>
          <w:rFonts w:ascii="Times" w:cs="Times"/>
        </w:rPr>
        <w:t xml:space="preserve">f the applicants TA experience </w:t>
      </w:r>
      <w:r w:rsidR="00484DC8">
        <w:rPr>
          <w:rFonts w:ascii="Times" w:cs="Times"/>
        </w:rPr>
        <w:t>and measurable outcomes with the following: n</w:t>
      </w:r>
      <w:r w:rsidR="00484DC8" w:rsidRPr="00484DC8">
        <w:rPr>
          <w:rFonts w:ascii="Times" w:cs="Times"/>
        </w:rPr>
        <w:t xml:space="preserve">eeds </w:t>
      </w:r>
      <w:r w:rsidR="00484DC8">
        <w:rPr>
          <w:rFonts w:ascii="Times" w:cs="Times"/>
        </w:rPr>
        <w:t>a</w:t>
      </w:r>
      <w:r w:rsidR="00484DC8" w:rsidRPr="00484DC8">
        <w:rPr>
          <w:rFonts w:ascii="Times" w:cs="Times"/>
        </w:rPr>
        <w:t>ssessment</w:t>
      </w:r>
      <w:r w:rsidR="00484DC8">
        <w:rPr>
          <w:rFonts w:ascii="Times" w:cs="Times"/>
        </w:rPr>
        <w:t xml:space="preserve"> of MV programs; </w:t>
      </w:r>
      <w:r w:rsidR="00905CD0">
        <w:rPr>
          <w:rFonts w:ascii="Times" w:cs="Times"/>
        </w:rPr>
        <w:t xml:space="preserve">direct TA in </w:t>
      </w:r>
      <w:r w:rsidR="00484DC8">
        <w:rPr>
          <w:rFonts w:ascii="Times" w:cs="Times"/>
        </w:rPr>
        <w:t>progra</w:t>
      </w:r>
      <w:r w:rsidR="00905CD0">
        <w:rPr>
          <w:rFonts w:ascii="Times" w:cs="Times"/>
        </w:rPr>
        <w:t>m</w:t>
      </w:r>
      <w:r w:rsidR="00484DC8">
        <w:rPr>
          <w:rFonts w:ascii="Times" w:cs="Times"/>
        </w:rPr>
        <w:t>m</w:t>
      </w:r>
      <w:r w:rsidR="00905CD0">
        <w:rPr>
          <w:rFonts w:ascii="Times" w:cs="Times"/>
        </w:rPr>
        <w:t>ing</w:t>
      </w:r>
      <w:r w:rsidR="00484DC8">
        <w:rPr>
          <w:rFonts w:ascii="Times" w:cs="Times"/>
        </w:rPr>
        <w:t xml:space="preserve">, strategic planning, and organizational capacity; </w:t>
      </w:r>
      <w:r w:rsidR="00905CD0">
        <w:rPr>
          <w:rFonts w:ascii="Times" w:cs="Times"/>
        </w:rPr>
        <w:t>t</w:t>
      </w:r>
      <w:r w:rsidR="00484DC8" w:rsidRPr="00905CD0">
        <w:rPr>
          <w:rFonts w:ascii="Times" w:cs="Times"/>
        </w:rPr>
        <w:t xml:space="preserve">ools and </w:t>
      </w:r>
      <w:r w:rsidR="00905CD0">
        <w:rPr>
          <w:rFonts w:ascii="Times" w:cs="Times"/>
        </w:rPr>
        <w:t>p</w:t>
      </w:r>
      <w:r w:rsidR="00484DC8" w:rsidRPr="00905CD0">
        <w:rPr>
          <w:rFonts w:ascii="Times" w:cs="Times"/>
        </w:rPr>
        <w:t>roduct</w:t>
      </w:r>
      <w:r w:rsidR="00905CD0">
        <w:rPr>
          <w:rFonts w:ascii="Times" w:cs="Times"/>
        </w:rPr>
        <w:t xml:space="preserve"> d</w:t>
      </w:r>
      <w:r w:rsidR="00484DC8" w:rsidRPr="00905CD0">
        <w:rPr>
          <w:rFonts w:ascii="Times" w:cs="Times"/>
        </w:rPr>
        <w:t>evelopment</w:t>
      </w:r>
      <w:r w:rsidR="00484DC8">
        <w:rPr>
          <w:rFonts w:ascii="Times" w:cs="Times"/>
        </w:rPr>
        <w:t xml:space="preserve">; and, </w:t>
      </w:r>
      <w:r w:rsidR="00905CD0">
        <w:rPr>
          <w:rFonts w:ascii="Times" w:cs="Times"/>
        </w:rPr>
        <w:t>g</w:t>
      </w:r>
      <w:r w:rsidR="00484DC8" w:rsidRPr="00905CD0">
        <w:rPr>
          <w:rFonts w:ascii="Times" w:cs="Times"/>
        </w:rPr>
        <w:t xml:space="preserve">roup </w:t>
      </w:r>
      <w:r w:rsidR="00905CD0">
        <w:rPr>
          <w:rFonts w:ascii="Times" w:cs="Times"/>
        </w:rPr>
        <w:t>l</w:t>
      </w:r>
      <w:r w:rsidR="00484DC8" w:rsidRPr="00905CD0">
        <w:rPr>
          <w:rFonts w:ascii="Times" w:cs="Times"/>
        </w:rPr>
        <w:t>earning</w:t>
      </w:r>
      <w:r w:rsidR="00484DC8">
        <w:rPr>
          <w:rFonts w:ascii="Times" w:cs="Times"/>
        </w:rPr>
        <w:t xml:space="preserve">.  </w:t>
      </w:r>
    </w:p>
    <w:p w:rsidR="005A1CA0" w:rsidRPr="00484DC8" w:rsidRDefault="005A1CA0" w:rsidP="00484DC8">
      <w:pPr>
        <w:pStyle w:val="ListParagraph"/>
        <w:numPr>
          <w:ilvl w:val="0"/>
          <w:numId w:val="6"/>
        </w:numPr>
        <w:spacing w:after="200" w:line="276" w:lineRule="auto"/>
        <w:rPr>
          <w:i/>
        </w:rPr>
      </w:pPr>
      <w:r w:rsidRPr="005A1CA0">
        <w:rPr>
          <w:rFonts w:ascii="Times" w:cs="Times"/>
          <w:i/>
        </w:rPr>
        <w:t>McKinney-Vento TA Personnel Expertise form (.xls or .xlsx format)</w:t>
      </w:r>
      <w:r w:rsidR="00484DC8">
        <w:rPr>
          <w:rFonts w:ascii="Times" w:cs="Times"/>
        </w:rPr>
        <w:t xml:space="preserve"> </w:t>
      </w:r>
      <w:r w:rsidR="00484DC8">
        <w:rPr>
          <w:rFonts w:ascii="Times" w:cs="Times"/>
        </w:rPr>
        <w:t>–</w:t>
      </w:r>
      <w:r w:rsidR="00484DC8">
        <w:rPr>
          <w:rFonts w:ascii="Times" w:cs="Times"/>
        </w:rPr>
        <w:t xml:space="preserve"> includes an assessment of the experience of the applicant</w:t>
      </w:r>
      <w:r w:rsidR="00484DC8">
        <w:rPr>
          <w:rFonts w:ascii="Times" w:cs="Times"/>
        </w:rPr>
        <w:t>’</w:t>
      </w:r>
      <w:r w:rsidR="00484DC8" w:rsidRPr="00484DC8">
        <w:rPr>
          <w:rFonts w:ascii="Times" w:cs="Times"/>
        </w:rPr>
        <w:t xml:space="preserve">s proposed project staff </w:t>
      </w:r>
      <w:r w:rsidR="00484DC8">
        <w:rPr>
          <w:rFonts w:ascii="Times" w:cs="Times"/>
        </w:rPr>
        <w:t xml:space="preserve">in </w:t>
      </w:r>
      <w:r w:rsidR="00484DC8" w:rsidRPr="00484DC8">
        <w:rPr>
          <w:rFonts w:ascii="Times" w:cs="Times"/>
        </w:rPr>
        <w:t xml:space="preserve">the following </w:t>
      </w:r>
      <w:r w:rsidR="00484DC8">
        <w:rPr>
          <w:rFonts w:ascii="Times" w:cs="Times"/>
        </w:rPr>
        <w:t>areas</w:t>
      </w:r>
      <w:r w:rsidR="00484DC8" w:rsidRPr="00484DC8">
        <w:rPr>
          <w:rFonts w:ascii="Times" w:cs="Times"/>
        </w:rPr>
        <w:t>:</w:t>
      </w:r>
      <w:r w:rsidR="00484DC8">
        <w:rPr>
          <w:rFonts w:ascii="Times" w:cs="Times"/>
        </w:rPr>
        <w:t xml:space="preserve"> program requirements; project design; web technology; administration/management; skill areas; HMIS; and reporting/data.</w:t>
      </w:r>
      <w:r w:rsidR="00484DC8" w:rsidRPr="00484DC8">
        <w:rPr>
          <w:rFonts w:ascii="Times" w:cs="Times"/>
        </w:rPr>
        <w:t xml:space="preserve"> </w:t>
      </w:r>
    </w:p>
    <w:p w:rsidR="001726AA" w:rsidRDefault="005A1CA0" w:rsidP="00905CD0">
      <w:pPr>
        <w:pStyle w:val="ListParagraph"/>
        <w:numPr>
          <w:ilvl w:val="0"/>
          <w:numId w:val="6"/>
        </w:numPr>
        <w:spacing w:after="200" w:line="276" w:lineRule="auto"/>
        <w:rPr>
          <w:color w:val="000000"/>
        </w:rPr>
      </w:pPr>
      <w:r w:rsidRPr="005A1CA0">
        <w:rPr>
          <w:rFonts w:cstheme="minorHAnsi"/>
          <w:i/>
        </w:rPr>
        <w:t>Technical Assistance Awards Received form (</w:t>
      </w:r>
      <w:r w:rsidRPr="005A1CA0">
        <w:rPr>
          <w:rFonts w:ascii="Times" w:cs="Times"/>
          <w:i/>
        </w:rPr>
        <w:t>.xls or .xlsx format)</w:t>
      </w:r>
      <w:r w:rsidR="00905CD0">
        <w:rPr>
          <w:rFonts w:ascii="Times" w:cs="Times"/>
        </w:rPr>
        <w:t xml:space="preserve"> </w:t>
      </w:r>
      <w:r w:rsidR="00905CD0">
        <w:rPr>
          <w:rFonts w:ascii="Times" w:cs="Times"/>
        </w:rPr>
        <w:t>–</w:t>
      </w:r>
      <w:r w:rsidR="00905CD0">
        <w:rPr>
          <w:rFonts w:ascii="Times" w:cs="Times"/>
        </w:rPr>
        <w:t xml:space="preserve"> includes an assessment of the active technical assistance awards received including the award date, the award amount, the awarding organization, and both performance issues and the steps being taken to resolve those issue.</w:t>
      </w:r>
      <w:r w:rsidR="00905CD0">
        <w:rPr>
          <w:color w:val="000000"/>
        </w:rPr>
        <w:t xml:space="preserve"> </w:t>
      </w:r>
    </w:p>
    <w:p w:rsidR="001037BD" w:rsidRPr="001037BD" w:rsidRDefault="001037BD" w:rsidP="001037BD">
      <w:pPr>
        <w:spacing w:after="200" w:line="276" w:lineRule="auto"/>
        <w:rPr>
          <w:color w:val="000000"/>
        </w:rPr>
      </w:pPr>
      <w:r>
        <w:rPr>
          <w:color w:val="000000"/>
        </w:rPr>
        <w:t xml:space="preserve">The </w:t>
      </w:r>
      <w:r w:rsidR="00A1564B">
        <w:rPr>
          <w:color w:val="000000"/>
        </w:rPr>
        <w:t xml:space="preserve">work plan will be developed collaboratively between the awarded applicant and HUD.  It will cover the different phases of the project, including action items, timelines, responsible staff members for each action, and outputs over time. The work plan will </w:t>
      </w:r>
      <w:r w:rsidR="00A1564B">
        <w:rPr>
          <w:color w:val="000000"/>
        </w:rPr>
        <w:lastRenderedPageBreak/>
        <w:t xml:space="preserve">serve as the benchmark by which the monthly record keeping and </w:t>
      </w:r>
      <w:r>
        <w:rPr>
          <w:color w:val="000000"/>
        </w:rPr>
        <w:t>quarterly report</w:t>
      </w:r>
      <w:r w:rsidR="00A1564B">
        <w:rPr>
          <w:color w:val="000000"/>
        </w:rPr>
        <w:t>ing will monitor and measure project success.</w:t>
      </w:r>
    </w:p>
    <w:p w:rsidR="00552BEE" w:rsidRDefault="00552BEE" w:rsidP="003444D5">
      <w:pPr>
        <w:pStyle w:val="BodyText"/>
        <w:rPr>
          <w:rFonts w:ascii="Arial" w:hAnsi="Arial"/>
          <w:b/>
        </w:rPr>
      </w:pPr>
    </w:p>
    <w:p w:rsidR="003444D5" w:rsidRDefault="003444D5" w:rsidP="003444D5">
      <w:pPr>
        <w:pStyle w:val="BodyText"/>
        <w:rPr>
          <w:rFonts w:ascii="Arial" w:hAnsi="Arial"/>
          <w:b/>
        </w:rPr>
      </w:pPr>
      <w:r>
        <w:rPr>
          <w:rFonts w:ascii="Arial" w:hAnsi="Arial"/>
          <w:b/>
        </w:rPr>
        <w:t>Report Submission</w:t>
      </w:r>
    </w:p>
    <w:p w:rsidR="003444D5" w:rsidRDefault="003444D5" w:rsidP="003444D5">
      <w:pPr>
        <w:autoSpaceDE w:val="0"/>
        <w:autoSpaceDN w:val="0"/>
        <w:adjustRightInd w:val="0"/>
      </w:pPr>
      <w:r>
        <w:t xml:space="preserve">The </w:t>
      </w:r>
      <w:r w:rsidR="00905CD0">
        <w:t xml:space="preserve">MV-TA </w:t>
      </w:r>
      <w:r w:rsidR="001B181D">
        <w:t xml:space="preserve">Narrative and </w:t>
      </w:r>
      <w:r w:rsidR="00905CD0">
        <w:t xml:space="preserve">Matrices will be completed in conjunction with the MV-TA application.  </w:t>
      </w:r>
      <w:r w:rsidR="00905CD0" w:rsidRPr="00905CD0">
        <w:t xml:space="preserve">Copies of the published NOFA and application forms announced through </w:t>
      </w:r>
      <w:r w:rsidR="00905CD0">
        <w:t>this NOFA</w:t>
      </w:r>
      <w:r w:rsidR="00905CD0" w:rsidRPr="00905CD0">
        <w:t xml:space="preserve"> may be downloaded from the grants.gov website at </w:t>
      </w:r>
      <w:hyperlink r:id="rId10" w:history="1">
        <w:r w:rsidR="00905CD0" w:rsidRPr="00310147">
          <w:rPr>
            <w:rStyle w:val="Hyperlink"/>
          </w:rPr>
          <w:t>http://www07.grants.gov/applicants/apply_for_grants.jsp</w:t>
        </w:r>
      </w:hyperlink>
      <w:r w:rsidR="00905CD0">
        <w:t>.  R</w:t>
      </w:r>
      <w:r w:rsidR="00446C5B">
        <w:t>espondents will include</w:t>
      </w:r>
      <w:r w:rsidR="00905CD0">
        <w:t xml:space="preserve"> all eligible applicants including states, units of general local government, PHAs, public or private nonprofit,</w:t>
      </w:r>
      <w:r w:rsidR="00905CD0" w:rsidRPr="005E4FD7">
        <w:t xml:space="preserve"> </w:t>
      </w:r>
      <w:r w:rsidR="00905CD0">
        <w:t xml:space="preserve">or </w:t>
      </w:r>
      <w:r w:rsidR="00905CD0" w:rsidRPr="005E4FD7">
        <w:t>for pro</w:t>
      </w:r>
      <w:r w:rsidR="00905CD0">
        <w:t>fit organization or intermediaries</w:t>
      </w:r>
      <w:r w:rsidR="00905CD0" w:rsidRPr="005E4FD7">
        <w:t>, including educational institutions and area-wide planning organizations</w:t>
      </w:r>
      <w:r w:rsidR="00905CD0">
        <w:t xml:space="preserve">. </w:t>
      </w:r>
      <w:r w:rsidR="00446C5B">
        <w:t xml:space="preserve"> </w:t>
      </w:r>
    </w:p>
    <w:p w:rsidR="007401E8" w:rsidRDefault="007401E8" w:rsidP="003444D5">
      <w:pPr>
        <w:autoSpaceDE w:val="0"/>
        <w:autoSpaceDN w:val="0"/>
        <w:adjustRightInd w:val="0"/>
      </w:pPr>
    </w:p>
    <w:p w:rsidR="001B181D" w:rsidRDefault="007401E8" w:rsidP="003444D5">
      <w:pPr>
        <w:autoSpaceDE w:val="0"/>
        <w:autoSpaceDN w:val="0"/>
        <w:adjustRightInd w:val="0"/>
      </w:pPr>
      <w:r>
        <w:t xml:space="preserve">The submission process </w:t>
      </w:r>
      <w:r w:rsidRPr="007401E8">
        <w:t xml:space="preserve">is governed by the information and instructions found in the Notice of HUD’s Fiscal Year (FY) 2011 Notice of Funding Availability (NOFA) Policy Requirements and General Section (General Section) that HUD posted on www.Grants.gov on insert date, 2011, and this NOFA.  </w:t>
      </w:r>
    </w:p>
    <w:p w:rsidR="001B181D" w:rsidRDefault="001B181D" w:rsidP="003444D5">
      <w:pPr>
        <w:autoSpaceDE w:val="0"/>
        <w:autoSpaceDN w:val="0"/>
        <w:adjustRightInd w:val="0"/>
      </w:pPr>
    </w:p>
    <w:p w:rsidR="007401E8" w:rsidRDefault="007401E8" w:rsidP="003444D5">
      <w:pPr>
        <w:autoSpaceDE w:val="0"/>
        <w:autoSpaceDN w:val="0"/>
        <w:adjustRightInd w:val="0"/>
      </w:pPr>
      <w:r w:rsidRPr="007401E8">
        <w:t xml:space="preserve">The application deadline is 11:59:59 p.m. eastern time on </w:t>
      </w:r>
      <w:r w:rsidRPr="007401E8">
        <w:rPr>
          <w:highlight w:val="yellow"/>
        </w:rPr>
        <w:t>insert date</w:t>
      </w:r>
      <w:r w:rsidRPr="007401E8">
        <w:t xml:space="preserve">, 2011.  Applications must be received by Grants.gov no later than the application deadline date and time.  After submission to Grants.gov, applications go through a validation process in which the application may be accepted or rejected.  Applicants must allow time for this process to ensure meeting the timely receipt requirements.  </w:t>
      </w:r>
      <w:r>
        <w:t>They will be r</w:t>
      </w:r>
      <w:r w:rsidRPr="007401E8">
        <w:t>efer</w:t>
      </w:r>
      <w:r>
        <w:t>red</w:t>
      </w:r>
      <w:r w:rsidRPr="007401E8">
        <w:t xml:space="preserve"> to the 2011 General Section for instructions for timely receipt, including actions to take if the application is rejected.  </w:t>
      </w:r>
    </w:p>
    <w:p w:rsidR="001B181D" w:rsidRDefault="001B181D" w:rsidP="003444D5">
      <w:pPr>
        <w:autoSpaceDE w:val="0"/>
        <w:autoSpaceDN w:val="0"/>
        <w:adjustRightInd w:val="0"/>
      </w:pPr>
    </w:p>
    <w:p w:rsidR="001B181D" w:rsidRDefault="001B181D" w:rsidP="003444D5">
      <w:pPr>
        <w:autoSpaceDE w:val="0"/>
        <w:autoSpaceDN w:val="0"/>
        <w:adjustRightInd w:val="0"/>
      </w:pPr>
      <w:r>
        <w:t>Work plans will be worked on jointly by HUD and the awarded applicants</w:t>
      </w:r>
      <w:r w:rsidR="007E0060">
        <w:t xml:space="preserve">. </w:t>
      </w:r>
      <w:r w:rsidR="009F3681">
        <w:t xml:space="preserve"> </w:t>
      </w:r>
      <w:r w:rsidR="009F3681" w:rsidRPr="009F3681">
        <w:t>As part of th</w:t>
      </w:r>
      <w:r w:rsidR="009F3681">
        <w:t xml:space="preserve">e required report to HUD, awardees </w:t>
      </w:r>
      <w:r w:rsidR="009F3681" w:rsidRPr="009F3681">
        <w:t xml:space="preserve">must enter TA engagements and activities into the TA database, which tracks actual outputs and outcomes achieved and describes deviations, either positive or negative, from projected results to actual results achieved.  </w:t>
      </w:r>
      <w:r w:rsidR="007E0060">
        <w:t>Quarterly reports will be filled out digitally by applicants and submitted electronically to HUD.</w:t>
      </w:r>
    </w:p>
    <w:p w:rsidR="00A5764B" w:rsidRDefault="00A5764B" w:rsidP="003444D5">
      <w:pPr>
        <w:autoSpaceDE w:val="0"/>
        <w:autoSpaceDN w:val="0"/>
        <w:adjustRightInd w:val="0"/>
      </w:pPr>
    </w:p>
    <w:p w:rsidR="008D2164" w:rsidRDefault="008D2164" w:rsidP="008D2164">
      <w:pPr>
        <w:pStyle w:val="AbtHeadB"/>
      </w:pPr>
      <w:bookmarkStart w:id="21" w:name="_Toc224972102"/>
      <w:bookmarkStart w:id="22" w:name="_Toc233444279"/>
      <w:bookmarkStart w:id="23" w:name="_Toc291677933"/>
      <w:r>
        <w:t>A3</w:t>
      </w:r>
      <w:r>
        <w:tab/>
        <w:t>Improved Information Technologies</w:t>
      </w:r>
      <w:bookmarkEnd w:id="21"/>
      <w:bookmarkEnd w:id="22"/>
      <w:bookmarkEnd w:id="23"/>
    </w:p>
    <w:p w:rsidR="008D2164" w:rsidRDefault="008D2164" w:rsidP="008D2164">
      <w:pPr>
        <w:keepLines/>
        <w:tabs>
          <w:tab w:val="left" w:pos="-110"/>
        </w:tabs>
        <w:spacing w:after="80"/>
        <w:ind w:hanging="30"/>
        <w:rPr>
          <w:rFonts w:ascii="Arial" w:hAnsi="Arial"/>
          <w:i/>
          <w:spacing w:val="-4"/>
        </w:rPr>
      </w:pPr>
      <w:r>
        <w:rPr>
          <w:rFonts w:ascii="Arial" w:hAnsi="Arial"/>
          <w:i/>
          <w:spacing w:val="-4"/>
        </w:rPr>
        <w:t>Describe whether, and to what extent, the collection of information is automated (item 13b1 of OMB form 83-i).  If it is not automated, explain why not.  Also describe any other efforts to reduce burden.</w:t>
      </w:r>
    </w:p>
    <w:p w:rsidR="007401E8" w:rsidRDefault="007401E8" w:rsidP="00597E35">
      <w:pPr>
        <w:spacing w:before="100" w:beforeAutospacing="1" w:after="100" w:afterAutospacing="1"/>
      </w:pPr>
      <w:r>
        <w:t xml:space="preserve">The grants.gov interface allows for complete digital access to all of the MV-TA NOFA application materials, including the MV-TA </w:t>
      </w:r>
      <w:r w:rsidR="001B181D">
        <w:t xml:space="preserve">Narrative and </w:t>
      </w:r>
      <w:r>
        <w:t>Matrices.  As a result, applicants can download forms in real time, fill out the application digitally, and submit electronically over the web.</w:t>
      </w:r>
    </w:p>
    <w:p w:rsidR="007401E8" w:rsidRDefault="007401E8" w:rsidP="00597E35">
      <w:pPr>
        <w:spacing w:before="100" w:beforeAutospacing="1" w:after="100" w:afterAutospacing="1"/>
      </w:pPr>
      <w:r>
        <w:t xml:space="preserve">In addition to using grants.gov, the </w:t>
      </w:r>
      <w:r w:rsidR="007E0060">
        <w:t>Narrative and M</w:t>
      </w:r>
      <w:r>
        <w:t xml:space="preserve">atrices have been designed to reduce the overall burden on applicants compared to previous versions of similar </w:t>
      </w:r>
      <w:r w:rsidR="007E0060">
        <w:t>forms</w:t>
      </w:r>
      <w:r>
        <w:t xml:space="preserve">.  </w:t>
      </w:r>
      <w:r w:rsidR="007E0060">
        <w:t xml:space="preserve">The </w:t>
      </w:r>
      <w:r w:rsidR="007E0060">
        <w:lastRenderedPageBreak/>
        <w:t xml:space="preserve">Narratives can be submitted in any text or PDF format, making them easy to upload electronically. </w:t>
      </w:r>
      <w:r>
        <w:t xml:space="preserve">The MV-TA Matrices are being submitted in Microsoft Excel format, which is much easier to populate and work with compared to the previous Microsoft Word format.  This will save significant time for applicants as the spreadsheet layout is more appropriate for this type of information collection.  </w:t>
      </w:r>
      <w:r w:rsidR="007E0060">
        <w:t>Both t</w:t>
      </w:r>
      <w:r>
        <w:t xml:space="preserve">he MV-TA </w:t>
      </w:r>
      <w:r w:rsidR="007E0060">
        <w:t xml:space="preserve">Narratives and the </w:t>
      </w:r>
      <w:r>
        <w:t xml:space="preserve">Matrices have also been dramatically shortened when compared to their previous format to remove non-program specific questions, and to simplify </w:t>
      </w:r>
      <w:r w:rsidR="000432EE">
        <w:t>areas that had either been too complicated or had provided HUD with data that was not most efficient in differentiating our applicants.</w:t>
      </w:r>
    </w:p>
    <w:p w:rsidR="007E0060" w:rsidRDefault="007E0060" w:rsidP="00597E35">
      <w:pPr>
        <w:spacing w:before="100" w:beforeAutospacing="1" w:after="100" w:afterAutospacing="1"/>
      </w:pPr>
      <w:r>
        <w:t xml:space="preserve">Work plans, monthly recordkeeping, and quarterly reporting can all be filled out electronically.  Work plans will be kept on file in digital format for easy reference, and quarterly reports will be submitted electronically to HUD, reducing the burden associated with drafting, editing, and handling paper files.  </w:t>
      </w:r>
    </w:p>
    <w:p w:rsidR="008D2164" w:rsidRDefault="008D2164" w:rsidP="008D2164">
      <w:pPr>
        <w:pStyle w:val="AbtHeadB"/>
      </w:pPr>
      <w:bookmarkStart w:id="24" w:name="_Toc224972104"/>
      <w:bookmarkStart w:id="25" w:name="_Toc233444280"/>
      <w:bookmarkStart w:id="26" w:name="_Toc291677934"/>
      <w:r>
        <w:t>A4</w:t>
      </w:r>
      <w:r>
        <w:tab/>
        <w:t>Duplication of Similar Information</w:t>
      </w:r>
      <w:bookmarkEnd w:id="24"/>
      <w:bookmarkEnd w:id="25"/>
      <w:bookmarkEnd w:id="26"/>
    </w:p>
    <w:p w:rsidR="008D2164" w:rsidRDefault="008D2164" w:rsidP="008D2164">
      <w:pPr>
        <w:keepLines/>
        <w:tabs>
          <w:tab w:val="left" w:pos="0"/>
        </w:tabs>
        <w:spacing w:after="80"/>
        <w:rPr>
          <w:rFonts w:ascii="Arial" w:hAnsi="Arial"/>
          <w:i/>
          <w:color w:val="000000"/>
        </w:rPr>
      </w:pPr>
      <w:r>
        <w:rPr>
          <w:rFonts w:ascii="Arial" w:hAnsi="Arial"/>
          <w:i/>
          <w:color w:val="000000"/>
        </w:rPr>
        <w:t>Is this information collected elsewhere?  If so, why cannot any similar information already available be used or modified?</w:t>
      </w:r>
    </w:p>
    <w:p w:rsidR="008D2164" w:rsidRDefault="008D2164" w:rsidP="008D2164">
      <w:pPr>
        <w:keepLines/>
        <w:tabs>
          <w:tab w:val="left" w:pos="0"/>
        </w:tabs>
        <w:spacing w:after="80"/>
        <w:rPr>
          <w:rFonts w:ascii="Arial" w:hAnsi="Arial"/>
          <w:i/>
          <w:color w:val="000000"/>
        </w:rPr>
      </w:pPr>
    </w:p>
    <w:p w:rsidR="00552BEE" w:rsidRDefault="000432EE" w:rsidP="008D2164">
      <w:r>
        <w:t xml:space="preserve">The MV-TA </w:t>
      </w:r>
      <w:r w:rsidR="007E0060">
        <w:t xml:space="preserve">Narrative and </w:t>
      </w:r>
      <w:r>
        <w:t xml:space="preserve">Matrices will be collected once per year, based on unique applicant pools and comprised of year sensitive information.  The </w:t>
      </w:r>
      <w:r w:rsidR="007E0060">
        <w:t xml:space="preserve">Narrative and </w:t>
      </w:r>
      <w:r>
        <w:t>Matrices are program specific, and so are the only assessment tools available for HUD to determine the relevant and up-to-date capacity, experience and expertise</w:t>
      </w:r>
      <w:r w:rsidRPr="000432EE">
        <w:t xml:space="preserve"> </w:t>
      </w:r>
      <w:r>
        <w:t xml:space="preserve">of our TA applicants.  </w:t>
      </w:r>
    </w:p>
    <w:p w:rsidR="007E0060" w:rsidRDefault="007E0060" w:rsidP="008D2164"/>
    <w:p w:rsidR="007E0060" w:rsidRDefault="007E0060" w:rsidP="008D2164">
      <w:r>
        <w:t xml:space="preserve">The work plans and quarterly reports will be entirely unique, based specifically on the individual organization, the </w:t>
      </w:r>
      <w:r w:rsidR="005F1B61">
        <w:t>specific application awarded under this NOFA, and the progress and challenges experienced during the term of the grant.</w:t>
      </w:r>
    </w:p>
    <w:p w:rsidR="008D2164" w:rsidRDefault="008D2164" w:rsidP="008D2164"/>
    <w:p w:rsidR="008D2164" w:rsidRDefault="008D2164" w:rsidP="008D2164">
      <w:pPr>
        <w:pStyle w:val="AbtHeadB"/>
      </w:pPr>
      <w:bookmarkStart w:id="27" w:name="_Toc224972105"/>
      <w:bookmarkStart w:id="28" w:name="_Toc233444281"/>
      <w:bookmarkStart w:id="29" w:name="_Toc291677935"/>
      <w:r>
        <w:t>A5</w:t>
      </w:r>
      <w:r>
        <w:tab/>
        <w:t>Small Businesses</w:t>
      </w:r>
      <w:bookmarkEnd w:id="27"/>
      <w:bookmarkEnd w:id="28"/>
      <w:bookmarkEnd w:id="29"/>
    </w:p>
    <w:p w:rsidR="008D2164" w:rsidRDefault="008D2164" w:rsidP="008D2164">
      <w:pPr>
        <w:keepLines/>
        <w:tabs>
          <w:tab w:val="left" w:pos="0"/>
        </w:tabs>
        <w:spacing w:after="80"/>
        <w:rPr>
          <w:rFonts w:ascii="Arial" w:hAnsi="Arial"/>
          <w:i/>
          <w:color w:val="000000"/>
        </w:rPr>
      </w:pPr>
      <w:r>
        <w:rPr>
          <w:rFonts w:ascii="Arial" w:hAnsi="Arial"/>
          <w:i/>
          <w:color w:val="000000"/>
        </w:rPr>
        <w:t>Does the collection of information impact small businesses or other small entities (item 5 of OMB form 83-i)?  Describe any methods used to minimize burden.</w:t>
      </w:r>
    </w:p>
    <w:p w:rsidR="008D2164" w:rsidRDefault="008D2164" w:rsidP="008D2164"/>
    <w:p w:rsidR="005339B0" w:rsidRPr="00C369F5" w:rsidRDefault="000432EE" w:rsidP="005339B0">
      <w:r>
        <w:t>While the application is open to for-profit organizations, no small businesses have submitted applications in previous competitions.  Applications are submitted for this competition on a voluntary basis, and all application requirements and expectations are explicitly listed in the published MV-TA</w:t>
      </w:r>
      <w:r w:rsidR="00342D7D">
        <w:t xml:space="preserve"> </w:t>
      </w:r>
      <w:r>
        <w:t xml:space="preserve">NOFA.  </w:t>
      </w:r>
      <w:r w:rsidR="00342D7D">
        <w:t xml:space="preserve">Efforts have been made to reduce burden across the board and to </w:t>
      </w:r>
      <w:r w:rsidR="005F1B61">
        <w:t xml:space="preserve">create an accessible </w:t>
      </w:r>
      <w:r w:rsidR="00342D7D">
        <w:t xml:space="preserve">application by making the process web-based and fully digital, reducing the number of questions, simplifying existing questions, and offering the </w:t>
      </w:r>
      <w:r w:rsidR="005F1B61">
        <w:t xml:space="preserve">Narrative, </w:t>
      </w:r>
      <w:r w:rsidR="00342D7D">
        <w:t>Matrices</w:t>
      </w:r>
      <w:r w:rsidR="005F1B61">
        <w:t>, and Reporting Doucements</w:t>
      </w:r>
      <w:r w:rsidR="00342D7D">
        <w:t xml:space="preserve"> in a format that is familiar and easy to use.  </w:t>
      </w:r>
    </w:p>
    <w:p w:rsidR="001C6D1F" w:rsidRDefault="001C6D1F" w:rsidP="008D2164"/>
    <w:p w:rsidR="008D2164" w:rsidRDefault="008D2164" w:rsidP="008D2164">
      <w:pPr>
        <w:pStyle w:val="AbtHeadB"/>
      </w:pPr>
      <w:bookmarkStart w:id="30" w:name="_Toc224972106"/>
      <w:bookmarkStart w:id="31" w:name="_Toc233444282"/>
      <w:bookmarkStart w:id="32" w:name="_Toc291677936"/>
      <w:r>
        <w:lastRenderedPageBreak/>
        <w:t>A6</w:t>
      </w:r>
      <w:r>
        <w:tab/>
        <w:t>Less Frequent Data Collection</w:t>
      </w:r>
      <w:bookmarkEnd w:id="30"/>
      <w:bookmarkEnd w:id="31"/>
      <w:bookmarkEnd w:id="32"/>
    </w:p>
    <w:p w:rsidR="008D2164" w:rsidRDefault="008D2164" w:rsidP="008D2164">
      <w:pPr>
        <w:keepLines/>
        <w:tabs>
          <w:tab w:val="left" w:pos="0"/>
        </w:tabs>
        <w:spacing w:after="80"/>
        <w:rPr>
          <w:rFonts w:ascii="Arial" w:hAnsi="Arial"/>
          <w:i/>
          <w:color w:val="000000"/>
        </w:rPr>
      </w:pPr>
      <w:r>
        <w:rPr>
          <w:rFonts w:ascii="Arial" w:hAnsi="Arial"/>
          <w:i/>
          <w:color w:val="000000"/>
        </w:rPr>
        <w:t>Describe the consequence to Federal program or policy activities if the collection is not conducted or is conducted less frequently, as well as any technical or legal obstacles to reducing burden.</w:t>
      </w:r>
    </w:p>
    <w:p w:rsidR="001726AA" w:rsidRDefault="001726AA" w:rsidP="008D2164">
      <w:pPr>
        <w:keepLines/>
        <w:tabs>
          <w:tab w:val="left" w:pos="0"/>
        </w:tabs>
        <w:spacing w:after="80"/>
        <w:rPr>
          <w:rFonts w:ascii="Arial" w:hAnsi="Arial"/>
          <w:i/>
          <w:color w:val="000000"/>
        </w:rPr>
      </w:pPr>
    </w:p>
    <w:p w:rsidR="001726AA" w:rsidRDefault="001726AA" w:rsidP="001726AA">
      <w:pPr>
        <w:rPr>
          <w:spacing w:val="-2"/>
        </w:rPr>
      </w:pPr>
      <w:r w:rsidRPr="005F6633">
        <w:rPr>
          <w:spacing w:val="-2"/>
        </w:rPr>
        <w:t xml:space="preserve">This data will be </w:t>
      </w:r>
      <w:r w:rsidR="00D8058E">
        <w:rPr>
          <w:spacing w:val="-2"/>
        </w:rPr>
        <w:t xml:space="preserve">requested and </w:t>
      </w:r>
      <w:r w:rsidRPr="005F6633">
        <w:rPr>
          <w:spacing w:val="-2"/>
        </w:rPr>
        <w:t xml:space="preserve">collected </w:t>
      </w:r>
      <w:r w:rsidR="00342D7D">
        <w:rPr>
          <w:spacing w:val="-2"/>
        </w:rPr>
        <w:t>with each fiscal year MV-TA NOFA.  The loss of this collection mechanism would sev</w:t>
      </w:r>
      <w:r w:rsidR="005F1B61">
        <w:rPr>
          <w:spacing w:val="-2"/>
        </w:rPr>
        <w:t>erely impair HUDs ability to ass</w:t>
      </w:r>
      <w:r w:rsidR="00342D7D">
        <w:rPr>
          <w:spacing w:val="-2"/>
        </w:rPr>
        <w:t xml:space="preserve">ess TA providers and therefore reduce the efficiency with which we can provide sound and relevant assistance to homeless assistance providers and CoCs.  The net loss would accrue at the local level through less effective programming and reduced provider capacity.  Failure to collect </w:t>
      </w:r>
      <w:r w:rsidR="005F1B61">
        <w:rPr>
          <w:spacing w:val="-2"/>
        </w:rPr>
        <w:t xml:space="preserve">application </w:t>
      </w:r>
      <w:r w:rsidR="00342D7D">
        <w:rPr>
          <w:spacing w:val="-2"/>
        </w:rPr>
        <w:t>data yearly would limit HUDs ability to incorporate timely knowledge about the applicant</w:t>
      </w:r>
      <w:r w:rsidR="005F1B61">
        <w:rPr>
          <w:spacing w:val="-2"/>
        </w:rPr>
        <w:t>’</w:t>
      </w:r>
      <w:r w:rsidR="00342D7D">
        <w:rPr>
          <w:spacing w:val="-2"/>
        </w:rPr>
        <w:t xml:space="preserve">s recent activity, successes and failures, and therefore have the same net effect on outcomes.  </w:t>
      </w:r>
      <w:r w:rsidR="005F1B61">
        <w:rPr>
          <w:spacing w:val="-2"/>
        </w:rPr>
        <w:t>Failure to collect quarterly reports would significantly impair HUDs ability to assess awardees, make adjustments, and address significant challenges that arise during the grant term.</w:t>
      </w:r>
    </w:p>
    <w:p w:rsidR="00A5764B" w:rsidRDefault="00A5764B" w:rsidP="00A5764B">
      <w:pPr>
        <w:pStyle w:val="AbtHeadB"/>
        <w:spacing w:after="0"/>
      </w:pPr>
      <w:bookmarkStart w:id="33" w:name="_Toc224972107"/>
      <w:bookmarkStart w:id="34" w:name="_Toc233444283"/>
    </w:p>
    <w:p w:rsidR="008D2164" w:rsidRDefault="008D2164" w:rsidP="00A5764B">
      <w:pPr>
        <w:pStyle w:val="AbtHeadB"/>
        <w:spacing w:after="0"/>
      </w:pPr>
      <w:bookmarkStart w:id="35" w:name="_Toc291677937"/>
      <w:r>
        <w:t>A7</w:t>
      </w:r>
      <w:r>
        <w:tab/>
        <w:t>Special Circumstances</w:t>
      </w:r>
      <w:bookmarkEnd w:id="33"/>
      <w:bookmarkEnd w:id="34"/>
      <w:bookmarkEnd w:id="35"/>
    </w:p>
    <w:p w:rsidR="00342D7D" w:rsidRPr="00342D7D" w:rsidRDefault="00342D7D" w:rsidP="00342D7D">
      <w:pPr>
        <w:pStyle w:val="BodyText"/>
      </w:pPr>
    </w:p>
    <w:p w:rsidR="008D2164" w:rsidRDefault="008D2164" w:rsidP="008D2164">
      <w:r w:rsidRPr="005F6633">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008D2164" w:rsidRDefault="008D2164" w:rsidP="008D2164"/>
    <w:p w:rsidR="001726AA" w:rsidRDefault="001726AA" w:rsidP="008D2164"/>
    <w:p w:rsidR="008D2164" w:rsidRDefault="008D2164" w:rsidP="008D2164">
      <w:pPr>
        <w:pStyle w:val="AbtHeadB"/>
      </w:pPr>
      <w:bookmarkStart w:id="36" w:name="_Toc224972108"/>
      <w:bookmarkStart w:id="37" w:name="_Toc233444284"/>
      <w:bookmarkStart w:id="38" w:name="_Toc291677938"/>
      <w:r w:rsidRPr="005F6633">
        <w:t>A8</w:t>
      </w:r>
      <w:r w:rsidRPr="005F6633">
        <w:tab/>
        <w:t>Federal Register Notice/Outside Consultation</w:t>
      </w:r>
      <w:bookmarkEnd w:id="36"/>
      <w:bookmarkEnd w:id="37"/>
      <w:bookmarkEnd w:id="38"/>
    </w:p>
    <w:p w:rsidR="008D2164" w:rsidRDefault="008D2164" w:rsidP="008D2164">
      <w:pPr>
        <w:keepLines/>
        <w:tabs>
          <w:tab w:val="left" w:pos="-110"/>
        </w:tabs>
        <w:spacing w:after="80"/>
        <w:rPr>
          <w:rFonts w:ascii="Arial" w:hAnsi="Arial"/>
          <w:i/>
          <w:color w:val="000000"/>
        </w:rPr>
      </w:pPr>
      <w:r>
        <w:rPr>
          <w:rFonts w:ascii="Arial" w:hAnsi="Arial"/>
          <w:i/>
          <w:color w:val="000000"/>
        </w:rPr>
        <w:t>Identify the date and page number of the Federal Register notice (and provide a copy) soliciting comments on the information.  Summarize public comments and describe actions taken by the agency in response to these comments.  Describe all efforts to consult with persons outside the agency.</w:t>
      </w:r>
    </w:p>
    <w:p w:rsidR="005F6633" w:rsidRDefault="005F6633" w:rsidP="008D2164">
      <w:pPr>
        <w:keepLines/>
        <w:tabs>
          <w:tab w:val="left" w:pos="-110"/>
        </w:tabs>
        <w:spacing w:after="80"/>
        <w:rPr>
          <w:rFonts w:ascii="Arial" w:hAnsi="Arial"/>
          <w:i/>
          <w:color w:val="000000"/>
        </w:rPr>
      </w:pPr>
    </w:p>
    <w:p w:rsidR="001726AA" w:rsidRDefault="001726AA" w:rsidP="001726AA">
      <w:r w:rsidRPr="00D77C7C">
        <w:t>In accordance with the Paperwork Reduction Act of 1995, the Department of Housing and Urban Development published a not</w:t>
      </w:r>
      <w:r w:rsidR="00D77C7C" w:rsidRPr="00D77C7C">
        <w:t xml:space="preserve">ice in the Federal Register </w:t>
      </w:r>
      <w:r w:rsidR="002A7767" w:rsidRPr="00321A3B">
        <w:t>o</w:t>
      </w:r>
      <w:r w:rsidR="00D77C7C" w:rsidRPr="00321A3B">
        <w:t xml:space="preserve">n </w:t>
      </w:r>
      <w:r w:rsidR="00321A3B" w:rsidRPr="00321A3B">
        <w:t>June 16, 2011</w:t>
      </w:r>
      <w:r w:rsidRPr="00321A3B">
        <w:t xml:space="preserve"> (V</w:t>
      </w:r>
      <w:r w:rsidR="00656AD8" w:rsidRPr="00321A3B">
        <w:t xml:space="preserve">ol. </w:t>
      </w:r>
      <w:r w:rsidR="00321A3B" w:rsidRPr="00321A3B">
        <w:t>76</w:t>
      </w:r>
      <w:r w:rsidRPr="00321A3B">
        <w:t>, No.</w:t>
      </w:r>
      <w:r w:rsidR="00656AD8" w:rsidRPr="00321A3B">
        <w:t xml:space="preserve"> </w:t>
      </w:r>
      <w:r w:rsidR="00321A3B" w:rsidRPr="00321A3B">
        <w:t>116</w:t>
      </w:r>
      <w:r w:rsidRPr="00321A3B">
        <w:t xml:space="preserve"> pp</w:t>
      </w:r>
      <w:r w:rsidR="00F65C92">
        <w:t xml:space="preserve"> </w:t>
      </w:r>
      <w:r w:rsidR="00321A3B" w:rsidRPr="00321A3B">
        <w:t>35231</w:t>
      </w:r>
      <w:r w:rsidRPr="00321A3B">
        <w:t>)</w:t>
      </w:r>
      <w:r w:rsidRPr="00D77C7C">
        <w:t xml:space="preserve"> announcing the agency’s intention to request an OMB review of data collection activities for the </w:t>
      </w:r>
      <w:r w:rsidR="00342D7D">
        <w:t xml:space="preserve">MV-TA </w:t>
      </w:r>
      <w:r w:rsidR="005F1B61">
        <w:t xml:space="preserve">Narrative, </w:t>
      </w:r>
      <w:r w:rsidR="00342D7D">
        <w:t>Matrices</w:t>
      </w:r>
      <w:r w:rsidR="005F1B61">
        <w:t>, and Reporting Requirements</w:t>
      </w:r>
      <w:r w:rsidR="005F6633" w:rsidRPr="00D77C7C">
        <w:t>.</w:t>
      </w:r>
      <w:r w:rsidRPr="00D77C7C">
        <w:t xml:space="preserve"> </w:t>
      </w:r>
      <w:r w:rsidR="005F6633" w:rsidRPr="00D77C7C">
        <w:t xml:space="preserve"> </w:t>
      </w:r>
      <w:r w:rsidRPr="00D77C7C">
        <w:t xml:space="preserve">The notice provided a </w:t>
      </w:r>
      <w:r w:rsidR="00342D7D">
        <w:t>60</w:t>
      </w:r>
      <w:r w:rsidRPr="00D77C7C">
        <w:t xml:space="preserve">-day period for public comments. </w:t>
      </w:r>
      <w:r w:rsidR="00321A3B">
        <w:t>No comments.</w:t>
      </w:r>
    </w:p>
    <w:p w:rsidR="00EB64E9" w:rsidRDefault="00EB64E9" w:rsidP="008D2164"/>
    <w:p w:rsidR="008D2164" w:rsidRDefault="008D2164" w:rsidP="008D2164">
      <w:pPr>
        <w:pStyle w:val="AbtHeadB"/>
      </w:pPr>
      <w:bookmarkStart w:id="39" w:name="_Toc224972111"/>
      <w:bookmarkStart w:id="40" w:name="_Toc233444285"/>
      <w:bookmarkStart w:id="41" w:name="_Toc291677939"/>
      <w:r>
        <w:t>A9</w:t>
      </w:r>
      <w:r>
        <w:tab/>
        <w:t>Payment/Gift to Respondents</w:t>
      </w:r>
      <w:bookmarkEnd w:id="39"/>
      <w:bookmarkEnd w:id="40"/>
      <w:bookmarkEnd w:id="41"/>
    </w:p>
    <w:p w:rsidR="008D2164" w:rsidRDefault="008D2164" w:rsidP="008D2164">
      <w:pPr>
        <w:keepLines/>
        <w:tabs>
          <w:tab w:val="left" w:pos="360"/>
        </w:tabs>
        <w:spacing w:after="80"/>
        <w:rPr>
          <w:rFonts w:ascii="Arial" w:hAnsi="Arial"/>
          <w:i/>
          <w:color w:val="000000"/>
        </w:rPr>
      </w:pPr>
      <w:r>
        <w:rPr>
          <w:rFonts w:ascii="Arial" w:hAnsi="Arial"/>
          <w:i/>
          <w:color w:val="000000"/>
        </w:rPr>
        <w:t>Explain any payments or gifts to respondents, other than remuneration of contractors or grantees.</w:t>
      </w:r>
    </w:p>
    <w:p w:rsidR="00466926" w:rsidRDefault="00466926">
      <w:pPr>
        <w:keepLines/>
        <w:tabs>
          <w:tab w:val="left" w:pos="360"/>
        </w:tabs>
        <w:rPr>
          <w:rFonts w:ascii="Arial" w:hAnsi="Arial"/>
          <w:color w:val="000000"/>
        </w:rPr>
      </w:pPr>
    </w:p>
    <w:p w:rsidR="008D2164" w:rsidRDefault="008D2164" w:rsidP="008D2164">
      <w:r w:rsidRPr="00ED7E08">
        <w:lastRenderedPageBreak/>
        <w:t xml:space="preserve">HUD does not provide remuneration to grantees for completion and submission of </w:t>
      </w:r>
      <w:r w:rsidR="001726AA" w:rsidRPr="00ED7E08">
        <w:t xml:space="preserve">the </w:t>
      </w:r>
      <w:r w:rsidR="00342D7D">
        <w:t xml:space="preserve">MV-TA </w:t>
      </w:r>
      <w:r w:rsidR="009F3681">
        <w:t xml:space="preserve">Narratives, </w:t>
      </w:r>
      <w:r w:rsidR="00342D7D">
        <w:t>Matrices</w:t>
      </w:r>
      <w:r w:rsidR="009F3681">
        <w:t xml:space="preserve"> or Reporting Requirements</w:t>
      </w:r>
      <w:r w:rsidR="001726AA" w:rsidRPr="00ED7E08">
        <w:t>.</w:t>
      </w:r>
    </w:p>
    <w:p w:rsidR="008D2164" w:rsidRDefault="008D2164" w:rsidP="008D2164"/>
    <w:p w:rsidR="008D2164" w:rsidRDefault="008D2164" w:rsidP="008D2164">
      <w:pPr>
        <w:pStyle w:val="AbtHeadB"/>
      </w:pPr>
      <w:bookmarkStart w:id="42" w:name="_Toc224972112"/>
      <w:bookmarkStart w:id="43" w:name="_Toc233444286"/>
      <w:bookmarkStart w:id="44" w:name="_Toc291677940"/>
      <w:r>
        <w:t>A10</w:t>
      </w:r>
      <w:r>
        <w:tab/>
        <w:t>Confidentiality</w:t>
      </w:r>
      <w:bookmarkEnd w:id="42"/>
      <w:bookmarkEnd w:id="43"/>
      <w:bookmarkEnd w:id="44"/>
    </w:p>
    <w:p w:rsidR="00466926" w:rsidRDefault="008D2164">
      <w:pPr>
        <w:keepLines/>
        <w:tabs>
          <w:tab w:val="left" w:pos="-110"/>
        </w:tabs>
        <w:rPr>
          <w:rFonts w:ascii="Arial" w:hAnsi="Arial"/>
          <w:i/>
          <w:color w:val="000000"/>
        </w:rPr>
      </w:pPr>
      <w:r>
        <w:rPr>
          <w:rFonts w:ascii="Arial" w:hAnsi="Arial"/>
          <w:i/>
          <w:color w:val="000000"/>
        </w:rPr>
        <w:t>Describe any assurance of confidentiality provided to respondents and the basis for assurance in statute, regulation or agency policy.</w:t>
      </w:r>
    </w:p>
    <w:p w:rsidR="008D2164" w:rsidRDefault="008D2164" w:rsidP="008D2164"/>
    <w:p w:rsidR="00860645" w:rsidRDefault="008D2164" w:rsidP="008D2164">
      <w:r w:rsidRPr="005F6633">
        <w:t xml:space="preserve">These reports do not </w:t>
      </w:r>
      <w:r w:rsidR="0052502F">
        <w:t>collect</w:t>
      </w:r>
      <w:r w:rsidR="0052502F" w:rsidRPr="005F6633">
        <w:t xml:space="preserve"> </w:t>
      </w:r>
      <w:r w:rsidRPr="005F6633">
        <w:t>any protected personal information.</w:t>
      </w:r>
      <w:r w:rsidR="00E6145B">
        <w:t xml:space="preserve">  </w:t>
      </w:r>
    </w:p>
    <w:p w:rsidR="00466926" w:rsidRDefault="00466926">
      <w:pPr>
        <w:pStyle w:val="AbtHeadB"/>
        <w:spacing w:after="0"/>
      </w:pPr>
      <w:bookmarkStart w:id="45" w:name="_Toc224972113"/>
      <w:bookmarkStart w:id="46" w:name="_Toc233444287"/>
    </w:p>
    <w:p w:rsidR="008D2164" w:rsidRDefault="008D2164" w:rsidP="008D2164">
      <w:pPr>
        <w:pStyle w:val="AbtHeadB"/>
      </w:pPr>
      <w:bookmarkStart w:id="47" w:name="_Toc291677941"/>
      <w:r>
        <w:t>A11</w:t>
      </w:r>
      <w:r>
        <w:tab/>
        <w:t>Sensitive Questions</w:t>
      </w:r>
      <w:bookmarkEnd w:id="45"/>
      <w:bookmarkEnd w:id="46"/>
      <w:bookmarkEnd w:id="47"/>
    </w:p>
    <w:p w:rsidR="008D2164" w:rsidRDefault="008D2164" w:rsidP="008D2164">
      <w:pPr>
        <w:keepLines/>
        <w:tabs>
          <w:tab w:val="left" w:pos="360"/>
          <w:tab w:val="left" w:pos="720"/>
        </w:tabs>
        <w:rPr>
          <w:rFonts w:ascii="Arial" w:hAnsi="Arial"/>
          <w:i/>
          <w:color w:val="000000"/>
        </w:rPr>
      </w:pPr>
      <w:r>
        <w:rPr>
          <w:rFonts w:ascii="Arial" w:hAnsi="Arial"/>
          <w:i/>
          <w:color w:val="000000"/>
        </w:rPr>
        <w:t>Justify any questions of a sensitive nature, such as sexual, religious beliefs, and other matters that are commonly considered private.</w:t>
      </w:r>
    </w:p>
    <w:p w:rsidR="008D2164" w:rsidRPr="00BB6789" w:rsidRDefault="008D2164" w:rsidP="008D2164">
      <w:pPr>
        <w:keepLines/>
        <w:tabs>
          <w:tab w:val="left" w:pos="360"/>
          <w:tab w:val="left" w:pos="720"/>
        </w:tabs>
        <w:rPr>
          <w:rFonts w:ascii="Arial" w:hAnsi="Arial"/>
          <w:color w:val="000000"/>
        </w:rPr>
      </w:pPr>
    </w:p>
    <w:p w:rsidR="008D2164" w:rsidRDefault="008D2164" w:rsidP="008D2164">
      <w:pPr>
        <w:pStyle w:val="BodyText"/>
      </w:pPr>
      <w:r w:rsidRPr="005F6633">
        <w:t xml:space="preserve">The </w:t>
      </w:r>
      <w:r w:rsidR="00342D7D">
        <w:t xml:space="preserve">MV-TA </w:t>
      </w:r>
      <w:r w:rsidR="009F3681">
        <w:t xml:space="preserve">Narratives, </w:t>
      </w:r>
      <w:r w:rsidR="00342D7D">
        <w:t>Matrices</w:t>
      </w:r>
      <w:r w:rsidR="009F3681">
        <w:t>, and Reporting Requirements</w:t>
      </w:r>
      <w:r w:rsidRPr="005F6633">
        <w:t xml:space="preserve"> do not include questions of a sensitive nature for HUD</w:t>
      </w:r>
      <w:r w:rsidR="00342D7D">
        <w:t xml:space="preserve"> or potential applicants</w:t>
      </w:r>
      <w:r w:rsidRPr="005F6633">
        <w:t>.</w:t>
      </w:r>
    </w:p>
    <w:p w:rsidR="008D2164" w:rsidRDefault="008D2164" w:rsidP="008D2164"/>
    <w:p w:rsidR="008D2164" w:rsidRDefault="008D2164" w:rsidP="008D2164">
      <w:pPr>
        <w:pStyle w:val="AbtHeadB"/>
      </w:pPr>
      <w:bookmarkStart w:id="48" w:name="_Toc224972114"/>
      <w:bookmarkStart w:id="49" w:name="_Toc233444288"/>
      <w:bookmarkStart w:id="50" w:name="_Toc291677942"/>
      <w:r>
        <w:t>A12</w:t>
      </w:r>
      <w:r>
        <w:tab/>
        <w:t>Burden Estimate (Total Hours and Wages)</w:t>
      </w:r>
      <w:bookmarkEnd w:id="48"/>
      <w:bookmarkEnd w:id="49"/>
      <w:bookmarkEnd w:id="50"/>
    </w:p>
    <w:p w:rsidR="008D2164" w:rsidRDefault="008D2164" w:rsidP="008D2164">
      <w:pPr>
        <w:autoSpaceDE w:val="0"/>
        <w:autoSpaceDN w:val="0"/>
        <w:adjustRightInd w:val="0"/>
        <w:rPr>
          <w:color w:val="000000"/>
        </w:rPr>
      </w:pPr>
      <w:r>
        <w:rPr>
          <w:rFonts w:ascii="Arial" w:hAnsi="Arial"/>
          <w:i/>
          <w:color w:val="000000"/>
        </w:rPr>
        <w:t>Estimate public burden: number of respondents, frequency of response, annual hour burden.  Explain how the burden was estimated.</w:t>
      </w:r>
    </w:p>
    <w:p w:rsidR="008D2164" w:rsidRDefault="008D2164" w:rsidP="008D2164"/>
    <w:p w:rsidR="008D2164" w:rsidRDefault="009F3681" w:rsidP="008D2164">
      <w:pPr>
        <w:autoSpaceDE w:val="0"/>
        <w:autoSpaceDN w:val="0"/>
        <w:adjustRightInd w:val="0"/>
        <w:rPr>
          <w:color w:val="000000"/>
        </w:rPr>
      </w:pPr>
      <w:r>
        <w:rPr>
          <w:color w:val="000000"/>
        </w:rPr>
        <w:t>Exhibit</w:t>
      </w:r>
      <w:r w:rsidR="00233B85" w:rsidRPr="004443D8">
        <w:rPr>
          <w:color w:val="000000"/>
        </w:rPr>
        <w:t xml:space="preserve"> A </w:t>
      </w:r>
      <w:r w:rsidR="008D2164" w:rsidRPr="004443D8">
        <w:rPr>
          <w:color w:val="000000"/>
          <w:szCs w:val="22"/>
        </w:rPr>
        <w:t>below demonstrate</w:t>
      </w:r>
      <w:r>
        <w:rPr>
          <w:color w:val="000000"/>
          <w:szCs w:val="22"/>
        </w:rPr>
        <w:t>s</w:t>
      </w:r>
      <w:r w:rsidR="008D2164" w:rsidRPr="004443D8">
        <w:rPr>
          <w:color w:val="000000"/>
          <w:szCs w:val="22"/>
        </w:rPr>
        <w:t xml:space="preserve"> how the public burden for the </w:t>
      </w:r>
      <w:r w:rsidR="00342D7D">
        <w:rPr>
          <w:color w:val="000000"/>
          <w:szCs w:val="22"/>
        </w:rPr>
        <w:t xml:space="preserve">MV-TA </w:t>
      </w:r>
      <w:r>
        <w:rPr>
          <w:color w:val="000000"/>
          <w:szCs w:val="22"/>
        </w:rPr>
        <w:t xml:space="preserve">Narrative, </w:t>
      </w:r>
      <w:r w:rsidR="00342D7D">
        <w:rPr>
          <w:color w:val="000000"/>
          <w:szCs w:val="22"/>
        </w:rPr>
        <w:t>Matrices</w:t>
      </w:r>
      <w:r>
        <w:rPr>
          <w:color w:val="000000"/>
          <w:szCs w:val="22"/>
        </w:rPr>
        <w:t>, and Reporting Requirements</w:t>
      </w:r>
      <w:r w:rsidR="0010088C">
        <w:rPr>
          <w:color w:val="000000"/>
          <w:szCs w:val="22"/>
        </w:rPr>
        <w:t xml:space="preserve"> </w:t>
      </w:r>
      <w:r>
        <w:rPr>
          <w:color w:val="000000"/>
          <w:szCs w:val="22"/>
        </w:rPr>
        <w:t>were</w:t>
      </w:r>
      <w:r w:rsidR="008D2164">
        <w:rPr>
          <w:color w:val="000000"/>
          <w:szCs w:val="22"/>
        </w:rPr>
        <w:t xml:space="preserve"> calculated</w:t>
      </w:r>
      <w:r w:rsidR="00233B85">
        <w:rPr>
          <w:color w:val="000000"/>
          <w:szCs w:val="22"/>
        </w:rPr>
        <w:t xml:space="preserve"> based on estimated time required to complete the </w:t>
      </w:r>
      <w:r>
        <w:rPr>
          <w:color w:val="000000"/>
          <w:szCs w:val="22"/>
        </w:rPr>
        <w:t>forms</w:t>
      </w:r>
      <w:r w:rsidR="00233B85">
        <w:rPr>
          <w:color w:val="000000"/>
          <w:szCs w:val="22"/>
        </w:rPr>
        <w:t>.</w:t>
      </w:r>
      <w:r w:rsidR="008D2164">
        <w:rPr>
          <w:color w:val="000000"/>
          <w:szCs w:val="22"/>
        </w:rPr>
        <w:t xml:space="preserve">  </w:t>
      </w:r>
      <w:r w:rsidR="008D2164">
        <w:rPr>
          <w:color w:val="000000"/>
        </w:rPr>
        <w:t xml:space="preserve">The average annual burden for a single </w:t>
      </w:r>
      <w:r w:rsidR="006F7A73">
        <w:rPr>
          <w:color w:val="000000"/>
        </w:rPr>
        <w:t>applicant</w:t>
      </w:r>
      <w:r w:rsidR="008D2164">
        <w:rPr>
          <w:color w:val="000000"/>
        </w:rPr>
        <w:t xml:space="preserve"> to complete and submit the </w:t>
      </w:r>
      <w:r w:rsidR="006F7A73">
        <w:rPr>
          <w:color w:val="000000"/>
        </w:rPr>
        <w:t>entire MV-TA NOFA</w:t>
      </w:r>
      <w:r>
        <w:rPr>
          <w:color w:val="000000"/>
        </w:rPr>
        <w:t xml:space="preserve"> </w:t>
      </w:r>
      <w:r w:rsidR="008D2164" w:rsidRPr="0010088C">
        <w:rPr>
          <w:color w:val="000000"/>
        </w:rPr>
        <w:t xml:space="preserve">is </w:t>
      </w:r>
      <w:r>
        <w:rPr>
          <w:color w:val="000000"/>
        </w:rPr>
        <w:t>68</w:t>
      </w:r>
      <w:r w:rsidR="00407EA5" w:rsidRPr="0010088C">
        <w:rPr>
          <w:color w:val="000000"/>
        </w:rPr>
        <w:t xml:space="preserve"> </w:t>
      </w:r>
      <w:r w:rsidR="008D2164" w:rsidRPr="0010088C">
        <w:rPr>
          <w:color w:val="000000"/>
        </w:rPr>
        <w:t>hour</w:t>
      </w:r>
      <w:r w:rsidR="0010088C" w:rsidRPr="0010088C">
        <w:rPr>
          <w:color w:val="000000"/>
        </w:rPr>
        <w:t>s</w:t>
      </w:r>
      <w:r w:rsidR="004553A2">
        <w:rPr>
          <w:color w:val="000000"/>
        </w:rPr>
        <w:t>.</w:t>
      </w:r>
      <w:r>
        <w:rPr>
          <w:color w:val="000000"/>
        </w:rPr>
        <w:t xml:space="preserve"> The average annual burden for a single awardee to complete and submit all Reporting Requirements is </w:t>
      </w:r>
      <w:r w:rsidR="00CB332F">
        <w:rPr>
          <w:color w:val="000000"/>
        </w:rPr>
        <w:t>60</w:t>
      </w:r>
      <w:r>
        <w:rPr>
          <w:color w:val="000000"/>
        </w:rPr>
        <w:t xml:space="preserve"> hours.  </w:t>
      </w:r>
      <w:r w:rsidR="00CB332F">
        <w:rPr>
          <w:color w:val="000000"/>
        </w:rPr>
        <w:t>With ten expected applicants and five expected awardees, t</w:t>
      </w:r>
      <w:r>
        <w:rPr>
          <w:color w:val="000000"/>
          <w:szCs w:val="22"/>
        </w:rPr>
        <w:t xml:space="preserve">he total burden for data collection from all </w:t>
      </w:r>
      <w:r w:rsidR="00CB332F">
        <w:rPr>
          <w:color w:val="000000"/>
          <w:szCs w:val="22"/>
        </w:rPr>
        <w:t>participants</w:t>
      </w:r>
      <w:r>
        <w:rPr>
          <w:color w:val="000000"/>
          <w:szCs w:val="22"/>
        </w:rPr>
        <w:t xml:space="preserve"> over </w:t>
      </w:r>
      <w:r w:rsidRPr="005F6633">
        <w:rPr>
          <w:color w:val="000000"/>
          <w:szCs w:val="22"/>
        </w:rPr>
        <w:t>a one-year period is estim</w:t>
      </w:r>
      <w:r>
        <w:rPr>
          <w:color w:val="000000"/>
          <w:szCs w:val="22"/>
        </w:rPr>
        <w:t>ated at 980</w:t>
      </w:r>
      <w:r w:rsidRPr="008B3E91">
        <w:rPr>
          <w:color w:val="000000"/>
          <w:szCs w:val="22"/>
        </w:rPr>
        <w:t xml:space="preserve"> hours.</w:t>
      </w:r>
    </w:p>
    <w:p w:rsidR="008D2164" w:rsidRDefault="008D2164" w:rsidP="008D2164">
      <w:pPr>
        <w:autoSpaceDE w:val="0"/>
        <w:autoSpaceDN w:val="0"/>
        <w:adjustRightInd w:val="0"/>
        <w:rPr>
          <w:color w:val="000000"/>
        </w:rPr>
      </w:pPr>
    </w:p>
    <w:p w:rsidR="008D2164" w:rsidRDefault="008D2164" w:rsidP="008D2164">
      <w:pPr>
        <w:jc w:val="center"/>
        <w:rPr>
          <w:rFonts w:ascii="Arial" w:hAnsi="Arial"/>
          <w:b/>
          <w:sz w:val="20"/>
        </w:rPr>
      </w:pPr>
      <w:r>
        <w:rPr>
          <w:rFonts w:ascii="Arial" w:hAnsi="Arial"/>
          <w:b/>
          <w:sz w:val="20"/>
        </w:rPr>
        <w:t xml:space="preserve">Exhibit A: Estimated </w:t>
      </w:r>
      <w:r w:rsidRPr="00ED7E08">
        <w:rPr>
          <w:rFonts w:ascii="Arial" w:hAnsi="Arial"/>
          <w:b/>
          <w:sz w:val="20"/>
        </w:rPr>
        <w:t>Annual</w:t>
      </w:r>
      <w:r>
        <w:rPr>
          <w:rFonts w:ascii="Arial" w:hAnsi="Arial"/>
          <w:b/>
          <w:sz w:val="20"/>
        </w:rPr>
        <w:t xml:space="preserve"> Burden Hours for </w:t>
      </w:r>
      <w:r w:rsidR="00CB332F">
        <w:rPr>
          <w:rFonts w:ascii="Arial" w:hAnsi="Arial"/>
          <w:b/>
          <w:sz w:val="20"/>
        </w:rPr>
        <w:t>MV-TA Narrative, Matrices, and Reporting</w:t>
      </w:r>
    </w:p>
    <w:p w:rsidR="008D2164" w:rsidRDefault="008D2164" w:rsidP="008D2164">
      <w:pPr>
        <w:jc w:val="center"/>
        <w:rPr>
          <w:rFonts w:ascii="Arial" w:hAnsi="Arial"/>
          <w:b/>
          <w:sz w:val="20"/>
        </w:rPr>
      </w:pPr>
    </w:p>
    <w:tbl>
      <w:tblPr>
        <w:tblW w:w="9576" w:type="dxa"/>
        <w:tblCellMar>
          <w:left w:w="0" w:type="dxa"/>
          <w:right w:w="0" w:type="dxa"/>
        </w:tblCellMar>
        <w:tblLook w:val="04A0"/>
      </w:tblPr>
      <w:tblGrid>
        <w:gridCol w:w="1892"/>
        <w:gridCol w:w="1652"/>
        <w:gridCol w:w="1310"/>
        <w:gridCol w:w="1725"/>
        <w:gridCol w:w="1638"/>
        <w:gridCol w:w="1359"/>
      </w:tblGrid>
      <w:tr w:rsidR="00CB332F" w:rsidTr="00CB332F">
        <w:tc>
          <w:tcPr>
            <w:tcW w:w="1903"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rsidR="00CB332F" w:rsidRPr="00CB332F" w:rsidRDefault="00CB332F" w:rsidP="00CB332F">
            <w:pPr>
              <w:jc w:val="center"/>
              <w:rPr>
                <w:rFonts w:ascii="Calibri" w:eastAsiaTheme="minorHAnsi" w:hAnsi="Calibri"/>
                <w:b/>
                <w:color w:val="FFFFFF" w:themeColor="background1"/>
                <w:sz w:val="22"/>
                <w:szCs w:val="22"/>
              </w:rPr>
            </w:pPr>
            <w:r w:rsidRPr="00CB332F">
              <w:rPr>
                <w:b/>
                <w:color w:val="FFFFFF" w:themeColor="background1"/>
              </w:rPr>
              <w:t>Activity</w:t>
            </w:r>
          </w:p>
        </w:tc>
        <w:tc>
          <w:tcPr>
            <w:tcW w:w="1658"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rsidR="00CB332F" w:rsidRPr="00CB332F" w:rsidRDefault="00CB332F" w:rsidP="00CB332F">
            <w:pPr>
              <w:jc w:val="center"/>
              <w:rPr>
                <w:rFonts w:ascii="Calibri" w:eastAsiaTheme="minorHAnsi" w:hAnsi="Calibri"/>
                <w:b/>
                <w:color w:val="FFFFFF" w:themeColor="background1"/>
                <w:sz w:val="22"/>
                <w:szCs w:val="22"/>
              </w:rPr>
            </w:pPr>
            <w:r w:rsidRPr="00CB332F">
              <w:rPr>
                <w:b/>
                <w:color w:val="FFFFFF" w:themeColor="background1"/>
              </w:rPr>
              <w:t>Estimated # of Respondents</w:t>
            </w:r>
          </w:p>
        </w:tc>
        <w:tc>
          <w:tcPr>
            <w:tcW w:w="1233"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rsidR="00CB332F" w:rsidRPr="00CB332F" w:rsidRDefault="00CB332F" w:rsidP="00CB332F">
            <w:pPr>
              <w:jc w:val="center"/>
              <w:rPr>
                <w:rFonts w:ascii="Calibri" w:eastAsiaTheme="minorHAnsi" w:hAnsi="Calibri"/>
                <w:b/>
                <w:color w:val="FFFFFF" w:themeColor="background1"/>
                <w:sz w:val="22"/>
                <w:szCs w:val="22"/>
              </w:rPr>
            </w:pPr>
            <w:r w:rsidRPr="00CB332F">
              <w:rPr>
                <w:b/>
                <w:color w:val="FFFFFF" w:themeColor="background1"/>
              </w:rPr>
              <w:t>Frequency</w:t>
            </w:r>
          </w:p>
        </w:tc>
        <w:tc>
          <w:tcPr>
            <w:tcW w:w="1746"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rsidR="00CB332F" w:rsidRPr="00CB332F" w:rsidRDefault="00CB332F" w:rsidP="00CB332F">
            <w:pPr>
              <w:jc w:val="center"/>
              <w:rPr>
                <w:rFonts w:ascii="Calibri" w:eastAsiaTheme="minorHAnsi" w:hAnsi="Calibri"/>
                <w:b/>
                <w:color w:val="FFFFFF" w:themeColor="background1"/>
                <w:sz w:val="22"/>
                <w:szCs w:val="22"/>
              </w:rPr>
            </w:pPr>
            <w:r w:rsidRPr="00CB332F">
              <w:rPr>
                <w:b/>
                <w:color w:val="FFFFFF" w:themeColor="background1"/>
              </w:rPr>
              <w:t>Total Annual Responses</w:t>
            </w:r>
          </w:p>
        </w:tc>
        <w:tc>
          <w:tcPr>
            <w:tcW w:w="1659"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rsidR="00CB332F" w:rsidRPr="00CB332F" w:rsidRDefault="00CB332F" w:rsidP="00CB332F">
            <w:pPr>
              <w:jc w:val="center"/>
              <w:rPr>
                <w:rFonts w:ascii="Calibri" w:eastAsiaTheme="minorHAnsi" w:hAnsi="Calibri"/>
                <w:b/>
                <w:color w:val="FFFFFF" w:themeColor="background1"/>
                <w:sz w:val="22"/>
                <w:szCs w:val="22"/>
              </w:rPr>
            </w:pPr>
            <w:r w:rsidRPr="00CB332F">
              <w:rPr>
                <w:b/>
                <w:color w:val="FFFFFF" w:themeColor="background1"/>
              </w:rPr>
              <w:t>Hours Per Response</w:t>
            </w:r>
          </w:p>
        </w:tc>
        <w:tc>
          <w:tcPr>
            <w:tcW w:w="1377"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rsidR="00CB332F" w:rsidRPr="00CB332F" w:rsidRDefault="00CB332F" w:rsidP="00CB332F">
            <w:pPr>
              <w:jc w:val="center"/>
              <w:rPr>
                <w:rFonts w:ascii="Calibri" w:eastAsiaTheme="minorHAnsi" w:hAnsi="Calibri"/>
                <w:b/>
                <w:color w:val="FFFFFF" w:themeColor="background1"/>
                <w:sz w:val="22"/>
                <w:szCs w:val="22"/>
              </w:rPr>
            </w:pPr>
            <w:r w:rsidRPr="00CB332F">
              <w:rPr>
                <w:b/>
                <w:color w:val="FFFFFF" w:themeColor="background1"/>
              </w:rPr>
              <w:t>Total Annual Hours</w:t>
            </w:r>
          </w:p>
        </w:tc>
      </w:tr>
      <w:tr w:rsidR="00CB332F" w:rsidTr="00CB332F">
        <w:tc>
          <w:tcPr>
            <w:tcW w:w="19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32F" w:rsidRDefault="00CB332F">
            <w:pPr>
              <w:rPr>
                <w:rFonts w:ascii="Calibri" w:eastAsiaTheme="minorHAnsi" w:hAnsi="Calibri"/>
                <w:sz w:val="22"/>
                <w:szCs w:val="22"/>
              </w:rPr>
            </w:pPr>
            <w:r>
              <w:t>Application</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CB332F" w:rsidRDefault="00CB332F">
            <w:pPr>
              <w:rPr>
                <w:rFonts w:ascii="Calibri" w:eastAsiaTheme="minorHAnsi" w:hAnsi="Calibri"/>
                <w:sz w:val="22"/>
                <w:szCs w:val="22"/>
              </w:rPr>
            </w:pPr>
            <w:r>
              <w:t>10</w:t>
            </w:r>
          </w:p>
        </w:tc>
        <w:tc>
          <w:tcPr>
            <w:tcW w:w="1233" w:type="dxa"/>
            <w:tcBorders>
              <w:top w:val="nil"/>
              <w:left w:val="nil"/>
              <w:bottom w:val="single" w:sz="8" w:space="0" w:color="auto"/>
              <w:right w:val="single" w:sz="8" w:space="0" w:color="auto"/>
            </w:tcBorders>
            <w:tcMar>
              <w:top w:w="0" w:type="dxa"/>
              <w:left w:w="108" w:type="dxa"/>
              <w:bottom w:w="0" w:type="dxa"/>
              <w:right w:w="108" w:type="dxa"/>
            </w:tcMar>
            <w:hideMark/>
          </w:tcPr>
          <w:p w:rsidR="00CB332F" w:rsidRDefault="00CB332F">
            <w:pPr>
              <w:rPr>
                <w:rFonts w:ascii="Calibri" w:eastAsiaTheme="minorHAnsi" w:hAnsi="Calibri"/>
                <w:sz w:val="22"/>
                <w:szCs w:val="22"/>
              </w:rPr>
            </w:pPr>
            <w:r>
              <w:t>1</w:t>
            </w:r>
          </w:p>
        </w:tc>
        <w:tc>
          <w:tcPr>
            <w:tcW w:w="1746" w:type="dxa"/>
            <w:tcBorders>
              <w:top w:val="nil"/>
              <w:left w:val="nil"/>
              <w:bottom w:val="single" w:sz="8" w:space="0" w:color="auto"/>
              <w:right w:val="single" w:sz="8" w:space="0" w:color="auto"/>
            </w:tcBorders>
            <w:tcMar>
              <w:top w:w="0" w:type="dxa"/>
              <w:left w:w="108" w:type="dxa"/>
              <w:bottom w:w="0" w:type="dxa"/>
              <w:right w:w="108" w:type="dxa"/>
            </w:tcMar>
            <w:hideMark/>
          </w:tcPr>
          <w:p w:rsidR="00CB332F" w:rsidRDefault="00CB332F">
            <w:pPr>
              <w:rPr>
                <w:rFonts w:ascii="Calibri" w:eastAsiaTheme="minorHAnsi" w:hAnsi="Calibri"/>
                <w:sz w:val="22"/>
                <w:szCs w:val="22"/>
              </w:rPr>
            </w:pPr>
            <w:r>
              <w:t>10</w:t>
            </w:r>
          </w:p>
        </w:tc>
        <w:tc>
          <w:tcPr>
            <w:tcW w:w="1659" w:type="dxa"/>
            <w:tcBorders>
              <w:top w:val="nil"/>
              <w:left w:val="nil"/>
              <w:bottom w:val="single" w:sz="8" w:space="0" w:color="auto"/>
              <w:right w:val="single" w:sz="8" w:space="0" w:color="auto"/>
            </w:tcBorders>
            <w:tcMar>
              <w:top w:w="0" w:type="dxa"/>
              <w:left w:w="108" w:type="dxa"/>
              <w:bottom w:w="0" w:type="dxa"/>
              <w:right w:w="108" w:type="dxa"/>
            </w:tcMar>
            <w:hideMark/>
          </w:tcPr>
          <w:p w:rsidR="00CB332F" w:rsidRDefault="00CB332F">
            <w:pPr>
              <w:rPr>
                <w:rFonts w:ascii="Calibri" w:eastAsiaTheme="minorHAnsi" w:hAnsi="Calibri"/>
                <w:sz w:val="22"/>
                <w:szCs w:val="22"/>
              </w:rPr>
            </w:pPr>
            <w:r>
              <w:t>60</w:t>
            </w:r>
          </w:p>
        </w:tc>
        <w:tc>
          <w:tcPr>
            <w:tcW w:w="1377" w:type="dxa"/>
            <w:tcBorders>
              <w:top w:val="nil"/>
              <w:left w:val="nil"/>
              <w:bottom w:val="single" w:sz="8" w:space="0" w:color="auto"/>
              <w:right w:val="single" w:sz="8" w:space="0" w:color="auto"/>
            </w:tcBorders>
            <w:tcMar>
              <w:top w:w="0" w:type="dxa"/>
              <w:left w:w="108" w:type="dxa"/>
              <w:bottom w:w="0" w:type="dxa"/>
              <w:right w:w="108" w:type="dxa"/>
            </w:tcMar>
            <w:hideMark/>
          </w:tcPr>
          <w:p w:rsidR="00CB332F" w:rsidRDefault="00CB332F">
            <w:pPr>
              <w:rPr>
                <w:rFonts w:ascii="Calibri" w:eastAsiaTheme="minorHAnsi" w:hAnsi="Calibri"/>
                <w:sz w:val="22"/>
                <w:szCs w:val="22"/>
              </w:rPr>
            </w:pPr>
            <w:r>
              <w:t>600</w:t>
            </w:r>
          </w:p>
        </w:tc>
      </w:tr>
      <w:tr w:rsidR="00CB332F" w:rsidTr="00CB332F">
        <w:tc>
          <w:tcPr>
            <w:tcW w:w="19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32F" w:rsidRDefault="00CB332F">
            <w:pPr>
              <w:rPr>
                <w:rFonts w:ascii="Calibri" w:eastAsiaTheme="minorHAnsi" w:hAnsi="Calibri"/>
                <w:sz w:val="22"/>
                <w:szCs w:val="22"/>
              </w:rPr>
            </w:pPr>
            <w:r>
              <w:t>Matrices (forms)</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CB332F" w:rsidRDefault="00CB332F">
            <w:pPr>
              <w:rPr>
                <w:rFonts w:ascii="Calibri" w:eastAsiaTheme="minorHAnsi" w:hAnsi="Calibri"/>
                <w:sz w:val="22"/>
                <w:szCs w:val="22"/>
              </w:rPr>
            </w:pPr>
            <w:r>
              <w:t>10</w:t>
            </w:r>
          </w:p>
        </w:tc>
        <w:tc>
          <w:tcPr>
            <w:tcW w:w="1233" w:type="dxa"/>
            <w:tcBorders>
              <w:top w:val="nil"/>
              <w:left w:val="nil"/>
              <w:bottom w:val="single" w:sz="8" w:space="0" w:color="auto"/>
              <w:right w:val="single" w:sz="8" w:space="0" w:color="auto"/>
            </w:tcBorders>
            <w:tcMar>
              <w:top w:w="0" w:type="dxa"/>
              <w:left w:w="108" w:type="dxa"/>
              <w:bottom w:w="0" w:type="dxa"/>
              <w:right w:w="108" w:type="dxa"/>
            </w:tcMar>
            <w:hideMark/>
          </w:tcPr>
          <w:p w:rsidR="00CB332F" w:rsidRDefault="00CB332F">
            <w:pPr>
              <w:rPr>
                <w:rFonts w:ascii="Calibri" w:eastAsiaTheme="minorHAnsi" w:hAnsi="Calibri"/>
                <w:sz w:val="22"/>
                <w:szCs w:val="22"/>
              </w:rPr>
            </w:pPr>
            <w:r>
              <w:t>1</w:t>
            </w:r>
          </w:p>
        </w:tc>
        <w:tc>
          <w:tcPr>
            <w:tcW w:w="1746" w:type="dxa"/>
            <w:tcBorders>
              <w:top w:val="nil"/>
              <w:left w:val="nil"/>
              <w:bottom w:val="single" w:sz="8" w:space="0" w:color="auto"/>
              <w:right w:val="single" w:sz="8" w:space="0" w:color="auto"/>
            </w:tcBorders>
            <w:tcMar>
              <w:top w:w="0" w:type="dxa"/>
              <w:left w:w="108" w:type="dxa"/>
              <w:bottom w:w="0" w:type="dxa"/>
              <w:right w:w="108" w:type="dxa"/>
            </w:tcMar>
            <w:hideMark/>
          </w:tcPr>
          <w:p w:rsidR="00CB332F" w:rsidRDefault="00CB332F">
            <w:pPr>
              <w:rPr>
                <w:rFonts w:ascii="Calibri" w:eastAsiaTheme="minorHAnsi" w:hAnsi="Calibri"/>
                <w:sz w:val="22"/>
                <w:szCs w:val="22"/>
              </w:rPr>
            </w:pPr>
            <w:r>
              <w:t>10</w:t>
            </w:r>
          </w:p>
        </w:tc>
        <w:tc>
          <w:tcPr>
            <w:tcW w:w="1659" w:type="dxa"/>
            <w:tcBorders>
              <w:top w:val="nil"/>
              <w:left w:val="nil"/>
              <w:bottom w:val="single" w:sz="8" w:space="0" w:color="auto"/>
              <w:right w:val="single" w:sz="8" w:space="0" w:color="auto"/>
            </w:tcBorders>
            <w:tcMar>
              <w:top w:w="0" w:type="dxa"/>
              <w:left w:w="108" w:type="dxa"/>
              <w:bottom w:w="0" w:type="dxa"/>
              <w:right w:w="108" w:type="dxa"/>
            </w:tcMar>
            <w:hideMark/>
          </w:tcPr>
          <w:p w:rsidR="00CB332F" w:rsidRDefault="00CB332F">
            <w:pPr>
              <w:rPr>
                <w:rFonts w:ascii="Calibri" w:eastAsiaTheme="minorHAnsi" w:hAnsi="Calibri"/>
                <w:sz w:val="22"/>
                <w:szCs w:val="22"/>
              </w:rPr>
            </w:pPr>
            <w:r>
              <w:t>8</w:t>
            </w:r>
          </w:p>
        </w:tc>
        <w:tc>
          <w:tcPr>
            <w:tcW w:w="1377" w:type="dxa"/>
            <w:tcBorders>
              <w:top w:val="nil"/>
              <w:left w:val="nil"/>
              <w:bottom w:val="single" w:sz="8" w:space="0" w:color="auto"/>
              <w:right w:val="single" w:sz="8" w:space="0" w:color="auto"/>
            </w:tcBorders>
            <w:tcMar>
              <w:top w:w="0" w:type="dxa"/>
              <w:left w:w="108" w:type="dxa"/>
              <w:bottom w:w="0" w:type="dxa"/>
              <w:right w:w="108" w:type="dxa"/>
            </w:tcMar>
            <w:hideMark/>
          </w:tcPr>
          <w:p w:rsidR="00CB332F" w:rsidRDefault="00CB332F">
            <w:pPr>
              <w:rPr>
                <w:rFonts w:ascii="Calibri" w:eastAsiaTheme="minorHAnsi" w:hAnsi="Calibri"/>
                <w:sz w:val="22"/>
                <w:szCs w:val="22"/>
              </w:rPr>
            </w:pPr>
            <w:r>
              <w:t>80</w:t>
            </w:r>
          </w:p>
        </w:tc>
      </w:tr>
      <w:tr w:rsidR="00CB332F" w:rsidTr="00CB332F">
        <w:tc>
          <w:tcPr>
            <w:tcW w:w="19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32F" w:rsidRDefault="00CB332F">
            <w:pPr>
              <w:rPr>
                <w:rFonts w:ascii="Calibri" w:eastAsiaTheme="minorHAnsi" w:hAnsi="Calibri"/>
                <w:sz w:val="22"/>
                <w:szCs w:val="22"/>
              </w:rPr>
            </w:pPr>
            <w:r>
              <w:t xml:space="preserve">Work Plans </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CB332F" w:rsidRDefault="00CB332F">
            <w:pPr>
              <w:rPr>
                <w:rFonts w:ascii="Calibri" w:eastAsiaTheme="minorHAnsi" w:hAnsi="Calibri"/>
                <w:sz w:val="22"/>
                <w:szCs w:val="22"/>
              </w:rPr>
            </w:pPr>
            <w:r>
              <w:t>5</w:t>
            </w:r>
          </w:p>
        </w:tc>
        <w:tc>
          <w:tcPr>
            <w:tcW w:w="1233" w:type="dxa"/>
            <w:tcBorders>
              <w:top w:val="nil"/>
              <w:left w:val="nil"/>
              <w:bottom w:val="single" w:sz="8" w:space="0" w:color="auto"/>
              <w:right w:val="single" w:sz="8" w:space="0" w:color="auto"/>
            </w:tcBorders>
            <w:tcMar>
              <w:top w:w="0" w:type="dxa"/>
              <w:left w:w="108" w:type="dxa"/>
              <w:bottom w:w="0" w:type="dxa"/>
              <w:right w:w="108" w:type="dxa"/>
            </w:tcMar>
            <w:hideMark/>
          </w:tcPr>
          <w:p w:rsidR="00CB332F" w:rsidRDefault="00CB332F">
            <w:pPr>
              <w:rPr>
                <w:rFonts w:ascii="Calibri" w:eastAsiaTheme="minorHAnsi" w:hAnsi="Calibri"/>
                <w:sz w:val="22"/>
                <w:szCs w:val="22"/>
              </w:rPr>
            </w:pPr>
            <w:r>
              <w:t>1</w:t>
            </w:r>
          </w:p>
        </w:tc>
        <w:tc>
          <w:tcPr>
            <w:tcW w:w="1746" w:type="dxa"/>
            <w:tcBorders>
              <w:top w:val="nil"/>
              <w:left w:val="nil"/>
              <w:bottom w:val="single" w:sz="8" w:space="0" w:color="auto"/>
              <w:right w:val="single" w:sz="8" w:space="0" w:color="auto"/>
            </w:tcBorders>
            <w:tcMar>
              <w:top w:w="0" w:type="dxa"/>
              <w:left w:w="108" w:type="dxa"/>
              <w:bottom w:w="0" w:type="dxa"/>
              <w:right w:w="108" w:type="dxa"/>
            </w:tcMar>
            <w:hideMark/>
          </w:tcPr>
          <w:p w:rsidR="00CB332F" w:rsidRDefault="00CB332F">
            <w:pPr>
              <w:rPr>
                <w:rFonts w:ascii="Calibri" w:eastAsiaTheme="minorHAnsi" w:hAnsi="Calibri"/>
                <w:sz w:val="22"/>
                <w:szCs w:val="22"/>
              </w:rPr>
            </w:pPr>
            <w:r>
              <w:t>5</w:t>
            </w:r>
          </w:p>
        </w:tc>
        <w:tc>
          <w:tcPr>
            <w:tcW w:w="1659" w:type="dxa"/>
            <w:tcBorders>
              <w:top w:val="nil"/>
              <w:left w:val="nil"/>
              <w:bottom w:val="single" w:sz="8" w:space="0" w:color="auto"/>
              <w:right w:val="single" w:sz="8" w:space="0" w:color="auto"/>
            </w:tcBorders>
            <w:tcMar>
              <w:top w:w="0" w:type="dxa"/>
              <w:left w:w="108" w:type="dxa"/>
              <w:bottom w:w="0" w:type="dxa"/>
              <w:right w:w="108" w:type="dxa"/>
            </w:tcMar>
            <w:hideMark/>
          </w:tcPr>
          <w:p w:rsidR="00CB332F" w:rsidRDefault="00CB332F">
            <w:pPr>
              <w:rPr>
                <w:rFonts w:ascii="Calibri" w:eastAsiaTheme="minorHAnsi" w:hAnsi="Calibri"/>
                <w:sz w:val="22"/>
                <w:szCs w:val="22"/>
              </w:rPr>
            </w:pPr>
            <w:r>
              <w:t>12</w:t>
            </w:r>
          </w:p>
        </w:tc>
        <w:tc>
          <w:tcPr>
            <w:tcW w:w="1377" w:type="dxa"/>
            <w:tcBorders>
              <w:top w:val="nil"/>
              <w:left w:val="nil"/>
              <w:bottom w:val="single" w:sz="8" w:space="0" w:color="auto"/>
              <w:right w:val="single" w:sz="8" w:space="0" w:color="auto"/>
            </w:tcBorders>
            <w:tcMar>
              <w:top w:w="0" w:type="dxa"/>
              <w:left w:w="108" w:type="dxa"/>
              <w:bottom w:w="0" w:type="dxa"/>
              <w:right w:w="108" w:type="dxa"/>
            </w:tcMar>
            <w:hideMark/>
          </w:tcPr>
          <w:p w:rsidR="00CB332F" w:rsidRDefault="00CB332F">
            <w:pPr>
              <w:rPr>
                <w:rFonts w:ascii="Calibri" w:eastAsiaTheme="minorHAnsi" w:hAnsi="Calibri"/>
                <w:sz w:val="22"/>
                <w:szCs w:val="22"/>
              </w:rPr>
            </w:pPr>
            <w:r>
              <w:t>60</w:t>
            </w:r>
          </w:p>
        </w:tc>
      </w:tr>
      <w:tr w:rsidR="00CB332F" w:rsidTr="00CB332F">
        <w:tc>
          <w:tcPr>
            <w:tcW w:w="19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32F" w:rsidRDefault="00CB332F">
            <w:pPr>
              <w:rPr>
                <w:rFonts w:ascii="Calibri" w:eastAsiaTheme="minorHAnsi" w:hAnsi="Calibri"/>
                <w:sz w:val="22"/>
                <w:szCs w:val="22"/>
              </w:rPr>
            </w:pPr>
            <w:r>
              <w:t>Quarterly Reports (including Final Report)</w:t>
            </w:r>
          </w:p>
        </w:tc>
        <w:tc>
          <w:tcPr>
            <w:tcW w:w="1658" w:type="dxa"/>
            <w:tcBorders>
              <w:top w:val="nil"/>
              <w:left w:val="nil"/>
              <w:bottom w:val="single" w:sz="8" w:space="0" w:color="auto"/>
              <w:right w:val="single" w:sz="8" w:space="0" w:color="auto"/>
            </w:tcBorders>
            <w:tcMar>
              <w:top w:w="0" w:type="dxa"/>
              <w:left w:w="108" w:type="dxa"/>
              <w:bottom w:w="0" w:type="dxa"/>
              <w:right w:w="108" w:type="dxa"/>
            </w:tcMar>
          </w:tcPr>
          <w:p w:rsidR="00CB332F" w:rsidRDefault="00CB332F">
            <w:pPr>
              <w:rPr>
                <w:rFonts w:ascii="Calibri" w:eastAsiaTheme="minorHAnsi" w:hAnsi="Calibri"/>
              </w:rPr>
            </w:pPr>
          </w:p>
          <w:p w:rsidR="00CB332F" w:rsidRDefault="00CB332F">
            <w:pPr>
              <w:rPr>
                <w:rFonts w:ascii="Calibri" w:eastAsiaTheme="minorHAnsi" w:hAnsi="Calibri"/>
                <w:sz w:val="22"/>
                <w:szCs w:val="22"/>
              </w:rPr>
            </w:pPr>
            <w:r>
              <w:t>5</w:t>
            </w:r>
          </w:p>
        </w:tc>
        <w:tc>
          <w:tcPr>
            <w:tcW w:w="1233" w:type="dxa"/>
            <w:tcBorders>
              <w:top w:val="nil"/>
              <w:left w:val="nil"/>
              <w:bottom w:val="single" w:sz="8" w:space="0" w:color="auto"/>
              <w:right w:val="single" w:sz="8" w:space="0" w:color="auto"/>
            </w:tcBorders>
            <w:tcMar>
              <w:top w:w="0" w:type="dxa"/>
              <w:left w:w="108" w:type="dxa"/>
              <w:bottom w:w="0" w:type="dxa"/>
              <w:right w:w="108" w:type="dxa"/>
            </w:tcMar>
          </w:tcPr>
          <w:p w:rsidR="00CB332F" w:rsidRDefault="00CB332F">
            <w:pPr>
              <w:rPr>
                <w:rFonts w:ascii="Calibri" w:eastAsiaTheme="minorHAnsi" w:hAnsi="Calibri"/>
              </w:rPr>
            </w:pPr>
          </w:p>
          <w:p w:rsidR="00CB332F" w:rsidRDefault="00CB332F">
            <w:pPr>
              <w:rPr>
                <w:rFonts w:ascii="Calibri" w:eastAsiaTheme="minorHAnsi" w:hAnsi="Calibri"/>
                <w:sz w:val="22"/>
                <w:szCs w:val="22"/>
              </w:rPr>
            </w:pPr>
            <w:r>
              <w:t>4</w:t>
            </w:r>
          </w:p>
        </w:tc>
        <w:tc>
          <w:tcPr>
            <w:tcW w:w="1746" w:type="dxa"/>
            <w:tcBorders>
              <w:top w:val="nil"/>
              <w:left w:val="nil"/>
              <w:bottom w:val="single" w:sz="8" w:space="0" w:color="auto"/>
              <w:right w:val="single" w:sz="8" w:space="0" w:color="auto"/>
            </w:tcBorders>
            <w:tcMar>
              <w:top w:w="0" w:type="dxa"/>
              <w:left w:w="108" w:type="dxa"/>
              <w:bottom w:w="0" w:type="dxa"/>
              <w:right w:w="108" w:type="dxa"/>
            </w:tcMar>
          </w:tcPr>
          <w:p w:rsidR="00CB332F" w:rsidRDefault="00CB332F">
            <w:pPr>
              <w:rPr>
                <w:rFonts w:ascii="Calibri" w:eastAsiaTheme="minorHAnsi" w:hAnsi="Calibri"/>
              </w:rPr>
            </w:pPr>
          </w:p>
          <w:p w:rsidR="00CB332F" w:rsidRDefault="00CB332F">
            <w:pPr>
              <w:rPr>
                <w:rFonts w:ascii="Calibri" w:eastAsiaTheme="minorHAnsi" w:hAnsi="Calibri"/>
                <w:sz w:val="22"/>
                <w:szCs w:val="22"/>
              </w:rPr>
            </w:pPr>
            <w:r>
              <w:t>20</w:t>
            </w:r>
          </w:p>
        </w:tc>
        <w:tc>
          <w:tcPr>
            <w:tcW w:w="1659" w:type="dxa"/>
            <w:tcBorders>
              <w:top w:val="nil"/>
              <w:left w:val="nil"/>
              <w:bottom w:val="single" w:sz="8" w:space="0" w:color="auto"/>
              <w:right w:val="single" w:sz="8" w:space="0" w:color="auto"/>
            </w:tcBorders>
            <w:tcMar>
              <w:top w:w="0" w:type="dxa"/>
              <w:left w:w="108" w:type="dxa"/>
              <w:bottom w:w="0" w:type="dxa"/>
              <w:right w:w="108" w:type="dxa"/>
            </w:tcMar>
          </w:tcPr>
          <w:p w:rsidR="00CB332F" w:rsidRDefault="00CB332F">
            <w:pPr>
              <w:rPr>
                <w:rFonts w:ascii="Calibri" w:eastAsiaTheme="minorHAnsi" w:hAnsi="Calibri"/>
              </w:rPr>
            </w:pPr>
          </w:p>
          <w:p w:rsidR="00CB332F" w:rsidRDefault="00CB332F">
            <w:pPr>
              <w:rPr>
                <w:rFonts w:ascii="Calibri" w:eastAsiaTheme="minorHAnsi" w:hAnsi="Calibri"/>
                <w:sz w:val="22"/>
                <w:szCs w:val="22"/>
              </w:rPr>
            </w:pPr>
            <w:r>
              <w:t>6</w:t>
            </w:r>
          </w:p>
        </w:tc>
        <w:tc>
          <w:tcPr>
            <w:tcW w:w="1377" w:type="dxa"/>
            <w:tcBorders>
              <w:top w:val="nil"/>
              <w:left w:val="nil"/>
              <w:bottom w:val="single" w:sz="8" w:space="0" w:color="auto"/>
              <w:right w:val="single" w:sz="8" w:space="0" w:color="auto"/>
            </w:tcBorders>
            <w:tcMar>
              <w:top w:w="0" w:type="dxa"/>
              <w:left w:w="108" w:type="dxa"/>
              <w:bottom w:w="0" w:type="dxa"/>
              <w:right w:w="108" w:type="dxa"/>
            </w:tcMar>
          </w:tcPr>
          <w:p w:rsidR="00CB332F" w:rsidRDefault="00CB332F">
            <w:pPr>
              <w:rPr>
                <w:rFonts w:ascii="Calibri" w:eastAsiaTheme="minorHAnsi" w:hAnsi="Calibri"/>
              </w:rPr>
            </w:pPr>
          </w:p>
          <w:p w:rsidR="00CB332F" w:rsidRDefault="00CB332F">
            <w:pPr>
              <w:rPr>
                <w:rFonts w:ascii="Calibri" w:eastAsiaTheme="minorHAnsi" w:hAnsi="Calibri"/>
                <w:sz w:val="22"/>
                <w:szCs w:val="22"/>
              </w:rPr>
            </w:pPr>
            <w:r>
              <w:t>120</w:t>
            </w:r>
          </w:p>
        </w:tc>
      </w:tr>
      <w:tr w:rsidR="00CB332F" w:rsidTr="00CB332F">
        <w:tc>
          <w:tcPr>
            <w:tcW w:w="19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32F" w:rsidRDefault="00CB332F">
            <w:pPr>
              <w:rPr>
                <w:rFonts w:ascii="Calibri" w:eastAsiaTheme="minorHAnsi" w:hAnsi="Calibri"/>
                <w:sz w:val="22"/>
                <w:szCs w:val="22"/>
              </w:rPr>
            </w:pPr>
            <w:r>
              <w:t>Recordkeeping</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CB332F" w:rsidRDefault="00CB332F">
            <w:pPr>
              <w:rPr>
                <w:rFonts w:ascii="Calibri" w:eastAsiaTheme="minorHAnsi" w:hAnsi="Calibri"/>
                <w:sz w:val="22"/>
                <w:szCs w:val="22"/>
              </w:rPr>
            </w:pPr>
            <w:r>
              <w:t>5</w:t>
            </w:r>
          </w:p>
        </w:tc>
        <w:tc>
          <w:tcPr>
            <w:tcW w:w="1233" w:type="dxa"/>
            <w:tcBorders>
              <w:top w:val="nil"/>
              <w:left w:val="nil"/>
              <w:bottom w:val="single" w:sz="8" w:space="0" w:color="auto"/>
              <w:right w:val="single" w:sz="8" w:space="0" w:color="auto"/>
            </w:tcBorders>
            <w:tcMar>
              <w:top w:w="0" w:type="dxa"/>
              <w:left w:w="108" w:type="dxa"/>
              <w:bottom w:w="0" w:type="dxa"/>
              <w:right w:w="108" w:type="dxa"/>
            </w:tcMar>
            <w:hideMark/>
          </w:tcPr>
          <w:p w:rsidR="00CB332F" w:rsidRDefault="00CB332F">
            <w:pPr>
              <w:rPr>
                <w:rFonts w:ascii="Calibri" w:eastAsiaTheme="minorHAnsi" w:hAnsi="Calibri"/>
                <w:sz w:val="22"/>
                <w:szCs w:val="22"/>
              </w:rPr>
            </w:pPr>
            <w:r>
              <w:t>12</w:t>
            </w:r>
          </w:p>
        </w:tc>
        <w:tc>
          <w:tcPr>
            <w:tcW w:w="1746" w:type="dxa"/>
            <w:tcBorders>
              <w:top w:val="nil"/>
              <w:left w:val="nil"/>
              <w:bottom w:val="single" w:sz="8" w:space="0" w:color="auto"/>
              <w:right w:val="single" w:sz="8" w:space="0" w:color="auto"/>
            </w:tcBorders>
            <w:tcMar>
              <w:top w:w="0" w:type="dxa"/>
              <w:left w:w="108" w:type="dxa"/>
              <w:bottom w:w="0" w:type="dxa"/>
              <w:right w:w="108" w:type="dxa"/>
            </w:tcMar>
            <w:hideMark/>
          </w:tcPr>
          <w:p w:rsidR="00CB332F" w:rsidRDefault="00CB332F">
            <w:pPr>
              <w:rPr>
                <w:rFonts w:ascii="Calibri" w:eastAsiaTheme="minorHAnsi" w:hAnsi="Calibri"/>
                <w:sz w:val="22"/>
                <w:szCs w:val="22"/>
              </w:rPr>
            </w:pPr>
            <w:r>
              <w:t>60</w:t>
            </w:r>
          </w:p>
        </w:tc>
        <w:tc>
          <w:tcPr>
            <w:tcW w:w="1659" w:type="dxa"/>
            <w:tcBorders>
              <w:top w:val="nil"/>
              <w:left w:val="nil"/>
              <w:bottom w:val="single" w:sz="8" w:space="0" w:color="auto"/>
              <w:right w:val="single" w:sz="8" w:space="0" w:color="auto"/>
            </w:tcBorders>
            <w:tcMar>
              <w:top w:w="0" w:type="dxa"/>
              <w:left w:w="108" w:type="dxa"/>
              <w:bottom w:w="0" w:type="dxa"/>
              <w:right w:w="108" w:type="dxa"/>
            </w:tcMar>
            <w:hideMark/>
          </w:tcPr>
          <w:p w:rsidR="00CB332F" w:rsidRDefault="00CB332F">
            <w:pPr>
              <w:rPr>
                <w:rFonts w:ascii="Calibri" w:eastAsiaTheme="minorHAnsi" w:hAnsi="Calibri"/>
                <w:sz w:val="22"/>
                <w:szCs w:val="22"/>
              </w:rPr>
            </w:pPr>
            <w:r>
              <w:t>2</w:t>
            </w:r>
          </w:p>
        </w:tc>
        <w:tc>
          <w:tcPr>
            <w:tcW w:w="1377" w:type="dxa"/>
            <w:tcBorders>
              <w:top w:val="nil"/>
              <w:left w:val="nil"/>
              <w:bottom w:val="single" w:sz="8" w:space="0" w:color="auto"/>
              <w:right w:val="single" w:sz="8" w:space="0" w:color="auto"/>
            </w:tcBorders>
            <w:tcMar>
              <w:top w:w="0" w:type="dxa"/>
              <w:left w:w="108" w:type="dxa"/>
              <w:bottom w:w="0" w:type="dxa"/>
              <w:right w:w="108" w:type="dxa"/>
            </w:tcMar>
            <w:hideMark/>
          </w:tcPr>
          <w:p w:rsidR="00CB332F" w:rsidRDefault="00CB332F">
            <w:pPr>
              <w:rPr>
                <w:rFonts w:ascii="Calibri" w:eastAsiaTheme="minorHAnsi" w:hAnsi="Calibri"/>
                <w:sz w:val="22"/>
                <w:szCs w:val="22"/>
              </w:rPr>
            </w:pPr>
            <w:r>
              <w:t>120</w:t>
            </w:r>
          </w:p>
        </w:tc>
      </w:tr>
      <w:tr w:rsidR="00CB332F" w:rsidTr="00CB332F">
        <w:tc>
          <w:tcPr>
            <w:tcW w:w="1903" w:type="dxa"/>
            <w:tcBorders>
              <w:top w:val="nil"/>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rsidR="00CB332F" w:rsidRPr="00CB332F" w:rsidRDefault="00CB332F">
            <w:pPr>
              <w:rPr>
                <w:rFonts w:ascii="Calibri" w:eastAsiaTheme="minorHAnsi" w:hAnsi="Calibri"/>
                <w:b/>
                <w:color w:val="FFFFFF" w:themeColor="background1"/>
                <w:sz w:val="22"/>
                <w:szCs w:val="22"/>
              </w:rPr>
            </w:pPr>
            <w:r w:rsidRPr="00CB332F">
              <w:rPr>
                <w:b/>
                <w:color w:val="FFFFFF" w:themeColor="background1"/>
              </w:rPr>
              <w:t xml:space="preserve">TOTAL </w:t>
            </w:r>
          </w:p>
        </w:tc>
        <w:tc>
          <w:tcPr>
            <w:tcW w:w="1658" w:type="dxa"/>
            <w:tcBorders>
              <w:top w:val="nil"/>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rsidR="00CB332F" w:rsidRPr="00CB332F" w:rsidRDefault="00CB332F">
            <w:pPr>
              <w:rPr>
                <w:rFonts w:ascii="Calibri" w:eastAsiaTheme="minorHAnsi" w:hAnsi="Calibri"/>
                <w:b/>
                <w:color w:val="FFFFFF" w:themeColor="background1"/>
                <w:sz w:val="22"/>
                <w:szCs w:val="22"/>
              </w:rPr>
            </w:pPr>
          </w:p>
        </w:tc>
        <w:tc>
          <w:tcPr>
            <w:tcW w:w="1233" w:type="dxa"/>
            <w:tcBorders>
              <w:top w:val="nil"/>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rsidR="00CB332F" w:rsidRPr="00CB332F" w:rsidRDefault="00CB332F">
            <w:pPr>
              <w:rPr>
                <w:rFonts w:ascii="Calibri" w:eastAsiaTheme="minorHAnsi" w:hAnsi="Calibri"/>
                <w:b/>
                <w:color w:val="FFFFFF" w:themeColor="background1"/>
                <w:sz w:val="22"/>
                <w:szCs w:val="22"/>
              </w:rPr>
            </w:pPr>
          </w:p>
        </w:tc>
        <w:tc>
          <w:tcPr>
            <w:tcW w:w="1746" w:type="dxa"/>
            <w:tcBorders>
              <w:top w:val="nil"/>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rsidR="00CB332F" w:rsidRPr="00CB332F" w:rsidRDefault="00CB332F">
            <w:pPr>
              <w:rPr>
                <w:rFonts w:ascii="Calibri" w:eastAsiaTheme="minorHAnsi" w:hAnsi="Calibri"/>
                <w:b/>
                <w:color w:val="FFFFFF" w:themeColor="background1"/>
                <w:sz w:val="22"/>
                <w:szCs w:val="22"/>
              </w:rPr>
            </w:pPr>
            <w:r w:rsidRPr="00CB332F">
              <w:rPr>
                <w:b/>
                <w:color w:val="FFFFFF" w:themeColor="background1"/>
              </w:rPr>
              <w:t>105</w:t>
            </w:r>
          </w:p>
        </w:tc>
        <w:tc>
          <w:tcPr>
            <w:tcW w:w="1659" w:type="dxa"/>
            <w:tcBorders>
              <w:top w:val="nil"/>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rsidR="00CB332F" w:rsidRPr="00CB332F" w:rsidRDefault="00CB332F">
            <w:pPr>
              <w:rPr>
                <w:rFonts w:ascii="Calibri" w:eastAsiaTheme="minorHAnsi" w:hAnsi="Calibri"/>
                <w:b/>
                <w:color w:val="FFFFFF" w:themeColor="background1"/>
                <w:sz w:val="22"/>
                <w:szCs w:val="22"/>
              </w:rPr>
            </w:pPr>
          </w:p>
        </w:tc>
        <w:tc>
          <w:tcPr>
            <w:tcW w:w="1377" w:type="dxa"/>
            <w:tcBorders>
              <w:top w:val="nil"/>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rsidR="00CB332F" w:rsidRPr="00CB332F" w:rsidRDefault="00CB332F">
            <w:pPr>
              <w:rPr>
                <w:rFonts w:ascii="Calibri" w:eastAsiaTheme="minorHAnsi" w:hAnsi="Calibri"/>
                <w:b/>
                <w:color w:val="FFFFFF" w:themeColor="background1"/>
                <w:sz w:val="22"/>
                <w:szCs w:val="22"/>
              </w:rPr>
            </w:pPr>
            <w:r w:rsidRPr="00CB332F">
              <w:rPr>
                <w:b/>
                <w:color w:val="FFFFFF" w:themeColor="background1"/>
              </w:rPr>
              <w:t>980</w:t>
            </w:r>
          </w:p>
        </w:tc>
      </w:tr>
    </w:tbl>
    <w:p w:rsidR="009E0445" w:rsidRDefault="009E0445"/>
    <w:p w:rsidR="0010088C" w:rsidRDefault="0010088C"/>
    <w:p w:rsidR="00826101" w:rsidRDefault="00826101" w:rsidP="00826101">
      <w:pPr>
        <w:pStyle w:val="AbtHeadB"/>
        <w:ind w:left="720" w:hanging="720"/>
      </w:pPr>
      <w:bookmarkStart w:id="51" w:name="_Toc233444289"/>
      <w:bookmarkStart w:id="52" w:name="_Toc291677943"/>
      <w:r>
        <w:t>A13</w:t>
      </w:r>
      <w:r>
        <w:tab/>
        <w:t>Capital Costs</w:t>
      </w:r>
      <w:bookmarkEnd w:id="51"/>
      <w:bookmarkEnd w:id="52"/>
    </w:p>
    <w:p w:rsidR="00826101" w:rsidRDefault="00826101" w:rsidP="00826101">
      <w:pPr>
        <w:tabs>
          <w:tab w:val="left" w:pos="0"/>
        </w:tabs>
        <w:rPr>
          <w:rFonts w:ascii="Arial" w:hAnsi="Arial"/>
          <w:i/>
          <w:color w:val="000000"/>
        </w:rPr>
      </w:pPr>
      <w:r>
        <w:rPr>
          <w:rFonts w:ascii="Arial" w:hAnsi="Arial"/>
          <w:i/>
          <w:color w:val="000000"/>
        </w:rPr>
        <w:t xml:space="preserve">Estimate the annual capital cost to respondents or </w:t>
      </w:r>
      <w:r w:rsidR="004443D8">
        <w:rPr>
          <w:rFonts w:ascii="Arial" w:hAnsi="Arial"/>
          <w:i/>
          <w:color w:val="000000"/>
        </w:rPr>
        <w:t>record keepers</w:t>
      </w:r>
      <w:r>
        <w:rPr>
          <w:rFonts w:ascii="Arial" w:hAnsi="Arial"/>
          <w:i/>
          <w:color w:val="000000"/>
        </w:rPr>
        <w:t>.</w:t>
      </w:r>
    </w:p>
    <w:p w:rsidR="00826101" w:rsidRDefault="00826101" w:rsidP="00826101"/>
    <w:p w:rsidR="00826101" w:rsidRDefault="00826101" w:rsidP="00826101">
      <w:r w:rsidRPr="0010088C">
        <w:t xml:space="preserve">There are no capital costs for respondents beyond customary or usual business practices or that are not otherwise required to achieve regulatory compliance not associated with the collection of information for purposes of completing the </w:t>
      </w:r>
      <w:r w:rsidR="00CB332F">
        <w:t>MV-TA Narratice, Matrices, and Reporting</w:t>
      </w:r>
      <w:r w:rsidR="007A22F4" w:rsidRPr="0010088C">
        <w:t>.</w:t>
      </w:r>
    </w:p>
    <w:p w:rsidR="00826101" w:rsidRDefault="00826101" w:rsidP="00826101">
      <w:pPr>
        <w:pStyle w:val="Header"/>
        <w:tabs>
          <w:tab w:val="clear" w:pos="4320"/>
          <w:tab w:val="clear" w:pos="8640"/>
          <w:tab w:val="left" w:pos="720"/>
          <w:tab w:val="left" w:pos="1080"/>
          <w:tab w:val="left" w:pos="1440"/>
        </w:tabs>
      </w:pPr>
    </w:p>
    <w:p w:rsidR="00826101" w:rsidRDefault="00826101" w:rsidP="00826101">
      <w:pPr>
        <w:pStyle w:val="AbtHeadB"/>
      </w:pPr>
      <w:bookmarkStart w:id="53" w:name="_Toc224972117"/>
      <w:bookmarkStart w:id="54" w:name="_Toc233444290"/>
      <w:bookmarkStart w:id="55" w:name="_Toc291677944"/>
      <w:r>
        <w:t>A14</w:t>
      </w:r>
      <w:r>
        <w:tab/>
        <w:t>Cost to the Federal Government</w:t>
      </w:r>
      <w:bookmarkEnd w:id="53"/>
      <w:bookmarkEnd w:id="54"/>
      <w:bookmarkEnd w:id="55"/>
    </w:p>
    <w:p w:rsidR="00826101" w:rsidRDefault="00826101" w:rsidP="00826101">
      <w:pPr>
        <w:pStyle w:val="BodyText"/>
        <w:rPr>
          <w:rFonts w:ascii="Arial" w:hAnsi="Arial"/>
          <w:i/>
          <w:color w:val="000000"/>
        </w:rPr>
      </w:pPr>
      <w:r>
        <w:rPr>
          <w:rFonts w:ascii="Arial" w:hAnsi="Arial"/>
          <w:i/>
          <w:color w:val="000000"/>
        </w:rPr>
        <w:t>Estimate annualized costs to the Federal government.</w:t>
      </w:r>
    </w:p>
    <w:p w:rsidR="00EF7606" w:rsidRDefault="00EF7606" w:rsidP="00EF7606">
      <w:pPr>
        <w:pStyle w:val="BodyText"/>
      </w:pPr>
      <w:r w:rsidRPr="0010088C">
        <w:t xml:space="preserve">The federal costs associated with </w:t>
      </w:r>
      <w:r>
        <w:t xml:space="preserve">the review of all completed Narratives, Matrices, and Reporting Requirements are estimated to be $32,580.  This calculation is based on 17.4 hours to review each MV-TA NOFA application, 10 times, and 112 hours to review each awardees yearly Reporting Requirements, 5 times,  at an average hourly rate of $44.  </w:t>
      </w:r>
    </w:p>
    <w:p w:rsidR="00EF7606" w:rsidRDefault="00EF7606" w:rsidP="00EF7606">
      <w:pPr>
        <w:jc w:val="center"/>
        <w:rPr>
          <w:rFonts w:ascii="Arial" w:hAnsi="Arial"/>
          <w:b/>
          <w:sz w:val="20"/>
        </w:rPr>
      </w:pPr>
    </w:p>
    <w:p w:rsidR="00EF7606" w:rsidRDefault="00EF7606" w:rsidP="00EF7606">
      <w:pPr>
        <w:jc w:val="center"/>
        <w:rPr>
          <w:rFonts w:ascii="Arial" w:hAnsi="Arial"/>
          <w:b/>
          <w:sz w:val="20"/>
        </w:rPr>
      </w:pPr>
      <w:r>
        <w:rPr>
          <w:rFonts w:ascii="Arial" w:hAnsi="Arial"/>
          <w:b/>
          <w:sz w:val="20"/>
        </w:rPr>
        <w:t xml:space="preserve">Exhibit B: Estimated </w:t>
      </w:r>
      <w:r w:rsidRPr="00ED7E08">
        <w:rPr>
          <w:rFonts w:ascii="Arial" w:hAnsi="Arial"/>
          <w:b/>
          <w:sz w:val="20"/>
        </w:rPr>
        <w:t>Annual</w:t>
      </w:r>
      <w:r>
        <w:rPr>
          <w:rFonts w:ascii="Arial" w:hAnsi="Arial"/>
          <w:b/>
          <w:sz w:val="20"/>
        </w:rPr>
        <w:t>ized Costs to the Federal Government</w:t>
      </w:r>
    </w:p>
    <w:p w:rsidR="00332E0E" w:rsidRDefault="00332E0E" w:rsidP="00826101">
      <w:pPr>
        <w:pStyle w:val="BodyText"/>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990"/>
        <w:gridCol w:w="1350"/>
        <w:gridCol w:w="1170"/>
        <w:gridCol w:w="1260"/>
        <w:gridCol w:w="810"/>
        <w:gridCol w:w="1350"/>
      </w:tblGrid>
      <w:tr w:rsidR="00EF7606" w:rsidTr="00EF7606">
        <w:tc>
          <w:tcPr>
            <w:tcW w:w="2160" w:type="dxa"/>
            <w:shd w:val="clear" w:color="auto" w:fill="A6A6A6" w:themeFill="background1" w:themeFillShade="A6"/>
            <w:vAlign w:val="center"/>
          </w:tcPr>
          <w:p w:rsidR="00CB332F" w:rsidRPr="00EF7606" w:rsidRDefault="00CB332F" w:rsidP="00CB332F">
            <w:pPr>
              <w:keepLines/>
              <w:tabs>
                <w:tab w:val="left" w:pos="360"/>
              </w:tabs>
              <w:spacing w:before="40" w:after="40"/>
              <w:rPr>
                <w:rFonts w:ascii="Arial" w:hAnsi="Arial" w:cs="Arial"/>
                <w:b/>
                <w:color w:val="FFFFFF" w:themeColor="background1"/>
                <w:sz w:val="18"/>
              </w:rPr>
            </w:pPr>
          </w:p>
        </w:tc>
        <w:tc>
          <w:tcPr>
            <w:tcW w:w="990" w:type="dxa"/>
            <w:shd w:val="clear" w:color="auto" w:fill="A6A6A6" w:themeFill="background1" w:themeFillShade="A6"/>
            <w:vAlign w:val="center"/>
          </w:tcPr>
          <w:p w:rsidR="00CB332F" w:rsidRPr="00EF7606" w:rsidRDefault="00CB332F" w:rsidP="00CB332F">
            <w:pPr>
              <w:pStyle w:val="Heading4"/>
              <w:spacing w:before="40" w:after="40"/>
              <w:jc w:val="center"/>
              <w:rPr>
                <w:rFonts w:ascii="Arial" w:hAnsi="Arial" w:cs="Arial"/>
                <w:bCs w:val="0"/>
                <w:color w:val="FFFFFF" w:themeColor="background1"/>
                <w:sz w:val="18"/>
              </w:rPr>
            </w:pPr>
            <w:r w:rsidRPr="00EF7606">
              <w:rPr>
                <w:rFonts w:ascii="Arial" w:hAnsi="Arial" w:cs="Arial"/>
                <w:bCs w:val="0"/>
                <w:color w:val="FFFFFF" w:themeColor="background1"/>
                <w:sz w:val="18"/>
              </w:rPr>
              <w:t>No. of staff</w:t>
            </w:r>
          </w:p>
        </w:tc>
        <w:tc>
          <w:tcPr>
            <w:tcW w:w="1350" w:type="dxa"/>
            <w:shd w:val="clear" w:color="auto" w:fill="A6A6A6" w:themeFill="background1" w:themeFillShade="A6"/>
            <w:vAlign w:val="center"/>
          </w:tcPr>
          <w:p w:rsidR="00CB332F" w:rsidRPr="00EF7606" w:rsidRDefault="00CB332F" w:rsidP="00CB332F">
            <w:pPr>
              <w:keepLines/>
              <w:tabs>
                <w:tab w:val="left" w:pos="360"/>
              </w:tabs>
              <w:spacing w:before="40" w:after="40"/>
              <w:jc w:val="center"/>
              <w:rPr>
                <w:rFonts w:ascii="Arial" w:hAnsi="Arial" w:cs="Arial"/>
                <w:b/>
                <w:color w:val="FFFFFF" w:themeColor="background1"/>
                <w:sz w:val="18"/>
              </w:rPr>
            </w:pPr>
            <w:r w:rsidRPr="00EF7606">
              <w:rPr>
                <w:rFonts w:ascii="Arial" w:hAnsi="Arial" w:cs="Arial"/>
                <w:b/>
                <w:color w:val="FFFFFF" w:themeColor="background1"/>
                <w:sz w:val="18"/>
              </w:rPr>
              <w:t>No. of Hours per staff</w:t>
            </w:r>
          </w:p>
        </w:tc>
        <w:tc>
          <w:tcPr>
            <w:tcW w:w="1170" w:type="dxa"/>
            <w:shd w:val="clear" w:color="auto" w:fill="A6A6A6" w:themeFill="background1" w:themeFillShade="A6"/>
            <w:vAlign w:val="center"/>
          </w:tcPr>
          <w:p w:rsidR="00CB332F" w:rsidRPr="00EF7606" w:rsidRDefault="00CB332F" w:rsidP="00CB332F">
            <w:pPr>
              <w:keepLines/>
              <w:tabs>
                <w:tab w:val="left" w:pos="360"/>
              </w:tabs>
              <w:spacing w:before="40" w:after="40"/>
              <w:jc w:val="center"/>
              <w:rPr>
                <w:rFonts w:ascii="Arial" w:hAnsi="Arial" w:cs="Arial"/>
                <w:b/>
                <w:color w:val="FFFFFF" w:themeColor="background1"/>
                <w:sz w:val="18"/>
              </w:rPr>
            </w:pPr>
            <w:r w:rsidRPr="00EF7606">
              <w:rPr>
                <w:rFonts w:ascii="Arial" w:hAnsi="Arial" w:cs="Arial"/>
                <w:b/>
                <w:color w:val="FFFFFF" w:themeColor="background1"/>
                <w:sz w:val="18"/>
              </w:rPr>
              <w:t>Annual Frequency</w:t>
            </w:r>
          </w:p>
        </w:tc>
        <w:tc>
          <w:tcPr>
            <w:tcW w:w="1260" w:type="dxa"/>
            <w:shd w:val="clear" w:color="auto" w:fill="A6A6A6" w:themeFill="background1" w:themeFillShade="A6"/>
            <w:vAlign w:val="center"/>
          </w:tcPr>
          <w:p w:rsidR="00CB332F" w:rsidRPr="00EF7606" w:rsidRDefault="00CB332F" w:rsidP="00CB332F">
            <w:pPr>
              <w:keepLines/>
              <w:tabs>
                <w:tab w:val="left" w:pos="360"/>
              </w:tabs>
              <w:spacing w:before="40" w:after="40"/>
              <w:jc w:val="center"/>
              <w:rPr>
                <w:rFonts w:ascii="Arial" w:hAnsi="Arial" w:cs="Arial"/>
                <w:b/>
                <w:color w:val="FFFFFF" w:themeColor="background1"/>
                <w:sz w:val="18"/>
              </w:rPr>
            </w:pPr>
            <w:r w:rsidRPr="00EF7606">
              <w:rPr>
                <w:rFonts w:ascii="Arial" w:hAnsi="Arial" w:cs="Arial"/>
                <w:b/>
                <w:color w:val="FFFFFF" w:themeColor="background1"/>
                <w:sz w:val="18"/>
              </w:rPr>
              <w:t>Total Annual Hrs</w:t>
            </w:r>
          </w:p>
        </w:tc>
        <w:tc>
          <w:tcPr>
            <w:tcW w:w="810" w:type="dxa"/>
            <w:shd w:val="clear" w:color="auto" w:fill="A6A6A6" w:themeFill="background1" w:themeFillShade="A6"/>
            <w:vAlign w:val="center"/>
          </w:tcPr>
          <w:p w:rsidR="00CB332F" w:rsidRPr="00EF7606" w:rsidRDefault="00CB332F" w:rsidP="00CB332F">
            <w:pPr>
              <w:keepLines/>
              <w:tabs>
                <w:tab w:val="left" w:pos="360"/>
              </w:tabs>
              <w:spacing w:before="40" w:after="40"/>
              <w:jc w:val="center"/>
              <w:rPr>
                <w:rFonts w:ascii="Arial" w:hAnsi="Arial" w:cs="Arial"/>
                <w:b/>
                <w:color w:val="FFFFFF" w:themeColor="background1"/>
                <w:sz w:val="18"/>
              </w:rPr>
            </w:pPr>
            <w:r w:rsidRPr="00EF7606">
              <w:rPr>
                <w:rFonts w:ascii="Arial" w:hAnsi="Arial" w:cs="Arial"/>
                <w:b/>
                <w:color w:val="FFFFFF" w:themeColor="background1"/>
                <w:sz w:val="18"/>
              </w:rPr>
              <w:t>Cost per Hr</w:t>
            </w:r>
          </w:p>
        </w:tc>
        <w:tc>
          <w:tcPr>
            <w:tcW w:w="1350" w:type="dxa"/>
            <w:shd w:val="clear" w:color="auto" w:fill="A6A6A6" w:themeFill="background1" w:themeFillShade="A6"/>
            <w:vAlign w:val="center"/>
          </w:tcPr>
          <w:p w:rsidR="00CB332F" w:rsidRPr="00EF7606" w:rsidRDefault="00CB332F" w:rsidP="00CB332F">
            <w:pPr>
              <w:keepLines/>
              <w:tabs>
                <w:tab w:val="left" w:pos="360"/>
              </w:tabs>
              <w:spacing w:before="40" w:after="40"/>
              <w:jc w:val="center"/>
              <w:rPr>
                <w:rFonts w:ascii="Arial" w:hAnsi="Arial" w:cs="Arial"/>
                <w:b/>
                <w:color w:val="FFFFFF" w:themeColor="background1"/>
                <w:sz w:val="18"/>
              </w:rPr>
            </w:pPr>
            <w:r w:rsidRPr="00EF7606">
              <w:rPr>
                <w:rFonts w:ascii="Arial" w:hAnsi="Arial" w:cs="Arial"/>
                <w:b/>
                <w:color w:val="FFFFFF" w:themeColor="background1"/>
                <w:sz w:val="18"/>
              </w:rPr>
              <w:t>Total Annual Cost</w:t>
            </w:r>
          </w:p>
        </w:tc>
      </w:tr>
      <w:tr w:rsidR="00EF7606" w:rsidTr="00EF7606">
        <w:tc>
          <w:tcPr>
            <w:tcW w:w="2160" w:type="dxa"/>
            <w:vAlign w:val="center"/>
          </w:tcPr>
          <w:p w:rsidR="00CB332F" w:rsidRDefault="00CB332F" w:rsidP="00CB332F">
            <w:pPr>
              <w:keepLines/>
              <w:tabs>
                <w:tab w:val="left" w:pos="360"/>
              </w:tabs>
              <w:spacing w:before="40" w:after="40"/>
              <w:rPr>
                <w:rFonts w:ascii="Arial" w:hAnsi="Arial" w:cs="Arial"/>
                <w:color w:val="000000"/>
                <w:sz w:val="18"/>
              </w:rPr>
            </w:pPr>
            <w:r>
              <w:rPr>
                <w:rFonts w:ascii="Arial" w:hAnsi="Arial" w:cs="Arial"/>
                <w:color w:val="000000"/>
                <w:sz w:val="18"/>
              </w:rPr>
              <w:t>Application retrieval and Dissemination</w:t>
            </w:r>
          </w:p>
        </w:tc>
        <w:tc>
          <w:tcPr>
            <w:tcW w:w="990" w:type="dxa"/>
            <w:vAlign w:val="center"/>
          </w:tcPr>
          <w:p w:rsidR="00CB332F" w:rsidRDefault="00921819" w:rsidP="00CB332F">
            <w:pPr>
              <w:keepLines/>
              <w:tabs>
                <w:tab w:val="left" w:pos="360"/>
              </w:tabs>
              <w:spacing w:before="40" w:after="40"/>
              <w:jc w:val="center"/>
              <w:rPr>
                <w:rFonts w:ascii="Arial" w:hAnsi="Arial" w:cs="Arial"/>
                <w:color w:val="000000"/>
                <w:sz w:val="18"/>
              </w:rPr>
            </w:pPr>
            <w:r>
              <w:rPr>
                <w:rFonts w:ascii="Arial" w:hAnsi="Arial" w:cs="Arial"/>
                <w:color w:val="000000"/>
                <w:sz w:val="18"/>
              </w:rPr>
              <w:t>1</w:t>
            </w:r>
          </w:p>
        </w:tc>
        <w:tc>
          <w:tcPr>
            <w:tcW w:w="1350" w:type="dxa"/>
            <w:vAlign w:val="center"/>
          </w:tcPr>
          <w:p w:rsidR="00CB332F" w:rsidRDefault="00CB332F" w:rsidP="00CB332F">
            <w:pPr>
              <w:keepLines/>
              <w:tabs>
                <w:tab w:val="left" w:pos="360"/>
              </w:tabs>
              <w:spacing w:before="40" w:after="40"/>
              <w:jc w:val="center"/>
              <w:rPr>
                <w:rFonts w:ascii="Arial" w:hAnsi="Arial" w:cs="Arial"/>
                <w:color w:val="000000"/>
                <w:sz w:val="18"/>
              </w:rPr>
            </w:pPr>
            <w:r>
              <w:rPr>
                <w:rFonts w:ascii="Arial" w:hAnsi="Arial" w:cs="Arial"/>
                <w:color w:val="000000"/>
                <w:sz w:val="18"/>
              </w:rPr>
              <w:t>30</w:t>
            </w:r>
          </w:p>
        </w:tc>
        <w:tc>
          <w:tcPr>
            <w:tcW w:w="1170" w:type="dxa"/>
            <w:vAlign w:val="center"/>
          </w:tcPr>
          <w:p w:rsidR="00CB332F" w:rsidRDefault="00CB332F" w:rsidP="00CB332F">
            <w:pPr>
              <w:keepLines/>
              <w:tabs>
                <w:tab w:val="left" w:pos="360"/>
              </w:tabs>
              <w:spacing w:before="40" w:after="40"/>
              <w:jc w:val="center"/>
              <w:rPr>
                <w:rFonts w:ascii="Arial" w:hAnsi="Arial" w:cs="Arial"/>
                <w:color w:val="000000"/>
                <w:sz w:val="18"/>
              </w:rPr>
            </w:pPr>
            <w:r>
              <w:rPr>
                <w:rFonts w:ascii="Arial" w:hAnsi="Arial" w:cs="Arial"/>
                <w:color w:val="000000"/>
                <w:sz w:val="18"/>
              </w:rPr>
              <w:t>1</w:t>
            </w:r>
          </w:p>
        </w:tc>
        <w:tc>
          <w:tcPr>
            <w:tcW w:w="1260" w:type="dxa"/>
            <w:vAlign w:val="center"/>
          </w:tcPr>
          <w:p w:rsidR="00CB332F" w:rsidRDefault="00921819" w:rsidP="00CB332F">
            <w:pPr>
              <w:keepLines/>
              <w:tabs>
                <w:tab w:val="left" w:pos="360"/>
              </w:tabs>
              <w:spacing w:before="40" w:after="40"/>
              <w:ind w:right="252"/>
              <w:jc w:val="right"/>
              <w:rPr>
                <w:rFonts w:ascii="Arial" w:hAnsi="Arial" w:cs="Arial"/>
                <w:color w:val="000000"/>
                <w:sz w:val="18"/>
              </w:rPr>
            </w:pPr>
            <w:r>
              <w:rPr>
                <w:rFonts w:ascii="Arial" w:hAnsi="Arial" w:cs="Arial"/>
                <w:color w:val="000000"/>
                <w:sz w:val="18"/>
              </w:rPr>
              <w:t>30</w:t>
            </w:r>
          </w:p>
        </w:tc>
        <w:tc>
          <w:tcPr>
            <w:tcW w:w="810" w:type="dxa"/>
            <w:vAlign w:val="center"/>
          </w:tcPr>
          <w:p w:rsidR="00CB332F" w:rsidRDefault="00CB332F" w:rsidP="00EF7606">
            <w:pPr>
              <w:keepLines/>
              <w:tabs>
                <w:tab w:val="left" w:pos="360"/>
              </w:tabs>
              <w:spacing w:before="40" w:after="40"/>
              <w:jc w:val="center"/>
              <w:rPr>
                <w:rFonts w:ascii="Arial" w:hAnsi="Arial" w:cs="Arial"/>
                <w:color w:val="000000"/>
                <w:sz w:val="18"/>
              </w:rPr>
            </w:pPr>
            <w:r>
              <w:rPr>
                <w:rFonts w:ascii="Arial" w:hAnsi="Arial" w:cs="Arial"/>
                <w:color w:val="000000"/>
                <w:sz w:val="18"/>
              </w:rPr>
              <w:t>$</w:t>
            </w:r>
            <w:r w:rsidR="00EF7606">
              <w:rPr>
                <w:rFonts w:ascii="Arial" w:hAnsi="Arial" w:cs="Arial"/>
                <w:color w:val="000000"/>
                <w:sz w:val="18"/>
              </w:rPr>
              <w:t>30</w:t>
            </w:r>
          </w:p>
        </w:tc>
        <w:tc>
          <w:tcPr>
            <w:tcW w:w="1350" w:type="dxa"/>
            <w:vAlign w:val="center"/>
          </w:tcPr>
          <w:p w:rsidR="00CB332F" w:rsidRDefault="00CB332F" w:rsidP="00EF7606">
            <w:pPr>
              <w:keepLines/>
              <w:tabs>
                <w:tab w:val="left" w:pos="360"/>
              </w:tabs>
              <w:spacing w:before="40" w:after="40"/>
              <w:ind w:left="-108" w:right="132"/>
              <w:jc w:val="right"/>
              <w:rPr>
                <w:rFonts w:ascii="Arial" w:hAnsi="Arial" w:cs="Arial"/>
                <w:color w:val="000000"/>
                <w:sz w:val="18"/>
              </w:rPr>
            </w:pPr>
            <w:r>
              <w:rPr>
                <w:rFonts w:ascii="Arial" w:hAnsi="Arial" w:cs="Arial"/>
                <w:color w:val="000000"/>
                <w:sz w:val="18"/>
              </w:rPr>
              <w:t>$</w:t>
            </w:r>
            <w:r w:rsidR="00EF7606">
              <w:rPr>
                <w:rFonts w:ascii="Arial" w:hAnsi="Arial" w:cs="Arial"/>
                <w:color w:val="000000"/>
                <w:sz w:val="18"/>
              </w:rPr>
              <w:t>900</w:t>
            </w:r>
          </w:p>
        </w:tc>
      </w:tr>
      <w:tr w:rsidR="00EF7606" w:rsidTr="00EF7606">
        <w:tc>
          <w:tcPr>
            <w:tcW w:w="2160" w:type="dxa"/>
            <w:vAlign w:val="center"/>
          </w:tcPr>
          <w:p w:rsidR="00CB332F" w:rsidRDefault="00CB332F" w:rsidP="00CB332F">
            <w:pPr>
              <w:keepLines/>
              <w:tabs>
                <w:tab w:val="left" w:pos="360"/>
              </w:tabs>
              <w:spacing w:before="40" w:after="40"/>
              <w:rPr>
                <w:rFonts w:ascii="Arial" w:hAnsi="Arial" w:cs="Arial"/>
                <w:color w:val="000000"/>
                <w:sz w:val="18"/>
              </w:rPr>
            </w:pPr>
            <w:r>
              <w:rPr>
                <w:rFonts w:ascii="Arial" w:hAnsi="Arial" w:cs="Arial"/>
                <w:color w:val="000000"/>
                <w:sz w:val="18"/>
              </w:rPr>
              <w:t>Application Review</w:t>
            </w:r>
          </w:p>
        </w:tc>
        <w:tc>
          <w:tcPr>
            <w:tcW w:w="990" w:type="dxa"/>
            <w:vAlign w:val="center"/>
          </w:tcPr>
          <w:p w:rsidR="00CB332F" w:rsidRDefault="00921819" w:rsidP="00CB332F">
            <w:pPr>
              <w:keepLines/>
              <w:tabs>
                <w:tab w:val="left" w:pos="360"/>
              </w:tabs>
              <w:spacing w:before="40" w:after="40"/>
              <w:jc w:val="center"/>
              <w:rPr>
                <w:rFonts w:ascii="Arial" w:hAnsi="Arial" w:cs="Arial"/>
                <w:color w:val="000000"/>
                <w:sz w:val="18"/>
              </w:rPr>
            </w:pPr>
            <w:r>
              <w:rPr>
                <w:rFonts w:ascii="Arial" w:hAnsi="Arial" w:cs="Arial"/>
                <w:color w:val="000000"/>
                <w:sz w:val="18"/>
              </w:rPr>
              <w:t>6</w:t>
            </w:r>
          </w:p>
        </w:tc>
        <w:tc>
          <w:tcPr>
            <w:tcW w:w="1350" w:type="dxa"/>
            <w:vAlign w:val="center"/>
          </w:tcPr>
          <w:p w:rsidR="00CB332F" w:rsidRDefault="00CB332F" w:rsidP="00CB332F">
            <w:pPr>
              <w:keepLines/>
              <w:tabs>
                <w:tab w:val="left" w:pos="360"/>
              </w:tabs>
              <w:spacing w:before="40" w:after="40"/>
              <w:jc w:val="center"/>
              <w:rPr>
                <w:rFonts w:ascii="Arial" w:hAnsi="Arial" w:cs="Arial"/>
                <w:color w:val="000000"/>
                <w:sz w:val="18"/>
              </w:rPr>
            </w:pPr>
            <w:r>
              <w:rPr>
                <w:rFonts w:ascii="Arial" w:hAnsi="Arial" w:cs="Arial"/>
                <w:color w:val="000000"/>
                <w:sz w:val="18"/>
              </w:rPr>
              <w:t>24</w:t>
            </w:r>
          </w:p>
        </w:tc>
        <w:tc>
          <w:tcPr>
            <w:tcW w:w="1170" w:type="dxa"/>
            <w:vAlign w:val="center"/>
          </w:tcPr>
          <w:p w:rsidR="00CB332F" w:rsidRDefault="00CB332F" w:rsidP="00CB332F">
            <w:pPr>
              <w:keepLines/>
              <w:tabs>
                <w:tab w:val="left" w:pos="360"/>
              </w:tabs>
              <w:spacing w:before="40" w:after="40"/>
              <w:jc w:val="center"/>
              <w:rPr>
                <w:rFonts w:ascii="Arial" w:hAnsi="Arial" w:cs="Arial"/>
                <w:color w:val="000000"/>
                <w:sz w:val="18"/>
              </w:rPr>
            </w:pPr>
            <w:r>
              <w:rPr>
                <w:rFonts w:ascii="Arial" w:hAnsi="Arial" w:cs="Arial"/>
                <w:color w:val="000000"/>
                <w:sz w:val="18"/>
              </w:rPr>
              <w:t>1</w:t>
            </w:r>
          </w:p>
        </w:tc>
        <w:tc>
          <w:tcPr>
            <w:tcW w:w="1260" w:type="dxa"/>
            <w:vAlign w:val="center"/>
          </w:tcPr>
          <w:p w:rsidR="00CB332F" w:rsidRDefault="00921819" w:rsidP="00CB332F">
            <w:pPr>
              <w:keepLines/>
              <w:tabs>
                <w:tab w:val="left" w:pos="360"/>
              </w:tabs>
              <w:spacing w:before="40" w:after="40"/>
              <w:ind w:right="252"/>
              <w:jc w:val="right"/>
              <w:rPr>
                <w:rFonts w:ascii="Arial" w:hAnsi="Arial" w:cs="Arial"/>
                <w:color w:val="000000"/>
                <w:sz w:val="18"/>
              </w:rPr>
            </w:pPr>
            <w:r>
              <w:rPr>
                <w:rFonts w:ascii="Arial" w:hAnsi="Arial" w:cs="Arial"/>
                <w:color w:val="000000"/>
                <w:sz w:val="18"/>
              </w:rPr>
              <w:t>144</w:t>
            </w:r>
          </w:p>
        </w:tc>
        <w:tc>
          <w:tcPr>
            <w:tcW w:w="810" w:type="dxa"/>
            <w:vAlign w:val="center"/>
          </w:tcPr>
          <w:p w:rsidR="00CB332F" w:rsidRDefault="00CB332F" w:rsidP="00EF7606">
            <w:pPr>
              <w:keepLines/>
              <w:tabs>
                <w:tab w:val="left" w:pos="360"/>
              </w:tabs>
              <w:spacing w:before="40" w:after="40"/>
              <w:jc w:val="center"/>
              <w:rPr>
                <w:rFonts w:ascii="Arial" w:hAnsi="Arial" w:cs="Arial"/>
                <w:color w:val="000000"/>
                <w:sz w:val="18"/>
              </w:rPr>
            </w:pPr>
            <w:r>
              <w:rPr>
                <w:rFonts w:ascii="Arial" w:hAnsi="Arial" w:cs="Arial"/>
                <w:color w:val="000000"/>
                <w:sz w:val="18"/>
              </w:rPr>
              <w:t>$</w:t>
            </w:r>
            <w:r w:rsidR="00EF7606">
              <w:rPr>
                <w:rFonts w:ascii="Arial" w:hAnsi="Arial" w:cs="Arial"/>
                <w:color w:val="000000"/>
                <w:sz w:val="18"/>
              </w:rPr>
              <w:t>45</w:t>
            </w:r>
          </w:p>
        </w:tc>
        <w:tc>
          <w:tcPr>
            <w:tcW w:w="1350" w:type="dxa"/>
            <w:vAlign w:val="center"/>
          </w:tcPr>
          <w:p w:rsidR="00CB332F" w:rsidRDefault="005448C2" w:rsidP="00EF7606">
            <w:pPr>
              <w:keepLines/>
              <w:tabs>
                <w:tab w:val="left" w:pos="360"/>
              </w:tabs>
              <w:spacing w:before="40" w:after="40"/>
              <w:ind w:left="-108" w:right="132"/>
              <w:jc w:val="right"/>
              <w:rPr>
                <w:rFonts w:ascii="Arial" w:hAnsi="Arial" w:cs="Arial"/>
                <w:color w:val="000000"/>
                <w:sz w:val="18"/>
              </w:rPr>
            </w:pPr>
            <w:r>
              <w:rPr>
                <w:rFonts w:ascii="Arial" w:hAnsi="Arial" w:cs="Arial"/>
                <w:color w:val="000000"/>
                <w:sz w:val="18"/>
              </w:rPr>
              <w:t>$</w:t>
            </w:r>
            <w:r w:rsidR="00EF7606">
              <w:rPr>
                <w:rFonts w:ascii="Arial" w:hAnsi="Arial" w:cs="Arial"/>
                <w:color w:val="000000"/>
                <w:sz w:val="18"/>
              </w:rPr>
              <w:t>6</w:t>
            </w:r>
            <w:r w:rsidR="00CB332F">
              <w:rPr>
                <w:rFonts w:ascii="Arial" w:hAnsi="Arial" w:cs="Arial"/>
                <w:color w:val="000000"/>
                <w:sz w:val="18"/>
              </w:rPr>
              <w:t>,</w:t>
            </w:r>
            <w:r w:rsidR="00EF7606">
              <w:rPr>
                <w:rFonts w:ascii="Arial" w:hAnsi="Arial" w:cs="Arial"/>
                <w:color w:val="000000"/>
                <w:sz w:val="18"/>
              </w:rPr>
              <w:t>4</w:t>
            </w:r>
            <w:r>
              <w:rPr>
                <w:rFonts w:ascii="Arial" w:hAnsi="Arial" w:cs="Arial"/>
                <w:color w:val="000000"/>
                <w:sz w:val="18"/>
              </w:rPr>
              <w:t>8</w:t>
            </w:r>
            <w:r w:rsidR="00EF7606">
              <w:rPr>
                <w:rFonts w:ascii="Arial" w:hAnsi="Arial" w:cs="Arial"/>
                <w:color w:val="000000"/>
                <w:sz w:val="18"/>
              </w:rPr>
              <w:t>0</w:t>
            </w:r>
          </w:p>
        </w:tc>
      </w:tr>
      <w:tr w:rsidR="00EF7606" w:rsidTr="00EF7606">
        <w:tc>
          <w:tcPr>
            <w:tcW w:w="2160" w:type="dxa"/>
            <w:vAlign w:val="center"/>
          </w:tcPr>
          <w:p w:rsidR="00CB332F" w:rsidRDefault="00CB332F" w:rsidP="00CB332F">
            <w:pPr>
              <w:keepLines/>
              <w:tabs>
                <w:tab w:val="left" w:pos="360"/>
              </w:tabs>
              <w:spacing w:before="40" w:after="40"/>
              <w:rPr>
                <w:rFonts w:ascii="Arial" w:hAnsi="Arial" w:cs="Arial"/>
                <w:color w:val="000000"/>
                <w:sz w:val="18"/>
              </w:rPr>
            </w:pPr>
            <w:r>
              <w:rPr>
                <w:rFonts w:ascii="Arial" w:hAnsi="Arial" w:cs="Arial"/>
                <w:color w:val="000000"/>
                <w:sz w:val="18"/>
              </w:rPr>
              <w:t>Quarterly Report Review</w:t>
            </w:r>
          </w:p>
        </w:tc>
        <w:tc>
          <w:tcPr>
            <w:tcW w:w="990" w:type="dxa"/>
            <w:vAlign w:val="center"/>
          </w:tcPr>
          <w:p w:rsidR="00CB332F" w:rsidRDefault="00EF7606" w:rsidP="00CB332F">
            <w:pPr>
              <w:keepLines/>
              <w:tabs>
                <w:tab w:val="left" w:pos="360"/>
              </w:tabs>
              <w:spacing w:before="40" w:after="40"/>
              <w:jc w:val="center"/>
              <w:rPr>
                <w:rFonts w:ascii="Arial" w:hAnsi="Arial" w:cs="Arial"/>
                <w:color w:val="000000"/>
                <w:sz w:val="18"/>
              </w:rPr>
            </w:pPr>
            <w:r>
              <w:rPr>
                <w:rFonts w:ascii="Arial" w:hAnsi="Arial" w:cs="Arial"/>
                <w:color w:val="000000"/>
                <w:sz w:val="18"/>
              </w:rPr>
              <w:t>5</w:t>
            </w:r>
          </w:p>
        </w:tc>
        <w:tc>
          <w:tcPr>
            <w:tcW w:w="1350" w:type="dxa"/>
            <w:vAlign w:val="center"/>
          </w:tcPr>
          <w:p w:rsidR="00CB332F" w:rsidRDefault="00CB332F" w:rsidP="00CB332F">
            <w:pPr>
              <w:keepLines/>
              <w:tabs>
                <w:tab w:val="left" w:pos="360"/>
              </w:tabs>
              <w:spacing w:before="40" w:after="40"/>
              <w:jc w:val="center"/>
              <w:rPr>
                <w:rFonts w:ascii="Arial" w:hAnsi="Arial" w:cs="Arial"/>
                <w:color w:val="000000"/>
                <w:sz w:val="18"/>
              </w:rPr>
            </w:pPr>
            <w:r>
              <w:rPr>
                <w:rFonts w:ascii="Arial" w:hAnsi="Arial" w:cs="Arial"/>
                <w:color w:val="000000"/>
                <w:sz w:val="18"/>
              </w:rPr>
              <w:t>4</w:t>
            </w:r>
          </w:p>
        </w:tc>
        <w:tc>
          <w:tcPr>
            <w:tcW w:w="1170" w:type="dxa"/>
            <w:vAlign w:val="center"/>
          </w:tcPr>
          <w:p w:rsidR="00CB332F" w:rsidRDefault="00CB332F" w:rsidP="00CB332F">
            <w:pPr>
              <w:keepLines/>
              <w:tabs>
                <w:tab w:val="left" w:pos="360"/>
              </w:tabs>
              <w:spacing w:before="40" w:after="40"/>
              <w:jc w:val="center"/>
              <w:rPr>
                <w:rFonts w:ascii="Arial" w:hAnsi="Arial" w:cs="Arial"/>
                <w:color w:val="000000"/>
                <w:sz w:val="18"/>
              </w:rPr>
            </w:pPr>
            <w:r>
              <w:rPr>
                <w:rFonts w:ascii="Arial" w:hAnsi="Arial" w:cs="Arial"/>
                <w:color w:val="000000"/>
                <w:sz w:val="18"/>
              </w:rPr>
              <w:t>4</w:t>
            </w:r>
          </w:p>
        </w:tc>
        <w:tc>
          <w:tcPr>
            <w:tcW w:w="1260" w:type="dxa"/>
            <w:vAlign w:val="center"/>
          </w:tcPr>
          <w:p w:rsidR="00CB332F" w:rsidRDefault="00EF7606" w:rsidP="00CB332F">
            <w:pPr>
              <w:keepLines/>
              <w:tabs>
                <w:tab w:val="left" w:pos="360"/>
              </w:tabs>
              <w:spacing w:before="40" w:after="40"/>
              <w:ind w:right="252"/>
              <w:jc w:val="right"/>
              <w:rPr>
                <w:rFonts w:ascii="Arial" w:hAnsi="Arial" w:cs="Arial"/>
                <w:color w:val="000000"/>
                <w:sz w:val="18"/>
              </w:rPr>
            </w:pPr>
            <w:r>
              <w:rPr>
                <w:rFonts w:ascii="Arial" w:hAnsi="Arial" w:cs="Arial"/>
                <w:color w:val="000000"/>
                <w:sz w:val="18"/>
              </w:rPr>
              <w:t>80</w:t>
            </w:r>
          </w:p>
        </w:tc>
        <w:tc>
          <w:tcPr>
            <w:tcW w:w="810" w:type="dxa"/>
            <w:vAlign w:val="center"/>
          </w:tcPr>
          <w:p w:rsidR="00CB332F" w:rsidRDefault="00CB332F" w:rsidP="00EF7606">
            <w:pPr>
              <w:keepLines/>
              <w:tabs>
                <w:tab w:val="left" w:pos="360"/>
              </w:tabs>
              <w:spacing w:before="40" w:after="40"/>
              <w:jc w:val="center"/>
              <w:rPr>
                <w:rFonts w:ascii="Arial" w:hAnsi="Arial" w:cs="Arial"/>
                <w:color w:val="000000"/>
                <w:sz w:val="18"/>
              </w:rPr>
            </w:pPr>
            <w:r>
              <w:rPr>
                <w:rFonts w:ascii="Arial" w:hAnsi="Arial" w:cs="Arial"/>
                <w:color w:val="000000"/>
                <w:sz w:val="18"/>
              </w:rPr>
              <w:t>$</w:t>
            </w:r>
            <w:r w:rsidR="00EF7606">
              <w:rPr>
                <w:rFonts w:ascii="Arial" w:hAnsi="Arial" w:cs="Arial"/>
                <w:color w:val="000000"/>
                <w:sz w:val="18"/>
              </w:rPr>
              <w:t>45</w:t>
            </w:r>
          </w:p>
        </w:tc>
        <w:tc>
          <w:tcPr>
            <w:tcW w:w="1350" w:type="dxa"/>
            <w:vAlign w:val="center"/>
          </w:tcPr>
          <w:p w:rsidR="00CB332F" w:rsidRDefault="00CB332F" w:rsidP="00EF7606">
            <w:pPr>
              <w:keepLines/>
              <w:tabs>
                <w:tab w:val="left" w:pos="360"/>
              </w:tabs>
              <w:spacing w:before="40" w:after="40"/>
              <w:ind w:left="-108" w:right="132"/>
              <w:jc w:val="right"/>
              <w:rPr>
                <w:rFonts w:ascii="Arial" w:hAnsi="Arial" w:cs="Arial"/>
                <w:color w:val="000000"/>
                <w:sz w:val="18"/>
              </w:rPr>
            </w:pPr>
            <w:r>
              <w:rPr>
                <w:rFonts w:ascii="Arial" w:hAnsi="Arial" w:cs="Arial"/>
                <w:color w:val="000000"/>
                <w:sz w:val="18"/>
              </w:rPr>
              <w:t>$</w:t>
            </w:r>
            <w:r w:rsidR="00EF7606">
              <w:rPr>
                <w:rFonts w:ascii="Arial" w:hAnsi="Arial" w:cs="Arial"/>
                <w:color w:val="000000"/>
                <w:sz w:val="18"/>
              </w:rPr>
              <w:t>3</w:t>
            </w:r>
            <w:r>
              <w:rPr>
                <w:rFonts w:ascii="Arial" w:hAnsi="Arial" w:cs="Arial"/>
                <w:color w:val="000000"/>
                <w:sz w:val="18"/>
              </w:rPr>
              <w:t>,</w:t>
            </w:r>
            <w:r w:rsidR="00EF7606">
              <w:rPr>
                <w:rFonts w:ascii="Arial" w:hAnsi="Arial" w:cs="Arial"/>
                <w:color w:val="000000"/>
                <w:sz w:val="18"/>
              </w:rPr>
              <w:t>60</w:t>
            </w:r>
            <w:r>
              <w:rPr>
                <w:rFonts w:ascii="Arial" w:hAnsi="Arial" w:cs="Arial"/>
                <w:color w:val="000000"/>
                <w:sz w:val="18"/>
              </w:rPr>
              <w:t>0</w:t>
            </w:r>
          </w:p>
        </w:tc>
      </w:tr>
      <w:tr w:rsidR="00EF7606" w:rsidTr="00EF7606">
        <w:tc>
          <w:tcPr>
            <w:tcW w:w="2160" w:type="dxa"/>
            <w:vAlign w:val="center"/>
          </w:tcPr>
          <w:p w:rsidR="00CB332F" w:rsidRDefault="00CB332F" w:rsidP="00CB332F">
            <w:pPr>
              <w:keepLines/>
              <w:tabs>
                <w:tab w:val="left" w:pos="360"/>
              </w:tabs>
              <w:spacing w:before="40" w:after="40"/>
              <w:rPr>
                <w:rFonts w:ascii="Arial" w:hAnsi="Arial" w:cs="Arial"/>
                <w:color w:val="000000"/>
                <w:sz w:val="18"/>
              </w:rPr>
            </w:pPr>
            <w:r>
              <w:rPr>
                <w:rFonts w:ascii="Arial" w:hAnsi="Arial" w:cs="Arial"/>
                <w:color w:val="000000"/>
                <w:sz w:val="18"/>
              </w:rPr>
              <w:t>Recordkeeping</w:t>
            </w:r>
          </w:p>
        </w:tc>
        <w:tc>
          <w:tcPr>
            <w:tcW w:w="990" w:type="dxa"/>
            <w:vAlign w:val="center"/>
          </w:tcPr>
          <w:p w:rsidR="00CB332F" w:rsidRDefault="00EF7606" w:rsidP="00CB332F">
            <w:pPr>
              <w:keepLines/>
              <w:tabs>
                <w:tab w:val="left" w:pos="360"/>
              </w:tabs>
              <w:spacing w:before="40" w:after="40"/>
              <w:jc w:val="center"/>
              <w:rPr>
                <w:rFonts w:ascii="Arial" w:hAnsi="Arial" w:cs="Arial"/>
                <w:color w:val="000000"/>
                <w:sz w:val="18"/>
              </w:rPr>
            </w:pPr>
            <w:r>
              <w:rPr>
                <w:rFonts w:ascii="Arial" w:hAnsi="Arial" w:cs="Arial"/>
                <w:color w:val="000000"/>
                <w:sz w:val="18"/>
              </w:rPr>
              <w:t>5</w:t>
            </w:r>
          </w:p>
        </w:tc>
        <w:tc>
          <w:tcPr>
            <w:tcW w:w="1350" w:type="dxa"/>
            <w:vAlign w:val="center"/>
          </w:tcPr>
          <w:p w:rsidR="00CB332F" w:rsidRDefault="00CB332F" w:rsidP="00CB332F">
            <w:pPr>
              <w:keepLines/>
              <w:tabs>
                <w:tab w:val="left" w:pos="360"/>
              </w:tabs>
              <w:spacing w:before="40" w:after="40"/>
              <w:jc w:val="center"/>
              <w:rPr>
                <w:rFonts w:ascii="Arial" w:hAnsi="Arial" w:cs="Arial"/>
                <w:color w:val="000000"/>
                <w:sz w:val="18"/>
              </w:rPr>
            </w:pPr>
            <w:r>
              <w:rPr>
                <w:rFonts w:ascii="Arial" w:hAnsi="Arial" w:cs="Arial"/>
                <w:color w:val="000000"/>
                <w:sz w:val="18"/>
              </w:rPr>
              <w:t>8</w:t>
            </w:r>
          </w:p>
        </w:tc>
        <w:tc>
          <w:tcPr>
            <w:tcW w:w="1170" w:type="dxa"/>
            <w:vAlign w:val="center"/>
          </w:tcPr>
          <w:p w:rsidR="00CB332F" w:rsidRDefault="00CB332F" w:rsidP="00CB332F">
            <w:pPr>
              <w:keepLines/>
              <w:tabs>
                <w:tab w:val="left" w:pos="360"/>
              </w:tabs>
              <w:spacing w:before="40" w:after="40"/>
              <w:jc w:val="center"/>
              <w:rPr>
                <w:rFonts w:ascii="Arial" w:hAnsi="Arial" w:cs="Arial"/>
                <w:color w:val="000000"/>
                <w:sz w:val="18"/>
              </w:rPr>
            </w:pPr>
            <w:r>
              <w:rPr>
                <w:rFonts w:ascii="Arial" w:hAnsi="Arial" w:cs="Arial"/>
                <w:color w:val="000000"/>
                <w:sz w:val="18"/>
              </w:rPr>
              <w:t>12</w:t>
            </w:r>
          </w:p>
        </w:tc>
        <w:tc>
          <w:tcPr>
            <w:tcW w:w="1260" w:type="dxa"/>
            <w:vAlign w:val="center"/>
          </w:tcPr>
          <w:p w:rsidR="00CB332F" w:rsidRDefault="00EF7606" w:rsidP="00CB332F">
            <w:pPr>
              <w:keepLines/>
              <w:tabs>
                <w:tab w:val="left" w:pos="360"/>
              </w:tabs>
              <w:spacing w:before="40" w:after="40"/>
              <w:ind w:right="252"/>
              <w:jc w:val="right"/>
              <w:rPr>
                <w:rFonts w:ascii="Arial" w:hAnsi="Arial" w:cs="Arial"/>
                <w:color w:val="000000"/>
                <w:sz w:val="18"/>
              </w:rPr>
            </w:pPr>
            <w:r>
              <w:rPr>
                <w:rFonts w:ascii="Arial" w:hAnsi="Arial" w:cs="Arial"/>
                <w:color w:val="000000"/>
                <w:sz w:val="18"/>
              </w:rPr>
              <w:t>480</w:t>
            </w:r>
          </w:p>
        </w:tc>
        <w:tc>
          <w:tcPr>
            <w:tcW w:w="810" w:type="dxa"/>
            <w:vAlign w:val="center"/>
          </w:tcPr>
          <w:p w:rsidR="00CB332F" w:rsidRDefault="00CB332F" w:rsidP="00EF7606">
            <w:pPr>
              <w:keepLines/>
              <w:tabs>
                <w:tab w:val="left" w:pos="360"/>
              </w:tabs>
              <w:spacing w:before="40" w:after="40"/>
              <w:jc w:val="center"/>
              <w:rPr>
                <w:rFonts w:ascii="Arial" w:hAnsi="Arial" w:cs="Arial"/>
                <w:color w:val="000000"/>
                <w:sz w:val="18"/>
              </w:rPr>
            </w:pPr>
            <w:r>
              <w:rPr>
                <w:rFonts w:ascii="Arial" w:hAnsi="Arial" w:cs="Arial"/>
                <w:color w:val="000000"/>
                <w:sz w:val="18"/>
              </w:rPr>
              <w:t>$</w:t>
            </w:r>
            <w:r w:rsidR="00EF7606">
              <w:rPr>
                <w:rFonts w:ascii="Arial" w:hAnsi="Arial" w:cs="Arial"/>
                <w:color w:val="000000"/>
                <w:sz w:val="18"/>
              </w:rPr>
              <w:t>45</w:t>
            </w:r>
          </w:p>
        </w:tc>
        <w:tc>
          <w:tcPr>
            <w:tcW w:w="1350" w:type="dxa"/>
            <w:vAlign w:val="center"/>
          </w:tcPr>
          <w:p w:rsidR="00CB332F" w:rsidRDefault="00CB332F" w:rsidP="00EF7606">
            <w:pPr>
              <w:keepLines/>
              <w:tabs>
                <w:tab w:val="left" w:pos="360"/>
              </w:tabs>
              <w:spacing w:before="40" w:after="40"/>
              <w:ind w:left="-108" w:right="132"/>
              <w:jc w:val="right"/>
              <w:rPr>
                <w:rFonts w:ascii="Arial" w:hAnsi="Arial" w:cs="Arial"/>
                <w:color w:val="000000"/>
                <w:sz w:val="18"/>
              </w:rPr>
            </w:pPr>
            <w:r>
              <w:rPr>
                <w:rFonts w:ascii="Arial" w:hAnsi="Arial" w:cs="Arial"/>
                <w:color w:val="000000"/>
                <w:sz w:val="18"/>
              </w:rPr>
              <w:t>$</w:t>
            </w:r>
            <w:r w:rsidR="00EF7606">
              <w:rPr>
                <w:rFonts w:ascii="Arial" w:hAnsi="Arial" w:cs="Arial"/>
                <w:color w:val="000000"/>
                <w:sz w:val="18"/>
              </w:rPr>
              <w:t>21</w:t>
            </w:r>
            <w:r>
              <w:rPr>
                <w:rFonts w:ascii="Arial" w:hAnsi="Arial" w:cs="Arial"/>
                <w:color w:val="000000"/>
                <w:sz w:val="18"/>
              </w:rPr>
              <w:t>,</w:t>
            </w:r>
            <w:r w:rsidR="00EF7606">
              <w:rPr>
                <w:rFonts w:ascii="Arial" w:hAnsi="Arial" w:cs="Arial"/>
                <w:color w:val="000000"/>
                <w:sz w:val="18"/>
              </w:rPr>
              <w:t>60</w:t>
            </w:r>
            <w:r w:rsidR="005448C2">
              <w:rPr>
                <w:rFonts w:ascii="Arial" w:hAnsi="Arial" w:cs="Arial"/>
                <w:color w:val="000000"/>
                <w:sz w:val="18"/>
              </w:rPr>
              <w:t>0</w:t>
            </w:r>
          </w:p>
        </w:tc>
      </w:tr>
      <w:tr w:rsidR="00EF7606" w:rsidTr="00EF7606">
        <w:tc>
          <w:tcPr>
            <w:tcW w:w="2160" w:type="dxa"/>
            <w:shd w:val="clear" w:color="auto" w:fill="A6A6A6" w:themeFill="background1" w:themeFillShade="A6"/>
            <w:vAlign w:val="center"/>
          </w:tcPr>
          <w:p w:rsidR="00CB332F" w:rsidRPr="00EF7606" w:rsidRDefault="00CB332F" w:rsidP="00CB332F">
            <w:pPr>
              <w:pStyle w:val="Heading4"/>
              <w:spacing w:before="40" w:after="40"/>
              <w:rPr>
                <w:rFonts w:ascii="Arial" w:hAnsi="Arial" w:cs="Arial"/>
                <w:bCs w:val="0"/>
                <w:color w:val="FFFFFF" w:themeColor="background1"/>
                <w:sz w:val="18"/>
              </w:rPr>
            </w:pPr>
            <w:r w:rsidRPr="00EF7606">
              <w:rPr>
                <w:rFonts w:ascii="Arial" w:hAnsi="Arial" w:cs="Arial"/>
                <w:bCs w:val="0"/>
                <w:color w:val="FFFFFF" w:themeColor="background1"/>
                <w:sz w:val="18"/>
              </w:rPr>
              <w:t>TOTAL</w:t>
            </w:r>
          </w:p>
        </w:tc>
        <w:tc>
          <w:tcPr>
            <w:tcW w:w="990" w:type="dxa"/>
            <w:shd w:val="clear" w:color="auto" w:fill="A6A6A6" w:themeFill="background1" w:themeFillShade="A6"/>
            <w:vAlign w:val="center"/>
          </w:tcPr>
          <w:p w:rsidR="00CB332F" w:rsidRPr="00EF7606" w:rsidRDefault="00CB332F" w:rsidP="00CB332F">
            <w:pPr>
              <w:keepLines/>
              <w:tabs>
                <w:tab w:val="left" w:pos="360"/>
              </w:tabs>
              <w:spacing w:before="40" w:after="40"/>
              <w:jc w:val="center"/>
              <w:rPr>
                <w:rFonts w:ascii="Arial" w:hAnsi="Arial" w:cs="Arial"/>
                <w:b/>
                <w:color w:val="FFFFFF" w:themeColor="background1"/>
                <w:sz w:val="18"/>
              </w:rPr>
            </w:pPr>
          </w:p>
        </w:tc>
        <w:tc>
          <w:tcPr>
            <w:tcW w:w="1350" w:type="dxa"/>
            <w:shd w:val="clear" w:color="auto" w:fill="A6A6A6" w:themeFill="background1" w:themeFillShade="A6"/>
            <w:vAlign w:val="center"/>
          </w:tcPr>
          <w:p w:rsidR="00CB332F" w:rsidRPr="00EF7606" w:rsidRDefault="00CB332F" w:rsidP="00CB332F">
            <w:pPr>
              <w:keepLines/>
              <w:tabs>
                <w:tab w:val="left" w:pos="360"/>
              </w:tabs>
              <w:spacing w:before="40" w:after="40"/>
              <w:jc w:val="center"/>
              <w:rPr>
                <w:rFonts w:ascii="Arial" w:hAnsi="Arial" w:cs="Arial"/>
                <w:b/>
                <w:color w:val="FFFFFF" w:themeColor="background1"/>
                <w:sz w:val="18"/>
              </w:rPr>
            </w:pPr>
          </w:p>
        </w:tc>
        <w:tc>
          <w:tcPr>
            <w:tcW w:w="1170" w:type="dxa"/>
            <w:shd w:val="clear" w:color="auto" w:fill="A6A6A6" w:themeFill="background1" w:themeFillShade="A6"/>
            <w:vAlign w:val="center"/>
          </w:tcPr>
          <w:p w:rsidR="00CB332F" w:rsidRPr="00EF7606" w:rsidRDefault="00CB332F" w:rsidP="00CB332F">
            <w:pPr>
              <w:keepLines/>
              <w:tabs>
                <w:tab w:val="left" w:pos="360"/>
              </w:tabs>
              <w:spacing w:before="40" w:after="40"/>
              <w:jc w:val="center"/>
              <w:rPr>
                <w:rFonts w:ascii="Arial" w:hAnsi="Arial" w:cs="Arial"/>
                <w:b/>
                <w:color w:val="FFFFFF" w:themeColor="background1"/>
                <w:sz w:val="18"/>
              </w:rPr>
            </w:pPr>
          </w:p>
        </w:tc>
        <w:tc>
          <w:tcPr>
            <w:tcW w:w="1260" w:type="dxa"/>
            <w:shd w:val="clear" w:color="auto" w:fill="A6A6A6" w:themeFill="background1" w:themeFillShade="A6"/>
            <w:vAlign w:val="center"/>
          </w:tcPr>
          <w:p w:rsidR="00CB332F" w:rsidRPr="00EF7606" w:rsidRDefault="00EF7606" w:rsidP="00CB332F">
            <w:pPr>
              <w:keepLines/>
              <w:tabs>
                <w:tab w:val="left" w:pos="360"/>
              </w:tabs>
              <w:spacing w:before="40" w:after="40"/>
              <w:ind w:right="252"/>
              <w:jc w:val="right"/>
              <w:rPr>
                <w:rFonts w:ascii="Arial" w:hAnsi="Arial" w:cs="Arial"/>
                <w:b/>
                <w:color w:val="FFFFFF" w:themeColor="background1"/>
                <w:sz w:val="18"/>
              </w:rPr>
            </w:pPr>
            <w:r w:rsidRPr="00EF7606">
              <w:rPr>
                <w:rFonts w:ascii="Arial" w:hAnsi="Arial" w:cs="Arial"/>
                <w:b/>
                <w:color w:val="FFFFFF" w:themeColor="background1"/>
                <w:sz w:val="18"/>
              </w:rPr>
              <w:t>734</w:t>
            </w:r>
          </w:p>
        </w:tc>
        <w:tc>
          <w:tcPr>
            <w:tcW w:w="810" w:type="dxa"/>
            <w:shd w:val="clear" w:color="auto" w:fill="A6A6A6" w:themeFill="background1" w:themeFillShade="A6"/>
            <w:vAlign w:val="center"/>
          </w:tcPr>
          <w:p w:rsidR="00CB332F" w:rsidRPr="00EF7606" w:rsidRDefault="00CB332F" w:rsidP="00CB332F">
            <w:pPr>
              <w:keepLines/>
              <w:tabs>
                <w:tab w:val="left" w:pos="360"/>
              </w:tabs>
              <w:spacing w:before="40" w:after="40"/>
              <w:jc w:val="center"/>
              <w:rPr>
                <w:rFonts w:ascii="Arial" w:hAnsi="Arial" w:cs="Arial"/>
                <w:b/>
                <w:color w:val="FFFFFF" w:themeColor="background1"/>
                <w:sz w:val="18"/>
              </w:rPr>
            </w:pPr>
          </w:p>
        </w:tc>
        <w:tc>
          <w:tcPr>
            <w:tcW w:w="1350" w:type="dxa"/>
            <w:shd w:val="clear" w:color="auto" w:fill="A6A6A6" w:themeFill="background1" w:themeFillShade="A6"/>
            <w:vAlign w:val="center"/>
          </w:tcPr>
          <w:p w:rsidR="00CB332F" w:rsidRPr="00EF7606" w:rsidRDefault="00CB332F" w:rsidP="00EF7606">
            <w:pPr>
              <w:keepLines/>
              <w:tabs>
                <w:tab w:val="left" w:pos="360"/>
              </w:tabs>
              <w:spacing w:before="40" w:after="40"/>
              <w:ind w:left="-108" w:right="132"/>
              <w:jc w:val="right"/>
              <w:rPr>
                <w:rFonts w:ascii="Arial" w:hAnsi="Arial" w:cs="Arial"/>
                <w:b/>
                <w:color w:val="FFFFFF" w:themeColor="background1"/>
                <w:sz w:val="18"/>
              </w:rPr>
            </w:pPr>
            <w:r w:rsidRPr="00EF7606">
              <w:rPr>
                <w:rFonts w:ascii="Arial" w:hAnsi="Arial" w:cs="Arial"/>
                <w:b/>
                <w:color w:val="FFFFFF" w:themeColor="background1"/>
                <w:sz w:val="18"/>
              </w:rPr>
              <w:t>$</w:t>
            </w:r>
            <w:r w:rsidR="00EF7606" w:rsidRPr="00EF7606">
              <w:rPr>
                <w:rFonts w:ascii="Arial" w:hAnsi="Arial" w:cs="Arial"/>
                <w:b/>
                <w:color w:val="FFFFFF" w:themeColor="background1"/>
                <w:sz w:val="18"/>
              </w:rPr>
              <w:t>32</w:t>
            </w:r>
            <w:r w:rsidRPr="00EF7606">
              <w:rPr>
                <w:rFonts w:ascii="Arial" w:hAnsi="Arial" w:cs="Arial"/>
                <w:b/>
                <w:color w:val="FFFFFF" w:themeColor="background1"/>
                <w:sz w:val="18"/>
              </w:rPr>
              <w:t>,</w:t>
            </w:r>
            <w:r w:rsidR="00EF7606" w:rsidRPr="00EF7606">
              <w:rPr>
                <w:rFonts w:ascii="Arial" w:hAnsi="Arial" w:cs="Arial"/>
                <w:b/>
                <w:color w:val="FFFFFF" w:themeColor="background1"/>
                <w:sz w:val="18"/>
              </w:rPr>
              <w:t>580</w:t>
            </w:r>
          </w:p>
        </w:tc>
      </w:tr>
    </w:tbl>
    <w:p w:rsidR="00826101" w:rsidRDefault="00826101"/>
    <w:p w:rsidR="007A22F4" w:rsidRDefault="007A22F4" w:rsidP="007A22F4">
      <w:pPr>
        <w:pStyle w:val="AbtHeadB"/>
      </w:pPr>
      <w:bookmarkStart w:id="56" w:name="_Toc224972118"/>
      <w:bookmarkStart w:id="57" w:name="_Toc233444291"/>
      <w:bookmarkStart w:id="58" w:name="_Toc291677945"/>
      <w:r>
        <w:t>A15</w:t>
      </w:r>
      <w:r>
        <w:tab/>
        <w:t>Program or Burden Changes</w:t>
      </w:r>
      <w:bookmarkEnd w:id="56"/>
      <w:bookmarkEnd w:id="57"/>
      <w:bookmarkEnd w:id="58"/>
    </w:p>
    <w:p w:rsidR="007A22F4" w:rsidRDefault="007A22F4" w:rsidP="007A22F4">
      <w:pPr>
        <w:keepLines/>
        <w:tabs>
          <w:tab w:val="left" w:pos="0"/>
        </w:tabs>
        <w:spacing w:after="80"/>
        <w:rPr>
          <w:rFonts w:ascii="Arial" w:hAnsi="Arial"/>
          <w:i/>
          <w:color w:val="000000"/>
        </w:rPr>
      </w:pPr>
      <w:r>
        <w:rPr>
          <w:rFonts w:ascii="Arial" w:hAnsi="Arial"/>
          <w:i/>
          <w:color w:val="000000"/>
        </w:rPr>
        <w:t xml:space="preserve">Explain any program changes or adjustments in burden. </w:t>
      </w:r>
    </w:p>
    <w:p w:rsidR="007A22F4" w:rsidRDefault="007A22F4" w:rsidP="007A22F4">
      <w:pPr>
        <w:rPr>
          <w:spacing w:val="-2"/>
        </w:rPr>
      </w:pPr>
    </w:p>
    <w:p w:rsidR="007A22F4" w:rsidRDefault="00E64D7E" w:rsidP="007A22F4">
      <w:r>
        <w:t>This is a new information collection package.</w:t>
      </w:r>
    </w:p>
    <w:p w:rsidR="007A22F4" w:rsidRDefault="007A22F4" w:rsidP="007A22F4"/>
    <w:p w:rsidR="007A22F4" w:rsidRDefault="007A22F4" w:rsidP="007A22F4">
      <w:pPr>
        <w:pStyle w:val="AbtHeadB"/>
      </w:pPr>
      <w:bookmarkStart w:id="59" w:name="_Toc224972119"/>
      <w:bookmarkStart w:id="60" w:name="_Toc233444292"/>
      <w:bookmarkStart w:id="61" w:name="_Toc291677946"/>
      <w:r>
        <w:t>A16</w:t>
      </w:r>
      <w:r>
        <w:tab/>
        <w:t>Publication and Tabulation Dates</w:t>
      </w:r>
      <w:bookmarkEnd w:id="59"/>
      <w:bookmarkEnd w:id="60"/>
      <w:bookmarkEnd w:id="61"/>
    </w:p>
    <w:p w:rsidR="007A22F4" w:rsidRDefault="007A22F4" w:rsidP="00FA1CC5">
      <w:pPr>
        <w:rPr>
          <w:i/>
        </w:rPr>
      </w:pPr>
      <w:bookmarkStart w:id="62" w:name="_Toc224972120"/>
      <w:r w:rsidRPr="00FA1CC5">
        <w:rPr>
          <w:i/>
        </w:rPr>
        <w:t>If the information will be published, outline plans for tabulation and publication</w:t>
      </w:r>
      <w:bookmarkEnd w:id="62"/>
      <w:r w:rsidRPr="00FA1CC5">
        <w:rPr>
          <w:i/>
        </w:rPr>
        <w:t>.</w:t>
      </w:r>
    </w:p>
    <w:p w:rsidR="00FA1CC5" w:rsidRPr="00FA1CC5" w:rsidRDefault="00FA1CC5" w:rsidP="00FA1CC5">
      <w:pPr>
        <w:rPr>
          <w:i/>
        </w:rPr>
      </w:pPr>
    </w:p>
    <w:p w:rsidR="00ED7E08" w:rsidRDefault="00921819" w:rsidP="007A22F4">
      <w:pPr>
        <w:rPr>
          <w:highlight w:val="yellow"/>
        </w:rPr>
      </w:pPr>
      <w:r w:rsidRPr="00921819">
        <w:t xml:space="preserve">The information submitted is not published.  Notice of the competition winners are published in the Federal Register approximately six months after receipt of applications.  </w:t>
      </w:r>
    </w:p>
    <w:p w:rsidR="007A22F4" w:rsidRDefault="007A22F4" w:rsidP="007A22F4">
      <w:pPr>
        <w:rPr>
          <w:rFonts w:ascii="Arial" w:hAnsi="Arial"/>
          <w:b/>
        </w:rPr>
      </w:pPr>
    </w:p>
    <w:p w:rsidR="007A22F4" w:rsidRDefault="007A22F4" w:rsidP="007A22F4">
      <w:pPr>
        <w:pStyle w:val="AbtHeadBOutlined"/>
        <w:tabs>
          <w:tab w:val="clear" w:pos="720"/>
        </w:tabs>
        <w:ind w:left="0" w:firstLine="0"/>
      </w:pPr>
      <w:bookmarkStart w:id="63" w:name="_Toc224972122"/>
      <w:bookmarkStart w:id="64" w:name="_Toc233444293"/>
      <w:bookmarkStart w:id="65" w:name="_Toc291677947"/>
      <w:r>
        <w:lastRenderedPageBreak/>
        <w:t>A17</w:t>
      </w:r>
      <w:r>
        <w:tab/>
        <w:t>Expiration Date</w:t>
      </w:r>
      <w:bookmarkEnd w:id="63"/>
      <w:bookmarkEnd w:id="64"/>
      <w:bookmarkEnd w:id="65"/>
    </w:p>
    <w:p w:rsidR="007A22F4" w:rsidRDefault="007A22F4" w:rsidP="007A22F4">
      <w:pPr>
        <w:keepLines/>
        <w:tabs>
          <w:tab w:val="left" w:pos="0"/>
        </w:tabs>
        <w:rPr>
          <w:rFonts w:ascii="Arial" w:hAnsi="Arial"/>
          <w:i/>
          <w:color w:val="000000"/>
        </w:rPr>
      </w:pPr>
      <w:r>
        <w:rPr>
          <w:rFonts w:ascii="Arial" w:hAnsi="Arial"/>
          <w:i/>
          <w:color w:val="000000"/>
        </w:rPr>
        <w:t xml:space="preserve">Explain any request to not display the expiration date. </w:t>
      </w:r>
    </w:p>
    <w:p w:rsidR="007A22F4" w:rsidRDefault="007A22F4" w:rsidP="007A22F4">
      <w:pPr>
        <w:pStyle w:val="BodyTextIndent"/>
        <w:ind w:left="0"/>
      </w:pPr>
    </w:p>
    <w:p w:rsidR="007A22F4" w:rsidRDefault="007A22F4" w:rsidP="007A22F4">
      <w:pPr>
        <w:pStyle w:val="BodyTextIndent"/>
        <w:ind w:left="0"/>
      </w:pPr>
      <w:r w:rsidRPr="00E9087D">
        <w:t>The OMB expiration date will be displayed on all data collection instruments.  No exceptions are requested.</w:t>
      </w:r>
    </w:p>
    <w:p w:rsidR="007A22F4" w:rsidRDefault="007A22F4" w:rsidP="007A22F4">
      <w:pPr>
        <w:ind w:left="360"/>
      </w:pPr>
    </w:p>
    <w:p w:rsidR="007A22F4" w:rsidRDefault="007A22F4" w:rsidP="007A22F4">
      <w:pPr>
        <w:pStyle w:val="AbtHeadBOutlined"/>
        <w:tabs>
          <w:tab w:val="clear" w:pos="720"/>
        </w:tabs>
        <w:ind w:left="0" w:firstLine="0"/>
      </w:pPr>
      <w:bookmarkStart w:id="66" w:name="_Toc224972123"/>
      <w:bookmarkStart w:id="67" w:name="_Toc233444294"/>
      <w:bookmarkStart w:id="68" w:name="_Toc291677948"/>
      <w:r>
        <w:t>A18</w:t>
      </w:r>
      <w:r>
        <w:tab/>
        <w:t>Certification Statement</w:t>
      </w:r>
      <w:bookmarkEnd w:id="66"/>
      <w:bookmarkEnd w:id="67"/>
      <w:bookmarkEnd w:id="68"/>
    </w:p>
    <w:p w:rsidR="007A22F4" w:rsidRDefault="007A22F4" w:rsidP="007A22F4">
      <w:pPr>
        <w:keepLines/>
        <w:tabs>
          <w:tab w:val="left" w:pos="360"/>
        </w:tabs>
        <w:spacing w:after="80"/>
        <w:ind w:left="360" w:hanging="360"/>
        <w:rPr>
          <w:rFonts w:ascii="Arial" w:hAnsi="Arial"/>
          <w:i/>
          <w:color w:val="000000"/>
        </w:rPr>
      </w:pPr>
      <w:r>
        <w:rPr>
          <w:rFonts w:ascii="Arial" w:hAnsi="Arial"/>
          <w:i/>
          <w:color w:val="000000"/>
        </w:rPr>
        <w:t>Explain each exception to the certification statement identified in item 19.</w:t>
      </w:r>
    </w:p>
    <w:p w:rsidR="007A22F4" w:rsidRDefault="007A22F4" w:rsidP="007A22F4">
      <w:pPr>
        <w:pStyle w:val="BodyText"/>
      </w:pPr>
    </w:p>
    <w:p w:rsidR="00E9087D" w:rsidRDefault="007A22F4" w:rsidP="007A22F4">
      <w:pPr>
        <w:pStyle w:val="BodyTextIndent"/>
        <w:ind w:left="0"/>
      </w:pPr>
      <w:r w:rsidRPr="00E9087D">
        <w:t>There are no exceptions to the certification.</w:t>
      </w:r>
    </w:p>
    <w:sectPr w:rsidR="00E9087D" w:rsidSect="00730813">
      <w:head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C35" w:rsidRDefault="00526C35">
      <w:r>
        <w:separator/>
      </w:r>
    </w:p>
  </w:endnote>
  <w:endnote w:type="continuationSeparator" w:id="0">
    <w:p w:rsidR="00526C35" w:rsidRDefault="00526C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12A" w:rsidRDefault="0031412A">
    <w:pPr>
      <w:pStyle w:val="Footer"/>
      <w:pBdr>
        <w:top w:val="single" w:sz="8" w:space="1"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12A" w:rsidRPr="00EF68D7" w:rsidRDefault="0031412A" w:rsidP="00BD56EF">
    <w:pPr>
      <w:pStyle w:val="Footer"/>
      <w:pBdr>
        <w:top w:val="single" w:sz="8" w:space="1" w:color="auto"/>
      </w:pBdr>
      <w:tabs>
        <w:tab w:val="clear" w:pos="7560"/>
        <w:tab w:val="clear" w:pos="9000"/>
        <w:tab w:val="right" w:pos="8470"/>
        <w:tab w:val="right" w:pos="9360"/>
      </w:tabs>
      <w:rPr>
        <w:spacing w:val="-4"/>
      </w:rPr>
    </w:pPr>
    <w:r w:rsidRPr="00102086">
      <w:rPr>
        <w:spacing w:val="-4"/>
        <w:sz w:val="17"/>
        <w:szCs w:val="17"/>
      </w:rPr>
      <w:t xml:space="preserve">OMB Paperwork Reduction Act Submission: </w:t>
    </w:r>
    <w:r w:rsidRPr="00A87584">
      <w:rPr>
        <w:spacing w:val="-4"/>
        <w:sz w:val="17"/>
        <w:szCs w:val="17"/>
      </w:rPr>
      <w:t xml:space="preserve">Data Collection and Reporting for HUD’s CoC </w:t>
    </w:r>
    <w:r>
      <w:rPr>
        <w:spacing w:val="-4"/>
        <w:sz w:val="17"/>
        <w:szCs w:val="17"/>
      </w:rPr>
      <w:t>Check-up</w:t>
    </w:r>
    <w:r w:rsidRPr="00A87584">
      <w:rPr>
        <w:spacing w:val="-4"/>
        <w:sz w:val="17"/>
        <w:szCs w:val="17"/>
      </w:rPr>
      <w:t xml:space="preserve"> Assessment Tool</w:t>
    </w:r>
    <w:r>
      <w:rPr>
        <w:spacing w:val="-4"/>
        <w:sz w:val="17"/>
        <w:szCs w:val="17"/>
      </w:rPr>
      <w:t xml:space="preserve">  </w:t>
    </w:r>
    <w:r w:rsidRPr="00EF68D7">
      <w:rPr>
        <w:spacing w:val="-4"/>
      </w:rPr>
      <w:tab/>
    </w:r>
    <w:r w:rsidR="005B7C99" w:rsidRPr="00EF68D7">
      <w:rPr>
        <w:rStyle w:val="PageNumber"/>
        <w:spacing w:val="-4"/>
      </w:rPr>
      <w:fldChar w:fldCharType="begin"/>
    </w:r>
    <w:r w:rsidRPr="00EF68D7">
      <w:rPr>
        <w:rStyle w:val="PageNumber"/>
        <w:spacing w:val="-4"/>
      </w:rPr>
      <w:instrText xml:space="preserve"> PAGE </w:instrText>
    </w:r>
    <w:r w:rsidR="005B7C99" w:rsidRPr="00EF68D7">
      <w:rPr>
        <w:rStyle w:val="PageNumber"/>
        <w:spacing w:val="-4"/>
      </w:rPr>
      <w:fldChar w:fldCharType="separate"/>
    </w:r>
    <w:r w:rsidR="00F65C92">
      <w:rPr>
        <w:rStyle w:val="PageNumber"/>
        <w:noProof/>
        <w:spacing w:val="-4"/>
      </w:rPr>
      <w:t>6</w:t>
    </w:r>
    <w:r w:rsidR="005B7C99" w:rsidRPr="00EF68D7">
      <w:rPr>
        <w:rStyle w:val="PageNumber"/>
        <w:spacing w:val="-4"/>
      </w:rPr>
      <w:fldChar w:fldCharType="end"/>
    </w:r>
  </w:p>
  <w:p w:rsidR="0031412A" w:rsidRDefault="0031412A">
    <w:pPr>
      <w:pStyle w:val="Footer"/>
      <w:pBdr>
        <w:top w:val="single" w:sz="8" w:space="1"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C35" w:rsidRDefault="00526C35">
      <w:r>
        <w:separator/>
      </w:r>
    </w:p>
  </w:footnote>
  <w:footnote w:type="continuationSeparator" w:id="0">
    <w:p w:rsidR="00526C35" w:rsidRDefault="00526C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12A" w:rsidRDefault="003141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CC8C26A"/>
    <w:lvl w:ilvl="0">
      <w:numFmt w:val="bullet"/>
      <w:lvlText w:val="*"/>
      <w:lvlJc w:val="left"/>
    </w:lvl>
  </w:abstractNum>
  <w:abstractNum w:abstractNumId="1">
    <w:nsid w:val="03B43981"/>
    <w:multiLevelType w:val="hybridMultilevel"/>
    <w:tmpl w:val="7F58D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C13785"/>
    <w:multiLevelType w:val="hybridMultilevel"/>
    <w:tmpl w:val="4DCE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94DE3"/>
    <w:multiLevelType w:val="hybridMultilevel"/>
    <w:tmpl w:val="77D22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D90EA7"/>
    <w:multiLevelType w:val="hybridMultilevel"/>
    <w:tmpl w:val="930EF22E"/>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14970CDD"/>
    <w:multiLevelType w:val="multilevel"/>
    <w:tmpl w:val="7B5618A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79B4922"/>
    <w:multiLevelType w:val="hybridMultilevel"/>
    <w:tmpl w:val="A0B012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16123C"/>
    <w:multiLevelType w:val="hybridMultilevel"/>
    <w:tmpl w:val="1458CD4C"/>
    <w:lvl w:ilvl="0" w:tplc="7F4E6A1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FD127B"/>
    <w:multiLevelType w:val="hybridMultilevel"/>
    <w:tmpl w:val="6CAEC2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AEC5AFE"/>
    <w:multiLevelType w:val="multilevel"/>
    <w:tmpl w:val="3266FC9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30990827"/>
    <w:multiLevelType w:val="hybridMultilevel"/>
    <w:tmpl w:val="D0D4C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692DB1"/>
    <w:multiLevelType w:val="hybridMultilevel"/>
    <w:tmpl w:val="9960A1E2"/>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nsid w:val="34321849"/>
    <w:multiLevelType w:val="multilevel"/>
    <w:tmpl w:val="D6B4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C56D23"/>
    <w:multiLevelType w:val="hybridMultilevel"/>
    <w:tmpl w:val="FF006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3C8204C"/>
    <w:multiLevelType w:val="hybridMultilevel"/>
    <w:tmpl w:val="5AC48C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6253978"/>
    <w:multiLevelType w:val="hybridMultilevel"/>
    <w:tmpl w:val="F17CB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8DF61F9"/>
    <w:multiLevelType w:val="multilevel"/>
    <w:tmpl w:val="A37C4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B731C2"/>
    <w:multiLevelType w:val="hybridMultilevel"/>
    <w:tmpl w:val="7EF2A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67504D2"/>
    <w:multiLevelType w:val="hybridMultilevel"/>
    <w:tmpl w:val="4634A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0AB3ADC"/>
    <w:multiLevelType w:val="hybridMultilevel"/>
    <w:tmpl w:val="AF98CDDA"/>
    <w:lvl w:ilvl="0" w:tplc="FFFFFFFF">
      <w:start w:val="1"/>
      <w:numFmt w:val="bullet"/>
      <w:lvlText w:val="o"/>
      <w:lvlJc w:val="left"/>
      <w:pPr>
        <w:tabs>
          <w:tab w:val="num" w:pos="360"/>
        </w:tabs>
        <w:ind w:left="360" w:hanging="360"/>
      </w:pPr>
      <w:rPr>
        <w:rFonts w:ascii="Courier New" w:hAnsi="Courier New" w:cs="Courier New"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nsid w:val="67D05FB6"/>
    <w:multiLevelType w:val="hybridMultilevel"/>
    <w:tmpl w:val="AA727AA6"/>
    <w:lvl w:ilvl="0" w:tplc="76286EAA">
      <w:numFmt w:val="bullet"/>
      <w:lvlText w:val="•"/>
      <w:lvlJc w:val="left"/>
      <w:pPr>
        <w:ind w:left="2160" w:hanging="720"/>
      </w:pPr>
      <w:rPr>
        <w:rFonts w:ascii="Times New Roman" w:eastAsiaTheme="minorEastAsia" w:hAnsi="Times New Roman" w:cs="Times New Roman" w:hint="default"/>
        <w:sz w:val="24"/>
      </w:rPr>
    </w:lvl>
    <w:lvl w:ilvl="1" w:tplc="76286EAA">
      <w:numFmt w:val="bullet"/>
      <w:lvlText w:val="•"/>
      <w:lvlJc w:val="left"/>
      <w:pPr>
        <w:ind w:left="1440" w:hanging="360"/>
      </w:pPr>
      <w:rPr>
        <w:rFonts w:ascii="Times New Roman" w:eastAsiaTheme="minorEastAsia" w:hAnsi="Times New Roman" w:cs="Times New Roman" w:hint="default"/>
        <w:sz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DE5561"/>
    <w:multiLevelType w:val="hybridMultilevel"/>
    <w:tmpl w:val="1396D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D884671"/>
    <w:multiLevelType w:val="hybridMultilevel"/>
    <w:tmpl w:val="C8DC2D20"/>
    <w:lvl w:ilvl="0" w:tplc="FFFFFFFF">
      <w:start w:val="1"/>
      <w:numFmt w:val="bullet"/>
      <w:lvlText w:val="o"/>
      <w:lvlJc w:val="left"/>
      <w:pPr>
        <w:tabs>
          <w:tab w:val="num" w:pos="360"/>
        </w:tabs>
        <w:ind w:left="360" w:hanging="360"/>
      </w:pPr>
      <w:rPr>
        <w:rFonts w:ascii="Courier New" w:hAnsi="Courier New" w:cs="Courier New"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nsid w:val="6E89542E"/>
    <w:multiLevelType w:val="hybridMultilevel"/>
    <w:tmpl w:val="7A28B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31D5DC0"/>
    <w:multiLevelType w:val="hybridMultilevel"/>
    <w:tmpl w:val="C554B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6B96D15"/>
    <w:multiLevelType w:val="multilevel"/>
    <w:tmpl w:val="40461E10"/>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
  </w:num>
  <w:num w:numId="2">
    <w:abstractNumId w:val="11"/>
  </w:num>
  <w:num w:numId="3">
    <w:abstractNumId w:val="19"/>
  </w:num>
  <w:num w:numId="4">
    <w:abstractNumId w:val="22"/>
  </w:num>
  <w:num w:numId="5">
    <w:abstractNumId w:val="1"/>
  </w:num>
  <w:num w:numId="6">
    <w:abstractNumId w:val="14"/>
  </w:num>
  <w:num w:numId="7">
    <w:abstractNumId w:val="0"/>
    <w:lvlOverride w:ilvl="0">
      <w:lvl w:ilvl="0">
        <w:numFmt w:val="bullet"/>
        <w:lvlText w:val="•"/>
        <w:legacy w:legacy="1" w:legacySpace="0" w:legacyIndent="0"/>
        <w:lvlJc w:val="left"/>
        <w:rPr>
          <w:rFonts w:ascii="Helv" w:hAnsi="Helv" w:hint="default"/>
        </w:rPr>
      </w:lvl>
    </w:lvlOverride>
  </w:num>
  <w:num w:numId="8">
    <w:abstractNumId w:val="23"/>
  </w:num>
  <w:num w:numId="9">
    <w:abstractNumId w:val="8"/>
  </w:num>
  <w:num w:numId="10">
    <w:abstractNumId w:val="12"/>
  </w:num>
  <w:num w:numId="11">
    <w:abstractNumId w:val="16"/>
  </w:num>
  <w:num w:numId="12">
    <w:abstractNumId w:val="10"/>
  </w:num>
  <w:num w:numId="13">
    <w:abstractNumId w:val="6"/>
  </w:num>
  <w:num w:numId="14">
    <w:abstractNumId w:val="7"/>
  </w:num>
  <w:num w:numId="15">
    <w:abstractNumId w:val="9"/>
  </w:num>
  <w:num w:numId="16">
    <w:abstractNumId w:val="24"/>
  </w:num>
  <w:num w:numId="17">
    <w:abstractNumId w:val="5"/>
  </w:num>
  <w:num w:numId="18">
    <w:abstractNumId w:val="25"/>
  </w:num>
  <w:num w:numId="19">
    <w:abstractNumId w:val="17"/>
  </w:num>
  <w:num w:numId="20">
    <w:abstractNumId w:val="13"/>
  </w:num>
  <w:num w:numId="21">
    <w:abstractNumId w:val="21"/>
  </w:num>
  <w:num w:numId="22">
    <w:abstractNumId w:val="15"/>
  </w:num>
  <w:num w:numId="23">
    <w:abstractNumId w:val="3"/>
  </w:num>
  <w:num w:numId="24">
    <w:abstractNumId w:val="18"/>
  </w:num>
  <w:num w:numId="25">
    <w:abstractNumId w:val="2"/>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E0445"/>
    <w:rsid w:val="00002B02"/>
    <w:rsid w:val="0002406C"/>
    <w:rsid w:val="000432EE"/>
    <w:rsid w:val="00043E67"/>
    <w:rsid w:val="00050A60"/>
    <w:rsid w:val="000732D7"/>
    <w:rsid w:val="00076B57"/>
    <w:rsid w:val="000826D1"/>
    <w:rsid w:val="000A1181"/>
    <w:rsid w:val="000B055A"/>
    <w:rsid w:val="000B6094"/>
    <w:rsid w:val="000E2FD9"/>
    <w:rsid w:val="000F490E"/>
    <w:rsid w:val="0010088C"/>
    <w:rsid w:val="001037BD"/>
    <w:rsid w:val="001356DA"/>
    <w:rsid w:val="00152939"/>
    <w:rsid w:val="00153E04"/>
    <w:rsid w:val="00163115"/>
    <w:rsid w:val="001726AA"/>
    <w:rsid w:val="00192E75"/>
    <w:rsid w:val="001B0523"/>
    <w:rsid w:val="001B0DC6"/>
    <w:rsid w:val="001B181D"/>
    <w:rsid w:val="001B48E5"/>
    <w:rsid w:val="001C6D1F"/>
    <w:rsid w:val="001D3C22"/>
    <w:rsid w:val="001F0C42"/>
    <w:rsid w:val="002076B0"/>
    <w:rsid w:val="00223A5A"/>
    <w:rsid w:val="00227612"/>
    <w:rsid w:val="00233B85"/>
    <w:rsid w:val="00234B4E"/>
    <w:rsid w:val="00235C00"/>
    <w:rsid w:val="00237E54"/>
    <w:rsid w:val="00242A7C"/>
    <w:rsid w:val="002520B7"/>
    <w:rsid w:val="00254C0F"/>
    <w:rsid w:val="002719B5"/>
    <w:rsid w:val="002720CE"/>
    <w:rsid w:val="002A7767"/>
    <w:rsid w:val="002A78B3"/>
    <w:rsid w:val="002B78F0"/>
    <w:rsid w:val="002C4031"/>
    <w:rsid w:val="002C613E"/>
    <w:rsid w:val="0031412A"/>
    <w:rsid w:val="00321A3B"/>
    <w:rsid w:val="00332E0E"/>
    <w:rsid w:val="00342D7D"/>
    <w:rsid w:val="003444D5"/>
    <w:rsid w:val="00365EF9"/>
    <w:rsid w:val="003A7CC1"/>
    <w:rsid w:val="003C4EF8"/>
    <w:rsid w:val="003F1CB4"/>
    <w:rsid w:val="003F7843"/>
    <w:rsid w:val="00407EA5"/>
    <w:rsid w:val="00416310"/>
    <w:rsid w:val="00420D05"/>
    <w:rsid w:val="004355C4"/>
    <w:rsid w:val="00437545"/>
    <w:rsid w:val="004443D8"/>
    <w:rsid w:val="00446C5B"/>
    <w:rsid w:val="004553A2"/>
    <w:rsid w:val="00456836"/>
    <w:rsid w:val="00457A7D"/>
    <w:rsid w:val="00466926"/>
    <w:rsid w:val="00484DC8"/>
    <w:rsid w:val="00494496"/>
    <w:rsid w:val="004A383A"/>
    <w:rsid w:val="004C7488"/>
    <w:rsid w:val="004C75C9"/>
    <w:rsid w:val="004E25F9"/>
    <w:rsid w:val="0052502F"/>
    <w:rsid w:val="00526C35"/>
    <w:rsid w:val="005339B0"/>
    <w:rsid w:val="00535FFC"/>
    <w:rsid w:val="005448C2"/>
    <w:rsid w:val="00552BEE"/>
    <w:rsid w:val="00581C7C"/>
    <w:rsid w:val="00597E35"/>
    <w:rsid w:val="005A1CA0"/>
    <w:rsid w:val="005B7C99"/>
    <w:rsid w:val="005C2A5F"/>
    <w:rsid w:val="005C693D"/>
    <w:rsid w:val="005D1EF8"/>
    <w:rsid w:val="005E4FD7"/>
    <w:rsid w:val="005F11AC"/>
    <w:rsid w:val="005F1B61"/>
    <w:rsid w:val="005F5CEC"/>
    <w:rsid w:val="005F6633"/>
    <w:rsid w:val="0060195A"/>
    <w:rsid w:val="006111C4"/>
    <w:rsid w:val="00616958"/>
    <w:rsid w:val="00656AD8"/>
    <w:rsid w:val="00664121"/>
    <w:rsid w:val="00672BED"/>
    <w:rsid w:val="00691CD2"/>
    <w:rsid w:val="006C0503"/>
    <w:rsid w:val="006D53AF"/>
    <w:rsid w:val="006F1A93"/>
    <w:rsid w:val="006F3A71"/>
    <w:rsid w:val="006F7A73"/>
    <w:rsid w:val="007156B2"/>
    <w:rsid w:val="00715F33"/>
    <w:rsid w:val="00726729"/>
    <w:rsid w:val="00730813"/>
    <w:rsid w:val="00732A31"/>
    <w:rsid w:val="007401E8"/>
    <w:rsid w:val="0076278D"/>
    <w:rsid w:val="007927F6"/>
    <w:rsid w:val="0079500C"/>
    <w:rsid w:val="007A22F4"/>
    <w:rsid w:val="007A435B"/>
    <w:rsid w:val="007C5C58"/>
    <w:rsid w:val="007E0060"/>
    <w:rsid w:val="007F08E8"/>
    <w:rsid w:val="00806A47"/>
    <w:rsid w:val="00817228"/>
    <w:rsid w:val="008249FE"/>
    <w:rsid w:val="008253A4"/>
    <w:rsid w:val="00825BF3"/>
    <w:rsid w:val="00826101"/>
    <w:rsid w:val="00832243"/>
    <w:rsid w:val="008365C4"/>
    <w:rsid w:val="00855ABA"/>
    <w:rsid w:val="00860645"/>
    <w:rsid w:val="00866B36"/>
    <w:rsid w:val="00867184"/>
    <w:rsid w:val="00881869"/>
    <w:rsid w:val="0088702D"/>
    <w:rsid w:val="008911D6"/>
    <w:rsid w:val="008A49FC"/>
    <w:rsid w:val="008B3E91"/>
    <w:rsid w:val="008C5424"/>
    <w:rsid w:val="008D2164"/>
    <w:rsid w:val="008D2C88"/>
    <w:rsid w:val="008D72D3"/>
    <w:rsid w:val="008E7A48"/>
    <w:rsid w:val="008F6ABD"/>
    <w:rsid w:val="00905CD0"/>
    <w:rsid w:val="00921819"/>
    <w:rsid w:val="00931E88"/>
    <w:rsid w:val="0093780C"/>
    <w:rsid w:val="00971038"/>
    <w:rsid w:val="00986BE8"/>
    <w:rsid w:val="009D0A7F"/>
    <w:rsid w:val="009D24EE"/>
    <w:rsid w:val="009D4614"/>
    <w:rsid w:val="009D6166"/>
    <w:rsid w:val="009E0445"/>
    <w:rsid w:val="009F3681"/>
    <w:rsid w:val="009F4BF2"/>
    <w:rsid w:val="009F5E18"/>
    <w:rsid w:val="009F6224"/>
    <w:rsid w:val="00A01E4B"/>
    <w:rsid w:val="00A0697A"/>
    <w:rsid w:val="00A10281"/>
    <w:rsid w:val="00A12DB6"/>
    <w:rsid w:val="00A1564B"/>
    <w:rsid w:val="00A245C6"/>
    <w:rsid w:val="00A24745"/>
    <w:rsid w:val="00A33187"/>
    <w:rsid w:val="00A426FC"/>
    <w:rsid w:val="00A5764B"/>
    <w:rsid w:val="00A713A2"/>
    <w:rsid w:val="00A74225"/>
    <w:rsid w:val="00A771A6"/>
    <w:rsid w:val="00A87584"/>
    <w:rsid w:val="00A875FA"/>
    <w:rsid w:val="00AA3517"/>
    <w:rsid w:val="00AB307B"/>
    <w:rsid w:val="00B023BC"/>
    <w:rsid w:val="00B13A1C"/>
    <w:rsid w:val="00B3626A"/>
    <w:rsid w:val="00B36BB8"/>
    <w:rsid w:val="00B52C6E"/>
    <w:rsid w:val="00B57A08"/>
    <w:rsid w:val="00B80E51"/>
    <w:rsid w:val="00B9202A"/>
    <w:rsid w:val="00B9288D"/>
    <w:rsid w:val="00BB6789"/>
    <w:rsid w:val="00BD56EF"/>
    <w:rsid w:val="00BE3C16"/>
    <w:rsid w:val="00BE75CD"/>
    <w:rsid w:val="00BF10DD"/>
    <w:rsid w:val="00BF313A"/>
    <w:rsid w:val="00C332E5"/>
    <w:rsid w:val="00C43145"/>
    <w:rsid w:val="00C4652F"/>
    <w:rsid w:val="00C50284"/>
    <w:rsid w:val="00C61374"/>
    <w:rsid w:val="00C86F32"/>
    <w:rsid w:val="00C92AFF"/>
    <w:rsid w:val="00CA19A1"/>
    <w:rsid w:val="00CA68D1"/>
    <w:rsid w:val="00CB332F"/>
    <w:rsid w:val="00CD51A1"/>
    <w:rsid w:val="00CF08D2"/>
    <w:rsid w:val="00CF1E88"/>
    <w:rsid w:val="00D05DE2"/>
    <w:rsid w:val="00D121D2"/>
    <w:rsid w:val="00D40071"/>
    <w:rsid w:val="00D45CA5"/>
    <w:rsid w:val="00D63D31"/>
    <w:rsid w:val="00D661AD"/>
    <w:rsid w:val="00D77C7C"/>
    <w:rsid w:val="00D8058E"/>
    <w:rsid w:val="00DC7B9B"/>
    <w:rsid w:val="00DE53CE"/>
    <w:rsid w:val="00DF71D5"/>
    <w:rsid w:val="00E3775D"/>
    <w:rsid w:val="00E42F55"/>
    <w:rsid w:val="00E5116E"/>
    <w:rsid w:val="00E60C59"/>
    <w:rsid w:val="00E6145B"/>
    <w:rsid w:val="00E64D7E"/>
    <w:rsid w:val="00E9087D"/>
    <w:rsid w:val="00E96792"/>
    <w:rsid w:val="00EB64E9"/>
    <w:rsid w:val="00ED7E08"/>
    <w:rsid w:val="00EF7606"/>
    <w:rsid w:val="00F230C5"/>
    <w:rsid w:val="00F23B8C"/>
    <w:rsid w:val="00F24D11"/>
    <w:rsid w:val="00F47567"/>
    <w:rsid w:val="00F65C92"/>
    <w:rsid w:val="00FA1CC5"/>
    <w:rsid w:val="00FA3245"/>
    <w:rsid w:val="00FA7B29"/>
    <w:rsid w:val="00FB0F96"/>
    <w:rsid w:val="00FC31E0"/>
    <w:rsid w:val="00FC48C1"/>
    <w:rsid w:val="00FC6958"/>
    <w:rsid w:val="00FE23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31E0"/>
    <w:rPr>
      <w:sz w:val="24"/>
      <w:szCs w:val="24"/>
    </w:rPr>
  </w:style>
  <w:style w:type="paragraph" w:styleId="Heading4">
    <w:name w:val="heading 4"/>
    <w:basedOn w:val="Normal"/>
    <w:next w:val="Normal"/>
    <w:link w:val="Heading4Char"/>
    <w:qFormat/>
    <w:rsid w:val="00CB332F"/>
    <w:pPr>
      <w:keepNext/>
      <w:keepLines/>
      <w:tabs>
        <w:tab w:val="left" w:pos="360"/>
      </w:tabs>
      <w:overflowPunct w:val="0"/>
      <w:autoSpaceDE w:val="0"/>
      <w:autoSpaceDN w:val="0"/>
      <w:adjustRightInd w:val="0"/>
      <w:spacing w:after="80"/>
      <w:textAlignment w:val="baseline"/>
      <w:outlineLvl w:val="3"/>
    </w:pPr>
    <w:rPr>
      <w:b/>
      <w:bCs/>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9E0445"/>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rsid w:val="009E0445"/>
    <w:pPr>
      <w:spacing w:after="120"/>
    </w:pPr>
  </w:style>
  <w:style w:type="paragraph" w:customStyle="1" w:styleId="AbtHeadB">
    <w:name w:val="AbtHead B"/>
    <w:basedOn w:val="Normal"/>
    <w:next w:val="BodyText"/>
    <w:rsid w:val="009E0445"/>
    <w:pPr>
      <w:keepNext/>
      <w:keepLines/>
      <w:tabs>
        <w:tab w:val="left" w:pos="720"/>
        <w:tab w:val="left" w:pos="1080"/>
        <w:tab w:val="left" w:pos="1440"/>
        <w:tab w:val="left" w:pos="1800"/>
      </w:tabs>
      <w:spacing w:after="280" w:line="264" w:lineRule="auto"/>
      <w:outlineLvl w:val="1"/>
    </w:pPr>
    <w:rPr>
      <w:rFonts w:ascii="Arial" w:hAnsi="Arial"/>
      <w:b/>
      <w:sz w:val="28"/>
      <w:szCs w:val="20"/>
    </w:rPr>
  </w:style>
  <w:style w:type="paragraph" w:customStyle="1" w:styleId="AbtHeadC">
    <w:name w:val="AbtHead C"/>
    <w:basedOn w:val="Normal"/>
    <w:next w:val="BodyText"/>
    <w:rsid w:val="008D2164"/>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character" w:styleId="CommentReference">
    <w:name w:val="annotation reference"/>
    <w:basedOn w:val="DefaultParagraphFont"/>
    <w:semiHidden/>
    <w:rsid w:val="008D2164"/>
    <w:rPr>
      <w:sz w:val="16"/>
    </w:rPr>
  </w:style>
  <w:style w:type="paragraph" w:styleId="CommentText">
    <w:name w:val="annotation text"/>
    <w:basedOn w:val="Normal"/>
    <w:semiHidden/>
    <w:rsid w:val="008D2164"/>
    <w:rPr>
      <w:sz w:val="20"/>
      <w:szCs w:val="20"/>
    </w:rPr>
  </w:style>
  <w:style w:type="paragraph" w:styleId="BalloonText">
    <w:name w:val="Balloon Text"/>
    <w:basedOn w:val="Normal"/>
    <w:semiHidden/>
    <w:rsid w:val="008D2164"/>
    <w:rPr>
      <w:rFonts w:ascii="Tahoma" w:hAnsi="Tahoma" w:cs="Tahoma"/>
      <w:sz w:val="16"/>
      <w:szCs w:val="16"/>
    </w:rPr>
  </w:style>
  <w:style w:type="paragraph" w:styleId="Header">
    <w:name w:val="header"/>
    <w:basedOn w:val="Normal"/>
    <w:rsid w:val="00826101"/>
    <w:pPr>
      <w:tabs>
        <w:tab w:val="left" w:pos="1800"/>
        <w:tab w:val="center" w:pos="4320"/>
        <w:tab w:val="right" w:pos="8640"/>
      </w:tabs>
      <w:spacing w:line="264" w:lineRule="auto"/>
    </w:pPr>
    <w:rPr>
      <w:szCs w:val="20"/>
    </w:rPr>
  </w:style>
  <w:style w:type="paragraph" w:styleId="BodyTextIndent">
    <w:name w:val="Body Text Indent"/>
    <w:basedOn w:val="Normal"/>
    <w:rsid w:val="007A22F4"/>
    <w:pPr>
      <w:spacing w:after="120"/>
      <w:ind w:left="360"/>
    </w:pPr>
  </w:style>
  <w:style w:type="paragraph" w:customStyle="1" w:styleId="AbtHeadBOutlined">
    <w:name w:val="AbtHead B Outlined"/>
    <w:basedOn w:val="AbtHeadB"/>
    <w:next w:val="BodyText"/>
    <w:rsid w:val="007A22F4"/>
    <w:pPr>
      <w:tabs>
        <w:tab w:val="num" w:pos="720"/>
      </w:tabs>
      <w:ind w:left="720" w:hanging="720"/>
    </w:pPr>
  </w:style>
  <w:style w:type="paragraph" w:styleId="Footer">
    <w:name w:val="footer"/>
    <w:basedOn w:val="Normal"/>
    <w:rsid w:val="00BD56EF"/>
    <w:pPr>
      <w:tabs>
        <w:tab w:val="right" w:pos="7560"/>
        <w:tab w:val="right" w:pos="9000"/>
      </w:tabs>
    </w:pPr>
    <w:rPr>
      <w:rFonts w:ascii="Arial" w:hAnsi="Arial"/>
      <w:b/>
      <w:sz w:val="18"/>
      <w:szCs w:val="20"/>
    </w:rPr>
  </w:style>
  <w:style w:type="character" w:styleId="PageNumber">
    <w:name w:val="page number"/>
    <w:basedOn w:val="DefaultParagraphFont"/>
    <w:rsid w:val="00BD56EF"/>
    <w:rPr>
      <w:rFonts w:ascii="Arial" w:hAnsi="Arial"/>
      <w:dstrike w:val="0"/>
      <w:color w:val="auto"/>
      <w:sz w:val="18"/>
      <w:bdr w:val="none" w:sz="0" w:space="0" w:color="auto"/>
      <w:vertAlign w:val="baseline"/>
    </w:rPr>
  </w:style>
  <w:style w:type="paragraph" w:styleId="TOC1">
    <w:name w:val="toc 1"/>
    <w:basedOn w:val="BodyText"/>
    <w:next w:val="BodyText"/>
    <w:uiPriority w:val="39"/>
    <w:rsid w:val="00BD56EF"/>
    <w:pPr>
      <w:spacing w:before="240" w:after="0" w:line="264" w:lineRule="auto"/>
    </w:pPr>
    <w:rPr>
      <w:b/>
      <w:szCs w:val="20"/>
    </w:rPr>
  </w:style>
  <w:style w:type="paragraph" w:styleId="TOC2">
    <w:name w:val="toc 2"/>
    <w:basedOn w:val="BodyText"/>
    <w:next w:val="BodyText"/>
    <w:uiPriority w:val="39"/>
    <w:rsid w:val="00BD56EF"/>
    <w:pPr>
      <w:tabs>
        <w:tab w:val="left" w:pos="1080"/>
        <w:tab w:val="right" w:leader="dot" w:pos="8990"/>
      </w:tabs>
      <w:spacing w:after="0" w:line="264" w:lineRule="auto"/>
      <w:ind w:left="576"/>
    </w:pPr>
    <w:rPr>
      <w:noProof/>
      <w:szCs w:val="20"/>
    </w:rPr>
  </w:style>
  <w:style w:type="character" w:styleId="Hyperlink">
    <w:name w:val="Hyperlink"/>
    <w:basedOn w:val="DefaultParagraphFont"/>
    <w:rsid w:val="00BD56EF"/>
    <w:rPr>
      <w:color w:val="0000FF"/>
      <w:u w:val="single"/>
    </w:rPr>
  </w:style>
  <w:style w:type="character" w:styleId="FollowedHyperlink">
    <w:name w:val="FollowedHyperlink"/>
    <w:basedOn w:val="DefaultParagraphFont"/>
    <w:rsid w:val="00A74225"/>
    <w:rPr>
      <w:color w:val="993366"/>
      <w:u w:val="single"/>
    </w:rPr>
  </w:style>
  <w:style w:type="paragraph" w:customStyle="1" w:styleId="font5">
    <w:name w:val="font5"/>
    <w:basedOn w:val="Normal"/>
    <w:rsid w:val="00A74225"/>
    <w:pPr>
      <w:spacing w:before="100" w:beforeAutospacing="1" w:after="100" w:afterAutospacing="1"/>
    </w:pPr>
    <w:rPr>
      <w:rFonts w:ascii="Arial" w:hAnsi="Arial" w:cs="Arial"/>
      <w:sz w:val="16"/>
      <w:szCs w:val="16"/>
    </w:rPr>
  </w:style>
  <w:style w:type="paragraph" w:customStyle="1" w:styleId="font6">
    <w:name w:val="font6"/>
    <w:basedOn w:val="Normal"/>
    <w:rsid w:val="00A74225"/>
    <w:pPr>
      <w:spacing w:before="100" w:beforeAutospacing="1" w:after="100" w:afterAutospacing="1"/>
    </w:pPr>
    <w:rPr>
      <w:rFonts w:ascii="Arial" w:hAnsi="Arial" w:cs="Arial"/>
      <w:sz w:val="16"/>
      <w:szCs w:val="16"/>
    </w:rPr>
  </w:style>
  <w:style w:type="paragraph" w:customStyle="1" w:styleId="font7">
    <w:name w:val="font7"/>
    <w:basedOn w:val="Normal"/>
    <w:rsid w:val="00A74225"/>
    <w:pPr>
      <w:spacing w:before="100" w:beforeAutospacing="1" w:after="100" w:afterAutospacing="1"/>
    </w:pPr>
    <w:rPr>
      <w:rFonts w:ascii="Tahoma" w:hAnsi="Tahoma" w:cs="Tahoma"/>
      <w:color w:val="000000"/>
      <w:sz w:val="16"/>
      <w:szCs w:val="16"/>
    </w:rPr>
  </w:style>
  <w:style w:type="paragraph" w:customStyle="1" w:styleId="font8">
    <w:name w:val="font8"/>
    <w:basedOn w:val="Normal"/>
    <w:rsid w:val="00A74225"/>
    <w:pPr>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A74225"/>
    <w:pPr>
      <w:spacing w:before="100" w:beforeAutospacing="1" w:after="100" w:afterAutospacing="1"/>
    </w:pPr>
    <w:rPr>
      <w:rFonts w:ascii="Arial" w:hAnsi="Arial" w:cs="Arial"/>
      <w:b/>
      <w:bCs/>
      <w:sz w:val="16"/>
      <w:szCs w:val="16"/>
    </w:rPr>
  </w:style>
  <w:style w:type="paragraph" w:customStyle="1" w:styleId="xl66">
    <w:name w:val="xl66"/>
    <w:basedOn w:val="Normal"/>
    <w:rsid w:val="00A74225"/>
    <w:pPr>
      <w:spacing w:before="100" w:beforeAutospacing="1" w:after="100" w:afterAutospacing="1"/>
      <w:jc w:val="center"/>
    </w:pPr>
    <w:rPr>
      <w:rFonts w:ascii="Arial" w:hAnsi="Arial" w:cs="Arial"/>
      <w:b/>
      <w:bCs/>
      <w:sz w:val="16"/>
      <w:szCs w:val="16"/>
    </w:rPr>
  </w:style>
  <w:style w:type="paragraph" w:customStyle="1" w:styleId="xl67">
    <w:name w:val="xl67"/>
    <w:basedOn w:val="Normal"/>
    <w:rsid w:val="00A74225"/>
    <w:pPr>
      <w:spacing w:before="100" w:beforeAutospacing="1" w:after="100" w:afterAutospacing="1"/>
    </w:pPr>
    <w:rPr>
      <w:rFonts w:ascii="Arial" w:hAnsi="Arial" w:cs="Arial"/>
      <w:b/>
      <w:bCs/>
      <w:sz w:val="16"/>
      <w:szCs w:val="16"/>
    </w:rPr>
  </w:style>
  <w:style w:type="paragraph" w:customStyle="1" w:styleId="xl68">
    <w:name w:val="xl68"/>
    <w:basedOn w:val="Normal"/>
    <w:rsid w:val="00A74225"/>
    <w:pPr>
      <w:spacing w:before="100" w:beforeAutospacing="1" w:after="100" w:afterAutospacing="1"/>
    </w:pPr>
    <w:rPr>
      <w:sz w:val="16"/>
      <w:szCs w:val="16"/>
    </w:rPr>
  </w:style>
  <w:style w:type="paragraph" w:customStyle="1" w:styleId="xl69">
    <w:name w:val="xl69"/>
    <w:basedOn w:val="Normal"/>
    <w:rsid w:val="00A742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70">
    <w:name w:val="xl70"/>
    <w:basedOn w:val="Normal"/>
    <w:rsid w:val="00A742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Normal"/>
    <w:rsid w:val="00A7422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2">
    <w:name w:val="xl72"/>
    <w:basedOn w:val="Normal"/>
    <w:rsid w:val="00A7422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Normal"/>
    <w:rsid w:val="00A74225"/>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4">
    <w:name w:val="xl74"/>
    <w:basedOn w:val="Normal"/>
    <w:rsid w:val="00A7422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75">
    <w:name w:val="xl75"/>
    <w:basedOn w:val="Normal"/>
    <w:rsid w:val="00A74225"/>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76">
    <w:name w:val="xl76"/>
    <w:basedOn w:val="Normal"/>
    <w:rsid w:val="00A74225"/>
    <w:pPr>
      <w:pBdr>
        <w:top w:val="single" w:sz="8" w:space="0" w:color="auto"/>
        <w:bottom w:val="single" w:sz="8" w:space="0" w:color="auto"/>
      </w:pBdr>
      <w:spacing w:before="100" w:beforeAutospacing="1" w:after="100" w:afterAutospacing="1"/>
    </w:pPr>
    <w:rPr>
      <w:rFonts w:ascii="Arial" w:hAnsi="Arial" w:cs="Arial"/>
      <w:b/>
      <w:bCs/>
      <w:sz w:val="16"/>
      <w:szCs w:val="16"/>
    </w:rPr>
  </w:style>
  <w:style w:type="paragraph" w:customStyle="1" w:styleId="xl77">
    <w:name w:val="xl77"/>
    <w:basedOn w:val="Normal"/>
    <w:rsid w:val="00A74225"/>
    <w:pPr>
      <w:pBdr>
        <w:top w:val="single" w:sz="8"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78">
    <w:name w:val="xl78"/>
    <w:basedOn w:val="Normal"/>
    <w:rsid w:val="00A7422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79">
    <w:name w:val="xl79"/>
    <w:basedOn w:val="Normal"/>
    <w:rsid w:val="00A74225"/>
    <w:pPr>
      <w:pBdr>
        <w:top w:val="single" w:sz="8" w:space="0" w:color="auto"/>
        <w:left w:val="single" w:sz="4" w:space="0" w:color="auto"/>
        <w:bottom w:val="single" w:sz="8" w:space="0" w:color="auto"/>
      </w:pBdr>
      <w:spacing w:before="100" w:beforeAutospacing="1" w:after="100" w:afterAutospacing="1"/>
    </w:pPr>
    <w:rPr>
      <w:rFonts w:ascii="Arial" w:hAnsi="Arial" w:cs="Arial"/>
      <w:b/>
      <w:bCs/>
      <w:sz w:val="16"/>
      <w:szCs w:val="16"/>
    </w:rPr>
  </w:style>
  <w:style w:type="paragraph" w:customStyle="1" w:styleId="xl80">
    <w:name w:val="xl80"/>
    <w:basedOn w:val="Normal"/>
    <w:rsid w:val="00A74225"/>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81">
    <w:name w:val="xl81"/>
    <w:basedOn w:val="Normal"/>
    <w:rsid w:val="00A7422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82">
    <w:name w:val="xl82"/>
    <w:basedOn w:val="Normal"/>
    <w:rsid w:val="00A7422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rPr>
  </w:style>
  <w:style w:type="paragraph" w:customStyle="1" w:styleId="xl83">
    <w:name w:val="xl83"/>
    <w:basedOn w:val="Normal"/>
    <w:rsid w:val="00A742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4">
    <w:name w:val="xl84"/>
    <w:basedOn w:val="Normal"/>
    <w:rsid w:val="00A74225"/>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85">
    <w:name w:val="xl85"/>
    <w:basedOn w:val="Normal"/>
    <w:rsid w:val="00A74225"/>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86">
    <w:name w:val="xl86"/>
    <w:basedOn w:val="Normal"/>
    <w:rsid w:val="00A74225"/>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7">
    <w:name w:val="xl87"/>
    <w:basedOn w:val="Normal"/>
    <w:rsid w:val="00A7422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88">
    <w:name w:val="xl88"/>
    <w:basedOn w:val="Normal"/>
    <w:rsid w:val="00A74225"/>
    <w:pPr>
      <w:pBdr>
        <w:top w:val="single" w:sz="8" w:space="0" w:color="auto"/>
        <w:left w:val="single" w:sz="4"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89">
    <w:name w:val="xl89"/>
    <w:basedOn w:val="Normal"/>
    <w:rsid w:val="00A74225"/>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90">
    <w:name w:val="xl90"/>
    <w:basedOn w:val="Normal"/>
    <w:rsid w:val="00A7422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91">
    <w:name w:val="xl91"/>
    <w:basedOn w:val="Normal"/>
    <w:rsid w:val="00A7422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2">
    <w:name w:val="xl92"/>
    <w:basedOn w:val="Normal"/>
    <w:rsid w:val="00A742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93">
    <w:name w:val="xl93"/>
    <w:basedOn w:val="Normal"/>
    <w:rsid w:val="00A74225"/>
    <w:pPr>
      <w:pBdr>
        <w:left w:val="single" w:sz="4" w:space="0" w:color="auto"/>
        <w:bottom w:val="single" w:sz="4" w:space="0" w:color="auto"/>
      </w:pBdr>
      <w:spacing w:before="100" w:beforeAutospacing="1" w:after="100" w:afterAutospacing="1"/>
    </w:pPr>
    <w:rPr>
      <w:sz w:val="16"/>
      <w:szCs w:val="16"/>
    </w:rPr>
  </w:style>
  <w:style w:type="paragraph" w:customStyle="1" w:styleId="xl94">
    <w:name w:val="xl94"/>
    <w:basedOn w:val="Normal"/>
    <w:rsid w:val="00A74225"/>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5">
    <w:name w:val="xl95"/>
    <w:basedOn w:val="Normal"/>
    <w:rsid w:val="00A74225"/>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96">
    <w:name w:val="xl96"/>
    <w:basedOn w:val="Normal"/>
    <w:rsid w:val="00A74225"/>
    <w:pPr>
      <w:spacing w:before="100" w:beforeAutospacing="1" w:after="100" w:afterAutospacing="1"/>
    </w:pPr>
    <w:rPr>
      <w:rFonts w:ascii="Arial" w:hAnsi="Arial" w:cs="Arial"/>
      <w:b/>
      <w:bCs/>
      <w:sz w:val="32"/>
      <w:szCs w:val="32"/>
    </w:rPr>
  </w:style>
  <w:style w:type="paragraph" w:customStyle="1" w:styleId="xl97">
    <w:name w:val="xl97"/>
    <w:basedOn w:val="Normal"/>
    <w:rsid w:val="00A742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DD0806"/>
      <w:sz w:val="16"/>
      <w:szCs w:val="16"/>
    </w:rPr>
  </w:style>
  <w:style w:type="paragraph" w:customStyle="1" w:styleId="xl98">
    <w:name w:val="xl98"/>
    <w:basedOn w:val="Normal"/>
    <w:rsid w:val="00A74225"/>
    <w:pPr>
      <w:pBdr>
        <w:top w:val="single" w:sz="8"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99">
    <w:name w:val="xl99"/>
    <w:basedOn w:val="Normal"/>
    <w:rsid w:val="00A74225"/>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00">
    <w:name w:val="xl100"/>
    <w:basedOn w:val="Normal"/>
    <w:rsid w:val="00A74225"/>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01">
    <w:name w:val="xl101"/>
    <w:basedOn w:val="Normal"/>
    <w:rsid w:val="00A74225"/>
    <w:pPr>
      <w:pBdr>
        <w:top w:val="single" w:sz="4" w:space="0" w:color="auto"/>
        <w:bottom w:val="single" w:sz="4" w:space="0" w:color="auto"/>
      </w:pBdr>
      <w:spacing w:before="100" w:beforeAutospacing="1" w:after="100" w:afterAutospacing="1"/>
    </w:pPr>
  </w:style>
  <w:style w:type="paragraph" w:customStyle="1" w:styleId="xl102">
    <w:name w:val="xl102"/>
    <w:basedOn w:val="Normal"/>
    <w:rsid w:val="00A74225"/>
    <w:pPr>
      <w:pBdr>
        <w:top w:val="single" w:sz="4" w:space="0" w:color="auto"/>
        <w:bottom w:val="single" w:sz="4" w:space="0" w:color="auto"/>
        <w:right w:val="single" w:sz="4" w:space="0" w:color="auto"/>
      </w:pBdr>
      <w:spacing w:before="100" w:beforeAutospacing="1" w:after="100" w:afterAutospacing="1"/>
    </w:pPr>
  </w:style>
  <w:style w:type="paragraph" w:customStyle="1" w:styleId="xl103">
    <w:name w:val="xl103"/>
    <w:basedOn w:val="Normal"/>
    <w:rsid w:val="00A74225"/>
    <w:pPr>
      <w:pBdr>
        <w:top w:val="single" w:sz="4" w:space="0" w:color="auto"/>
        <w:bottom w:val="single" w:sz="4" w:space="0" w:color="auto"/>
        <w:right w:val="single" w:sz="4" w:space="0" w:color="auto"/>
      </w:pBdr>
      <w:spacing w:before="100" w:beforeAutospacing="1" w:after="100" w:afterAutospacing="1"/>
    </w:pPr>
  </w:style>
  <w:style w:type="paragraph" w:customStyle="1" w:styleId="xl104">
    <w:name w:val="xl104"/>
    <w:basedOn w:val="Normal"/>
    <w:rsid w:val="00A74225"/>
    <w:pPr>
      <w:pBdr>
        <w:top w:val="single" w:sz="4" w:space="0" w:color="auto"/>
        <w:left w:val="single" w:sz="4" w:space="0" w:color="auto"/>
      </w:pBdr>
      <w:spacing w:before="100" w:beforeAutospacing="1" w:after="100" w:afterAutospacing="1"/>
    </w:pPr>
    <w:rPr>
      <w:sz w:val="16"/>
      <w:szCs w:val="16"/>
    </w:rPr>
  </w:style>
  <w:style w:type="paragraph" w:customStyle="1" w:styleId="xl105">
    <w:name w:val="xl105"/>
    <w:basedOn w:val="Normal"/>
    <w:rsid w:val="00A74225"/>
    <w:pPr>
      <w:pBdr>
        <w:top w:val="single" w:sz="4" w:space="0" w:color="auto"/>
        <w:right w:val="single" w:sz="4" w:space="0" w:color="auto"/>
      </w:pBdr>
      <w:spacing w:before="100" w:beforeAutospacing="1" w:after="100" w:afterAutospacing="1"/>
    </w:pPr>
  </w:style>
  <w:style w:type="paragraph" w:customStyle="1" w:styleId="xl106">
    <w:name w:val="xl106"/>
    <w:basedOn w:val="Normal"/>
    <w:rsid w:val="00A74225"/>
    <w:pPr>
      <w:pBdr>
        <w:bottom w:val="single" w:sz="4" w:space="0" w:color="auto"/>
        <w:right w:val="single" w:sz="4" w:space="0" w:color="auto"/>
      </w:pBdr>
      <w:spacing w:before="100" w:beforeAutospacing="1" w:after="100" w:afterAutospacing="1"/>
    </w:pPr>
  </w:style>
  <w:style w:type="paragraph" w:styleId="CommentSubject">
    <w:name w:val="annotation subject"/>
    <w:basedOn w:val="CommentText"/>
    <w:next w:val="CommentText"/>
    <w:semiHidden/>
    <w:rsid w:val="008B3E91"/>
    <w:rPr>
      <w:b/>
      <w:bCs/>
    </w:rPr>
  </w:style>
  <w:style w:type="paragraph" w:styleId="NormalWeb">
    <w:name w:val="Normal (Web)"/>
    <w:basedOn w:val="Normal"/>
    <w:rsid w:val="003F1CB4"/>
    <w:pPr>
      <w:spacing w:before="100" w:beforeAutospacing="1" w:after="100" w:afterAutospacing="1"/>
    </w:pPr>
  </w:style>
  <w:style w:type="paragraph" w:customStyle="1" w:styleId="CM50">
    <w:name w:val="CM50"/>
    <w:basedOn w:val="Normal"/>
    <w:next w:val="Normal"/>
    <w:rsid w:val="00806A47"/>
    <w:pPr>
      <w:autoSpaceDE w:val="0"/>
      <w:autoSpaceDN w:val="0"/>
      <w:adjustRightInd w:val="0"/>
    </w:pPr>
    <w:rPr>
      <w:rFonts w:ascii="Arial" w:hAnsi="Arial"/>
    </w:rPr>
  </w:style>
  <w:style w:type="table" w:styleId="TableGrid">
    <w:name w:val="Table Grid"/>
    <w:basedOn w:val="TableNormal"/>
    <w:rsid w:val="007308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rsid w:val="008365C4"/>
    <w:pPr>
      <w:ind w:left="480"/>
    </w:pPr>
  </w:style>
  <w:style w:type="paragraph" w:styleId="Revision">
    <w:name w:val="Revision"/>
    <w:hidden/>
    <w:uiPriority w:val="99"/>
    <w:semiHidden/>
    <w:rsid w:val="000A1181"/>
    <w:rPr>
      <w:sz w:val="24"/>
      <w:szCs w:val="24"/>
    </w:rPr>
  </w:style>
  <w:style w:type="paragraph" w:styleId="ListParagraph">
    <w:name w:val="List Paragraph"/>
    <w:basedOn w:val="Normal"/>
    <w:uiPriority w:val="34"/>
    <w:qFormat/>
    <w:rsid w:val="00242A7C"/>
    <w:pPr>
      <w:ind w:left="720"/>
      <w:contextualSpacing/>
    </w:pPr>
  </w:style>
  <w:style w:type="character" w:customStyle="1" w:styleId="Heading4Char">
    <w:name w:val="Heading 4 Char"/>
    <w:basedOn w:val="DefaultParagraphFont"/>
    <w:link w:val="Heading4"/>
    <w:rsid w:val="00CB332F"/>
    <w:rPr>
      <w:b/>
      <w:bCs/>
      <w:color w:val="000000"/>
      <w:sz w:val="22"/>
    </w:rPr>
  </w:style>
</w:styles>
</file>

<file path=word/webSettings.xml><?xml version="1.0" encoding="utf-8"?>
<w:webSettings xmlns:r="http://schemas.openxmlformats.org/officeDocument/2006/relationships" xmlns:w="http://schemas.openxmlformats.org/wordprocessingml/2006/main">
  <w:divs>
    <w:div w:id="199632397">
      <w:bodyDiv w:val="1"/>
      <w:marLeft w:val="0"/>
      <w:marRight w:val="0"/>
      <w:marTop w:val="0"/>
      <w:marBottom w:val="0"/>
      <w:divBdr>
        <w:top w:val="none" w:sz="0" w:space="0" w:color="auto"/>
        <w:left w:val="none" w:sz="0" w:space="0" w:color="auto"/>
        <w:bottom w:val="none" w:sz="0" w:space="0" w:color="auto"/>
        <w:right w:val="none" w:sz="0" w:space="0" w:color="auto"/>
      </w:divBdr>
    </w:div>
    <w:div w:id="213087206">
      <w:bodyDiv w:val="1"/>
      <w:marLeft w:val="0"/>
      <w:marRight w:val="0"/>
      <w:marTop w:val="0"/>
      <w:marBottom w:val="0"/>
      <w:divBdr>
        <w:top w:val="none" w:sz="0" w:space="0" w:color="auto"/>
        <w:left w:val="none" w:sz="0" w:space="0" w:color="auto"/>
        <w:bottom w:val="none" w:sz="0" w:space="0" w:color="auto"/>
        <w:right w:val="none" w:sz="0" w:space="0" w:color="auto"/>
      </w:divBdr>
    </w:div>
    <w:div w:id="359480888">
      <w:bodyDiv w:val="1"/>
      <w:marLeft w:val="0"/>
      <w:marRight w:val="0"/>
      <w:marTop w:val="0"/>
      <w:marBottom w:val="0"/>
      <w:divBdr>
        <w:top w:val="none" w:sz="0" w:space="0" w:color="auto"/>
        <w:left w:val="none" w:sz="0" w:space="0" w:color="auto"/>
        <w:bottom w:val="none" w:sz="0" w:space="0" w:color="auto"/>
        <w:right w:val="none" w:sz="0" w:space="0" w:color="auto"/>
      </w:divBdr>
    </w:div>
    <w:div w:id="554660913">
      <w:bodyDiv w:val="1"/>
      <w:marLeft w:val="0"/>
      <w:marRight w:val="0"/>
      <w:marTop w:val="0"/>
      <w:marBottom w:val="0"/>
      <w:divBdr>
        <w:top w:val="none" w:sz="0" w:space="0" w:color="auto"/>
        <w:left w:val="none" w:sz="0" w:space="0" w:color="auto"/>
        <w:bottom w:val="none" w:sz="0" w:space="0" w:color="auto"/>
        <w:right w:val="none" w:sz="0" w:space="0" w:color="auto"/>
      </w:divBdr>
    </w:div>
    <w:div w:id="725568601">
      <w:bodyDiv w:val="1"/>
      <w:marLeft w:val="0"/>
      <w:marRight w:val="0"/>
      <w:marTop w:val="0"/>
      <w:marBottom w:val="0"/>
      <w:divBdr>
        <w:top w:val="none" w:sz="0" w:space="0" w:color="auto"/>
        <w:left w:val="none" w:sz="0" w:space="0" w:color="auto"/>
        <w:bottom w:val="none" w:sz="0" w:space="0" w:color="auto"/>
        <w:right w:val="none" w:sz="0" w:space="0" w:color="auto"/>
      </w:divBdr>
    </w:div>
    <w:div w:id="749540967">
      <w:bodyDiv w:val="1"/>
      <w:marLeft w:val="0"/>
      <w:marRight w:val="0"/>
      <w:marTop w:val="0"/>
      <w:marBottom w:val="0"/>
      <w:divBdr>
        <w:top w:val="none" w:sz="0" w:space="0" w:color="auto"/>
        <w:left w:val="none" w:sz="0" w:space="0" w:color="auto"/>
        <w:bottom w:val="none" w:sz="0" w:space="0" w:color="auto"/>
        <w:right w:val="none" w:sz="0" w:space="0" w:color="auto"/>
      </w:divBdr>
    </w:div>
    <w:div w:id="758408881">
      <w:bodyDiv w:val="1"/>
      <w:marLeft w:val="0"/>
      <w:marRight w:val="0"/>
      <w:marTop w:val="0"/>
      <w:marBottom w:val="0"/>
      <w:divBdr>
        <w:top w:val="none" w:sz="0" w:space="0" w:color="auto"/>
        <w:left w:val="none" w:sz="0" w:space="0" w:color="auto"/>
        <w:bottom w:val="none" w:sz="0" w:space="0" w:color="auto"/>
        <w:right w:val="none" w:sz="0" w:space="0" w:color="auto"/>
      </w:divBdr>
    </w:div>
    <w:div w:id="1137525861">
      <w:bodyDiv w:val="1"/>
      <w:marLeft w:val="0"/>
      <w:marRight w:val="0"/>
      <w:marTop w:val="0"/>
      <w:marBottom w:val="0"/>
      <w:divBdr>
        <w:top w:val="none" w:sz="0" w:space="0" w:color="auto"/>
        <w:left w:val="none" w:sz="0" w:space="0" w:color="auto"/>
        <w:bottom w:val="none" w:sz="0" w:space="0" w:color="auto"/>
        <w:right w:val="none" w:sz="0" w:space="0" w:color="auto"/>
      </w:divBdr>
    </w:div>
    <w:div w:id="1543401405">
      <w:bodyDiv w:val="1"/>
      <w:marLeft w:val="0"/>
      <w:marRight w:val="0"/>
      <w:marTop w:val="0"/>
      <w:marBottom w:val="0"/>
      <w:divBdr>
        <w:top w:val="none" w:sz="0" w:space="0" w:color="auto"/>
        <w:left w:val="none" w:sz="0" w:space="0" w:color="auto"/>
        <w:bottom w:val="none" w:sz="0" w:space="0" w:color="auto"/>
        <w:right w:val="none" w:sz="0" w:space="0" w:color="auto"/>
      </w:divBdr>
    </w:div>
    <w:div w:id="206313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07.grants.gov/applicants/apply_for_grants.jsp"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CAE0A-2673-4E1B-AF09-27DC56814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2698</Words>
  <Characters>15380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Part A Justification</vt:lpstr>
    </vt:vector>
  </TitlesOfParts>
  <Company>Abt Associates Inc.</Company>
  <LinksUpToDate>false</LinksUpToDate>
  <CharactersWithSpaces>18042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Justification</dc:title>
  <dc:subject/>
  <dc:creator>HoltE</dc:creator>
  <cp:keywords/>
  <dc:description/>
  <cp:lastModifiedBy>H45596</cp:lastModifiedBy>
  <cp:revision>3</cp:revision>
  <dcterms:created xsi:type="dcterms:W3CDTF">2011-09-22T14:50:00Z</dcterms:created>
  <dcterms:modified xsi:type="dcterms:W3CDTF">2011-09-23T12:21:00Z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1673806753</vt:i4>
  </property>
  <property fmtid="{D5CDD505-2E9C-101B-9397-08002B2CF9AE}" pid="3" name="_NewReviewCycle">
    <vt:lpwstr/>
  </property>
  <property fmtid="{D5CDD505-2E9C-101B-9397-08002B2CF9AE}" pid="4" name="_EmailSubject">
    <vt:lpwstr>OMB package for MV-TA NOFA</vt:lpwstr>
  </property>
  <property fmtid="{D5CDD505-2E9C-101B-9397-08002B2CF9AE}" pid="5" name="_AuthorEmail">
    <vt:lpwstr>Julie.D.Hovden@hud.gov</vt:lpwstr>
  </property>
  <property fmtid="{D5CDD505-2E9C-101B-9397-08002B2CF9AE}" pid="6" name="_AuthorEmailDisplayName">
    <vt:lpwstr>Hovden, Julie D</vt:lpwstr>
  </property>
  <property fmtid="{D5CDD505-2E9C-101B-9397-08002B2CF9AE}" pid="7" name="_PreviousAdHocReviewCycleID">
    <vt:i4>921055742</vt:i4>
  </property>
  <property fmtid="{D5CDD505-2E9C-101B-9397-08002B2CF9AE}" pid="8" name="_ReviewingToolsShownOnce">
    <vt:lpwstr/>
  </property>
</Properties>
</file>