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6C" w:rsidRDefault="00002B02" w:rsidP="00BD56EF">
      <w:pPr>
        <w:pStyle w:val="BodyText"/>
        <w:jc w:val="center"/>
        <w:rPr>
          <w:b/>
          <w:sz w:val="48"/>
        </w:rPr>
      </w:pPr>
      <w:bookmarkStart w:id="0" w:name="_Toc224972095"/>
      <w:bookmarkStart w:id="1" w:name="_Toc233444275"/>
      <w:r>
        <w:rPr>
          <w:b/>
          <w:sz w:val="48"/>
        </w:rPr>
        <w:t>DATA COLLE</w:t>
      </w:r>
      <w:r w:rsidR="0002406C">
        <w:rPr>
          <w:b/>
          <w:sz w:val="48"/>
        </w:rPr>
        <w:t>C</w:t>
      </w:r>
      <w:r>
        <w:rPr>
          <w:b/>
          <w:sz w:val="48"/>
        </w:rPr>
        <w:t>TION AND REPORTING FOR HUD</w:t>
      </w:r>
      <w:r w:rsidR="0002406C">
        <w:rPr>
          <w:b/>
          <w:sz w:val="48"/>
        </w:rPr>
        <w:t>’S</w:t>
      </w:r>
      <w:r>
        <w:rPr>
          <w:b/>
          <w:sz w:val="48"/>
        </w:rPr>
        <w:t xml:space="preserve"> </w:t>
      </w:r>
    </w:p>
    <w:p w:rsidR="00A5764B" w:rsidRDefault="00002B02" w:rsidP="00BD56EF">
      <w:pPr>
        <w:pStyle w:val="BodyText"/>
        <w:jc w:val="center"/>
        <w:rPr>
          <w:b/>
          <w:sz w:val="48"/>
        </w:rPr>
      </w:pPr>
      <w:r>
        <w:rPr>
          <w:b/>
          <w:sz w:val="48"/>
        </w:rPr>
        <w:t xml:space="preserve">CONTINUUM OF CARE </w:t>
      </w:r>
      <w:r w:rsidR="00A5764B">
        <w:rPr>
          <w:b/>
          <w:sz w:val="48"/>
        </w:rPr>
        <w:t>(COC)</w:t>
      </w:r>
    </w:p>
    <w:p w:rsidR="00E9087D" w:rsidRDefault="00DC7B9B" w:rsidP="00BD56EF">
      <w:pPr>
        <w:pStyle w:val="BodyText"/>
        <w:jc w:val="center"/>
        <w:rPr>
          <w:b/>
          <w:sz w:val="48"/>
        </w:rPr>
      </w:pPr>
      <w:r>
        <w:rPr>
          <w:b/>
          <w:sz w:val="48"/>
        </w:rPr>
        <w:t>CHECK-UP</w:t>
      </w:r>
      <w:r w:rsidR="00A01E4B">
        <w:rPr>
          <w:b/>
          <w:sz w:val="48"/>
        </w:rPr>
        <w:t xml:space="preserve"> TOOL</w:t>
      </w: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p>
    <w:p w:rsidR="00BD56EF" w:rsidRDefault="00BD56EF" w:rsidP="00BD56EF">
      <w:pPr>
        <w:pStyle w:val="BodyText"/>
        <w:jc w:val="center"/>
        <w:rPr>
          <w:b/>
          <w:sz w:val="40"/>
        </w:rPr>
      </w:pPr>
      <w:r>
        <w:rPr>
          <w:b/>
          <w:sz w:val="40"/>
        </w:rPr>
        <w:t>OMB PAPERWORK REDUCTION ACT SUBMISSION</w:t>
      </w:r>
    </w:p>
    <w:p w:rsidR="00BD56EF" w:rsidRDefault="00BD56EF" w:rsidP="00BD56EF">
      <w:pPr>
        <w:pStyle w:val="BodyText"/>
        <w:jc w:val="center"/>
        <w:rPr>
          <w:b/>
          <w:sz w:val="40"/>
        </w:rPr>
      </w:pPr>
    </w:p>
    <w:p w:rsidR="00BD56EF" w:rsidRDefault="00DC7B9B" w:rsidP="00BD56EF">
      <w:pPr>
        <w:pStyle w:val="BodyText"/>
        <w:jc w:val="center"/>
        <w:rPr>
          <w:b/>
          <w:sz w:val="40"/>
        </w:rPr>
      </w:pPr>
      <w:r>
        <w:rPr>
          <w:b/>
          <w:sz w:val="40"/>
        </w:rPr>
        <w:t>April 2011</w:t>
      </w:r>
    </w:p>
    <w:p w:rsidR="00BD56EF" w:rsidRDefault="00BD56EF" w:rsidP="00BD56EF">
      <w:pPr>
        <w:jc w:val="center"/>
        <w:rPr>
          <w:rFonts w:ascii="Arial" w:hAnsi="Arial"/>
          <w:b/>
          <w:sz w:val="36"/>
        </w:rPr>
        <w:sectPr w:rsidR="00BD56EF" w:rsidSect="00BD56EF">
          <w:footerReference w:type="default" r:id="rId8"/>
          <w:pgSz w:w="12240" w:h="15840" w:code="1"/>
          <w:pgMar w:top="1440" w:right="1440" w:bottom="1440" w:left="1440" w:header="720" w:footer="576" w:gutter="0"/>
          <w:pgNumType w:fmt="lowerRoman" w:start="1"/>
          <w:cols w:space="720"/>
        </w:sectPr>
      </w:pPr>
    </w:p>
    <w:p w:rsidR="00BD56EF" w:rsidRDefault="00FC484E" w:rsidP="00BD56EF">
      <w:pPr>
        <w:jc w:val="center"/>
        <w:rPr>
          <w:rFonts w:ascii="Arial" w:hAnsi="Arial"/>
          <w:b/>
          <w:sz w:val="36"/>
        </w:rPr>
      </w:pPr>
      <w:r>
        <w:rPr>
          <w:rFonts w:ascii="Arial" w:hAnsi="Arial"/>
          <w:b/>
          <w:noProof/>
          <w:sz w:val="36"/>
        </w:rPr>
        <w:lastRenderedPageBreak/>
        <w:pict>
          <v:line id="_x0000_s1026" style="position:absolute;left:0;text-align:left;z-index:251657728" from="0,21.45pt" to="452.6pt,21.45pt" o:allowincell="f"/>
        </w:pict>
      </w:r>
      <w:r w:rsidR="00BD56EF">
        <w:rPr>
          <w:rFonts w:ascii="Arial" w:hAnsi="Arial"/>
          <w:b/>
          <w:sz w:val="36"/>
        </w:rPr>
        <w:t>Table of Contents</w:t>
      </w:r>
    </w:p>
    <w:p w:rsidR="00BD56EF" w:rsidRDefault="00BD56EF" w:rsidP="00BD56EF">
      <w:pPr>
        <w:tabs>
          <w:tab w:val="right" w:leader="dot" w:pos="9360"/>
        </w:tabs>
      </w:pPr>
    </w:p>
    <w:p w:rsidR="000826D1" w:rsidRDefault="00FC484E" w:rsidP="000826D1">
      <w:pPr>
        <w:pStyle w:val="TOC1"/>
        <w:tabs>
          <w:tab w:val="right" w:leader="dot" w:pos="8990"/>
        </w:tabs>
        <w:rPr>
          <w:b w:val="0"/>
          <w:noProof/>
          <w:szCs w:val="24"/>
        </w:rPr>
      </w:pPr>
      <w:r w:rsidRPr="00FC484E">
        <w:fldChar w:fldCharType="begin"/>
      </w:r>
      <w:r w:rsidR="000826D1">
        <w:instrText xml:space="preserve"> TOC \o "1-3" </w:instrText>
      </w:r>
      <w:r w:rsidRPr="00FC484E">
        <w:fldChar w:fldCharType="separate"/>
      </w:r>
      <w:r w:rsidR="000826D1">
        <w:rPr>
          <w:noProof/>
        </w:rPr>
        <w:t>Part A: Justification</w:t>
      </w:r>
      <w:r w:rsidR="000826D1">
        <w:rPr>
          <w:noProof/>
        </w:rPr>
        <w:tab/>
        <w:t>2</w:t>
      </w:r>
    </w:p>
    <w:p w:rsidR="000826D1" w:rsidRDefault="000826D1" w:rsidP="000826D1">
      <w:pPr>
        <w:pStyle w:val="TOC2"/>
        <w:rPr>
          <w:szCs w:val="24"/>
        </w:rPr>
      </w:pPr>
      <w:r>
        <w:t>A1</w:t>
      </w:r>
      <w:r>
        <w:rPr>
          <w:szCs w:val="24"/>
        </w:rPr>
        <w:tab/>
      </w:r>
      <w:r>
        <w:t>Need and Legal Basis</w:t>
      </w:r>
      <w:r>
        <w:tab/>
        <w:t>2</w:t>
      </w:r>
    </w:p>
    <w:p w:rsidR="000826D1" w:rsidRDefault="000826D1" w:rsidP="000826D1">
      <w:pPr>
        <w:pStyle w:val="TOC2"/>
        <w:rPr>
          <w:szCs w:val="24"/>
        </w:rPr>
      </w:pPr>
      <w:r>
        <w:t>A2</w:t>
      </w:r>
      <w:r>
        <w:rPr>
          <w:szCs w:val="24"/>
        </w:rPr>
        <w:tab/>
      </w:r>
      <w:r>
        <w:t>Information Users</w:t>
      </w:r>
      <w:r>
        <w:tab/>
      </w:r>
      <w:r w:rsidR="00FC484E">
        <w:fldChar w:fldCharType="begin"/>
      </w:r>
      <w:r>
        <w:instrText xml:space="preserve"> PAGEREF _Toc217119749 \h </w:instrText>
      </w:r>
      <w:r w:rsidR="00FC484E">
        <w:fldChar w:fldCharType="separate"/>
      </w:r>
      <w:r>
        <w:t>2</w:t>
      </w:r>
      <w:r w:rsidR="00FC484E">
        <w:fldChar w:fldCharType="end"/>
      </w:r>
    </w:p>
    <w:p w:rsidR="000826D1" w:rsidRDefault="000826D1" w:rsidP="000826D1">
      <w:pPr>
        <w:pStyle w:val="TOC2"/>
        <w:rPr>
          <w:szCs w:val="24"/>
        </w:rPr>
      </w:pPr>
      <w:r>
        <w:t>A3</w:t>
      </w:r>
      <w:r>
        <w:rPr>
          <w:szCs w:val="24"/>
        </w:rPr>
        <w:tab/>
      </w:r>
      <w:r>
        <w:t>Improved Information Technologies</w:t>
      </w:r>
      <w:r>
        <w:tab/>
        <w:t>5</w:t>
      </w:r>
    </w:p>
    <w:p w:rsidR="000826D1" w:rsidRDefault="000826D1" w:rsidP="000826D1">
      <w:pPr>
        <w:pStyle w:val="TOC2"/>
        <w:rPr>
          <w:szCs w:val="24"/>
        </w:rPr>
      </w:pPr>
      <w:r>
        <w:t>A4</w:t>
      </w:r>
      <w:r>
        <w:rPr>
          <w:szCs w:val="24"/>
        </w:rPr>
        <w:tab/>
      </w:r>
      <w:r>
        <w:t>Duplication of Similar Information</w:t>
      </w:r>
      <w:r>
        <w:tab/>
        <w:t>5</w:t>
      </w:r>
    </w:p>
    <w:p w:rsidR="000826D1" w:rsidRDefault="000826D1" w:rsidP="000826D1">
      <w:pPr>
        <w:pStyle w:val="TOC2"/>
        <w:rPr>
          <w:szCs w:val="24"/>
        </w:rPr>
      </w:pPr>
      <w:r>
        <w:t>A5</w:t>
      </w:r>
      <w:r>
        <w:rPr>
          <w:szCs w:val="24"/>
        </w:rPr>
        <w:tab/>
      </w:r>
      <w:r>
        <w:t>Small Businesses</w:t>
      </w:r>
      <w:r>
        <w:tab/>
        <w:t>5</w:t>
      </w:r>
    </w:p>
    <w:p w:rsidR="000826D1" w:rsidRDefault="000826D1" w:rsidP="000826D1">
      <w:pPr>
        <w:pStyle w:val="TOC2"/>
        <w:rPr>
          <w:szCs w:val="24"/>
        </w:rPr>
      </w:pPr>
      <w:r>
        <w:t>A6</w:t>
      </w:r>
      <w:r>
        <w:rPr>
          <w:szCs w:val="24"/>
        </w:rPr>
        <w:tab/>
      </w:r>
      <w:r>
        <w:t>Less Frequent Data Collection</w:t>
      </w:r>
      <w:r>
        <w:tab/>
        <w:t>6</w:t>
      </w:r>
    </w:p>
    <w:p w:rsidR="000826D1" w:rsidRDefault="000826D1" w:rsidP="000826D1">
      <w:pPr>
        <w:pStyle w:val="TOC2"/>
        <w:rPr>
          <w:szCs w:val="24"/>
        </w:rPr>
      </w:pPr>
      <w:r>
        <w:t>A7</w:t>
      </w:r>
      <w:r>
        <w:rPr>
          <w:szCs w:val="24"/>
        </w:rPr>
        <w:tab/>
      </w:r>
      <w:r>
        <w:t>Special Circumstances</w:t>
      </w:r>
      <w:r>
        <w:tab/>
        <w:t>6</w:t>
      </w:r>
    </w:p>
    <w:p w:rsidR="000826D1" w:rsidRDefault="000826D1" w:rsidP="000826D1">
      <w:pPr>
        <w:pStyle w:val="TOC2"/>
        <w:rPr>
          <w:szCs w:val="24"/>
        </w:rPr>
      </w:pPr>
      <w:r>
        <w:t>A8</w:t>
      </w:r>
      <w:r>
        <w:rPr>
          <w:szCs w:val="24"/>
        </w:rPr>
        <w:tab/>
      </w:r>
      <w:r>
        <w:t>Federal Register Notice/Outside Consultation</w:t>
      </w:r>
      <w:r>
        <w:tab/>
        <w:t>6</w:t>
      </w:r>
    </w:p>
    <w:p w:rsidR="000826D1" w:rsidRDefault="000826D1" w:rsidP="000826D1">
      <w:pPr>
        <w:pStyle w:val="TOC2"/>
        <w:rPr>
          <w:szCs w:val="24"/>
        </w:rPr>
      </w:pPr>
      <w:r>
        <w:t>A9</w:t>
      </w:r>
      <w:r>
        <w:rPr>
          <w:szCs w:val="24"/>
        </w:rPr>
        <w:tab/>
      </w:r>
      <w:r>
        <w:t>Payment/Gift to Respondents</w:t>
      </w:r>
      <w:r>
        <w:tab/>
        <w:t>7</w:t>
      </w:r>
    </w:p>
    <w:p w:rsidR="000826D1" w:rsidRDefault="000826D1" w:rsidP="000826D1">
      <w:pPr>
        <w:pStyle w:val="TOC2"/>
        <w:rPr>
          <w:szCs w:val="24"/>
        </w:rPr>
      </w:pPr>
      <w:r>
        <w:t>A10</w:t>
      </w:r>
      <w:r>
        <w:rPr>
          <w:szCs w:val="24"/>
        </w:rPr>
        <w:tab/>
      </w:r>
      <w:r>
        <w:t>Confidentiality</w:t>
      </w:r>
      <w:r>
        <w:tab/>
        <w:t>7</w:t>
      </w:r>
    </w:p>
    <w:p w:rsidR="000826D1" w:rsidRDefault="000826D1" w:rsidP="000826D1">
      <w:pPr>
        <w:pStyle w:val="TOC2"/>
        <w:rPr>
          <w:szCs w:val="24"/>
        </w:rPr>
      </w:pPr>
      <w:r>
        <w:t>A11</w:t>
      </w:r>
      <w:r>
        <w:rPr>
          <w:szCs w:val="24"/>
        </w:rPr>
        <w:tab/>
      </w:r>
      <w:r>
        <w:t>Sensitive Questions</w:t>
      </w:r>
      <w:r>
        <w:tab/>
        <w:t>7</w:t>
      </w:r>
    </w:p>
    <w:p w:rsidR="000826D1" w:rsidRDefault="000826D1" w:rsidP="000826D1">
      <w:pPr>
        <w:pStyle w:val="TOC2"/>
        <w:rPr>
          <w:szCs w:val="24"/>
        </w:rPr>
      </w:pPr>
      <w:r>
        <w:t>A12</w:t>
      </w:r>
      <w:r>
        <w:rPr>
          <w:szCs w:val="24"/>
        </w:rPr>
        <w:tab/>
      </w:r>
      <w:r>
        <w:t>Burden Estimate (Total Hours and Wages)</w:t>
      </w:r>
      <w:r>
        <w:tab/>
        <w:t>7</w:t>
      </w:r>
    </w:p>
    <w:p w:rsidR="000826D1" w:rsidRDefault="000826D1" w:rsidP="000826D1">
      <w:pPr>
        <w:pStyle w:val="TOC2"/>
        <w:rPr>
          <w:szCs w:val="24"/>
        </w:rPr>
      </w:pPr>
      <w:r>
        <w:t>A13</w:t>
      </w:r>
      <w:r>
        <w:rPr>
          <w:szCs w:val="24"/>
        </w:rPr>
        <w:tab/>
      </w:r>
      <w:r>
        <w:t>Capital Costs</w:t>
      </w:r>
      <w:r>
        <w:tab/>
        <w:t>8</w:t>
      </w:r>
    </w:p>
    <w:p w:rsidR="000826D1" w:rsidRDefault="000826D1" w:rsidP="000826D1">
      <w:pPr>
        <w:pStyle w:val="TOC2"/>
        <w:rPr>
          <w:szCs w:val="24"/>
        </w:rPr>
      </w:pPr>
      <w:r>
        <w:t>A14</w:t>
      </w:r>
      <w:r>
        <w:rPr>
          <w:szCs w:val="24"/>
        </w:rPr>
        <w:tab/>
      </w:r>
      <w:r>
        <w:t>Cost to the Federal Government</w:t>
      </w:r>
      <w:r>
        <w:tab/>
        <w:t>8</w:t>
      </w:r>
    </w:p>
    <w:p w:rsidR="000826D1" w:rsidRDefault="000826D1" w:rsidP="000826D1">
      <w:pPr>
        <w:pStyle w:val="TOC2"/>
        <w:rPr>
          <w:szCs w:val="24"/>
        </w:rPr>
      </w:pPr>
      <w:r>
        <w:t>A15</w:t>
      </w:r>
      <w:r>
        <w:rPr>
          <w:szCs w:val="24"/>
        </w:rPr>
        <w:tab/>
      </w:r>
      <w:r>
        <w:t>Program or Burden Changes</w:t>
      </w:r>
      <w:r>
        <w:tab/>
        <w:t>8</w:t>
      </w:r>
    </w:p>
    <w:p w:rsidR="000826D1" w:rsidRDefault="000826D1" w:rsidP="000826D1">
      <w:pPr>
        <w:pStyle w:val="TOC2"/>
        <w:rPr>
          <w:szCs w:val="24"/>
        </w:rPr>
      </w:pPr>
      <w:r>
        <w:t>A16</w:t>
      </w:r>
      <w:r>
        <w:rPr>
          <w:szCs w:val="24"/>
        </w:rPr>
        <w:tab/>
      </w:r>
      <w:r>
        <w:t>Publication and Tabulation Dates</w:t>
      </w:r>
      <w:r>
        <w:tab/>
        <w:t>8</w:t>
      </w:r>
    </w:p>
    <w:p w:rsidR="000826D1" w:rsidRDefault="000826D1" w:rsidP="000826D1">
      <w:pPr>
        <w:pStyle w:val="TOC2"/>
        <w:rPr>
          <w:szCs w:val="24"/>
        </w:rPr>
      </w:pPr>
      <w:r>
        <w:t>A17</w:t>
      </w:r>
      <w:r>
        <w:rPr>
          <w:szCs w:val="24"/>
        </w:rPr>
        <w:tab/>
      </w:r>
      <w:r>
        <w:t>Expiration Date</w:t>
      </w:r>
      <w:r>
        <w:tab/>
        <w:t>9</w:t>
      </w:r>
    </w:p>
    <w:p w:rsidR="000826D1" w:rsidRDefault="000826D1" w:rsidP="000826D1">
      <w:pPr>
        <w:pStyle w:val="TOC2"/>
        <w:rPr>
          <w:szCs w:val="24"/>
        </w:rPr>
      </w:pPr>
      <w:r>
        <w:t>A18</w:t>
      </w:r>
      <w:r>
        <w:rPr>
          <w:szCs w:val="24"/>
        </w:rPr>
        <w:tab/>
      </w:r>
      <w:r>
        <w:t>Exceptions to Certification</w:t>
      </w:r>
      <w:r>
        <w:tab/>
        <w:t>9</w:t>
      </w:r>
    </w:p>
    <w:p w:rsidR="000826D1" w:rsidRDefault="000826D1" w:rsidP="000826D1">
      <w:pPr>
        <w:pStyle w:val="TOC1"/>
        <w:tabs>
          <w:tab w:val="right" w:leader="dot" w:pos="8990"/>
        </w:tabs>
        <w:rPr>
          <w:b w:val="0"/>
          <w:noProof/>
          <w:szCs w:val="24"/>
        </w:rPr>
      </w:pPr>
      <w:r>
        <w:rPr>
          <w:noProof/>
        </w:rPr>
        <w:t>Part B: Statistical Methods</w:t>
      </w:r>
      <w:r>
        <w:rPr>
          <w:noProof/>
        </w:rPr>
        <w:tab/>
        <w:t>9</w:t>
      </w:r>
    </w:p>
    <w:p w:rsidR="000826D1" w:rsidRDefault="000826D1" w:rsidP="000826D1">
      <w:pPr>
        <w:pStyle w:val="TOC1"/>
        <w:tabs>
          <w:tab w:val="right" w:leader="dot" w:pos="8990"/>
        </w:tabs>
        <w:rPr>
          <w:b w:val="0"/>
          <w:noProof/>
          <w:szCs w:val="24"/>
        </w:rPr>
      </w:pPr>
      <w:r>
        <w:rPr>
          <w:noProof/>
        </w:rPr>
        <w:t>Attachment A</w:t>
      </w:r>
    </w:p>
    <w:p w:rsidR="000826D1" w:rsidRDefault="000826D1" w:rsidP="000826D1">
      <w:pPr>
        <w:pStyle w:val="TOC1"/>
        <w:tabs>
          <w:tab w:val="right" w:leader="dot" w:pos="8990"/>
        </w:tabs>
        <w:spacing w:before="0"/>
        <w:rPr>
          <w:b w:val="0"/>
          <w:noProof/>
          <w:szCs w:val="24"/>
        </w:rPr>
      </w:pPr>
      <w:r>
        <w:rPr>
          <w:noProof/>
        </w:rPr>
        <w:t xml:space="preserve">CoC Check Up Tool: Data </w:t>
      </w:r>
      <w:r w:rsidR="008365C4">
        <w:rPr>
          <w:noProof/>
        </w:rPr>
        <w:t xml:space="preserve">Domains, </w:t>
      </w:r>
      <w:r>
        <w:rPr>
          <w:noProof/>
        </w:rPr>
        <w:t>Elements, Indicators and Justification</w:t>
      </w:r>
      <w:r>
        <w:rPr>
          <w:noProof/>
        </w:rPr>
        <w:tab/>
      </w:r>
      <w:r w:rsidR="00FC484E">
        <w:rPr>
          <w:noProof/>
        </w:rPr>
        <w:fldChar w:fldCharType="begin"/>
      </w:r>
      <w:r>
        <w:rPr>
          <w:noProof/>
        </w:rPr>
        <w:instrText xml:space="preserve"> PAGEREF _Toc217119780 \h </w:instrText>
      </w:r>
      <w:r w:rsidR="00FC484E">
        <w:rPr>
          <w:noProof/>
        </w:rPr>
      </w:r>
      <w:r w:rsidR="00FC484E">
        <w:rPr>
          <w:noProof/>
        </w:rPr>
        <w:fldChar w:fldCharType="separate"/>
      </w:r>
      <w:r>
        <w:rPr>
          <w:noProof/>
        </w:rPr>
        <w:t>10</w:t>
      </w:r>
      <w:r w:rsidR="00FC484E">
        <w:rPr>
          <w:noProof/>
        </w:rPr>
        <w:fldChar w:fldCharType="end"/>
      </w:r>
    </w:p>
    <w:p w:rsidR="000826D1" w:rsidRDefault="000826D1" w:rsidP="000826D1">
      <w:pPr>
        <w:pStyle w:val="TOC1"/>
        <w:tabs>
          <w:tab w:val="right" w:leader="dot" w:pos="8990"/>
        </w:tabs>
        <w:rPr>
          <w:b w:val="0"/>
          <w:noProof/>
          <w:szCs w:val="24"/>
        </w:rPr>
      </w:pPr>
      <w:r>
        <w:rPr>
          <w:noProof/>
        </w:rPr>
        <w:t>Attachment B</w:t>
      </w:r>
    </w:p>
    <w:p w:rsidR="000826D1" w:rsidRDefault="000826D1" w:rsidP="000826D1">
      <w:pPr>
        <w:pStyle w:val="TOC1"/>
        <w:tabs>
          <w:tab w:val="right" w:leader="dot" w:pos="8990"/>
        </w:tabs>
        <w:spacing w:before="0"/>
        <w:rPr>
          <w:b w:val="0"/>
          <w:noProof/>
          <w:szCs w:val="24"/>
        </w:rPr>
      </w:pPr>
      <w:r>
        <w:rPr>
          <w:noProof/>
        </w:rPr>
        <w:t>Federal Register Notice for OMB Clearance</w:t>
      </w:r>
      <w:r>
        <w:rPr>
          <w:noProof/>
        </w:rPr>
        <w:tab/>
      </w:r>
      <w:r w:rsidR="008365C4">
        <w:rPr>
          <w:noProof/>
        </w:rPr>
        <w:t>22</w:t>
      </w:r>
    </w:p>
    <w:p w:rsidR="000826D1" w:rsidRDefault="00FC484E" w:rsidP="000826D1">
      <w:pPr>
        <w:tabs>
          <w:tab w:val="right" w:leader="dot" w:pos="9360"/>
        </w:tabs>
        <w:sectPr w:rsidR="000826D1" w:rsidSect="00BD56EF">
          <w:footerReference w:type="default" r:id="rId9"/>
          <w:pgSz w:w="12240" w:h="15840" w:code="1"/>
          <w:pgMar w:top="1440" w:right="1440" w:bottom="1440" w:left="1440" w:header="720" w:footer="576" w:gutter="0"/>
          <w:pgNumType w:fmt="lowerRoman" w:start="1"/>
          <w:cols w:space="720"/>
        </w:sectPr>
      </w:pPr>
      <w:r>
        <w:fldChar w:fldCharType="end"/>
      </w:r>
    </w:p>
    <w:p w:rsidR="009E0445" w:rsidRDefault="009E0445" w:rsidP="009E0445">
      <w:pPr>
        <w:pStyle w:val="AbtHeadA"/>
      </w:pPr>
      <w:r>
        <w:lastRenderedPageBreak/>
        <w:t>Part A Justification</w:t>
      </w:r>
      <w:bookmarkEnd w:id="0"/>
      <w:bookmarkEnd w:id="1"/>
    </w:p>
    <w:p w:rsidR="009E0445" w:rsidRDefault="009E0445" w:rsidP="009E0445">
      <w:pPr>
        <w:pStyle w:val="AbtHeadB"/>
        <w:rPr>
          <w:rFonts w:ascii="Times New Roman" w:hAnsi="Times New Roman"/>
          <w:b w:val="0"/>
          <w:sz w:val="22"/>
        </w:rPr>
      </w:pPr>
      <w:bookmarkStart w:id="2" w:name="_Toc224972096"/>
      <w:bookmarkStart w:id="3" w:name="_Toc233444276"/>
      <w:r>
        <w:t>A1</w:t>
      </w:r>
      <w:r>
        <w:tab/>
        <w:t>Need and Legal Basis</w:t>
      </w:r>
      <w:bookmarkEnd w:id="2"/>
      <w:bookmarkEnd w:id="3"/>
    </w:p>
    <w:p w:rsidR="009E0445" w:rsidRDefault="009E0445" w:rsidP="009E0445">
      <w:pPr>
        <w:pStyle w:val="AbtHeadB"/>
        <w:rPr>
          <w:b w:val="0"/>
          <w:i/>
          <w:sz w:val="24"/>
        </w:rPr>
      </w:pPr>
      <w:bookmarkStart w:id="4" w:name="_Toc228162069"/>
      <w:bookmarkStart w:id="5" w:name="_Toc228162169"/>
      <w:bookmarkStart w:id="6" w:name="_Toc228162241"/>
      <w:bookmarkStart w:id="7" w:name="_Toc233444277"/>
      <w:bookmarkStart w:id="8" w:name="_Toc224972097"/>
      <w:bookmarkStart w:id="9" w:name="_Toc224972193"/>
      <w:bookmarkStart w:id="10" w:name="_Toc224972249"/>
      <w:bookmarkStart w:id="11" w:name="_Toc224972307"/>
      <w:bookmarkStart w:id="12" w:name="_Toc224976962"/>
      <w:r>
        <w:rPr>
          <w:b w:val="0"/>
          <w:i/>
          <w:sz w:val="24"/>
        </w:rPr>
        <w:t>Why is this information necessary?  Identify any legal or administrative requirements that necessitate the collection.</w:t>
      </w:r>
      <w:bookmarkEnd w:id="4"/>
      <w:bookmarkEnd w:id="5"/>
      <w:bookmarkEnd w:id="6"/>
      <w:bookmarkEnd w:id="7"/>
      <w:r>
        <w:rPr>
          <w:b w:val="0"/>
          <w:i/>
          <w:sz w:val="24"/>
        </w:rPr>
        <w:t xml:space="preserve">  </w:t>
      </w:r>
      <w:bookmarkEnd w:id="8"/>
      <w:bookmarkEnd w:id="9"/>
      <w:bookmarkEnd w:id="10"/>
      <w:bookmarkEnd w:id="11"/>
      <w:bookmarkEnd w:id="12"/>
    </w:p>
    <w:p w:rsidR="00002B02" w:rsidRPr="00002B02" w:rsidRDefault="009E0445" w:rsidP="00002B02">
      <w:pPr>
        <w:pStyle w:val="CM50"/>
        <w:spacing w:after="245" w:line="253" w:lineRule="atLeast"/>
        <w:ind w:right="255"/>
        <w:rPr>
          <w:rFonts w:ascii="Times New Roman" w:hAnsi="Times New Roman"/>
          <w:color w:val="000000"/>
        </w:rPr>
      </w:pPr>
      <w:r w:rsidRPr="00002B02">
        <w:rPr>
          <w:rFonts w:ascii="Times New Roman" w:hAnsi="Times New Roman"/>
        </w:rPr>
        <w:t>This request is for clearance of</w:t>
      </w:r>
      <w:r w:rsidR="00656AD8" w:rsidRPr="00002B02">
        <w:rPr>
          <w:rFonts w:ascii="Times New Roman" w:hAnsi="Times New Roman"/>
        </w:rPr>
        <w:t xml:space="preserve"> a</w:t>
      </w:r>
      <w:r w:rsidR="00043E67" w:rsidRPr="00002B02">
        <w:rPr>
          <w:rFonts w:ascii="Times New Roman" w:hAnsi="Times New Roman"/>
        </w:rPr>
        <w:t>n</w:t>
      </w:r>
      <w:r w:rsidR="00656AD8" w:rsidRPr="00002B02">
        <w:rPr>
          <w:rFonts w:ascii="Times New Roman" w:hAnsi="Times New Roman"/>
        </w:rPr>
        <w:t xml:space="preserve"> assessment tool</w:t>
      </w:r>
      <w:r w:rsidR="00043E67" w:rsidRPr="00002B02">
        <w:rPr>
          <w:rFonts w:ascii="Times New Roman" w:hAnsi="Times New Roman"/>
        </w:rPr>
        <w:t>,</w:t>
      </w:r>
      <w:r w:rsidRPr="00002B02">
        <w:rPr>
          <w:rFonts w:ascii="Times New Roman" w:hAnsi="Times New Roman"/>
        </w:rPr>
        <w:t xml:space="preserve"> </w:t>
      </w:r>
      <w:r w:rsidR="00656AD8" w:rsidRPr="00002B02">
        <w:rPr>
          <w:rFonts w:ascii="Times New Roman" w:hAnsi="Times New Roman"/>
        </w:rPr>
        <w:t xml:space="preserve">called the CoC </w:t>
      </w:r>
      <w:r w:rsidR="00DC7B9B">
        <w:rPr>
          <w:rFonts w:ascii="Times New Roman" w:hAnsi="Times New Roman"/>
        </w:rPr>
        <w:t>Check-</w:t>
      </w:r>
      <w:r w:rsidR="00597E35">
        <w:rPr>
          <w:rFonts w:ascii="Times New Roman" w:hAnsi="Times New Roman"/>
        </w:rPr>
        <w:t>up</w:t>
      </w:r>
      <w:r w:rsidR="00597E35" w:rsidRPr="00002B02">
        <w:rPr>
          <w:rFonts w:ascii="Times New Roman" w:hAnsi="Times New Roman"/>
        </w:rPr>
        <w:t xml:space="preserve"> that</w:t>
      </w:r>
      <w:r w:rsidR="00043E67" w:rsidRPr="00002B02">
        <w:rPr>
          <w:rFonts w:ascii="Times New Roman" w:hAnsi="Times New Roman"/>
        </w:rPr>
        <w:t xml:space="preserve"> will be self-administered by </w:t>
      </w:r>
      <w:r w:rsidR="004A383A">
        <w:rPr>
          <w:rFonts w:ascii="Times New Roman" w:hAnsi="Times New Roman"/>
        </w:rPr>
        <w:t xml:space="preserve">members of </w:t>
      </w:r>
      <w:r w:rsidR="00DC7B9B">
        <w:rPr>
          <w:rFonts w:ascii="Times New Roman" w:hAnsi="Times New Roman"/>
        </w:rPr>
        <w:t xml:space="preserve">each </w:t>
      </w:r>
      <w:r w:rsidR="00043E67" w:rsidRPr="00002B02">
        <w:rPr>
          <w:rFonts w:ascii="Times New Roman" w:hAnsi="Times New Roman"/>
        </w:rPr>
        <w:t>Continuums of Care (CoC)</w:t>
      </w:r>
      <w:r w:rsidR="00DC7B9B">
        <w:rPr>
          <w:rFonts w:ascii="Times New Roman" w:hAnsi="Times New Roman"/>
        </w:rPr>
        <w:t>.  CoCs are planning groups comprised of representatives from local, state and federal government, nonprofit and faith based-organizations that serve homeless persons, homeless and formerly homeless persons, housing developers, public housing agencies, and health care providers that coordinate the system of care (e.g. housing and services) for persons experiencing homelessness or at risk of homelessness.</w:t>
      </w:r>
      <w:r w:rsidR="00002B02" w:rsidRPr="00002B02">
        <w:rPr>
          <w:rFonts w:ascii="Times New Roman" w:hAnsi="Times New Roman"/>
          <w:color w:val="000000"/>
        </w:rPr>
        <w:t xml:space="preserve">  </w:t>
      </w:r>
      <w:r w:rsidR="00002B02" w:rsidRPr="00002B02">
        <w:rPr>
          <w:rFonts w:ascii="Times New Roman" w:hAnsi="Times New Roman"/>
        </w:rPr>
        <w:t xml:space="preserve">The need and legal basis for these reporting </w:t>
      </w:r>
      <w:r w:rsidR="00002B02" w:rsidRPr="00002B02">
        <w:rPr>
          <w:rFonts w:ascii="Times New Roman" w:hAnsi="Times New Roman"/>
          <w:color w:val="000000"/>
        </w:rPr>
        <w:t>requirements are presented below.</w:t>
      </w:r>
    </w:p>
    <w:p w:rsidR="00002B02" w:rsidRPr="00860645" w:rsidRDefault="00002B02" w:rsidP="00002B02">
      <w:pPr>
        <w:pStyle w:val="CM50"/>
        <w:spacing w:after="245" w:line="253" w:lineRule="atLeast"/>
        <w:ind w:right="255"/>
        <w:rPr>
          <w:rFonts w:ascii="Times New Roman" w:hAnsi="Times New Roman"/>
          <w:color w:val="000000"/>
        </w:rPr>
      </w:pPr>
      <w:r w:rsidRPr="00860645">
        <w:rPr>
          <w:rFonts w:ascii="Times New Roman" w:hAnsi="Times New Roman"/>
          <w:color w:val="000000"/>
        </w:rPr>
        <w:t>In 1987, Congress passed</w:t>
      </w:r>
      <w:r w:rsidRPr="008911D6">
        <w:rPr>
          <w:rFonts w:ascii="Times New Roman" w:hAnsi="Times New Roman"/>
          <w:color w:val="000000"/>
        </w:rPr>
        <w:t xml:space="preserve"> </w:t>
      </w:r>
      <w:r w:rsidRPr="00860645">
        <w:rPr>
          <w:rFonts w:ascii="Times New Roman" w:hAnsi="Times New Roman"/>
          <w:color w:val="000000"/>
        </w:rPr>
        <w:t>the Stewart B. McKinney Homeless Assistance Act of 1987 (later renamed the McKinney-Vento Homeless Assista</w:t>
      </w:r>
      <w:r>
        <w:rPr>
          <w:rFonts w:ascii="Times New Roman" w:hAnsi="Times New Roman"/>
          <w:color w:val="000000"/>
        </w:rPr>
        <w:t>nce Act), which was</w:t>
      </w:r>
      <w:r w:rsidRPr="00860645">
        <w:rPr>
          <w:rFonts w:ascii="Times New Roman" w:hAnsi="Times New Roman"/>
          <w:color w:val="000000"/>
        </w:rPr>
        <w:t xml:space="preserve"> the first federal law speci</w:t>
      </w:r>
      <w:r>
        <w:rPr>
          <w:rFonts w:ascii="Times New Roman" w:hAnsi="Times New Roman"/>
          <w:color w:val="000000"/>
        </w:rPr>
        <w:t xml:space="preserve">fically addressing homelessness.  </w:t>
      </w:r>
      <w:r w:rsidRPr="00860645">
        <w:rPr>
          <w:rFonts w:ascii="Times New Roman" w:hAnsi="Times New Roman"/>
          <w:color w:val="000000"/>
        </w:rPr>
        <w:t xml:space="preserve">The McKinney-Vento Act provides federal financial support for a variety of programs to meet the many needs of individuals and families who are homeless. The housing programs it authorizes are administered by HUD’s Office of Special Needs Assistance Programs. </w:t>
      </w:r>
    </w:p>
    <w:p w:rsidR="00002B02" w:rsidRPr="00860645" w:rsidRDefault="00002B02" w:rsidP="00002B02">
      <w:pPr>
        <w:autoSpaceDE w:val="0"/>
        <w:autoSpaceDN w:val="0"/>
        <w:adjustRightInd w:val="0"/>
        <w:spacing w:before="240"/>
        <w:rPr>
          <w:color w:val="000000"/>
        </w:rPr>
      </w:pPr>
      <w:r w:rsidRPr="00860645">
        <w:rPr>
          <w:color w:val="000000"/>
        </w:rPr>
        <w:t xml:space="preserve">Initially, HUD did </w:t>
      </w:r>
      <w:r>
        <w:rPr>
          <w:color w:val="000000"/>
        </w:rPr>
        <w:t xml:space="preserve">not </w:t>
      </w:r>
      <w:r w:rsidRPr="00860645">
        <w:rPr>
          <w:color w:val="000000"/>
        </w:rPr>
        <w:t>require systemic planning of homele</w:t>
      </w:r>
      <w:r>
        <w:rPr>
          <w:color w:val="000000"/>
        </w:rPr>
        <w:t xml:space="preserve">ss services at the local level, allowing </w:t>
      </w:r>
      <w:r w:rsidRPr="00860645">
        <w:rPr>
          <w:color w:val="000000"/>
        </w:rPr>
        <w:t>individual organizations throughout the country</w:t>
      </w:r>
      <w:r>
        <w:rPr>
          <w:color w:val="000000"/>
        </w:rPr>
        <w:t xml:space="preserve"> to submit </w:t>
      </w:r>
      <w:r w:rsidRPr="00860645">
        <w:rPr>
          <w:color w:val="000000"/>
        </w:rPr>
        <w:t xml:space="preserve">applications </w:t>
      </w:r>
      <w:r>
        <w:rPr>
          <w:color w:val="000000"/>
        </w:rPr>
        <w:t xml:space="preserve">for </w:t>
      </w:r>
      <w:r w:rsidRPr="00860645">
        <w:rPr>
          <w:color w:val="000000"/>
        </w:rPr>
        <w:t xml:space="preserve">HUD’s annual national funding competitions. </w:t>
      </w:r>
      <w:r w:rsidR="008D72D3">
        <w:rPr>
          <w:color w:val="000000"/>
        </w:rPr>
        <w:t xml:space="preserve"> I</w:t>
      </w:r>
      <w:r w:rsidRPr="00860645">
        <w:rPr>
          <w:color w:val="000000"/>
        </w:rPr>
        <w:t xml:space="preserve">n 1994, </w:t>
      </w:r>
      <w:r w:rsidR="008D72D3">
        <w:rPr>
          <w:color w:val="000000"/>
        </w:rPr>
        <w:t xml:space="preserve">through the annual Notice of Funding Availability (NOFA), </w:t>
      </w:r>
      <w:r w:rsidRPr="00860645">
        <w:rPr>
          <w:color w:val="000000"/>
        </w:rPr>
        <w:t xml:space="preserve">HUD </w:t>
      </w:r>
      <w:r>
        <w:rPr>
          <w:color w:val="000000"/>
        </w:rPr>
        <w:t xml:space="preserve">began </w:t>
      </w:r>
      <w:r w:rsidR="008D72D3">
        <w:rPr>
          <w:color w:val="000000"/>
        </w:rPr>
        <w:t xml:space="preserve">to </w:t>
      </w:r>
      <w:r>
        <w:rPr>
          <w:color w:val="000000"/>
        </w:rPr>
        <w:t>requir</w:t>
      </w:r>
      <w:r w:rsidR="008D72D3">
        <w:rPr>
          <w:color w:val="000000"/>
        </w:rPr>
        <w:t>e</w:t>
      </w:r>
      <w:r w:rsidR="004A383A">
        <w:rPr>
          <w:color w:val="000000"/>
        </w:rPr>
        <w:t xml:space="preserve"> </w:t>
      </w:r>
      <w:r w:rsidR="008F6ABD">
        <w:rPr>
          <w:color w:val="000000"/>
        </w:rPr>
        <w:t xml:space="preserve">that </w:t>
      </w:r>
      <w:r w:rsidRPr="00860645">
        <w:rPr>
          <w:color w:val="000000"/>
        </w:rPr>
        <w:t xml:space="preserve">each community </w:t>
      </w:r>
      <w:r w:rsidR="008F6ABD">
        <w:rPr>
          <w:color w:val="000000"/>
        </w:rPr>
        <w:t xml:space="preserve">form a </w:t>
      </w:r>
      <w:r w:rsidR="008D72D3">
        <w:rPr>
          <w:color w:val="000000"/>
        </w:rPr>
        <w:t xml:space="preserve">Continuum of Care (CoC) </w:t>
      </w:r>
      <w:r w:rsidR="008F6ABD">
        <w:rPr>
          <w:color w:val="000000"/>
        </w:rPr>
        <w:t xml:space="preserve">and </w:t>
      </w:r>
      <w:r w:rsidRPr="00860645">
        <w:rPr>
          <w:color w:val="000000"/>
        </w:rPr>
        <w:t>submit a single comprehensive application that inc</w:t>
      </w:r>
      <w:r w:rsidR="008D72D3">
        <w:rPr>
          <w:color w:val="000000"/>
        </w:rPr>
        <w:t>ludes many of the organizations</w:t>
      </w:r>
      <w:r w:rsidRPr="00860645">
        <w:rPr>
          <w:color w:val="000000"/>
        </w:rPr>
        <w:t xml:space="preserve"> in </w:t>
      </w:r>
      <w:r w:rsidR="008F6ABD">
        <w:rPr>
          <w:color w:val="000000"/>
        </w:rPr>
        <w:t>the</w:t>
      </w:r>
      <w:r w:rsidR="008F6ABD" w:rsidRPr="00860645">
        <w:rPr>
          <w:color w:val="000000"/>
        </w:rPr>
        <w:t xml:space="preserve"> </w:t>
      </w:r>
      <w:r w:rsidRPr="00860645">
        <w:rPr>
          <w:color w:val="000000"/>
        </w:rPr>
        <w:t>community</w:t>
      </w:r>
      <w:r w:rsidR="008D72D3">
        <w:rPr>
          <w:color w:val="000000"/>
        </w:rPr>
        <w:t xml:space="preserve"> that provide services to homeless persons</w:t>
      </w:r>
      <w:r w:rsidRPr="00860645">
        <w:rPr>
          <w:color w:val="000000"/>
        </w:rPr>
        <w:t xml:space="preserve">. </w:t>
      </w:r>
      <w:r w:rsidR="008D72D3">
        <w:rPr>
          <w:color w:val="000000"/>
        </w:rPr>
        <w:t xml:space="preserve">Each CoC </w:t>
      </w:r>
      <w:r>
        <w:t>use</w:t>
      </w:r>
      <w:r w:rsidR="008D72D3">
        <w:t>s</w:t>
      </w:r>
      <w:r>
        <w:t xml:space="preserve"> its competitively-awarded HUD funds to address the problems of homelessness in a comprehensive manner </w:t>
      </w:r>
      <w:r w:rsidR="008D72D3">
        <w:t xml:space="preserve">and in coordination </w:t>
      </w:r>
      <w:r>
        <w:t xml:space="preserve">with other federal </w:t>
      </w:r>
      <w:r w:rsidR="008D72D3">
        <w:t>funding</w:t>
      </w:r>
      <w:r>
        <w:t>.</w:t>
      </w:r>
      <w:r>
        <w:rPr>
          <w:color w:val="000000"/>
        </w:rPr>
        <w:t xml:space="preserve">  </w:t>
      </w:r>
      <w:r w:rsidRPr="00860645">
        <w:rPr>
          <w:color w:val="000000"/>
        </w:rPr>
        <w:t>HUD’s intent in creating this structured application process was to stimulate community-wide planning and coordination of programs for individuals and families who are homeless.</w:t>
      </w:r>
    </w:p>
    <w:p w:rsidR="00002B02" w:rsidRPr="00860645" w:rsidRDefault="00002B02" w:rsidP="00002B02">
      <w:pPr>
        <w:autoSpaceDE w:val="0"/>
        <w:autoSpaceDN w:val="0"/>
        <w:adjustRightInd w:val="0"/>
      </w:pPr>
    </w:p>
    <w:p w:rsidR="00002B02" w:rsidRPr="007927F6" w:rsidRDefault="00002B02" w:rsidP="00002B02">
      <w:pPr>
        <w:autoSpaceDE w:val="0"/>
        <w:autoSpaceDN w:val="0"/>
        <w:adjustRightInd w:val="0"/>
        <w:rPr>
          <w:color w:val="000000"/>
        </w:rPr>
      </w:pPr>
      <w:r w:rsidRPr="007927F6">
        <w:t>The Homeless Emergency and Rapid Transition to Housing (HEARTH) Act of 2009 (S. 896), signed by President Obama on May 20, 2009, amends and reauthorizes the McKinney-Vento Homeless Assistance Act and enacts major changes to McKinney-Vento</w:t>
      </w:r>
      <w:r w:rsidRPr="007927F6">
        <w:rPr>
          <w:color w:val="000000"/>
        </w:rPr>
        <w:t>, including:</w:t>
      </w:r>
    </w:p>
    <w:p w:rsidR="003F7843" w:rsidRDefault="003F7843" w:rsidP="00002B02">
      <w:pPr>
        <w:numPr>
          <w:ilvl w:val="0"/>
          <w:numId w:val="10"/>
        </w:numPr>
        <w:spacing w:before="100" w:beforeAutospacing="1" w:after="100" w:afterAutospacing="1"/>
      </w:pPr>
      <w:r>
        <w:t xml:space="preserve">Codification of </w:t>
      </w:r>
      <w:r w:rsidR="004A383A">
        <w:t xml:space="preserve">the </w:t>
      </w:r>
      <w:r>
        <w:t xml:space="preserve">Continuum of Care </w:t>
      </w:r>
      <w:r w:rsidR="004A383A">
        <w:t xml:space="preserve">process, including </w:t>
      </w:r>
      <w:r>
        <w:t>lead entity role and responsibilities;</w:t>
      </w:r>
    </w:p>
    <w:p w:rsidR="00002B02" w:rsidRPr="007927F6" w:rsidRDefault="008D72D3" w:rsidP="00002B02">
      <w:pPr>
        <w:numPr>
          <w:ilvl w:val="0"/>
          <w:numId w:val="10"/>
        </w:numPr>
        <w:spacing w:before="100" w:beforeAutospacing="1" w:after="100" w:afterAutospacing="1"/>
      </w:pPr>
      <w:r>
        <w:t>C</w:t>
      </w:r>
      <w:r w:rsidR="00002B02" w:rsidRPr="007927F6">
        <w:t xml:space="preserve">onsolidation of HUD’s competitive </w:t>
      </w:r>
      <w:r w:rsidR="003F7843">
        <w:t>Homeless Assistance p</w:t>
      </w:r>
      <w:r w:rsidR="00002B02" w:rsidRPr="007927F6">
        <w:t>rograms</w:t>
      </w:r>
      <w:r w:rsidR="003F7843">
        <w:t xml:space="preserve"> into one Continuum of Care program</w:t>
      </w:r>
      <w:r w:rsidR="00002B02" w:rsidRPr="007927F6">
        <w:t>;</w:t>
      </w:r>
    </w:p>
    <w:p w:rsidR="00002B02" w:rsidRPr="007927F6" w:rsidRDefault="008D72D3" w:rsidP="00002B02">
      <w:pPr>
        <w:numPr>
          <w:ilvl w:val="0"/>
          <w:numId w:val="10"/>
        </w:numPr>
        <w:spacing w:before="100" w:beforeAutospacing="1" w:after="100" w:afterAutospacing="1"/>
      </w:pPr>
      <w:r>
        <w:t>C</w:t>
      </w:r>
      <w:r w:rsidR="00002B02" w:rsidRPr="007927F6">
        <w:t>reation of a Rural Housing Stability Program;</w:t>
      </w:r>
    </w:p>
    <w:p w:rsidR="00002B02" w:rsidRPr="007927F6" w:rsidRDefault="00002B02" w:rsidP="00002B02">
      <w:pPr>
        <w:numPr>
          <w:ilvl w:val="0"/>
          <w:numId w:val="10"/>
        </w:numPr>
        <w:spacing w:before="100" w:beforeAutospacing="1" w:after="100" w:afterAutospacing="1"/>
      </w:pPr>
      <w:r w:rsidRPr="007927F6">
        <w:lastRenderedPageBreak/>
        <w:t>A change in HUD’s definition of homelessness;</w:t>
      </w:r>
    </w:p>
    <w:p w:rsidR="00002B02" w:rsidRPr="007927F6" w:rsidRDefault="00002B02" w:rsidP="00002B02">
      <w:pPr>
        <w:numPr>
          <w:ilvl w:val="0"/>
          <w:numId w:val="10"/>
        </w:numPr>
        <w:spacing w:before="100" w:beforeAutospacing="1" w:after="100" w:afterAutospacing="1"/>
      </w:pPr>
      <w:r w:rsidRPr="007927F6">
        <w:t>A simplified match requirement;</w:t>
      </w:r>
    </w:p>
    <w:p w:rsidR="00002B02" w:rsidRPr="007927F6" w:rsidRDefault="00002B02" w:rsidP="00002B02">
      <w:pPr>
        <w:numPr>
          <w:ilvl w:val="0"/>
          <w:numId w:val="10"/>
        </w:numPr>
        <w:spacing w:before="100" w:beforeAutospacing="1" w:after="100" w:afterAutospacing="1"/>
      </w:pPr>
      <w:r w:rsidRPr="007927F6">
        <w:t xml:space="preserve">An increase in </w:t>
      </w:r>
      <w:r w:rsidR="00BE75CD">
        <w:t xml:space="preserve">authorized </w:t>
      </w:r>
      <w:r w:rsidRPr="007927F6">
        <w:t>resources</w:t>
      </w:r>
      <w:r w:rsidR="0002406C">
        <w:t xml:space="preserve"> dedicated to preventing homelessness</w:t>
      </w:r>
      <w:r w:rsidRPr="007927F6">
        <w:t xml:space="preserve">; </w:t>
      </w:r>
    </w:p>
    <w:p w:rsidR="00002B02" w:rsidRDefault="00002B02" w:rsidP="00002B02">
      <w:pPr>
        <w:numPr>
          <w:ilvl w:val="0"/>
          <w:numId w:val="10"/>
        </w:numPr>
        <w:spacing w:before="100" w:beforeAutospacing="1" w:after="100" w:afterAutospacing="1"/>
      </w:pPr>
      <w:r w:rsidRPr="007927F6">
        <w:t xml:space="preserve">An increase in the emphasis on </w:t>
      </w:r>
      <w:r w:rsidR="0002406C">
        <w:t xml:space="preserve">local program </w:t>
      </w:r>
      <w:r w:rsidR="003F7843">
        <w:t>performance;</w:t>
      </w:r>
    </w:p>
    <w:p w:rsidR="003F7843" w:rsidRPr="007927F6" w:rsidRDefault="00BE75CD" w:rsidP="00002B02">
      <w:pPr>
        <w:numPr>
          <w:ilvl w:val="0"/>
          <w:numId w:val="10"/>
        </w:numPr>
        <w:spacing w:before="100" w:beforeAutospacing="1" w:after="100" w:afterAutospacing="1"/>
      </w:pPr>
      <w:r>
        <w:t>Authorized f</w:t>
      </w:r>
      <w:r w:rsidR="003F7843">
        <w:t>unding for Continuum of Care “Collaborative Applicants” and “Unified Funding Agencies” to support CoC management, project selection, and monitoring requirements.</w:t>
      </w:r>
    </w:p>
    <w:p w:rsidR="00002B02" w:rsidRPr="007927F6" w:rsidRDefault="00002B02" w:rsidP="00002B02">
      <w:pPr>
        <w:autoSpaceDE w:val="0"/>
        <w:autoSpaceDN w:val="0"/>
        <w:adjustRightInd w:val="0"/>
        <w:rPr>
          <w:color w:val="000000"/>
        </w:rPr>
      </w:pPr>
      <w:r w:rsidRPr="007927F6">
        <w:t xml:space="preserve">The changes </w:t>
      </w:r>
      <w:r w:rsidRPr="007927F6">
        <w:rPr>
          <w:color w:val="000000"/>
        </w:rPr>
        <w:t xml:space="preserve">introduced by the </w:t>
      </w:r>
      <w:r w:rsidRPr="007927F6">
        <w:t xml:space="preserve">HEARTH Act </w:t>
      </w:r>
      <w:r w:rsidR="00152939">
        <w:t xml:space="preserve">amendments </w:t>
      </w:r>
      <w:r w:rsidRPr="007927F6">
        <w:t xml:space="preserve">allow for increased flexibility </w:t>
      </w:r>
      <w:r w:rsidR="003F7843">
        <w:t xml:space="preserve">for </w:t>
      </w:r>
      <w:r w:rsidR="00A01E4B">
        <w:t xml:space="preserve">CoCs to determine </w:t>
      </w:r>
      <w:r w:rsidRPr="007927F6">
        <w:t>who may be served and what activities may be carried out with McKinney-Vento funds</w:t>
      </w:r>
      <w:r w:rsidR="00DC7B9B">
        <w:t xml:space="preserve"> as well as increased responsibilities for project review and performance measurement</w:t>
      </w:r>
      <w:r w:rsidRPr="007927F6">
        <w:t xml:space="preserve">.  </w:t>
      </w:r>
      <w:r w:rsidR="00DE53CE">
        <w:t xml:space="preserve">Through simplified requirements, broader </w:t>
      </w:r>
      <w:r w:rsidR="00AA3517">
        <w:t xml:space="preserve">and more applicable </w:t>
      </w:r>
      <w:r w:rsidR="00DE53CE">
        <w:t xml:space="preserve">definitions, and new financial and data management tools, HUD believes that this flexibility will lead to better service provision and </w:t>
      </w:r>
      <w:r w:rsidR="00AA3517">
        <w:t xml:space="preserve">better </w:t>
      </w:r>
      <w:r w:rsidR="00DE53CE">
        <w:t xml:space="preserve">monitoring of progress in ending </w:t>
      </w:r>
      <w:r w:rsidR="00076B57">
        <w:t xml:space="preserve">and preventing </w:t>
      </w:r>
      <w:r w:rsidR="00DE53CE">
        <w:t xml:space="preserve">homelessness.  </w:t>
      </w:r>
      <w:r w:rsidR="00076B57">
        <w:t>H</w:t>
      </w:r>
      <w:r w:rsidR="00407EA5">
        <w:t xml:space="preserve">owever, </w:t>
      </w:r>
      <w:r w:rsidR="00726729">
        <w:t xml:space="preserve">each </w:t>
      </w:r>
      <w:r w:rsidR="00AA3517">
        <w:t xml:space="preserve">CoC </w:t>
      </w:r>
      <w:r w:rsidR="00FA7B29">
        <w:t xml:space="preserve">will have the significant challenge of conducting </w:t>
      </w:r>
      <w:r w:rsidR="00CA68D1">
        <w:t xml:space="preserve">a targeted </w:t>
      </w:r>
      <w:r w:rsidR="00726729">
        <w:t>self-</w:t>
      </w:r>
      <w:r w:rsidR="00CA68D1">
        <w:t>assessment of their functional capacity to</w:t>
      </w:r>
      <w:r w:rsidR="00DE53CE">
        <w:t xml:space="preserve"> </w:t>
      </w:r>
      <w:r w:rsidR="00407EA5">
        <w:t xml:space="preserve">adapt </w:t>
      </w:r>
      <w:r w:rsidR="00DE53CE">
        <w:t>their strateg</w:t>
      </w:r>
      <w:r w:rsidR="00CA68D1">
        <w:t>ies and programs</w:t>
      </w:r>
      <w:r w:rsidR="00076B57">
        <w:t xml:space="preserve"> to HEARTH Act requirements.</w:t>
      </w:r>
      <w:r w:rsidR="00DE53CE">
        <w:t xml:space="preserve"> </w:t>
      </w:r>
      <w:r w:rsidRPr="007927F6">
        <w:rPr>
          <w:color w:val="000000"/>
        </w:rPr>
        <w:t xml:space="preserve">HUD believes </w:t>
      </w:r>
      <w:r w:rsidR="00407EA5">
        <w:rPr>
          <w:color w:val="000000"/>
        </w:rPr>
        <w:t>this challenge</w:t>
      </w:r>
      <w:r w:rsidRPr="007927F6">
        <w:rPr>
          <w:color w:val="000000"/>
        </w:rPr>
        <w:t xml:space="preserve"> </w:t>
      </w:r>
      <w:r w:rsidR="00A01E4B">
        <w:rPr>
          <w:color w:val="000000"/>
        </w:rPr>
        <w:t>provide</w:t>
      </w:r>
      <w:r w:rsidR="00407EA5">
        <w:rPr>
          <w:color w:val="000000"/>
        </w:rPr>
        <w:t>s</w:t>
      </w:r>
      <w:r w:rsidR="00A01E4B">
        <w:rPr>
          <w:color w:val="000000"/>
        </w:rPr>
        <w:t xml:space="preserve"> a</w:t>
      </w:r>
      <w:r w:rsidR="00AA3517">
        <w:rPr>
          <w:color w:val="000000"/>
        </w:rPr>
        <w:t xml:space="preserve"> </w:t>
      </w:r>
      <w:r w:rsidR="00076B57">
        <w:rPr>
          <w:color w:val="000000"/>
        </w:rPr>
        <w:t>great</w:t>
      </w:r>
      <w:r w:rsidR="00AA3517">
        <w:rPr>
          <w:color w:val="000000"/>
        </w:rPr>
        <w:t xml:space="preserve"> opportunity</w:t>
      </w:r>
      <w:r w:rsidR="00A01E4B">
        <w:rPr>
          <w:color w:val="000000"/>
        </w:rPr>
        <w:t xml:space="preserve"> for </w:t>
      </w:r>
      <w:r w:rsidR="00076B57">
        <w:rPr>
          <w:color w:val="000000"/>
        </w:rPr>
        <w:t>CoCs</w:t>
      </w:r>
      <w:r w:rsidR="00A5764B">
        <w:rPr>
          <w:color w:val="000000"/>
        </w:rPr>
        <w:t xml:space="preserve"> </w:t>
      </w:r>
      <w:r w:rsidR="00AA3517">
        <w:rPr>
          <w:color w:val="000000"/>
        </w:rPr>
        <w:t xml:space="preserve">to identify </w:t>
      </w:r>
      <w:r w:rsidRPr="007927F6">
        <w:rPr>
          <w:color w:val="000000"/>
        </w:rPr>
        <w:t>areas of improvement</w:t>
      </w:r>
      <w:r w:rsidR="003F7843">
        <w:rPr>
          <w:color w:val="000000"/>
        </w:rPr>
        <w:t xml:space="preserve"> consistent with national performance objectives and the federal plan to prevent and end homelessness recently adopted by the U</w:t>
      </w:r>
      <w:r w:rsidRPr="007927F6">
        <w:rPr>
          <w:color w:val="000000"/>
        </w:rPr>
        <w:t>.</w:t>
      </w:r>
      <w:r w:rsidR="003F7843">
        <w:rPr>
          <w:color w:val="000000"/>
        </w:rPr>
        <w:t>S. Interagency Council on Homelessness</w:t>
      </w:r>
      <w:r w:rsidR="00076B57">
        <w:rPr>
          <w:color w:val="000000"/>
        </w:rPr>
        <w:t>.  HUD also recognizes that CoCs will need significant support and assistance in the transition to HEARTH Act implementation.</w:t>
      </w:r>
      <w:r w:rsidRPr="007927F6">
        <w:rPr>
          <w:color w:val="000000"/>
        </w:rPr>
        <w:t xml:space="preserve">   </w:t>
      </w:r>
    </w:p>
    <w:p w:rsidR="00002B02" w:rsidRDefault="00407EA5" w:rsidP="00002B02">
      <w:pPr>
        <w:autoSpaceDE w:val="0"/>
        <w:autoSpaceDN w:val="0"/>
        <w:adjustRightInd w:val="0"/>
        <w:spacing w:before="240"/>
      </w:pPr>
      <w:r>
        <w:t>In</w:t>
      </w:r>
      <w:r w:rsidR="00002B02" w:rsidRPr="007927F6">
        <w:t xml:space="preserve"> an effort to ensure that </w:t>
      </w:r>
      <w:r w:rsidR="00DC7B9B">
        <w:t xml:space="preserve">each CoC and HUD are able to assess to what degree each CoC has </w:t>
      </w:r>
      <w:r w:rsidR="001D3C22">
        <w:t xml:space="preserve"> the functional capacity </w:t>
      </w:r>
      <w:r w:rsidR="00DC7B9B">
        <w:t xml:space="preserve">needed </w:t>
      </w:r>
      <w:r w:rsidR="001D3C22">
        <w:t>to</w:t>
      </w:r>
      <w:r w:rsidR="00002B02" w:rsidRPr="007927F6">
        <w:t xml:space="preserve"> assume </w:t>
      </w:r>
      <w:r w:rsidR="004A383A">
        <w:t>the</w:t>
      </w:r>
      <w:r w:rsidR="009D24EE">
        <w:t xml:space="preserve"> new</w:t>
      </w:r>
      <w:r w:rsidR="004A383A">
        <w:t xml:space="preserve"> </w:t>
      </w:r>
      <w:r w:rsidR="001D3C22">
        <w:t xml:space="preserve">responsibilities </w:t>
      </w:r>
      <w:r w:rsidR="009D24EE">
        <w:t xml:space="preserve">outlined in the </w:t>
      </w:r>
      <w:r w:rsidR="00BE75CD">
        <w:t xml:space="preserve">McKinney-Vento Act, as amended by </w:t>
      </w:r>
      <w:r w:rsidR="00DC7B9B">
        <w:t xml:space="preserve">the </w:t>
      </w:r>
      <w:r w:rsidR="00BE75CD">
        <w:t>HEARTH</w:t>
      </w:r>
      <w:r w:rsidR="00DC7B9B">
        <w:t xml:space="preserve"> Act</w:t>
      </w:r>
      <w:r>
        <w:t xml:space="preserve">, HUD is launching the CoC </w:t>
      </w:r>
      <w:r w:rsidR="00DC7B9B">
        <w:t>Check-up</w:t>
      </w:r>
      <w:r>
        <w:t xml:space="preserve"> Tool</w:t>
      </w:r>
      <w:r w:rsidR="00BE75CD">
        <w:t xml:space="preserve">.  </w:t>
      </w:r>
      <w:r w:rsidR="00002B02" w:rsidRPr="007927F6">
        <w:t xml:space="preserve"> </w:t>
      </w:r>
      <w:r w:rsidR="00076B57">
        <w:rPr>
          <w:color w:val="000000"/>
        </w:rPr>
        <w:t xml:space="preserve">The </w:t>
      </w:r>
      <w:r w:rsidR="00DC7B9B">
        <w:rPr>
          <w:color w:val="000000"/>
        </w:rPr>
        <w:t>Check-up</w:t>
      </w:r>
      <w:r>
        <w:rPr>
          <w:color w:val="000000"/>
        </w:rPr>
        <w:t xml:space="preserve"> tool</w:t>
      </w:r>
      <w:r w:rsidRPr="007927F6">
        <w:rPr>
          <w:color w:val="000000"/>
        </w:rPr>
        <w:t xml:space="preserve"> </w:t>
      </w:r>
      <w:r>
        <w:rPr>
          <w:color w:val="000000"/>
        </w:rPr>
        <w:t xml:space="preserve">will </w:t>
      </w:r>
      <w:r>
        <w:t xml:space="preserve">allow </w:t>
      </w:r>
      <w:r w:rsidR="00DC7B9B">
        <w:t xml:space="preserve">various stakeholders in the </w:t>
      </w:r>
      <w:r w:rsidR="00597E35">
        <w:t>CoC to</w:t>
      </w:r>
      <w:r>
        <w:t xml:space="preserve"> self-identify and prioritize areas where CoC capacity improvement is needed</w:t>
      </w:r>
      <w:r>
        <w:rPr>
          <w:color w:val="000000"/>
        </w:rPr>
        <w:t>.</w:t>
      </w:r>
      <w:r w:rsidRPr="007927F6">
        <w:rPr>
          <w:color w:val="000000"/>
        </w:rPr>
        <w:t xml:space="preserve"> </w:t>
      </w:r>
      <w:r w:rsidR="00076B57">
        <w:rPr>
          <w:color w:val="000000"/>
        </w:rPr>
        <w:t xml:space="preserve">Once the CoC has submitted the Check-up tool, TA providers will review the CoC’s responses in addition to data points, such as participation in the Annual Homeless Assessment Report (AHAR), data in the CoC’s Point-in-Time Count and Housing Inventory Count and HUD field office assessment and prepare a summary report for each CoC.  Each CoC </w:t>
      </w:r>
      <w:r w:rsidR="005F5CEC">
        <w:rPr>
          <w:color w:val="000000"/>
        </w:rPr>
        <w:t>that requests HUD</w:t>
      </w:r>
      <w:r w:rsidR="00076B57">
        <w:rPr>
          <w:color w:val="000000"/>
        </w:rPr>
        <w:t xml:space="preserve"> technical assistance (TA) will receive an individualized TA Action Plan (TAAP).  The TAAP will detail roles, responsibilities, action steps, schedule and anticipated outcomes.  </w:t>
      </w:r>
      <w:r w:rsidR="00002B02" w:rsidRPr="007927F6">
        <w:t xml:space="preserve">In addition, </w:t>
      </w:r>
      <w:r w:rsidR="00002B02" w:rsidRPr="007927F6">
        <w:rPr>
          <w:color w:val="000000"/>
        </w:rPr>
        <w:t xml:space="preserve">HUD plans to </w:t>
      </w:r>
      <w:r w:rsidR="004A383A">
        <w:rPr>
          <w:color w:val="000000"/>
        </w:rPr>
        <w:t xml:space="preserve">use </w:t>
      </w:r>
      <w:r w:rsidR="00986BE8">
        <w:rPr>
          <w:color w:val="000000"/>
        </w:rPr>
        <w:t>aggre</w:t>
      </w:r>
      <w:r w:rsidR="005F5CEC">
        <w:rPr>
          <w:color w:val="000000"/>
        </w:rPr>
        <w:t>ga</w:t>
      </w:r>
      <w:r w:rsidR="00986BE8">
        <w:rPr>
          <w:color w:val="000000"/>
        </w:rPr>
        <w:t>te</w:t>
      </w:r>
      <w:r w:rsidR="004A383A">
        <w:rPr>
          <w:color w:val="000000"/>
        </w:rPr>
        <w:t xml:space="preserve"> information from the CoC Check-Up</w:t>
      </w:r>
      <w:r w:rsidR="00986BE8">
        <w:rPr>
          <w:color w:val="000000"/>
        </w:rPr>
        <w:t xml:space="preserve"> process</w:t>
      </w:r>
      <w:r w:rsidR="004A383A">
        <w:rPr>
          <w:color w:val="000000"/>
        </w:rPr>
        <w:t xml:space="preserve"> to </w:t>
      </w:r>
      <w:r w:rsidR="00986BE8">
        <w:rPr>
          <w:color w:val="000000"/>
        </w:rPr>
        <w:t>target</w:t>
      </w:r>
      <w:r w:rsidR="004A383A">
        <w:rPr>
          <w:color w:val="000000"/>
        </w:rPr>
        <w:t xml:space="preserve"> technical assistance </w:t>
      </w:r>
      <w:r w:rsidR="00986BE8">
        <w:rPr>
          <w:color w:val="000000"/>
        </w:rPr>
        <w:t xml:space="preserve">resources where needed most including development of </w:t>
      </w:r>
      <w:r w:rsidR="00002B02" w:rsidRPr="007927F6">
        <w:rPr>
          <w:color w:val="000000"/>
        </w:rPr>
        <w:t>tool</w:t>
      </w:r>
      <w:r w:rsidR="00986BE8">
        <w:rPr>
          <w:color w:val="000000"/>
        </w:rPr>
        <w:t>kit</w:t>
      </w:r>
      <w:r w:rsidR="00002B02" w:rsidRPr="007927F6">
        <w:rPr>
          <w:color w:val="000000"/>
        </w:rPr>
        <w:t>s</w:t>
      </w:r>
      <w:r w:rsidR="00986BE8">
        <w:rPr>
          <w:color w:val="000000"/>
        </w:rPr>
        <w:t>,</w:t>
      </w:r>
      <w:r w:rsidR="00002B02" w:rsidRPr="007927F6">
        <w:rPr>
          <w:color w:val="000000"/>
        </w:rPr>
        <w:t xml:space="preserve"> templates, guidebooks</w:t>
      </w:r>
      <w:r w:rsidR="004A383A">
        <w:rPr>
          <w:color w:val="000000"/>
        </w:rPr>
        <w:t>,</w:t>
      </w:r>
      <w:r w:rsidR="00002B02" w:rsidRPr="007927F6">
        <w:rPr>
          <w:color w:val="000000"/>
        </w:rPr>
        <w:t xml:space="preserve"> white papers, webinars, </w:t>
      </w:r>
      <w:r w:rsidR="00986BE8">
        <w:rPr>
          <w:color w:val="000000"/>
        </w:rPr>
        <w:t>etc.</w:t>
      </w:r>
      <w:r w:rsidR="005F5CEC">
        <w:rPr>
          <w:color w:val="000000"/>
        </w:rPr>
        <w:t xml:space="preserve"> </w:t>
      </w:r>
      <w:r w:rsidR="004A383A">
        <w:rPr>
          <w:color w:val="000000"/>
        </w:rPr>
        <w:t xml:space="preserve">to help </w:t>
      </w:r>
      <w:r w:rsidR="00986BE8">
        <w:rPr>
          <w:color w:val="000000"/>
        </w:rPr>
        <w:t>CoCs and grantees plan the transition to HEARTH Act requirements.</w:t>
      </w:r>
      <w:r w:rsidR="00002B02" w:rsidRPr="007927F6">
        <w:rPr>
          <w:color w:val="000000"/>
        </w:rPr>
        <w:t xml:space="preserve"> </w:t>
      </w:r>
    </w:p>
    <w:p w:rsidR="00860645" w:rsidRDefault="00860645" w:rsidP="008E7A48">
      <w:pPr>
        <w:autoSpaceDE w:val="0"/>
        <w:autoSpaceDN w:val="0"/>
        <w:adjustRightInd w:val="0"/>
      </w:pPr>
    </w:p>
    <w:p w:rsidR="009E0445" w:rsidRDefault="009E0445"/>
    <w:p w:rsidR="001D3C22" w:rsidRDefault="009E0445" w:rsidP="001D3C22">
      <w:pPr>
        <w:pStyle w:val="AbtHeadB"/>
      </w:pPr>
      <w:bookmarkStart w:id="13" w:name="_Toc224972098"/>
      <w:bookmarkStart w:id="14" w:name="_Toc233444278"/>
      <w:r>
        <w:lastRenderedPageBreak/>
        <w:t>A2</w:t>
      </w:r>
      <w:r>
        <w:tab/>
        <w:t>Information Users</w:t>
      </w:r>
      <w:bookmarkEnd w:id="13"/>
      <w:bookmarkEnd w:id="14"/>
    </w:p>
    <w:p w:rsidR="009E0445" w:rsidRDefault="009E0445" w:rsidP="001D3C22">
      <w:pPr>
        <w:pStyle w:val="AbtHeadB"/>
      </w:pPr>
      <w:r>
        <w:t xml:space="preserve">How is the information collected and how is the information to be used?  </w:t>
      </w:r>
    </w:p>
    <w:p w:rsidR="00832243" w:rsidRDefault="001C6D1F" w:rsidP="001C6D1F">
      <w:pPr>
        <w:autoSpaceDE w:val="0"/>
        <w:autoSpaceDN w:val="0"/>
        <w:adjustRightInd w:val="0"/>
      </w:pPr>
      <w:r>
        <w:t xml:space="preserve">The data </w:t>
      </w:r>
      <w:r w:rsidR="003444D5">
        <w:t xml:space="preserve">collected through the CoC </w:t>
      </w:r>
      <w:r w:rsidR="00DC7B9B">
        <w:t>Check-up</w:t>
      </w:r>
      <w:r w:rsidR="003444D5">
        <w:t xml:space="preserve"> </w:t>
      </w:r>
      <w:r w:rsidR="00A01E4B">
        <w:t xml:space="preserve">tool </w:t>
      </w:r>
      <w:r>
        <w:t>will be</w:t>
      </w:r>
      <w:r w:rsidR="00FB0F96">
        <w:t xml:space="preserve"> used by CoC</w:t>
      </w:r>
      <w:r w:rsidR="000A1181">
        <w:t>s</w:t>
      </w:r>
      <w:r w:rsidR="00FB0F96">
        <w:t xml:space="preserve"> to self-assess their present capacity and identify areas for improvement.  Completed assessments will be reviewed by HUD-contracted technical assistance providers to determine whether a given CoC has needs which may warrant technical assistance and/or has identified an appropriate plan of action based on </w:t>
      </w:r>
      <w:r w:rsidR="00832243">
        <w:t>self-identified functional capacities</w:t>
      </w:r>
      <w:r w:rsidR="00FB0F96">
        <w:t xml:space="preserve"> and deficits.  HUD will examine aggregated data to understand </w:t>
      </w:r>
      <w:r w:rsidR="00832243">
        <w:t xml:space="preserve">functional capacities and deficits across all CoCs and use such information for directing technical assistance resources and training.  </w:t>
      </w:r>
    </w:p>
    <w:p w:rsidR="008249FE" w:rsidRDefault="008249FE" w:rsidP="001C6D1F">
      <w:pPr>
        <w:autoSpaceDE w:val="0"/>
        <w:autoSpaceDN w:val="0"/>
        <w:adjustRightInd w:val="0"/>
      </w:pPr>
    </w:p>
    <w:p w:rsidR="00365EF9" w:rsidRPr="00726729" w:rsidRDefault="001C6D1F" w:rsidP="001C6D1F">
      <w:pPr>
        <w:autoSpaceDE w:val="0"/>
        <w:autoSpaceDN w:val="0"/>
        <w:adjustRightInd w:val="0"/>
      </w:pPr>
      <w:r>
        <w:t xml:space="preserve">The </w:t>
      </w:r>
      <w:r w:rsidR="00446C5B">
        <w:t>assessment tool</w:t>
      </w:r>
      <w:r>
        <w:t xml:space="preserve"> has four </w:t>
      </w:r>
      <w:r w:rsidR="001B0DC6">
        <w:t>domain</w:t>
      </w:r>
      <w:r>
        <w:t>s</w:t>
      </w:r>
      <w:r w:rsidR="003444D5">
        <w:t xml:space="preserve"> (listed below)</w:t>
      </w:r>
      <w:r>
        <w:t xml:space="preserve">, each of which </w:t>
      </w:r>
      <w:r w:rsidR="001B0DC6">
        <w:t xml:space="preserve">also </w:t>
      </w:r>
      <w:r>
        <w:t>includes</w:t>
      </w:r>
      <w:r w:rsidR="001B0DC6">
        <w:t xml:space="preserve"> a series of elements and indicators with scales that allow for assessment on the degree of </w:t>
      </w:r>
      <w:r w:rsidR="00446C5B">
        <w:t xml:space="preserve">a CoC’s </w:t>
      </w:r>
      <w:r w:rsidR="001B0DC6">
        <w:t xml:space="preserve">adherence, development, or functionality </w:t>
      </w:r>
      <w:r w:rsidR="00832243">
        <w:t xml:space="preserve">relative </w:t>
      </w:r>
      <w:r w:rsidR="001B0DC6">
        <w:t xml:space="preserve">to each element and indicator.  </w:t>
      </w:r>
      <w:r w:rsidR="00F230C5">
        <w:t xml:space="preserve">For </w:t>
      </w:r>
      <w:r w:rsidR="002B78F0">
        <w:t>e</w:t>
      </w:r>
      <w:r w:rsidR="00F230C5">
        <w:t>xample</w:t>
      </w:r>
      <w:r w:rsidR="002B78F0">
        <w:t>, indicator 1.4.1. states</w:t>
      </w:r>
      <w:r w:rsidR="00726729">
        <w:t>:</w:t>
      </w:r>
      <w:r w:rsidR="002B78F0" w:rsidRPr="00726729">
        <w:t xml:space="preserve"> “The CoC primary decision-making group has a process for ensuring stakeholders have an opportunity to provide input into the decision-making process.”  Respondents are then asked to identify the degree to which they agree or disagree with this statement on a scale of 1 (disagree) to 5 (agree).</w:t>
      </w:r>
    </w:p>
    <w:p w:rsidR="002B78F0" w:rsidRDefault="002B78F0" w:rsidP="001C6D1F">
      <w:pPr>
        <w:autoSpaceDE w:val="0"/>
        <w:autoSpaceDN w:val="0"/>
        <w:adjustRightInd w:val="0"/>
        <w:rPr>
          <w:rFonts w:ascii="Arial" w:hAnsi="Arial"/>
          <w:i/>
          <w:color w:val="000000"/>
        </w:rPr>
      </w:pPr>
    </w:p>
    <w:p w:rsidR="008D2164" w:rsidRDefault="008D2164" w:rsidP="008D2164">
      <w:pPr>
        <w:pStyle w:val="AbtHeadC"/>
        <w:rPr>
          <w:i/>
        </w:rPr>
      </w:pPr>
      <w:bookmarkStart w:id="15" w:name="_Toc217119468"/>
      <w:bookmarkStart w:id="16" w:name="_Toc217119753"/>
      <w:bookmarkStart w:id="17" w:name="_Toc224972100"/>
      <w:r>
        <w:rPr>
          <w:i/>
        </w:rPr>
        <w:t>Item-by-Item Justification</w:t>
      </w:r>
      <w:bookmarkEnd w:id="15"/>
      <w:bookmarkEnd w:id="16"/>
      <w:bookmarkEnd w:id="17"/>
      <w:r>
        <w:rPr>
          <w:i/>
        </w:rPr>
        <w:t xml:space="preserve"> for </w:t>
      </w:r>
      <w:r w:rsidR="001C6D1F">
        <w:rPr>
          <w:i/>
        </w:rPr>
        <w:t xml:space="preserve">CoC </w:t>
      </w:r>
      <w:r w:rsidR="00DC7B9B">
        <w:rPr>
          <w:i/>
        </w:rPr>
        <w:t>Check-up</w:t>
      </w:r>
    </w:p>
    <w:p w:rsidR="008D2164" w:rsidRDefault="003444D5" w:rsidP="008D2164">
      <w:pPr>
        <w:autoSpaceDE w:val="0"/>
        <w:autoSpaceDN w:val="0"/>
        <w:adjustRightInd w:val="0"/>
        <w:rPr>
          <w:color w:val="000000"/>
        </w:rPr>
      </w:pPr>
      <w:r w:rsidRPr="00365EF9">
        <w:t xml:space="preserve">Attachment </w:t>
      </w:r>
      <w:r w:rsidR="00365EF9" w:rsidRPr="00365EF9">
        <w:t>A</w:t>
      </w:r>
      <w:r>
        <w:t xml:space="preserve"> lists </w:t>
      </w:r>
      <w:r w:rsidR="00365EF9">
        <w:t xml:space="preserve">each domain and related </w:t>
      </w:r>
      <w:r>
        <w:t xml:space="preserve">data element required for the CoC </w:t>
      </w:r>
      <w:r w:rsidR="00832243">
        <w:t>Check-Up</w:t>
      </w:r>
      <w:r>
        <w:t xml:space="preserve"> along with the justification for including </w:t>
      </w:r>
      <w:r w:rsidR="00365EF9">
        <w:t>each data element</w:t>
      </w:r>
      <w:r w:rsidR="001C6D1F">
        <w:t xml:space="preserve">. </w:t>
      </w:r>
      <w:r w:rsidR="00365EF9">
        <w:t xml:space="preserve"> </w:t>
      </w:r>
      <w:r w:rsidR="008D2164">
        <w:rPr>
          <w:color w:val="000000"/>
        </w:rPr>
        <w:t xml:space="preserve">The </w:t>
      </w:r>
      <w:r w:rsidR="001C6D1F">
        <w:rPr>
          <w:color w:val="000000"/>
        </w:rPr>
        <w:t>four domains</w:t>
      </w:r>
      <w:r w:rsidR="008D2164">
        <w:rPr>
          <w:color w:val="000000"/>
        </w:rPr>
        <w:t xml:space="preserve"> covered in the </w:t>
      </w:r>
      <w:r w:rsidR="001C6D1F">
        <w:rPr>
          <w:color w:val="000000"/>
        </w:rPr>
        <w:t xml:space="preserve">CoC </w:t>
      </w:r>
      <w:r w:rsidR="00832243">
        <w:rPr>
          <w:color w:val="000000"/>
        </w:rPr>
        <w:t>Check-Up</w:t>
      </w:r>
      <w:r w:rsidR="008D2164">
        <w:rPr>
          <w:color w:val="000000"/>
        </w:rPr>
        <w:t xml:space="preserve"> </w:t>
      </w:r>
      <w:r w:rsidR="00986BE8">
        <w:rPr>
          <w:color w:val="000000"/>
        </w:rPr>
        <w:t>are</w:t>
      </w:r>
      <w:r w:rsidR="008D2164">
        <w:rPr>
          <w:color w:val="000000"/>
        </w:rPr>
        <w:t>:</w:t>
      </w:r>
    </w:p>
    <w:p w:rsidR="001C6D1F" w:rsidRDefault="001C6D1F" w:rsidP="001C6D1F">
      <w:pPr>
        <w:autoSpaceDE w:val="0"/>
        <w:autoSpaceDN w:val="0"/>
        <w:adjustRightInd w:val="0"/>
      </w:pPr>
    </w:p>
    <w:p w:rsidR="001C6D1F" w:rsidRDefault="001C6D1F" w:rsidP="001C6D1F">
      <w:pPr>
        <w:numPr>
          <w:ilvl w:val="0"/>
          <w:numId w:val="6"/>
        </w:numPr>
        <w:autoSpaceDE w:val="0"/>
        <w:autoSpaceDN w:val="0"/>
        <w:adjustRightInd w:val="0"/>
      </w:pPr>
      <w:r w:rsidRPr="00E9087D">
        <w:rPr>
          <w:b/>
          <w:i/>
        </w:rPr>
        <w:t>CoC Governance</w:t>
      </w:r>
      <w:r w:rsidR="00FB0F96">
        <w:rPr>
          <w:b/>
          <w:i/>
        </w:rPr>
        <w:t xml:space="preserve"> and Structure</w:t>
      </w:r>
      <w:r w:rsidRPr="00365EF9">
        <w:t xml:space="preserve"> </w:t>
      </w:r>
      <w:r w:rsidR="001726AA" w:rsidRPr="00365EF9">
        <w:t>–</w:t>
      </w:r>
      <w:r w:rsidRPr="00365EF9">
        <w:t xml:space="preserve"> </w:t>
      </w:r>
      <w:r w:rsidR="00365EF9" w:rsidRPr="00365EF9">
        <w:t>includes</w:t>
      </w:r>
      <w:r w:rsidR="00365EF9">
        <w:t xml:space="preserve"> </w:t>
      </w:r>
      <w:r w:rsidR="00446C5B">
        <w:t xml:space="preserve">an </w:t>
      </w:r>
      <w:r w:rsidR="00365EF9">
        <w:t xml:space="preserve">assessment of </w:t>
      </w:r>
      <w:r w:rsidR="00446C5B">
        <w:t xml:space="preserve">a </w:t>
      </w:r>
      <w:r w:rsidR="00365EF9">
        <w:t>CoC’s direction and purpose; governing structure for planning and infrastructure; diversity of decision-making group; governing and decision-making process; and use of data (PIT, HMIS, other) to make informed decisions.</w:t>
      </w:r>
    </w:p>
    <w:p w:rsidR="001C6D1F" w:rsidRPr="00365EF9" w:rsidRDefault="001726AA" w:rsidP="001C6D1F">
      <w:pPr>
        <w:numPr>
          <w:ilvl w:val="0"/>
          <w:numId w:val="6"/>
        </w:numPr>
        <w:autoSpaceDE w:val="0"/>
        <w:autoSpaceDN w:val="0"/>
        <w:adjustRightInd w:val="0"/>
      </w:pPr>
      <w:r w:rsidRPr="00E9087D">
        <w:rPr>
          <w:b/>
          <w:i/>
        </w:rPr>
        <w:t xml:space="preserve">CoC Plan </w:t>
      </w:r>
      <w:r w:rsidR="00FB0F96">
        <w:rPr>
          <w:b/>
          <w:i/>
        </w:rPr>
        <w:t>and</w:t>
      </w:r>
      <w:r w:rsidRPr="00E9087D">
        <w:rPr>
          <w:b/>
          <w:i/>
        </w:rPr>
        <w:t xml:space="preserve"> </w:t>
      </w:r>
      <w:r w:rsidR="001C6D1F" w:rsidRPr="00E9087D">
        <w:rPr>
          <w:b/>
          <w:i/>
        </w:rPr>
        <w:t xml:space="preserve">Planning </w:t>
      </w:r>
      <w:r w:rsidRPr="00E9087D">
        <w:rPr>
          <w:b/>
          <w:i/>
        </w:rPr>
        <w:t>Process</w:t>
      </w:r>
      <w:r>
        <w:t xml:space="preserve"> </w:t>
      </w:r>
      <w:r w:rsidR="00365EF9">
        <w:t>– includes</w:t>
      </w:r>
      <w:r w:rsidR="00446C5B">
        <w:t xml:space="preserve"> an</w:t>
      </w:r>
      <w:r w:rsidR="00365EF9">
        <w:t xml:space="preserve"> assessment of </w:t>
      </w:r>
      <w:r w:rsidR="00446C5B">
        <w:t xml:space="preserve">a CoC’s </w:t>
      </w:r>
      <w:r w:rsidR="008253A4">
        <w:t xml:space="preserve">process for </w:t>
      </w:r>
      <w:r w:rsidR="000A1181">
        <w:t xml:space="preserve">the </w:t>
      </w:r>
      <w:r w:rsidR="00365EF9">
        <w:t xml:space="preserve">development of </w:t>
      </w:r>
      <w:r w:rsidR="00446C5B">
        <w:t>a</w:t>
      </w:r>
      <w:r w:rsidR="00365EF9">
        <w:t xml:space="preserve"> strategic plan </w:t>
      </w:r>
      <w:r w:rsidR="008253A4">
        <w:t xml:space="preserve">and </w:t>
      </w:r>
      <w:r w:rsidR="00446C5B">
        <w:t xml:space="preserve">an assessment </w:t>
      </w:r>
      <w:r w:rsidR="008253A4">
        <w:t xml:space="preserve">of </w:t>
      </w:r>
      <w:r w:rsidR="00446C5B">
        <w:t xml:space="preserve">the CoC’s </w:t>
      </w:r>
      <w:r w:rsidR="008253A4">
        <w:t>strategic plan itself.</w:t>
      </w:r>
    </w:p>
    <w:p w:rsidR="001C6D1F" w:rsidRDefault="001726AA" w:rsidP="001C6D1F">
      <w:pPr>
        <w:numPr>
          <w:ilvl w:val="0"/>
          <w:numId w:val="6"/>
        </w:numPr>
        <w:autoSpaceDE w:val="0"/>
        <w:autoSpaceDN w:val="0"/>
        <w:adjustRightInd w:val="0"/>
      </w:pPr>
      <w:r w:rsidRPr="00E9087D">
        <w:rPr>
          <w:b/>
          <w:i/>
        </w:rPr>
        <w:t xml:space="preserve">CoC </w:t>
      </w:r>
      <w:r w:rsidR="001C6D1F" w:rsidRPr="00E9087D">
        <w:rPr>
          <w:b/>
          <w:i/>
        </w:rPr>
        <w:t>In</w:t>
      </w:r>
      <w:r w:rsidRPr="00E9087D">
        <w:rPr>
          <w:b/>
          <w:i/>
        </w:rPr>
        <w:t>frastructure and Administrative Capacity</w:t>
      </w:r>
      <w:r w:rsidRPr="008253A4">
        <w:t xml:space="preserve"> </w:t>
      </w:r>
      <w:r w:rsidR="001C6D1F" w:rsidRPr="008253A4">
        <w:t xml:space="preserve">– </w:t>
      </w:r>
      <w:r w:rsidR="008253A4" w:rsidRPr="008253A4">
        <w:t>includes</w:t>
      </w:r>
      <w:r w:rsidR="008253A4">
        <w:t xml:space="preserve"> </w:t>
      </w:r>
      <w:r w:rsidR="00446C5B">
        <w:t xml:space="preserve">an </w:t>
      </w:r>
      <w:r w:rsidR="008253A4">
        <w:t>assessment of CoC administrative capacity, fiscal capacity, and information management capacity.</w:t>
      </w:r>
    </w:p>
    <w:p w:rsidR="001C6D1F" w:rsidRPr="001C6D1F" w:rsidRDefault="00597E35" w:rsidP="001C6D1F">
      <w:pPr>
        <w:numPr>
          <w:ilvl w:val="0"/>
          <w:numId w:val="6"/>
        </w:numPr>
        <w:autoSpaceDE w:val="0"/>
        <w:autoSpaceDN w:val="0"/>
        <w:adjustRightInd w:val="0"/>
      </w:pPr>
      <w:r w:rsidRPr="00E9087D">
        <w:rPr>
          <w:b/>
          <w:i/>
        </w:rPr>
        <w:t>CoC Housing and Services</w:t>
      </w:r>
      <w:r>
        <w:t xml:space="preserve"> </w:t>
      </w:r>
      <w:r w:rsidRPr="0093780C">
        <w:t xml:space="preserve">– </w:t>
      </w:r>
      <w:r>
        <w:t>includes an assessment of CoC’s housing and services</w:t>
      </w:r>
      <w:r w:rsidRPr="002076B0">
        <w:t xml:space="preserve"> </w:t>
      </w:r>
      <w:r>
        <w:t>with respect to adequacy, accessibility, and effectiveness; the degree to which services and housing are integrated; the accessibility of mainstream resources for homeless persons; and the knowledge and capacity of the system of care.</w:t>
      </w:r>
    </w:p>
    <w:p w:rsidR="001726AA" w:rsidRDefault="001726AA" w:rsidP="008D2164">
      <w:pPr>
        <w:pStyle w:val="BodyText"/>
        <w:rPr>
          <w:color w:val="000000"/>
        </w:rPr>
      </w:pPr>
    </w:p>
    <w:p w:rsidR="00552BEE" w:rsidRDefault="00552BEE" w:rsidP="003444D5">
      <w:pPr>
        <w:pStyle w:val="BodyText"/>
        <w:rPr>
          <w:rFonts w:ascii="Arial" w:hAnsi="Arial"/>
          <w:b/>
        </w:rPr>
      </w:pPr>
    </w:p>
    <w:p w:rsidR="003444D5" w:rsidRDefault="003444D5" w:rsidP="003444D5">
      <w:pPr>
        <w:pStyle w:val="BodyText"/>
        <w:rPr>
          <w:rFonts w:ascii="Arial" w:hAnsi="Arial"/>
          <w:b/>
        </w:rPr>
      </w:pPr>
      <w:r>
        <w:rPr>
          <w:rFonts w:ascii="Arial" w:hAnsi="Arial"/>
          <w:b/>
        </w:rPr>
        <w:lastRenderedPageBreak/>
        <w:t>Report Submission</w:t>
      </w:r>
    </w:p>
    <w:p w:rsidR="003444D5" w:rsidRDefault="003444D5" w:rsidP="003444D5">
      <w:pPr>
        <w:autoSpaceDE w:val="0"/>
        <w:autoSpaceDN w:val="0"/>
        <w:adjustRightInd w:val="0"/>
      </w:pPr>
      <w:r>
        <w:t xml:space="preserve">The CoC </w:t>
      </w:r>
      <w:r w:rsidR="00DC7B9B">
        <w:t>Check-up</w:t>
      </w:r>
      <w:r w:rsidR="00446C5B">
        <w:t xml:space="preserve"> </w:t>
      </w:r>
      <w:r w:rsidR="00E6145B">
        <w:t xml:space="preserve">tool </w:t>
      </w:r>
      <w:r w:rsidR="00446C5B">
        <w:t>will be completed on</w:t>
      </w:r>
      <w:r>
        <w:t xml:space="preserve">line </w:t>
      </w:r>
      <w:r w:rsidR="00446C5B">
        <w:t xml:space="preserve">by CoC stakeholders </w:t>
      </w:r>
      <w:r w:rsidR="0093780C">
        <w:t xml:space="preserve">via </w:t>
      </w:r>
      <w:r w:rsidR="00A771A6">
        <w:t xml:space="preserve">HUD’s </w:t>
      </w:r>
      <w:r w:rsidR="0093780C">
        <w:t xml:space="preserve">Homelessness </w:t>
      </w:r>
      <w:r w:rsidR="00A771A6">
        <w:t>Resource</w:t>
      </w:r>
      <w:r w:rsidR="0093780C">
        <w:t xml:space="preserve"> Exchange</w:t>
      </w:r>
      <w:r w:rsidR="00A771A6">
        <w:t xml:space="preserve"> (HRE</w:t>
      </w:r>
      <w:r w:rsidR="00466926">
        <w:t xml:space="preserve">). </w:t>
      </w:r>
      <w:r w:rsidR="00446C5B">
        <w:t xml:space="preserve"> A</w:t>
      </w:r>
      <w:r w:rsidR="0093780C">
        <w:t>t a minimum</w:t>
      </w:r>
      <w:r w:rsidR="00F23B8C">
        <w:t>,</w:t>
      </w:r>
      <w:r w:rsidR="0093780C">
        <w:t xml:space="preserve"> </w:t>
      </w:r>
      <w:r w:rsidR="00446C5B">
        <w:t xml:space="preserve">respondents will include </w:t>
      </w:r>
      <w:r w:rsidR="00466926">
        <w:t xml:space="preserve">representatives of </w:t>
      </w:r>
      <w:r w:rsidR="0093780C">
        <w:t>the CoC lead</w:t>
      </w:r>
      <w:r w:rsidR="004A383A">
        <w:t xml:space="preserve"> agency</w:t>
      </w:r>
      <w:r w:rsidR="0093780C">
        <w:t xml:space="preserve">, the </w:t>
      </w:r>
      <w:r w:rsidR="00446C5B">
        <w:t>Homeless Management Information System</w:t>
      </w:r>
      <w:r w:rsidR="0093780C">
        <w:t xml:space="preserve"> lead</w:t>
      </w:r>
      <w:r w:rsidR="004A383A">
        <w:t xml:space="preserve"> agency</w:t>
      </w:r>
      <w:r w:rsidR="0093780C">
        <w:t xml:space="preserve">, the </w:t>
      </w:r>
      <w:r w:rsidR="00446C5B">
        <w:t>Homeless</w:t>
      </w:r>
      <w:r w:rsidR="00D8058E">
        <w:t>ness</w:t>
      </w:r>
      <w:r w:rsidR="00446C5B">
        <w:t xml:space="preserve"> Prevention and Rapid Re</w:t>
      </w:r>
      <w:r w:rsidR="00D8058E">
        <w:t>-</w:t>
      </w:r>
      <w:r w:rsidR="00446C5B">
        <w:t xml:space="preserve">Housing </w:t>
      </w:r>
      <w:r w:rsidR="0093780C">
        <w:t xml:space="preserve">or </w:t>
      </w:r>
      <w:r w:rsidR="00446C5B">
        <w:t xml:space="preserve">Emergency Shelter Grant </w:t>
      </w:r>
      <w:r w:rsidR="0093780C">
        <w:t xml:space="preserve">grantee, as well as </w:t>
      </w:r>
      <w:r w:rsidR="004A383A">
        <w:t xml:space="preserve">housing and service </w:t>
      </w:r>
      <w:r w:rsidR="0093780C">
        <w:t xml:space="preserve">providers and consumers.  The CoC </w:t>
      </w:r>
      <w:r w:rsidR="00DC7B9B">
        <w:t>Check-up</w:t>
      </w:r>
      <w:r w:rsidR="0093780C">
        <w:t xml:space="preserve"> </w:t>
      </w:r>
      <w:r w:rsidR="00E6145B">
        <w:t xml:space="preserve">tool </w:t>
      </w:r>
      <w:r w:rsidRPr="003444D5">
        <w:t xml:space="preserve">results will be aggregated </w:t>
      </w:r>
      <w:r w:rsidR="00EB64E9">
        <w:t xml:space="preserve">across respondents </w:t>
      </w:r>
      <w:r w:rsidR="00F23B8C">
        <w:t xml:space="preserve">in each community in order to calculate </w:t>
      </w:r>
      <w:r w:rsidRPr="003444D5">
        <w:t>an overall CoC response.</w:t>
      </w:r>
    </w:p>
    <w:p w:rsidR="00A5764B" w:rsidRDefault="00A5764B" w:rsidP="003444D5">
      <w:pPr>
        <w:autoSpaceDE w:val="0"/>
        <w:autoSpaceDN w:val="0"/>
        <w:adjustRightInd w:val="0"/>
      </w:pPr>
    </w:p>
    <w:p w:rsidR="008D2164" w:rsidRDefault="008D2164" w:rsidP="008D2164">
      <w:pPr>
        <w:pStyle w:val="AbtHeadB"/>
      </w:pPr>
      <w:bookmarkStart w:id="18" w:name="_Toc224972102"/>
      <w:bookmarkStart w:id="19" w:name="_Toc233444279"/>
      <w:r>
        <w:t>A3</w:t>
      </w:r>
      <w:r>
        <w:tab/>
        <w:t>Improved Information Technologies</w:t>
      </w:r>
      <w:bookmarkEnd w:id="18"/>
      <w:bookmarkEnd w:id="19"/>
    </w:p>
    <w:p w:rsidR="008D2164" w:rsidRDefault="008D2164" w:rsidP="008D2164">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597E35" w:rsidRDefault="0093780C" w:rsidP="00597E35">
      <w:pPr>
        <w:spacing w:before="100" w:beforeAutospacing="1" w:after="100" w:afterAutospacing="1"/>
      </w:pPr>
      <w:r>
        <w:t xml:space="preserve">The Homelessness </w:t>
      </w:r>
      <w:r w:rsidR="00A771A6">
        <w:t>Resource</w:t>
      </w:r>
      <w:r>
        <w:t xml:space="preserve"> Exchange (</w:t>
      </w:r>
      <w:r w:rsidR="00A771A6">
        <w:t>HRE</w:t>
      </w:r>
      <w:r>
        <w:t xml:space="preserve">) is </w:t>
      </w:r>
      <w:r w:rsidR="00A771A6">
        <w:t xml:space="preserve">HUD’s single web portal for information about homelessness, including a resource library, e-learning modules, Frequently Asked Questions, </w:t>
      </w:r>
      <w:r w:rsidR="00616958">
        <w:t xml:space="preserve">and </w:t>
      </w:r>
      <w:r w:rsidR="00A771A6">
        <w:t>Virtual Help Desk</w:t>
      </w:r>
      <w:r w:rsidR="00616958">
        <w:t xml:space="preserve"> for </w:t>
      </w:r>
      <w:r w:rsidR="00466926">
        <w:t xml:space="preserve">asking </w:t>
      </w:r>
      <w:r w:rsidR="00616958">
        <w:t>questions and requesting technical assistance.</w:t>
      </w:r>
      <w:r w:rsidR="00E6145B">
        <w:t xml:space="preserve"> </w:t>
      </w:r>
    </w:p>
    <w:p w:rsidR="002076B0" w:rsidRDefault="00616958" w:rsidP="00597E35">
      <w:pPr>
        <w:spacing w:before="100" w:beforeAutospacing="1" w:after="100" w:afterAutospacing="1"/>
      </w:pPr>
      <w:r>
        <w:t xml:space="preserve">While the CoC Check-up tool will be hosted on the HRE, data entered by CoCs in HUD’s Homeless Data Exchange (HDX) will be used </w:t>
      </w:r>
      <w:r w:rsidR="00A5764B">
        <w:t xml:space="preserve">in the </w:t>
      </w:r>
      <w:r>
        <w:t>assess</w:t>
      </w:r>
      <w:r w:rsidR="00A5764B">
        <w:t>ment of</w:t>
      </w:r>
      <w:r>
        <w:t xml:space="preserve"> each CoC’s capacity and identify potential TA needs. </w:t>
      </w:r>
      <w:r w:rsidR="00E6145B">
        <w:t>The HDX is used for the submission of</w:t>
      </w:r>
      <w:r w:rsidR="00E6145B" w:rsidRPr="00E6145B">
        <w:t xml:space="preserve"> </w:t>
      </w:r>
      <w:r w:rsidR="00E6145B">
        <w:t>the following data reports, for which data collection has already been approved by OMB</w:t>
      </w:r>
      <w:r w:rsidR="004A383A">
        <w:t xml:space="preserve">.  The control numbers for these packages are 2506-0145 and 2506-0112.  These information collections include: </w:t>
      </w:r>
      <w:r w:rsidR="00E6145B">
        <w:t xml:space="preserve"> </w:t>
      </w:r>
    </w:p>
    <w:p w:rsidR="00466926" w:rsidRDefault="00E6145B" w:rsidP="00242A7C">
      <w:pPr>
        <w:pStyle w:val="ListParagraph"/>
        <w:numPr>
          <w:ilvl w:val="0"/>
          <w:numId w:val="25"/>
        </w:numPr>
        <w:spacing w:before="100" w:beforeAutospacing="1" w:after="100" w:afterAutospacing="1"/>
      </w:pPr>
      <w:r>
        <w:t>The annual Housing Inventory C</w:t>
      </w:r>
      <w:r w:rsidR="00B3626A">
        <w:t>hart</w:t>
      </w:r>
      <w:r>
        <w:t xml:space="preserve"> (HIC);</w:t>
      </w:r>
    </w:p>
    <w:p w:rsidR="00466926" w:rsidRDefault="00E6145B" w:rsidP="00242A7C">
      <w:pPr>
        <w:pStyle w:val="ListParagraph"/>
        <w:numPr>
          <w:ilvl w:val="0"/>
          <w:numId w:val="25"/>
        </w:numPr>
        <w:spacing w:before="100" w:beforeAutospacing="1" w:after="100" w:afterAutospacing="1"/>
      </w:pPr>
      <w:r>
        <w:t>The annual Point-in-Time (PIT) Count of Homeless Populations and Subpopulations;</w:t>
      </w:r>
    </w:p>
    <w:p w:rsidR="00466926" w:rsidRDefault="00E6145B" w:rsidP="00242A7C">
      <w:pPr>
        <w:pStyle w:val="ListParagraph"/>
        <w:numPr>
          <w:ilvl w:val="0"/>
          <w:numId w:val="25"/>
        </w:numPr>
        <w:spacing w:before="100" w:beforeAutospacing="1" w:after="100" w:afterAutospacing="1"/>
      </w:pPr>
      <w:r>
        <w:t>Quarterly Homeless Counts through the Homelessness Pulse Project; and</w:t>
      </w:r>
      <w:r w:rsidR="008F6ABD">
        <w:t>,</w:t>
      </w:r>
    </w:p>
    <w:p w:rsidR="00466926" w:rsidRDefault="00E6145B" w:rsidP="00242A7C">
      <w:pPr>
        <w:pStyle w:val="ListParagraph"/>
        <w:numPr>
          <w:ilvl w:val="0"/>
          <w:numId w:val="25"/>
        </w:numPr>
        <w:spacing w:before="100" w:beforeAutospacing="1" w:after="100" w:afterAutospacing="1"/>
      </w:pPr>
      <w:r>
        <w:t xml:space="preserve">The Annual Homeless Assessment Report (AHAR).  </w:t>
      </w:r>
    </w:p>
    <w:p w:rsidR="0093780C" w:rsidRDefault="00E6145B" w:rsidP="0093780C">
      <w:pPr>
        <w:pStyle w:val="NormalWeb"/>
      </w:pPr>
      <w:r>
        <w:t xml:space="preserve">The HDX includes many features that streamline the annual reporting process and help communities to understand and clean their data.  </w:t>
      </w:r>
      <w:r w:rsidR="00466926">
        <w:t xml:space="preserve">Additionally, CoCs will not have to enter any information about HIC, PIT or AHAR data into the CoC Check-up </w:t>
      </w:r>
      <w:r w:rsidR="00A5764B">
        <w:t xml:space="preserve">tool </w:t>
      </w:r>
      <w:r w:rsidR="00466926">
        <w:t xml:space="preserve">since the data will be exported from the HDX </w:t>
      </w:r>
      <w:r w:rsidR="00A5764B">
        <w:t>for the CoC</w:t>
      </w:r>
      <w:r w:rsidR="00726729">
        <w:t xml:space="preserve"> </w:t>
      </w:r>
      <w:r w:rsidR="00466926">
        <w:t>Check-up</w:t>
      </w:r>
      <w:r w:rsidR="00726729">
        <w:t>,</w:t>
      </w:r>
      <w:r w:rsidR="00FA7B29">
        <w:t xml:space="preserve"> preventing redundanc</w:t>
      </w:r>
      <w:r w:rsidR="00466926">
        <w:t>y</w:t>
      </w:r>
      <w:r w:rsidR="00FA7B29">
        <w:t xml:space="preserve"> and saving time</w:t>
      </w:r>
      <w:r w:rsidR="00466926">
        <w:t>.</w:t>
      </w:r>
      <w:r w:rsidR="0076278D">
        <w:t xml:space="preserve"> </w:t>
      </w:r>
    </w:p>
    <w:p w:rsidR="008D2164" w:rsidRDefault="008D2164" w:rsidP="008D2164">
      <w:pPr>
        <w:pStyle w:val="AbtHeadB"/>
      </w:pPr>
      <w:bookmarkStart w:id="20" w:name="_Toc224972104"/>
      <w:bookmarkStart w:id="21" w:name="_Toc233444280"/>
      <w:r>
        <w:t>A4</w:t>
      </w:r>
      <w:r>
        <w:tab/>
        <w:t>Duplication of Similar Information</w:t>
      </w:r>
      <w:bookmarkEnd w:id="20"/>
      <w:bookmarkEnd w:id="21"/>
    </w:p>
    <w:p w:rsidR="008D2164" w:rsidRDefault="008D2164" w:rsidP="008D2164">
      <w:pPr>
        <w:keepLines/>
        <w:tabs>
          <w:tab w:val="left" w:pos="0"/>
        </w:tabs>
        <w:spacing w:after="80"/>
        <w:rPr>
          <w:rFonts w:ascii="Arial" w:hAnsi="Arial"/>
          <w:i/>
          <w:color w:val="000000"/>
        </w:rPr>
      </w:pPr>
      <w:r>
        <w:rPr>
          <w:rFonts w:ascii="Arial" w:hAnsi="Arial"/>
          <w:i/>
          <w:color w:val="000000"/>
        </w:rPr>
        <w:t>Is this information collected elsewhere?  If so, why cannot any similar information already available be used or modified?</w:t>
      </w:r>
    </w:p>
    <w:p w:rsidR="008D2164" w:rsidRDefault="008D2164" w:rsidP="008D2164">
      <w:pPr>
        <w:keepLines/>
        <w:tabs>
          <w:tab w:val="left" w:pos="0"/>
        </w:tabs>
        <w:spacing w:after="80"/>
        <w:rPr>
          <w:rFonts w:ascii="Arial" w:hAnsi="Arial"/>
          <w:i/>
          <w:color w:val="000000"/>
        </w:rPr>
      </w:pPr>
    </w:p>
    <w:p w:rsidR="00552BEE" w:rsidRDefault="0076278D" w:rsidP="008D2164">
      <w:r w:rsidRPr="00D8058E">
        <w:lastRenderedPageBreak/>
        <w:t xml:space="preserve">The CoC </w:t>
      </w:r>
      <w:r w:rsidR="00DC7B9B">
        <w:t>Check-up</w:t>
      </w:r>
      <w:r w:rsidR="00A24745" w:rsidRPr="00D8058E">
        <w:t xml:space="preserve"> tool</w:t>
      </w:r>
      <w:r w:rsidRPr="00D8058E">
        <w:t xml:space="preserve"> is the only assessment that HUD </w:t>
      </w:r>
      <w:r w:rsidR="00CF1E88" w:rsidRPr="00D8058E">
        <w:t xml:space="preserve">requests </w:t>
      </w:r>
      <w:r w:rsidR="00A24745" w:rsidRPr="00D8058E">
        <w:t>CoCs</w:t>
      </w:r>
      <w:r w:rsidRPr="00D8058E">
        <w:t xml:space="preserve"> to </w:t>
      </w:r>
      <w:r w:rsidR="00F23B8C">
        <w:t xml:space="preserve">complete and </w:t>
      </w:r>
      <w:r w:rsidRPr="00D8058E">
        <w:t>submit</w:t>
      </w:r>
      <w:r w:rsidR="00A24745" w:rsidRPr="00D8058E">
        <w:t xml:space="preserve"> </w:t>
      </w:r>
      <w:r w:rsidR="00F23B8C">
        <w:t>to determine the</w:t>
      </w:r>
      <w:r w:rsidR="00CF1E88" w:rsidRPr="00D8058E">
        <w:t xml:space="preserve"> system-wide </w:t>
      </w:r>
      <w:r w:rsidR="00CF1E88" w:rsidRPr="002B78F0">
        <w:t xml:space="preserve">governance </w:t>
      </w:r>
      <w:r w:rsidR="00A24745" w:rsidRPr="002B78F0">
        <w:t>capacity</w:t>
      </w:r>
      <w:r w:rsidR="00466926">
        <w:t>, structure and operation</w:t>
      </w:r>
      <w:r w:rsidR="00CF1E88" w:rsidRPr="002B78F0">
        <w:t xml:space="preserve"> of the CoC</w:t>
      </w:r>
      <w:r w:rsidR="00F23B8C" w:rsidRPr="002B78F0">
        <w:t xml:space="preserve"> and the need for technical assistance</w:t>
      </w:r>
      <w:r w:rsidRPr="002B78F0">
        <w:t xml:space="preserve">.  </w:t>
      </w:r>
      <w:r w:rsidR="002B78F0">
        <w:t>Some</w:t>
      </w:r>
      <w:r w:rsidR="00E5116E">
        <w:t xml:space="preserve"> relevant</w:t>
      </w:r>
      <w:r w:rsidR="002B78F0">
        <w:t xml:space="preserve"> information</w:t>
      </w:r>
      <w:r w:rsidR="00CF1E88" w:rsidRPr="00D8058E">
        <w:t xml:space="preserve"> is collected in the</w:t>
      </w:r>
      <w:r w:rsidR="00F23B8C">
        <w:t xml:space="preserve"> annual</w:t>
      </w:r>
      <w:r w:rsidR="00CF1E88" w:rsidRPr="00D8058E">
        <w:t xml:space="preserve"> CoC </w:t>
      </w:r>
      <w:r w:rsidR="00F23B8C">
        <w:t xml:space="preserve">funding </w:t>
      </w:r>
      <w:r w:rsidR="00CF1E88" w:rsidRPr="00D8058E">
        <w:t>application (OMB Control No. 2506-0112)</w:t>
      </w:r>
      <w:r w:rsidR="00F23B8C">
        <w:t>, and HUD has</w:t>
      </w:r>
      <w:r w:rsidR="00CF1E88" w:rsidRPr="00D8058E">
        <w:t xml:space="preserve"> used information from </w:t>
      </w:r>
      <w:r w:rsidR="00CF1E88" w:rsidRPr="002B78F0">
        <w:t>th</w:t>
      </w:r>
      <w:r w:rsidR="002B78F0">
        <w:t xml:space="preserve">e application </w:t>
      </w:r>
      <w:r w:rsidR="00CF1E88" w:rsidRPr="00D8058E">
        <w:t xml:space="preserve">in </w:t>
      </w:r>
      <w:r w:rsidR="00466926">
        <w:t>the Department’s</w:t>
      </w:r>
      <w:r w:rsidR="00CF1E88" w:rsidRPr="00D8058E">
        <w:t xml:space="preserve"> analysis</w:t>
      </w:r>
      <w:r w:rsidR="00C61374">
        <w:t xml:space="preserve"> of</w:t>
      </w:r>
      <w:r w:rsidR="002B78F0">
        <w:t xml:space="preserve"> CoC capacity</w:t>
      </w:r>
      <w:r w:rsidR="00F23B8C">
        <w:t>.</w:t>
      </w:r>
      <w:r w:rsidR="00CF1E88" w:rsidRPr="00D8058E">
        <w:t xml:space="preserve"> </w:t>
      </w:r>
      <w:r w:rsidR="002B78F0">
        <w:t xml:space="preserve"> </w:t>
      </w:r>
      <w:r w:rsidR="00F23B8C">
        <w:t>H</w:t>
      </w:r>
      <w:r w:rsidR="00CF1E88" w:rsidRPr="00D8058E">
        <w:t xml:space="preserve">owever, </w:t>
      </w:r>
      <w:r w:rsidR="00A10281">
        <w:t>s</w:t>
      </w:r>
      <w:r w:rsidR="00466926">
        <w:t xml:space="preserve">ince the </w:t>
      </w:r>
      <w:r w:rsidR="00CF1E88" w:rsidRPr="00D8058E">
        <w:t>CoC application is a competitive process</w:t>
      </w:r>
      <w:r w:rsidR="00466926">
        <w:t xml:space="preserve"> </w:t>
      </w:r>
      <w:r w:rsidR="00CF1E88" w:rsidRPr="00D8058E">
        <w:t>and HUD wants CoCs to use th</w:t>
      </w:r>
      <w:r w:rsidR="00F23B8C">
        <w:t>e</w:t>
      </w:r>
      <w:r w:rsidR="00CF1E88" w:rsidRPr="00D8058E">
        <w:t xml:space="preserve"> CoC </w:t>
      </w:r>
      <w:r w:rsidR="00DC7B9B">
        <w:t>Check-up</w:t>
      </w:r>
      <w:r w:rsidR="00CF1E88" w:rsidRPr="00D8058E">
        <w:t xml:space="preserve"> as an honest assessment of capacity and needs</w:t>
      </w:r>
      <w:r w:rsidR="00A10281">
        <w:t xml:space="preserve">, to maximize the quality improvement value of the assessment, it must </w:t>
      </w:r>
      <w:r w:rsidR="00C61374">
        <w:t xml:space="preserve">be separate from </w:t>
      </w:r>
      <w:r w:rsidR="00CF1E88" w:rsidRPr="00D8058E">
        <w:t xml:space="preserve">the competitive </w:t>
      </w:r>
      <w:r w:rsidR="00A10281">
        <w:t xml:space="preserve">funding </w:t>
      </w:r>
      <w:r w:rsidR="00CF1E88" w:rsidRPr="00D8058E">
        <w:t xml:space="preserve">process.  </w:t>
      </w:r>
    </w:p>
    <w:p w:rsidR="00552BEE" w:rsidRDefault="00552BEE" w:rsidP="008D2164"/>
    <w:p w:rsidR="008D2164" w:rsidRDefault="008D2164" w:rsidP="008D2164"/>
    <w:p w:rsidR="008D2164" w:rsidRDefault="008D2164" w:rsidP="008D2164">
      <w:pPr>
        <w:pStyle w:val="AbtHeadB"/>
      </w:pPr>
      <w:bookmarkStart w:id="22" w:name="_Toc224972105"/>
      <w:bookmarkStart w:id="23" w:name="_Toc233444281"/>
      <w:r>
        <w:t>A5</w:t>
      </w:r>
      <w:r>
        <w:tab/>
        <w:t>Small Businesses</w:t>
      </w:r>
      <w:bookmarkEnd w:id="22"/>
      <w:bookmarkEnd w:id="23"/>
    </w:p>
    <w:p w:rsidR="008D2164" w:rsidRDefault="008D2164" w:rsidP="008D2164">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8D2164" w:rsidRDefault="008D2164" w:rsidP="008D2164"/>
    <w:p w:rsidR="005339B0" w:rsidRPr="00C369F5" w:rsidRDefault="008D2164" w:rsidP="005339B0">
      <w:r w:rsidRPr="001726AA">
        <w:t xml:space="preserve">No small businesses are involved as respondents to this data collection effort. </w:t>
      </w:r>
      <w:r w:rsidR="00A10281">
        <w:t>Respondents to</w:t>
      </w:r>
      <w:r w:rsidR="00A5764B">
        <w:t xml:space="preserve"> </w:t>
      </w:r>
      <w:r w:rsidR="00A10281">
        <w:t>t</w:t>
      </w:r>
      <w:r w:rsidR="005339B0" w:rsidRPr="001726AA">
        <w:t xml:space="preserve">he </w:t>
      </w:r>
      <w:r w:rsidR="001726AA" w:rsidRPr="001726AA">
        <w:t xml:space="preserve">CoC </w:t>
      </w:r>
      <w:r w:rsidR="00DC7B9B">
        <w:t>Check-up</w:t>
      </w:r>
      <w:r w:rsidR="00E6145B">
        <w:t xml:space="preserve"> tool</w:t>
      </w:r>
      <w:r w:rsidR="005339B0" w:rsidRPr="001726AA">
        <w:t xml:space="preserve"> </w:t>
      </w:r>
      <w:r w:rsidR="00A10281">
        <w:t>are representatives from local and state governments and non-profit organizations as well as consumers.</w:t>
      </w:r>
    </w:p>
    <w:p w:rsidR="001C6D1F" w:rsidRDefault="001C6D1F" w:rsidP="008D2164"/>
    <w:p w:rsidR="008D2164" w:rsidRDefault="008D2164" w:rsidP="008D2164">
      <w:pPr>
        <w:pStyle w:val="AbtHeadB"/>
      </w:pPr>
      <w:bookmarkStart w:id="24" w:name="_Toc224972106"/>
      <w:bookmarkStart w:id="25" w:name="_Toc233444282"/>
      <w:r>
        <w:t>A6</w:t>
      </w:r>
      <w:r>
        <w:tab/>
        <w:t>Less Frequent Data Collection</w:t>
      </w:r>
      <w:bookmarkEnd w:id="24"/>
      <w:bookmarkEnd w:id="25"/>
    </w:p>
    <w:p w:rsidR="008D2164" w:rsidRDefault="008D2164" w:rsidP="008D2164">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1726AA" w:rsidRDefault="001726AA" w:rsidP="008D2164">
      <w:pPr>
        <w:keepLines/>
        <w:tabs>
          <w:tab w:val="left" w:pos="0"/>
        </w:tabs>
        <w:spacing w:after="80"/>
        <w:rPr>
          <w:rFonts w:ascii="Arial" w:hAnsi="Arial"/>
          <w:i/>
          <w:color w:val="000000"/>
        </w:rPr>
      </w:pPr>
    </w:p>
    <w:p w:rsidR="001726AA" w:rsidRDefault="001726AA" w:rsidP="001726AA">
      <w:pPr>
        <w:rPr>
          <w:spacing w:val="-2"/>
        </w:rPr>
      </w:pPr>
      <w:r w:rsidRPr="005F6633">
        <w:rPr>
          <w:spacing w:val="-2"/>
        </w:rPr>
        <w:t xml:space="preserve">This data will be </w:t>
      </w:r>
      <w:r w:rsidR="00D8058E">
        <w:rPr>
          <w:spacing w:val="-2"/>
        </w:rPr>
        <w:t xml:space="preserve">requested and </w:t>
      </w:r>
      <w:r w:rsidRPr="005F6633">
        <w:rPr>
          <w:spacing w:val="-2"/>
        </w:rPr>
        <w:t>collected annually</w:t>
      </w:r>
      <w:r w:rsidR="00D8058E">
        <w:rPr>
          <w:spacing w:val="-2"/>
        </w:rPr>
        <w:t xml:space="preserve">, </w:t>
      </w:r>
      <w:r w:rsidR="00A10281">
        <w:rPr>
          <w:spacing w:val="-2"/>
        </w:rPr>
        <w:t>however each</w:t>
      </w:r>
      <w:r w:rsidR="00D8058E">
        <w:rPr>
          <w:spacing w:val="-2"/>
        </w:rPr>
        <w:t xml:space="preserve"> CoC will </w:t>
      </w:r>
      <w:r w:rsidR="00FA7B29">
        <w:rPr>
          <w:spacing w:val="-2"/>
        </w:rPr>
        <w:t>have</w:t>
      </w:r>
      <w:r w:rsidR="00D8058E">
        <w:rPr>
          <w:spacing w:val="-2"/>
        </w:rPr>
        <w:t xml:space="preserve"> the option of completing </w:t>
      </w:r>
      <w:r w:rsidR="00552BEE">
        <w:rPr>
          <w:spacing w:val="-2"/>
        </w:rPr>
        <w:t xml:space="preserve">the tool </w:t>
      </w:r>
      <w:r w:rsidR="00D8058E">
        <w:rPr>
          <w:spacing w:val="-2"/>
        </w:rPr>
        <w:t>on a more frequent basis</w:t>
      </w:r>
      <w:r w:rsidR="00A10281">
        <w:rPr>
          <w:spacing w:val="-2"/>
        </w:rPr>
        <w:t xml:space="preserve"> to benchmark their progress in achieving desired outcomes</w:t>
      </w:r>
      <w:r w:rsidRPr="005F6633">
        <w:rPr>
          <w:spacing w:val="-2"/>
        </w:rPr>
        <w:t>.  Less frequent data collection would significantly reduce</w:t>
      </w:r>
      <w:r w:rsidR="00A10281">
        <w:rPr>
          <w:spacing w:val="-2"/>
        </w:rPr>
        <w:t xml:space="preserve"> the ability of </w:t>
      </w:r>
      <w:r w:rsidR="00B3626A">
        <w:rPr>
          <w:spacing w:val="-2"/>
        </w:rPr>
        <w:t xml:space="preserve">individual CoCs and </w:t>
      </w:r>
      <w:r w:rsidRPr="005F6633">
        <w:rPr>
          <w:spacing w:val="-2"/>
        </w:rPr>
        <w:t>HUD</w:t>
      </w:r>
      <w:r w:rsidR="00A5764B">
        <w:rPr>
          <w:spacing w:val="-2"/>
        </w:rPr>
        <w:t xml:space="preserve"> </w:t>
      </w:r>
      <w:r w:rsidRPr="005F6633">
        <w:rPr>
          <w:spacing w:val="-2"/>
        </w:rPr>
        <w:t xml:space="preserve">to </w:t>
      </w:r>
      <w:r w:rsidR="00A245C6">
        <w:rPr>
          <w:spacing w:val="-2"/>
        </w:rPr>
        <w:t xml:space="preserve">assess capacity for increasing </w:t>
      </w:r>
      <w:r w:rsidR="00B3626A">
        <w:rPr>
          <w:spacing w:val="-2"/>
        </w:rPr>
        <w:t>CoC</w:t>
      </w:r>
      <w:r w:rsidRPr="005F6633">
        <w:rPr>
          <w:spacing w:val="-2"/>
        </w:rPr>
        <w:t xml:space="preserve"> capacity </w:t>
      </w:r>
      <w:r w:rsidR="00A245C6">
        <w:rPr>
          <w:spacing w:val="-2"/>
        </w:rPr>
        <w:t>for governance, data collection, reporting and ending homelessness.</w:t>
      </w:r>
    </w:p>
    <w:p w:rsidR="00A5764B" w:rsidRDefault="00A5764B" w:rsidP="00A5764B">
      <w:pPr>
        <w:pStyle w:val="AbtHeadB"/>
        <w:spacing w:after="0"/>
      </w:pPr>
      <w:bookmarkStart w:id="26" w:name="_Toc224972107"/>
      <w:bookmarkStart w:id="27" w:name="_Toc233444283"/>
    </w:p>
    <w:p w:rsidR="008D2164" w:rsidRDefault="008D2164" w:rsidP="00A5764B">
      <w:pPr>
        <w:pStyle w:val="AbtHeadB"/>
        <w:spacing w:after="0"/>
      </w:pPr>
      <w:r>
        <w:t>A7</w:t>
      </w:r>
      <w:r>
        <w:tab/>
        <w:t>Special Circumstances</w:t>
      </w:r>
      <w:bookmarkEnd w:id="26"/>
      <w:bookmarkEnd w:id="27"/>
    </w:p>
    <w:p w:rsidR="008D2164" w:rsidRDefault="008D2164" w:rsidP="008D2164">
      <w:r w:rsidRPr="005F6633">
        <w:t>The proposed data collection activities are consistent with the guidelines set forth in 5 CFR 1320.6 (Controlling Paperwork Burden on the Public</w:t>
      </w:r>
      <w:r w:rsidR="008477FF">
        <w:t>–</w:t>
      </w:r>
      <w:r w:rsidRPr="005F6633">
        <w:t>General Information Collection Guidelines).  There are no special circumstances that require deviation from these guidelines.</w:t>
      </w:r>
    </w:p>
    <w:p w:rsidR="008D2164" w:rsidRDefault="008D2164" w:rsidP="008D2164"/>
    <w:p w:rsidR="001726AA" w:rsidRDefault="001726AA" w:rsidP="008D2164"/>
    <w:p w:rsidR="008D2164" w:rsidRDefault="008D2164" w:rsidP="008D2164">
      <w:pPr>
        <w:pStyle w:val="AbtHeadB"/>
      </w:pPr>
      <w:bookmarkStart w:id="28" w:name="_Toc224972108"/>
      <w:bookmarkStart w:id="29" w:name="_Toc233444284"/>
      <w:r w:rsidRPr="005F6633">
        <w:lastRenderedPageBreak/>
        <w:t>A8</w:t>
      </w:r>
      <w:r w:rsidRPr="005F6633">
        <w:tab/>
        <w:t>Federal Register Notice/Outside Consultation</w:t>
      </w:r>
      <w:bookmarkEnd w:id="28"/>
      <w:bookmarkEnd w:id="29"/>
    </w:p>
    <w:p w:rsidR="008D2164" w:rsidRDefault="008D2164" w:rsidP="008D2164">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5F6633" w:rsidRDefault="005F6633" w:rsidP="008D2164">
      <w:pPr>
        <w:keepLines/>
        <w:tabs>
          <w:tab w:val="left" w:pos="-110"/>
        </w:tabs>
        <w:spacing w:after="80"/>
        <w:rPr>
          <w:rFonts w:ascii="Arial" w:hAnsi="Arial"/>
          <w:i/>
          <w:color w:val="000000"/>
        </w:rPr>
      </w:pPr>
    </w:p>
    <w:p w:rsidR="002C394C" w:rsidRDefault="001726AA" w:rsidP="001726AA">
      <w:r w:rsidRPr="00D77C7C">
        <w:t>In accordance with the Paperwork Reduction Act of 1995, the Department of Housing and Urban Development published a not</w:t>
      </w:r>
      <w:r w:rsidR="00D77C7C" w:rsidRPr="00D77C7C">
        <w:t xml:space="preserve">ice in the Federal Register </w:t>
      </w:r>
      <w:r w:rsidR="002A7767" w:rsidRPr="002C394C">
        <w:t>o</w:t>
      </w:r>
      <w:r w:rsidR="00D77C7C" w:rsidRPr="002C394C">
        <w:t xml:space="preserve">n </w:t>
      </w:r>
      <w:r w:rsidR="002C394C">
        <w:t>June 14,</w:t>
      </w:r>
      <w:r w:rsidR="0000650C">
        <w:t xml:space="preserve"> </w:t>
      </w:r>
      <w:r w:rsidR="002C394C">
        <w:t>2011</w:t>
      </w:r>
    </w:p>
    <w:p w:rsidR="001726AA" w:rsidRDefault="001726AA" w:rsidP="001726AA">
      <w:r w:rsidRPr="002C394C">
        <w:t xml:space="preserve"> (V</w:t>
      </w:r>
      <w:r w:rsidR="00656AD8" w:rsidRPr="002C394C">
        <w:t xml:space="preserve">ol. </w:t>
      </w:r>
      <w:r w:rsidR="002C394C">
        <w:t>76</w:t>
      </w:r>
      <w:r w:rsidRPr="002C394C">
        <w:t>, No.</w:t>
      </w:r>
      <w:r w:rsidR="00656AD8" w:rsidRPr="002C394C">
        <w:t xml:space="preserve"> </w:t>
      </w:r>
      <w:r w:rsidR="002C394C">
        <w:t>114</w:t>
      </w:r>
      <w:r w:rsidRPr="002C394C">
        <w:t xml:space="preserve">, pp. </w:t>
      </w:r>
      <w:r w:rsidR="002C394C">
        <w:t>34744-45</w:t>
      </w:r>
      <w:r w:rsidRPr="002C394C">
        <w:t>)</w:t>
      </w:r>
      <w:r w:rsidRPr="00D77C7C">
        <w:t xml:space="preserve"> announcing the agency’s intention to request an OMB review of data collection activities for the </w:t>
      </w:r>
      <w:r w:rsidR="005F6633" w:rsidRPr="00D77C7C">
        <w:t xml:space="preserve">CoC </w:t>
      </w:r>
      <w:r w:rsidR="00DC7B9B">
        <w:t>Check-up</w:t>
      </w:r>
      <w:r w:rsidR="00A24745">
        <w:t xml:space="preserve"> tool</w:t>
      </w:r>
      <w:r w:rsidR="005F6633" w:rsidRPr="00D77C7C">
        <w:t>.</w:t>
      </w:r>
      <w:r w:rsidRPr="00D77C7C">
        <w:t xml:space="preserve"> </w:t>
      </w:r>
      <w:r w:rsidR="005F6633" w:rsidRPr="00D77C7C">
        <w:t xml:space="preserve"> </w:t>
      </w:r>
      <w:r w:rsidRPr="00D77C7C">
        <w:t xml:space="preserve">The notice provided a </w:t>
      </w:r>
      <w:r w:rsidR="002A7767">
        <w:t>14</w:t>
      </w:r>
      <w:r w:rsidRPr="00D77C7C">
        <w:t xml:space="preserve">-day period for public comments.  </w:t>
      </w:r>
      <w:r w:rsidRPr="002C394C">
        <w:t xml:space="preserve">A copy </w:t>
      </w:r>
      <w:r w:rsidR="005F6633" w:rsidRPr="002C394C">
        <w:t>of the Notice is in Attachment B</w:t>
      </w:r>
      <w:r w:rsidRPr="002C394C">
        <w:t>.</w:t>
      </w:r>
    </w:p>
    <w:p w:rsidR="002C394C" w:rsidRDefault="002C394C" w:rsidP="001726AA"/>
    <w:p w:rsidR="002C394C" w:rsidRDefault="002C394C" w:rsidP="001726AA">
      <w:r>
        <w:t xml:space="preserve"> </w:t>
      </w:r>
      <w:r w:rsidR="0000650C">
        <w:t>No comments were received.</w:t>
      </w:r>
    </w:p>
    <w:p w:rsidR="00EB64E9" w:rsidRDefault="00EB64E9" w:rsidP="008D2164"/>
    <w:p w:rsidR="008D2164" w:rsidRDefault="008D2164" w:rsidP="008D2164">
      <w:pPr>
        <w:pStyle w:val="AbtHeadB"/>
      </w:pPr>
      <w:bookmarkStart w:id="30" w:name="_Toc224972111"/>
      <w:bookmarkStart w:id="31" w:name="_Toc233444285"/>
      <w:r>
        <w:t>A9</w:t>
      </w:r>
      <w:r>
        <w:tab/>
        <w:t>Payment/Gift to Respondents</w:t>
      </w:r>
      <w:bookmarkEnd w:id="30"/>
      <w:bookmarkEnd w:id="31"/>
    </w:p>
    <w:p w:rsidR="008D2164" w:rsidRDefault="008D2164" w:rsidP="008D2164">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rsidR="00466926" w:rsidRDefault="00466926">
      <w:pPr>
        <w:keepLines/>
        <w:tabs>
          <w:tab w:val="left" w:pos="360"/>
        </w:tabs>
        <w:rPr>
          <w:rFonts w:ascii="Arial" w:hAnsi="Arial"/>
          <w:color w:val="000000"/>
        </w:rPr>
      </w:pPr>
    </w:p>
    <w:p w:rsidR="008D2164" w:rsidRDefault="008D2164" w:rsidP="008D2164">
      <w:r w:rsidRPr="00ED7E08">
        <w:t xml:space="preserve">HUD does not provide remuneration to grantees for completion and submission of </w:t>
      </w:r>
      <w:r w:rsidR="001726AA" w:rsidRPr="00ED7E08">
        <w:t xml:space="preserve">the </w:t>
      </w:r>
      <w:r w:rsidR="005F6633">
        <w:t xml:space="preserve">CoC </w:t>
      </w:r>
      <w:r w:rsidR="00DC7B9B">
        <w:t>Check-up</w:t>
      </w:r>
      <w:r w:rsidR="00A24745">
        <w:t xml:space="preserve"> tool</w:t>
      </w:r>
      <w:r w:rsidR="001726AA" w:rsidRPr="00ED7E08">
        <w:t>.</w:t>
      </w:r>
    </w:p>
    <w:p w:rsidR="008D2164" w:rsidRDefault="008D2164" w:rsidP="008D2164"/>
    <w:p w:rsidR="008D2164" w:rsidRDefault="008D2164" w:rsidP="008D2164">
      <w:pPr>
        <w:pStyle w:val="AbtHeadB"/>
      </w:pPr>
      <w:bookmarkStart w:id="32" w:name="_Toc224972112"/>
      <w:bookmarkStart w:id="33" w:name="_Toc233444286"/>
      <w:r>
        <w:t>A10</w:t>
      </w:r>
      <w:r>
        <w:tab/>
        <w:t>Confidentiality</w:t>
      </w:r>
      <w:bookmarkEnd w:id="32"/>
      <w:bookmarkEnd w:id="33"/>
    </w:p>
    <w:p w:rsidR="00466926" w:rsidRDefault="008D2164">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8D2164" w:rsidRDefault="008D2164" w:rsidP="008D2164"/>
    <w:p w:rsidR="00860645" w:rsidRDefault="008D2164" w:rsidP="008D2164">
      <w:r w:rsidRPr="005F6633">
        <w:t xml:space="preserve">These reports do not </w:t>
      </w:r>
      <w:r w:rsidR="0052502F">
        <w:t>collect</w:t>
      </w:r>
      <w:r w:rsidR="0052502F" w:rsidRPr="005F6633">
        <w:t xml:space="preserve"> </w:t>
      </w:r>
      <w:r w:rsidRPr="005F6633">
        <w:t>any protected personal information.</w:t>
      </w:r>
      <w:r w:rsidR="00E6145B">
        <w:t xml:space="preserve">  </w:t>
      </w:r>
    </w:p>
    <w:p w:rsidR="00466926" w:rsidRDefault="00466926">
      <w:pPr>
        <w:pStyle w:val="AbtHeadB"/>
        <w:spacing w:after="0"/>
      </w:pPr>
      <w:bookmarkStart w:id="34" w:name="_Toc224972113"/>
      <w:bookmarkStart w:id="35" w:name="_Toc233444287"/>
    </w:p>
    <w:p w:rsidR="008D2164" w:rsidRDefault="008D2164" w:rsidP="008D2164">
      <w:pPr>
        <w:pStyle w:val="AbtHeadB"/>
      </w:pPr>
      <w:r>
        <w:t>A11</w:t>
      </w:r>
      <w:r>
        <w:tab/>
        <w:t>Sensitive Questions</w:t>
      </w:r>
      <w:bookmarkEnd w:id="34"/>
      <w:bookmarkEnd w:id="35"/>
    </w:p>
    <w:p w:rsidR="008D2164" w:rsidRDefault="008D2164" w:rsidP="008D2164">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8D2164" w:rsidRPr="00BB6789" w:rsidRDefault="008D2164" w:rsidP="008D2164">
      <w:pPr>
        <w:keepLines/>
        <w:tabs>
          <w:tab w:val="left" w:pos="360"/>
          <w:tab w:val="left" w:pos="720"/>
        </w:tabs>
        <w:rPr>
          <w:rFonts w:ascii="Arial" w:hAnsi="Arial"/>
          <w:color w:val="000000"/>
        </w:rPr>
      </w:pPr>
    </w:p>
    <w:p w:rsidR="008D2164" w:rsidRDefault="008D2164" w:rsidP="008D2164">
      <w:pPr>
        <w:pStyle w:val="BodyText"/>
      </w:pPr>
      <w:r w:rsidRPr="005F6633">
        <w:t xml:space="preserve">The </w:t>
      </w:r>
      <w:r w:rsidR="00EB64E9" w:rsidRPr="005F6633">
        <w:t xml:space="preserve">CoC </w:t>
      </w:r>
      <w:r w:rsidR="00DC7B9B">
        <w:t>Check-up</w:t>
      </w:r>
      <w:r w:rsidR="00407EA5">
        <w:t xml:space="preserve"> Tool</w:t>
      </w:r>
      <w:r w:rsidRPr="005F6633">
        <w:t xml:space="preserve"> does not include questions of a sensitive nature for HUD</w:t>
      </w:r>
      <w:r w:rsidR="00A245C6">
        <w:t>, CoC’s,</w:t>
      </w:r>
      <w:r w:rsidRPr="005F6633">
        <w:t xml:space="preserve"> grantees or subgrantees.</w:t>
      </w:r>
    </w:p>
    <w:p w:rsidR="008D2164" w:rsidRDefault="008D2164" w:rsidP="008D2164"/>
    <w:p w:rsidR="008D2164" w:rsidRDefault="008D2164" w:rsidP="008D2164">
      <w:pPr>
        <w:pStyle w:val="AbtHeadB"/>
      </w:pPr>
      <w:bookmarkStart w:id="36" w:name="_Toc224972114"/>
      <w:bookmarkStart w:id="37" w:name="_Toc233444288"/>
      <w:r>
        <w:t>A12</w:t>
      </w:r>
      <w:r>
        <w:tab/>
        <w:t>Burden Estimate (Total Hours and Wages)</w:t>
      </w:r>
      <w:bookmarkEnd w:id="36"/>
      <w:bookmarkEnd w:id="37"/>
    </w:p>
    <w:p w:rsidR="008D2164" w:rsidRDefault="008D2164" w:rsidP="008D2164">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8D2164" w:rsidRDefault="008D2164" w:rsidP="008D2164"/>
    <w:p w:rsidR="008D2164" w:rsidRDefault="00233B85" w:rsidP="008D2164">
      <w:pPr>
        <w:autoSpaceDE w:val="0"/>
        <w:autoSpaceDN w:val="0"/>
        <w:adjustRightInd w:val="0"/>
        <w:rPr>
          <w:color w:val="000000"/>
        </w:rPr>
      </w:pPr>
      <w:r w:rsidRPr="004443D8">
        <w:rPr>
          <w:color w:val="000000"/>
        </w:rPr>
        <w:lastRenderedPageBreak/>
        <w:t xml:space="preserve">Exhibits A-2 and A-3 </w:t>
      </w:r>
      <w:r w:rsidR="008D2164" w:rsidRPr="004443D8">
        <w:rPr>
          <w:color w:val="000000"/>
          <w:szCs w:val="22"/>
        </w:rPr>
        <w:t xml:space="preserve">below demonstrate how the public burden for the </w:t>
      </w:r>
      <w:r w:rsidR="00BF10DD" w:rsidRPr="004443D8">
        <w:rPr>
          <w:color w:val="000000"/>
          <w:szCs w:val="22"/>
        </w:rPr>
        <w:t xml:space="preserve">CoC </w:t>
      </w:r>
      <w:r w:rsidR="00DC7B9B">
        <w:rPr>
          <w:color w:val="000000"/>
          <w:szCs w:val="22"/>
        </w:rPr>
        <w:t>Check-up</w:t>
      </w:r>
      <w:r w:rsidR="00A24745">
        <w:rPr>
          <w:color w:val="000000"/>
          <w:szCs w:val="22"/>
        </w:rPr>
        <w:t xml:space="preserve"> tool</w:t>
      </w:r>
      <w:r w:rsidR="0010088C">
        <w:rPr>
          <w:color w:val="000000"/>
          <w:szCs w:val="22"/>
        </w:rPr>
        <w:t xml:space="preserve"> </w:t>
      </w:r>
      <w:r w:rsidR="008D2164">
        <w:rPr>
          <w:color w:val="000000"/>
          <w:szCs w:val="22"/>
        </w:rPr>
        <w:t>was calculated</w:t>
      </w:r>
      <w:r>
        <w:rPr>
          <w:color w:val="000000"/>
          <w:szCs w:val="22"/>
        </w:rPr>
        <w:t xml:space="preserve"> based on estimated time and expenditures required to complete the assessment. </w:t>
      </w:r>
      <w:r w:rsidR="008D2164">
        <w:rPr>
          <w:color w:val="000000"/>
          <w:szCs w:val="22"/>
        </w:rPr>
        <w:t xml:space="preserve">The total burden for data collection </w:t>
      </w:r>
      <w:r>
        <w:rPr>
          <w:color w:val="000000"/>
          <w:szCs w:val="22"/>
        </w:rPr>
        <w:t xml:space="preserve">from all CoCs </w:t>
      </w:r>
      <w:r w:rsidR="008D2164">
        <w:rPr>
          <w:color w:val="000000"/>
          <w:szCs w:val="22"/>
        </w:rPr>
        <w:t xml:space="preserve">over </w:t>
      </w:r>
      <w:r w:rsidR="008D2164" w:rsidRPr="005F6633">
        <w:rPr>
          <w:color w:val="000000"/>
          <w:szCs w:val="22"/>
        </w:rPr>
        <w:t xml:space="preserve">a </w:t>
      </w:r>
      <w:r w:rsidR="005F6633" w:rsidRPr="005F6633">
        <w:rPr>
          <w:color w:val="000000"/>
          <w:szCs w:val="22"/>
        </w:rPr>
        <w:t>one-</w:t>
      </w:r>
      <w:r w:rsidR="008D2164" w:rsidRPr="005F6633">
        <w:rPr>
          <w:color w:val="000000"/>
          <w:szCs w:val="22"/>
        </w:rPr>
        <w:t>year period is estim</w:t>
      </w:r>
      <w:r w:rsidR="008D2164">
        <w:rPr>
          <w:color w:val="000000"/>
          <w:szCs w:val="22"/>
        </w:rPr>
        <w:t xml:space="preserve">ated at </w:t>
      </w:r>
      <w:r w:rsidR="006111C4">
        <w:rPr>
          <w:color w:val="000000"/>
          <w:szCs w:val="22"/>
        </w:rPr>
        <w:t>5</w:t>
      </w:r>
      <w:r w:rsidR="00E5116E">
        <w:rPr>
          <w:color w:val="000000"/>
          <w:szCs w:val="22"/>
        </w:rPr>
        <w:t>,</w:t>
      </w:r>
      <w:r w:rsidR="006111C4">
        <w:rPr>
          <w:color w:val="000000"/>
          <w:szCs w:val="22"/>
        </w:rPr>
        <w:t>4</w:t>
      </w:r>
      <w:r w:rsidR="00B57A08">
        <w:rPr>
          <w:color w:val="000000"/>
          <w:szCs w:val="22"/>
        </w:rPr>
        <w:t>0</w:t>
      </w:r>
      <w:r w:rsidR="006111C4">
        <w:rPr>
          <w:color w:val="000000"/>
          <w:szCs w:val="22"/>
        </w:rPr>
        <w:t>0</w:t>
      </w:r>
      <w:r w:rsidR="00E5116E" w:rsidRPr="008B3E91">
        <w:rPr>
          <w:color w:val="000000"/>
          <w:szCs w:val="22"/>
        </w:rPr>
        <w:t xml:space="preserve"> </w:t>
      </w:r>
      <w:r w:rsidR="008D2164" w:rsidRPr="008B3E91">
        <w:rPr>
          <w:color w:val="000000"/>
          <w:szCs w:val="22"/>
        </w:rPr>
        <w:t>hours.</w:t>
      </w:r>
      <w:r w:rsidR="008D2164">
        <w:rPr>
          <w:color w:val="000000"/>
          <w:szCs w:val="22"/>
        </w:rPr>
        <w:t xml:space="preserve">  </w:t>
      </w:r>
      <w:r w:rsidR="008D2164">
        <w:rPr>
          <w:color w:val="000000"/>
        </w:rPr>
        <w:t xml:space="preserve">The average annual burden for a single </w:t>
      </w:r>
      <w:r>
        <w:rPr>
          <w:color w:val="000000"/>
        </w:rPr>
        <w:t>CoC</w:t>
      </w:r>
      <w:r w:rsidR="008D2164">
        <w:rPr>
          <w:color w:val="000000"/>
        </w:rPr>
        <w:t xml:space="preserve"> to complete and submit the </w:t>
      </w:r>
      <w:r w:rsidR="004C75C9" w:rsidRPr="004C75C9">
        <w:rPr>
          <w:color w:val="000000"/>
        </w:rPr>
        <w:t>a</w:t>
      </w:r>
      <w:r w:rsidR="008D2164" w:rsidRPr="004C75C9">
        <w:rPr>
          <w:color w:val="000000"/>
        </w:rPr>
        <w:t>ssessment</w:t>
      </w:r>
      <w:r w:rsidR="008D2164">
        <w:rPr>
          <w:color w:val="000000"/>
        </w:rPr>
        <w:t xml:space="preserve"> </w:t>
      </w:r>
      <w:r w:rsidR="008D2164" w:rsidRPr="0010088C">
        <w:rPr>
          <w:color w:val="000000"/>
        </w:rPr>
        <w:t xml:space="preserve">is </w:t>
      </w:r>
      <w:r w:rsidR="006111C4">
        <w:rPr>
          <w:color w:val="000000"/>
        </w:rPr>
        <w:t>12</w:t>
      </w:r>
      <w:r w:rsidR="00407EA5" w:rsidRPr="0010088C">
        <w:rPr>
          <w:color w:val="000000"/>
        </w:rPr>
        <w:t xml:space="preserve"> </w:t>
      </w:r>
      <w:r w:rsidR="008D2164" w:rsidRPr="0010088C">
        <w:rPr>
          <w:color w:val="000000"/>
        </w:rPr>
        <w:t>hour</w:t>
      </w:r>
      <w:r w:rsidR="0010088C" w:rsidRPr="0010088C">
        <w:rPr>
          <w:color w:val="000000"/>
        </w:rPr>
        <w:t xml:space="preserve">s (i.e., </w:t>
      </w:r>
      <w:r w:rsidR="00726729">
        <w:rPr>
          <w:color w:val="000000"/>
        </w:rPr>
        <w:t>90 minutes</w:t>
      </w:r>
      <w:r w:rsidR="0010088C" w:rsidRPr="0010088C">
        <w:rPr>
          <w:color w:val="000000"/>
        </w:rPr>
        <w:t xml:space="preserve"> for each of </w:t>
      </w:r>
      <w:r w:rsidR="006111C4">
        <w:rPr>
          <w:color w:val="000000"/>
        </w:rPr>
        <w:t>eight</w:t>
      </w:r>
      <w:r w:rsidR="006111C4" w:rsidRPr="0010088C">
        <w:rPr>
          <w:color w:val="000000"/>
        </w:rPr>
        <w:t xml:space="preserve"> </w:t>
      </w:r>
      <w:r w:rsidR="0010088C" w:rsidRPr="0010088C">
        <w:rPr>
          <w:color w:val="000000"/>
        </w:rPr>
        <w:t>respondents)</w:t>
      </w:r>
      <w:r w:rsidR="008D2164" w:rsidRPr="0010088C">
        <w:rPr>
          <w:color w:val="000000"/>
        </w:rPr>
        <w:t xml:space="preserve"> at a cost of $</w:t>
      </w:r>
      <w:r w:rsidR="0010088C" w:rsidRPr="0010088C">
        <w:rPr>
          <w:color w:val="000000"/>
        </w:rPr>
        <w:t>29.74</w:t>
      </w:r>
      <w:r w:rsidR="004553A2">
        <w:rPr>
          <w:color w:val="000000"/>
        </w:rPr>
        <w:t xml:space="preserve"> per respondent or $</w:t>
      </w:r>
      <w:r w:rsidR="006111C4">
        <w:rPr>
          <w:color w:val="000000"/>
        </w:rPr>
        <w:t>356</w:t>
      </w:r>
      <w:r w:rsidR="004553A2">
        <w:rPr>
          <w:color w:val="000000"/>
        </w:rPr>
        <w:t>.</w:t>
      </w:r>
      <w:r w:rsidR="006111C4">
        <w:rPr>
          <w:color w:val="000000"/>
        </w:rPr>
        <w:t>88</w:t>
      </w:r>
      <w:r w:rsidR="004553A2">
        <w:rPr>
          <w:color w:val="000000"/>
        </w:rPr>
        <w:t xml:space="preserve"> per CoC.</w:t>
      </w:r>
    </w:p>
    <w:p w:rsidR="008D2164" w:rsidRDefault="008D2164" w:rsidP="008D2164">
      <w:pPr>
        <w:autoSpaceDE w:val="0"/>
        <w:autoSpaceDN w:val="0"/>
        <w:adjustRightInd w:val="0"/>
        <w:rPr>
          <w:color w:val="000000"/>
        </w:rPr>
      </w:pPr>
    </w:p>
    <w:p w:rsidR="008D2164" w:rsidRDefault="008D2164" w:rsidP="008D2164">
      <w:pPr>
        <w:jc w:val="center"/>
        <w:rPr>
          <w:rFonts w:ascii="Arial" w:hAnsi="Arial"/>
          <w:b/>
          <w:sz w:val="20"/>
        </w:rPr>
      </w:pPr>
      <w:r>
        <w:rPr>
          <w:rFonts w:ascii="Arial" w:hAnsi="Arial"/>
          <w:b/>
          <w:sz w:val="20"/>
        </w:rPr>
        <w:t xml:space="preserve">Exhibit A-2: Estimated </w:t>
      </w:r>
      <w:r w:rsidRPr="00ED7E08">
        <w:rPr>
          <w:rFonts w:ascii="Arial" w:hAnsi="Arial"/>
          <w:b/>
          <w:sz w:val="20"/>
        </w:rPr>
        <w:t>Annual</w:t>
      </w:r>
      <w:r>
        <w:rPr>
          <w:rFonts w:ascii="Arial" w:hAnsi="Arial"/>
          <w:b/>
          <w:sz w:val="20"/>
        </w:rPr>
        <w:t xml:space="preserve"> Burden Hours for </w:t>
      </w:r>
      <w:r w:rsidR="00233B85">
        <w:rPr>
          <w:rFonts w:ascii="Arial" w:hAnsi="Arial"/>
          <w:b/>
          <w:sz w:val="20"/>
        </w:rPr>
        <w:t xml:space="preserve">CoC </w:t>
      </w:r>
      <w:r w:rsidR="00DC7B9B">
        <w:rPr>
          <w:rFonts w:ascii="Arial" w:hAnsi="Arial"/>
          <w:b/>
          <w:sz w:val="20"/>
        </w:rPr>
        <w:t>Check-up</w:t>
      </w:r>
    </w:p>
    <w:p w:rsidR="008D2164" w:rsidRDefault="008D2164" w:rsidP="008D2164">
      <w:pPr>
        <w:jc w:val="center"/>
        <w:rPr>
          <w:rFonts w:ascii="Arial" w:hAnsi="Arial"/>
          <w:b/>
          <w:sz w:val="20"/>
        </w:rPr>
      </w:pPr>
    </w:p>
    <w:tbl>
      <w:tblPr>
        <w:tblW w:w="8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040"/>
        <w:gridCol w:w="1439"/>
        <w:gridCol w:w="2041"/>
        <w:gridCol w:w="1560"/>
        <w:gridCol w:w="1316"/>
      </w:tblGrid>
      <w:tr w:rsidR="008B3E91" w:rsidTr="009D0A7F">
        <w:trPr>
          <w:trHeight w:val="288"/>
        </w:trPr>
        <w:tc>
          <w:tcPr>
            <w:tcW w:w="2040" w:type="dxa"/>
            <w:shd w:val="clear" w:color="auto" w:fill="808080"/>
            <w:vAlign w:val="center"/>
          </w:tcPr>
          <w:p w:rsidR="008B3E91" w:rsidRDefault="008B3E91" w:rsidP="005339B0">
            <w:pPr>
              <w:jc w:val="center"/>
              <w:rPr>
                <w:rFonts w:ascii="Arial" w:eastAsia="Arial Unicode MS" w:hAnsi="Arial"/>
                <w:b/>
                <w:color w:val="FFFFFF"/>
                <w:sz w:val="20"/>
              </w:rPr>
            </w:pPr>
            <w:r>
              <w:rPr>
                <w:rFonts w:ascii="Arial" w:hAnsi="Arial"/>
                <w:b/>
                <w:color w:val="FFFFFF"/>
                <w:sz w:val="20"/>
              </w:rPr>
              <w:t>A</w:t>
            </w:r>
          </w:p>
        </w:tc>
        <w:tc>
          <w:tcPr>
            <w:tcW w:w="1439" w:type="dxa"/>
            <w:shd w:val="clear" w:color="auto" w:fill="808080"/>
            <w:vAlign w:val="center"/>
          </w:tcPr>
          <w:p w:rsidR="008B3E91" w:rsidRDefault="008B3E91" w:rsidP="005339B0">
            <w:pPr>
              <w:jc w:val="center"/>
              <w:rPr>
                <w:rFonts w:ascii="Arial" w:eastAsia="Arial Unicode MS" w:hAnsi="Arial"/>
                <w:b/>
                <w:color w:val="FFFFFF"/>
                <w:sz w:val="20"/>
              </w:rPr>
            </w:pPr>
            <w:r>
              <w:rPr>
                <w:rFonts w:ascii="Arial" w:hAnsi="Arial"/>
                <w:b/>
                <w:color w:val="FFFFFF"/>
                <w:sz w:val="20"/>
              </w:rPr>
              <w:t>B</w:t>
            </w:r>
          </w:p>
        </w:tc>
        <w:tc>
          <w:tcPr>
            <w:tcW w:w="2041" w:type="dxa"/>
            <w:shd w:val="clear" w:color="auto" w:fill="808080"/>
          </w:tcPr>
          <w:p w:rsidR="008B3E91" w:rsidRDefault="008B3E91" w:rsidP="005339B0">
            <w:pPr>
              <w:jc w:val="center"/>
              <w:rPr>
                <w:rFonts w:ascii="Arial" w:hAnsi="Arial"/>
                <w:b/>
                <w:color w:val="FFFFFF"/>
                <w:sz w:val="20"/>
              </w:rPr>
            </w:pPr>
            <w:r>
              <w:rPr>
                <w:rFonts w:ascii="Arial" w:hAnsi="Arial"/>
                <w:b/>
                <w:color w:val="FFFFFF"/>
                <w:sz w:val="20"/>
              </w:rPr>
              <w:t>C</w:t>
            </w:r>
          </w:p>
        </w:tc>
        <w:tc>
          <w:tcPr>
            <w:tcW w:w="1560" w:type="dxa"/>
            <w:shd w:val="clear" w:color="auto" w:fill="808080"/>
            <w:vAlign w:val="center"/>
          </w:tcPr>
          <w:p w:rsidR="008B3E91" w:rsidRDefault="008B3E91" w:rsidP="005339B0">
            <w:pPr>
              <w:jc w:val="center"/>
              <w:rPr>
                <w:rFonts w:ascii="Arial" w:eastAsia="Arial Unicode MS" w:hAnsi="Arial"/>
                <w:b/>
                <w:color w:val="FFFFFF"/>
                <w:sz w:val="20"/>
              </w:rPr>
            </w:pPr>
            <w:r>
              <w:rPr>
                <w:rFonts w:ascii="Arial" w:hAnsi="Arial"/>
                <w:b/>
                <w:color w:val="FFFFFF"/>
                <w:sz w:val="20"/>
              </w:rPr>
              <w:t>D</w:t>
            </w:r>
          </w:p>
        </w:tc>
        <w:tc>
          <w:tcPr>
            <w:tcW w:w="1316" w:type="dxa"/>
            <w:shd w:val="clear" w:color="auto" w:fill="808080"/>
            <w:vAlign w:val="center"/>
          </w:tcPr>
          <w:p w:rsidR="008B3E91" w:rsidRDefault="008B3E91" w:rsidP="005339B0">
            <w:pPr>
              <w:jc w:val="center"/>
              <w:rPr>
                <w:rFonts w:ascii="Arial" w:eastAsia="Arial Unicode MS" w:hAnsi="Arial"/>
                <w:b/>
                <w:color w:val="FFFFFF"/>
                <w:sz w:val="20"/>
              </w:rPr>
            </w:pPr>
            <w:r>
              <w:rPr>
                <w:rFonts w:ascii="Arial" w:hAnsi="Arial"/>
                <w:b/>
                <w:color w:val="FFFFFF"/>
                <w:sz w:val="20"/>
              </w:rPr>
              <w:t>E</w:t>
            </w:r>
          </w:p>
        </w:tc>
      </w:tr>
      <w:tr w:rsidR="008B3E91" w:rsidTr="009D0A7F">
        <w:trPr>
          <w:trHeight w:val="288"/>
        </w:trPr>
        <w:tc>
          <w:tcPr>
            <w:tcW w:w="2040" w:type="dxa"/>
            <w:vAlign w:val="bottom"/>
          </w:tcPr>
          <w:p w:rsidR="008B3E91" w:rsidRDefault="008B3E91" w:rsidP="005339B0">
            <w:pPr>
              <w:jc w:val="center"/>
              <w:rPr>
                <w:rFonts w:ascii="Arial" w:eastAsia="Arial Unicode MS" w:hAnsi="Arial"/>
                <w:b/>
                <w:sz w:val="18"/>
              </w:rPr>
            </w:pPr>
          </w:p>
        </w:tc>
        <w:tc>
          <w:tcPr>
            <w:tcW w:w="1439" w:type="dxa"/>
            <w:vAlign w:val="bottom"/>
          </w:tcPr>
          <w:p w:rsidR="008B3E91" w:rsidRDefault="008B3E91" w:rsidP="005339B0">
            <w:pPr>
              <w:jc w:val="center"/>
              <w:rPr>
                <w:rFonts w:ascii="Arial" w:eastAsia="Arial Unicode MS" w:hAnsi="Arial"/>
                <w:b/>
                <w:sz w:val="18"/>
              </w:rPr>
            </w:pPr>
            <w:r>
              <w:rPr>
                <w:rFonts w:ascii="Arial" w:eastAsia="Arial Unicode MS" w:hAnsi="Arial"/>
                <w:b/>
                <w:sz w:val="18"/>
              </w:rPr>
              <w:t xml:space="preserve">Number of  </w:t>
            </w:r>
            <w:r w:rsidR="002A7767">
              <w:rPr>
                <w:rFonts w:ascii="Arial" w:eastAsia="Arial Unicode MS" w:hAnsi="Arial"/>
                <w:b/>
                <w:sz w:val="18"/>
              </w:rPr>
              <w:t xml:space="preserve">CoC </w:t>
            </w:r>
            <w:r>
              <w:rPr>
                <w:rFonts w:ascii="Arial" w:eastAsia="Arial Unicode MS" w:hAnsi="Arial"/>
                <w:b/>
                <w:sz w:val="18"/>
              </w:rPr>
              <w:t>Respondents</w:t>
            </w:r>
          </w:p>
        </w:tc>
        <w:tc>
          <w:tcPr>
            <w:tcW w:w="2041" w:type="dxa"/>
            <w:vAlign w:val="bottom"/>
          </w:tcPr>
          <w:p w:rsidR="008B3E91" w:rsidRDefault="008B3E91" w:rsidP="005339B0">
            <w:pPr>
              <w:jc w:val="center"/>
              <w:rPr>
                <w:rFonts w:ascii="Arial" w:eastAsia="Arial Unicode MS" w:hAnsi="Arial"/>
                <w:b/>
                <w:sz w:val="18"/>
              </w:rPr>
            </w:pPr>
            <w:r>
              <w:rPr>
                <w:rFonts w:ascii="Arial" w:hAnsi="Arial"/>
                <w:b/>
                <w:sz w:val="18"/>
              </w:rPr>
              <w:t>Grantee or</w:t>
            </w:r>
            <w:r>
              <w:rPr>
                <w:rFonts w:ascii="Arial" w:hAnsi="Arial"/>
                <w:b/>
                <w:sz w:val="18"/>
              </w:rPr>
              <w:br/>
              <w:t>Subgrantee Burden per Assessment (Minutes)</w:t>
            </w:r>
          </w:p>
        </w:tc>
        <w:tc>
          <w:tcPr>
            <w:tcW w:w="1560" w:type="dxa"/>
            <w:vAlign w:val="bottom"/>
          </w:tcPr>
          <w:p w:rsidR="008B3E91" w:rsidRDefault="008B3E91" w:rsidP="005339B0">
            <w:pPr>
              <w:jc w:val="center"/>
              <w:rPr>
                <w:rFonts w:ascii="Arial" w:hAnsi="Arial"/>
                <w:b/>
                <w:sz w:val="18"/>
              </w:rPr>
            </w:pPr>
            <w:r>
              <w:rPr>
                <w:rFonts w:ascii="Arial" w:hAnsi="Arial"/>
                <w:b/>
                <w:sz w:val="18"/>
              </w:rPr>
              <w:t>Total Burden (Minutes)</w:t>
            </w:r>
          </w:p>
        </w:tc>
        <w:tc>
          <w:tcPr>
            <w:tcW w:w="1316" w:type="dxa"/>
            <w:vAlign w:val="bottom"/>
          </w:tcPr>
          <w:p w:rsidR="008B3E91" w:rsidRDefault="008B3E91" w:rsidP="005339B0">
            <w:pPr>
              <w:jc w:val="center"/>
              <w:rPr>
                <w:rFonts w:ascii="Arial" w:hAnsi="Arial"/>
                <w:b/>
                <w:sz w:val="18"/>
              </w:rPr>
            </w:pPr>
            <w:r>
              <w:rPr>
                <w:rFonts w:ascii="Arial" w:hAnsi="Arial"/>
                <w:b/>
                <w:sz w:val="18"/>
              </w:rPr>
              <w:t>Total Burden (Hours)</w:t>
            </w:r>
            <w:r w:rsidR="002A7767">
              <w:rPr>
                <w:rFonts w:ascii="Arial" w:hAnsi="Arial"/>
                <w:b/>
                <w:sz w:val="18"/>
              </w:rPr>
              <w:t>*</w:t>
            </w:r>
          </w:p>
        </w:tc>
      </w:tr>
      <w:tr w:rsidR="008B3E91" w:rsidTr="009D0A7F">
        <w:trPr>
          <w:trHeight w:val="288"/>
        </w:trPr>
        <w:tc>
          <w:tcPr>
            <w:tcW w:w="2040" w:type="dxa"/>
          </w:tcPr>
          <w:p w:rsidR="008B3E91" w:rsidRPr="008B3E91" w:rsidRDefault="008B3E91" w:rsidP="005339B0">
            <w:pPr>
              <w:tabs>
                <w:tab w:val="decimal" w:pos="785"/>
              </w:tabs>
              <w:rPr>
                <w:rFonts w:ascii="Arial" w:eastAsia="Arial Unicode MS" w:hAnsi="Arial"/>
                <w:sz w:val="18"/>
              </w:rPr>
            </w:pPr>
            <w:r w:rsidRPr="008B3E91">
              <w:rPr>
                <w:rFonts w:ascii="Arial" w:hAnsi="Arial"/>
                <w:sz w:val="18"/>
              </w:rPr>
              <w:t> </w:t>
            </w:r>
          </w:p>
        </w:tc>
        <w:tc>
          <w:tcPr>
            <w:tcW w:w="1439" w:type="dxa"/>
            <w:vAlign w:val="center"/>
          </w:tcPr>
          <w:p w:rsidR="008B3E91" w:rsidRPr="008B3E91" w:rsidRDefault="008B3E91" w:rsidP="005339B0">
            <w:pPr>
              <w:ind w:right="298"/>
              <w:jc w:val="right"/>
              <w:rPr>
                <w:rFonts w:ascii="Arial" w:eastAsia="Arial Unicode MS" w:hAnsi="Arial"/>
                <w:sz w:val="18"/>
              </w:rPr>
            </w:pPr>
          </w:p>
        </w:tc>
        <w:tc>
          <w:tcPr>
            <w:tcW w:w="2041" w:type="dxa"/>
            <w:vAlign w:val="bottom"/>
          </w:tcPr>
          <w:p w:rsidR="008B3E91" w:rsidRPr="008B3E91" w:rsidRDefault="006111C4" w:rsidP="00726729">
            <w:pPr>
              <w:jc w:val="center"/>
              <w:rPr>
                <w:rFonts w:ascii="Arial" w:eastAsia="Arial Unicode MS" w:hAnsi="Arial"/>
                <w:sz w:val="18"/>
              </w:rPr>
            </w:pPr>
            <w:r>
              <w:rPr>
                <w:rFonts w:ascii="Arial" w:eastAsia="Arial Unicode MS" w:hAnsi="Arial"/>
                <w:sz w:val="18"/>
              </w:rPr>
              <w:t xml:space="preserve">8 </w:t>
            </w:r>
            <w:r w:rsidR="004553A2">
              <w:rPr>
                <w:rFonts w:ascii="Arial" w:eastAsia="Arial Unicode MS" w:hAnsi="Arial"/>
                <w:sz w:val="18"/>
              </w:rPr>
              <w:t>re</w:t>
            </w:r>
            <w:r w:rsidR="00726729">
              <w:rPr>
                <w:rFonts w:ascii="Arial" w:eastAsia="Arial Unicode MS" w:hAnsi="Arial"/>
                <w:sz w:val="18"/>
              </w:rPr>
              <w:t xml:space="preserve">spondents per </w:t>
            </w:r>
            <w:r w:rsidR="004553A2">
              <w:rPr>
                <w:rFonts w:ascii="Arial" w:eastAsia="Arial Unicode MS" w:hAnsi="Arial"/>
                <w:sz w:val="18"/>
              </w:rPr>
              <w:t>CoC*</w:t>
            </w:r>
            <w:r w:rsidR="00D8058E">
              <w:rPr>
                <w:rFonts w:ascii="Arial" w:eastAsia="Arial Unicode MS" w:hAnsi="Arial"/>
                <w:sz w:val="18"/>
              </w:rPr>
              <w:t>9</w:t>
            </w:r>
            <w:r w:rsidR="004553A2">
              <w:rPr>
                <w:rFonts w:ascii="Arial" w:eastAsia="Arial Unicode MS" w:hAnsi="Arial"/>
                <w:sz w:val="18"/>
              </w:rPr>
              <w:t>0 min</w:t>
            </w:r>
          </w:p>
        </w:tc>
        <w:tc>
          <w:tcPr>
            <w:tcW w:w="1560" w:type="dxa"/>
            <w:vAlign w:val="bottom"/>
          </w:tcPr>
          <w:p w:rsidR="008B3E91" w:rsidRPr="008B3E91" w:rsidRDefault="008B3E91" w:rsidP="005339B0">
            <w:pPr>
              <w:jc w:val="center"/>
              <w:rPr>
                <w:rFonts w:ascii="Arial" w:eastAsia="Arial Unicode MS" w:hAnsi="Arial"/>
                <w:sz w:val="18"/>
              </w:rPr>
            </w:pPr>
            <w:r w:rsidRPr="008B3E91">
              <w:rPr>
                <w:rFonts w:ascii="Arial" w:eastAsia="Arial Unicode MS" w:hAnsi="Arial"/>
                <w:sz w:val="18"/>
              </w:rPr>
              <w:t>B*C</w:t>
            </w:r>
          </w:p>
        </w:tc>
        <w:tc>
          <w:tcPr>
            <w:tcW w:w="1316" w:type="dxa"/>
            <w:vAlign w:val="bottom"/>
          </w:tcPr>
          <w:p w:rsidR="008B3E91" w:rsidRPr="008B3E91" w:rsidRDefault="008B3E91" w:rsidP="005339B0">
            <w:pPr>
              <w:jc w:val="center"/>
              <w:rPr>
                <w:rFonts w:ascii="Arial" w:hAnsi="Arial"/>
                <w:sz w:val="18"/>
              </w:rPr>
            </w:pPr>
            <w:r w:rsidRPr="008B3E91">
              <w:rPr>
                <w:rFonts w:ascii="Arial" w:hAnsi="Arial"/>
                <w:sz w:val="18"/>
              </w:rPr>
              <w:t>D/60</w:t>
            </w:r>
          </w:p>
        </w:tc>
      </w:tr>
      <w:tr w:rsidR="008B3E91" w:rsidTr="009D0A7F">
        <w:trPr>
          <w:trHeight w:val="288"/>
        </w:trPr>
        <w:tc>
          <w:tcPr>
            <w:tcW w:w="2040" w:type="dxa"/>
            <w:vAlign w:val="bottom"/>
          </w:tcPr>
          <w:p w:rsidR="008B3E91" w:rsidRPr="008B3E91" w:rsidRDefault="008B3E91" w:rsidP="005339B0">
            <w:pPr>
              <w:rPr>
                <w:rFonts w:ascii="Arial" w:eastAsia="Arial Unicode MS" w:hAnsi="Arial"/>
                <w:b/>
                <w:sz w:val="18"/>
              </w:rPr>
            </w:pPr>
            <w:r w:rsidRPr="008B3E91">
              <w:rPr>
                <w:rFonts w:ascii="Arial" w:eastAsia="Arial Unicode MS" w:hAnsi="Arial"/>
                <w:b/>
                <w:sz w:val="18"/>
              </w:rPr>
              <w:t>Continuums of Care</w:t>
            </w:r>
          </w:p>
        </w:tc>
        <w:tc>
          <w:tcPr>
            <w:tcW w:w="1439" w:type="dxa"/>
            <w:vAlign w:val="bottom"/>
          </w:tcPr>
          <w:p w:rsidR="008B3E91" w:rsidRPr="008B3E91" w:rsidRDefault="004443D8" w:rsidP="00B57A08">
            <w:pPr>
              <w:ind w:right="160"/>
              <w:jc w:val="center"/>
              <w:rPr>
                <w:rFonts w:ascii="Arial" w:eastAsia="Arial Unicode MS" w:hAnsi="Arial"/>
                <w:sz w:val="18"/>
              </w:rPr>
            </w:pPr>
            <w:r>
              <w:rPr>
                <w:rFonts w:ascii="Arial" w:eastAsia="Arial Unicode MS" w:hAnsi="Arial"/>
                <w:sz w:val="18"/>
              </w:rPr>
              <w:t>45</w:t>
            </w:r>
            <w:r w:rsidR="00B57A08">
              <w:rPr>
                <w:rFonts w:ascii="Arial" w:eastAsia="Arial Unicode MS" w:hAnsi="Arial"/>
                <w:sz w:val="18"/>
              </w:rPr>
              <w:t>0</w:t>
            </w:r>
          </w:p>
        </w:tc>
        <w:tc>
          <w:tcPr>
            <w:tcW w:w="2041" w:type="dxa"/>
            <w:vAlign w:val="bottom"/>
          </w:tcPr>
          <w:p w:rsidR="008B3E91" w:rsidRPr="008B3E91" w:rsidRDefault="006111C4" w:rsidP="005339B0">
            <w:pPr>
              <w:ind w:right="-62"/>
              <w:jc w:val="center"/>
              <w:rPr>
                <w:rFonts w:ascii="Arial" w:hAnsi="Arial"/>
                <w:sz w:val="18"/>
              </w:rPr>
            </w:pPr>
            <w:r>
              <w:rPr>
                <w:rFonts w:ascii="Arial" w:hAnsi="Arial"/>
                <w:sz w:val="18"/>
              </w:rPr>
              <w:t>720</w:t>
            </w:r>
          </w:p>
        </w:tc>
        <w:tc>
          <w:tcPr>
            <w:tcW w:w="1560" w:type="dxa"/>
            <w:vAlign w:val="bottom"/>
          </w:tcPr>
          <w:p w:rsidR="008B3E91" w:rsidRPr="008B3E91" w:rsidRDefault="008B3E91" w:rsidP="005339B0">
            <w:pPr>
              <w:rPr>
                <w:rFonts w:ascii="Arial" w:hAnsi="Arial"/>
                <w:sz w:val="20"/>
              </w:rPr>
            </w:pPr>
          </w:p>
          <w:p w:rsidR="008B3E91" w:rsidRPr="008B3E91" w:rsidRDefault="006111C4" w:rsidP="00B57A08">
            <w:pPr>
              <w:jc w:val="center"/>
              <w:rPr>
                <w:rFonts w:ascii="Arial" w:eastAsia="Arial Unicode MS" w:hAnsi="Arial"/>
                <w:sz w:val="18"/>
              </w:rPr>
            </w:pPr>
            <w:r>
              <w:rPr>
                <w:rFonts w:ascii="Arial" w:eastAsia="Arial Unicode MS" w:hAnsi="Arial"/>
                <w:sz w:val="18"/>
              </w:rPr>
              <w:t>32</w:t>
            </w:r>
            <w:r w:rsidR="00B57A08">
              <w:rPr>
                <w:rFonts w:ascii="Arial" w:eastAsia="Arial Unicode MS" w:hAnsi="Arial"/>
                <w:sz w:val="18"/>
              </w:rPr>
              <w:t>4,000</w:t>
            </w:r>
          </w:p>
        </w:tc>
        <w:tc>
          <w:tcPr>
            <w:tcW w:w="1316" w:type="dxa"/>
            <w:vAlign w:val="bottom"/>
          </w:tcPr>
          <w:p w:rsidR="008B3E91" w:rsidRPr="008B3E91" w:rsidRDefault="006111C4" w:rsidP="00B57A08">
            <w:pPr>
              <w:jc w:val="center"/>
              <w:rPr>
                <w:rFonts w:ascii="Arial" w:eastAsia="Arial Unicode MS" w:hAnsi="Arial"/>
                <w:sz w:val="18"/>
              </w:rPr>
            </w:pPr>
            <w:r>
              <w:rPr>
                <w:rFonts w:ascii="Arial" w:eastAsia="Arial Unicode MS" w:hAnsi="Arial"/>
                <w:sz w:val="18"/>
              </w:rPr>
              <w:t>5,4</w:t>
            </w:r>
            <w:r w:rsidR="00B57A08">
              <w:rPr>
                <w:rFonts w:ascii="Arial" w:eastAsia="Arial Unicode MS" w:hAnsi="Arial"/>
                <w:sz w:val="18"/>
              </w:rPr>
              <w:t>0</w:t>
            </w:r>
            <w:r>
              <w:rPr>
                <w:rFonts w:ascii="Arial" w:eastAsia="Arial Unicode MS" w:hAnsi="Arial"/>
                <w:sz w:val="18"/>
              </w:rPr>
              <w:t>0</w:t>
            </w:r>
          </w:p>
        </w:tc>
      </w:tr>
    </w:tbl>
    <w:p w:rsidR="008D2164" w:rsidRDefault="002A7767" w:rsidP="008D2164">
      <w:pPr>
        <w:rPr>
          <w:sz w:val="18"/>
        </w:rPr>
      </w:pPr>
      <w:r>
        <w:rPr>
          <w:sz w:val="18"/>
        </w:rPr>
        <w:t>*Based on 1</w:t>
      </w:r>
      <w:r w:rsidR="00D8058E">
        <w:rPr>
          <w:sz w:val="18"/>
        </w:rPr>
        <w:t>.5</w:t>
      </w:r>
      <w:r>
        <w:rPr>
          <w:sz w:val="18"/>
        </w:rPr>
        <w:t xml:space="preserve"> hour</w:t>
      </w:r>
      <w:r w:rsidR="00D8058E">
        <w:rPr>
          <w:sz w:val="18"/>
        </w:rPr>
        <w:t>s</w:t>
      </w:r>
      <w:r>
        <w:rPr>
          <w:sz w:val="18"/>
        </w:rPr>
        <w:t xml:space="preserve"> per respondent, </w:t>
      </w:r>
      <w:r w:rsidR="00BB6789">
        <w:rPr>
          <w:sz w:val="18"/>
        </w:rPr>
        <w:t xml:space="preserve">8 </w:t>
      </w:r>
      <w:r>
        <w:rPr>
          <w:sz w:val="18"/>
        </w:rPr>
        <w:t>respondents per CoC (</w:t>
      </w:r>
      <w:r w:rsidR="00BB6789">
        <w:rPr>
          <w:sz w:val="18"/>
        </w:rPr>
        <w:t>12</w:t>
      </w:r>
      <w:r>
        <w:rPr>
          <w:sz w:val="18"/>
        </w:rPr>
        <w:t xml:space="preserve"> hours total/CoC), in </w:t>
      </w:r>
      <w:r w:rsidR="00BB6789">
        <w:rPr>
          <w:sz w:val="18"/>
        </w:rPr>
        <w:t>45</w:t>
      </w:r>
      <w:r w:rsidR="00B57A08">
        <w:rPr>
          <w:sz w:val="18"/>
        </w:rPr>
        <w:t>0</w:t>
      </w:r>
      <w:r w:rsidR="00BB6789">
        <w:rPr>
          <w:sz w:val="18"/>
        </w:rPr>
        <w:t xml:space="preserve"> </w:t>
      </w:r>
      <w:r>
        <w:rPr>
          <w:sz w:val="18"/>
        </w:rPr>
        <w:t>CoCs</w:t>
      </w:r>
    </w:p>
    <w:p w:rsidR="008D2164" w:rsidRDefault="008D2164" w:rsidP="008D2164">
      <w:pPr>
        <w:rPr>
          <w:sz w:val="18"/>
        </w:rPr>
      </w:pPr>
    </w:p>
    <w:p w:rsidR="008D2164" w:rsidRDefault="008D2164" w:rsidP="00233B85">
      <w:pPr>
        <w:keepNext/>
        <w:jc w:val="center"/>
        <w:rPr>
          <w:rFonts w:ascii="Arial" w:hAnsi="Arial"/>
          <w:b/>
          <w:sz w:val="20"/>
        </w:rPr>
      </w:pPr>
      <w:r>
        <w:rPr>
          <w:rFonts w:ascii="Arial" w:hAnsi="Arial"/>
          <w:b/>
          <w:sz w:val="20"/>
        </w:rPr>
        <w:t xml:space="preserve">Exhibit A-3: Estimated </w:t>
      </w:r>
      <w:r w:rsidRPr="00ED7E08">
        <w:rPr>
          <w:rFonts w:ascii="Arial" w:hAnsi="Arial"/>
          <w:b/>
          <w:sz w:val="20"/>
        </w:rPr>
        <w:t>Annualized</w:t>
      </w:r>
      <w:r>
        <w:rPr>
          <w:rFonts w:ascii="Arial" w:hAnsi="Arial"/>
          <w:b/>
          <w:sz w:val="20"/>
        </w:rPr>
        <w:t xml:space="preserve"> Cost Per </w:t>
      </w:r>
      <w:r w:rsidR="00233B85">
        <w:rPr>
          <w:rFonts w:ascii="Arial" w:hAnsi="Arial"/>
          <w:b/>
          <w:sz w:val="20"/>
        </w:rPr>
        <w:t xml:space="preserve">CoC </w:t>
      </w:r>
      <w:r>
        <w:rPr>
          <w:rFonts w:ascii="Arial" w:hAnsi="Arial"/>
          <w:b/>
          <w:sz w:val="20"/>
        </w:rPr>
        <w:t>Respondent</w:t>
      </w:r>
      <w:r w:rsidR="00233B85">
        <w:rPr>
          <w:rFonts w:ascii="Arial" w:hAnsi="Arial"/>
          <w:b/>
          <w:sz w:val="20"/>
        </w:rPr>
        <w:t xml:space="preserve"> </w:t>
      </w:r>
      <w:r>
        <w:rPr>
          <w:rFonts w:ascii="Arial" w:hAnsi="Arial"/>
          <w:b/>
          <w:sz w:val="20"/>
        </w:rPr>
        <w:t xml:space="preserve">for </w:t>
      </w:r>
      <w:r w:rsidR="00233B85">
        <w:rPr>
          <w:rFonts w:ascii="Arial" w:hAnsi="Arial"/>
          <w:b/>
          <w:sz w:val="20"/>
        </w:rPr>
        <w:t xml:space="preserve">CoC </w:t>
      </w:r>
      <w:r w:rsidR="00DC7B9B">
        <w:rPr>
          <w:rFonts w:ascii="Arial" w:hAnsi="Arial"/>
          <w:b/>
          <w:sz w:val="20"/>
        </w:rPr>
        <w:t>Check-up</w:t>
      </w:r>
    </w:p>
    <w:p w:rsidR="008D2164" w:rsidRDefault="008D2164" w:rsidP="008D2164">
      <w:pPr>
        <w:jc w:val="center"/>
        <w:rPr>
          <w:rFonts w:ascii="Arial" w:hAnsi="Arial"/>
          <w:b/>
          <w:sz w:val="20"/>
        </w:rPr>
      </w:pPr>
    </w:p>
    <w:tbl>
      <w:tblPr>
        <w:tblW w:w="69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2051"/>
        <w:gridCol w:w="2041"/>
        <w:gridCol w:w="1320"/>
        <w:gridCol w:w="1560"/>
      </w:tblGrid>
      <w:tr w:rsidR="008D2164" w:rsidTr="004553A2">
        <w:trPr>
          <w:trHeight w:val="288"/>
        </w:trPr>
        <w:tc>
          <w:tcPr>
            <w:tcW w:w="2051" w:type="dxa"/>
            <w:shd w:val="clear" w:color="auto" w:fill="808080"/>
            <w:vAlign w:val="center"/>
          </w:tcPr>
          <w:p w:rsidR="008D2164" w:rsidRDefault="008D2164" w:rsidP="005339B0">
            <w:pPr>
              <w:jc w:val="center"/>
              <w:rPr>
                <w:rFonts w:ascii="Arial" w:eastAsia="Arial Unicode MS" w:hAnsi="Arial"/>
                <w:b/>
                <w:color w:val="FFFFFF"/>
                <w:sz w:val="20"/>
              </w:rPr>
            </w:pPr>
            <w:r>
              <w:rPr>
                <w:rFonts w:ascii="Arial" w:hAnsi="Arial"/>
                <w:b/>
                <w:color w:val="FFFFFF"/>
                <w:sz w:val="20"/>
              </w:rPr>
              <w:t>A</w:t>
            </w:r>
          </w:p>
        </w:tc>
        <w:tc>
          <w:tcPr>
            <w:tcW w:w="2041" w:type="dxa"/>
            <w:shd w:val="clear" w:color="auto" w:fill="808080"/>
            <w:vAlign w:val="center"/>
          </w:tcPr>
          <w:p w:rsidR="008D2164" w:rsidRDefault="008D2164" w:rsidP="009D0A7F">
            <w:pPr>
              <w:tabs>
                <w:tab w:val="left" w:pos="3743"/>
              </w:tabs>
              <w:jc w:val="center"/>
              <w:rPr>
                <w:rFonts w:ascii="Arial" w:eastAsia="Arial Unicode MS" w:hAnsi="Arial"/>
                <w:b/>
                <w:color w:val="FFFFFF"/>
                <w:sz w:val="20"/>
              </w:rPr>
            </w:pPr>
            <w:r>
              <w:rPr>
                <w:rFonts w:ascii="Arial" w:hAnsi="Arial"/>
                <w:b/>
                <w:color w:val="FFFFFF"/>
                <w:sz w:val="20"/>
              </w:rPr>
              <w:t>B</w:t>
            </w:r>
          </w:p>
        </w:tc>
        <w:tc>
          <w:tcPr>
            <w:tcW w:w="1320" w:type="dxa"/>
            <w:shd w:val="clear" w:color="auto" w:fill="808080"/>
            <w:vAlign w:val="center"/>
          </w:tcPr>
          <w:p w:rsidR="008D2164" w:rsidRDefault="008D2164" w:rsidP="005339B0">
            <w:pPr>
              <w:jc w:val="center"/>
              <w:rPr>
                <w:rFonts w:ascii="Arial" w:eastAsia="Arial Unicode MS" w:hAnsi="Arial"/>
                <w:b/>
                <w:color w:val="FFFFFF"/>
                <w:sz w:val="20"/>
              </w:rPr>
            </w:pPr>
            <w:r>
              <w:rPr>
                <w:rFonts w:ascii="Arial" w:hAnsi="Arial"/>
                <w:b/>
                <w:color w:val="FFFFFF"/>
                <w:sz w:val="20"/>
              </w:rPr>
              <w:t>C</w:t>
            </w:r>
          </w:p>
        </w:tc>
        <w:tc>
          <w:tcPr>
            <w:tcW w:w="1560" w:type="dxa"/>
            <w:shd w:val="clear" w:color="auto" w:fill="808080"/>
            <w:vAlign w:val="center"/>
          </w:tcPr>
          <w:p w:rsidR="008D2164" w:rsidRDefault="008D2164" w:rsidP="005339B0">
            <w:pPr>
              <w:jc w:val="center"/>
              <w:rPr>
                <w:rFonts w:ascii="Arial" w:eastAsia="Arial Unicode MS" w:hAnsi="Arial"/>
                <w:b/>
                <w:color w:val="FFFFFF"/>
                <w:sz w:val="20"/>
              </w:rPr>
            </w:pPr>
            <w:r>
              <w:rPr>
                <w:rFonts w:ascii="Arial" w:hAnsi="Arial"/>
                <w:b/>
                <w:color w:val="FFFFFF"/>
                <w:sz w:val="20"/>
              </w:rPr>
              <w:t>D</w:t>
            </w:r>
          </w:p>
        </w:tc>
      </w:tr>
      <w:tr w:rsidR="008D2164" w:rsidTr="004553A2">
        <w:trPr>
          <w:trHeight w:val="288"/>
        </w:trPr>
        <w:tc>
          <w:tcPr>
            <w:tcW w:w="2051" w:type="dxa"/>
            <w:vAlign w:val="bottom"/>
          </w:tcPr>
          <w:p w:rsidR="008D2164" w:rsidRDefault="008D2164" w:rsidP="005339B0">
            <w:pPr>
              <w:jc w:val="center"/>
              <w:rPr>
                <w:rFonts w:ascii="Arial" w:eastAsia="Arial Unicode MS" w:hAnsi="Arial"/>
                <w:b/>
                <w:sz w:val="18"/>
              </w:rPr>
            </w:pPr>
          </w:p>
        </w:tc>
        <w:tc>
          <w:tcPr>
            <w:tcW w:w="2041" w:type="dxa"/>
            <w:vAlign w:val="bottom"/>
          </w:tcPr>
          <w:p w:rsidR="008D2164" w:rsidRDefault="008D2164" w:rsidP="009D0A7F">
            <w:pPr>
              <w:tabs>
                <w:tab w:val="left" w:pos="3743"/>
              </w:tabs>
              <w:jc w:val="center"/>
              <w:rPr>
                <w:rFonts w:ascii="Arial" w:eastAsia="Arial Unicode MS" w:hAnsi="Arial"/>
                <w:b/>
                <w:sz w:val="18"/>
              </w:rPr>
            </w:pPr>
            <w:r>
              <w:rPr>
                <w:rFonts w:ascii="Arial" w:eastAsia="Arial Unicode MS" w:hAnsi="Arial"/>
                <w:b/>
                <w:sz w:val="18"/>
              </w:rPr>
              <w:t xml:space="preserve">Total Burden Hours Per </w:t>
            </w:r>
            <w:r w:rsidR="002A7767">
              <w:rPr>
                <w:rFonts w:ascii="Arial" w:eastAsia="Arial Unicode MS" w:hAnsi="Arial"/>
                <w:b/>
                <w:sz w:val="18"/>
              </w:rPr>
              <w:t>CoC</w:t>
            </w:r>
            <w:r>
              <w:rPr>
                <w:rFonts w:ascii="Arial" w:eastAsia="Arial Unicode MS" w:hAnsi="Arial"/>
                <w:b/>
                <w:sz w:val="18"/>
              </w:rPr>
              <w:t xml:space="preserve"> for </w:t>
            </w:r>
            <w:r w:rsidR="008B3E91">
              <w:rPr>
                <w:rFonts w:ascii="Arial" w:eastAsia="Arial Unicode MS" w:hAnsi="Arial"/>
                <w:b/>
                <w:sz w:val="18"/>
              </w:rPr>
              <w:t>Assessment</w:t>
            </w:r>
          </w:p>
        </w:tc>
        <w:tc>
          <w:tcPr>
            <w:tcW w:w="1320" w:type="dxa"/>
            <w:vAlign w:val="bottom"/>
          </w:tcPr>
          <w:p w:rsidR="008D2164" w:rsidRDefault="008D2164" w:rsidP="005339B0">
            <w:pPr>
              <w:jc w:val="center"/>
              <w:rPr>
                <w:rFonts w:ascii="Arial" w:eastAsia="Arial Unicode MS" w:hAnsi="Arial"/>
                <w:b/>
                <w:sz w:val="18"/>
              </w:rPr>
            </w:pPr>
            <w:r>
              <w:rPr>
                <w:rFonts w:ascii="Arial" w:hAnsi="Arial"/>
                <w:b/>
                <w:sz w:val="18"/>
              </w:rPr>
              <w:t>Hourly Wage Rate*</w:t>
            </w:r>
          </w:p>
        </w:tc>
        <w:tc>
          <w:tcPr>
            <w:tcW w:w="1560" w:type="dxa"/>
            <w:vAlign w:val="bottom"/>
          </w:tcPr>
          <w:p w:rsidR="008D2164" w:rsidRDefault="008D2164" w:rsidP="005339B0">
            <w:pPr>
              <w:jc w:val="center"/>
              <w:rPr>
                <w:rFonts w:ascii="Arial" w:hAnsi="Arial"/>
                <w:b/>
                <w:sz w:val="18"/>
              </w:rPr>
            </w:pPr>
            <w:r>
              <w:rPr>
                <w:rFonts w:ascii="Arial" w:hAnsi="Arial"/>
                <w:b/>
                <w:sz w:val="18"/>
              </w:rPr>
              <w:t>Total Respondent Costs</w:t>
            </w:r>
          </w:p>
        </w:tc>
      </w:tr>
      <w:tr w:rsidR="008D2164" w:rsidRPr="00233B85" w:rsidTr="004553A2">
        <w:trPr>
          <w:trHeight w:val="288"/>
        </w:trPr>
        <w:tc>
          <w:tcPr>
            <w:tcW w:w="2051" w:type="dxa"/>
          </w:tcPr>
          <w:p w:rsidR="008D2164" w:rsidRPr="00233B85" w:rsidRDefault="008D2164" w:rsidP="005339B0">
            <w:pPr>
              <w:tabs>
                <w:tab w:val="decimal" w:pos="785"/>
              </w:tabs>
              <w:rPr>
                <w:rFonts w:ascii="Arial" w:eastAsia="Arial Unicode MS" w:hAnsi="Arial"/>
                <w:sz w:val="18"/>
              </w:rPr>
            </w:pPr>
            <w:r w:rsidRPr="00233B85">
              <w:rPr>
                <w:rFonts w:ascii="Arial" w:hAnsi="Arial"/>
                <w:sz w:val="18"/>
              </w:rPr>
              <w:t> </w:t>
            </w:r>
          </w:p>
        </w:tc>
        <w:tc>
          <w:tcPr>
            <w:tcW w:w="2041" w:type="dxa"/>
            <w:vAlign w:val="center"/>
          </w:tcPr>
          <w:p w:rsidR="008D2164" w:rsidRPr="00233B85" w:rsidRDefault="008D2164" w:rsidP="009D0A7F">
            <w:pPr>
              <w:tabs>
                <w:tab w:val="left" w:pos="3743"/>
              </w:tabs>
              <w:ind w:right="298"/>
              <w:jc w:val="right"/>
              <w:rPr>
                <w:rFonts w:ascii="Arial" w:eastAsia="Arial Unicode MS" w:hAnsi="Arial"/>
                <w:sz w:val="18"/>
              </w:rPr>
            </w:pPr>
          </w:p>
        </w:tc>
        <w:tc>
          <w:tcPr>
            <w:tcW w:w="1320" w:type="dxa"/>
            <w:vAlign w:val="bottom"/>
          </w:tcPr>
          <w:p w:rsidR="008D2164" w:rsidRPr="00233B85" w:rsidRDefault="008D2164" w:rsidP="005339B0">
            <w:pPr>
              <w:jc w:val="center"/>
              <w:rPr>
                <w:rFonts w:ascii="Arial" w:eastAsia="Arial Unicode MS" w:hAnsi="Arial"/>
                <w:sz w:val="18"/>
              </w:rPr>
            </w:pPr>
          </w:p>
        </w:tc>
        <w:tc>
          <w:tcPr>
            <w:tcW w:w="1560" w:type="dxa"/>
            <w:vAlign w:val="bottom"/>
          </w:tcPr>
          <w:p w:rsidR="008D2164" w:rsidRPr="00233B85" w:rsidRDefault="008D2164" w:rsidP="005339B0">
            <w:pPr>
              <w:jc w:val="center"/>
              <w:rPr>
                <w:rFonts w:ascii="Arial" w:eastAsia="Arial Unicode MS" w:hAnsi="Arial"/>
                <w:sz w:val="18"/>
              </w:rPr>
            </w:pPr>
            <w:r w:rsidRPr="00233B85">
              <w:rPr>
                <w:rFonts w:ascii="Arial" w:hAnsi="Arial"/>
                <w:sz w:val="18"/>
              </w:rPr>
              <w:t>B*C</w:t>
            </w:r>
          </w:p>
        </w:tc>
      </w:tr>
      <w:tr w:rsidR="008D2164" w:rsidRPr="00233B85" w:rsidTr="004553A2">
        <w:trPr>
          <w:trHeight w:val="288"/>
        </w:trPr>
        <w:tc>
          <w:tcPr>
            <w:tcW w:w="2051" w:type="dxa"/>
            <w:vAlign w:val="bottom"/>
          </w:tcPr>
          <w:p w:rsidR="008D2164" w:rsidRPr="00233B85" w:rsidRDefault="008B3E91" w:rsidP="005339B0">
            <w:pPr>
              <w:rPr>
                <w:rFonts w:ascii="Arial" w:eastAsia="Arial Unicode MS" w:hAnsi="Arial"/>
                <w:b/>
                <w:sz w:val="18"/>
              </w:rPr>
            </w:pPr>
            <w:r w:rsidRPr="00233B85">
              <w:rPr>
                <w:rFonts w:ascii="Arial" w:eastAsia="Arial Unicode MS" w:hAnsi="Arial"/>
                <w:b/>
                <w:sz w:val="18"/>
              </w:rPr>
              <w:t>Continuum</w:t>
            </w:r>
            <w:r w:rsidR="004553A2">
              <w:rPr>
                <w:rFonts w:ascii="Arial" w:eastAsia="Arial Unicode MS" w:hAnsi="Arial"/>
                <w:b/>
                <w:sz w:val="18"/>
              </w:rPr>
              <w:t>s</w:t>
            </w:r>
            <w:r w:rsidRPr="00233B85">
              <w:rPr>
                <w:rFonts w:ascii="Arial" w:eastAsia="Arial Unicode MS" w:hAnsi="Arial"/>
                <w:b/>
                <w:sz w:val="18"/>
              </w:rPr>
              <w:t xml:space="preserve"> of Care</w:t>
            </w:r>
          </w:p>
        </w:tc>
        <w:tc>
          <w:tcPr>
            <w:tcW w:w="2041" w:type="dxa"/>
            <w:vAlign w:val="bottom"/>
          </w:tcPr>
          <w:p w:rsidR="008D2164" w:rsidRPr="00233B85" w:rsidRDefault="006111C4" w:rsidP="006111C4">
            <w:pPr>
              <w:tabs>
                <w:tab w:val="left" w:pos="3743"/>
              </w:tabs>
              <w:ind w:right="-5"/>
              <w:jc w:val="center"/>
              <w:rPr>
                <w:rFonts w:ascii="Arial" w:eastAsia="Arial Unicode MS" w:hAnsi="Arial"/>
                <w:sz w:val="18"/>
              </w:rPr>
            </w:pPr>
            <w:r>
              <w:rPr>
                <w:rFonts w:ascii="Arial" w:eastAsia="Arial Unicode MS" w:hAnsi="Arial"/>
                <w:sz w:val="18"/>
              </w:rPr>
              <w:t>12</w:t>
            </w:r>
          </w:p>
        </w:tc>
        <w:tc>
          <w:tcPr>
            <w:tcW w:w="1320" w:type="dxa"/>
            <w:vAlign w:val="bottom"/>
          </w:tcPr>
          <w:p w:rsidR="008D2164" w:rsidRPr="00233B85" w:rsidRDefault="0010088C" w:rsidP="005339B0">
            <w:pPr>
              <w:tabs>
                <w:tab w:val="decimal" w:pos="642"/>
              </w:tabs>
              <w:ind w:right="-62"/>
              <w:rPr>
                <w:rFonts w:ascii="Arial" w:hAnsi="Arial"/>
                <w:sz w:val="18"/>
              </w:rPr>
            </w:pPr>
            <w:r>
              <w:rPr>
                <w:rFonts w:ascii="Arial" w:hAnsi="Arial"/>
                <w:sz w:val="18"/>
              </w:rPr>
              <w:t>$29</w:t>
            </w:r>
            <w:r w:rsidR="008D2164" w:rsidRPr="00233B85">
              <w:rPr>
                <w:rFonts w:ascii="Arial" w:hAnsi="Arial"/>
                <w:sz w:val="18"/>
              </w:rPr>
              <w:t>.</w:t>
            </w:r>
            <w:r>
              <w:rPr>
                <w:rFonts w:ascii="Arial" w:hAnsi="Arial"/>
                <w:sz w:val="18"/>
              </w:rPr>
              <w:t>74</w:t>
            </w:r>
          </w:p>
        </w:tc>
        <w:tc>
          <w:tcPr>
            <w:tcW w:w="1560" w:type="dxa"/>
            <w:vAlign w:val="bottom"/>
          </w:tcPr>
          <w:p w:rsidR="008D2164" w:rsidRPr="00233B85" w:rsidRDefault="008D2164" w:rsidP="006111C4">
            <w:pPr>
              <w:jc w:val="center"/>
              <w:rPr>
                <w:rFonts w:ascii="Arial" w:eastAsia="Arial Unicode MS" w:hAnsi="Arial"/>
                <w:sz w:val="18"/>
              </w:rPr>
            </w:pPr>
            <w:r w:rsidRPr="00233B85">
              <w:rPr>
                <w:rFonts w:ascii="Arial" w:eastAsia="Arial Unicode MS" w:hAnsi="Arial"/>
                <w:sz w:val="18"/>
              </w:rPr>
              <w:t>$</w:t>
            </w:r>
            <w:r w:rsidR="006111C4">
              <w:rPr>
                <w:rFonts w:ascii="Arial" w:eastAsia="Arial Unicode MS" w:hAnsi="Arial"/>
                <w:sz w:val="18"/>
              </w:rPr>
              <w:t>356.88</w:t>
            </w:r>
          </w:p>
        </w:tc>
      </w:tr>
    </w:tbl>
    <w:p w:rsidR="008D2164" w:rsidRDefault="008D2164" w:rsidP="008D2164">
      <w:pPr>
        <w:rPr>
          <w:spacing w:val="-4"/>
          <w:sz w:val="18"/>
        </w:rPr>
      </w:pPr>
      <w:r w:rsidRPr="00E9087D">
        <w:rPr>
          <w:spacing w:val="-4"/>
          <w:sz w:val="18"/>
        </w:rPr>
        <w:t>*Hourly</w:t>
      </w:r>
      <w:r w:rsidR="0010088C" w:rsidRPr="00E9087D">
        <w:rPr>
          <w:spacing w:val="-4"/>
          <w:sz w:val="18"/>
        </w:rPr>
        <w:t xml:space="preserve"> wage rates are based on the 2009</w:t>
      </w:r>
      <w:r w:rsidRPr="00E9087D">
        <w:rPr>
          <w:spacing w:val="-4"/>
          <w:sz w:val="18"/>
        </w:rPr>
        <w:t xml:space="preserve"> Occupational Employment and Wages </w:t>
      </w:r>
      <w:r w:rsidR="0010088C" w:rsidRPr="00E9087D">
        <w:rPr>
          <w:spacing w:val="-4"/>
          <w:sz w:val="18"/>
        </w:rPr>
        <w:t xml:space="preserve">for State Governments </w:t>
      </w:r>
      <w:r w:rsidRPr="00E9087D">
        <w:rPr>
          <w:spacing w:val="-4"/>
          <w:sz w:val="18"/>
        </w:rPr>
        <w:t>publish</w:t>
      </w:r>
      <w:r w:rsidR="0010088C" w:rsidRPr="00E9087D">
        <w:rPr>
          <w:spacing w:val="-4"/>
          <w:sz w:val="18"/>
        </w:rPr>
        <w:t>ed by the Department of Labor (May 2009</w:t>
      </w:r>
      <w:r w:rsidRPr="00E9087D">
        <w:rPr>
          <w:spacing w:val="-4"/>
          <w:sz w:val="18"/>
        </w:rPr>
        <w:t>).  The hourly wage rate in Exhibit 3 represents the average of “Business Operations Specialists, All Others” ($2</w:t>
      </w:r>
      <w:r w:rsidR="0010088C" w:rsidRPr="00E9087D">
        <w:rPr>
          <w:spacing w:val="-4"/>
          <w:sz w:val="18"/>
        </w:rPr>
        <w:t>7</w:t>
      </w:r>
      <w:r w:rsidRPr="00E9087D">
        <w:rPr>
          <w:spacing w:val="-4"/>
          <w:sz w:val="18"/>
        </w:rPr>
        <w:t>.8</w:t>
      </w:r>
      <w:r w:rsidR="0010088C" w:rsidRPr="00E9087D">
        <w:rPr>
          <w:spacing w:val="-4"/>
          <w:sz w:val="18"/>
        </w:rPr>
        <w:t>9</w:t>
      </w:r>
      <w:r w:rsidRPr="00E9087D">
        <w:rPr>
          <w:spacing w:val="-4"/>
          <w:sz w:val="18"/>
        </w:rPr>
        <w:t>/hr) and “</w:t>
      </w:r>
      <w:r w:rsidR="0010088C" w:rsidRPr="00E9087D">
        <w:rPr>
          <w:spacing w:val="-4"/>
          <w:sz w:val="18"/>
        </w:rPr>
        <w:t>Data Base Administrators</w:t>
      </w:r>
      <w:r w:rsidRPr="00E9087D">
        <w:rPr>
          <w:spacing w:val="-4"/>
          <w:sz w:val="18"/>
        </w:rPr>
        <w:t>” ($3</w:t>
      </w:r>
      <w:r w:rsidR="0010088C" w:rsidRPr="00E9087D">
        <w:rPr>
          <w:spacing w:val="-4"/>
          <w:sz w:val="18"/>
        </w:rPr>
        <w:t>1</w:t>
      </w:r>
      <w:r w:rsidRPr="00E9087D">
        <w:rPr>
          <w:spacing w:val="-4"/>
          <w:sz w:val="18"/>
        </w:rPr>
        <w:t>.</w:t>
      </w:r>
      <w:r w:rsidR="0010088C" w:rsidRPr="00E9087D">
        <w:rPr>
          <w:spacing w:val="-4"/>
          <w:sz w:val="18"/>
        </w:rPr>
        <w:t>59</w:t>
      </w:r>
      <w:r w:rsidRPr="00E9087D">
        <w:rPr>
          <w:spacing w:val="-4"/>
          <w:sz w:val="18"/>
        </w:rPr>
        <w:t xml:space="preserve">), assuming an equal proportion of hours required to complete the </w:t>
      </w:r>
      <w:r w:rsidR="0010088C" w:rsidRPr="00E9087D">
        <w:rPr>
          <w:spacing w:val="-4"/>
          <w:sz w:val="18"/>
        </w:rPr>
        <w:t xml:space="preserve">CoC </w:t>
      </w:r>
      <w:r w:rsidR="00DC7B9B">
        <w:rPr>
          <w:spacing w:val="-4"/>
          <w:sz w:val="18"/>
        </w:rPr>
        <w:t>Check-up</w:t>
      </w:r>
      <w:r w:rsidRPr="00E9087D">
        <w:rPr>
          <w:spacing w:val="-4"/>
          <w:sz w:val="18"/>
        </w:rPr>
        <w:t xml:space="preserve"> per occupational type.</w:t>
      </w:r>
      <w:r>
        <w:rPr>
          <w:spacing w:val="-4"/>
          <w:sz w:val="18"/>
        </w:rPr>
        <w:t xml:space="preserve"> </w:t>
      </w:r>
    </w:p>
    <w:p w:rsidR="009E0445" w:rsidRDefault="009E0445"/>
    <w:p w:rsidR="0010088C" w:rsidRDefault="0010088C"/>
    <w:p w:rsidR="00826101" w:rsidRDefault="00826101" w:rsidP="00826101">
      <w:pPr>
        <w:pStyle w:val="AbtHeadB"/>
        <w:ind w:left="720" w:hanging="720"/>
      </w:pPr>
      <w:bookmarkStart w:id="38" w:name="_Toc233444289"/>
      <w:r>
        <w:t>A13</w:t>
      </w:r>
      <w:r>
        <w:tab/>
        <w:t>Capital Costs</w:t>
      </w:r>
      <w:bookmarkEnd w:id="38"/>
    </w:p>
    <w:p w:rsidR="00826101" w:rsidRDefault="00826101" w:rsidP="00826101">
      <w:pPr>
        <w:tabs>
          <w:tab w:val="left" w:pos="0"/>
        </w:tabs>
        <w:rPr>
          <w:rFonts w:ascii="Arial" w:hAnsi="Arial"/>
          <w:i/>
          <w:color w:val="000000"/>
        </w:rPr>
      </w:pPr>
      <w:r>
        <w:rPr>
          <w:rFonts w:ascii="Arial" w:hAnsi="Arial"/>
          <w:i/>
          <w:color w:val="000000"/>
        </w:rPr>
        <w:t xml:space="preserve">Estimate the annual capital cost to respondents or </w:t>
      </w:r>
      <w:r w:rsidR="004443D8">
        <w:rPr>
          <w:rFonts w:ascii="Arial" w:hAnsi="Arial"/>
          <w:i/>
          <w:color w:val="000000"/>
        </w:rPr>
        <w:t>record keepers</w:t>
      </w:r>
      <w:r>
        <w:rPr>
          <w:rFonts w:ascii="Arial" w:hAnsi="Arial"/>
          <w:i/>
          <w:color w:val="000000"/>
        </w:rPr>
        <w:t>.</w:t>
      </w:r>
    </w:p>
    <w:p w:rsidR="00826101" w:rsidRDefault="00826101" w:rsidP="00826101"/>
    <w:p w:rsidR="00826101" w:rsidRDefault="00826101" w:rsidP="00826101">
      <w:r w:rsidRPr="0010088C">
        <w:t xml:space="preserve">There are no capital costs for respondents beyond customary or usual business practices or that are not otherwise required to achieve regulatory compliance not associated with the collection of information for purposes of completing the </w:t>
      </w:r>
      <w:r w:rsidR="0010088C" w:rsidRPr="0010088C">
        <w:t xml:space="preserve">CoC </w:t>
      </w:r>
      <w:r w:rsidR="00DC7B9B">
        <w:t>Check-up</w:t>
      </w:r>
      <w:r w:rsidR="00A24745">
        <w:t xml:space="preserve"> tool</w:t>
      </w:r>
      <w:r w:rsidR="007A22F4" w:rsidRPr="0010088C">
        <w:t>.</w:t>
      </w:r>
    </w:p>
    <w:p w:rsidR="00826101" w:rsidRDefault="00826101" w:rsidP="00826101">
      <w:pPr>
        <w:pStyle w:val="Header"/>
        <w:tabs>
          <w:tab w:val="clear" w:pos="4320"/>
          <w:tab w:val="clear" w:pos="8640"/>
          <w:tab w:val="left" w:pos="720"/>
          <w:tab w:val="left" w:pos="1080"/>
          <w:tab w:val="left" w:pos="1440"/>
        </w:tabs>
      </w:pPr>
    </w:p>
    <w:p w:rsidR="00826101" w:rsidRDefault="00826101" w:rsidP="00826101">
      <w:pPr>
        <w:pStyle w:val="AbtHeadB"/>
      </w:pPr>
      <w:bookmarkStart w:id="39" w:name="_Toc224972117"/>
      <w:bookmarkStart w:id="40" w:name="_Toc233444290"/>
      <w:r>
        <w:t>A14</w:t>
      </w:r>
      <w:r>
        <w:tab/>
        <w:t>Cost to the Federal Government</w:t>
      </w:r>
      <w:bookmarkEnd w:id="39"/>
      <w:bookmarkEnd w:id="40"/>
    </w:p>
    <w:p w:rsidR="00826101" w:rsidRDefault="00826101" w:rsidP="00826101">
      <w:pPr>
        <w:pStyle w:val="BodyText"/>
        <w:rPr>
          <w:rFonts w:ascii="Arial" w:hAnsi="Arial"/>
          <w:i/>
        </w:rPr>
      </w:pPr>
      <w:r>
        <w:rPr>
          <w:rFonts w:ascii="Arial" w:hAnsi="Arial"/>
          <w:i/>
          <w:color w:val="000000"/>
        </w:rPr>
        <w:t>Estimate annualized costs to the Federal government.</w:t>
      </w:r>
    </w:p>
    <w:p w:rsidR="00332E0E" w:rsidRDefault="00332E0E" w:rsidP="00826101">
      <w:pPr>
        <w:pStyle w:val="BodyText"/>
      </w:pPr>
    </w:p>
    <w:p w:rsidR="00826101" w:rsidRDefault="00826101" w:rsidP="00826101">
      <w:pPr>
        <w:pStyle w:val="BodyText"/>
      </w:pPr>
      <w:r w:rsidRPr="0010088C">
        <w:t xml:space="preserve">The federal costs associated with </w:t>
      </w:r>
      <w:r w:rsidR="00E5116E">
        <w:t xml:space="preserve">the </w:t>
      </w:r>
      <w:r w:rsidR="00332E0E">
        <w:t xml:space="preserve">review of </w:t>
      </w:r>
      <w:r w:rsidR="008F6ABD">
        <w:t xml:space="preserve">all </w:t>
      </w:r>
      <w:r w:rsidR="00332E0E">
        <w:t xml:space="preserve">completed </w:t>
      </w:r>
      <w:r w:rsidR="0010088C" w:rsidRPr="0010088C">
        <w:t xml:space="preserve">CoC </w:t>
      </w:r>
      <w:r w:rsidR="00DC7B9B">
        <w:t>Check-up</w:t>
      </w:r>
      <w:r w:rsidR="00A24745">
        <w:t xml:space="preserve"> tool</w:t>
      </w:r>
      <w:r w:rsidR="006111C4">
        <w:t>s</w:t>
      </w:r>
      <w:r w:rsidR="00332E0E">
        <w:t xml:space="preserve"> are estimated to be $</w:t>
      </w:r>
      <w:r w:rsidR="00A713A2">
        <w:t>7</w:t>
      </w:r>
      <w:r w:rsidR="00726729">
        <w:t>4,250</w:t>
      </w:r>
      <w:r w:rsidR="00332E0E">
        <w:t xml:space="preserve">, based on 1.5 hours to review each CoC </w:t>
      </w:r>
      <w:r w:rsidR="00DC7B9B">
        <w:t>Check-up</w:t>
      </w:r>
      <w:r w:rsidR="006111C4">
        <w:t>,</w:t>
      </w:r>
      <w:r w:rsidR="00332E0E">
        <w:t xml:space="preserve"> </w:t>
      </w:r>
      <w:r w:rsidR="00A713A2">
        <w:t>45</w:t>
      </w:r>
      <w:r w:rsidR="00726729">
        <w:t>0</w:t>
      </w:r>
      <w:r w:rsidR="00332E0E">
        <w:t xml:space="preserve"> times</w:t>
      </w:r>
      <w:r w:rsidR="006111C4">
        <w:t>,</w:t>
      </w:r>
      <w:r w:rsidR="00332E0E">
        <w:t xml:space="preserve"> </w:t>
      </w:r>
      <w:r w:rsidR="00552BEE">
        <w:t xml:space="preserve">at </w:t>
      </w:r>
      <w:r w:rsidR="00332E0E">
        <w:t>an average hourly rate of $</w:t>
      </w:r>
      <w:r w:rsidR="004443D8">
        <w:t>11</w:t>
      </w:r>
      <w:r w:rsidR="00332E0E">
        <w:t xml:space="preserve">0 for HUD-funded technical assistance providers.  </w:t>
      </w:r>
    </w:p>
    <w:p w:rsidR="00826101" w:rsidRDefault="00826101"/>
    <w:p w:rsidR="007A22F4" w:rsidRDefault="007A22F4" w:rsidP="007A22F4">
      <w:pPr>
        <w:pStyle w:val="AbtHeadB"/>
      </w:pPr>
      <w:bookmarkStart w:id="41" w:name="_Toc224972118"/>
      <w:bookmarkStart w:id="42" w:name="_Toc233444291"/>
      <w:r>
        <w:t>A15</w:t>
      </w:r>
      <w:r>
        <w:tab/>
        <w:t>Program or Burden Changes</w:t>
      </w:r>
      <w:bookmarkEnd w:id="41"/>
      <w:bookmarkEnd w:id="42"/>
    </w:p>
    <w:p w:rsidR="007A22F4" w:rsidRDefault="007A22F4" w:rsidP="007A22F4">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7A22F4" w:rsidRDefault="007A22F4" w:rsidP="007A22F4">
      <w:pPr>
        <w:rPr>
          <w:spacing w:val="-2"/>
        </w:rPr>
      </w:pPr>
    </w:p>
    <w:p w:rsidR="007A22F4" w:rsidRDefault="00E64D7E" w:rsidP="007A22F4">
      <w:r>
        <w:t>This is a new information collection package.</w:t>
      </w:r>
    </w:p>
    <w:p w:rsidR="007A22F4" w:rsidRDefault="007A22F4" w:rsidP="007A22F4"/>
    <w:p w:rsidR="007A22F4" w:rsidRDefault="007A22F4" w:rsidP="007A22F4">
      <w:pPr>
        <w:pStyle w:val="AbtHeadB"/>
      </w:pPr>
      <w:bookmarkStart w:id="43" w:name="_Toc224972119"/>
      <w:bookmarkStart w:id="44" w:name="_Toc233444292"/>
      <w:r>
        <w:t>A16</w:t>
      </w:r>
      <w:r>
        <w:tab/>
        <w:t>Publication and Tabulation Dates</w:t>
      </w:r>
      <w:bookmarkEnd w:id="43"/>
      <w:bookmarkEnd w:id="44"/>
    </w:p>
    <w:p w:rsidR="007A22F4" w:rsidRPr="00E9087D" w:rsidRDefault="007A22F4" w:rsidP="007A22F4">
      <w:pPr>
        <w:pStyle w:val="AbtHeadC"/>
        <w:rPr>
          <w:b w:val="0"/>
          <w:i/>
          <w:sz w:val="22"/>
        </w:rPr>
      </w:pPr>
      <w:bookmarkStart w:id="45" w:name="_Toc224972120"/>
      <w:r w:rsidRPr="00E9087D">
        <w:rPr>
          <w:b w:val="0"/>
          <w:i/>
          <w:color w:val="000000"/>
          <w:sz w:val="22"/>
        </w:rPr>
        <w:t>If the information will be published, outline plans for tabulation and publication</w:t>
      </w:r>
      <w:bookmarkEnd w:id="45"/>
      <w:r w:rsidRPr="00E9087D">
        <w:rPr>
          <w:b w:val="0"/>
          <w:i/>
          <w:color w:val="000000"/>
          <w:sz w:val="22"/>
        </w:rPr>
        <w:t>.</w:t>
      </w:r>
    </w:p>
    <w:p w:rsidR="00ED7E08" w:rsidRPr="00E9087D" w:rsidRDefault="00E64D7E" w:rsidP="007A22F4">
      <w:r>
        <w:t xml:space="preserve">This information will not be published.  </w:t>
      </w:r>
      <w:r w:rsidR="00E9087D" w:rsidRPr="00E9087D">
        <w:t xml:space="preserve">CoC </w:t>
      </w:r>
      <w:r w:rsidR="00DC7B9B">
        <w:t>Check-up</w:t>
      </w:r>
      <w:r w:rsidR="00E9087D" w:rsidRPr="00E9087D">
        <w:t xml:space="preserve"> </w:t>
      </w:r>
      <w:r w:rsidR="00A24745">
        <w:t xml:space="preserve">tool </w:t>
      </w:r>
      <w:r w:rsidR="00E9087D" w:rsidRPr="00E9087D">
        <w:t xml:space="preserve">responses </w:t>
      </w:r>
      <w:r w:rsidR="007A22F4" w:rsidRPr="00E9087D">
        <w:t xml:space="preserve">will be entered and stored in the </w:t>
      </w:r>
      <w:r w:rsidR="00ED7E08" w:rsidRPr="00E9087D">
        <w:t>HDX</w:t>
      </w:r>
      <w:r w:rsidR="007A22F4" w:rsidRPr="00E9087D">
        <w:t xml:space="preserve"> system.  HUD</w:t>
      </w:r>
      <w:r w:rsidR="00ED7E08" w:rsidRPr="00E9087D">
        <w:t>-funded technical assistance</w:t>
      </w:r>
      <w:r w:rsidR="00E9087D" w:rsidRPr="00E9087D">
        <w:t xml:space="preserve"> (TA)</w:t>
      </w:r>
      <w:r w:rsidR="00ED7E08" w:rsidRPr="00E9087D">
        <w:t xml:space="preserve"> providers</w:t>
      </w:r>
      <w:r w:rsidR="007A22F4" w:rsidRPr="00E9087D">
        <w:t xml:space="preserve"> will review and assess each </w:t>
      </w:r>
      <w:r w:rsidR="00E9087D" w:rsidRPr="00E9087D">
        <w:t>assessment</w:t>
      </w:r>
      <w:r w:rsidR="007A22F4" w:rsidRPr="00E9087D">
        <w:t xml:space="preserve"> to determine </w:t>
      </w:r>
      <w:r w:rsidR="00ED7E08" w:rsidRPr="00E9087D">
        <w:t>TA needs</w:t>
      </w:r>
      <w:r w:rsidR="00552BEE">
        <w:t>. This information</w:t>
      </w:r>
      <w:r w:rsidR="00ED7E08" w:rsidRPr="00E9087D">
        <w:t xml:space="preserve"> will be used by HUD to help direct utilization of TA resources.</w:t>
      </w:r>
      <w:r>
        <w:t xml:space="preserve">  Aggregate data will be made available to authorized members of the CoC for planning and evaluation purposes.</w:t>
      </w:r>
    </w:p>
    <w:p w:rsidR="00ED7E08" w:rsidRDefault="00ED7E08" w:rsidP="007A22F4">
      <w:pPr>
        <w:rPr>
          <w:highlight w:val="yellow"/>
        </w:rPr>
      </w:pPr>
    </w:p>
    <w:p w:rsidR="007A22F4" w:rsidRDefault="007A22F4" w:rsidP="007A22F4">
      <w:pPr>
        <w:rPr>
          <w:rFonts w:ascii="Arial" w:hAnsi="Arial"/>
          <w:b/>
        </w:rPr>
      </w:pPr>
    </w:p>
    <w:p w:rsidR="007A22F4" w:rsidRDefault="007A22F4" w:rsidP="007A22F4">
      <w:pPr>
        <w:pStyle w:val="AbtHeadBOutlined"/>
        <w:tabs>
          <w:tab w:val="clear" w:pos="720"/>
        </w:tabs>
        <w:ind w:left="0" w:firstLine="0"/>
      </w:pPr>
      <w:bookmarkStart w:id="46" w:name="_Toc224972122"/>
      <w:bookmarkStart w:id="47" w:name="_Toc233444293"/>
      <w:r>
        <w:t>A17</w:t>
      </w:r>
      <w:r>
        <w:tab/>
        <w:t>Expiration Date</w:t>
      </w:r>
      <w:bookmarkEnd w:id="46"/>
      <w:bookmarkEnd w:id="47"/>
    </w:p>
    <w:p w:rsidR="007A22F4" w:rsidRDefault="007A22F4" w:rsidP="007A22F4">
      <w:pPr>
        <w:keepLines/>
        <w:tabs>
          <w:tab w:val="left" w:pos="0"/>
        </w:tabs>
        <w:rPr>
          <w:rFonts w:ascii="Arial" w:hAnsi="Arial"/>
          <w:i/>
          <w:color w:val="000000"/>
        </w:rPr>
      </w:pPr>
      <w:r>
        <w:rPr>
          <w:rFonts w:ascii="Arial" w:hAnsi="Arial"/>
          <w:i/>
          <w:color w:val="000000"/>
        </w:rPr>
        <w:t xml:space="preserve">Explain any request to not display the expiration date. </w:t>
      </w:r>
    </w:p>
    <w:p w:rsidR="007A22F4" w:rsidRDefault="007A22F4" w:rsidP="007A22F4">
      <w:pPr>
        <w:pStyle w:val="BodyTextIndent"/>
        <w:ind w:left="0"/>
      </w:pPr>
    </w:p>
    <w:p w:rsidR="007A22F4" w:rsidRDefault="007A22F4" w:rsidP="007A22F4">
      <w:pPr>
        <w:pStyle w:val="BodyTextIndent"/>
        <w:ind w:left="0"/>
      </w:pPr>
      <w:r w:rsidRPr="00E9087D">
        <w:t>The OMB expiration date will be displayed on all data collection instruments.  No exceptions are requested.</w:t>
      </w:r>
    </w:p>
    <w:p w:rsidR="007A22F4" w:rsidRDefault="007A22F4" w:rsidP="007A22F4">
      <w:pPr>
        <w:ind w:left="360"/>
      </w:pPr>
    </w:p>
    <w:p w:rsidR="007A22F4" w:rsidRDefault="007A22F4" w:rsidP="007A22F4">
      <w:pPr>
        <w:pStyle w:val="AbtHeadBOutlined"/>
        <w:tabs>
          <w:tab w:val="clear" w:pos="720"/>
        </w:tabs>
        <w:ind w:left="0" w:firstLine="0"/>
      </w:pPr>
      <w:bookmarkStart w:id="48" w:name="_Toc224972123"/>
      <w:bookmarkStart w:id="49" w:name="_Toc233444294"/>
      <w:r>
        <w:t>A18</w:t>
      </w:r>
      <w:r>
        <w:tab/>
        <w:t>Certification Statement</w:t>
      </w:r>
      <w:bookmarkEnd w:id="48"/>
      <w:bookmarkEnd w:id="49"/>
    </w:p>
    <w:p w:rsidR="007A22F4" w:rsidRDefault="007A22F4" w:rsidP="007A22F4">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7A22F4" w:rsidRDefault="007A22F4" w:rsidP="007A22F4">
      <w:pPr>
        <w:pStyle w:val="BodyText"/>
      </w:pPr>
    </w:p>
    <w:p w:rsidR="007A22F4" w:rsidRDefault="007A22F4" w:rsidP="007A22F4">
      <w:pPr>
        <w:pStyle w:val="BodyTextIndent"/>
        <w:ind w:left="0"/>
      </w:pPr>
      <w:r w:rsidRPr="00E9087D">
        <w:t>There are no exceptions to the certification.</w:t>
      </w:r>
    </w:p>
    <w:p w:rsidR="00E9087D" w:rsidRDefault="00E9087D" w:rsidP="007A22F4">
      <w:pPr>
        <w:pStyle w:val="BodyTextIndent"/>
        <w:ind w:left="0"/>
      </w:pPr>
    </w:p>
    <w:p w:rsidR="007A22F4" w:rsidRDefault="007A22F4" w:rsidP="007A22F4">
      <w:pPr>
        <w:pStyle w:val="AbtHeadA"/>
      </w:pPr>
      <w:bookmarkStart w:id="50" w:name="_Toc190490668"/>
      <w:bookmarkStart w:id="51" w:name="_Toc207084210"/>
      <w:bookmarkStart w:id="52" w:name="_Toc224972124"/>
      <w:bookmarkStart w:id="53" w:name="_Toc233444295"/>
      <w:r>
        <w:t>Part B: Statistical Methods</w:t>
      </w:r>
      <w:bookmarkEnd w:id="50"/>
      <w:bookmarkEnd w:id="51"/>
      <w:bookmarkEnd w:id="52"/>
      <w:bookmarkEnd w:id="53"/>
    </w:p>
    <w:p w:rsidR="007A22F4" w:rsidRDefault="007A22F4" w:rsidP="007A22F4">
      <w:r>
        <w:t>Since all</w:t>
      </w:r>
      <w:r w:rsidR="00E9087D">
        <w:t xml:space="preserve"> HUD-funded Continuums of Care</w:t>
      </w:r>
      <w:r>
        <w:t xml:space="preserve"> are required to complete </w:t>
      </w:r>
      <w:r w:rsidR="00BF10DD">
        <w:t xml:space="preserve">the CoC </w:t>
      </w:r>
      <w:r w:rsidR="00DC7B9B">
        <w:t>Check-up</w:t>
      </w:r>
      <w:r w:rsidR="00A24745">
        <w:t xml:space="preserve"> tool</w:t>
      </w:r>
      <w:r>
        <w:t xml:space="preserve">, there are no statistical methods used or required for this information collection.  </w:t>
      </w:r>
    </w:p>
    <w:p w:rsidR="007A22F4" w:rsidRDefault="007A22F4" w:rsidP="007A22F4">
      <w:pPr>
        <w:pStyle w:val="BodyText"/>
        <w:jc w:val="center"/>
        <w:rPr>
          <w:rFonts w:ascii="Arial" w:hAnsi="Arial"/>
          <w:b/>
          <w:sz w:val="36"/>
        </w:rPr>
      </w:pPr>
      <w:r>
        <w:br w:type="page"/>
      </w:r>
      <w:r>
        <w:rPr>
          <w:rFonts w:ascii="Arial" w:hAnsi="Arial"/>
          <w:b/>
          <w:sz w:val="36"/>
        </w:rPr>
        <w:lastRenderedPageBreak/>
        <w:t xml:space="preserve">Attachment </w:t>
      </w:r>
      <w:r w:rsidR="008E7A48">
        <w:rPr>
          <w:rFonts w:ascii="Arial" w:hAnsi="Arial"/>
          <w:b/>
          <w:sz w:val="36"/>
        </w:rPr>
        <w:t>A</w:t>
      </w:r>
    </w:p>
    <w:p w:rsidR="007A22F4" w:rsidRDefault="007A22F4" w:rsidP="007A22F4">
      <w:pPr>
        <w:pStyle w:val="BodyText"/>
        <w:jc w:val="center"/>
        <w:rPr>
          <w:rFonts w:ascii="Arial" w:hAnsi="Arial"/>
          <w:b/>
          <w:sz w:val="36"/>
        </w:rPr>
      </w:pPr>
    </w:p>
    <w:p w:rsidR="007A22F4" w:rsidRDefault="008E7A48" w:rsidP="007A22F4">
      <w:pPr>
        <w:pStyle w:val="AbtHeadA"/>
        <w:spacing w:after="120"/>
        <w:jc w:val="center"/>
      </w:pPr>
      <w:bookmarkStart w:id="54" w:name="_Toc233444299"/>
      <w:r>
        <w:t xml:space="preserve">CoC </w:t>
      </w:r>
      <w:r w:rsidR="00DC7B9B">
        <w:t>Check-up</w:t>
      </w:r>
      <w:r w:rsidR="00A24745">
        <w:t xml:space="preserve"> Tool</w:t>
      </w:r>
      <w:r w:rsidR="007A22F4">
        <w:t>:</w:t>
      </w:r>
      <w:bookmarkEnd w:id="54"/>
    </w:p>
    <w:p w:rsidR="00FC6958" w:rsidRDefault="007A22F4" w:rsidP="007A22F4">
      <w:pPr>
        <w:pStyle w:val="AbtHeadA"/>
        <w:spacing w:after="120"/>
        <w:jc w:val="center"/>
      </w:pPr>
      <w:bookmarkStart w:id="55" w:name="_Toc233444300"/>
      <w:r w:rsidRPr="00332E0E">
        <w:t xml:space="preserve">Data </w:t>
      </w:r>
      <w:r w:rsidR="008365C4">
        <w:t xml:space="preserve">Domains, </w:t>
      </w:r>
      <w:r w:rsidRPr="00332E0E">
        <w:t>Elements,</w:t>
      </w:r>
      <w:r w:rsidR="00A24745" w:rsidRPr="00332E0E">
        <w:t xml:space="preserve"> Indicators, </w:t>
      </w:r>
      <w:r w:rsidRPr="00332E0E">
        <w:t>and Justification</w:t>
      </w:r>
      <w:bookmarkEnd w:id="55"/>
    </w:p>
    <w:p w:rsidR="00730813" w:rsidRDefault="00730813" w:rsidP="007A22F4">
      <w:pPr>
        <w:jc w:val="center"/>
        <w:rPr>
          <w:rFonts w:ascii="Arial" w:hAnsi="Arial" w:cs="Arial"/>
          <w:b/>
          <w:sz w:val="36"/>
          <w:szCs w:val="36"/>
          <w:highlight w:val="yellow"/>
        </w:rPr>
        <w:sectPr w:rsidR="00730813" w:rsidSect="00730813">
          <w:pgSz w:w="12240" w:h="15840"/>
          <w:pgMar w:top="1440" w:right="1800" w:bottom="1440" w:left="1800" w:header="720" w:footer="720" w:gutter="0"/>
          <w:cols w:space="720"/>
          <w:docGrid w:linePitch="360"/>
        </w:sect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56"/>
        <w:gridCol w:w="573"/>
        <w:gridCol w:w="126"/>
        <w:gridCol w:w="473"/>
        <w:gridCol w:w="6240"/>
        <w:gridCol w:w="1560"/>
      </w:tblGrid>
      <w:tr w:rsidR="009F5E18" w:rsidTr="000B6094">
        <w:trPr>
          <w:tblHeader/>
        </w:trPr>
        <w:tc>
          <w:tcPr>
            <w:tcW w:w="9828" w:type="dxa"/>
            <w:gridSpan w:val="6"/>
            <w:shd w:val="clear" w:color="auto" w:fill="auto"/>
          </w:tcPr>
          <w:p w:rsidR="009F5E18" w:rsidRPr="000B6094" w:rsidRDefault="009F5E18" w:rsidP="004355C4">
            <w:pPr>
              <w:rPr>
                <w:b/>
                <w:sz w:val="22"/>
                <w:szCs w:val="22"/>
              </w:rPr>
            </w:pPr>
            <w:r w:rsidRPr="000B6094">
              <w:rPr>
                <w:b/>
                <w:sz w:val="22"/>
                <w:szCs w:val="22"/>
              </w:rPr>
              <w:lastRenderedPageBreak/>
              <w:t>CoC Respondent Information:</w:t>
            </w:r>
          </w:p>
          <w:p w:rsidR="009F5E18" w:rsidRPr="000B6094" w:rsidRDefault="009F5E18" w:rsidP="000B6094">
            <w:pPr>
              <w:numPr>
                <w:ilvl w:val="0"/>
                <w:numId w:val="24"/>
              </w:numPr>
              <w:rPr>
                <w:b/>
                <w:sz w:val="22"/>
                <w:szCs w:val="22"/>
              </w:rPr>
            </w:pPr>
            <w:r w:rsidRPr="000B6094">
              <w:rPr>
                <w:sz w:val="22"/>
                <w:szCs w:val="22"/>
              </w:rPr>
              <w:t>Name</w:t>
            </w:r>
            <w:r w:rsidR="00971038" w:rsidRPr="000B6094">
              <w:rPr>
                <w:sz w:val="22"/>
                <w:szCs w:val="22"/>
              </w:rPr>
              <w:t xml:space="preserve"> (first/last)</w:t>
            </w:r>
          </w:p>
          <w:p w:rsidR="009F5E18" w:rsidRPr="000B6094" w:rsidRDefault="009F5E18" w:rsidP="000B6094">
            <w:pPr>
              <w:numPr>
                <w:ilvl w:val="0"/>
                <w:numId w:val="24"/>
              </w:numPr>
              <w:rPr>
                <w:b/>
                <w:sz w:val="22"/>
                <w:szCs w:val="22"/>
              </w:rPr>
            </w:pPr>
            <w:r w:rsidRPr="000B6094">
              <w:rPr>
                <w:sz w:val="22"/>
                <w:szCs w:val="22"/>
              </w:rPr>
              <w:t>Title (if applicable)</w:t>
            </w:r>
          </w:p>
          <w:p w:rsidR="009F5E18" w:rsidRPr="000B6094" w:rsidRDefault="009F5E18" w:rsidP="000B6094">
            <w:pPr>
              <w:numPr>
                <w:ilvl w:val="0"/>
                <w:numId w:val="24"/>
              </w:numPr>
              <w:rPr>
                <w:b/>
                <w:sz w:val="22"/>
                <w:szCs w:val="22"/>
              </w:rPr>
            </w:pPr>
            <w:r w:rsidRPr="000B6094">
              <w:rPr>
                <w:sz w:val="22"/>
                <w:szCs w:val="22"/>
              </w:rPr>
              <w:t>Organization (if applicable)</w:t>
            </w:r>
          </w:p>
          <w:p w:rsidR="00971038" w:rsidRPr="000B6094" w:rsidRDefault="00971038" w:rsidP="000B6094">
            <w:pPr>
              <w:numPr>
                <w:ilvl w:val="0"/>
                <w:numId w:val="24"/>
              </w:numPr>
              <w:rPr>
                <w:b/>
                <w:sz w:val="22"/>
                <w:szCs w:val="22"/>
              </w:rPr>
            </w:pPr>
            <w:r w:rsidRPr="000B6094">
              <w:rPr>
                <w:sz w:val="22"/>
                <w:szCs w:val="22"/>
              </w:rPr>
              <w:t>CoC/ESG/HPRP Jurisdiction Code</w:t>
            </w:r>
          </w:p>
          <w:p w:rsidR="009F5E18" w:rsidRPr="000B6094" w:rsidRDefault="009F5E18" w:rsidP="000B6094">
            <w:pPr>
              <w:numPr>
                <w:ilvl w:val="0"/>
                <w:numId w:val="24"/>
              </w:numPr>
              <w:rPr>
                <w:b/>
                <w:sz w:val="22"/>
                <w:szCs w:val="22"/>
              </w:rPr>
            </w:pPr>
            <w:r w:rsidRPr="000B6094">
              <w:rPr>
                <w:sz w:val="22"/>
                <w:szCs w:val="22"/>
              </w:rPr>
              <w:t>Contact information (daytime phone, email)</w:t>
            </w:r>
          </w:p>
          <w:p w:rsidR="009F5E18" w:rsidRPr="000B6094" w:rsidRDefault="009F5E18" w:rsidP="000B6094">
            <w:pPr>
              <w:numPr>
                <w:ilvl w:val="0"/>
                <w:numId w:val="24"/>
              </w:numPr>
              <w:rPr>
                <w:b/>
                <w:sz w:val="22"/>
                <w:szCs w:val="22"/>
              </w:rPr>
            </w:pPr>
            <w:r w:rsidRPr="000B6094">
              <w:rPr>
                <w:sz w:val="22"/>
                <w:szCs w:val="22"/>
              </w:rPr>
              <w:t xml:space="preserve">Respondent type (CoC lead, HMIS lead, ESG/HPRP representative, CoC provider representative, CoC </w:t>
            </w:r>
            <w:r w:rsidR="00971038" w:rsidRPr="000B6094">
              <w:rPr>
                <w:sz w:val="22"/>
                <w:szCs w:val="22"/>
              </w:rPr>
              <w:t>c</w:t>
            </w:r>
            <w:r w:rsidRPr="000B6094">
              <w:rPr>
                <w:sz w:val="22"/>
                <w:szCs w:val="22"/>
              </w:rPr>
              <w:t>onsumer, CoC other stakeholder)</w:t>
            </w:r>
          </w:p>
        </w:tc>
      </w:tr>
      <w:tr w:rsidR="00050A60" w:rsidTr="000B6094">
        <w:trPr>
          <w:tblHeader/>
        </w:trPr>
        <w:tc>
          <w:tcPr>
            <w:tcW w:w="856" w:type="dxa"/>
            <w:shd w:val="clear" w:color="auto" w:fill="E6E6E6"/>
          </w:tcPr>
          <w:p w:rsidR="00050A60" w:rsidRPr="000B6094" w:rsidRDefault="00050A60" w:rsidP="000B6094">
            <w:pPr>
              <w:jc w:val="center"/>
              <w:rPr>
                <w:b/>
                <w:sz w:val="22"/>
                <w:szCs w:val="16"/>
              </w:rPr>
            </w:pPr>
            <w:r w:rsidRPr="000B6094">
              <w:rPr>
                <w:b/>
                <w:sz w:val="22"/>
                <w:szCs w:val="16"/>
              </w:rPr>
              <w:t>ID</w:t>
            </w:r>
          </w:p>
        </w:tc>
        <w:tc>
          <w:tcPr>
            <w:tcW w:w="7412" w:type="dxa"/>
            <w:gridSpan w:val="4"/>
            <w:shd w:val="clear" w:color="auto" w:fill="E6E6E6"/>
          </w:tcPr>
          <w:p w:rsidR="00050A60" w:rsidRPr="000B6094" w:rsidRDefault="00050A60" w:rsidP="004355C4">
            <w:pPr>
              <w:rPr>
                <w:b/>
                <w:sz w:val="22"/>
                <w:szCs w:val="22"/>
              </w:rPr>
            </w:pPr>
            <w:r w:rsidRPr="000B6094">
              <w:rPr>
                <w:b/>
                <w:sz w:val="22"/>
                <w:szCs w:val="22"/>
              </w:rPr>
              <w:t>Element, Indicator, Sub-indicator</w:t>
            </w:r>
          </w:p>
        </w:tc>
        <w:tc>
          <w:tcPr>
            <w:tcW w:w="1560" w:type="dxa"/>
            <w:shd w:val="clear" w:color="auto" w:fill="E6E6E6"/>
          </w:tcPr>
          <w:p w:rsidR="00050A60" w:rsidRPr="000B6094" w:rsidRDefault="00050A60" w:rsidP="004355C4">
            <w:pPr>
              <w:rPr>
                <w:b/>
                <w:sz w:val="22"/>
                <w:szCs w:val="22"/>
              </w:rPr>
            </w:pPr>
            <w:r w:rsidRPr="000B6094">
              <w:rPr>
                <w:b/>
                <w:sz w:val="22"/>
                <w:szCs w:val="22"/>
              </w:rPr>
              <w:t>Justification</w:t>
            </w:r>
          </w:p>
        </w:tc>
      </w:tr>
      <w:tr w:rsidR="00050A60" w:rsidTr="000B6094">
        <w:trPr>
          <w:tblHeader/>
        </w:trPr>
        <w:tc>
          <w:tcPr>
            <w:tcW w:w="8268" w:type="dxa"/>
            <w:gridSpan w:val="5"/>
            <w:shd w:val="clear" w:color="auto" w:fill="E0E0E0"/>
          </w:tcPr>
          <w:p w:rsidR="00050A60" w:rsidRPr="00927912" w:rsidRDefault="00050A60" w:rsidP="004355C4">
            <w:r w:rsidRPr="000B6094">
              <w:rPr>
                <w:b/>
                <w:sz w:val="32"/>
              </w:rPr>
              <w:t>Domain I: CoC Governance and Structure</w:t>
            </w:r>
          </w:p>
        </w:tc>
        <w:tc>
          <w:tcPr>
            <w:tcW w:w="1560" w:type="dxa"/>
            <w:shd w:val="clear" w:color="auto" w:fill="E0E0E0"/>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1.1</w:t>
            </w:r>
          </w:p>
        </w:tc>
        <w:tc>
          <w:tcPr>
            <w:tcW w:w="7412" w:type="dxa"/>
            <w:gridSpan w:val="4"/>
          </w:tcPr>
          <w:p w:rsidR="00050A60" w:rsidRDefault="00050A60" w:rsidP="004355C4">
            <w:r w:rsidRPr="000B6094">
              <w:rPr>
                <w:b/>
                <w:sz w:val="28"/>
                <w:szCs w:val="22"/>
              </w:rPr>
              <w:t>Element: The CoC has a clear direction and purpose.</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mission and purpose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1.1.1</w:t>
            </w:r>
          </w:p>
        </w:tc>
        <w:tc>
          <w:tcPr>
            <w:tcW w:w="7412" w:type="dxa"/>
            <w:gridSpan w:val="4"/>
          </w:tcPr>
          <w:p w:rsidR="00050A60" w:rsidRDefault="00050A60" w:rsidP="004355C4">
            <w:r w:rsidRPr="000B6094">
              <w:rPr>
                <w:sz w:val="22"/>
                <w:szCs w:val="22"/>
              </w:rPr>
              <w:t>The CoC has a written vision, mission and/or purpose statement.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(1.1.1),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1.1.1.1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vision/mission/purpose statement clearly states the purpose of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1.1.1.2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vision/mission/purpose statement is understood and supported by CoC stakeholders.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1.1.1.3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vision/mission/purpose is periodically reviewed and updated.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1.2</w:t>
            </w:r>
          </w:p>
        </w:tc>
        <w:tc>
          <w:tcPr>
            <w:tcW w:w="7412" w:type="dxa"/>
            <w:gridSpan w:val="4"/>
          </w:tcPr>
          <w:p w:rsidR="00050A60" w:rsidRDefault="00050A60" w:rsidP="004355C4">
            <w:r w:rsidRPr="000B6094">
              <w:rPr>
                <w:b/>
                <w:sz w:val="28"/>
                <w:szCs w:val="22"/>
              </w:rPr>
              <w:t>Element: The CoC has a governing structure to oversee the CoC, including CoC planning, infrastructure, and CoC projects.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governing structure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1.2.1</w:t>
            </w:r>
          </w:p>
        </w:tc>
        <w:tc>
          <w:tcPr>
            <w:tcW w:w="7412" w:type="dxa"/>
            <w:gridSpan w:val="4"/>
          </w:tcPr>
          <w:p w:rsidR="00050A60" w:rsidRDefault="00050A60" w:rsidP="004355C4">
            <w:r w:rsidRPr="000B6094">
              <w:rPr>
                <w:sz w:val="22"/>
                <w:szCs w:val="22"/>
              </w:rPr>
              <w:t>The CoC has a written document describing the roles and responsibilities of the primary decision-making group.</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1.2.2</w:t>
            </w:r>
          </w:p>
        </w:tc>
        <w:tc>
          <w:tcPr>
            <w:tcW w:w="7412" w:type="dxa"/>
            <w:gridSpan w:val="4"/>
          </w:tcPr>
          <w:p w:rsidR="00050A60" w:rsidRDefault="00050A60" w:rsidP="004355C4">
            <w:r w:rsidRPr="000B6094">
              <w:rPr>
                <w:sz w:val="22"/>
                <w:szCs w:val="22"/>
              </w:rPr>
              <w:t xml:space="preserve">The CoC primary decision-making group has a fair and transparent process for selecting CoC administrative agent, fiscal agent and/or </w:t>
            </w:r>
            <w:smartTag w:uri="urn:schemas-microsoft-com:office:smarttags" w:element="place">
              <w:smartTag w:uri="urn:schemas-microsoft-com:office:smarttags" w:element="City">
                <w:r w:rsidRPr="000B6094">
                  <w:rPr>
                    <w:sz w:val="22"/>
                    <w:szCs w:val="22"/>
                  </w:rPr>
                  <w:t>UFA</w:t>
                </w:r>
              </w:smartTag>
            </w:smartTag>
            <w:r w:rsidRPr="000B6094">
              <w:rPr>
                <w:sz w:val="22"/>
                <w:szCs w:val="22"/>
              </w:rPr>
              <w:t xml:space="preserve"> (as applicable), and HMIS lead.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1.2.3</w:t>
            </w:r>
          </w:p>
        </w:tc>
        <w:tc>
          <w:tcPr>
            <w:tcW w:w="7412" w:type="dxa"/>
            <w:gridSpan w:val="4"/>
          </w:tcPr>
          <w:p w:rsidR="00050A60" w:rsidRDefault="00050A60" w:rsidP="004355C4">
            <w:r w:rsidRPr="000B6094">
              <w:rPr>
                <w:sz w:val="22"/>
                <w:szCs w:val="22"/>
              </w:rPr>
              <w:t>The CoC primary decision-making group provides adequate oversight of CoC administration and infrastructure, including CoC staff (administrative and fiscal) and HMIS.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1.2.4</w:t>
            </w:r>
          </w:p>
        </w:tc>
        <w:tc>
          <w:tcPr>
            <w:tcW w:w="7412" w:type="dxa"/>
            <w:gridSpan w:val="4"/>
          </w:tcPr>
          <w:p w:rsidR="00050A60" w:rsidRDefault="00050A60" w:rsidP="004355C4">
            <w:r w:rsidRPr="000B6094">
              <w:rPr>
                <w:sz w:val="22"/>
                <w:szCs w:val="22"/>
              </w:rPr>
              <w:t>The CoC primary decision-making group has a written agreement with administrative agent/entity employing CoC administrative staff outlining roles and responsibilities of CoC administrative staff.</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1.2.5</w:t>
            </w:r>
          </w:p>
        </w:tc>
        <w:tc>
          <w:tcPr>
            <w:tcW w:w="7412" w:type="dxa"/>
            <w:gridSpan w:val="4"/>
          </w:tcPr>
          <w:p w:rsidR="00050A60" w:rsidRDefault="00050A60" w:rsidP="004355C4">
            <w:r w:rsidRPr="000B6094">
              <w:rPr>
                <w:sz w:val="22"/>
                <w:szCs w:val="22"/>
              </w:rPr>
              <w:t>The CoC primary decision-making group has a written agreement with HMIS lead agency outlining roles and responsibilities of HMIS lead agency.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1.2.6</w:t>
            </w:r>
          </w:p>
        </w:tc>
        <w:tc>
          <w:tcPr>
            <w:tcW w:w="7412" w:type="dxa"/>
            <w:gridSpan w:val="4"/>
          </w:tcPr>
          <w:p w:rsidR="00050A60" w:rsidRDefault="00050A60" w:rsidP="004355C4">
            <w:r w:rsidRPr="000B6094">
              <w:rPr>
                <w:sz w:val="22"/>
                <w:szCs w:val="22"/>
              </w:rPr>
              <w:t>The CoC has a fair and transparent process for selecting members of the primary decision-making group.</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1.2.7</w:t>
            </w:r>
          </w:p>
        </w:tc>
        <w:tc>
          <w:tcPr>
            <w:tcW w:w="7412" w:type="dxa"/>
            <w:gridSpan w:val="4"/>
          </w:tcPr>
          <w:p w:rsidR="00050A60" w:rsidRDefault="00050A60" w:rsidP="004355C4">
            <w:r w:rsidRPr="000B6094">
              <w:rPr>
                <w:sz w:val="22"/>
                <w:szCs w:val="22"/>
              </w:rPr>
              <w:t>The CoC has committees, sub-committees, and/or working groups to accomplish CoC goals and management.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(1.2.7),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1.2.7.1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Committee/sub-committee/working group roles and responsibilities are well-defined and understood by CoC stakeholders.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lastRenderedPageBreak/>
              <w:t>1.3</w:t>
            </w:r>
          </w:p>
        </w:tc>
        <w:tc>
          <w:tcPr>
            <w:tcW w:w="7412" w:type="dxa"/>
            <w:gridSpan w:val="4"/>
          </w:tcPr>
          <w:p w:rsidR="00050A60" w:rsidRDefault="00050A60" w:rsidP="004355C4">
            <w:r w:rsidRPr="000B6094">
              <w:rPr>
                <w:b/>
                <w:sz w:val="28"/>
                <w:szCs w:val="22"/>
              </w:rPr>
              <w:t>Element: The CoC primary decision-making group and related committees/subcommittees/working groups have active and diverse membership</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primary decision-making group membership structure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w:t>
            </w:r>
          </w:p>
        </w:tc>
        <w:tc>
          <w:tcPr>
            <w:tcW w:w="7412" w:type="dxa"/>
            <w:gridSpan w:val="4"/>
          </w:tcPr>
          <w:p w:rsidR="00050A60" w:rsidRDefault="00050A60" w:rsidP="004355C4">
            <w:r w:rsidRPr="000B6094">
              <w:rPr>
                <w:sz w:val="22"/>
                <w:szCs w:val="22"/>
              </w:rPr>
              <w:t xml:space="preserve">Stakeholders participating in CoC governance include representatives from: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CoC housing and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Mental health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Substance abuse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Physical health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1.3.1.5</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Justice/Corrections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1.3.1.6</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Education (K-12)</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1.3.1.7</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smartTag w:uri="urn:schemas-microsoft-com:office:smarttags" w:element="place">
              <w:smartTag w:uri="urn:schemas-microsoft-com:office:smarttags" w:element="country-region">
                <w:r w:rsidRPr="000B6094">
                  <w:rPr>
                    <w:sz w:val="22"/>
                    <w:szCs w:val="22"/>
                  </w:rPr>
                  <w:t>U.S.</w:t>
                </w:r>
              </w:smartTag>
            </w:smartTag>
            <w:r w:rsidRPr="000B6094">
              <w:rPr>
                <w:sz w:val="22"/>
                <w:szCs w:val="22"/>
              </w:rPr>
              <w:t xml:space="preserve"> Department of Veterans Affairs (VA)</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1.3.1.8</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Workforce development/employment assistance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1.3.1.9</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Youth/foster-care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1.3.1.10</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Domestic violence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Consumers (persons who are homeless and/or formerly homeless)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Local government(s)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Private businesses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Landlords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1.3.1.15</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Public Housing Authority(ies)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1.3.1.16</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ESG/HPRP Grantee(s)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1.3.1.17</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Legal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1.3.1.18</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Faith-based community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1.3.1.19</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Academic/research community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1.3.1.20</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Philanthropic community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1.3.1.21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Other public and private service providers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1.4</w:t>
            </w:r>
          </w:p>
        </w:tc>
        <w:tc>
          <w:tcPr>
            <w:tcW w:w="7412" w:type="dxa"/>
            <w:gridSpan w:val="4"/>
          </w:tcPr>
          <w:p w:rsidR="00050A60" w:rsidRDefault="00050A60" w:rsidP="004355C4">
            <w:r w:rsidRPr="000B6094">
              <w:rPr>
                <w:b/>
                <w:sz w:val="28"/>
                <w:szCs w:val="22"/>
              </w:rPr>
              <w:t>Element: The CoC primary decision-making group has a formal, fair, and transparent process for governing the CoC and making decisions.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decision-making processes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w:t>
            </w:r>
          </w:p>
        </w:tc>
        <w:tc>
          <w:tcPr>
            <w:tcW w:w="7412" w:type="dxa"/>
            <w:gridSpan w:val="4"/>
          </w:tcPr>
          <w:p w:rsidR="00050A60" w:rsidRDefault="00050A60" w:rsidP="004355C4">
            <w:r w:rsidRPr="000B6094">
              <w:rPr>
                <w:sz w:val="22"/>
                <w:szCs w:val="22"/>
              </w:rPr>
              <w:t>The CoC primary decision-making group has a process for ensuring stakeholders have an opportunity to provide input into the decision-making process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1.4.2</w:t>
            </w:r>
          </w:p>
        </w:tc>
        <w:tc>
          <w:tcPr>
            <w:tcW w:w="7412" w:type="dxa"/>
            <w:gridSpan w:val="4"/>
          </w:tcPr>
          <w:p w:rsidR="00050A60" w:rsidRDefault="00050A60" w:rsidP="004355C4">
            <w:r w:rsidRPr="000B6094">
              <w:rPr>
                <w:sz w:val="22"/>
                <w:szCs w:val="22"/>
              </w:rPr>
              <w:t>The CoC decision-making process is understood by all stakeholders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1.4.3</w:t>
            </w:r>
          </w:p>
        </w:tc>
        <w:tc>
          <w:tcPr>
            <w:tcW w:w="7412" w:type="dxa"/>
            <w:gridSpan w:val="4"/>
          </w:tcPr>
          <w:p w:rsidR="00050A60" w:rsidRDefault="00050A60" w:rsidP="004355C4">
            <w:r w:rsidRPr="000B6094">
              <w:rPr>
                <w:sz w:val="22"/>
                <w:szCs w:val="22"/>
              </w:rPr>
              <w:t>The CoC has a written conflict of interest policy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1.4.4</w:t>
            </w:r>
          </w:p>
        </w:tc>
        <w:tc>
          <w:tcPr>
            <w:tcW w:w="7412" w:type="dxa"/>
            <w:gridSpan w:val="4"/>
          </w:tcPr>
          <w:p w:rsidR="00050A60" w:rsidRDefault="00050A60" w:rsidP="004355C4">
            <w:r w:rsidRPr="000B6094">
              <w:rPr>
                <w:sz w:val="22"/>
                <w:szCs w:val="22"/>
              </w:rPr>
              <w:t>The CoC primary decision-making group actively seeks to prevent/address conflicts of interest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1.4.5</w:t>
            </w:r>
          </w:p>
        </w:tc>
        <w:tc>
          <w:tcPr>
            <w:tcW w:w="7412" w:type="dxa"/>
            <w:gridSpan w:val="4"/>
          </w:tcPr>
          <w:p w:rsidR="00050A60" w:rsidRDefault="00050A60" w:rsidP="004355C4">
            <w:r w:rsidRPr="000B6094">
              <w:rPr>
                <w:sz w:val="22"/>
                <w:szCs w:val="22"/>
              </w:rPr>
              <w:t>The CoC has a clear process for communicating decisions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1.4.6</w:t>
            </w:r>
          </w:p>
        </w:tc>
        <w:tc>
          <w:tcPr>
            <w:tcW w:w="7412" w:type="dxa"/>
            <w:gridSpan w:val="4"/>
          </w:tcPr>
          <w:p w:rsidR="00050A60" w:rsidRDefault="00050A60" w:rsidP="004355C4">
            <w:r w:rsidRPr="000B6094">
              <w:rPr>
                <w:sz w:val="22"/>
                <w:szCs w:val="22"/>
              </w:rPr>
              <w:t>The CoC primary decision-making group has a process for evaluating and selecting projects for inclusion in the annual CoC application for federal funding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vAlign w:val="center"/>
          </w:tcPr>
          <w:p w:rsidR="00050A60" w:rsidRDefault="00050A60" w:rsidP="004355C4">
            <w:r w:rsidRPr="000B6094">
              <w:rPr>
                <w:b/>
                <w:i/>
                <w:sz w:val="22"/>
                <w:szCs w:val="22"/>
              </w:rPr>
              <w:t>If you answered yes to (1.4.6),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1.4.6.1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has been approved by the CoC primary decision-making group.</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1.4.6.2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and rating/ranking criteria are described in writing.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1.4.6.3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Rating/ranking criteria reflect clear linkages to CoC strategic plan and goals.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1.4.6.4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is conducted in a fair and impartial manner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1.4.6.5</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includes a formal opportunity to appeal decisions.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1.4.7</w:t>
            </w:r>
          </w:p>
        </w:tc>
        <w:tc>
          <w:tcPr>
            <w:tcW w:w="7412" w:type="dxa"/>
            <w:gridSpan w:val="4"/>
          </w:tcPr>
          <w:p w:rsidR="00050A60" w:rsidRDefault="00050A60" w:rsidP="004355C4">
            <w:r w:rsidRPr="000B6094">
              <w:rPr>
                <w:sz w:val="22"/>
                <w:szCs w:val="22"/>
              </w:rPr>
              <w:t xml:space="preserve">The CoC primary decision-making group sets annual performance goals/targets for </w:t>
            </w:r>
            <w:r w:rsidRPr="000B6094">
              <w:rPr>
                <w:b/>
                <w:i/>
                <w:sz w:val="22"/>
                <w:szCs w:val="22"/>
              </w:rPr>
              <w:t>HUD-funded CoC projects</w:t>
            </w:r>
            <w:r w:rsidRPr="000B6094">
              <w:rPr>
                <w:sz w:val="22"/>
                <w:szCs w:val="22"/>
              </w:rPr>
              <w: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1.4.8</w:t>
            </w:r>
          </w:p>
        </w:tc>
        <w:tc>
          <w:tcPr>
            <w:tcW w:w="7412" w:type="dxa"/>
            <w:gridSpan w:val="4"/>
          </w:tcPr>
          <w:p w:rsidR="00050A60" w:rsidRDefault="00050A60" w:rsidP="004355C4">
            <w:r w:rsidRPr="000B6094">
              <w:rPr>
                <w:sz w:val="22"/>
                <w:szCs w:val="22"/>
              </w:rPr>
              <w:t xml:space="preserve">The CoC primary decision-making group has a process for periodically monitoring and evaluating the performance of </w:t>
            </w:r>
            <w:r w:rsidRPr="000B6094">
              <w:rPr>
                <w:b/>
                <w:i/>
                <w:sz w:val="22"/>
                <w:szCs w:val="22"/>
              </w:rPr>
              <w:t>HUD funded CoC projects</w:t>
            </w:r>
            <w:r w:rsidRPr="000B6094">
              <w:rPr>
                <w:sz w:val="22"/>
                <w:szCs w:val="22"/>
              </w:rPr>
              <w:t xml:space="preserve"> (apart from evaluation conducted during HUD application process).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1.4.9</w:t>
            </w:r>
          </w:p>
        </w:tc>
        <w:tc>
          <w:tcPr>
            <w:tcW w:w="7412" w:type="dxa"/>
            <w:gridSpan w:val="4"/>
          </w:tcPr>
          <w:p w:rsidR="00050A60" w:rsidRDefault="00050A60" w:rsidP="004355C4">
            <w:r w:rsidRPr="000B6094">
              <w:rPr>
                <w:sz w:val="22"/>
                <w:szCs w:val="22"/>
              </w:rPr>
              <w:t xml:space="preserve">The CoC primary decision-making group sets annual performance goals/targets for </w:t>
            </w:r>
            <w:r w:rsidRPr="000B6094">
              <w:rPr>
                <w:b/>
                <w:i/>
                <w:sz w:val="22"/>
                <w:szCs w:val="22"/>
              </w:rPr>
              <w:t>other non-HUD funded CoC projects</w:t>
            </w:r>
            <w:r w:rsidRPr="000B6094">
              <w:rPr>
                <w:sz w:val="22"/>
                <w:szCs w:val="22"/>
              </w:rPr>
              <w: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1.4.10</w:t>
            </w:r>
          </w:p>
        </w:tc>
        <w:tc>
          <w:tcPr>
            <w:tcW w:w="7412" w:type="dxa"/>
            <w:gridSpan w:val="4"/>
          </w:tcPr>
          <w:p w:rsidR="00050A60" w:rsidRDefault="00050A60" w:rsidP="004355C4">
            <w:r w:rsidRPr="000B6094">
              <w:rPr>
                <w:sz w:val="22"/>
                <w:szCs w:val="22"/>
              </w:rPr>
              <w:t xml:space="preserve">The CoC primary decision-making group has a process for periodically monitoring and evaluating the performance of </w:t>
            </w:r>
            <w:r w:rsidRPr="000B6094">
              <w:rPr>
                <w:b/>
                <w:i/>
                <w:sz w:val="22"/>
                <w:szCs w:val="22"/>
              </w:rPr>
              <w:t>other non-HUD funded CoC projects</w:t>
            </w:r>
            <w:r w:rsidRPr="000B6094">
              <w:rPr>
                <w:sz w:val="22"/>
                <w:szCs w:val="22"/>
              </w:rPr>
              <w: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1.4.11</w:t>
            </w:r>
          </w:p>
        </w:tc>
        <w:tc>
          <w:tcPr>
            <w:tcW w:w="7412" w:type="dxa"/>
            <w:gridSpan w:val="4"/>
          </w:tcPr>
          <w:p w:rsidR="00050A60" w:rsidRDefault="00050A60" w:rsidP="004355C4">
            <w:r w:rsidRPr="000B6094">
              <w:rPr>
                <w:sz w:val="22"/>
                <w:szCs w:val="22"/>
              </w:rPr>
              <w:t xml:space="preserve">The CoC primary decision-making group sets annual performance goals/targets for </w:t>
            </w:r>
            <w:r w:rsidRPr="000B6094">
              <w:rPr>
                <w:b/>
                <w:i/>
                <w:sz w:val="22"/>
                <w:szCs w:val="22"/>
              </w:rPr>
              <w:t xml:space="preserve">overall CoC </w:t>
            </w:r>
            <w:r w:rsidRPr="000B6094">
              <w:rPr>
                <w:sz w:val="22"/>
                <w:szCs w:val="22"/>
              </w:rPr>
              <w:t>performance.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1.4.12</w:t>
            </w:r>
          </w:p>
        </w:tc>
        <w:tc>
          <w:tcPr>
            <w:tcW w:w="7412" w:type="dxa"/>
            <w:gridSpan w:val="4"/>
          </w:tcPr>
          <w:p w:rsidR="00050A60" w:rsidRDefault="00050A60" w:rsidP="004355C4">
            <w:r w:rsidRPr="000B6094">
              <w:rPr>
                <w:sz w:val="22"/>
                <w:szCs w:val="22"/>
              </w:rPr>
              <w:t xml:space="preserve">The CoC primary decision-making group has a process for monitoring and evaluating </w:t>
            </w:r>
            <w:r w:rsidRPr="000B6094">
              <w:rPr>
                <w:b/>
                <w:i/>
                <w:sz w:val="22"/>
                <w:szCs w:val="22"/>
              </w:rPr>
              <w:t>overall CoC</w:t>
            </w:r>
            <w:r w:rsidRPr="000B6094">
              <w:rPr>
                <w:sz w:val="22"/>
                <w:szCs w:val="22"/>
              </w:rPr>
              <w:t xml:space="preserve"> performance.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i/>
                <w:sz w:val="22"/>
                <w:szCs w:val="22"/>
              </w:rPr>
              <w:t>If you answered yes to (1.4.12),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1.4.12.1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has been approved by the CoC primary decision-making group</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1.4.12.2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is described in writing.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1.4.12.3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process is conducted in a fair and impartial manner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1.5</w:t>
            </w:r>
          </w:p>
        </w:tc>
        <w:tc>
          <w:tcPr>
            <w:tcW w:w="7412" w:type="dxa"/>
            <w:gridSpan w:val="4"/>
          </w:tcPr>
          <w:p w:rsidR="00050A60" w:rsidRDefault="00050A60" w:rsidP="004355C4">
            <w:r w:rsidRPr="000B6094">
              <w:rPr>
                <w:b/>
                <w:bCs/>
                <w:sz w:val="28"/>
                <w:szCs w:val="22"/>
              </w:rPr>
              <w:t>Element: The CoC primary decision-making group uses data (PIT, HMIS, other) in a systematic manner to make informed decisions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decision-making data sources and uses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1.5.1</w:t>
            </w:r>
          </w:p>
        </w:tc>
        <w:tc>
          <w:tcPr>
            <w:tcW w:w="7412" w:type="dxa"/>
            <w:gridSpan w:val="4"/>
          </w:tcPr>
          <w:p w:rsidR="00050A60" w:rsidRDefault="00050A60" w:rsidP="004355C4">
            <w:r w:rsidRPr="000B6094">
              <w:rPr>
                <w:sz w:val="22"/>
                <w:szCs w:val="22"/>
              </w:rPr>
              <w:t>The CoC primary decision-making group uses performance data in the annual CoC application review process to evaluate projects and allocate resources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1.5.2</w:t>
            </w:r>
          </w:p>
        </w:tc>
        <w:tc>
          <w:tcPr>
            <w:tcW w:w="7412" w:type="dxa"/>
            <w:gridSpan w:val="4"/>
          </w:tcPr>
          <w:p w:rsidR="00050A60" w:rsidRDefault="00050A60" w:rsidP="004355C4">
            <w:r w:rsidRPr="000B6094">
              <w:rPr>
                <w:sz w:val="22"/>
                <w:szCs w:val="22"/>
              </w:rPr>
              <w:t>The CoC primary decision-making group uses data to inform other CoC decision-making (e.g., system design, project funding, provision of technical assistance,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1.5.3</w:t>
            </w:r>
          </w:p>
        </w:tc>
        <w:tc>
          <w:tcPr>
            <w:tcW w:w="7412" w:type="dxa"/>
            <w:gridSpan w:val="4"/>
          </w:tcPr>
          <w:p w:rsidR="00050A60" w:rsidRDefault="00050A60" w:rsidP="004355C4">
            <w:r w:rsidRPr="000B6094">
              <w:rPr>
                <w:sz w:val="22"/>
                <w:szCs w:val="22"/>
              </w:rPr>
              <w:t>The CoC primary decision-making group uses the following data sources to make decisions: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1.5.3.1</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Housing Inventory Data</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1.5.3.2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Annual/Biennial Point In Time Data</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1.5.3.3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Performance data generated from HMIS</w:t>
            </w:r>
          </w:p>
        </w:tc>
        <w:tc>
          <w:tcPr>
            <w:tcW w:w="1560" w:type="dxa"/>
            <w:vMerge/>
          </w:tcPr>
          <w:p w:rsidR="00050A60" w:rsidRPr="000B6094" w:rsidRDefault="00050A60" w:rsidP="004355C4">
            <w:pPr>
              <w:rPr>
                <w:sz w:val="22"/>
                <w:szCs w:val="22"/>
              </w:rPr>
            </w:pPr>
          </w:p>
        </w:tc>
      </w:tr>
      <w:tr w:rsidR="00050A60" w:rsidTr="000B6094">
        <w:trPr>
          <w:tblHeader/>
        </w:trPr>
        <w:tc>
          <w:tcPr>
            <w:tcW w:w="8268" w:type="dxa"/>
            <w:gridSpan w:val="5"/>
            <w:shd w:val="clear" w:color="auto" w:fill="E0E0E0"/>
          </w:tcPr>
          <w:p w:rsidR="00050A60" w:rsidRPr="00927912" w:rsidRDefault="00050A60" w:rsidP="004355C4">
            <w:r w:rsidRPr="000B6094">
              <w:rPr>
                <w:b/>
                <w:bCs/>
                <w:sz w:val="32"/>
              </w:rPr>
              <w:t>Domain II: CoC Plan and Planning Process</w:t>
            </w:r>
          </w:p>
        </w:tc>
        <w:tc>
          <w:tcPr>
            <w:tcW w:w="1560" w:type="dxa"/>
            <w:shd w:val="clear" w:color="auto" w:fill="E0E0E0"/>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2.1</w:t>
            </w:r>
          </w:p>
        </w:tc>
        <w:tc>
          <w:tcPr>
            <w:tcW w:w="7412" w:type="dxa"/>
            <w:gridSpan w:val="4"/>
          </w:tcPr>
          <w:p w:rsidR="00050A60" w:rsidRDefault="00050A60" w:rsidP="004355C4">
            <w:r w:rsidRPr="000B6094">
              <w:rPr>
                <w:b/>
                <w:sz w:val="28"/>
                <w:szCs w:val="22"/>
              </w:rPr>
              <w:t xml:space="preserve">Element: </w:t>
            </w:r>
            <w:r w:rsidRPr="000B6094">
              <w:rPr>
                <w:b/>
                <w:bCs/>
                <w:sz w:val="28"/>
                <w:szCs w:val="22"/>
              </w:rPr>
              <w:t>The CoC has a strategic plan to prevent and end homelessness in the CoC and the plan provides direction for the CoC.</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whether the CoC has a plan and </w:t>
            </w:r>
            <w:r w:rsidRPr="000B6094">
              <w:rPr>
                <w:sz w:val="22"/>
                <w:szCs w:val="22"/>
              </w:rPr>
              <w:lastRenderedPageBreak/>
              <w:t xml:space="preserve">whether the plan provides sufficient direction for the CoC and identify areas for improvement.  </w:t>
            </w: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w:t>
            </w:r>
          </w:p>
        </w:tc>
        <w:tc>
          <w:tcPr>
            <w:tcW w:w="7412" w:type="dxa"/>
            <w:gridSpan w:val="4"/>
          </w:tcPr>
          <w:p w:rsidR="00050A60" w:rsidRDefault="00050A60" w:rsidP="004355C4">
            <w:r w:rsidRPr="000B6094">
              <w:rPr>
                <w:sz w:val="22"/>
                <w:szCs w:val="22"/>
              </w:rPr>
              <w:t>The CoC has a written strategic plan to prevent and end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(2.1.1),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2.1.1.1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CoC strategic plan is also the community’s “Ten Year Plan” or other community-wide plan to prevent/end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no to (2.1.1.1),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lastRenderedPageBreak/>
              <w:t>2.1.1.1.1</w:t>
            </w:r>
          </w:p>
        </w:tc>
        <w:tc>
          <w:tcPr>
            <w:tcW w:w="573" w:type="dxa"/>
          </w:tcPr>
          <w:p w:rsidR="00050A60" w:rsidRPr="000B6094" w:rsidRDefault="00050A60" w:rsidP="004355C4">
            <w:pPr>
              <w:rPr>
                <w:sz w:val="22"/>
                <w:szCs w:val="22"/>
              </w:rPr>
            </w:pPr>
          </w:p>
        </w:tc>
        <w:tc>
          <w:tcPr>
            <w:tcW w:w="599" w:type="dxa"/>
            <w:gridSpan w:val="2"/>
          </w:tcPr>
          <w:p w:rsidR="00050A60" w:rsidRPr="000B6094" w:rsidRDefault="00050A60" w:rsidP="004355C4">
            <w:pPr>
              <w:rPr>
                <w:sz w:val="22"/>
                <w:szCs w:val="22"/>
              </w:rPr>
            </w:pPr>
          </w:p>
        </w:tc>
        <w:tc>
          <w:tcPr>
            <w:tcW w:w="6240" w:type="dxa"/>
          </w:tcPr>
          <w:p w:rsidR="00050A60" w:rsidRPr="000B6094" w:rsidRDefault="00050A60" w:rsidP="004355C4">
            <w:pPr>
              <w:rPr>
                <w:sz w:val="22"/>
                <w:szCs w:val="22"/>
              </w:rPr>
            </w:pPr>
            <w:r w:rsidRPr="000B6094">
              <w:rPr>
                <w:sz w:val="22"/>
                <w:szCs w:val="22"/>
              </w:rPr>
              <w:t>The CoC strategic plan and the “Ten Year Plan” or other community-wide plan to prevent/end homelessness are consistent with one another and do not have conflicting goals/objectives,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lastRenderedPageBreak/>
              <w:t>2.1.1.2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CoC strategic plan is consistent with CoC mission/vision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2.1.1.3</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covers all subpopulations, rather than just certain subpopulations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between 1 and 3 to (2.1.1.3),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2.1.1.3.1</w:t>
            </w:r>
          </w:p>
        </w:tc>
        <w:tc>
          <w:tcPr>
            <w:tcW w:w="573" w:type="dxa"/>
          </w:tcPr>
          <w:p w:rsidR="00050A60" w:rsidRPr="000B6094" w:rsidRDefault="00050A60" w:rsidP="004355C4">
            <w:pPr>
              <w:rPr>
                <w:sz w:val="22"/>
                <w:szCs w:val="22"/>
              </w:rPr>
            </w:pPr>
          </w:p>
        </w:tc>
        <w:tc>
          <w:tcPr>
            <w:tcW w:w="599" w:type="dxa"/>
            <w:gridSpan w:val="2"/>
          </w:tcPr>
          <w:p w:rsidR="00050A60" w:rsidRPr="000B6094" w:rsidRDefault="00050A60" w:rsidP="000B6094">
            <w:pPr>
              <w:tabs>
                <w:tab w:val="left" w:pos="918"/>
              </w:tabs>
              <w:rPr>
                <w:sz w:val="22"/>
                <w:szCs w:val="22"/>
              </w:rPr>
            </w:pPr>
            <w:r w:rsidRPr="000B6094">
              <w:rPr>
                <w:sz w:val="22"/>
                <w:szCs w:val="22"/>
              </w:rPr>
              <w:tab/>
            </w:r>
          </w:p>
        </w:tc>
        <w:tc>
          <w:tcPr>
            <w:tcW w:w="6240" w:type="dxa"/>
          </w:tcPr>
          <w:p w:rsidR="00050A60" w:rsidRPr="000B6094" w:rsidRDefault="00050A60" w:rsidP="000B6094">
            <w:pPr>
              <w:tabs>
                <w:tab w:val="left" w:pos="918"/>
              </w:tabs>
              <w:rPr>
                <w:sz w:val="22"/>
                <w:szCs w:val="22"/>
              </w:rPr>
            </w:pPr>
            <w:r w:rsidRPr="000B6094">
              <w:rPr>
                <w:sz w:val="22"/>
                <w:szCs w:val="22"/>
              </w:rPr>
              <w:t>If the plan does not cover all subpopulations, which subpopulation(s) are excluded?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plan is informed by review of local HMIS, PIT, and other data.</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2.1.1.5</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plan incorporates best practices or evidence-based practices that successfully prevent and end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2.1.1.6</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is consistent with the Federal Strategic Plan to prevent and end homelessness (“Opening Doors”)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2.1.1.7</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incorporates local ESG/HPRP resources to accomplish CoC goals/objectives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sz w:val="16"/>
                <w:szCs w:val="16"/>
              </w:rPr>
              <w:t>2.1.1.8</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includes leveraging/coordination with other HUD resources accounted for in local Consolidated Plan(s) (i.e., HOME, CDBG, NSP, and HOPWA) to accomplish CoC goals/objectives. (check all that are included in the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2.1.1.9</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sz w:val="22"/>
                <w:szCs w:val="22"/>
              </w:rPr>
              <w:t>The plan includes leveraging/coordination with other mainstream systems and resources (e.g. PHA, TANF, job training) to accomplish CoC goals/objectives. (check all that are included in the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2.1.1.10</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Local discharge plans/policies established by</w:t>
            </w:r>
            <w:r w:rsidRPr="000B6094">
              <w:rPr>
                <w:b/>
                <w:bCs/>
                <w:sz w:val="22"/>
                <w:szCs w:val="22"/>
              </w:rPr>
              <w:t xml:space="preserve"> foster care</w:t>
            </w:r>
            <w:r w:rsidRPr="000B6094">
              <w:rPr>
                <w:sz w:val="22"/>
                <w:szCs w:val="22"/>
              </w:rPr>
              <w:t xml:space="preserve"> system are consistent with CoC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2.1.1.11</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 xml:space="preserve">Local discharge plans/policies established by </w:t>
            </w:r>
            <w:r w:rsidRPr="000B6094">
              <w:rPr>
                <w:b/>
                <w:bCs/>
                <w:sz w:val="22"/>
                <w:szCs w:val="22"/>
              </w:rPr>
              <w:t>healthcare</w:t>
            </w:r>
            <w:r w:rsidRPr="000B6094">
              <w:rPr>
                <w:sz w:val="22"/>
                <w:szCs w:val="22"/>
              </w:rPr>
              <w:t xml:space="preserve"> system are consistent with CoC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2.1.1.12</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 xml:space="preserve">Local discharge plans/policies established by </w:t>
            </w:r>
            <w:r w:rsidRPr="000B6094">
              <w:rPr>
                <w:b/>
                <w:bCs/>
                <w:sz w:val="22"/>
                <w:szCs w:val="22"/>
              </w:rPr>
              <w:t xml:space="preserve">mental health </w:t>
            </w:r>
            <w:r w:rsidRPr="000B6094">
              <w:rPr>
                <w:sz w:val="22"/>
                <w:szCs w:val="22"/>
              </w:rPr>
              <w:t>system are consistent with CoC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2.1.1.13</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 xml:space="preserve">Local discharge plans/policies established by </w:t>
            </w:r>
            <w:r w:rsidRPr="000B6094">
              <w:rPr>
                <w:b/>
                <w:bCs/>
                <w:sz w:val="22"/>
                <w:szCs w:val="22"/>
              </w:rPr>
              <w:t>corrections</w:t>
            </w:r>
            <w:r w:rsidRPr="000B6094">
              <w:rPr>
                <w:sz w:val="22"/>
                <w:szCs w:val="22"/>
              </w:rPr>
              <w:t xml:space="preserve"> system are consistent with CoC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2.1.1.14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plan includes measurable goals, performance indicators and targets toward achieving identified goals.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(2.1.1.14),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2.1.1.14.1</w:t>
            </w:r>
          </w:p>
        </w:tc>
        <w:tc>
          <w:tcPr>
            <w:tcW w:w="573" w:type="dxa"/>
          </w:tcPr>
          <w:p w:rsidR="00050A60" w:rsidRPr="000B6094" w:rsidRDefault="00050A60" w:rsidP="000B6094">
            <w:pPr>
              <w:tabs>
                <w:tab w:val="left" w:pos="1076"/>
              </w:tabs>
              <w:rPr>
                <w:sz w:val="22"/>
                <w:szCs w:val="22"/>
              </w:rPr>
            </w:pPr>
          </w:p>
        </w:tc>
        <w:tc>
          <w:tcPr>
            <w:tcW w:w="599" w:type="dxa"/>
            <w:gridSpan w:val="2"/>
          </w:tcPr>
          <w:p w:rsidR="00050A60" w:rsidRPr="000B6094" w:rsidRDefault="00050A60" w:rsidP="000B6094">
            <w:pPr>
              <w:tabs>
                <w:tab w:val="left" w:pos="1076"/>
              </w:tabs>
              <w:rPr>
                <w:sz w:val="22"/>
                <w:szCs w:val="22"/>
              </w:rPr>
            </w:pPr>
          </w:p>
        </w:tc>
        <w:tc>
          <w:tcPr>
            <w:tcW w:w="6240" w:type="dxa"/>
          </w:tcPr>
          <w:p w:rsidR="00050A60" w:rsidRPr="000B6094" w:rsidRDefault="00050A60" w:rsidP="000B6094">
            <w:pPr>
              <w:tabs>
                <w:tab w:val="left" w:pos="1076"/>
              </w:tabs>
              <w:rPr>
                <w:sz w:val="22"/>
                <w:szCs w:val="22"/>
              </w:rPr>
            </w:pPr>
            <w:r w:rsidRPr="000B6094">
              <w:rPr>
                <w:sz w:val="22"/>
                <w:szCs w:val="22"/>
              </w:rPr>
              <w:t>Performance targets meet or exceed HUD’s national goals/objectives for HUD funded CoC projects</w:t>
            </w:r>
            <w:r w:rsidRPr="000B6094">
              <w:rPr>
                <w:sz w:val="22"/>
                <w:szCs w:val="22"/>
              </w:rPr>
              <w:tab/>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2.1.1.14.2</w:t>
            </w:r>
          </w:p>
        </w:tc>
        <w:tc>
          <w:tcPr>
            <w:tcW w:w="573" w:type="dxa"/>
          </w:tcPr>
          <w:p w:rsidR="00050A60" w:rsidRPr="000B6094" w:rsidRDefault="00050A60" w:rsidP="004355C4">
            <w:pPr>
              <w:rPr>
                <w:sz w:val="22"/>
                <w:szCs w:val="22"/>
              </w:rPr>
            </w:pPr>
          </w:p>
        </w:tc>
        <w:tc>
          <w:tcPr>
            <w:tcW w:w="599" w:type="dxa"/>
            <w:gridSpan w:val="2"/>
          </w:tcPr>
          <w:p w:rsidR="00050A60" w:rsidRPr="000B6094" w:rsidRDefault="00050A60" w:rsidP="004355C4">
            <w:pPr>
              <w:rPr>
                <w:sz w:val="22"/>
                <w:szCs w:val="22"/>
              </w:rPr>
            </w:pPr>
          </w:p>
        </w:tc>
        <w:tc>
          <w:tcPr>
            <w:tcW w:w="6240" w:type="dxa"/>
          </w:tcPr>
          <w:p w:rsidR="00050A60" w:rsidRPr="000B6094" w:rsidRDefault="00050A60" w:rsidP="004355C4">
            <w:pPr>
              <w:rPr>
                <w:sz w:val="22"/>
                <w:szCs w:val="22"/>
              </w:rPr>
            </w:pPr>
            <w:r w:rsidRPr="000B6094">
              <w:rPr>
                <w:sz w:val="22"/>
                <w:szCs w:val="22"/>
              </w:rPr>
              <w:t>Performance indicators/targets include outcome-based targets reflecting client, project, and system change vs. activities/outputs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2.1.1.14.3</w:t>
            </w:r>
          </w:p>
        </w:tc>
        <w:tc>
          <w:tcPr>
            <w:tcW w:w="573" w:type="dxa"/>
          </w:tcPr>
          <w:p w:rsidR="00050A60" w:rsidRPr="000B6094" w:rsidRDefault="00050A60" w:rsidP="004355C4">
            <w:pPr>
              <w:rPr>
                <w:b/>
                <w:bCs/>
                <w:sz w:val="22"/>
                <w:szCs w:val="22"/>
              </w:rPr>
            </w:pPr>
          </w:p>
        </w:tc>
        <w:tc>
          <w:tcPr>
            <w:tcW w:w="599" w:type="dxa"/>
            <w:gridSpan w:val="2"/>
          </w:tcPr>
          <w:p w:rsidR="00050A60" w:rsidRPr="000B6094" w:rsidRDefault="00050A60" w:rsidP="004355C4">
            <w:pPr>
              <w:rPr>
                <w:b/>
                <w:bCs/>
                <w:sz w:val="22"/>
                <w:szCs w:val="22"/>
              </w:rPr>
            </w:pPr>
          </w:p>
        </w:tc>
        <w:tc>
          <w:tcPr>
            <w:tcW w:w="6240" w:type="dxa"/>
          </w:tcPr>
          <w:p w:rsidR="00050A60" w:rsidRPr="000B6094" w:rsidRDefault="00050A60" w:rsidP="004355C4">
            <w:pPr>
              <w:rPr>
                <w:sz w:val="22"/>
                <w:szCs w:val="22"/>
              </w:rPr>
            </w:pPr>
            <w:r w:rsidRPr="000B6094">
              <w:rPr>
                <w:sz w:val="22"/>
                <w:szCs w:val="22"/>
              </w:rPr>
              <w:t>Performance targets are measurable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2.1.1.14.4</w:t>
            </w:r>
          </w:p>
        </w:tc>
        <w:tc>
          <w:tcPr>
            <w:tcW w:w="573" w:type="dxa"/>
          </w:tcPr>
          <w:p w:rsidR="00050A60" w:rsidRPr="000B6094" w:rsidRDefault="00050A60" w:rsidP="004355C4">
            <w:pPr>
              <w:rPr>
                <w:b/>
                <w:bCs/>
                <w:sz w:val="22"/>
                <w:szCs w:val="22"/>
              </w:rPr>
            </w:pPr>
          </w:p>
        </w:tc>
        <w:tc>
          <w:tcPr>
            <w:tcW w:w="599" w:type="dxa"/>
            <w:gridSpan w:val="2"/>
          </w:tcPr>
          <w:p w:rsidR="00050A60" w:rsidRPr="000B6094" w:rsidRDefault="00050A60" w:rsidP="004355C4">
            <w:pPr>
              <w:rPr>
                <w:b/>
                <w:bCs/>
                <w:sz w:val="22"/>
                <w:szCs w:val="22"/>
              </w:rPr>
            </w:pPr>
          </w:p>
        </w:tc>
        <w:tc>
          <w:tcPr>
            <w:tcW w:w="6240" w:type="dxa"/>
          </w:tcPr>
          <w:p w:rsidR="00050A60" w:rsidRPr="000B6094" w:rsidRDefault="00050A60" w:rsidP="004355C4">
            <w:pPr>
              <w:rPr>
                <w:bCs/>
                <w:sz w:val="22"/>
                <w:szCs w:val="22"/>
              </w:rPr>
            </w:pPr>
            <w:r w:rsidRPr="000B6094">
              <w:rPr>
                <w:bCs/>
                <w:sz w:val="22"/>
                <w:szCs w:val="22"/>
              </w:rPr>
              <w:t>Goals and performance indicators/targets are set for the following: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2.2.1.15</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is recognized and supported by CoC stakeholders.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2.2.1.16</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plan is recognized and supported by local government and political leadership in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2.2.1.17</w:t>
            </w:r>
          </w:p>
        </w:tc>
        <w:tc>
          <w:tcPr>
            <w:tcW w:w="573" w:type="dxa"/>
          </w:tcPr>
          <w:p w:rsidR="00050A60" w:rsidRPr="000B6094" w:rsidRDefault="00050A60" w:rsidP="004355C4">
            <w:pPr>
              <w:rPr>
                <w:b/>
                <w:bCs/>
                <w:sz w:val="22"/>
                <w:szCs w:val="22"/>
              </w:rPr>
            </w:pPr>
          </w:p>
        </w:tc>
        <w:tc>
          <w:tcPr>
            <w:tcW w:w="6839" w:type="dxa"/>
            <w:gridSpan w:val="3"/>
          </w:tcPr>
          <w:p w:rsidR="00050A60" w:rsidRDefault="00050A60" w:rsidP="004355C4">
            <w:r w:rsidRPr="000B6094">
              <w:rPr>
                <w:sz w:val="22"/>
                <w:szCs w:val="22"/>
              </w:rPr>
              <w:t>The plan includes public relations and communications strategy (i.e., strategy to produce and disseminate annual report or other public information on plan progress for education and advocacy purposes).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lastRenderedPageBreak/>
              <w:t>2.2</w:t>
            </w:r>
          </w:p>
        </w:tc>
        <w:tc>
          <w:tcPr>
            <w:tcW w:w="7412" w:type="dxa"/>
            <w:gridSpan w:val="4"/>
          </w:tcPr>
          <w:p w:rsidR="00050A60" w:rsidRDefault="00050A60" w:rsidP="004355C4">
            <w:r w:rsidRPr="000B6094">
              <w:rPr>
                <w:b/>
                <w:sz w:val="28"/>
                <w:szCs w:val="22"/>
              </w:rPr>
              <w:t xml:space="preserve">Element: </w:t>
            </w:r>
            <w:r w:rsidRPr="000B6094">
              <w:rPr>
                <w:b/>
                <w:bCs/>
                <w:sz w:val="28"/>
                <w:szCs w:val="22"/>
              </w:rPr>
              <w:t>The CoC has an inclusive and transparent process for development of and/or periodic updating of the CoC strategic plan</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the CoC plan development process and identify areas for improvement.  </w:t>
            </w:r>
          </w:p>
          <w:p w:rsidR="00050A60" w:rsidRPr="000B6094" w:rsidRDefault="00050A60" w:rsidP="004355C4">
            <w:pPr>
              <w:rPr>
                <w:sz w:val="22"/>
                <w:szCs w:val="22"/>
              </w:rPr>
            </w:pPr>
            <w:r w:rsidRPr="000B6094">
              <w:rPr>
                <w:sz w:val="22"/>
                <w:szCs w:val="22"/>
              </w:rPr>
              <w:t xml:space="preserve">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2.2.1</w:t>
            </w:r>
          </w:p>
        </w:tc>
        <w:tc>
          <w:tcPr>
            <w:tcW w:w="7412" w:type="dxa"/>
            <w:gridSpan w:val="4"/>
          </w:tcPr>
          <w:p w:rsidR="00050A60" w:rsidRDefault="00050A60" w:rsidP="004355C4">
            <w:r w:rsidRPr="000B6094">
              <w:rPr>
                <w:sz w:val="22"/>
                <w:szCs w:val="22"/>
              </w:rPr>
              <w:t>The CoC primary decision-making group has a process for developing and/or reviewing and updating the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(2.2.1),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2.2.1.1</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The planning process is inclusive and involves key CoC and community stakeholders, including government representatives, business leaders, the philanthropic community,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bCs/>
                <w:sz w:val="28"/>
                <w:szCs w:val="16"/>
              </w:rPr>
              <w:t>2.3</w:t>
            </w:r>
          </w:p>
        </w:tc>
        <w:tc>
          <w:tcPr>
            <w:tcW w:w="7412" w:type="dxa"/>
            <w:gridSpan w:val="4"/>
          </w:tcPr>
          <w:p w:rsidR="00050A60" w:rsidRDefault="00050A60" w:rsidP="004355C4">
            <w:r w:rsidRPr="000B6094">
              <w:rPr>
                <w:b/>
                <w:bCs/>
                <w:sz w:val="28"/>
                <w:szCs w:val="22"/>
              </w:rPr>
              <w:t xml:space="preserve">Element: The CoC has a formal process in place to support implementation of the strategic plan. </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plan implementation process and identify areas for improvement.  </w:t>
            </w: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2.3.1</w:t>
            </w:r>
          </w:p>
        </w:tc>
        <w:tc>
          <w:tcPr>
            <w:tcW w:w="7412" w:type="dxa"/>
            <w:gridSpan w:val="4"/>
          </w:tcPr>
          <w:p w:rsidR="00050A60" w:rsidRDefault="00050A60" w:rsidP="004355C4">
            <w:r w:rsidRPr="000B6094">
              <w:rPr>
                <w:sz w:val="22"/>
                <w:szCs w:val="22"/>
              </w:rPr>
              <w:t>The CoC primary decision-making group has tasked a specific committee or other body with overseeing implementation of the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2.3.2</w:t>
            </w:r>
          </w:p>
        </w:tc>
        <w:tc>
          <w:tcPr>
            <w:tcW w:w="7412" w:type="dxa"/>
            <w:gridSpan w:val="4"/>
          </w:tcPr>
          <w:p w:rsidR="00050A60" w:rsidRDefault="00050A60" w:rsidP="004355C4">
            <w:r w:rsidRPr="000B6094">
              <w:rPr>
                <w:sz w:val="22"/>
                <w:szCs w:val="22"/>
              </w:rPr>
              <w:t>There is a written action plan to support implementation of the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(2.3.2),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2.3.2.1</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The action plan includes specific steps and timelines.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2.3.2.2</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The action plan identifies responsible entities.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2.3.2.3</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Actions taken to date are having a positive impact on achievement of CoC goals identified in the CoC strategic plan.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2.3.2.4</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The action plan is reviewed and updated at least annually.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2.3.2.5</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On what date was the action plan last reviewed and updated?</w:t>
            </w:r>
          </w:p>
        </w:tc>
        <w:tc>
          <w:tcPr>
            <w:tcW w:w="1560" w:type="dxa"/>
            <w:vMerge/>
          </w:tcPr>
          <w:p w:rsidR="00050A60" w:rsidRPr="000B6094" w:rsidRDefault="00050A60" w:rsidP="004355C4">
            <w:pPr>
              <w:rPr>
                <w:sz w:val="22"/>
                <w:szCs w:val="22"/>
              </w:rPr>
            </w:pPr>
          </w:p>
        </w:tc>
      </w:tr>
      <w:tr w:rsidR="00050A60" w:rsidTr="000B6094">
        <w:trPr>
          <w:tblHeader/>
        </w:trPr>
        <w:tc>
          <w:tcPr>
            <w:tcW w:w="8268" w:type="dxa"/>
            <w:gridSpan w:val="5"/>
            <w:shd w:val="clear" w:color="auto" w:fill="E0E0E0"/>
          </w:tcPr>
          <w:p w:rsidR="00050A60" w:rsidRPr="00927912" w:rsidRDefault="00050A60" w:rsidP="004355C4">
            <w:r w:rsidRPr="000B6094">
              <w:rPr>
                <w:b/>
                <w:sz w:val="32"/>
              </w:rPr>
              <w:t>Domain III: CoC Infrastructure and Administrative Capacity</w:t>
            </w:r>
          </w:p>
        </w:tc>
        <w:tc>
          <w:tcPr>
            <w:tcW w:w="1560" w:type="dxa"/>
            <w:shd w:val="clear" w:color="auto" w:fill="E0E0E0"/>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bCs/>
                <w:sz w:val="28"/>
                <w:szCs w:val="16"/>
              </w:rPr>
              <w:t>3.1</w:t>
            </w:r>
          </w:p>
        </w:tc>
        <w:tc>
          <w:tcPr>
            <w:tcW w:w="7412" w:type="dxa"/>
            <w:gridSpan w:val="4"/>
          </w:tcPr>
          <w:p w:rsidR="00050A60" w:rsidRDefault="00050A60" w:rsidP="004355C4">
            <w:r w:rsidRPr="000B6094">
              <w:rPr>
                <w:b/>
                <w:bCs/>
                <w:sz w:val="28"/>
                <w:szCs w:val="22"/>
              </w:rPr>
              <w:t>Element: Administrative Capacity: The CoC has adequate capacity to manage the administrative responsibilities of the CoC.</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CoC administrative capacity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3.1.1</w:t>
            </w:r>
          </w:p>
        </w:tc>
        <w:tc>
          <w:tcPr>
            <w:tcW w:w="7412" w:type="dxa"/>
            <w:gridSpan w:val="4"/>
          </w:tcPr>
          <w:p w:rsidR="00050A60" w:rsidRDefault="00050A60" w:rsidP="004355C4">
            <w:r w:rsidRPr="000B6094">
              <w:rPr>
                <w:color w:val="000000"/>
                <w:sz w:val="22"/>
                <w:szCs w:val="22"/>
              </w:rPr>
              <w:t>Approximate number of CoC staff (paid or volunteer) responsible for regular administrative tasks of the CoC (estimated full-time equivalent (FTE)).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3.1.2</w:t>
            </w:r>
          </w:p>
        </w:tc>
        <w:tc>
          <w:tcPr>
            <w:tcW w:w="7412" w:type="dxa"/>
            <w:gridSpan w:val="4"/>
          </w:tcPr>
          <w:p w:rsidR="00050A60" w:rsidRDefault="00050A60" w:rsidP="004355C4">
            <w:r w:rsidRPr="000B6094">
              <w:rPr>
                <w:color w:val="000000"/>
                <w:sz w:val="22"/>
                <w:szCs w:val="22"/>
              </w:rPr>
              <w:t xml:space="preserve">The CoC has sufficient staffing (paid or volunteer) to manage the regular administrative tasks of the CoC, relative to the scope and scale of CoC funding and commitments.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3.1.3</w:t>
            </w:r>
          </w:p>
        </w:tc>
        <w:tc>
          <w:tcPr>
            <w:tcW w:w="7412" w:type="dxa"/>
            <w:gridSpan w:val="4"/>
          </w:tcPr>
          <w:p w:rsidR="00050A60" w:rsidRDefault="00050A60" w:rsidP="004355C4">
            <w:r w:rsidRPr="000B6094">
              <w:rPr>
                <w:sz w:val="22"/>
                <w:szCs w:val="22"/>
              </w:rPr>
              <w:t>CoC staff is knowledgeable of technical assistance resources and opportunities.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3.1.4</w:t>
            </w:r>
          </w:p>
        </w:tc>
        <w:tc>
          <w:tcPr>
            <w:tcW w:w="7412" w:type="dxa"/>
            <w:gridSpan w:val="4"/>
          </w:tcPr>
          <w:p w:rsidR="00050A60" w:rsidRDefault="00050A60" w:rsidP="004355C4">
            <w:r w:rsidRPr="000B6094">
              <w:rPr>
                <w:sz w:val="22"/>
                <w:szCs w:val="22"/>
              </w:rPr>
              <w:t>The CoC has capacity, policies, and procedures in place to monitor and ensure that HUD-funded projects are operating in accordance with HUD provisions and the project design set forth in the application.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3.1.5</w:t>
            </w:r>
          </w:p>
        </w:tc>
        <w:tc>
          <w:tcPr>
            <w:tcW w:w="7412" w:type="dxa"/>
            <w:gridSpan w:val="4"/>
          </w:tcPr>
          <w:p w:rsidR="00050A60" w:rsidRDefault="00050A60" w:rsidP="004355C4">
            <w:r w:rsidRPr="000B6094">
              <w:rPr>
                <w:sz w:val="22"/>
                <w:szCs w:val="22"/>
              </w:rPr>
              <w:t>The CoC has policies and procedures in place to ensure that HUD-funded project sponsors provide individuals and families experiencing homelessness with opportunities for participation in project governance, employment and/or volunteering.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3.1.6</w:t>
            </w:r>
          </w:p>
        </w:tc>
        <w:tc>
          <w:tcPr>
            <w:tcW w:w="7412" w:type="dxa"/>
            <w:gridSpan w:val="4"/>
          </w:tcPr>
          <w:p w:rsidR="00050A60" w:rsidRDefault="00050A60" w:rsidP="004355C4">
            <w:r w:rsidRPr="000B6094">
              <w:rPr>
                <w:sz w:val="22"/>
                <w:szCs w:val="22"/>
              </w:rPr>
              <w:t>The CoC has a policy and monitoring process in place to ensure that CoC projects are protecting individuals and families fleeing or attempting to flee domestic violence by maintaining client record confidentiality and ensuring the secrecy of domestic violence service delivery locations.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3.1.7</w:t>
            </w:r>
          </w:p>
        </w:tc>
        <w:tc>
          <w:tcPr>
            <w:tcW w:w="7412" w:type="dxa"/>
            <w:gridSpan w:val="4"/>
          </w:tcPr>
          <w:p w:rsidR="00050A60" w:rsidRDefault="00050A60" w:rsidP="004355C4">
            <w:r w:rsidRPr="000B6094">
              <w:rPr>
                <w:sz w:val="22"/>
                <w:szCs w:val="22"/>
              </w:rPr>
              <w:t>The CoC has policies and procedures in place to ensure that CoC projects serving families with children and unaccompanied youth experiencing homelessness designate a staff person to ensure children are enrolled in school, connected to appropriate services, and placed near their school of origin (or provided transportation to school of origin) to minimize disruption of education.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3.1.8</w:t>
            </w:r>
          </w:p>
        </w:tc>
        <w:tc>
          <w:tcPr>
            <w:tcW w:w="7412" w:type="dxa"/>
            <w:gridSpan w:val="4"/>
          </w:tcPr>
          <w:p w:rsidR="00050A60" w:rsidRDefault="00050A60" w:rsidP="004355C4">
            <w:r w:rsidRPr="000B6094">
              <w:rPr>
                <w:sz w:val="22"/>
              </w:rPr>
              <w:t>The CoC primary decision-making group is aware of and understands fair housing laws.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3.1.9</w:t>
            </w:r>
          </w:p>
        </w:tc>
        <w:tc>
          <w:tcPr>
            <w:tcW w:w="7412" w:type="dxa"/>
            <w:gridSpan w:val="4"/>
          </w:tcPr>
          <w:p w:rsidR="00050A60" w:rsidRDefault="00050A60" w:rsidP="004355C4">
            <w:r w:rsidRPr="000B6094">
              <w:rPr>
                <w:sz w:val="22"/>
              </w:rPr>
              <w:t>The CoC seeks to affirmatively further fair housing by periodically reviewing project policies and protocols implemented by CoC projects.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3.1.10</w:t>
            </w:r>
          </w:p>
        </w:tc>
        <w:tc>
          <w:tcPr>
            <w:tcW w:w="7412" w:type="dxa"/>
            <w:gridSpan w:val="4"/>
          </w:tcPr>
          <w:p w:rsidR="00050A60" w:rsidRDefault="00050A60" w:rsidP="004355C4">
            <w:r w:rsidRPr="000B6094">
              <w:rPr>
                <w:sz w:val="22"/>
              </w:rPr>
              <w:t>CoC projects seek to affirmatively further fair housing through dissemination of fair housing information to CoC projects and project participants.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3.2</w:t>
            </w:r>
          </w:p>
        </w:tc>
        <w:tc>
          <w:tcPr>
            <w:tcW w:w="7412" w:type="dxa"/>
            <w:gridSpan w:val="4"/>
          </w:tcPr>
          <w:p w:rsidR="00050A60" w:rsidRDefault="00050A60" w:rsidP="004355C4">
            <w:r w:rsidRPr="000B6094">
              <w:rPr>
                <w:b/>
                <w:bCs/>
                <w:sz w:val="28"/>
                <w:szCs w:val="22"/>
              </w:rPr>
              <w:t>Element: Fiscal Capacity: The CoC has adequate capacity to manage the fiscal responsibilities of the CoC.</w:t>
            </w:r>
          </w:p>
        </w:tc>
        <w:tc>
          <w:tcPr>
            <w:tcW w:w="1560" w:type="dxa"/>
            <w:vMerge w:val="restart"/>
          </w:tcPr>
          <w:p w:rsidR="00050A60" w:rsidRPr="000B6094" w:rsidRDefault="00050A60" w:rsidP="004355C4">
            <w:pPr>
              <w:rPr>
                <w:sz w:val="22"/>
                <w:szCs w:val="22"/>
              </w:rPr>
            </w:pPr>
            <w:r w:rsidRPr="000B6094">
              <w:rPr>
                <w:sz w:val="22"/>
                <w:szCs w:val="22"/>
              </w:rPr>
              <w:t>Allows CoC and HUD Technical Assistance providers to assess the CoC's fiscal capacity and identify areas for improvement.</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3.2.1</w:t>
            </w:r>
          </w:p>
        </w:tc>
        <w:tc>
          <w:tcPr>
            <w:tcW w:w="7412" w:type="dxa"/>
            <w:gridSpan w:val="4"/>
          </w:tcPr>
          <w:p w:rsidR="00050A60" w:rsidRDefault="00050A60" w:rsidP="004355C4">
            <w:r w:rsidRPr="000B6094">
              <w:rPr>
                <w:color w:val="000000"/>
                <w:sz w:val="22"/>
                <w:szCs w:val="22"/>
              </w:rPr>
              <w:t xml:space="preserve">The CoC has a method for ensuring HUD-funded project sponsors have developed, implemented, and are adhering to appropriate internal fiscal control and fund accounting procedures (e.g., requests audit reports with project applications, self-certification of adequate accounting practices).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3.2.2</w:t>
            </w:r>
          </w:p>
        </w:tc>
        <w:tc>
          <w:tcPr>
            <w:tcW w:w="7412" w:type="dxa"/>
            <w:gridSpan w:val="4"/>
          </w:tcPr>
          <w:p w:rsidR="00050A60" w:rsidRDefault="00050A60" w:rsidP="004355C4">
            <w:r w:rsidRPr="000B6094">
              <w:rPr>
                <w:sz w:val="22"/>
                <w:szCs w:val="22"/>
              </w:rPr>
              <w:t>The CoC helps support a diverse range of funding and cash/in-kind match opportunities for HUD-funded project sponsors.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3.2.3</w:t>
            </w:r>
          </w:p>
        </w:tc>
        <w:tc>
          <w:tcPr>
            <w:tcW w:w="7412" w:type="dxa"/>
            <w:gridSpan w:val="4"/>
          </w:tcPr>
          <w:p w:rsidR="00050A60" w:rsidRDefault="00050A60" w:rsidP="004355C4">
            <w:r w:rsidRPr="000B6094">
              <w:rPr>
                <w:sz w:val="22"/>
                <w:szCs w:val="22"/>
              </w:rPr>
              <w:t>The CoC has a procedure in place to review and verify cash/in-kind match for HUD-funded projects.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3.2.4</w:t>
            </w:r>
          </w:p>
        </w:tc>
        <w:tc>
          <w:tcPr>
            <w:tcW w:w="7412" w:type="dxa"/>
            <w:gridSpan w:val="4"/>
          </w:tcPr>
          <w:p w:rsidR="00050A60" w:rsidRDefault="00050A60" w:rsidP="004355C4">
            <w:r w:rsidRPr="000B6094">
              <w:rPr>
                <w:sz w:val="22"/>
                <w:szCs w:val="22"/>
              </w:rPr>
              <w:t>In the last three years HUD-funded project sponsors have been able to obligate/expend funds and complete projects within specified timelines (i.e., no funds have been recaptured).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3.2.5</w:t>
            </w:r>
          </w:p>
        </w:tc>
        <w:tc>
          <w:tcPr>
            <w:tcW w:w="7412" w:type="dxa"/>
            <w:gridSpan w:val="4"/>
          </w:tcPr>
          <w:p w:rsidR="00050A60" w:rsidRDefault="00050A60" w:rsidP="004355C4">
            <w:r w:rsidRPr="000B6094">
              <w:rPr>
                <w:sz w:val="22"/>
                <w:szCs w:val="22"/>
              </w:rPr>
              <w:t>Based on your current level of understanding, is your CoC considering asking HUD to become a Unified Funding Agency (UFA)?</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i/>
                <w:sz w:val="22"/>
                <w:szCs w:val="22"/>
              </w:rPr>
              <w:t>If you answered yes to (3.2.5),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3.2.5.1</w:t>
            </w:r>
          </w:p>
        </w:tc>
        <w:tc>
          <w:tcPr>
            <w:tcW w:w="573" w:type="dxa"/>
          </w:tcPr>
          <w:p w:rsidR="00050A60" w:rsidRPr="000B6094" w:rsidRDefault="00050A60" w:rsidP="000B6094">
            <w:pPr>
              <w:tabs>
                <w:tab w:val="left" w:pos="1598"/>
              </w:tabs>
              <w:rPr>
                <w:sz w:val="22"/>
                <w:szCs w:val="22"/>
              </w:rPr>
            </w:pPr>
          </w:p>
        </w:tc>
        <w:tc>
          <w:tcPr>
            <w:tcW w:w="6839" w:type="dxa"/>
            <w:gridSpan w:val="3"/>
          </w:tcPr>
          <w:p w:rsidR="00050A60" w:rsidRPr="000B6094" w:rsidRDefault="00050A60" w:rsidP="000B6094">
            <w:pPr>
              <w:tabs>
                <w:tab w:val="left" w:pos="1598"/>
              </w:tabs>
              <w:rPr>
                <w:sz w:val="22"/>
                <w:szCs w:val="22"/>
              </w:rPr>
            </w:pPr>
            <w:r w:rsidRPr="000B6094">
              <w:rPr>
                <w:sz w:val="22"/>
                <w:szCs w:val="22"/>
              </w:rPr>
              <w:t>The CoC has or is working to identify a capable agent, consensually-agreeable to key community partners, to serve as CoC fiduciary for all projects.</w:t>
            </w:r>
          </w:p>
          <w:p w:rsidR="00050A60" w:rsidRDefault="00050A60" w:rsidP="004355C4"/>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3.2.5.2</w:t>
            </w:r>
          </w:p>
        </w:tc>
        <w:tc>
          <w:tcPr>
            <w:tcW w:w="573" w:type="dxa"/>
          </w:tcPr>
          <w:p w:rsidR="00050A60" w:rsidRPr="000B6094" w:rsidRDefault="00050A60" w:rsidP="000B6094">
            <w:pPr>
              <w:tabs>
                <w:tab w:val="left" w:pos="997"/>
              </w:tabs>
              <w:rPr>
                <w:sz w:val="22"/>
                <w:szCs w:val="22"/>
              </w:rPr>
            </w:pPr>
          </w:p>
        </w:tc>
        <w:tc>
          <w:tcPr>
            <w:tcW w:w="6839" w:type="dxa"/>
            <w:gridSpan w:val="3"/>
          </w:tcPr>
          <w:p w:rsidR="00050A60" w:rsidRDefault="00050A60" w:rsidP="004355C4">
            <w:r w:rsidRPr="000B6094">
              <w:rPr>
                <w:sz w:val="22"/>
                <w:szCs w:val="22"/>
              </w:rPr>
              <w:t>The CoC has adequate capacity (staffing and other resources) to monitor HUD-funded project sponsor compliance with HUD fiscal regulations, including auditing of financial management and fund accounting procedures.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3.3</w:t>
            </w:r>
          </w:p>
        </w:tc>
        <w:tc>
          <w:tcPr>
            <w:tcW w:w="7412" w:type="dxa"/>
            <w:gridSpan w:val="4"/>
          </w:tcPr>
          <w:p w:rsidR="00050A60" w:rsidRDefault="00050A60" w:rsidP="004355C4">
            <w:r w:rsidRPr="000B6094">
              <w:rPr>
                <w:b/>
                <w:bCs/>
                <w:sz w:val="28"/>
                <w:szCs w:val="22"/>
              </w:rPr>
              <w:t xml:space="preserve">Element: Information Management Capacity: The CoC has adequate capacity to manage the HMIS responsibilities of the CoC.  </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w:t>
            </w:r>
            <w:r w:rsidRPr="000B6094">
              <w:rPr>
                <w:sz w:val="22"/>
                <w:szCs w:val="22"/>
              </w:rPr>
              <w:lastRenderedPageBreak/>
              <w:t>assess if the CoC's information management capacity and HMIS and identify areas for improvement.</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w:t>
            </w:r>
          </w:p>
        </w:tc>
        <w:tc>
          <w:tcPr>
            <w:tcW w:w="7412" w:type="dxa"/>
            <w:gridSpan w:val="4"/>
          </w:tcPr>
          <w:p w:rsidR="00050A60" w:rsidRDefault="00050A60" w:rsidP="004355C4">
            <w:r w:rsidRPr="000B6094">
              <w:rPr>
                <w:sz w:val="22"/>
                <w:szCs w:val="22"/>
              </w:rPr>
              <w:t>The CoC has policies and procedures in place to ensure the HMIS adheres to the HUD 2004 HMIS Technical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lastRenderedPageBreak/>
              <w:t>3.3.2</w:t>
            </w:r>
          </w:p>
        </w:tc>
        <w:tc>
          <w:tcPr>
            <w:tcW w:w="7412" w:type="dxa"/>
            <w:gridSpan w:val="4"/>
          </w:tcPr>
          <w:p w:rsidR="00050A60" w:rsidRDefault="00050A60" w:rsidP="004355C4">
            <w:r w:rsidRPr="000B6094">
              <w:rPr>
                <w:sz w:val="22"/>
                <w:szCs w:val="22"/>
              </w:rPr>
              <w:t>The CoC has policies and procedures in place to ensure the HMIS is in compliance with the 2010 HMIS Data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lastRenderedPageBreak/>
              <w:t>3.3.3</w:t>
            </w:r>
          </w:p>
        </w:tc>
        <w:tc>
          <w:tcPr>
            <w:tcW w:w="7412" w:type="dxa"/>
            <w:gridSpan w:val="4"/>
          </w:tcPr>
          <w:p w:rsidR="00050A60" w:rsidRDefault="00050A60" w:rsidP="004355C4">
            <w:r w:rsidRPr="000B6094">
              <w:rPr>
                <w:sz w:val="22"/>
                <w:szCs w:val="22"/>
              </w:rPr>
              <w:t>The CoC has written HMIS participation agreements with organizations that enter client-level data into HMIS.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3.3.4</w:t>
            </w:r>
          </w:p>
        </w:tc>
        <w:tc>
          <w:tcPr>
            <w:tcW w:w="7412" w:type="dxa"/>
            <w:gridSpan w:val="4"/>
          </w:tcPr>
          <w:p w:rsidR="00050A60" w:rsidRDefault="00050A60" w:rsidP="004355C4">
            <w:r w:rsidRPr="000B6094">
              <w:rPr>
                <w:sz w:val="22"/>
                <w:szCs w:val="22"/>
              </w:rPr>
              <w:t>The CoC has policies and procedures in place to monitor and assure data quality and compliance with data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3.3.5</w:t>
            </w:r>
          </w:p>
        </w:tc>
        <w:tc>
          <w:tcPr>
            <w:tcW w:w="7412" w:type="dxa"/>
            <w:gridSpan w:val="4"/>
          </w:tcPr>
          <w:p w:rsidR="00050A60" w:rsidRDefault="00050A60" w:rsidP="004355C4">
            <w:r w:rsidRPr="000B6094">
              <w:rPr>
                <w:sz w:val="22"/>
                <w:szCs w:val="22"/>
              </w:rPr>
              <w:t>The HMIS lead agency generates regular data quality reports.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yes to (3.3.5),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3.3.5.1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Which types of data quality checks are performed?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3.3.5.2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Data quality reports are generated…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3.3.5.3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The HMIS lead agency reports or otherwise informs the CoC lead decision-making group of data quality concerns.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3.3.6</w:t>
            </w:r>
          </w:p>
        </w:tc>
        <w:tc>
          <w:tcPr>
            <w:tcW w:w="7412" w:type="dxa"/>
            <w:gridSpan w:val="4"/>
          </w:tcPr>
          <w:p w:rsidR="00050A60" w:rsidRDefault="00050A60" w:rsidP="004355C4">
            <w:r w:rsidRPr="000B6094">
              <w:rPr>
                <w:sz w:val="22"/>
                <w:szCs w:val="22"/>
              </w:rPr>
              <w:t>The CoC primary decision-making group provides ongoing management of and guidance to the HMIS lead agency through a data subcommittee or other formal mechanism.</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3.3.7</w:t>
            </w:r>
          </w:p>
        </w:tc>
        <w:tc>
          <w:tcPr>
            <w:tcW w:w="7412" w:type="dxa"/>
            <w:gridSpan w:val="4"/>
          </w:tcPr>
          <w:p w:rsidR="00050A60" w:rsidRDefault="00050A60" w:rsidP="004355C4">
            <w:r w:rsidRPr="000B6094">
              <w:rPr>
                <w:sz w:val="22"/>
                <w:szCs w:val="22"/>
              </w:rPr>
              <w:t>The HMIS lead agency has adequate funding and resources (excluding staffing) to fulfill its responsibilities related to HMIS software vendor management, end user training and technical assistance, data quality, report generation, and other responsibilities.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3.3.8</w:t>
            </w:r>
          </w:p>
        </w:tc>
        <w:tc>
          <w:tcPr>
            <w:tcW w:w="7412" w:type="dxa"/>
            <w:gridSpan w:val="4"/>
          </w:tcPr>
          <w:p w:rsidR="00050A60" w:rsidRDefault="00050A60" w:rsidP="004355C4">
            <w:r w:rsidRPr="000B6094">
              <w:rPr>
                <w:sz w:val="22"/>
                <w:szCs w:val="22"/>
              </w:rPr>
              <w:t>The HMIS lead agency has adequate staffing to fulfill its responsibilities.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between 1 and 3 to (3.3.7 or  3.3.8),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3.3.8.1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In which area(s) does the HMIS lack adequate capacity (funding and/or staffing)?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3.3.9</w:t>
            </w:r>
          </w:p>
        </w:tc>
        <w:tc>
          <w:tcPr>
            <w:tcW w:w="7412" w:type="dxa"/>
            <w:gridSpan w:val="4"/>
          </w:tcPr>
          <w:p w:rsidR="00050A60" w:rsidRDefault="00050A60" w:rsidP="004355C4">
            <w:r w:rsidRPr="000B6094">
              <w:rPr>
                <w:sz w:val="22"/>
                <w:szCs w:val="22"/>
              </w:rPr>
              <w:t xml:space="preserve">CoC participating projects </w:t>
            </w:r>
            <w:r w:rsidRPr="000B6094">
              <w:rPr>
                <w:i/>
                <w:iCs/>
                <w:sz w:val="22"/>
                <w:szCs w:val="22"/>
              </w:rPr>
              <w:t>understand</w:t>
            </w:r>
            <w:r w:rsidRPr="000B6094">
              <w:rPr>
                <w:sz w:val="22"/>
                <w:szCs w:val="22"/>
              </w:rPr>
              <w:t xml:space="preserve"> the data collection requirements of the</w:t>
            </w:r>
            <w:r w:rsidRPr="000B6094">
              <w:rPr>
                <w:b/>
                <w:bCs/>
                <w:sz w:val="22"/>
                <w:szCs w:val="22"/>
              </w:rPr>
              <w:t xml:space="preserve"> 2010 </w:t>
            </w:r>
            <w:r w:rsidRPr="000B6094">
              <w:rPr>
                <w:sz w:val="22"/>
                <w:szCs w:val="22"/>
              </w:rPr>
              <w:t>HMIS Data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3.3.10</w:t>
            </w:r>
          </w:p>
        </w:tc>
        <w:tc>
          <w:tcPr>
            <w:tcW w:w="7412" w:type="dxa"/>
            <w:gridSpan w:val="4"/>
          </w:tcPr>
          <w:p w:rsidR="00050A60" w:rsidRDefault="00050A60" w:rsidP="004355C4">
            <w:r w:rsidRPr="000B6094">
              <w:rPr>
                <w:sz w:val="22"/>
                <w:szCs w:val="22"/>
              </w:rPr>
              <w:t xml:space="preserve">CoC participating projects are </w:t>
            </w:r>
            <w:r w:rsidRPr="000B6094">
              <w:rPr>
                <w:i/>
                <w:iCs/>
                <w:sz w:val="22"/>
                <w:szCs w:val="22"/>
              </w:rPr>
              <w:t xml:space="preserve">compliant </w:t>
            </w:r>
            <w:r w:rsidRPr="000B6094">
              <w:rPr>
                <w:sz w:val="22"/>
                <w:szCs w:val="22"/>
              </w:rPr>
              <w:t>with the data collection requirements of the</w:t>
            </w:r>
            <w:r w:rsidRPr="000B6094">
              <w:rPr>
                <w:b/>
                <w:bCs/>
                <w:sz w:val="22"/>
                <w:szCs w:val="22"/>
              </w:rPr>
              <w:t xml:space="preserve"> 2010 </w:t>
            </w:r>
            <w:r w:rsidRPr="000B6094">
              <w:rPr>
                <w:sz w:val="22"/>
                <w:szCs w:val="22"/>
              </w:rPr>
              <w:t>HMIS Data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3.3.11</w:t>
            </w:r>
          </w:p>
        </w:tc>
        <w:tc>
          <w:tcPr>
            <w:tcW w:w="7412" w:type="dxa"/>
            <w:gridSpan w:val="4"/>
          </w:tcPr>
          <w:p w:rsidR="00050A60" w:rsidRDefault="00050A60" w:rsidP="004355C4">
            <w:r w:rsidRPr="000B6094">
              <w:rPr>
                <w:sz w:val="22"/>
                <w:szCs w:val="22"/>
              </w:rPr>
              <w:t xml:space="preserve">CoC participating projects </w:t>
            </w:r>
            <w:r w:rsidRPr="000B6094">
              <w:rPr>
                <w:i/>
                <w:iCs/>
                <w:sz w:val="22"/>
                <w:szCs w:val="22"/>
              </w:rPr>
              <w:t>understand</w:t>
            </w:r>
            <w:r w:rsidRPr="000B6094">
              <w:rPr>
                <w:sz w:val="22"/>
                <w:szCs w:val="22"/>
              </w:rPr>
              <w:t xml:space="preserve"> the Privacy and Security standards in the 2004 HMIS Technical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3.3.12</w:t>
            </w:r>
          </w:p>
        </w:tc>
        <w:tc>
          <w:tcPr>
            <w:tcW w:w="7412" w:type="dxa"/>
            <w:gridSpan w:val="4"/>
          </w:tcPr>
          <w:p w:rsidR="00050A60" w:rsidRDefault="00050A60" w:rsidP="004355C4">
            <w:r w:rsidRPr="000B6094">
              <w:rPr>
                <w:sz w:val="22"/>
                <w:szCs w:val="22"/>
              </w:rPr>
              <w:t xml:space="preserve">CoC participating projects </w:t>
            </w:r>
            <w:r w:rsidRPr="000B6094">
              <w:rPr>
                <w:i/>
                <w:iCs/>
                <w:sz w:val="22"/>
                <w:szCs w:val="22"/>
              </w:rPr>
              <w:t>adhere</w:t>
            </w:r>
            <w:r w:rsidRPr="000B6094">
              <w:rPr>
                <w:sz w:val="22"/>
                <w:szCs w:val="22"/>
              </w:rPr>
              <w:t xml:space="preserve"> to the Privacy and Security standards of the 2004 HMIS Technical Standards.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3.3.13</w:t>
            </w:r>
          </w:p>
        </w:tc>
        <w:tc>
          <w:tcPr>
            <w:tcW w:w="7412" w:type="dxa"/>
            <w:gridSpan w:val="4"/>
          </w:tcPr>
          <w:p w:rsidR="00050A60" w:rsidRDefault="00050A60" w:rsidP="004355C4">
            <w:r w:rsidRPr="000B6094">
              <w:rPr>
                <w:sz w:val="22"/>
                <w:szCs w:val="22"/>
              </w:rPr>
              <w:t xml:space="preserve">The CoC lead </w:t>
            </w:r>
            <w:r w:rsidRPr="000B6094">
              <w:rPr>
                <w:i/>
                <w:iCs/>
                <w:sz w:val="22"/>
                <w:szCs w:val="22"/>
              </w:rPr>
              <w:t xml:space="preserve">understands </w:t>
            </w:r>
            <w:r w:rsidRPr="000B6094">
              <w:rPr>
                <w:sz w:val="22"/>
                <w:szCs w:val="22"/>
              </w:rPr>
              <w:t>HUD reporting requirements related to APR's.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3.3.14</w:t>
            </w:r>
          </w:p>
        </w:tc>
        <w:tc>
          <w:tcPr>
            <w:tcW w:w="7412" w:type="dxa"/>
            <w:gridSpan w:val="4"/>
          </w:tcPr>
          <w:p w:rsidR="00050A60" w:rsidRDefault="00050A60" w:rsidP="004355C4">
            <w:r w:rsidRPr="000B6094">
              <w:rPr>
                <w:sz w:val="22"/>
                <w:szCs w:val="22"/>
              </w:rPr>
              <w:t xml:space="preserve">The CoC lead </w:t>
            </w:r>
            <w:r w:rsidRPr="000B6094">
              <w:rPr>
                <w:i/>
                <w:iCs/>
                <w:sz w:val="22"/>
                <w:szCs w:val="22"/>
              </w:rPr>
              <w:t xml:space="preserve">understands </w:t>
            </w:r>
            <w:r w:rsidRPr="000B6094">
              <w:rPr>
                <w:sz w:val="22"/>
                <w:szCs w:val="22"/>
              </w:rPr>
              <w:t>HUD reporting requirements related to the AHAR.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3.3.15</w:t>
            </w:r>
          </w:p>
        </w:tc>
        <w:tc>
          <w:tcPr>
            <w:tcW w:w="7412" w:type="dxa"/>
            <w:gridSpan w:val="4"/>
          </w:tcPr>
          <w:p w:rsidR="00050A60" w:rsidRDefault="00050A60" w:rsidP="004355C4">
            <w:r w:rsidRPr="000B6094">
              <w:rPr>
                <w:sz w:val="22"/>
                <w:szCs w:val="22"/>
              </w:rPr>
              <w:t xml:space="preserve">The CoC lead </w:t>
            </w:r>
            <w:r w:rsidRPr="000B6094">
              <w:rPr>
                <w:i/>
                <w:iCs/>
                <w:sz w:val="22"/>
                <w:szCs w:val="22"/>
              </w:rPr>
              <w:t xml:space="preserve">understands </w:t>
            </w:r>
            <w:r w:rsidRPr="000B6094">
              <w:rPr>
                <w:sz w:val="22"/>
                <w:szCs w:val="22"/>
              </w:rPr>
              <w:t>HUD reporting requirements related to the Homeless Pulse Report.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3.3.16</w:t>
            </w:r>
          </w:p>
        </w:tc>
        <w:tc>
          <w:tcPr>
            <w:tcW w:w="7412" w:type="dxa"/>
            <w:gridSpan w:val="4"/>
          </w:tcPr>
          <w:p w:rsidR="00050A60" w:rsidRDefault="00050A60" w:rsidP="004355C4">
            <w:r w:rsidRPr="000B6094">
              <w:rPr>
                <w:sz w:val="22"/>
                <w:szCs w:val="22"/>
              </w:rPr>
              <w:t xml:space="preserve">HUD-funded CoC projects </w:t>
            </w:r>
            <w:r w:rsidRPr="000B6094">
              <w:rPr>
                <w:i/>
                <w:iCs/>
                <w:sz w:val="22"/>
                <w:szCs w:val="22"/>
              </w:rPr>
              <w:t>understand</w:t>
            </w:r>
            <w:r w:rsidRPr="000B6094">
              <w:rPr>
                <w:sz w:val="22"/>
                <w:szCs w:val="22"/>
              </w:rPr>
              <w:t xml:space="preserve"> HUD reporting requirements related to APRs.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3.3.17</w:t>
            </w:r>
          </w:p>
        </w:tc>
        <w:tc>
          <w:tcPr>
            <w:tcW w:w="7412" w:type="dxa"/>
            <w:gridSpan w:val="4"/>
          </w:tcPr>
          <w:p w:rsidR="00050A60" w:rsidRDefault="00050A60" w:rsidP="004355C4">
            <w:r w:rsidRPr="000B6094">
              <w:rPr>
                <w:sz w:val="22"/>
                <w:szCs w:val="22"/>
              </w:rPr>
              <w:t xml:space="preserve">Data from the HMIS is generally useful and reliable for the CoC and participating agencies.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3.3.18</w:t>
            </w:r>
          </w:p>
        </w:tc>
        <w:tc>
          <w:tcPr>
            <w:tcW w:w="7412" w:type="dxa"/>
            <w:gridSpan w:val="4"/>
          </w:tcPr>
          <w:p w:rsidR="00050A60" w:rsidRDefault="00050A60" w:rsidP="004355C4">
            <w:r w:rsidRPr="000B6094">
              <w:rPr>
                <w:sz w:val="22"/>
                <w:szCs w:val="22"/>
              </w:rPr>
              <w:t>The HMIS can generate reports for use in monitoring and evaluating system and project performance.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3.3.19</w:t>
            </w:r>
          </w:p>
        </w:tc>
        <w:tc>
          <w:tcPr>
            <w:tcW w:w="7412" w:type="dxa"/>
            <w:gridSpan w:val="4"/>
          </w:tcPr>
          <w:p w:rsidR="00050A60" w:rsidRDefault="00050A60" w:rsidP="004355C4">
            <w:r w:rsidRPr="000B6094">
              <w:rPr>
                <w:sz w:val="22"/>
                <w:szCs w:val="22"/>
              </w:rPr>
              <w:t>The HMIS can generate project-level HUD APRs, per HUD reporting requirements and specifications.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3.3.20</w:t>
            </w:r>
          </w:p>
        </w:tc>
        <w:tc>
          <w:tcPr>
            <w:tcW w:w="7412" w:type="dxa"/>
            <w:gridSpan w:val="4"/>
          </w:tcPr>
          <w:p w:rsidR="00050A60" w:rsidRDefault="00050A60" w:rsidP="004355C4">
            <w:r w:rsidRPr="000B6094">
              <w:rPr>
                <w:sz w:val="22"/>
                <w:szCs w:val="22"/>
              </w:rPr>
              <w:t>The HMIS can generate system level data for the AHAR, per HUD reporting specifications.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lastRenderedPageBreak/>
              <w:t>3.3.21</w:t>
            </w:r>
          </w:p>
        </w:tc>
        <w:tc>
          <w:tcPr>
            <w:tcW w:w="7412" w:type="dxa"/>
            <w:gridSpan w:val="4"/>
          </w:tcPr>
          <w:p w:rsidR="00050A60" w:rsidRDefault="00050A60" w:rsidP="004355C4">
            <w:r w:rsidRPr="000B6094">
              <w:rPr>
                <w:sz w:val="22"/>
                <w:szCs w:val="22"/>
              </w:rPr>
              <w:t>The HMIS can generate system level data for the Homeless Pulse Report, per HUD reporting specifications.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3.3.22</w:t>
            </w:r>
          </w:p>
        </w:tc>
        <w:tc>
          <w:tcPr>
            <w:tcW w:w="7412" w:type="dxa"/>
            <w:gridSpan w:val="4"/>
          </w:tcPr>
          <w:p w:rsidR="00050A60" w:rsidRDefault="00050A60" w:rsidP="004355C4">
            <w:r w:rsidRPr="000B6094">
              <w:rPr>
                <w:sz w:val="22"/>
                <w:szCs w:val="22"/>
              </w:rPr>
              <w:t>The HMIS can generate reports that meaningfully support CoC planning and project development.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bCs/>
                <w:sz w:val="16"/>
                <w:szCs w:val="16"/>
              </w:rPr>
              <w:t>3.3.23</w:t>
            </w:r>
          </w:p>
        </w:tc>
        <w:tc>
          <w:tcPr>
            <w:tcW w:w="7412" w:type="dxa"/>
            <w:gridSpan w:val="4"/>
          </w:tcPr>
          <w:p w:rsidR="00050A60" w:rsidRDefault="00050A60" w:rsidP="004355C4">
            <w:r w:rsidRPr="000B6094">
              <w:rPr>
                <w:sz w:val="22"/>
                <w:szCs w:val="22"/>
              </w:rPr>
              <w:t>The CoC has 75% or more bed coverage in the HMIS for each established AHAR category (i.e., emergency shelter, transitional housing, and permanent supportive housing).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i/>
                <w:sz w:val="22"/>
                <w:szCs w:val="22"/>
              </w:rPr>
              <w:t>If you answered No to (3.3.23),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sz w:val="16"/>
                <w:szCs w:val="16"/>
              </w:rPr>
              <w:t>3.3.23.1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Which categories have less than 75% bed coverage in HMIS (presently or as of last bed coverage analysis)?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sz w:val="16"/>
                <w:szCs w:val="16"/>
              </w:rPr>
              <w:t>3.3.23.1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Which categories have less than 75% bed coverage in HMIS (presently or as of last bed coverage analysis)?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3.3.24</w:t>
            </w:r>
          </w:p>
        </w:tc>
        <w:tc>
          <w:tcPr>
            <w:tcW w:w="7412" w:type="dxa"/>
            <w:gridSpan w:val="4"/>
          </w:tcPr>
          <w:p w:rsidR="00050A60" w:rsidRDefault="00050A60" w:rsidP="004355C4">
            <w:r w:rsidRPr="000B6094">
              <w:rPr>
                <w:sz w:val="22"/>
                <w:szCs w:val="22"/>
              </w:rPr>
              <w:t>Which data were accepted for inclusion in the AHAR in the most recent AHAR data collection process?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3.3.25</w:t>
            </w:r>
          </w:p>
        </w:tc>
        <w:tc>
          <w:tcPr>
            <w:tcW w:w="7412" w:type="dxa"/>
            <w:gridSpan w:val="4"/>
          </w:tcPr>
          <w:p w:rsidR="00050A60" w:rsidRDefault="00050A60" w:rsidP="004355C4">
            <w:r w:rsidRPr="000B6094">
              <w:rPr>
                <w:sz w:val="22"/>
                <w:szCs w:val="22"/>
              </w:rPr>
              <w:t>The CoC has maintained the same HMIS software since initial HMIS implementation or two years (which ever is longer).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3.3.26</w:t>
            </w:r>
          </w:p>
        </w:tc>
        <w:tc>
          <w:tcPr>
            <w:tcW w:w="7412" w:type="dxa"/>
            <w:gridSpan w:val="4"/>
          </w:tcPr>
          <w:p w:rsidR="00050A60" w:rsidRDefault="00050A60" w:rsidP="004355C4">
            <w:r w:rsidRPr="000B6094">
              <w:rPr>
                <w:sz w:val="22"/>
                <w:szCs w:val="22"/>
              </w:rPr>
              <w:t>The CoC currently has no plans to change HMIS software.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3.3.27</w:t>
            </w:r>
          </w:p>
        </w:tc>
        <w:tc>
          <w:tcPr>
            <w:tcW w:w="7412" w:type="dxa"/>
            <w:gridSpan w:val="4"/>
          </w:tcPr>
          <w:p w:rsidR="00050A60" w:rsidRDefault="00050A60" w:rsidP="004355C4">
            <w:r w:rsidRPr="000B6094">
              <w:rPr>
                <w:sz w:val="22"/>
                <w:szCs w:val="22"/>
              </w:rPr>
              <w:t>The CoC has utilized the same HMIS lead agency since initial HMIS implementation or two years (which ever is longer).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bCs/>
                <w:sz w:val="16"/>
                <w:szCs w:val="16"/>
              </w:rPr>
            </w:pPr>
            <w:r w:rsidRPr="000B6094">
              <w:rPr>
                <w:bCs/>
                <w:sz w:val="16"/>
                <w:szCs w:val="16"/>
              </w:rPr>
              <w:t>3.3.28</w:t>
            </w:r>
          </w:p>
        </w:tc>
        <w:tc>
          <w:tcPr>
            <w:tcW w:w="7412" w:type="dxa"/>
            <w:gridSpan w:val="4"/>
          </w:tcPr>
          <w:p w:rsidR="00050A60" w:rsidRDefault="00050A60" w:rsidP="004355C4">
            <w:r w:rsidRPr="000B6094">
              <w:rPr>
                <w:sz w:val="22"/>
                <w:szCs w:val="22"/>
              </w:rPr>
              <w:t>The CoC currently has no plans to change the HMIS lead agency.</w:t>
            </w:r>
          </w:p>
        </w:tc>
        <w:tc>
          <w:tcPr>
            <w:tcW w:w="1560" w:type="dxa"/>
            <w:vMerge/>
          </w:tcPr>
          <w:p w:rsidR="00050A60" w:rsidRPr="000B6094" w:rsidRDefault="00050A60" w:rsidP="004355C4">
            <w:pPr>
              <w:rPr>
                <w:sz w:val="22"/>
                <w:szCs w:val="22"/>
              </w:rPr>
            </w:pPr>
          </w:p>
        </w:tc>
      </w:tr>
      <w:tr w:rsidR="00050A60" w:rsidTr="000B6094">
        <w:trPr>
          <w:tblHeader/>
        </w:trPr>
        <w:tc>
          <w:tcPr>
            <w:tcW w:w="8268" w:type="dxa"/>
            <w:gridSpan w:val="5"/>
            <w:shd w:val="clear" w:color="auto" w:fill="E0E0E0"/>
          </w:tcPr>
          <w:p w:rsidR="00050A60" w:rsidRPr="00927912" w:rsidRDefault="00050A60" w:rsidP="004355C4">
            <w:r w:rsidRPr="000B6094">
              <w:rPr>
                <w:b/>
                <w:sz w:val="32"/>
              </w:rPr>
              <w:t>Domain IV: CoC Housing and Services</w:t>
            </w:r>
          </w:p>
        </w:tc>
        <w:tc>
          <w:tcPr>
            <w:tcW w:w="1560" w:type="dxa"/>
            <w:shd w:val="clear" w:color="auto" w:fill="E0E0E0"/>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4.1</w:t>
            </w:r>
          </w:p>
        </w:tc>
        <w:tc>
          <w:tcPr>
            <w:tcW w:w="7412" w:type="dxa"/>
            <w:gridSpan w:val="4"/>
          </w:tcPr>
          <w:p w:rsidR="00050A60" w:rsidRDefault="00050A60" w:rsidP="004355C4">
            <w:r w:rsidRPr="000B6094">
              <w:rPr>
                <w:b/>
                <w:sz w:val="28"/>
                <w:szCs w:val="22"/>
              </w:rPr>
              <w:t>Element: The housing and services available in the community(ies) served by the CoC are accessible by persons who are homeless or at-risk of homelessness and are sufficient and effective at preventing and ending homelessness.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the accessibility and sufficiency of the community's housing and service resources for persons who are homeless or at-risk of homelessness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w:t>
            </w:r>
          </w:p>
        </w:tc>
        <w:tc>
          <w:tcPr>
            <w:tcW w:w="7412" w:type="dxa"/>
            <w:gridSpan w:val="4"/>
          </w:tcPr>
          <w:p w:rsidR="00050A60" w:rsidRDefault="00050A60" w:rsidP="004355C4">
            <w:r w:rsidRPr="000B6094">
              <w:rPr>
                <w:b/>
                <w:i/>
                <w:sz w:val="22"/>
                <w:szCs w:val="22"/>
              </w:rPr>
              <w:t>Targeted</w:t>
            </w:r>
            <w:r w:rsidRPr="000B6094">
              <w:rPr>
                <w:sz w:val="22"/>
                <w:szCs w:val="22"/>
              </w:rPr>
              <w:t xml:space="preserve"> </w:t>
            </w:r>
            <w:r w:rsidRPr="000B6094">
              <w:rPr>
                <w:b/>
                <w:i/>
                <w:sz w:val="22"/>
                <w:szCs w:val="22"/>
              </w:rPr>
              <w:t>homelessness prevention assistance</w:t>
            </w:r>
            <w:r w:rsidRPr="000B6094">
              <w:rPr>
                <w:sz w:val="22"/>
                <w:szCs w:val="22"/>
              </w:rPr>
              <w:t xml:space="preserve"> is available across the CoC for persons at-risk of literal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bCs/>
                <w:i/>
                <w:sz w:val="22"/>
                <w:szCs w:val="22"/>
              </w:rPr>
              <w:t>If you answered 1, 2, 3 or 4 to (</w:t>
            </w:r>
            <w:r w:rsidRPr="000B6094">
              <w:rPr>
                <w:b/>
                <w:i/>
                <w:sz w:val="22"/>
                <w:szCs w:val="22"/>
              </w:rPr>
              <w:t>4.1.1</w:t>
            </w:r>
            <w:r w:rsidRPr="000B6094">
              <w:rPr>
                <w:b/>
                <w:bCs/>
                <w:i/>
                <w:sz w:val="22"/>
                <w:szCs w:val="22"/>
              </w:rPr>
              <w:t xml:space="preserve">), please answer the following: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4.1.1.1</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Additional targeted homelessness prevention resources are: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bCs/>
                <w:i/>
                <w:sz w:val="22"/>
                <w:szCs w:val="22"/>
              </w:rPr>
              <w:t>If you answered 2, 3, 4, or 5 to (</w:t>
            </w:r>
            <w:r w:rsidRPr="000B6094">
              <w:rPr>
                <w:b/>
                <w:i/>
                <w:sz w:val="22"/>
                <w:szCs w:val="22"/>
              </w:rPr>
              <w:t>4.1.1</w:t>
            </w:r>
            <w:r w:rsidRPr="000B6094">
              <w:rPr>
                <w:b/>
                <w:bCs/>
                <w:i/>
                <w:sz w:val="22"/>
                <w:szCs w:val="22"/>
              </w:rPr>
              <w:t xml:space="preserve">), please answer the following: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4.1.1.2</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Homelessness prevention resources are targeted to persons most at-risk of literal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4.1.1.3</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Persons most at-risk of literal homelessness can easily navigate and access homelessness prevention assistance across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4.1.1.4</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bCs/>
                <w:sz w:val="22"/>
                <w:szCs w:val="22"/>
              </w:rPr>
              <w:t xml:space="preserve">Homelessness prevention assistance providers are effective at linking persons to community-based and mainstream resources.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4.1.1.5</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bCs/>
                <w:sz w:val="22"/>
                <w:szCs w:val="22"/>
              </w:rPr>
              <w:t>Homelessness prevention assistance providers are effective at helping persons to maintain or obtain permanent housing.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4.1.1.6</w:t>
            </w:r>
          </w:p>
        </w:tc>
        <w:tc>
          <w:tcPr>
            <w:tcW w:w="573" w:type="dxa"/>
          </w:tcPr>
          <w:p w:rsidR="00050A60" w:rsidRPr="000B6094" w:rsidRDefault="00050A60" w:rsidP="004355C4">
            <w:pPr>
              <w:rPr>
                <w:sz w:val="22"/>
                <w:szCs w:val="22"/>
              </w:rPr>
            </w:pPr>
          </w:p>
        </w:tc>
        <w:tc>
          <w:tcPr>
            <w:tcW w:w="6839" w:type="dxa"/>
            <w:gridSpan w:val="3"/>
          </w:tcPr>
          <w:p w:rsidR="00050A60" w:rsidRDefault="00050A60" w:rsidP="004355C4">
            <w:r w:rsidRPr="000B6094">
              <w:rPr>
                <w:sz w:val="22"/>
                <w:szCs w:val="22"/>
              </w:rPr>
              <w:t>Homelessness prevention assistance providers are effective at preventing literal homelessness for persons served.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4.1.2</w:t>
            </w:r>
          </w:p>
        </w:tc>
        <w:tc>
          <w:tcPr>
            <w:tcW w:w="7412" w:type="dxa"/>
            <w:gridSpan w:val="4"/>
          </w:tcPr>
          <w:p w:rsidR="00050A60" w:rsidRDefault="00050A60" w:rsidP="004355C4">
            <w:r w:rsidRPr="000B6094">
              <w:rPr>
                <w:sz w:val="22"/>
                <w:szCs w:val="22"/>
              </w:rPr>
              <w:t>Local discharge practices of the</w:t>
            </w:r>
            <w:r w:rsidRPr="000B6094">
              <w:rPr>
                <w:b/>
                <w:bCs/>
                <w:sz w:val="22"/>
                <w:szCs w:val="22"/>
              </w:rPr>
              <w:t xml:space="preserve"> foster care</w:t>
            </w:r>
            <w:r w:rsidRPr="000B6094">
              <w:rPr>
                <w:sz w:val="22"/>
                <w:szCs w:val="22"/>
              </w:rPr>
              <w:t xml:space="preserve"> system do not result in direct discharge to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4.1.3</w:t>
            </w:r>
          </w:p>
        </w:tc>
        <w:tc>
          <w:tcPr>
            <w:tcW w:w="7412" w:type="dxa"/>
            <w:gridSpan w:val="4"/>
          </w:tcPr>
          <w:p w:rsidR="00050A60" w:rsidRDefault="00050A60" w:rsidP="004355C4">
            <w:r w:rsidRPr="000B6094">
              <w:rPr>
                <w:sz w:val="22"/>
                <w:szCs w:val="22"/>
              </w:rPr>
              <w:t xml:space="preserve">Local discharge practices of the </w:t>
            </w:r>
            <w:r w:rsidRPr="000B6094">
              <w:rPr>
                <w:b/>
                <w:bCs/>
                <w:sz w:val="22"/>
                <w:szCs w:val="22"/>
              </w:rPr>
              <w:t>healthcare</w:t>
            </w:r>
            <w:r w:rsidRPr="000B6094">
              <w:rPr>
                <w:sz w:val="22"/>
                <w:szCs w:val="22"/>
              </w:rPr>
              <w:t xml:space="preserve"> system do not result in direct discharge to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4.1.4</w:t>
            </w:r>
          </w:p>
        </w:tc>
        <w:tc>
          <w:tcPr>
            <w:tcW w:w="7412" w:type="dxa"/>
            <w:gridSpan w:val="4"/>
          </w:tcPr>
          <w:p w:rsidR="00050A60" w:rsidRDefault="00050A60" w:rsidP="004355C4">
            <w:r w:rsidRPr="000B6094">
              <w:rPr>
                <w:sz w:val="22"/>
                <w:szCs w:val="22"/>
              </w:rPr>
              <w:t xml:space="preserve">Local discharge practices of the </w:t>
            </w:r>
            <w:r w:rsidRPr="000B6094">
              <w:rPr>
                <w:b/>
                <w:bCs/>
                <w:sz w:val="22"/>
                <w:szCs w:val="22"/>
              </w:rPr>
              <w:t xml:space="preserve">mental health </w:t>
            </w:r>
            <w:r w:rsidRPr="000B6094">
              <w:rPr>
                <w:sz w:val="22"/>
                <w:szCs w:val="22"/>
              </w:rPr>
              <w:t>system do not result in direct discharge to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4.1.5</w:t>
            </w:r>
          </w:p>
        </w:tc>
        <w:tc>
          <w:tcPr>
            <w:tcW w:w="7412" w:type="dxa"/>
            <w:gridSpan w:val="4"/>
          </w:tcPr>
          <w:p w:rsidR="00050A60" w:rsidRDefault="00050A60" w:rsidP="004355C4">
            <w:r w:rsidRPr="000B6094">
              <w:rPr>
                <w:sz w:val="22"/>
                <w:szCs w:val="22"/>
              </w:rPr>
              <w:t xml:space="preserve">Local discharge practices of the </w:t>
            </w:r>
            <w:r w:rsidRPr="000B6094">
              <w:rPr>
                <w:b/>
                <w:bCs/>
                <w:sz w:val="22"/>
                <w:szCs w:val="22"/>
              </w:rPr>
              <w:t>corrections</w:t>
            </w:r>
            <w:r w:rsidRPr="000B6094">
              <w:rPr>
                <w:sz w:val="22"/>
                <w:szCs w:val="22"/>
              </w:rPr>
              <w:t xml:space="preserve"> system do not result in direct discharge to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w:t>
            </w:r>
          </w:p>
        </w:tc>
        <w:tc>
          <w:tcPr>
            <w:tcW w:w="7412" w:type="dxa"/>
            <w:gridSpan w:val="4"/>
          </w:tcPr>
          <w:p w:rsidR="00050A60" w:rsidRDefault="00050A60" w:rsidP="004355C4">
            <w:r w:rsidRPr="000B6094">
              <w:rPr>
                <w:b/>
                <w:bCs/>
                <w:i/>
                <w:sz w:val="22"/>
                <w:szCs w:val="22"/>
              </w:rPr>
              <w:t>Temporary shelter (i.e., emergency shelter and facility-based transitional housing)</w:t>
            </w:r>
            <w:r w:rsidRPr="000B6094">
              <w:rPr>
                <w:bCs/>
                <w:sz w:val="22"/>
                <w:szCs w:val="22"/>
              </w:rPr>
              <w:t xml:space="preserve"> is available within the CoC for persons with no other appropriate temporary or permanent housing options.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bCs/>
                <w:i/>
                <w:sz w:val="22"/>
                <w:szCs w:val="22"/>
              </w:rPr>
              <w:t>If you answered 1, 2, 3 or 4 to (</w:t>
            </w:r>
            <w:r w:rsidRPr="000B6094">
              <w:rPr>
                <w:b/>
                <w:i/>
                <w:sz w:val="22"/>
                <w:szCs w:val="22"/>
              </w:rPr>
              <w:t>4.1.6</w:t>
            </w:r>
            <w:r w:rsidRPr="000B6094">
              <w:rPr>
                <w:b/>
                <w:bCs/>
                <w:i/>
                <w:sz w:val="22"/>
                <w:szCs w:val="22"/>
              </w:rPr>
              <w:t>), please answer the following:</w:t>
            </w:r>
          </w:p>
        </w:tc>
        <w:tc>
          <w:tcPr>
            <w:tcW w:w="1560" w:type="dxa"/>
            <w:vMerge/>
          </w:tcPr>
          <w:p w:rsidR="00050A60" w:rsidRPr="000B6094" w:rsidRDefault="00050A60" w:rsidP="004355C4">
            <w:pPr>
              <w:rPr>
                <w:sz w:val="22"/>
                <w:szCs w:val="22"/>
              </w:rPr>
            </w:pPr>
          </w:p>
        </w:tc>
      </w:tr>
      <w:tr w:rsidR="008365C4" w:rsidTr="000B6094">
        <w:trPr>
          <w:tblHeader/>
        </w:trPr>
        <w:tc>
          <w:tcPr>
            <w:tcW w:w="856" w:type="dxa"/>
          </w:tcPr>
          <w:p w:rsidR="008365C4" w:rsidRPr="000B6094" w:rsidRDefault="008365C4" w:rsidP="004355C4">
            <w:pPr>
              <w:rPr>
                <w:sz w:val="16"/>
                <w:szCs w:val="16"/>
              </w:rPr>
            </w:pPr>
            <w:r w:rsidRPr="000B6094">
              <w:rPr>
                <w:sz w:val="16"/>
                <w:szCs w:val="16"/>
              </w:rPr>
              <w:t>4.1.6.1</w:t>
            </w:r>
          </w:p>
        </w:tc>
        <w:tc>
          <w:tcPr>
            <w:tcW w:w="573" w:type="dxa"/>
          </w:tcPr>
          <w:p w:rsidR="008365C4" w:rsidRPr="000B6094" w:rsidRDefault="008365C4" w:rsidP="004355C4">
            <w:pPr>
              <w:rPr>
                <w:bCs/>
                <w:sz w:val="22"/>
                <w:szCs w:val="22"/>
              </w:rPr>
            </w:pPr>
          </w:p>
        </w:tc>
        <w:tc>
          <w:tcPr>
            <w:tcW w:w="6839" w:type="dxa"/>
            <w:gridSpan w:val="3"/>
          </w:tcPr>
          <w:p w:rsidR="008365C4" w:rsidRPr="000B6094" w:rsidRDefault="008365C4" w:rsidP="004355C4">
            <w:pPr>
              <w:rPr>
                <w:bCs/>
                <w:sz w:val="22"/>
                <w:szCs w:val="22"/>
              </w:rPr>
            </w:pPr>
            <w:r w:rsidRPr="000B6094">
              <w:rPr>
                <w:bCs/>
                <w:sz w:val="22"/>
                <w:szCs w:val="22"/>
              </w:rPr>
              <w:t>Additional temporary shelter is:</w:t>
            </w:r>
          </w:p>
        </w:tc>
        <w:tc>
          <w:tcPr>
            <w:tcW w:w="1560" w:type="dxa"/>
            <w:vMerge/>
          </w:tcPr>
          <w:p w:rsidR="008365C4" w:rsidRPr="000B6094" w:rsidRDefault="008365C4" w:rsidP="004355C4">
            <w:pPr>
              <w:rPr>
                <w:sz w:val="22"/>
                <w:szCs w:val="22"/>
              </w:rPr>
            </w:pPr>
          </w:p>
        </w:tc>
      </w:tr>
      <w:tr w:rsidR="00050A60" w:rsidTr="000B6094">
        <w:trPr>
          <w:tblHeader/>
        </w:trPr>
        <w:tc>
          <w:tcPr>
            <w:tcW w:w="856" w:type="dxa"/>
          </w:tcPr>
          <w:p w:rsidR="00050A60" w:rsidRPr="00927912" w:rsidRDefault="00050A60" w:rsidP="004355C4"/>
        </w:tc>
        <w:tc>
          <w:tcPr>
            <w:tcW w:w="7412" w:type="dxa"/>
            <w:gridSpan w:val="4"/>
          </w:tcPr>
          <w:p w:rsidR="00050A60" w:rsidRDefault="00050A60" w:rsidP="004355C4">
            <w:r w:rsidRPr="000B6094">
              <w:rPr>
                <w:b/>
                <w:bCs/>
                <w:i/>
                <w:sz w:val="22"/>
                <w:szCs w:val="22"/>
              </w:rPr>
              <w:t>If you answered 2, 3, 4, or 5 to (</w:t>
            </w:r>
            <w:r w:rsidRPr="000B6094">
              <w:rPr>
                <w:b/>
                <w:i/>
                <w:sz w:val="22"/>
                <w:szCs w:val="22"/>
              </w:rPr>
              <w:t>4.1.6</w:t>
            </w:r>
            <w:r w:rsidRPr="000B6094">
              <w:rPr>
                <w:b/>
                <w:bCs/>
                <w:i/>
                <w:sz w:val="22"/>
                <w:szCs w:val="22"/>
              </w:rPr>
              <w:t xml:space="preserve">), please answer the following: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4.1.6.2</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Persons experiencing homelessness can easily navigate and access temporary shelter across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4.1.6.3</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Temporary shelter providers assess persons requesting shelter to first determine whether other appropriate temporary or permanent housing options are available.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4.1.6.4</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Temporary shelter providers divert persons with other appropriate temporary/permanent housing options to homelessness prevention and/or other community resources.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4.1.6.5</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Temporary shelter is decent, safe and sanitary.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4.1.6.6</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Del="00885962" w:rsidRDefault="00050A60" w:rsidP="004355C4">
            <w:pPr>
              <w:rPr>
                <w:bCs/>
                <w:sz w:val="22"/>
                <w:szCs w:val="22"/>
              </w:rPr>
            </w:pPr>
            <w:r w:rsidRPr="000B6094">
              <w:rPr>
                <w:bCs/>
                <w:sz w:val="22"/>
                <w:szCs w:val="22"/>
              </w:rPr>
              <w:t>Temporary shelter providers ensure all persons assisted have a housing goal plan as soon as possible after admission.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4.1.6.7</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Temporary shelter providers seek to move assisted persons to permanent housing as quickly as possible.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4.1.6.8</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Temporary shelter providers are effective at linking persons who are homeless to permanent housing options and resources (either directly or via a housing search/placement provider).</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4.1.6.9</w:t>
            </w:r>
          </w:p>
        </w:tc>
        <w:tc>
          <w:tcPr>
            <w:tcW w:w="573" w:type="dxa"/>
          </w:tcPr>
          <w:p w:rsidR="00050A60" w:rsidRPr="000B6094" w:rsidRDefault="00050A60" w:rsidP="004355C4">
            <w:pPr>
              <w:rPr>
                <w:bCs/>
                <w:sz w:val="22"/>
                <w:szCs w:val="22"/>
              </w:rPr>
            </w:pPr>
          </w:p>
        </w:tc>
        <w:tc>
          <w:tcPr>
            <w:tcW w:w="599" w:type="dxa"/>
            <w:gridSpan w:val="2"/>
          </w:tcPr>
          <w:p w:rsidR="00050A60" w:rsidRPr="000B6094" w:rsidRDefault="00050A60" w:rsidP="004355C4">
            <w:pPr>
              <w:rPr>
                <w:bCs/>
                <w:sz w:val="22"/>
                <w:szCs w:val="22"/>
              </w:rPr>
            </w:pPr>
          </w:p>
        </w:tc>
        <w:tc>
          <w:tcPr>
            <w:tcW w:w="6240" w:type="dxa"/>
          </w:tcPr>
          <w:p w:rsidR="00050A60" w:rsidRPr="000B6094" w:rsidRDefault="00050A60" w:rsidP="004355C4">
            <w:pPr>
              <w:rPr>
                <w:bCs/>
                <w:sz w:val="22"/>
                <w:szCs w:val="22"/>
              </w:rPr>
            </w:pPr>
            <w:r w:rsidRPr="000B6094">
              <w:rPr>
                <w:bCs/>
                <w:sz w:val="22"/>
                <w:szCs w:val="22"/>
              </w:rPr>
              <w:t xml:space="preserve">Transitional housing (facility-based) providers only serve persons who cannot otherwise be more appropriately assisted with transitional services in permanent housing.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w:t>
            </w:r>
          </w:p>
        </w:tc>
        <w:tc>
          <w:tcPr>
            <w:tcW w:w="7412" w:type="dxa"/>
            <w:gridSpan w:val="4"/>
          </w:tcPr>
          <w:p w:rsidR="00050A60" w:rsidRDefault="00050A60" w:rsidP="004355C4">
            <w:r w:rsidRPr="000B6094">
              <w:rPr>
                <w:b/>
                <w:bCs/>
                <w:i/>
                <w:sz w:val="22"/>
                <w:szCs w:val="22"/>
              </w:rPr>
              <w:t>Re-housing and housing stabilization assistance</w:t>
            </w:r>
            <w:r w:rsidRPr="000B6094">
              <w:rPr>
                <w:bCs/>
                <w:sz w:val="22"/>
                <w:szCs w:val="22"/>
              </w:rPr>
              <w:t xml:space="preserve"> is available within the CoC for persons experiencing homelessness.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bCs/>
                <w:i/>
                <w:sz w:val="22"/>
                <w:szCs w:val="22"/>
              </w:rPr>
              <w:t>If you answered 1, 2, 3 or 4 to (4.1.7),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Additional re-housing and stabilization resources are: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bCs/>
                <w:i/>
                <w:sz w:val="22"/>
                <w:szCs w:val="22"/>
              </w:rPr>
              <w:t>If you answered 2, 3, 4, or 5 to (4.1.7),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4.1.7.2</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Persons experiencing homelessness can easily navigate and access a range of re-housing and housing stabilization assistance across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4.1.7.3</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 xml:space="preserve">Re-housing and housing stabilization assistance providers are effective at linking persons to community-based services and mainstream resources.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4.1.7.4</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Re-housing and stabilization providers are effective at linking persons to permanent housing options.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4.1.7.5</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Re-housing and stabilization providers are effective at ending homelessness for persons served.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4.1.8</w:t>
            </w:r>
          </w:p>
        </w:tc>
        <w:tc>
          <w:tcPr>
            <w:tcW w:w="7412" w:type="dxa"/>
            <w:gridSpan w:val="4"/>
          </w:tcPr>
          <w:p w:rsidR="00050A60" w:rsidRDefault="00050A60" w:rsidP="004355C4">
            <w:r w:rsidRPr="000B6094">
              <w:rPr>
                <w:b/>
                <w:bCs/>
                <w:i/>
                <w:sz w:val="22"/>
                <w:szCs w:val="22"/>
              </w:rPr>
              <w:t>Permanent supportive housing (PSH)</w:t>
            </w:r>
            <w:r w:rsidRPr="000B6094">
              <w:rPr>
                <w:bCs/>
                <w:sz w:val="22"/>
                <w:szCs w:val="22"/>
              </w:rPr>
              <w:t xml:space="preserve"> is available within the CoC for persons who are homeless, disabled and for whom PSH is the most appropriate housing option.</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vAlign w:val="center"/>
          </w:tcPr>
          <w:p w:rsidR="00050A60" w:rsidRDefault="00050A60" w:rsidP="004355C4">
            <w:r w:rsidRPr="000B6094">
              <w:rPr>
                <w:b/>
                <w:bCs/>
                <w:i/>
                <w:sz w:val="22"/>
                <w:szCs w:val="22"/>
              </w:rPr>
              <w:t>If you answered 1, 2, 3 or 4 to (4.1.8),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Additional permanent supportive housing for persons who are homeless and disabled is: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vAlign w:val="center"/>
          </w:tcPr>
          <w:p w:rsidR="00050A60" w:rsidRDefault="00050A60" w:rsidP="004355C4">
            <w:r w:rsidRPr="000B6094">
              <w:rPr>
                <w:b/>
                <w:bCs/>
                <w:i/>
                <w:sz w:val="22"/>
                <w:szCs w:val="22"/>
              </w:rPr>
              <w:t>If you answered 2, 3, 4, or 5 to (4.1.8),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4.1.8.2</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Persons who are homeless and disabled can easily navigate and access permanent supportive housing across the CoC.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4.1.8.3</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 xml:space="preserve">PSH providers are effective at linking persons to community-based services and mainstream resources.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4.1.8.4</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 xml:space="preserve">PSH providers utilize Medicaid to pay for Medicaid eligible services for residents receiving Medicaid benefits.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4.1.8.5</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PSH providers partner with local PHA(s) around specific PSH projects (e.g., providing preferences and/or subsidy set-asides for homeless persons, allocating public housing units for PSH use,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4.1.8.6</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PSH providers are effective at assisting PSH residents to move to more independent housing, when desired and appropriate.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w:t>
            </w:r>
          </w:p>
        </w:tc>
        <w:tc>
          <w:tcPr>
            <w:tcW w:w="7412" w:type="dxa"/>
            <w:gridSpan w:val="4"/>
          </w:tcPr>
          <w:p w:rsidR="00050A60" w:rsidRDefault="00050A60" w:rsidP="004355C4">
            <w:r w:rsidRPr="000B6094">
              <w:rPr>
                <w:b/>
                <w:bCs/>
                <w:i/>
                <w:sz w:val="22"/>
                <w:szCs w:val="22"/>
              </w:rPr>
              <w:t>Street outreach</w:t>
            </w:r>
            <w:r w:rsidRPr="000B6094">
              <w:rPr>
                <w:bCs/>
                <w:sz w:val="22"/>
                <w:szCs w:val="22"/>
              </w:rPr>
              <w:t xml:space="preserve"> is available within the CoC for persons who are homeless and have difficulty accessing services and housing.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bCs/>
                <w:i/>
                <w:sz w:val="22"/>
                <w:szCs w:val="22"/>
              </w:rPr>
              <w:t>If you answered 1, 2, 3 or 4 to (4.1.9),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Additional or improved street outreach services are: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bCs/>
                <w:i/>
                <w:sz w:val="22"/>
                <w:szCs w:val="22"/>
              </w:rPr>
              <w:t>If you answered 2, 3, 4, or 5 to (4.1.9), please answer the following:</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4.1.9.2</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Street outreach providers are effective at finding and engaging persons who are literally homeless.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4.1.9.3</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Street outreach providers ensure all persons assisted have a housing goal plan as soon as possible after contact and engagement.</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4.1.9.4</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 xml:space="preserve">Street outreach providers are effective at linking persons to community-based services and mainstream resources.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4.1.9.5</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Street outreach providers are effective at linking persons to temporary and permanent housing options in the community.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4.1.9.6</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Street outreach providers are effective at ending homelessness for persons served.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4.2</w:t>
            </w:r>
          </w:p>
        </w:tc>
        <w:tc>
          <w:tcPr>
            <w:tcW w:w="7412" w:type="dxa"/>
            <w:gridSpan w:val="4"/>
          </w:tcPr>
          <w:p w:rsidR="00050A60" w:rsidRDefault="00050A60" w:rsidP="004355C4">
            <w:r w:rsidRPr="000B6094">
              <w:rPr>
                <w:b/>
                <w:bCs/>
                <w:sz w:val="28"/>
                <w:szCs w:val="22"/>
              </w:rPr>
              <w:t>Element: The CoC functions as an integrated system of housing and services.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system of care integration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4.2.1</w:t>
            </w:r>
          </w:p>
        </w:tc>
        <w:tc>
          <w:tcPr>
            <w:tcW w:w="7412" w:type="dxa"/>
            <w:gridSpan w:val="4"/>
          </w:tcPr>
          <w:p w:rsidR="00050A60" w:rsidRDefault="00050A60" w:rsidP="004355C4">
            <w:r w:rsidRPr="000B6094">
              <w:rPr>
                <w:bCs/>
                <w:sz w:val="22"/>
                <w:szCs w:val="22"/>
              </w:rPr>
              <w:t xml:space="preserve">CoC projects have written interagency procedures for making streamlined, effective referrals and documenting the referrals in case files.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4.2.2</w:t>
            </w:r>
          </w:p>
        </w:tc>
        <w:tc>
          <w:tcPr>
            <w:tcW w:w="7412" w:type="dxa"/>
            <w:gridSpan w:val="4"/>
          </w:tcPr>
          <w:p w:rsidR="00050A60" w:rsidRDefault="00050A60" w:rsidP="004355C4">
            <w:r w:rsidRPr="000B6094">
              <w:rPr>
                <w:bCs/>
                <w:sz w:val="22"/>
                <w:szCs w:val="22"/>
              </w:rPr>
              <w:t>CoC projects have written procedures for sharing client-level information and coordinating case management and/or client-level services across projects, services, and funding streams.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4.2.3</w:t>
            </w:r>
          </w:p>
        </w:tc>
        <w:tc>
          <w:tcPr>
            <w:tcW w:w="7412" w:type="dxa"/>
            <w:gridSpan w:val="4"/>
          </w:tcPr>
          <w:p w:rsidR="00050A60" w:rsidRDefault="00050A60" w:rsidP="004355C4">
            <w:r w:rsidRPr="000B6094">
              <w:rPr>
                <w:bCs/>
                <w:sz w:val="22"/>
                <w:szCs w:val="22"/>
              </w:rPr>
              <w:t>CoC projects effectively coordinate with mainstream systems and resources (e.g., TANF agency, school system, etc.) to identify and link persons/families experiencing a housing crisis to emergency housing assistance (i.e., homelessness prevention assistance</w:t>
            </w:r>
            <w:r w:rsidRPr="000B6094" w:rsidDel="00424565">
              <w:rPr>
                <w:bCs/>
                <w:sz w:val="22"/>
                <w:szCs w:val="22"/>
              </w:rPr>
              <w:t xml:space="preserve"> </w:t>
            </w:r>
            <w:r w:rsidRPr="000B6094">
              <w:rPr>
                <w:bCs/>
                <w:sz w:val="22"/>
                <w:szCs w:val="22"/>
              </w:rPr>
              <w:t xml:space="preserve">or temporary shelter, as appropriate).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p>
        </w:tc>
        <w:tc>
          <w:tcPr>
            <w:tcW w:w="7412" w:type="dxa"/>
            <w:gridSpan w:val="4"/>
          </w:tcPr>
          <w:p w:rsidR="00050A60" w:rsidRDefault="00050A60" w:rsidP="004355C4">
            <w:r w:rsidRPr="000B6094">
              <w:rPr>
                <w:b/>
                <w:bCs/>
                <w:i/>
                <w:sz w:val="22"/>
                <w:szCs w:val="22"/>
              </w:rPr>
              <w:t xml:space="preserve">If you answered 1, 2, 3, or 4 to (4.2.3), please answer the following: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4.2.3.1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Which mainstream systems and resources are the CoC not coordinating with effectively to identify and link persons/families experiencing a housing crisis to emergency housing assistance (i.e., homelessness prevention assistance</w:t>
            </w:r>
            <w:r w:rsidRPr="000B6094" w:rsidDel="00424565">
              <w:rPr>
                <w:bCs/>
                <w:sz w:val="22"/>
                <w:szCs w:val="22"/>
              </w:rPr>
              <w:t xml:space="preserve"> </w:t>
            </w:r>
            <w:r w:rsidRPr="000B6094">
              <w:rPr>
                <w:bCs/>
                <w:sz w:val="22"/>
                <w:szCs w:val="22"/>
              </w:rPr>
              <w:t>or temporary shelter, as appropriate).? (check all that apply)</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4.2.3.2</w:t>
            </w:r>
          </w:p>
        </w:tc>
        <w:tc>
          <w:tcPr>
            <w:tcW w:w="7412" w:type="dxa"/>
            <w:gridSpan w:val="4"/>
          </w:tcPr>
          <w:p w:rsidR="00050A60" w:rsidRDefault="00050A60" w:rsidP="004355C4">
            <w:r w:rsidRPr="000B6094">
              <w:rPr>
                <w:bCs/>
                <w:sz w:val="22"/>
                <w:szCs w:val="22"/>
              </w:rPr>
              <w:t>The CoC has a central point of contact/triage for persons experiencing a housing crisis.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4.2.3.3</w:t>
            </w:r>
          </w:p>
        </w:tc>
        <w:tc>
          <w:tcPr>
            <w:tcW w:w="7412" w:type="dxa"/>
            <w:gridSpan w:val="4"/>
          </w:tcPr>
          <w:p w:rsidR="00050A60" w:rsidRDefault="00050A60" w:rsidP="004355C4">
            <w:r w:rsidRPr="000B6094">
              <w:rPr>
                <w:bCs/>
                <w:sz w:val="22"/>
                <w:szCs w:val="22"/>
              </w:rPr>
              <w:t>The CoC uses a vulnerability assessment or similar assessment tool/process to identify and prioritize persons who are homeless and disabled for permanent supportive housing and/or other appropriate assistance.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4.2.4</w:t>
            </w:r>
          </w:p>
        </w:tc>
        <w:tc>
          <w:tcPr>
            <w:tcW w:w="7412" w:type="dxa"/>
            <w:gridSpan w:val="4"/>
          </w:tcPr>
          <w:p w:rsidR="00050A60" w:rsidRDefault="00050A60" w:rsidP="004355C4">
            <w:r w:rsidRPr="000B6094">
              <w:rPr>
                <w:bCs/>
                <w:sz w:val="22"/>
                <w:szCs w:val="22"/>
              </w:rPr>
              <w:t xml:space="preserve">The CoC has an affordable housing database and/or housing locator staff to assist persons across CoC projects with housing search and placement, landlord/tenant mediation, etc.,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28"/>
                <w:szCs w:val="16"/>
              </w:rPr>
            </w:pPr>
            <w:r w:rsidRPr="000B6094">
              <w:rPr>
                <w:sz w:val="28"/>
                <w:szCs w:val="16"/>
              </w:rPr>
              <w:t>4.3</w:t>
            </w:r>
          </w:p>
        </w:tc>
        <w:tc>
          <w:tcPr>
            <w:tcW w:w="7412" w:type="dxa"/>
            <w:gridSpan w:val="4"/>
          </w:tcPr>
          <w:p w:rsidR="00050A60" w:rsidRDefault="00050A60" w:rsidP="004355C4">
            <w:r w:rsidRPr="000B6094">
              <w:rPr>
                <w:b/>
                <w:bCs/>
                <w:sz w:val="28"/>
                <w:szCs w:val="22"/>
              </w:rPr>
              <w:t>Element: People who are homeless or at risk of homelessness in the community have access to relevant community-based services and mainstream resources in the community.</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providers to assess access to mainstream resources for persons who are homeless or at-risk of homelessness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4.3.1</w:t>
            </w:r>
          </w:p>
        </w:tc>
        <w:tc>
          <w:tcPr>
            <w:tcW w:w="7412" w:type="dxa"/>
            <w:gridSpan w:val="4"/>
          </w:tcPr>
          <w:p w:rsidR="00050A60" w:rsidRDefault="00050A60" w:rsidP="004355C4">
            <w:r w:rsidRPr="000B6094">
              <w:rPr>
                <w:bCs/>
                <w:sz w:val="22"/>
                <w:szCs w:val="22"/>
              </w:rPr>
              <w:t>CoC projects systematically assess persons who are homeless or at-risk of homelessness for potential referral to community-based services and mainstream resources.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w:t>
            </w:r>
          </w:p>
        </w:tc>
        <w:tc>
          <w:tcPr>
            <w:tcW w:w="7412" w:type="dxa"/>
            <w:gridSpan w:val="4"/>
          </w:tcPr>
          <w:p w:rsidR="00050A60" w:rsidRDefault="00050A60" w:rsidP="004355C4">
            <w:r w:rsidRPr="000B6094">
              <w:rPr>
                <w:bCs/>
                <w:sz w:val="22"/>
                <w:szCs w:val="22"/>
              </w:rPr>
              <w:t xml:space="preserve">Persons who are homeless or at-risk of homelessness can easily navigate and access (as needed and appropriate): </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Employment training/work supports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4.3.2.2</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TANF assistance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4.3.2.3</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Food Stamps/Supplemental Nutritional Assistance Program (SNAP)</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4.3.2.4</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Medicaid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4.3.2.5</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Social Security Administration assistance (SSI, SSDI,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4.3.2.6</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Veterans Affairs (VA) general assistance (Medical Benefits, Cash Assistance)</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4.3.2.7</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VA targeted assistance for the homeless (</w:t>
            </w:r>
            <w:smartTag w:uri="urn:schemas-microsoft-com:office:smarttags" w:element="place">
              <w:smartTag w:uri="urn:schemas-microsoft-com:office:smarttags" w:element="City">
                <w:r w:rsidRPr="000B6094">
                  <w:rPr>
                    <w:bCs/>
                    <w:sz w:val="22"/>
                    <w:szCs w:val="22"/>
                  </w:rPr>
                  <w:t>VASH</w:t>
                </w:r>
              </w:smartTag>
              <w:r w:rsidRPr="000B6094">
                <w:rPr>
                  <w:bCs/>
                  <w:sz w:val="22"/>
                  <w:szCs w:val="22"/>
                </w:rPr>
                <w:t xml:space="preserve">, </w:t>
              </w:r>
              <w:smartTag w:uri="urn:schemas-microsoft-com:office:smarttags" w:element="State">
                <w:r w:rsidRPr="000B6094">
                  <w:rPr>
                    <w:bCs/>
                    <w:sz w:val="22"/>
                    <w:szCs w:val="22"/>
                  </w:rPr>
                  <w:t>VA</w:t>
                </w:r>
              </w:smartTag>
            </w:smartTag>
            <w:r w:rsidRPr="000B6094">
              <w:rPr>
                <w:bCs/>
                <w:sz w:val="22"/>
                <w:szCs w:val="22"/>
              </w:rPr>
              <w:t xml:space="preserve"> Per Diem)</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4.3.2.8</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Other state/locally funded services for Veterans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4.3.2.9</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Local Housing Authority(ies) rental assistance (Housing Choice Vouchers, Public Housing, etc.)</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4.3.2.10</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Other permanent affordable housing (subsidized or unsubsidized)</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4.3.2.11</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Healthcare for the homeless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4.3.2.12</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Other healthcare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4.3.2.13</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Mental health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4.3.2.14</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Substance abuse treatment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4.3.2.15</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Youth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4.3.2.16</w:t>
            </w:r>
          </w:p>
        </w:tc>
        <w:tc>
          <w:tcPr>
            <w:tcW w:w="573" w:type="dxa"/>
          </w:tcPr>
          <w:p w:rsidR="00050A60" w:rsidRPr="000B6094" w:rsidRDefault="00050A60" w:rsidP="004355C4">
            <w:pPr>
              <w:rPr>
                <w:bCs/>
                <w:sz w:val="22"/>
                <w:szCs w:val="22"/>
              </w:rPr>
            </w:pPr>
          </w:p>
        </w:tc>
        <w:tc>
          <w:tcPr>
            <w:tcW w:w="6839" w:type="dxa"/>
            <w:gridSpan w:val="3"/>
          </w:tcPr>
          <w:p w:rsidR="00050A60" w:rsidRDefault="00050A60" w:rsidP="004355C4">
            <w:r w:rsidRPr="000B6094">
              <w:rPr>
                <w:bCs/>
                <w:sz w:val="22"/>
                <w:szCs w:val="22"/>
              </w:rPr>
              <w:t>Domestic violence services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28"/>
                <w:szCs w:val="16"/>
              </w:rPr>
              <w:t>4.4</w:t>
            </w:r>
          </w:p>
        </w:tc>
        <w:tc>
          <w:tcPr>
            <w:tcW w:w="7412" w:type="dxa"/>
            <w:gridSpan w:val="4"/>
          </w:tcPr>
          <w:p w:rsidR="00050A60" w:rsidRDefault="00050A60" w:rsidP="004355C4">
            <w:r w:rsidRPr="000B6094">
              <w:rPr>
                <w:b/>
                <w:bCs/>
                <w:sz w:val="28"/>
                <w:szCs w:val="22"/>
              </w:rPr>
              <w:t>Element: The CoC as a whole has sufficient knowledge and capacity to provide housing and services.</w:t>
            </w:r>
          </w:p>
        </w:tc>
        <w:tc>
          <w:tcPr>
            <w:tcW w:w="1560" w:type="dxa"/>
            <w:vMerge w:val="restart"/>
          </w:tcPr>
          <w:p w:rsidR="00050A60" w:rsidRPr="000B6094" w:rsidRDefault="00050A60" w:rsidP="004355C4">
            <w:pPr>
              <w:rPr>
                <w:sz w:val="22"/>
                <w:szCs w:val="22"/>
              </w:rPr>
            </w:pPr>
            <w:r w:rsidRPr="000B6094">
              <w:rPr>
                <w:sz w:val="22"/>
                <w:szCs w:val="22"/>
              </w:rPr>
              <w:t xml:space="preserve">Allows CoC and HUD Technical Assistance </w:t>
            </w:r>
            <w:r w:rsidRPr="000B6094">
              <w:rPr>
                <w:sz w:val="22"/>
                <w:szCs w:val="22"/>
              </w:rPr>
              <w:lastRenderedPageBreak/>
              <w:t xml:space="preserve">providers to assess the CoC’s knowledge and capacity to develop and provide housing and services and identify areas for improvement.  </w:t>
            </w:r>
          </w:p>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t>4.4.1</w:t>
            </w:r>
          </w:p>
        </w:tc>
        <w:tc>
          <w:tcPr>
            <w:tcW w:w="7412" w:type="dxa"/>
            <w:gridSpan w:val="4"/>
          </w:tcPr>
          <w:p w:rsidR="00050A60" w:rsidRDefault="00050A60" w:rsidP="004355C4">
            <w:r w:rsidRPr="000B6094">
              <w:rPr>
                <w:bCs/>
                <w:sz w:val="22"/>
                <w:szCs w:val="22"/>
              </w:rPr>
              <w:t>Agencies in the community have sufficient knowledge and capacity to develop and operate services and housing for homeless persons.</w:t>
            </w:r>
          </w:p>
        </w:tc>
        <w:tc>
          <w:tcPr>
            <w:tcW w:w="1560" w:type="dxa"/>
            <w:vMerge/>
          </w:tcPr>
          <w:p w:rsidR="00050A60" w:rsidRPr="000B6094" w:rsidRDefault="00050A60" w:rsidP="004355C4">
            <w:pPr>
              <w:rPr>
                <w:sz w:val="22"/>
                <w:szCs w:val="22"/>
              </w:rPr>
            </w:pPr>
          </w:p>
        </w:tc>
      </w:tr>
      <w:tr w:rsidR="00050A60" w:rsidTr="000B6094">
        <w:trPr>
          <w:tblHeader/>
        </w:trPr>
        <w:tc>
          <w:tcPr>
            <w:tcW w:w="856" w:type="dxa"/>
          </w:tcPr>
          <w:p w:rsidR="00050A60" w:rsidRPr="000B6094" w:rsidRDefault="00050A60" w:rsidP="004355C4">
            <w:pPr>
              <w:rPr>
                <w:sz w:val="16"/>
                <w:szCs w:val="16"/>
              </w:rPr>
            </w:pPr>
            <w:r w:rsidRPr="000B6094">
              <w:rPr>
                <w:sz w:val="16"/>
                <w:szCs w:val="16"/>
              </w:rPr>
              <w:lastRenderedPageBreak/>
              <w:t>4.4.2</w:t>
            </w:r>
          </w:p>
        </w:tc>
        <w:tc>
          <w:tcPr>
            <w:tcW w:w="7412" w:type="dxa"/>
            <w:gridSpan w:val="4"/>
          </w:tcPr>
          <w:p w:rsidR="00050A60" w:rsidRDefault="00050A60" w:rsidP="004355C4">
            <w:r w:rsidRPr="000B6094">
              <w:rPr>
                <w:bCs/>
                <w:sz w:val="22"/>
                <w:szCs w:val="22"/>
              </w:rPr>
              <w:t>CoC projects use nationally recognized best practice models and evidence-based practices to provide effective services and housing for homeless persons or persons at-risk of homelessness.</w:t>
            </w:r>
          </w:p>
        </w:tc>
        <w:tc>
          <w:tcPr>
            <w:tcW w:w="1560" w:type="dxa"/>
            <w:vMerge/>
          </w:tcPr>
          <w:p w:rsidR="00050A60" w:rsidRPr="000B6094" w:rsidRDefault="00050A60" w:rsidP="004355C4">
            <w:pPr>
              <w:rPr>
                <w:sz w:val="22"/>
                <w:szCs w:val="22"/>
              </w:rPr>
            </w:pPr>
          </w:p>
        </w:tc>
      </w:tr>
      <w:tr w:rsidR="009F5E18" w:rsidTr="000B6094">
        <w:trPr>
          <w:tblHeader/>
        </w:trPr>
        <w:tc>
          <w:tcPr>
            <w:tcW w:w="856" w:type="dxa"/>
          </w:tcPr>
          <w:p w:rsidR="009F5E18" w:rsidRPr="000B6094" w:rsidRDefault="009F5E18" w:rsidP="00B80E51">
            <w:pPr>
              <w:rPr>
                <w:sz w:val="16"/>
                <w:szCs w:val="16"/>
              </w:rPr>
            </w:pPr>
            <w:r w:rsidRPr="000B6094">
              <w:rPr>
                <w:sz w:val="16"/>
                <w:szCs w:val="16"/>
              </w:rPr>
              <w:lastRenderedPageBreak/>
              <w:t>4.4.3</w:t>
            </w:r>
          </w:p>
        </w:tc>
        <w:tc>
          <w:tcPr>
            <w:tcW w:w="7412" w:type="dxa"/>
            <w:gridSpan w:val="4"/>
          </w:tcPr>
          <w:p w:rsidR="009F5E18" w:rsidRDefault="009F5E18" w:rsidP="00B80E51">
            <w:r w:rsidRPr="000B6094">
              <w:rPr>
                <w:bCs/>
                <w:sz w:val="22"/>
                <w:szCs w:val="22"/>
              </w:rPr>
              <w:t>CoC projects typically meet or exceed HUD’s national performance goals/objectives and local goals/objectives.</w:t>
            </w:r>
          </w:p>
        </w:tc>
        <w:tc>
          <w:tcPr>
            <w:tcW w:w="1560" w:type="dxa"/>
          </w:tcPr>
          <w:p w:rsidR="009F5E18" w:rsidRPr="000B6094" w:rsidRDefault="009F5E18" w:rsidP="00B80E51">
            <w:pPr>
              <w:rPr>
                <w:sz w:val="22"/>
                <w:szCs w:val="22"/>
              </w:rPr>
            </w:pPr>
          </w:p>
        </w:tc>
      </w:tr>
      <w:tr w:rsidR="009F5E18" w:rsidTr="000B6094">
        <w:trPr>
          <w:tblHeader/>
        </w:trPr>
        <w:tc>
          <w:tcPr>
            <w:tcW w:w="9828" w:type="dxa"/>
            <w:gridSpan w:val="6"/>
          </w:tcPr>
          <w:p w:rsidR="009F5E18" w:rsidRPr="000B6094" w:rsidRDefault="009F5E18" w:rsidP="004355C4">
            <w:pPr>
              <w:rPr>
                <w:b/>
                <w:sz w:val="22"/>
                <w:szCs w:val="22"/>
              </w:rPr>
            </w:pPr>
            <w:r w:rsidRPr="000B6094">
              <w:rPr>
                <w:b/>
                <w:sz w:val="22"/>
                <w:szCs w:val="22"/>
              </w:rPr>
              <w:t xml:space="preserve">Identify </w:t>
            </w:r>
            <w:r w:rsidR="00971038" w:rsidRPr="000B6094">
              <w:rPr>
                <w:b/>
                <w:sz w:val="22"/>
                <w:szCs w:val="22"/>
              </w:rPr>
              <w:t xml:space="preserve">the </w:t>
            </w:r>
            <w:r w:rsidRPr="000B6094">
              <w:rPr>
                <w:b/>
                <w:sz w:val="22"/>
                <w:szCs w:val="22"/>
              </w:rPr>
              <w:t xml:space="preserve">three (max five) </w:t>
            </w:r>
            <w:r w:rsidR="00971038" w:rsidRPr="000B6094">
              <w:rPr>
                <w:b/>
                <w:sz w:val="22"/>
                <w:szCs w:val="22"/>
              </w:rPr>
              <w:t xml:space="preserve">most critical </w:t>
            </w:r>
            <w:r w:rsidRPr="000B6094">
              <w:rPr>
                <w:b/>
                <w:sz w:val="22"/>
                <w:szCs w:val="22"/>
              </w:rPr>
              <w:t xml:space="preserve">indicators that the CoC </w:t>
            </w:r>
            <w:r w:rsidR="00971038" w:rsidRPr="000B6094">
              <w:rPr>
                <w:b/>
                <w:sz w:val="22"/>
                <w:szCs w:val="22"/>
              </w:rPr>
              <w:t>is working to improve or plans to work on to improve.  Include key planned action step(s) and related timeline for each action step.</w:t>
            </w:r>
            <w:r w:rsidRPr="000B6094">
              <w:rPr>
                <w:b/>
                <w:sz w:val="22"/>
                <w:szCs w:val="22"/>
              </w:rPr>
              <w:t xml:space="preserve"> </w:t>
            </w:r>
          </w:p>
        </w:tc>
      </w:tr>
      <w:tr w:rsidR="00971038" w:rsidTr="000B6094">
        <w:trPr>
          <w:tblHeader/>
        </w:trPr>
        <w:tc>
          <w:tcPr>
            <w:tcW w:w="1555" w:type="dxa"/>
            <w:gridSpan w:val="3"/>
          </w:tcPr>
          <w:p w:rsidR="00971038" w:rsidRPr="000B6094" w:rsidRDefault="00971038" w:rsidP="00B80E51">
            <w:pPr>
              <w:rPr>
                <w:b/>
                <w:sz w:val="22"/>
                <w:szCs w:val="22"/>
              </w:rPr>
            </w:pPr>
            <w:r w:rsidRPr="000B6094">
              <w:rPr>
                <w:b/>
                <w:sz w:val="22"/>
                <w:szCs w:val="22"/>
              </w:rPr>
              <w:t>Indicator (drop-down)</w:t>
            </w:r>
          </w:p>
        </w:tc>
        <w:tc>
          <w:tcPr>
            <w:tcW w:w="8273" w:type="dxa"/>
            <w:gridSpan w:val="3"/>
          </w:tcPr>
          <w:p w:rsidR="00971038" w:rsidRPr="000B6094" w:rsidRDefault="00971038" w:rsidP="00B80E51">
            <w:pPr>
              <w:rPr>
                <w:sz w:val="22"/>
                <w:szCs w:val="22"/>
              </w:rPr>
            </w:pPr>
            <w:r w:rsidRPr="000B6094">
              <w:rPr>
                <w:b/>
                <w:sz w:val="22"/>
                <w:szCs w:val="22"/>
              </w:rPr>
              <w:t>Key Action Step(s):</w:t>
            </w:r>
            <w:r w:rsidRPr="000B6094">
              <w:rPr>
                <w:sz w:val="22"/>
                <w:szCs w:val="22"/>
              </w:rPr>
              <w:t xml:space="preserve"> _______________________________________________________</w:t>
            </w:r>
          </w:p>
          <w:p w:rsidR="00971038" w:rsidRPr="000B6094" w:rsidRDefault="00971038" w:rsidP="00B80E51">
            <w:pPr>
              <w:rPr>
                <w:sz w:val="22"/>
                <w:szCs w:val="22"/>
              </w:rPr>
            </w:pPr>
            <w:r w:rsidRPr="000B6094">
              <w:rPr>
                <w:sz w:val="22"/>
                <w:szCs w:val="22"/>
              </w:rPr>
              <w:t>_________________________________________________________________________</w:t>
            </w:r>
          </w:p>
          <w:p w:rsidR="00971038" w:rsidRPr="000B6094" w:rsidRDefault="00971038" w:rsidP="00B80E51">
            <w:pPr>
              <w:rPr>
                <w:sz w:val="22"/>
                <w:szCs w:val="22"/>
              </w:rPr>
            </w:pPr>
            <w:r w:rsidRPr="000B6094">
              <w:rPr>
                <w:b/>
                <w:sz w:val="22"/>
                <w:szCs w:val="22"/>
              </w:rPr>
              <w:t>Timeline:</w:t>
            </w:r>
            <w:r w:rsidRPr="000B6094">
              <w:rPr>
                <w:sz w:val="22"/>
                <w:szCs w:val="22"/>
              </w:rPr>
              <w:t xml:space="preserve"> ________________________________________________________________ </w:t>
            </w:r>
          </w:p>
          <w:p w:rsidR="00971038" w:rsidRPr="000B6094" w:rsidRDefault="00971038" w:rsidP="00B80E51">
            <w:pPr>
              <w:rPr>
                <w:sz w:val="22"/>
                <w:szCs w:val="22"/>
              </w:rPr>
            </w:pPr>
          </w:p>
        </w:tc>
      </w:tr>
      <w:tr w:rsidR="00971038" w:rsidTr="000B6094">
        <w:trPr>
          <w:tblHeader/>
        </w:trPr>
        <w:tc>
          <w:tcPr>
            <w:tcW w:w="1555" w:type="dxa"/>
            <w:gridSpan w:val="3"/>
          </w:tcPr>
          <w:p w:rsidR="00971038" w:rsidRPr="000B6094" w:rsidRDefault="00971038" w:rsidP="00B80E51">
            <w:pPr>
              <w:rPr>
                <w:b/>
                <w:sz w:val="22"/>
                <w:szCs w:val="22"/>
              </w:rPr>
            </w:pPr>
            <w:r w:rsidRPr="000B6094">
              <w:rPr>
                <w:b/>
                <w:sz w:val="22"/>
                <w:szCs w:val="22"/>
              </w:rPr>
              <w:t>Indicator (drop-down)</w:t>
            </w:r>
          </w:p>
        </w:tc>
        <w:tc>
          <w:tcPr>
            <w:tcW w:w="8273" w:type="dxa"/>
            <w:gridSpan w:val="3"/>
          </w:tcPr>
          <w:p w:rsidR="00971038" w:rsidRPr="000B6094" w:rsidRDefault="00971038" w:rsidP="00B80E51">
            <w:pPr>
              <w:rPr>
                <w:sz w:val="22"/>
                <w:szCs w:val="22"/>
              </w:rPr>
            </w:pPr>
            <w:r w:rsidRPr="000B6094">
              <w:rPr>
                <w:b/>
                <w:sz w:val="22"/>
                <w:szCs w:val="22"/>
              </w:rPr>
              <w:t>Key Action Step(s):</w:t>
            </w:r>
            <w:r w:rsidRPr="000B6094">
              <w:rPr>
                <w:sz w:val="22"/>
                <w:szCs w:val="22"/>
              </w:rPr>
              <w:t xml:space="preserve"> _______________________________________________________</w:t>
            </w:r>
          </w:p>
          <w:p w:rsidR="00971038" w:rsidRPr="000B6094" w:rsidRDefault="00971038" w:rsidP="00B80E51">
            <w:pPr>
              <w:rPr>
                <w:sz w:val="22"/>
                <w:szCs w:val="22"/>
              </w:rPr>
            </w:pPr>
            <w:r w:rsidRPr="000B6094">
              <w:rPr>
                <w:sz w:val="22"/>
                <w:szCs w:val="22"/>
              </w:rPr>
              <w:t>_________________________________________________________________________</w:t>
            </w:r>
          </w:p>
          <w:p w:rsidR="00971038" w:rsidRPr="000B6094" w:rsidRDefault="00971038" w:rsidP="00B80E51">
            <w:pPr>
              <w:rPr>
                <w:sz w:val="22"/>
                <w:szCs w:val="22"/>
              </w:rPr>
            </w:pPr>
            <w:r w:rsidRPr="000B6094">
              <w:rPr>
                <w:b/>
                <w:sz w:val="22"/>
                <w:szCs w:val="22"/>
              </w:rPr>
              <w:t>Timeline:</w:t>
            </w:r>
            <w:r w:rsidRPr="000B6094">
              <w:rPr>
                <w:sz w:val="22"/>
                <w:szCs w:val="22"/>
              </w:rPr>
              <w:t xml:space="preserve"> ________________________________________________________________ </w:t>
            </w:r>
          </w:p>
          <w:p w:rsidR="00971038" w:rsidRPr="000B6094" w:rsidRDefault="00971038" w:rsidP="00B80E51">
            <w:pPr>
              <w:rPr>
                <w:sz w:val="22"/>
                <w:szCs w:val="22"/>
              </w:rPr>
            </w:pPr>
          </w:p>
        </w:tc>
      </w:tr>
      <w:tr w:rsidR="00971038" w:rsidTr="000B6094">
        <w:trPr>
          <w:tblHeader/>
        </w:trPr>
        <w:tc>
          <w:tcPr>
            <w:tcW w:w="1555" w:type="dxa"/>
            <w:gridSpan w:val="3"/>
          </w:tcPr>
          <w:p w:rsidR="00971038" w:rsidRPr="000B6094" w:rsidRDefault="00971038" w:rsidP="00B80E51">
            <w:pPr>
              <w:rPr>
                <w:b/>
                <w:sz w:val="22"/>
                <w:szCs w:val="22"/>
              </w:rPr>
            </w:pPr>
            <w:r w:rsidRPr="000B6094">
              <w:rPr>
                <w:b/>
                <w:sz w:val="22"/>
                <w:szCs w:val="22"/>
              </w:rPr>
              <w:t>Indicator (drop-down)</w:t>
            </w:r>
          </w:p>
        </w:tc>
        <w:tc>
          <w:tcPr>
            <w:tcW w:w="8273" w:type="dxa"/>
            <w:gridSpan w:val="3"/>
          </w:tcPr>
          <w:p w:rsidR="00971038" w:rsidRPr="000B6094" w:rsidRDefault="00971038" w:rsidP="00B80E51">
            <w:pPr>
              <w:rPr>
                <w:sz w:val="22"/>
                <w:szCs w:val="22"/>
              </w:rPr>
            </w:pPr>
            <w:r w:rsidRPr="000B6094">
              <w:rPr>
                <w:b/>
                <w:sz w:val="22"/>
                <w:szCs w:val="22"/>
              </w:rPr>
              <w:t>Key Action Step(s):</w:t>
            </w:r>
            <w:r w:rsidRPr="000B6094">
              <w:rPr>
                <w:sz w:val="22"/>
                <w:szCs w:val="22"/>
              </w:rPr>
              <w:t xml:space="preserve"> _______________________________________________________</w:t>
            </w:r>
          </w:p>
          <w:p w:rsidR="00971038" w:rsidRPr="000B6094" w:rsidRDefault="00971038" w:rsidP="00B80E51">
            <w:pPr>
              <w:rPr>
                <w:sz w:val="22"/>
                <w:szCs w:val="22"/>
              </w:rPr>
            </w:pPr>
            <w:r w:rsidRPr="000B6094">
              <w:rPr>
                <w:sz w:val="22"/>
                <w:szCs w:val="22"/>
              </w:rPr>
              <w:t>_________________________________________________________________________</w:t>
            </w:r>
          </w:p>
          <w:p w:rsidR="00971038" w:rsidRPr="000B6094" w:rsidRDefault="00971038" w:rsidP="00B80E51">
            <w:pPr>
              <w:rPr>
                <w:sz w:val="22"/>
                <w:szCs w:val="22"/>
              </w:rPr>
            </w:pPr>
            <w:r w:rsidRPr="000B6094">
              <w:rPr>
                <w:b/>
                <w:sz w:val="22"/>
                <w:szCs w:val="22"/>
              </w:rPr>
              <w:t>Timeline:</w:t>
            </w:r>
            <w:r w:rsidRPr="000B6094">
              <w:rPr>
                <w:sz w:val="22"/>
                <w:szCs w:val="22"/>
              </w:rPr>
              <w:t xml:space="preserve"> ________________________________________________________________ </w:t>
            </w:r>
          </w:p>
          <w:p w:rsidR="00971038" w:rsidRPr="000B6094" w:rsidRDefault="00971038" w:rsidP="00B80E51">
            <w:pPr>
              <w:rPr>
                <w:sz w:val="22"/>
                <w:szCs w:val="22"/>
              </w:rPr>
            </w:pPr>
          </w:p>
        </w:tc>
      </w:tr>
      <w:tr w:rsidR="00971038" w:rsidTr="000B6094">
        <w:trPr>
          <w:tblHeader/>
        </w:trPr>
        <w:tc>
          <w:tcPr>
            <w:tcW w:w="1555" w:type="dxa"/>
            <w:gridSpan w:val="3"/>
          </w:tcPr>
          <w:p w:rsidR="00971038" w:rsidRPr="000B6094" w:rsidRDefault="00971038" w:rsidP="00B80E51">
            <w:pPr>
              <w:rPr>
                <w:b/>
                <w:sz w:val="22"/>
                <w:szCs w:val="22"/>
              </w:rPr>
            </w:pPr>
            <w:r w:rsidRPr="000B6094">
              <w:rPr>
                <w:b/>
                <w:sz w:val="22"/>
                <w:szCs w:val="22"/>
              </w:rPr>
              <w:t>Indicator (drop-down)</w:t>
            </w:r>
          </w:p>
        </w:tc>
        <w:tc>
          <w:tcPr>
            <w:tcW w:w="8273" w:type="dxa"/>
            <w:gridSpan w:val="3"/>
          </w:tcPr>
          <w:p w:rsidR="00971038" w:rsidRPr="000B6094" w:rsidRDefault="00971038" w:rsidP="00B80E51">
            <w:pPr>
              <w:rPr>
                <w:sz w:val="22"/>
                <w:szCs w:val="22"/>
              </w:rPr>
            </w:pPr>
            <w:r w:rsidRPr="000B6094">
              <w:rPr>
                <w:b/>
                <w:sz w:val="22"/>
                <w:szCs w:val="22"/>
              </w:rPr>
              <w:t>Key Action Step(s):</w:t>
            </w:r>
            <w:r w:rsidRPr="000B6094">
              <w:rPr>
                <w:sz w:val="22"/>
                <w:szCs w:val="22"/>
              </w:rPr>
              <w:t xml:space="preserve"> _______________________________________________________</w:t>
            </w:r>
          </w:p>
          <w:p w:rsidR="00971038" w:rsidRPr="000B6094" w:rsidRDefault="00971038" w:rsidP="00B80E51">
            <w:pPr>
              <w:rPr>
                <w:sz w:val="22"/>
                <w:szCs w:val="22"/>
              </w:rPr>
            </w:pPr>
            <w:r w:rsidRPr="000B6094">
              <w:rPr>
                <w:sz w:val="22"/>
                <w:szCs w:val="22"/>
              </w:rPr>
              <w:t>_________________________________________________________________________</w:t>
            </w:r>
          </w:p>
          <w:p w:rsidR="00971038" w:rsidRPr="000B6094" w:rsidRDefault="00971038" w:rsidP="00B80E51">
            <w:pPr>
              <w:rPr>
                <w:sz w:val="22"/>
                <w:szCs w:val="22"/>
              </w:rPr>
            </w:pPr>
            <w:r w:rsidRPr="000B6094">
              <w:rPr>
                <w:b/>
                <w:sz w:val="22"/>
                <w:szCs w:val="22"/>
              </w:rPr>
              <w:t>Timeline:</w:t>
            </w:r>
            <w:r w:rsidRPr="000B6094">
              <w:rPr>
                <w:sz w:val="22"/>
                <w:szCs w:val="22"/>
              </w:rPr>
              <w:t xml:space="preserve"> ________________________________________________________________ </w:t>
            </w:r>
          </w:p>
          <w:p w:rsidR="00971038" w:rsidRPr="000B6094" w:rsidRDefault="00971038" w:rsidP="00B80E51">
            <w:pPr>
              <w:rPr>
                <w:sz w:val="22"/>
                <w:szCs w:val="22"/>
              </w:rPr>
            </w:pPr>
          </w:p>
        </w:tc>
      </w:tr>
      <w:tr w:rsidR="00971038" w:rsidTr="000B6094">
        <w:trPr>
          <w:tblHeader/>
        </w:trPr>
        <w:tc>
          <w:tcPr>
            <w:tcW w:w="1555" w:type="dxa"/>
            <w:gridSpan w:val="3"/>
          </w:tcPr>
          <w:p w:rsidR="00971038" w:rsidRPr="000B6094" w:rsidRDefault="00971038" w:rsidP="004355C4">
            <w:pPr>
              <w:rPr>
                <w:b/>
                <w:sz w:val="22"/>
                <w:szCs w:val="22"/>
              </w:rPr>
            </w:pPr>
            <w:r w:rsidRPr="000B6094">
              <w:rPr>
                <w:b/>
                <w:sz w:val="22"/>
                <w:szCs w:val="22"/>
              </w:rPr>
              <w:t>Indicator (drop-down)</w:t>
            </w:r>
          </w:p>
        </w:tc>
        <w:tc>
          <w:tcPr>
            <w:tcW w:w="8273" w:type="dxa"/>
            <w:gridSpan w:val="3"/>
          </w:tcPr>
          <w:p w:rsidR="00971038" w:rsidRPr="000B6094" w:rsidRDefault="00971038" w:rsidP="004355C4">
            <w:pPr>
              <w:rPr>
                <w:sz w:val="22"/>
                <w:szCs w:val="22"/>
              </w:rPr>
            </w:pPr>
            <w:r w:rsidRPr="000B6094">
              <w:rPr>
                <w:b/>
                <w:sz w:val="22"/>
                <w:szCs w:val="22"/>
              </w:rPr>
              <w:t>Key Action Step(s):</w:t>
            </w:r>
            <w:r w:rsidRPr="000B6094">
              <w:rPr>
                <w:sz w:val="22"/>
                <w:szCs w:val="22"/>
              </w:rPr>
              <w:t xml:space="preserve"> _______________________________________________________</w:t>
            </w:r>
          </w:p>
          <w:p w:rsidR="00971038" w:rsidRPr="000B6094" w:rsidRDefault="00971038" w:rsidP="004355C4">
            <w:pPr>
              <w:rPr>
                <w:sz w:val="22"/>
                <w:szCs w:val="22"/>
              </w:rPr>
            </w:pPr>
            <w:r w:rsidRPr="000B6094">
              <w:rPr>
                <w:sz w:val="22"/>
                <w:szCs w:val="22"/>
              </w:rPr>
              <w:t>_________________________________________________________________________</w:t>
            </w:r>
          </w:p>
          <w:p w:rsidR="00971038" w:rsidRPr="000B6094" w:rsidRDefault="00971038" w:rsidP="004355C4">
            <w:pPr>
              <w:rPr>
                <w:sz w:val="22"/>
                <w:szCs w:val="22"/>
              </w:rPr>
            </w:pPr>
            <w:r w:rsidRPr="000B6094">
              <w:rPr>
                <w:b/>
                <w:sz w:val="22"/>
                <w:szCs w:val="22"/>
              </w:rPr>
              <w:t>Timeline:</w:t>
            </w:r>
            <w:r w:rsidRPr="000B6094">
              <w:rPr>
                <w:sz w:val="22"/>
                <w:szCs w:val="22"/>
              </w:rPr>
              <w:t xml:space="preserve"> ________________________________________________________________ </w:t>
            </w:r>
          </w:p>
          <w:p w:rsidR="00971038" w:rsidRPr="000B6094" w:rsidRDefault="00971038" w:rsidP="004355C4">
            <w:pPr>
              <w:rPr>
                <w:sz w:val="22"/>
                <w:szCs w:val="22"/>
              </w:rPr>
            </w:pPr>
          </w:p>
        </w:tc>
      </w:tr>
    </w:tbl>
    <w:p w:rsidR="00466926" w:rsidRDefault="00466926">
      <w:pPr>
        <w:rPr>
          <w:rFonts w:ascii="Arial" w:hAnsi="Arial" w:cs="Arial"/>
          <w:b/>
          <w:sz w:val="36"/>
          <w:szCs w:val="36"/>
          <w:highlight w:val="yellow"/>
        </w:rPr>
      </w:pPr>
    </w:p>
    <w:p w:rsidR="00730813" w:rsidRDefault="00730813" w:rsidP="007A22F4">
      <w:pPr>
        <w:jc w:val="center"/>
        <w:rPr>
          <w:rFonts w:ascii="Arial" w:hAnsi="Arial" w:cs="Arial"/>
          <w:b/>
          <w:sz w:val="36"/>
          <w:szCs w:val="36"/>
          <w:highlight w:val="yellow"/>
        </w:rPr>
        <w:sectPr w:rsidR="00730813" w:rsidSect="00050A60">
          <w:headerReference w:type="default" r:id="rId10"/>
          <w:pgSz w:w="12240" w:h="15840" w:code="1"/>
          <w:pgMar w:top="1440" w:right="1440" w:bottom="1440" w:left="1440" w:header="720" w:footer="720" w:gutter="0"/>
          <w:cols w:space="720"/>
          <w:docGrid w:linePitch="360"/>
        </w:sectPr>
      </w:pPr>
    </w:p>
    <w:p w:rsidR="007A22F4" w:rsidRPr="00CF3C03" w:rsidRDefault="001B0523" w:rsidP="007A22F4">
      <w:pPr>
        <w:jc w:val="center"/>
        <w:rPr>
          <w:rFonts w:ascii="Arial" w:hAnsi="Arial" w:cs="Arial"/>
          <w:b/>
          <w:sz w:val="36"/>
          <w:szCs w:val="36"/>
        </w:rPr>
      </w:pPr>
      <w:r w:rsidRPr="00CF3C03">
        <w:rPr>
          <w:rFonts w:ascii="Arial" w:hAnsi="Arial" w:cs="Arial"/>
          <w:b/>
          <w:sz w:val="36"/>
          <w:szCs w:val="36"/>
        </w:rPr>
        <w:lastRenderedPageBreak/>
        <w:t>Attachment B</w:t>
      </w:r>
    </w:p>
    <w:p w:rsidR="007A22F4" w:rsidRPr="002520B7" w:rsidRDefault="007A22F4" w:rsidP="007A22F4">
      <w:pPr>
        <w:jc w:val="center"/>
        <w:rPr>
          <w:highlight w:val="yellow"/>
        </w:rPr>
      </w:pPr>
    </w:p>
    <w:p w:rsidR="007A22F4" w:rsidRDefault="007A22F4" w:rsidP="007A22F4">
      <w:pPr>
        <w:pStyle w:val="AbtHeadA"/>
        <w:spacing w:after="0"/>
        <w:jc w:val="center"/>
      </w:pPr>
      <w:bookmarkStart w:id="56" w:name="_Toc224972167"/>
      <w:bookmarkStart w:id="57" w:name="_Toc233444305"/>
      <w:r w:rsidRPr="00CF3C03">
        <w:t>Federal Register Notice</w:t>
      </w:r>
      <w:bookmarkEnd w:id="56"/>
      <w:r w:rsidRPr="00CF3C03">
        <w:t xml:space="preserve"> for OMB Clearance</w:t>
      </w:r>
      <w:bookmarkEnd w:id="57"/>
    </w:p>
    <w:p w:rsidR="007A22F4" w:rsidRDefault="00CF3C03" w:rsidP="007A22F4">
      <w:pPr>
        <w:spacing w:after="240"/>
      </w:pPr>
      <w:r w:rsidRPr="00CF3C03">
        <w:object w:dxaOrig="7345" w:dyaOrig="9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475.2pt" o:ole="">
            <v:imagedata r:id="rId11" o:title=""/>
          </v:shape>
          <o:OLEObject Type="Embed" ProgID="AcroExch.Document.7" ShapeID="_x0000_i1025" DrawAspect="Content" ObjectID="_1374474398" r:id="rId12"/>
        </w:object>
      </w:r>
    </w:p>
    <w:p w:rsidR="00466926" w:rsidRDefault="00466926">
      <w:pPr>
        <w:ind w:right="-270"/>
      </w:pPr>
    </w:p>
    <w:sectPr w:rsidR="00466926" w:rsidSect="00730813">
      <w:head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03" w:rsidRDefault="00CF3C03">
      <w:r>
        <w:separator/>
      </w:r>
    </w:p>
  </w:endnote>
  <w:endnote w:type="continuationSeparator" w:id="0">
    <w:p w:rsidR="00CF3C03" w:rsidRDefault="00CF3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03" w:rsidRDefault="00CF3C03">
    <w:pPr>
      <w:pStyle w:val="Footer"/>
      <w:pBdr>
        <w:top w:val="single" w:sz="8"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03" w:rsidRPr="00EF68D7" w:rsidRDefault="00CF3C03" w:rsidP="00BD56EF">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CoC </w:t>
    </w:r>
    <w:r>
      <w:rPr>
        <w:spacing w:val="-4"/>
        <w:sz w:val="17"/>
        <w:szCs w:val="17"/>
      </w:rPr>
      <w:t>Check-up</w:t>
    </w:r>
    <w:r w:rsidRPr="00A87584">
      <w:rPr>
        <w:spacing w:val="-4"/>
        <w:sz w:val="17"/>
        <w:szCs w:val="17"/>
      </w:rPr>
      <w:t xml:space="preserve"> Assessment Tool</w:t>
    </w:r>
    <w:r>
      <w:rPr>
        <w:spacing w:val="-4"/>
        <w:sz w:val="17"/>
        <w:szCs w:val="17"/>
      </w:rPr>
      <w:t xml:space="preserve">  </w:t>
    </w:r>
    <w:r w:rsidRPr="00EF68D7">
      <w:rPr>
        <w:spacing w:val="-4"/>
      </w:rPr>
      <w:tab/>
    </w:r>
    <w:r w:rsidR="00FC484E" w:rsidRPr="00EF68D7">
      <w:rPr>
        <w:rStyle w:val="PageNumber"/>
        <w:spacing w:val="-4"/>
      </w:rPr>
      <w:fldChar w:fldCharType="begin"/>
    </w:r>
    <w:r w:rsidRPr="00EF68D7">
      <w:rPr>
        <w:rStyle w:val="PageNumber"/>
        <w:spacing w:val="-4"/>
      </w:rPr>
      <w:instrText xml:space="preserve"> PAGE </w:instrText>
    </w:r>
    <w:r w:rsidR="00FC484E" w:rsidRPr="00EF68D7">
      <w:rPr>
        <w:rStyle w:val="PageNumber"/>
        <w:spacing w:val="-4"/>
      </w:rPr>
      <w:fldChar w:fldCharType="separate"/>
    </w:r>
    <w:r w:rsidR="003D1299">
      <w:rPr>
        <w:rStyle w:val="PageNumber"/>
        <w:noProof/>
        <w:spacing w:val="-4"/>
      </w:rPr>
      <w:t>i</w:t>
    </w:r>
    <w:r w:rsidR="00FC484E" w:rsidRPr="00EF68D7">
      <w:rPr>
        <w:rStyle w:val="PageNumber"/>
        <w:spacing w:val="-4"/>
      </w:rPr>
      <w:fldChar w:fldCharType="end"/>
    </w:r>
  </w:p>
  <w:p w:rsidR="00CF3C03" w:rsidRDefault="00CF3C03">
    <w:pPr>
      <w:pStyle w:val="Footer"/>
      <w:pBdr>
        <w:top w:val="single" w:sz="8"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03" w:rsidRDefault="00CF3C03">
      <w:r>
        <w:separator/>
      </w:r>
    </w:p>
  </w:footnote>
  <w:footnote w:type="continuationSeparator" w:id="0">
    <w:p w:rsidR="00CF3C03" w:rsidRDefault="00CF3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03" w:rsidRPr="00825BF3" w:rsidRDefault="00CF3C03" w:rsidP="00730813">
    <w:pPr>
      <w:pStyle w:val="BodyText"/>
      <w:jc w:val="center"/>
      <w:rPr>
        <w:rFonts w:ascii="Arial" w:hAnsi="Arial"/>
        <w:b/>
        <w:sz w:val="28"/>
        <w:szCs w:val="28"/>
      </w:rPr>
    </w:pPr>
    <w:r w:rsidRPr="00825BF3">
      <w:rPr>
        <w:rFonts w:ascii="Arial" w:hAnsi="Arial"/>
        <w:b/>
        <w:sz w:val="28"/>
        <w:szCs w:val="28"/>
      </w:rPr>
      <w:t>Attachment A</w:t>
    </w:r>
  </w:p>
  <w:p w:rsidR="00CF3C03" w:rsidRPr="00825BF3" w:rsidRDefault="00CF3C03" w:rsidP="00730813">
    <w:pPr>
      <w:pStyle w:val="AbtHeadA"/>
      <w:spacing w:after="120"/>
      <w:jc w:val="center"/>
      <w:rPr>
        <w:sz w:val="28"/>
        <w:szCs w:val="28"/>
      </w:rPr>
    </w:pPr>
    <w:r w:rsidRPr="00825BF3">
      <w:rPr>
        <w:sz w:val="28"/>
        <w:szCs w:val="28"/>
      </w:rPr>
      <w:t xml:space="preserve">CoC </w:t>
    </w:r>
    <w:r>
      <w:rPr>
        <w:sz w:val="28"/>
        <w:szCs w:val="28"/>
      </w:rPr>
      <w:t>Check-up</w:t>
    </w:r>
    <w:r w:rsidRPr="00825BF3">
      <w:rPr>
        <w:sz w:val="28"/>
        <w:szCs w:val="28"/>
      </w:rPr>
      <w:t xml:space="preserve"> Tool: Data </w:t>
    </w:r>
    <w:r>
      <w:rPr>
        <w:sz w:val="28"/>
        <w:szCs w:val="28"/>
      </w:rPr>
      <w:t xml:space="preserve">Domains, </w:t>
    </w:r>
    <w:r w:rsidRPr="00825BF3">
      <w:rPr>
        <w:sz w:val="28"/>
        <w:szCs w:val="28"/>
      </w:rPr>
      <w:t xml:space="preserve">Elements, Indicators, </w:t>
    </w:r>
    <w:r>
      <w:rPr>
        <w:sz w:val="28"/>
        <w:szCs w:val="28"/>
      </w:rPr>
      <w:br/>
    </w:r>
    <w:r w:rsidRPr="00825BF3">
      <w:rPr>
        <w:sz w:val="28"/>
        <w:szCs w:val="28"/>
      </w:rPr>
      <w:t>and Justification</w:t>
    </w:r>
  </w:p>
  <w:p w:rsidR="00CF3C03" w:rsidRDefault="00CF3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03" w:rsidRDefault="00CF3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C8C26A"/>
    <w:lvl w:ilvl="0">
      <w:numFmt w:val="bullet"/>
      <w:lvlText w:val="*"/>
      <w:lvlJc w:val="left"/>
    </w:lvl>
  </w:abstractNum>
  <w:abstractNum w:abstractNumId="1">
    <w:nsid w:val="03B43981"/>
    <w:multiLevelType w:val="hybridMultilevel"/>
    <w:tmpl w:val="7F58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90EA7"/>
    <w:multiLevelType w:val="hybridMultilevel"/>
    <w:tmpl w:val="930EF22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4970CDD"/>
    <w:multiLevelType w:val="multilevel"/>
    <w:tmpl w:val="7B5618A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79B4922"/>
    <w:multiLevelType w:val="hybridMultilevel"/>
    <w:tmpl w:val="A0B0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6123C"/>
    <w:multiLevelType w:val="hybridMultilevel"/>
    <w:tmpl w:val="1458CD4C"/>
    <w:lvl w:ilvl="0" w:tplc="7F4E6A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FD127B"/>
    <w:multiLevelType w:val="hybridMultilevel"/>
    <w:tmpl w:val="6CAE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EC5AFE"/>
    <w:multiLevelType w:val="multilevel"/>
    <w:tmpl w:val="3266FC9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0990827"/>
    <w:multiLevelType w:val="hybridMultilevel"/>
    <w:tmpl w:val="D0D4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692DB1"/>
    <w:multiLevelType w:val="hybridMultilevel"/>
    <w:tmpl w:val="9960A1E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56D23"/>
    <w:multiLevelType w:val="hybridMultilevel"/>
    <w:tmpl w:val="FF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253978"/>
    <w:multiLevelType w:val="hybridMultilevel"/>
    <w:tmpl w:val="F17CB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731C2"/>
    <w:multiLevelType w:val="hybridMultilevel"/>
    <w:tmpl w:val="7EF2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7504D2"/>
    <w:multiLevelType w:val="hybridMultilevel"/>
    <w:tmpl w:val="4634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AB3ADC"/>
    <w:multiLevelType w:val="hybridMultilevel"/>
    <w:tmpl w:val="AF98CDDA"/>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6CDE5561"/>
    <w:multiLevelType w:val="hybridMultilevel"/>
    <w:tmpl w:val="139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884671"/>
    <w:multiLevelType w:val="hybridMultilevel"/>
    <w:tmpl w:val="C8DC2D20"/>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6E89542E"/>
    <w:multiLevelType w:val="hybridMultilevel"/>
    <w:tmpl w:val="7A28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1D5DC0"/>
    <w:multiLevelType w:val="hybridMultilevel"/>
    <w:tmpl w:val="C554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B96D15"/>
    <w:multiLevelType w:val="multilevel"/>
    <w:tmpl w:val="40461E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1"/>
  </w:num>
  <w:num w:numId="3">
    <w:abstractNumId w:val="19"/>
  </w:num>
  <w:num w:numId="4">
    <w:abstractNumId w:val="21"/>
  </w:num>
  <w:num w:numId="5">
    <w:abstractNumId w:val="1"/>
  </w:num>
  <w:num w:numId="6">
    <w:abstractNumId w:val="14"/>
  </w:num>
  <w:num w:numId="7">
    <w:abstractNumId w:val="0"/>
    <w:lvlOverride w:ilvl="0">
      <w:lvl w:ilvl="0">
        <w:numFmt w:val="bullet"/>
        <w:lvlText w:val="•"/>
        <w:legacy w:legacy="1" w:legacySpace="0" w:legacyIndent="0"/>
        <w:lvlJc w:val="left"/>
        <w:rPr>
          <w:rFonts w:ascii="Helv" w:hAnsi="Helv" w:hint="default"/>
        </w:rPr>
      </w:lvl>
    </w:lvlOverride>
  </w:num>
  <w:num w:numId="8">
    <w:abstractNumId w:val="22"/>
  </w:num>
  <w:num w:numId="9">
    <w:abstractNumId w:val="8"/>
  </w:num>
  <w:num w:numId="10">
    <w:abstractNumId w:val="12"/>
  </w:num>
  <w:num w:numId="11">
    <w:abstractNumId w:val="16"/>
  </w:num>
  <w:num w:numId="12">
    <w:abstractNumId w:val="10"/>
  </w:num>
  <w:num w:numId="13">
    <w:abstractNumId w:val="6"/>
  </w:num>
  <w:num w:numId="14">
    <w:abstractNumId w:val="7"/>
  </w:num>
  <w:num w:numId="15">
    <w:abstractNumId w:val="9"/>
  </w:num>
  <w:num w:numId="16">
    <w:abstractNumId w:val="23"/>
  </w:num>
  <w:num w:numId="17">
    <w:abstractNumId w:val="5"/>
  </w:num>
  <w:num w:numId="18">
    <w:abstractNumId w:val="24"/>
  </w:num>
  <w:num w:numId="19">
    <w:abstractNumId w:val="17"/>
  </w:num>
  <w:num w:numId="20">
    <w:abstractNumId w:val="13"/>
  </w:num>
  <w:num w:numId="21">
    <w:abstractNumId w:val="20"/>
  </w:num>
  <w:num w:numId="22">
    <w:abstractNumId w:val="15"/>
  </w:num>
  <w:num w:numId="23">
    <w:abstractNumId w:val="3"/>
  </w:num>
  <w:num w:numId="24">
    <w:abstractNumId w:val="18"/>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E0445"/>
    <w:rsid w:val="00002B02"/>
    <w:rsid w:val="0000650C"/>
    <w:rsid w:val="0002406C"/>
    <w:rsid w:val="00043E67"/>
    <w:rsid w:val="00050A60"/>
    <w:rsid w:val="00076B57"/>
    <w:rsid w:val="000826D1"/>
    <w:rsid w:val="000A1181"/>
    <w:rsid w:val="000B6094"/>
    <w:rsid w:val="000E2FD9"/>
    <w:rsid w:val="000F490E"/>
    <w:rsid w:val="0010088C"/>
    <w:rsid w:val="001356DA"/>
    <w:rsid w:val="00152939"/>
    <w:rsid w:val="00153E04"/>
    <w:rsid w:val="00163115"/>
    <w:rsid w:val="001726AA"/>
    <w:rsid w:val="00192E75"/>
    <w:rsid w:val="001B0523"/>
    <w:rsid w:val="001B0DC6"/>
    <w:rsid w:val="001B48E5"/>
    <w:rsid w:val="001C6D1F"/>
    <w:rsid w:val="001D3C22"/>
    <w:rsid w:val="002076B0"/>
    <w:rsid w:val="00223A5A"/>
    <w:rsid w:val="00227612"/>
    <w:rsid w:val="00233B85"/>
    <w:rsid w:val="00234B4E"/>
    <w:rsid w:val="00235C00"/>
    <w:rsid w:val="00237E54"/>
    <w:rsid w:val="00242A7C"/>
    <w:rsid w:val="002520B7"/>
    <w:rsid w:val="00254C0F"/>
    <w:rsid w:val="00265F59"/>
    <w:rsid w:val="002719B5"/>
    <w:rsid w:val="002720CE"/>
    <w:rsid w:val="002A7767"/>
    <w:rsid w:val="002A78B3"/>
    <w:rsid w:val="002B78F0"/>
    <w:rsid w:val="002C394C"/>
    <w:rsid w:val="002C4031"/>
    <w:rsid w:val="002C613E"/>
    <w:rsid w:val="00332E0E"/>
    <w:rsid w:val="003444D5"/>
    <w:rsid w:val="00365EF9"/>
    <w:rsid w:val="003C4EF8"/>
    <w:rsid w:val="003D1299"/>
    <w:rsid w:val="003F1CB4"/>
    <w:rsid w:val="003F7843"/>
    <w:rsid w:val="00407EA5"/>
    <w:rsid w:val="00416310"/>
    <w:rsid w:val="00420D05"/>
    <w:rsid w:val="004355C4"/>
    <w:rsid w:val="00437545"/>
    <w:rsid w:val="004443D8"/>
    <w:rsid w:val="00446C5B"/>
    <w:rsid w:val="004553A2"/>
    <w:rsid w:val="00456836"/>
    <w:rsid w:val="00457A7D"/>
    <w:rsid w:val="00466926"/>
    <w:rsid w:val="004A383A"/>
    <w:rsid w:val="004C75C9"/>
    <w:rsid w:val="004E25F9"/>
    <w:rsid w:val="00510140"/>
    <w:rsid w:val="0052502F"/>
    <w:rsid w:val="005339B0"/>
    <w:rsid w:val="00535FFC"/>
    <w:rsid w:val="00552BEE"/>
    <w:rsid w:val="00581C7C"/>
    <w:rsid w:val="00597E35"/>
    <w:rsid w:val="005C2A5F"/>
    <w:rsid w:val="005C693D"/>
    <w:rsid w:val="005F11AC"/>
    <w:rsid w:val="005F5CEC"/>
    <w:rsid w:val="005F6633"/>
    <w:rsid w:val="0060195A"/>
    <w:rsid w:val="006111C4"/>
    <w:rsid w:val="00616958"/>
    <w:rsid w:val="00656AD8"/>
    <w:rsid w:val="00664121"/>
    <w:rsid w:val="00672BED"/>
    <w:rsid w:val="00691CD2"/>
    <w:rsid w:val="006C0503"/>
    <w:rsid w:val="006D53AF"/>
    <w:rsid w:val="006F3A71"/>
    <w:rsid w:val="007156B2"/>
    <w:rsid w:val="00726729"/>
    <w:rsid w:val="00730813"/>
    <w:rsid w:val="00732A31"/>
    <w:rsid w:val="0076278D"/>
    <w:rsid w:val="00784979"/>
    <w:rsid w:val="007927F6"/>
    <w:rsid w:val="0079500C"/>
    <w:rsid w:val="007A22F4"/>
    <w:rsid w:val="007A435B"/>
    <w:rsid w:val="007C5C58"/>
    <w:rsid w:val="007F08E8"/>
    <w:rsid w:val="00806A47"/>
    <w:rsid w:val="00817228"/>
    <w:rsid w:val="008249FE"/>
    <w:rsid w:val="008253A4"/>
    <w:rsid w:val="00825BF3"/>
    <w:rsid w:val="00826101"/>
    <w:rsid w:val="00832243"/>
    <w:rsid w:val="008365C4"/>
    <w:rsid w:val="008477FF"/>
    <w:rsid w:val="00855ABA"/>
    <w:rsid w:val="00860645"/>
    <w:rsid w:val="00866B36"/>
    <w:rsid w:val="008911D6"/>
    <w:rsid w:val="008A49FC"/>
    <w:rsid w:val="008B3E91"/>
    <w:rsid w:val="008C5424"/>
    <w:rsid w:val="008D2164"/>
    <w:rsid w:val="008D2C88"/>
    <w:rsid w:val="008D72D3"/>
    <w:rsid w:val="008E7A48"/>
    <w:rsid w:val="008F6ABD"/>
    <w:rsid w:val="00931E88"/>
    <w:rsid w:val="0093780C"/>
    <w:rsid w:val="00971038"/>
    <w:rsid w:val="00986BE8"/>
    <w:rsid w:val="009D0A7F"/>
    <w:rsid w:val="009D24EE"/>
    <w:rsid w:val="009D4614"/>
    <w:rsid w:val="009D6166"/>
    <w:rsid w:val="009E0445"/>
    <w:rsid w:val="009F5E18"/>
    <w:rsid w:val="009F6224"/>
    <w:rsid w:val="00A01E4B"/>
    <w:rsid w:val="00A0697A"/>
    <w:rsid w:val="00A10281"/>
    <w:rsid w:val="00A12DB6"/>
    <w:rsid w:val="00A245C6"/>
    <w:rsid w:val="00A24745"/>
    <w:rsid w:val="00A33187"/>
    <w:rsid w:val="00A426FC"/>
    <w:rsid w:val="00A5764B"/>
    <w:rsid w:val="00A713A2"/>
    <w:rsid w:val="00A74225"/>
    <w:rsid w:val="00A771A6"/>
    <w:rsid w:val="00A87584"/>
    <w:rsid w:val="00A875FA"/>
    <w:rsid w:val="00AA3517"/>
    <w:rsid w:val="00B00B5C"/>
    <w:rsid w:val="00B023BC"/>
    <w:rsid w:val="00B13A1C"/>
    <w:rsid w:val="00B3626A"/>
    <w:rsid w:val="00B52C6E"/>
    <w:rsid w:val="00B57A08"/>
    <w:rsid w:val="00B80E51"/>
    <w:rsid w:val="00B9202A"/>
    <w:rsid w:val="00B9288D"/>
    <w:rsid w:val="00B949D8"/>
    <w:rsid w:val="00BB6789"/>
    <w:rsid w:val="00BD56EF"/>
    <w:rsid w:val="00BE3C16"/>
    <w:rsid w:val="00BE75CD"/>
    <w:rsid w:val="00BF10DD"/>
    <w:rsid w:val="00BF313A"/>
    <w:rsid w:val="00C332E5"/>
    <w:rsid w:val="00C43145"/>
    <w:rsid w:val="00C4652F"/>
    <w:rsid w:val="00C50284"/>
    <w:rsid w:val="00C61374"/>
    <w:rsid w:val="00C92AFF"/>
    <w:rsid w:val="00CA68D1"/>
    <w:rsid w:val="00CD51A1"/>
    <w:rsid w:val="00CF08D2"/>
    <w:rsid w:val="00CF1E88"/>
    <w:rsid w:val="00CF3C03"/>
    <w:rsid w:val="00D05DE2"/>
    <w:rsid w:val="00D121D2"/>
    <w:rsid w:val="00D40071"/>
    <w:rsid w:val="00D45CA5"/>
    <w:rsid w:val="00D63D31"/>
    <w:rsid w:val="00D77C7C"/>
    <w:rsid w:val="00D8058E"/>
    <w:rsid w:val="00DC7B9B"/>
    <w:rsid w:val="00DE53CE"/>
    <w:rsid w:val="00DF71D5"/>
    <w:rsid w:val="00E23ABA"/>
    <w:rsid w:val="00E3775D"/>
    <w:rsid w:val="00E5116E"/>
    <w:rsid w:val="00E60C59"/>
    <w:rsid w:val="00E6145B"/>
    <w:rsid w:val="00E64D7E"/>
    <w:rsid w:val="00E85182"/>
    <w:rsid w:val="00E9087D"/>
    <w:rsid w:val="00EB64E9"/>
    <w:rsid w:val="00ED7E08"/>
    <w:rsid w:val="00F230C5"/>
    <w:rsid w:val="00F23B8C"/>
    <w:rsid w:val="00F24D11"/>
    <w:rsid w:val="00F5515F"/>
    <w:rsid w:val="00F90A9F"/>
    <w:rsid w:val="00FA3245"/>
    <w:rsid w:val="00FA7B29"/>
    <w:rsid w:val="00FB0F96"/>
    <w:rsid w:val="00FC31E0"/>
    <w:rsid w:val="00FC484E"/>
    <w:rsid w:val="00FC48C1"/>
    <w:rsid w:val="00FC6958"/>
    <w:rsid w:val="00FF2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E0445"/>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rsid w:val="009E0445"/>
    <w:pPr>
      <w:spacing w:after="120"/>
    </w:pPr>
  </w:style>
  <w:style w:type="paragraph" w:customStyle="1" w:styleId="AbtHeadB">
    <w:name w:val="AbtHead B"/>
    <w:basedOn w:val="Normal"/>
    <w:next w:val="BodyText"/>
    <w:rsid w:val="009E0445"/>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8D2164"/>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8D2164"/>
    <w:rPr>
      <w:sz w:val="16"/>
    </w:rPr>
  </w:style>
  <w:style w:type="paragraph" w:styleId="CommentText">
    <w:name w:val="annotation text"/>
    <w:basedOn w:val="Normal"/>
    <w:semiHidden/>
    <w:rsid w:val="008D2164"/>
    <w:rPr>
      <w:sz w:val="20"/>
      <w:szCs w:val="20"/>
    </w:rPr>
  </w:style>
  <w:style w:type="paragraph" w:styleId="BalloonText">
    <w:name w:val="Balloon Text"/>
    <w:basedOn w:val="Normal"/>
    <w:semiHidden/>
    <w:rsid w:val="008D2164"/>
    <w:rPr>
      <w:rFonts w:ascii="Tahoma" w:hAnsi="Tahoma" w:cs="Tahoma"/>
      <w:sz w:val="16"/>
      <w:szCs w:val="16"/>
    </w:rPr>
  </w:style>
  <w:style w:type="paragraph" w:styleId="Header">
    <w:name w:val="header"/>
    <w:basedOn w:val="Normal"/>
    <w:rsid w:val="00826101"/>
    <w:pPr>
      <w:tabs>
        <w:tab w:val="left" w:pos="1800"/>
        <w:tab w:val="center" w:pos="4320"/>
        <w:tab w:val="right" w:pos="8640"/>
      </w:tabs>
      <w:spacing w:line="264" w:lineRule="auto"/>
    </w:pPr>
    <w:rPr>
      <w:szCs w:val="20"/>
    </w:rPr>
  </w:style>
  <w:style w:type="paragraph" w:styleId="BodyTextIndent">
    <w:name w:val="Body Text Indent"/>
    <w:basedOn w:val="Normal"/>
    <w:rsid w:val="007A22F4"/>
    <w:pPr>
      <w:spacing w:after="120"/>
      <w:ind w:left="360"/>
    </w:pPr>
  </w:style>
  <w:style w:type="paragraph" w:customStyle="1" w:styleId="AbtHeadBOutlined">
    <w:name w:val="AbtHead B Outlined"/>
    <w:basedOn w:val="AbtHeadB"/>
    <w:next w:val="BodyText"/>
    <w:rsid w:val="007A22F4"/>
    <w:pPr>
      <w:tabs>
        <w:tab w:val="num" w:pos="720"/>
      </w:tabs>
      <w:ind w:left="720" w:hanging="720"/>
    </w:pPr>
  </w:style>
  <w:style w:type="paragraph" w:styleId="Footer">
    <w:name w:val="footer"/>
    <w:basedOn w:val="Normal"/>
    <w:rsid w:val="00BD56EF"/>
    <w:pPr>
      <w:tabs>
        <w:tab w:val="right" w:pos="7560"/>
        <w:tab w:val="right" w:pos="9000"/>
      </w:tabs>
    </w:pPr>
    <w:rPr>
      <w:rFonts w:ascii="Arial" w:hAnsi="Arial"/>
      <w:b/>
      <w:sz w:val="18"/>
      <w:szCs w:val="20"/>
    </w:rPr>
  </w:style>
  <w:style w:type="character" w:styleId="PageNumber">
    <w:name w:val="page number"/>
    <w:basedOn w:val="DefaultParagraphFont"/>
    <w:rsid w:val="00BD56EF"/>
    <w:rPr>
      <w:rFonts w:ascii="Arial" w:hAnsi="Arial"/>
      <w:dstrike w:val="0"/>
      <w:color w:val="auto"/>
      <w:sz w:val="18"/>
      <w:bdr w:val="none" w:sz="0" w:space="0" w:color="auto"/>
      <w:vertAlign w:val="baseline"/>
    </w:rPr>
  </w:style>
  <w:style w:type="paragraph" w:styleId="TOC1">
    <w:name w:val="toc 1"/>
    <w:basedOn w:val="BodyText"/>
    <w:next w:val="BodyText"/>
    <w:semiHidden/>
    <w:rsid w:val="00BD56EF"/>
    <w:pPr>
      <w:spacing w:before="240" w:after="0" w:line="264" w:lineRule="auto"/>
    </w:pPr>
    <w:rPr>
      <w:b/>
      <w:szCs w:val="20"/>
    </w:rPr>
  </w:style>
  <w:style w:type="paragraph" w:styleId="TOC2">
    <w:name w:val="toc 2"/>
    <w:basedOn w:val="BodyText"/>
    <w:next w:val="BodyText"/>
    <w:semiHidden/>
    <w:rsid w:val="00BD56EF"/>
    <w:pPr>
      <w:tabs>
        <w:tab w:val="left" w:pos="1080"/>
        <w:tab w:val="right" w:leader="dot" w:pos="8990"/>
      </w:tabs>
      <w:spacing w:after="0" w:line="264" w:lineRule="auto"/>
      <w:ind w:left="576"/>
    </w:pPr>
    <w:rPr>
      <w:noProof/>
      <w:szCs w:val="20"/>
    </w:rPr>
  </w:style>
  <w:style w:type="character" w:styleId="Hyperlink">
    <w:name w:val="Hyperlink"/>
    <w:basedOn w:val="DefaultParagraphFont"/>
    <w:rsid w:val="00BD56EF"/>
    <w:rPr>
      <w:color w:val="0000FF"/>
      <w:u w:val="single"/>
    </w:rPr>
  </w:style>
  <w:style w:type="character" w:styleId="FollowedHyperlink">
    <w:name w:val="FollowedHyperlink"/>
    <w:basedOn w:val="DefaultParagraphFont"/>
    <w:rsid w:val="00A74225"/>
    <w:rPr>
      <w:color w:val="993366"/>
      <w:u w:val="single"/>
    </w:rPr>
  </w:style>
  <w:style w:type="paragraph" w:customStyle="1" w:styleId="font5">
    <w:name w:val="font5"/>
    <w:basedOn w:val="Normal"/>
    <w:rsid w:val="00A74225"/>
    <w:pPr>
      <w:spacing w:before="100" w:beforeAutospacing="1" w:after="100" w:afterAutospacing="1"/>
    </w:pPr>
    <w:rPr>
      <w:rFonts w:ascii="Arial" w:hAnsi="Arial" w:cs="Arial"/>
      <w:sz w:val="16"/>
      <w:szCs w:val="16"/>
    </w:rPr>
  </w:style>
  <w:style w:type="paragraph" w:customStyle="1" w:styleId="font6">
    <w:name w:val="font6"/>
    <w:basedOn w:val="Normal"/>
    <w:rsid w:val="00A74225"/>
    <w:pPr>
      <w:spacing w:before="100" w:beforeAutospacing="1" w:after="100" w:afterAutospacing="1"/>
    </w:pPr>
    <w:rPr>
      <w:rFonts w:ascii="Arial" w:hAnsi="Arial" w:cs="Arial"/>
      <w:sz w:val="16"/>
      <w:szCs w:val="16"/>
    </w:rPr>
  </w:style>
  <w:style w:type="paragraph" w:customStyle="1" w:styleId="font7">
    <w:name w:val="font7"/>
    <w:basedOn w:val="Normal"/>
    <w:rsid w:val="00A74225"/>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A74225"/>
    <w:pPr>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A74225"/>
    <w:pPr>
      <w:spacing w:before="100" w:beforeAutospacing="1" w:after="100" w:afterAutospacing="1"/>
    </w:pPr>
    <w:rPr>
      <w:rFonts w:ascii="Arial" w:hAnsi="Arial" w:cs="Arial"/>
      <w:b/>
      <w:bCs/>
      <w:sz w:val="16"/>
      <w:szCs w:val="16"/>
    </w:rPr>
  </w:style>
  <w:style w:type="paragraph" w:customStyle="1" w:styleId="xl66">
    <w:name w:val="xl66"/>
    <w:basedOn w:val="Normal"/>
    <w:rsid w:val="00A74225"/>
    <w:pPr>
      <w:spacing w:before="100" w:beforeAutospacing="1" w:after="100" w:afterAutospacing="1"/>
      <w:jc w:val="center"/>
    </w:pPr>
    <w:rPr>
      <w:rFonts w:ascii="Arial" w:hAnsi="Arial" w:cs="Arial"/>
      <w:b/>
      <w:bCs/>
      <w:sz w:val="16"/>
      <w:szCs w:val="16"/>
    </w:rPr>
  </w:style>
  <w:style w:type="paragraph" w:customStyle="1" w:styleId="xl67">
    <w:name w:val="xl67"/>
    <w:basedOn w:val="Normal"/>
    <w:rsid w:val="00A74225"/>
    <w:pPr>
      <w:spacing w:before="100" w:beforeAutospacing="1" w:after="100" w:afterAutospacing="1"/>
    </w:pPr>
    <w:rPr>
      <w:rFonts w:ascii="Arial" w:hAnsi="Arial" w:cs="Arial"/>
      <w:b/>
      <w:bCs/>
      <w:sz w:val="16"/>
      <w:szCs w:val="16"/>
    </w:rPr>
  </w:style>
  <w:style w:type="paragraph" w:customStyle="1" w:styleId="xl68">
    <w:name w:val="xl68"/>
    <w:basedOn w:val="Normal"/>
    <w:rsid w:val="00A74225"/>
    <w:pPr>
      <w:spacing w:before="100" w:beforeAutospacing="1" w:after="100" w:afterAutospacing="1"/>
    </w:pPr>
    <w:rPr>
      <w:sz w:val="16"/>
      <w:szCs w:val="16"/>
    </w:rPr>
  </w:style>
  <w:style w:type="paragraph" w:customStyle="1" w:styleId="xl69">
    <w:name w:val="xl69"/>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0">
    <w:name w:val="xl70"/>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A7422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Normal"/>
    <w:rsid w:val="00A7422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Normal"/>
    <w:rsid w:val="00A7422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Normal"/>
    <w:rsid w:val="00A74225"/>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Normal"/>
    <w:rsid w:val="00A74225"/>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79">
    <w:name w:val="xl79"/>
    <w:basedOn w:val="Normal"/>
    <w:rsid w:val="00A74225"/>
    <w:pPr>
      <w:pBdr>
        <w:top w:val="single" w:sz="8"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80">
    <w:name w:val="xl80"/>
    <w:basedOn w:val="Normal"/>
    <w:rsid w:val="00A74225"/>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2">
    <w:name w:val="xl82"/>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3">
    <w:name w:val="xl83"/>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Normal"/>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Normal"/>
    <w:rsid w:val="00A7422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6">
    <w:name w:val="xl86"/>
    <w:basedOn w:val="Normal"/>
    <w:rsid w:val="00A74225"/>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88">
    <w:name w:val="xl88"/>
    <w:basedOn w:val="Normal"/>
    <w:rsid w:val="00A74225"/>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Normal"/>
    <w:rsid w:val="00A7422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Normal"/>
    <w:rsid w:val="00A7422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91">
    <w:name w:val="xl91"/>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Normal"/>
    <w:rsid w:val="00A74225"/>
    <w:pPr>
      <w:pBdr>
        <w:left w:val="single" w:sz="4" w:space="0" w:color="auto"/>
        <w:bottom w:val="single" w:sz="4" w:space="0" w:color="auto"/>
      </w:pBdr>
      <w:spacing w:before="100" w:beforeAutospacing="1" w:after="100" w:afterAutospacing="1"/>
    </w:pPr>
    <w:rPr>
      <w:sz w:val="16"/>
      <w:szCs w:val="16"/>
    </w:rPr>
  </w:style>
  <w:style w:type="paragraph" w:customStyle="1" w:styleId="xl94">
    <w:name w:val="xl94"/>
    <w:basedOn w:val="Normal"/>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Normal"/>
    <w:rsid w:val="00A74225"/>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rsid w:val="00A74225"/>
    <w:pPr>
      <w:spacing w:before="100" w:beforeAutospacing="1" w:after="100" w:afterAutospacing="1"/>
    </w:pPr>
    <w:rPr>
      <w:rFonts w:ascii="Arial" w:hAnsi="Arial" w:cs="Arial"/>
      <w:b/>
      <w:bCs/>
      <w:sz w:val="32"/>
      <w:szCs w:val="32"/>
    </w:rPr>
  </w:style>
  <w:style w:type="paragraph" w:customStyle="1" w:styleId="xl97">
    <w:name w:val="xl97"/>
    <w:basedOn w:val="Normal"/>
    <w:rsid w:val="00A742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DD0806"/>
      <w:sz w:val="16"/>
      <w:szCs w:val="16"/>
    </w:rPr>
  </w:style>
  <w:style w:type="paragraph" w:customStyle="1" w:styleId="xl98">
    <w:name w:val="xl98"/>
    <w:basedOn w:val="Normal"/>
    <w:rsid w:val="00A74225"/>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99">
    <w:name w:val="xl99"/>
    <w:basedOn w:val="Normal"/>
    <w:rsid w:val="00A7422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00">
    <w:name w:val="xl100"/>
    <w:basedOn w:val="Normal"/>
    <w:rsid w:val="00A7422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A74225"/>
    <w:pPr>
      <w:pBdr>
        <w:top w:val="single" w:sz="4" w:space="0" w:color="auto"/>
        <w:bottom w:val="single" w:sz="4" w:space="0" w:color="auto"/>
      </w:pBdr>
      <w:spacing w:before="100" w:beforeAutospacing="1" w:after="100" w:afterAutospacing="1"/>
    </w:pPr>
  </w:style>
  <w:style w:type="paragraph" w:customStyle="1" w:styleId="xl102">
    <w:name w:val="xl102"/>
    <w:basedOn w:val="Normal"/>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74225"/>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A74225"/>
    <w:pPr>
      <w:pBdr>
        <w:top w:val="single" w:sz="4" w:space="0" w:color="auto"/>
        <w:left w:val="single" w:sz="4" w:space="0" w:color="auto"/>
      </w:pBdr>
      <w:spacing w:before="100" w:beforeAutospacing="1" w:after="100" w:afterAutospacing="1"/>
    </w:pPr>
    <w:rPr>
      <w:sz w:val="16"/>
      <w:szCs w:val="16"/>
    </w:rPr>
  </w:style>
  <w:style w:type="paragraph" w:customStyle="1" w:styleId="xl105">
    <w:name w:val="xl105"/>
    <w:basedOn w:val="Normal"/>
    <w:rsid w:val="00A74225"/>
    <w:pPr>
      <w:pBdr>
        <w:top w:val="single" w:sz="4" w:space="0" w:color="auto"/>
        <w:right w:val="single" w:sz="4" w:space="0" w:color="auto"/>
      </w:pBdr>
      <w:spacing w:before="100" w:beforeAutospacing="1" w:after="100" w:afterAutospacing="1"/>
    </w:pPr>
  </w:style>
  <w:style w:type="paragraph" w:customStyle="1" w:styleId="xl106">
    <w:name w:val="xl106"/>
    <w:basedOn w:val="Normal"/>
    <w:rsid w:val="00A74225"/>
    <w:pPr>
      <w:pBdr>
        <w:bottom w:val="single" w:sz="4" w:space="0" w:color="auto"/>
        <w:right w:val="single" w:sz="4" w:space="0" w:color="auto"/>
      </w:pBdr>
      <w:spacing w:before="100" w:beforeAutospacing="1" w:after="100" w:afterAutospacing="1"/>
    </w:pPr>
  </w:style>
  <w:style w:type="paragraph" w:styleId="CommentSubject">
    <w:name w:val="annotation subject"/>
    <w:basedOn w:val="CommentText"/>
    <w:next w:val="CommentText"/>
    <w:semiHidden/>
    <w:rsid w:val="008B3E91"/>
    <w:rPr>
      <w:b/>
      <w:bCs/>
    </w:rPr>
  </w:style>
  <w:style w:type="paragraph" w:styleId="NormalWeb">
    <w:name w:val="Normal (Web)"/>
    <w:basedOn w:val="Normal"/>
    <w:rsid w:val="003F1CB4"/>
    <w:pPr>
      <w:spacing w:before="100" w:beforeAutospacing="1" w:after="100" w:afterAutospacing="1"/>
    </w:pPr>
  </w:style>
  <w:style w:type="paragraph" w:customStyle="1" w:styleId="CM50">
    <w:name w:val="CM50"/>
    <w:basedOn w:val="Normal"/>
    <w:next w:val="Normal"/>
    <w:rsid w:val="00806A47"/>
    <w:pPr>
      <w:autoSpaceDE w:val="0"/>
      <w:autoSpaceDN w:val="0"/>
      <w:adjustRightInd w:val="0"/>
    </w:pPr>
    <w:rPr>
      <w:rFonts w:ascii="Arial" w:hAnsi="Arial"/>
    </w:rPr>
  </w:style>
  <w:style w:type="table" w:styleId="TableGrid">
    <w:name w:val="Table Grid"/>
    <w:basedOn w:val="TableNormal"/>
    <w:rsid w:val="00730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8365C4"/>
    <w:pPr>
      <w:ind w:left="480"/>
    </w:pPr>
  </w:style>
  <w:style w:type="paragraph" w:styleId="Revision">
    <w:name w:val="Revision"/>
    <w:hidden/>
    <w:uiPriority w:val="99"/>
    <w:semiHidden/>
    <w:rsid w:val="000A1181"/>
    <w:rPr>
      <w:sz w:val="24"/>
      <w:szCs w:val="24"/>
    </w:rPr>
  </w:style>
  <w:style w:type="paragraph" w:styleId="ListParagraph">
    <w:name w:val="List Paragraph"/>
    <w:basedOn w:val="Normal"/>
    <w:uiPriority w:val="34"/>
    <w:qFormat/>
    <w:rsid w:val="00242A7C"/>
    <w:pPr>
      <w:ind w:left="720"/>
      <w:contextualSpacing/>
    </w:pPr>
  </w:style>
</w:styles>
</file>

<file path=word/webSettings.xml><?xml version="1.0" encoding="utf-8"?>
<w:webSettings xmlns:r="http://schemas.openxmlformats.org/officeDocument/2006/relationships" xmlns:w="http://schemas.openxmlformats.org/wordprocessingml/2006/main">
  <w:divs>
    <w:div w:id="199632397">
      <w:bodyDiv w:val="1"/>
      <w:marLeft w:val="0"/>
      <w:marRight w:val="0"/>
      <w:marTop w:val="0"/>
      <w:marBottom w:val="0"/>
      <w:divBdr>
        <w:top w:val="none" w:sz="0" w:space="0" w:color="auto"/>
        <w:left w:val="none" w:sz="0" w:space="0" w:color="auto"/>
        <w:bottom w:val="none" w:sz="0" w:space="0" w:color="auto"/>
        <w:right w:val="none" w:sz="0" w:space="0" w:color="auto"/>
      </w:divBdr>
    </w:div>
    <w:div w:id="213087206">
      <w:bodyDiv w:val="1"/>
      <w:marLeft w:val="0"/>
      <w:marRight w:val="0"/>
      <w:marTop w:val="0"/>
      <w:marBottom w:val="0"/>
      <w:divBdr>
        <w:top w:val="none" w:sz="0" w:space="0" w:color="auto"/>
        <w:left w:val="none" w:sz="0" w:space="0" w:color="auto"/>
        <w:bottom w:val="none" w:sz="0" w:space="0" w:color="auto"/>
        <w:right w:val="none" w:sz="0" w:space="0" w:color="auto"/>
      </w:divBdr>
    </w:div>
    <w:div w:id="359480888">
      <w:bodyDiv w:val="1"/>
      <w:marLeft w:val="0"/>
      <w:marRight w:val="0"/>
      <w:marTop w:val="0"/>
      <w:marBottom w:val="0"/>
      <w:divBdr>
        <w:top w:val="none" w:sz="0" w:space="0" w:color="auto"/>
        <w:left w:val="none" w:sz="0" w:space="0" w:color="auto"/>
        <w:bottom w:val="none" w:sz="0" w:space="0" w:color="auto"/>
        <w:right w:val="none" w:sz="0" w:space="0" w:color="auto"/>
      </w:divBdr>
    </w:div>
    <w:div w:id="554660913">
      <w:bodyDiv w:val="1"/>
      <w:marLeft w:val="0"/>
      <w:marRight w:val="0"/>
      <w:marTop w:val="0"/>
      <w:marBottom w:val="0"/>
      <w:divBdr>
        <w:top w:val="none" w:sz="0" w:space="0" w:color="auto"/>
        <w:left w:val="none" w:sz="0" w:space="0" w:color="auto"/>
        <w:bottom w:val="none" w:sz="0" w:space="0" w:color="auto"/>
        <w:right w:val="none" w:sz="0" w:space="0" w:color="auto"/>
      </w:divBdr>
    </w:div>
    <w:div w:id="725568601">
      <w:bodyDiv w:val="1"/>
      <w:marLeft w:val="0"/>
      <w:marRight w:val="0"/>
      <w:marTop w:val="0"/>
      <w:marBottom w:val="0"/>
      <w:divBdr>
        <w:top w:val="none" w:sz="0" w:space="0" w:color="auto"/>
        <w:left w:val="none" w:sz="0" w:space="0" w:color="auto"/>
        <w:bottom w:val="none" w:sz="0" w:space="0" w:color="auto"/>
        <w:right w:val="none" w:sz="0" w:space="0" w:color="auto"/>
      </w:divBdr>
    </w:div>
    <w:div w:id="749540967">
      <w:bodyDiv w:val="1"/>
      <w:marLeft w:val="0"/>
      <w:marRight w:val="0"/>
      <w:marTop w:val="0"/>
      <w:marBottom w:val="0"/>
      <w:divBdr>
        <w:top w:val="none" w:sz="0" w:space="0" w:color="auto"/>
        <w:left w:val="none" w:sz="0" w:space="0" w:color="auto"/>
        <w:bottom w:val="none" w:sz="0" w:space="0" w:color="auto"/>
        <w:right w:val="none" w:sz="0" w:space="0" w:color="auto"/>
      </w:divBdr>
    </w:div>
    <w:div w:id="1137525861">
      <w:bodyDiv w:val="1"/>
      <w:marLeft w:val="0"/>
      <w:marRight w:val="0"/>
      <w:marTop w:val="0"/>
      <w:marBottom w:val="0"/>
      <w:divBdr>
        <w:top w:val="none" w:sz="0" w:space="0" w:color="auto"/>
        <w:left w:val="none" w:sz="0" w:space="0" w:color="auto"/>
        <w:bottom w:val="none" w:sz="0" w:space="0" w:color="auto"/>
        <w:right w:val="none" w:sz="0" w:space="0" w:color="auto"/>
      </w:divBdr>
    </w:div>
    <w:div w:id="1543401405">
      <w:bodyDiv w:val="1"/>
      <w:marLeft w:val="0"/>
      <w:marRight w:val="0"/>
      <w:marTop w:val="0"/>
      <w:marBottom w:val="0"/>
      <w:divBdr>
        <w:top w:val="none" w:sz="0" w:space="0" w:color="auto"/>
        <w:left w:val="none" w:sz="0" w:space="0" w:color="auto"/>
        <w:bottom w:val="none" w:sz="0" w:space="0" w:color="auto"/>
        <w:right w:val="none" w:sz="0" w:space="0" w:color="auto"/>
      </w:divBdr>
    </w:div>
    <w:div w:id="20631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9EC8-77B2-42FA-861D-48751FB4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7068</Words>
  <Characters>43397</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Part A Justification</vt:lpstr>
    </vt:vector>
  </TitlesOfParts>
  <Company>Abt Associates Inc.</Company>
  <LinksUpToDate>false</LinksUpToDate>
  <CharactersWithSpaces>50365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subject/>
  <dc:creator>HoltE</dc:creator>
  <cp:keywords/>
  <dc:description/>
  <cp:lastModifiedBy>H03382</cp:lastModifiedBy>
  <cp:revision>2</cp:revision>
  <dcterms:created xsi:type="dcterms:W3CDTF">2011-08-10T13:40:00Z</dcterms:created>
  <dcterms:modified xsi:type="dcterms:W3CDTF">2011-08-10T13:40:00Z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-1952000121</vt:i4>
  </property>
  <property fmtid="{D5CDD505-2E9C-101B-9397-08002B2CF9AE}" pid="3" name="_NewReviewCycle">
    <vt:lpwstr/>
  </property>
  <property fmtid="{D5CDD505-2E9C-101B-9397-08002B2CF9AE}" pid="4" name="_EmailSubject">
    <vt:lpwstr>edits we discussed</vt:lpwstr>
  </property>
  <property fmtid="{D5CDD505-2E9C-101B-9397-08002B2CF9AE}" pid="5" name="_AuthorEmail">
    <vt:lpwstr>William.Kelleher@hud.gov</vt:lpwstr>
  </property>
  <property fmtid="{D5CDD505-2E9C-101B-9397-08002B2CF9AE}" pid="6" name="_AuthorEmailDisplayName">
    <vt:lpwstr>Kelleher, William D</vt:lpwstr>
  </property>
  <property fmtid="{D5CDD505-2E9C-101B-9397-08002B2CF9AE}" pid="7" name="_PreviousAdHocReviewCycleID">
    <vt:i4>-1952000121</vt:i4>
  </property>
  <property fmtid="{D5CDD505-2E9C-101B-9397-08002B2CF9AE}" pid="8" name="_ReviewingToolsShownOnce">
    <vt:lpwstr/>
  </property>
</Properties>
</file>