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6F" w:rsidRDefault="0060036F" w:rsidP="0060036F">
      <w:pPr>
        <w:rPr>
          <w:rFonts w:ascii="Arial" w:hAnsi="Arial" w:cs="Arial"/>
          <w:b/>
          <w:sz w:val="52"/>
          <w:szCs w:val="52"/>
        </w:rPr>
      </w:pPr>
      <w:r>
        <w:rPr>
          <w:rFonts w:ascii="Arial" w:hAnsi="Arial" w:cs="Arial"/>
          <w:b/>
          <w:sz w:val="52"/>
          <w:szCs w:val="52"/>
        </w:rPr>
        <w:t>Volume I:</w:t>
      </w:r>
    </w:p>
    <w:p w:rsidR="0060036F" w:rsidRDefault="0060036F" w:rsidP="0060036F">
      <w:pPr>
        <w:rPr>
          <w:rFonts w:ascii="Arial" w:hAnsi="Arial" w:cs="Arial"/>
          <w:sz w:val="48"/>
          <w:szCs w:val="48"/>
        </w:rPr>
      </w:pPr>
    </w:p>
    <w:p w:rsidR="008160F9" w:rsidRPr="008160F9" w:rsidRDefault="0060036F" w:rsidP="008160F9">
      <w:pPr>
        <w:rPr>
          <w:rFonts w:ascii="Arial" w:hAnsi="Arial" w:cs="Arial"/>
          <w:sz w:val="40"/>
          <w:szCs w:val="40"/>
        </w:rPr>
      </w:pPr>
      <w:r>
        <w:rPr>
          <w:rFonts w:ascii="Arial" w:hAnsi="Arial" w:cs="Arial"/>
          <w:sz w:val="40"/>
          <w:szCs w:val="40"/>
        </w:rPr>
        <w:t xml:space="preserve">Request for Clearance for </w:t>
      </w:r>
      <w:bookmarkStart w:id="0" w:name="_GoBack"/>
      <w:r w:rsidR="008160F9" w:rsidRPr="008160F9">
        <w:rPr>
          <w:rFonts w:ascii="Arial" w:hAnsi="Arial" w:cs="Arial"/>
          <w:sz w:val="40"/>
          <w:szCs w:val="40"/>
        </w:rPr>
        <w:t>Adult Training and Education Study (ATES) Focus Groups</w:t>
      </w:r>
      <w:r w:rsidR="008160F9">
        <w:rPr>
          <w:rFonts w:ascii="Arial" w:hAnsi="Arial" w:cs="Arial"/>
          <w:sz w:val="40"/>
          <w:szCs w:val="40"/>
        </w:rPr>
        <w:t xml:space="preserve"> 2013</w:t>
      </w:r>
      <w:r w:rsidR="008160F9" w:rsidRPr="008160F9">
        <w:rPr>
          <w:rFonts w:ascii="Arial" w:hAnsi="Arial" w:cs="Arial"/>
          <w:sz w:val="40"/>
          <w:szCs w:val="40"/>
        </w:rPr>
        <w:t xml:space="preserve"> on Participation in Work-Related Training</w:t>
      </w:r>
      <w:bookmarkEnd w:id="0"/>
    </w:p>
    <w:p w:rsidR="0060036F" w:rsidRDefault="0060036F" w:rsidP="0060036F">
      <w:pPr>
        <w:rPr>
          <w:rFonts w:ascii="Arial" w:hAnsi="Arial" w:cs="Arial"/>
          <w:sz w:val="40"/>
          <w:szCs w:val="40"/>
        </w:rPr>
      </w:pPr>
    </w:p>
    <w:p w:rsidR="0060036F" w:rsidRDefault="0060036F" w:rsidP="0060036F">
      <w:pPr>
        <w:rPr>
          <w:rFonts w:ascii="Arial" w:hAnsi="Arial" w:cs="Arial"/>
          <w:sz w:val="40"/>
          <w:szCs w:val="40"/>
        </w:rPr>
      </w:pPr>
    </w:p>
    <w:p w:rsidR="0060036F" w:rsidRDefault="0060036F" w:rsidP="0060036F">
      <w:pPr>
        <w:rPr>
          <w:rFonts w:ascii="Arial" w:hAnsi="Arial" w:cs="Arial"/>
          <w:sz w:val="32"/>
          <w:szCs w:val="32"/>
        </w:rPr>
      </w:pPr>
      <w:r w:rsidRPr="00005686">
        <w:rPr>
          <w:rFonts w:ascii="Arial" w:hAnsi="Arial" w:cs="Arial"/>
          <w:sz w:val="32"/>
          <w:szCs w:val="32"/>
        </w:rPr>
        <w:t>1850-0803 v.</w:t>
      </w:r>
      <w:r w:rsidR="00005686" w:rsidRPr="00005686">
        <w:rPr>
          <w:rFonts w:ascii="Arial" w:hAnsi="Arial" w:cs="Arial"/>
          <w:sz w:val="32"/>
          <w:szCs w:val="32"/>
        </w:rPr>
        <w:t>78</w:t>
      </w: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p>
    <w:p w:rsidR="0060036F" w:rsidRDefault="0060036F" w:rsidP="0060036F">
      <w:pPr>
        <w:rPr>
          <w:rFonts w:ascii="Arial" w:hAnsi="Arial" w:cs="Arial"/>
          <w:sz w:val="32"/>
          <w:szCs w:val="32"/>
        </w:rPr>
      </w:pPr>
      <w:r>
        <w:rPr>
          <w:rFonts w:ascii="Arial" w:hAnsi="Arial" w:cs="Arial"/>
          <w:sz w:val="32"/>
          <w:szCs w:val="32"/>
        </w:rPr>
        <w:t xml:space="preserve">April </w:t>
      </w:r>
      <w:r w:rsidR="00522DA2">
        <w:rPr>
          <w:rFonts w:ascii="Arial" w:hAnsi="Arial" w:cs="Arial"/>
          <w:sz w:val="32"/>
          <w:szCs w:val="32"/>
        </w:rPr>
        <w:t>15</w:t>
      </w:r>
      <w:r>
        <w:rPr>
          <w:rFonts w:ascii="Arial" w:hAnsi="Arial" w:cs="Arial"/>
          <w:sz w:val="32"/>
          <w:szCs w:val="32"/>
        </w:rPr>
        <w:t>, 2013</w:t>
      </w:r>
    </w:p>
    <w:p w:rsidR="0060036F" w:rsidRPr="00225650" w:rsidRDefault="0060036F" w:rsidP="0060036F">
      <w:pPr>
        <w:rPr>
          <w:b/>
          <w:sz w:val="28"/>
          <w:szCs w:val="28"/>
        </w:rPr>
      </w:pPr>
      <w:r>
        <w:rPr>
          <w:b/>
          <w:sz w:val="28"/>
          <w:szCs w:val="28"/>
        </w:rPr>
        <w:br w:type="page"/>
      </w:r>
      <w:r w:rsidRPr="00225650">
        <w:rPr>
          <w:b/>
          <w:sz w:val="28"/>
          <w:szCs w:val="28"/>
        </w:rPr>
        <w:lastRenderedPageBreak/>
        <w:t>Justification</w:t>
      </w:r>
    </w:p>
    <w:p w:rsidR="0060036F" w:rsidRDefault="0060036F" w:rsidP="0060036F">
      <w:pPr>
        <w:rPr>
          <w:b/>
        </w:rPr>
      </w:pPr>
    </w:p>
    <w:p w:rsidR="000073A2" w:rsidRDefault="0060036F" w:rsidP="0060036F">
      <w:r>
        <w:t>The Departments of Education, Commerce, and Labor</w:t>
      </w:r>
      <w:r w:rsidR="00B66E58">
        <w:t xml:space="preserve"> and the National Science Foundation</w:t>
      </w:r>
      <w:r>
        <w:t xml:space="preserve"> have been working jointly</w:t>
      </w:r>
      <w:r w:rsidR="00B66E58">
        <w:t xml:space="preserve"> with the Office of Management and Budget, the Council of Economic Advisors, and the Office of the Under Secretary of Education</w:t>
      </w:r>
      <w:r>
        <w:t xml:space="preserve">, via an Interagency Working Group </w:t>
      </w:r>
      <w:r w:rsidR="005B7D67">
        <w:t xml:space="preserve">on Expanded Measures of Enrollment and Attainment </w:t>
      </w:r>
      <w:r>
        <w:t>(</w:t>
      </w:r>
      <w:r w:rsidR="005B7D67">
        <w:t>GEMEnA</w:t>
      </w:r>
      <w:r>
        <w:t xml:space="preserve">), on the development of survey items </w:t>
      </w:r>
      <w:r w:rsidR="00F85146">
        <w:t xml:space="preserve">focused on </w:t>
      </w:r>
      <w:r w:rsidR="00FF7106">
        <w:t>participation in</w:t>
      </w:r>
      <w:r>
        <w:t xml:space="preserve"> training</w:t>
      </w:r>
      <w:r w:rsidR="00FF7106">
        <w:t xml:space="preserve"> and education</w:t>
      </w:r>
      <w:r>
        <w:t xml:space="preserve"> </w:t>
      </w:r>
      <w:r w:rsidR="003B7F9D">
        <w:t>among</w:t>
      </w:r>
      <w:r w:rsidR="00E86F7C">
        <w:t xml:space="preserve"> the </w:t>
      </w:r>
      <w:r>
        <w:t>US adult population</w:t>
      </w:r>
      <w:r w:rsidR="00E86F7C">
        <w:t xml:space="preserve">. </w:t>
      </w:r>
      <w:r w:rsidR="000073A2">
        <w:t>The items resulting from this effort will allow for updates to items used in existing federal data collections so that they reflect current trends in adult training and education. They also</w:t>
      </w:r>
      <w:r w:rsidR="00E86F7C">
        <w:t xml:space="preserve"> will support the development of a new </w:t>
      </w:r>
      <w:r w:rsidR="00E72AB4">
        <w:t xml:space="preserve">federal </w:t>
      </w:r>
      <w:r w:rsidR="00E86F7C">
        <w:t xml:space="preserve">survey focused on education, training, and credentials. </w:t>
      </w:r>
    </w:p>
    <w:p w:rsidR="005B7D67" w:rsidRDefault="005B7D67" w:rsidP="0060036F"/>
    <w:p w:rsidR="005B7D67" w:rsidRPr="005B7D67" w:rsidRDefault="005B7D67" w:rsidP="0060036F">
      <w:r w:rsidRPr="005B7D67">
        <w:rPr>
          <w:color w:val="000000"/>
          <w:shd w:val="clear" w:color="auto" w:fill="FFFFFF"/>
        </w:rPr>
        <w:t xml:space="preserve">This request is focused on </w:t>
      </w:r>
      <w:proofErr w:type="spellStart"/>
      <w:r w:rsidRPr="005B7D67">
        <w:rPr>
          <w:color w:val="000000"/>
          <w:shd w:val="clear" w:color="auto" w:fill="FFFFFF"/>
        </w:rPr>
        <w:t>GEMEnA's</w:t>
      </w:r>
      <w:proofErr w:type="spellEnd"/>
      <w:r w:rsidRPr="005B7D67">
        <w:rPr>
          <w:color w:val="000000"/>
          <w:shd w:val="clear" w:color="auto" w:fill="FFFFFF"/>
        </w:rPr>
        <w:t xml:space="preserve"> third strand of work: to </w:t>
      </w:r>
      <w:r w:rsidRPr="005B7D67">
        <w:rPr>
          <w:rStyle w:val="Emphasis"/>
          <w:b/>
          <w:bCs/>
          <w:color w:val="000000"/>
          <w:shd w:val="clear" w:color="auto" w:fill="FFFFFF"/>
        </w:rPr>
        <w:t>consider new and revised measures of participation in education and training designed to prepare out-of-school youth and adults for work.</w:t>
      </w:r>
      <w:r w:rsidRPr="005B7D67">
        <w:rPr>
          <w:color w:val="000000"/>
          <w:shd w:val="clear" w:color="auto" w:fill="FFFFFF"/>
        </w:rPr>
        <w:t> Existing federal data collections with survey items on enrollment and participation will benefit from a freshening of questionnaire items to better reflect current trends in delivery (including the expansion of on-line learning) and expanded policy interest related to federal and state investments in education and training for work. To begin this strand, GEMEnA commissioned a</w:t>
      </w:r>
      <w:r w:rsidRPr="005B7D67">
        <w:rPr>
          <w:rStyle w:val="apple-converted-space"/>
          <w:color w:val="000000"/>
          <w:shd w:val="clear" w:color="auto" w:fill="FFFFFF"/>
        </w:rPr>
        <w:t> </w:t>
      </w:r>
      <w:r w:rsidRPr="00AB0A2F">
        <w:rPr>
          <w:shd w:val="clear" w:color="auto" w:fill="FFFFFF"/>
        </w:rPr>
        <w:t>background paper</w:t>
      </w:r>
      <w:r w:rsidR="00AB0A2F" w:rsidRPr="00AB0A2F">
        <w:rPr>
          <w:rStyle w:val="FootnoteReference"/>
          <w:shd w:val="clear" w:color="auto" w:fill="FFFFFF"/>
        </w:rPr>
        <w:footnoteReference w:id="1"/>
      </w:r>
      <w:r w:rsidRPr="005B7D67">
        <w:rPr>
          <w:rStyle w:val="apple-converted-space"/>
          <w:color w:val="000000"/>
          <w:shd w:val="clear" w:color="auto" w:fill="FFFFFF"/>
        </w:rPr>
        <w:t> </w:t>
      </w:r>
      <w:r w:rsidRPr="005B7D67">
        <w:rPr>
          <w:color w:val="000000"/>
          <w:shd w:val="clear" w:color="auto" w:fill="FFFFFF"/>
        </w:rPr>
        <w:t>to describe the two main types of education and training for work that occur outside of traditional credit-bearing postsecondary education: non-credit coursework and formal on-the-job training. Along with the first two st</w:t>
      </w:r>
      <w:r w:rsidR="00AB0A2F">
        <w:rPr>
          <w:color w:val="000000"/>
          <w:shd w:val="clear" w:color="auto" w:fill="FFFFFF"/>
        </w:rPr>
        <w:t>r</w:t>
      </w:r>
      <w:r w:rsidRPr="005B7D67">
        <w:rPr>
          <w:color w:val="000000"/>
          <w:shd w:val="clear" w:color="auto" w:fill="FFFFFF"/>
        </w:rPr>
        <w:t xml:space="preserve">ands of work, this strand will support the development of a new federal household survey focusing on education, </w:t>
      </w:r>
      <w:r>
        <w:rPr>
          <w:color w:val="000000"/>
          <w:shd w:val="clear" w:color="auto" w:fill="FFFFFF"/>
        </w:rPr>
        <w:t>training, and credentials</w:t>
      </w:r>
      <w:r w:rsidRPr="005B7D67">
        <w:rPr>
          <w:color w:val="000000"/>
          <w:shd w:val="clear" w:color="auto" w:fill="FFFFFF"/>
        </w:rPr>
        <w:t>.</w:t>
      </w:r>
      <w:r>
        <w:rPr>
          <w:color w:val="000000"/>
          <w:shd w:val="clear" w:color="auto" w:fill="FFFFFF"/>
        </w:rPr>
        <w:t xml:space="preserve"> These focus groups are part of the survey development.</w:t>
      </w:r>
    </w:p>
    <w:p w:rsidR="000073A2" w:rsidRDefault="000073A2" w:rsidP="0060036F"/>
    <w:p w:rsidR="0060036F" w:rsidRDefault="000073A2" w:rsidP="003B7F9D">
      <w:proofErr w:type="gramStart"/>
      <w:r>
        <w:t xml:space="preserve">In particular, this submittal requests approval </w:t>
      </w:r>
      <w:r w:rsidRPr="003B7F9D">
        <w:t>for focus groups on</w:t>
      </w:r>
      <w:r w:rsidR="003B7F9D">
        <w:t xml:space="preserve"> </w:t>
      </w:r>
      <w:r w:rsidR="00EB26E7">
        <w:t>a specific</w:t>
      </w:r>
      <w:r w:rsidR="003B7F9D">
        <w:t xml:space="preserve"> type of adult training and education – </w:t>
      </w:r>
      <w:r w:rsidRPr="003B7F9D">
        <w:t>work-related training</w:t>
      </w:r>
      <w:r w:rsidR="003B7F9D">
        <w:t>.</w:t>
      </w:r>
      <w:proofErr w:type="gramEnd"/>
      <w:r w:rsidR="003B7F9D">
        <w:t xml:space="preserve"> The proposed focus groups represent initial attempts at better </w:t>
      </w:r>
      <w:r w:rsidR="00531414">
        <w:t xml:space="preserve">defining work-related training, as well as </w:t>
      </w:r>
      <w:r w:rsidR="003B7F9D">
        <w:t>understanding the prevalence and nature of work-related training</w:t>
      </w:r>
      <w:r w:rsidR="00531414">
        <w:t xml:space="preserve"> among the US adult population</w:t>
      </w:r>
      <w:r w:rsidR="003B7F9D">
        <w:t>.</w:t>
      </w:r>
    </w:p>
    <w:p w:rsidR="0060036F" w:rsidRDefault="0060036F" w:rsidP="0060036F"/>
    <w:p w:rsidR="0060036F" w:rsidRPr="00225650" w:rsidRDefault="0060036F" w:rsidP="0060036F">
      <w:pPr>
        <w:rPr>
          <w:b/>
          <w:sz w:val="28"/>
          <w:szCs w:val="28"/>
        </w:rPr>
      </w:pPr>
      <w:r>
        <w:rPr>
          <w:b/>
          <w:sz w:val="28"/>
          <w:szCs w:val="28"/>
        </w:rPr>
        <w:t>Research Design</w:t>
      </w:r>
    </w:p>
    <w:p w:rsidR="0060036F" w:rsidRDefault="0060036F" w:rsidP="0060036F">
      <w:pPr>
        <w:rPr>
          <w:b/>
        </w:rPr>
      </w:pPr>
    </w:p>
    <w:p w:rsidR="00BF4B6F" w:rsidRDefault="00ED0B60" w:rsidP="00BF4B6F">
      <w:r>
        <w:t xml:space="preserve">A professional focus group moderator will </w:t>
      </w:r>
      <w:r w:rsidRPr="009F0C43">
        <w:t xml:space="preserve">conduct </w:t>
      </w:r>
      <w:r w:rsidR="00836834" w:rsidRPr="00ED0B60">
        <w:t>6</w:t>
      </w:r>
      <w:r w:rsidR="0060036F" w:rsidRPr="00ED0B60">
        <w:t xml:space="preserve"> </w:t>
      </w:r>
      <w:r w:rsidRPr="00ED0B60">
        <w:t xml:space="preserve">in-person </w:t>
      </w:r>
      <w:r w:rsidR="0060036F" w:rsidRPr="00ED0B60">
        <w:t>focus groups</w:t>
      </w:r>
      <w:r>
        <w:t xml:space="preserve"> during evening or lunch hours</w:t>
      </w:r>
      <w:r w:rsidR="00BF4B6F" w:rsidRPr="009F0C43">
        <w:t xml:space="preserve">. Participants will be recruited by </w:t>
      </w:r>
      <w:r w:rsidR="005B7D67" w:rsidRPr="009F0C43">
        <w:t>email listservs and telephone</w:t>
      </w:r>
      <w:r w:rsidR="00BF4B6F" w:rsidRPr="009F0C43">
        <w:t>.</w:t>
      </w:r>
    </w:p>
    <w:p w:rsidR="0060036F" w:rsidRDefault="0060036F" w:rsidP="0060036F"/>
    <w:p w:rsidR="0060036F" w:rsidRPr="00E2682D" w:rsidRDefault="0060036F" w:rsidP="0060036F">
      <w:r w:rsidRPr="00E2682D">
        <w:t xml:space="preserve">The </w:t>
      </w:r>
      <w:r>
        <w:t>main focus group research questions are as follows</w:t>
      </w:r>
      <w:r w:rsidRPr="00E2682D">
        <w:t>:</w:t>
      </w:r>
    </w:p>
    <w:p w:rsidR="0060036F" w:rsidRDefault="0060036F" w:rsidP="00EB26E7"/>
    <w:p w:rsidR="00DC0FAD" w:rsidRDefault="00836834" w:rsidP="00EB26E7">
      <w:pPr>
        <w:numPr>
          <w:ilvl w:val="0"/>
          <w:numId w:val="10"/>
        </w:numPr>
        <w:spacing w:after="120"/>
      </w:pPr>
      <w:r w:rsidRPr="00145172">
        <w:t xml:space="preserve">What language do people use when they talk about their </w:t>
      </w:r>
      <w:r w:rsidR="00E90536">
        <w:t>work-related training</w:t>
      </w:r>
      <w:r w:rsidRPr="00145172">
        <w:t xml:space="preserve">? </w:t>
      </w:r>
      <w:r w:rsidR="00DC0FAD">
        <w:t>D</w:t>
      </w:r>
      <w:r>
        <w:t>o people differentiate work-related training from other types of education and training?</w:t>
      </w:r>
    </w:p>
    <w:p w:rsidR="00EB26E7" w:rsidRDefault="00836834" w:rsidP="00EB26E7">
      <w:pPr>
        <w:numPr>
          <w:ilvl w:val="0"/>
          <w:numId w:val="10"/>
        </w:numPr>
        <w:spacing w:after="120"/>
      </w:pPr>
      <w:r>
        <w:t xml:space="preserve">What forms does work-related training take? </w:t>
      </w:r>
    </w:p>
    <w:p w:rsidR="00E90536" w:rsidRDefault="00DC0FAD" w:rsidP="00EB26E7">
      <w:pPr>
        <w:numPr>
          <w:ilvl w:val="0"/>
          <w:numId w:val="10"/>
        </w:numPr>
        <w:spacing w:after="120"/>
      </w:pPr>
      <w:r>
        <w:t>Can participants</w:t>
      </w:r>
      <w:r w:rsidRPr="00145172">
        <w:t xml:space="preserve"> distingu</w:t>
      </w:r>
      <w:r>
        <w:t xml:space="preserve">ish between place/location of the training </w:t>
      </w:r>
      <w:r w:rsidRPr="00145172">
        <w:t>and its sponsor?</w:t>
      </w:r>
    </w:p>
    <w:p w:rsidR="00DC0FAD" w:rsidRDefault="00836834" w:rsidP="00EB26E7">
      <w:pPr>
        <w:numPr>
          <w:ilvl w:val="0"/>
          <w:numId w:val="10"/>
        </w:numPr>
        <w:spacing w:after="120"/>
      </w:pPr>
      <w:r>
        <w:t xml:space="preserve">What </w:t>
      </w:r>
      <w:r w:rsidR="007608E0">
        <w:t>are</w:t>
      </w:r>
      <w:r>
        <w:t xml:space="preserve"> people’s motivation</w:t>
      </w:r>
      <w:r w:rsidR="007608E0">
        <w:t>s</w:t>
      </w:r>
      <w:r>
        <w:t xml:space="preserve"> for pursuing work-related training? </w:t>
      </w:r>
    </w:p>
    <w:p w:rsidR="00DC0FAD" w:rsidRDefault="00836834" w:rsidP="00EB26E7">
      <w:pPr>
        <w:numPr>
          <w:ilvl w:val="0"/>
          <w:numId w:val="10"/>
        </w:numPr>
        <w:spacing w:after="120"/>
      </w:pPr>
      <w:r>
        <w:t xml:space="preserve">What </w:t>
      </w:r>
      <w:r w:rsidR="00DC0FAD">
        <w:t xml:space="preserve">benefits </w:t>
      </w:r>
      <w:r>
        <w:t xml:space="preserve">do people feel that they get out of work-related training programs? </w:t>
      </w:r>
    </w:p>
    <w:p w:rsidR="00DC0FAD" w:rsidRDefault="00DC0FAD" w:rsidP="00EB26E7">
      <w:pPr>
        <w:numPr>
          <w:ilvl w:val="0"/>
          <w:numId w:val="10"/>
        </w:numPr>
        <w:spacing w:after="120"/>
      </w:pPr>
      <w:r>
        <w:t>Can participants talk about barriers to getting training?</w:t>
      </w:r>
    </w:p>
    <w:p w:rsidR="00DC0FAD" w:rsidRDefault="00DC0FAD" w:rsidP="00EB26E7">
      <w:pPr>
        <w:numPr>
          <w:ilvl w:val="0"/>
          <w:numId w:val="10"/>
        </w:numPr>
        <w:spacing w:after="120" w:line="276" w:lineRule="auto"/>
      </w:pPr>
      <w:r>
        <w:t>What level of investment is required to participate in work-related training (in terms of both time and money spent)? Do employers help cover the cost of work-related training?</w:t>
      </w:r>
    </w:p>
    <w:p w:rsidR="00E90536" w:rsidRDefault="0060036F" w:rsidP="0060036F">
      <w:r>
        <w:lastRenderedPageBreak/>
        <w:t xml:space="preserve">To adequately </w:t>
      </w:r>
      <w:r w:rsidR="00836834">
        <w:t>address these research questions</w:t>
      </w:r>
      <w:r>
        <w:t xml:space="preserve">, it is necessary to recruit participants who </w:t>
      </w:r>
      <w:r w:rsidR="00836834">
        <w:t>have participated in work-related training in the past two years</w:t>
      </w:r>
      <w:r w:rsidR="00EA626C">
        <w:t xml:space="preserve">. </w:t>
      </w:r>
      <w:r w:rsidR="00E90536">
        <w:t xml:space="preserve">In each group, we will target people who are working or have recently worked in particular occupations, as recommended by </w:t>
      </w:r>
      <w:r w:rsidR="005B7D67">
        <w:t>GEMEnA</w:t>
      </w:r>
      <w:r w:rsidR="00E90536">
        <w:t xml:space="preserve">: </w:t>
      </w:r>
    </w:p>
    <w:p w:rsidR="00EB26E7" w:rsidRDefault="00EB26E7" w:rsidP="0060036F"/>
    <w:p w:rsidR="00EB26E7" w:rsidRDefault="00E90536" w:rsidP="00EB26E7">
      <w:pPr>
        <w:pStyle w:val="ListParagraph"/>
        <w:numPr>
          <w:ilvl w:val="0"/>
          <w:numId w:val="9"/>
        </w:numPr>
        <w:spacing w:after="120"/>
        <w:contextualSpacing w:val="0"/>
      </w:pPr>
      <w:r>
        <w:t>Construction workers, skilled trades (such as carpenters and electricians), and mechanics</w:t>
      </w:r>
    </w:p>
    <w:p w:rsidR="00E90536" w:rsidRDefault="00E90536" w:rsidP="00EB26E7">
      <w:pPr>
        <w:pStyle w:val="ListParagraph"/>
        <w:numPr>
          <w:ilvl w:val="0"/>
          <w:numId w:val="9"/>
        </w:numPr>
        <w:spacing w:after="120"/>
        <w:contextualSpacing w:val="0"/>
      </w:pPr>
      <w:r>
        <w:t>Secretaries/administrative assistants and retail sales workers</w:t>
      </w:r>
    </w:p>
    <w:p w:rsidR="00E90536" w:rsidRDefault="00E90536" w:rsidP="00EB26E7">
      <w:pPr>
        <w:pStyle w:val="ListParagraph"/>
        <w:numPr>
          <w:ilvl w:val="0"/>
          <w:numId w:val="9"/>
        </w:numPr>
        <w:spacing w:after="120"/>
        <w:contextualSpacing w:val="0"/>
      </w:pPr>
      <w:r>
        <w:t>Health s</w:t>
      </w:r>
      <w:r w:rsidR="00BF4B6F">
        <w:t>ervices:</w:t>
      </w:r>
      <w:r>
        <w:t xml:space="preserve"> including licensed practical nurses (LPN), registered nurses (RN), and health technicians</w:t>
      </w:r>
    </w:p>
    <w:p w:rsidR="00E90536" w:rsidRDefault="00E90536" w:rsidP="00EB26E7">
      <w:pPr>
        <w:pStyle w:val="ListParagraph"/>
        <w:numPr>
          <w:ilvl w:val="0"/>
          <w:numId w:val="9"/>
        </w:numPr>
        <w:spacing w:after="120"/>
        <w:contextualSpacing w:val="0"/>
      </w:pPr>
      <w:r>
        <w:t>Financial services</w:t>
      </w:r>
      <w:r w:rsidR="00BF4B6F">
        <w:t>:</w:t>
      </w:r>
      <w:r>
        <w:t xml:space="preserve"> including insurance sales agents, accountants/auditors (including clerks), personal financial advisors, financial analysts</w:t>
      </w:r>
    </w:p>
    <w:p w:rsidR="00E90536" w:rsidRDefault="00E90536" w:rsidP="00EB26E7">
      <w:pPr>
        <w:pStyle w:val="ListParagraph"/>
        <w:numPr>
          <w:ilvl w:val="0"/>
          <w:numId w:val="9"/>
        </w:numPr>
        <w:spacing w:after="120"/>
        <w:contextualSpacing w:val="0"/>
      </w:pPr>
      <w:r>
        <w:t xml:space="preserve">Teachers and teacher assistants at the preschool through secondary level </w:t>
      </w:r>
    </w:p>
    <w:p w:rsidR="00E90536" w:rsidRDefault="00E90536" w:rsidP="00EB26E7">
      <w:pPr>
        <w:pStyle w:val="ListParagraph"/>
        <w:numPr>
          <w:ilvl w:val="0"/>
          <w:numId w:val="9"/>
        </w:numPr>
        <w:spacing w:after="120"/>
        <w:contextualSpacing w:val="0"/>
      </w:pPr>
      <w:r>
        <w:t>Computer and information technology</w:t>
      </w:r>
      <w:r w:rsidR="00BF4B6F">
        <w:t xml:space="preserve"> services: i</w:t>
      </w:r>
      <w:r>
        <w:t>ncluding computer support specialists, computer systems analysts, and software developers</w:t>
      </w:r>
    </w:p>
    <w:p w:rsidR="00BF4B6F" w:rsidRDefault="00BF4B6F" w:rsidP="00BF4B6F">
      <w:r>
        <w:t xml:space="preserve">These occupations were selected because they are among the most common occupations by educational attainment (as reported in the American Community Survey). They also were selected in order to represent a variety of fields that are anticipated </w:t>
      </w:r>
      <w:r w:rsidR="009C0CB2">
        <w:t xml:space="preserve">to </w:t>
      </w:r>
      <w:r>
        <w:t xml:space="preserve">take part in different types of work-related training (e.g., classroom-based courses vs. hands-on training).  Participants must be currently working in the target occupation or, if they are unemployed, their last/most recent job must have been in the target occupation. </w:t>
      </w:r>
    </w:p>
    <w:p w:rsidR="00BF4B6F" w:rsidRDefault="00BF4B6F" w:rsidP="00E90536"/>
    <w:p w:rsidR="00BF4B6F" w:rsidRDefault="0060036F" w:rsidP="0060036F">
      <w:r>
        <w:t xml:space="preserve">We will conduct one focus group for each </w:t>
      </w:r>
      <w:r w:rsidR="00E158EA">
        <w:t>occupation</w:t>
      </w:r>
      <w:r w:rsidR="00FF7106">
        <w:t xml:space="preserve"> group</w:t>
      </w:r>
      <w:r>
        <w:t xml:space="preserve">. We expect </w:t>
      </w:r>
      <w:r w:rsidR="00E158EA">
        <w:t>48</w:t>
      </w:r>
      <w:r>
        <w:t xml:space="preserve"> to </w:t>
      </w:r>
      <w:r w:rsidR="00E158EA">
        <w:t>60</w:t>
      </w:r>
      <w:r>
        <w:t xml:space="preserve"> </w:t>
      </w:r>
      <w:r w:rsidR="00673E9B">
        <w:t>focus group participants</w:t>
      </w:r>
      <w:r>
        <w:t xml:space="preserve"> in </w:t>
      </w:r>
      <w:r w:rsidR="00E158EA">
        <w:t>6</w:t>
      </w:r>
      <w:r>
        <w:t xml:space="preserve"> groups of 8 to 10. </w:t>
      </w:r>
    </w:p>
    <w:p w:rsidR="0060036F" w:rsidRDefault="0060036F" w:rsidP="0060036F"/>
    <w:p w:rsidR="0060036F" w:rsidRPr="004F73C8" w:rsidRDefault="0060036F" w:rsidP="0060036F">
      <w:pPr>
        <w:rPr>
          <w:b/>
          <w:sz w:val="28"/>
          <w:szCs w:val="28"/>
        </w:rPr>
      </w:pPr>
      <w:r w:rsidRPr="004F73C8">
        <w:rPr>
          <w:b/>
          <w:sz w:val="28"/>
          <w:szCs w:val="28"/>
        </w:rPr>
        <w:t>Estimated Response Burden</w:t>
      </w:r>
    </w:p>
    <w:p w:rsidR="0060036F" w:rsidRDefault="0060036F" w:rsidP="0060036F"/>
    <w:p w:rsidR="0060036F" w:rsidRDefault="0060036F" w:rsidP="0060036F">
      <w:r>
        <w:t xml:space="preserve">We expect the focus groups to last 90 minutes. </w:t>
      </w:r>
    </w:p>
    <w:p w:rsidR="0060036F" w:rsidRDefault="0060036F" w:rsidP="0060036F"/>
    <w:p w:rsidR="0060036F" w:rsidRDefault="0060036F" w:rsidP="0060036F">
      <w:proofErr w:type="gramStart"/>
      <w:r w:rsidRPr="006449F5">
        <w:t xml:space="preserve">Table </w:t>
      </w:r>
      <w:r>
        <w:t>1</w:t>
      </w:r>
      <w:r w:rsidRPr="006449F5">
        <w:t>.</w:t>
      </w:r>
      <w:proofErr w:type="gramEnd"/>
      <w:r>
        <w:t xml:space="preserve"> Estimated response burden</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60036F" w:rsidRPr="00530FC6" w:rsidTr="00E158EA">
        <w:trPr>
          <w:trHeight w:val="548"/>
        </w:trPr>
        <w:tc>
          <w:tcPr>
            <w:tcW w:w="2483" w:type="pct"/>
            <w:vAlign w:val="center"/>
          </w:tcPr>
          <w:p w:rsidR="0060036F" w:rsidRPr="00530FC6" w:rsidRDefault="0060036F" w:rsidP="006C0A1B">
            <w:pPr>
              <w:rPr>
                <w:b/>
              </w:rPr>
            </w:pPr>
            <w:r>
              <w:rPr>
                <w:b/>
              </w:rPr>
              <w:t>Respondents</w:t>
            </w:r>
          </w:p>
        </w:tc>
        <w:tc>
          <w:tcPr>
            <w:tcW w:w="566" w:type="pct"/>
            <w:vAlign w:val="center"/>
          </w:tcPr>
          <w:p w:rsidR="0060036F" w:rsidRPr="00AA5FFE" w:rsidRDefault="0060036F" w:rsidP="006C0A1B">
            <w:pPr>
              <w:ind w:left="-89" w:right="-108"/>
              <w:jc w:val="center"/>
              <w:rPr>
                <w:b/>
                <w:sz w:val="20"/>
                <w:szCs w:val="20"/>
              </w:rPr>
            </w:pPr>
            <w:r w:rsidRPr="00AA5FFE">
              <w:rPr>
                <w:b/>
                <w:sz w:val="20"/>
                <w:szCs w:val="20"/>
              </w:rPr>
              <w:t>Number of Respondents</w:t>
            </w:r>
          </w:p>
        </w:tc>
        <w:tc>
          <w:tcPr>
            <w:tcW w:w="538" w:type="pct"/>
            <w:vAlign w:val="center"/>
          </w:tcPr>
          <w:p w:rsidR="0060036F" w:rsidRPr="00AA5FFE" w:rsidRDefault="0060036F" w:rsidP="006C0A1B">
            <w:pPr>
              <w:ind w:left="-30" w:right="-77"/>
              <w:jc w:val="center"/>
              <w:rPr>
                <w:b/>
                <w:sz w:val="20"/>
                <w:szCs w:val="20"/>
              </w:rPr>
            </w:pPr>
            <w:r w:rsidRPr="00AA5FFE">
              <w:rPr>
                <w:b/>
                <w:sz w:val="20"/>
                <w:szCs w:val="20"/>
              </w:rPr>
              <w:t>Number of Respon</w:t>
            </w:r>
            <w:r>
              <w:rPr>
                <w:b/>
                <w:sz w:val="20"/>
                <w:szCs w:val="20"/>
              </w:rPr>
              <w:t>ses</w:t>
            </w:r>
          </w:p>
        </w:tc>
        <w:tc>
          <w:tcPr>
            <w:tcW w:w="769" w:type="pct"/>
            <w:vAlign w:val="center"/>
          </w:tcPr>
          <w:p w:rsidR="0060036F" w:rsidRPr="00AA5FFE" w:rsidRDefault="0060036F" w:rsidP="006C0A1B">
            <w:pPr>
              <w:ind w:left="-49" w:right="-18"/>
              <w:jc w:val="center"/>
              <w:rPr>
                <w:b/>
                <w:sz w:val="20"/>
                <w:szCs w:val="20"/>
              </w:rPr>
            </w:pPr>
            <w:r w:rsidRPr="00AA5FFE">
              <w:rPr>
                <w:b/>
                <w:sz w:val="20"/>
                <w:szCs w:val="20"/>
              </w:rPr>
              <w:t>Burden Hours per Respondent</w:t>
            </w:r>
          </w:p>
        </w:tc>
        <w:tc>
          <w:tcPr>
            <w:tcW w:w="644" w:type="pct"/>
            <w:vAlign w:val="center"/>
          </w:tcPr>
          <w:p w:rsidR="0060036F" w:rsidRPr="00AA5FFE" w:rsidRDefault="0060036F" w:rsidP="006C0A1B">
            <w:pPr>
              <w:ind w:left="-18" w:right="-36"/>
              <w:jc w:val="center"/>
              <w:rPr>
                <w:b/>
                <w:sz w:val="20"/>
                <w:szCs w:val="20"/>
              </w:rPr>
            </w:pPr>
            <w:r w:rsidRPr="00AA5FFE">
              <w:rPr>
                <w:b/>
                <w:sz w:val="20"/>
                <w:szCs w:val="20"/>
              </w:rPr>
              <w:t>Total Burden Hours</w:t>
            </w:r>
          </w:p>
        </w:tc>
      </w:tr>
      <w:tr w:rsidR="0060036F" w:rsidRPr="00530FC6" w:rsidTr="00E158EA">
        <w:trPr>
          <w:trHeight w:val="288"/>
        </w:trPr>
        <w:tc>
          <w:tcPr>
            <w:tcW w:w="2483" w:type="pct"/>
            <w:vAlign w:val="center"/>
          </w:tcPr>
          <w:p w:rsidR="0060036F" w:rsidRDefault="0060036F" w:rsidP="006C0A1B">
            <w:r>
              <w:t>Recruitment Screener for Individuals for Focus Groups and Cognitive Interviews</w:t>
            </w:r>
          </w:p>
        </w:tc>
        <w:tc>
          <w:tcPr>
            <w:tcW w:w="566" w:type="pct"/>
            <w:vAlign w:val="center"/>
          </w:tcPr>
          <w:p w:rsidR="0060036F" w:rsidRDefault="00E158EA" w:rsidP="006C0A1B">
            <w:pPr>
              <w:jc w:val="center"/>
            </w:pPr>
            <w:r>
              <w:t>120</w:t>
            </w:r>
          </w:p>
        </w:tc>
        <w:tc>
          <w:tcPr>
            <w:tcW w:w="538" w:type="pct"/>
            <w:vAlign w:val="center"/>
          </w:tcPr>
          <w:p w:rsidR="0060036F" w:rsidRDefault="00E158EA" w:rsidP="006C0A1B">
            <w:pPr>
              <w:jc w:val="center"/>
            </w:pPr>
            <w:r>
              <w:t>120</w:t>
            </w:r>
          </w:p>
        </w:tc>
        <w:tc>
          <w:tcPr>
            <w:tcW w:w="769" w:type="pct"/>
            <w:vAlign w:val="center"/>
          </w:tcPr>
          <w:p w:rsidR="0060036F" w:rsidRDefault="0060036F" w:rsidP="006C0A1B">
            <w:pPr>
              <w:jc w:val="center"/>
            </w:pPr>
            <w:r>
              <w:t>0.05</w:t>
            </w:r>
          </w:p>
        </w:tc>
        <w:tc>
          <w:tcPr>
            <w:tcW w:w="644" w:type="pct"/>
            <w:vAlign w:val="center"/>
          </w:tcPr>
          <w:p w:rsidR="0060036F" w:rsidRDefault="00E158EA" w:rsidP="006C0A1B">
            <w:pPr>
              <w:jc w:val="center"/>
            </w:pPr>
            <w:r>
              <w:t>6</w:t>
            </w:r>
          </w:p>
        </w:tc>
      </w:tr>
      <w:tr w:rsidR="0060036F" w:rsidRPr="00530FC6" w:rsidTr="00E158EA">
        <w:trPr>
          <w:trHeight w:val="288"/>
        </w:trPr>
        <w:tc>
          <w:tcPr>
            <w:tcW w:w="2483" w:type="pct"/>
            <w:vAlign w:val="center"/>
          </w:tcPr>
          <w:p w:rsidR="0060036F" w:rsidRPr="00310490" w:rsidRDefault="0060036F" w:rsidP="006C0A1B">
            <w:r>
              <w:t>Focus Groups</w:t>
            </w:r>
          </w:p>
        </w:tc>
        <w:tc>
          <w:tcPr>
            <w:tcW w:w="566" w:type="pct"/>
            <w:vAlign w:val="center"/>
          </w:tcPr>
          <w:p w:rsidR="0060036F" w:rsidRPr="00310490" w:rsidRDefault="00E158EA" w:rsidP="006C0A1B">
            <w:pPr>
              <w:jc w:val="center"/>
            </w:pPr>
            <w:r>
              <w:t>60</w:t>
            </w:r>
          </w:p>
        </w:tc>
        <w:tc>
          <w:tcPr>
            <w:tcW w:w="538" w:type="pct"/>
            <w:vAlign w:val="center"/>
          </w:tcPr>
          <w:p w:rsidR="0060036F" w:rsidRPr="00310490" w:rsidRDefault="00E158EA" w:rsidP="006C0A1B">
            <w:pPr>
              <w:jc w:val="center"/>
            </w:pPr>
            <w:r>
              <w:t>60</w:t>
            </w:r>
          </w:p>
        </w:tc>
        <w:tc>
          <w:tcPr>
            <w:tcW w:w="769" w:type="pct"/>
            <w:vAlign w:val="center"/>
          </w:tcPr>
          <w:p w:rsidR="0060036F" w:rsidRPr="00310490" w:rsidRDefault="0060036F" w:rsidP="006C0A1B">
            <w:pPr>
              <w:jc w:val="center"/>
            </w:pPr>
            <w:r>
              <w:t>1.5</w:t>
            </w:r>
          </w:p>
        </w:tc>
        <w:tc>
          <w:tcPr>
            <w:tcW w:w="644" w:type="pct"/>
            <w:vAlign w:val="center"/>
          </w:tcPr>
          <w:p w:rsidR="0060036F" w:rsidRPr="00310490" w:rsidRDefault="00E158EA" w:rsidP="006C0A1B">
            <w:pPr>
              <w:jc w:val="center"/>
            </w:pPr>
            <w:r>
              <w:t>90</w:t>
            </w:r>
          </w:p>
        </w:tc>
      </w:tr>
      <w:tr w:rsidR="0060036F" w:rsidRPr="001B0B9D" w:rsidTr="00E158EA">
        <w:trPr>
          <w:trHeight w:val="288"/>
        </w:trPr>
        <w:tc>
          <w:tcPr>
            <w:tcW w:w="2483" w:type="pct"/>
            <w:vAlign w:val="center"/>
          </w:tcPr>
          <w:p w:rsidR="0060036F" w:rsidRPr="001B0B9D" w:rsidRDefault="0060036F" w:rsidP="006C0A1B">
            <w:pPr>
              <w:rPr>
                <w:b/>
              </w:rPr>
            </w:pPr>
            <w:r w:rsidRPr="001B0B9D">
              <w:rPr>
                <w:b/>
              </w:rPr>
              <w:t>Total</w:t>
            </w:r>
          </w:p>
        </w:tc>
        <w:tc>
          <w:tcPr>
            <w:tcW w:w="566" w:type="pct"/>
            <w:vAlign w:val="center"/>
          </w:tcPr>
          <w:p w:rsidR="0060036F" w:rsidRPr="001B0B9D" w:rsidRDefault="00E158EA" w:rsidP="006C0A1B">
            <w:pPr>
              <w:jc w:val="center"/>
              <w:rPr>
                <w:b/>
              </w:rPr>
            </w:pPr>
            <w:r>
              <w:rPr>
                <w:b/>
              </w:rPr>
              <w:t>120</w:t>
            </w:r>
          </w:p>
        </w:tc>
        <w:tc>
          <w:tcPr>
            <w:tcW w:w="538" w:type="pct"/>
            <w:vAlign w:val="center"/>
          </w:tcPr>
          <w:p w:rsidR="0060036F" w:rsidRPr="001B0B9D" w:rsidRDefault="00E158EA" w:rsidP="006C0A1B">
            <w:pPr>
              <w:jc w:val="center"/>
              <w:rPr>
                <w:b/>
              </w:rPr>
            </w:pPr>
            <w:r>
              <w:rPr>
                <w:b/>
              </w:rPr>
              <w:t>180</w:t>
            </w:r>
          </w:p>
        </w:tc>
        <w:tc>
          <w:tcPr>
            <w:tcW w:w="769" w:type="pct"/>
            <w:vAlign w:val="center"/>
          </w:tcPr>
          <w:p w:rsidR="0060036F" w:rsidRPr="001B0B9D" w:rsidRDefault="0060036F" w:rsidP="006C0A1B">
            <w:pPr>
              <w:jc w:val="center"/>
              <w:rPr>
                <w:b/>
              </w:rPr>
            </w:pPr>
            <w:r>
              <w:rPr>
                <w:b/>
              </w:rPr>
              <w:t>-</w:t>
            </w:r>
          </w:p>
        </w:tc>
        <w:tc>
          <w:tcPr>
            <w:tcW w:w="644" w:type="pct"/>
            <w:vAlign w:val="center"/>
          </w:tcPr>
          <w:p w:rsidR="0060036F" w:rsidRPr="001B0B9D" w:rsidRDefault="00E158EA" w:rsidP="006C0A1B">
            <w:pPr>
              <w:jc w:val="center"/>
              <w:rPr>
                <w:b/>
              </w:rPr>
            </w:pPr>
            <w:r>
              <w:rPr>
                <w:b/>
              </w:rPr>
              <w:t>96</w:t>
            </w:r>
          </w:p>
        </w:tc>
      </w:tr>
    </w:tbl>
    <w:p w:rsidR="0060036F" w:rsidRDefault="0060036F" w:rsidP="0060036F"/>
    <w:p w:rsidR="0060036F" w:rsidRPr="009D4A98" w:rsidRDefault="0060036F" w:rsidP="0060036F">
      <w:r>
        <w:t>There is no direct cost to respondents.</w:t>
      </w:r>
    </w:p>
    <w:p w:rsidR="0060036F" w:rsidRDefault="0060036F" w:rsidP="0060036F">
      <w:pPr>
        <w:rPr>
          <w:b/>
        </w:rPr>
      </w:pPr>
    </w:p>
    <w:p w:rsidR="0060036F" w:rsidRPr="004F73C8" w:rsidRDefault="0060036F" w:rsidP="0060036F">
      <w:pPr>
        <w:rPr>
          <w:b/>
          <w:sz w:val="28"/>
          <w:szCs w:val="28"/>
        </w:rPr>
      </w:pPr>
      <w:r w:rsidRPr="004F73C8">
        <w:rPr>
          <w:b/>
          <w:sz w:val="28"/>
          <w:szCs w:val="28"/>
        </w:rPr>
        <w:t xml:space="preserve">Recruitment and </w:t>
      </w:r>
      <w:r>
        <w:rPr>
          <w:b/>
          <w:sz w:val="28"/>
          <w:szCs w:val="28"/>
        </w:rPr>
        <w:t>P</w:t>
      </w:r>
      <w:r w:rsidRPr="004F73C8">
        <w:rPr>
          <w:b/>
          <w:sz w:val="28"/>
          <w:szCs w:val="28"/>
        </w:rPr>
        <w:t xml:space="preserve">ayment to </w:t>
      </w:r>
      <w:r>
        <w:rPr>
          <w:b/>
          <w:sz w:val="28"/>
          <w:szCs w:val="28"/>
        </w:rPr>
        <w:t>R</w:t>
      </w:r>
      <w:r w:rsidRPr="004F73C8">
        <w:rPr>
          <w:b/>
          <w:sz w:val="28"/>
          <w:szCs w:val="28"/>
        </w:rPr>
        <w:t>espondents</w:t>
      </w:r>
    </w:p>
    <w:p w:rsidR="0060036F" w:rsidRPr="00507291" w:rsidRDefault="0060036F" w:rsidP="0060036F">
      <w:pPr>
        <w:rPr>
          <w:sz w:val="20"/>
          <w:szCs w:val="20"/>
        </w:rPr>
      </w:pPr>
      <w:bookmarkStart w:id="1" w:name="OLE_LINK12"/>
      <w:bookmarkStart w:id="2" w:name="OLE_LINK13"/>
      <w:bookmarkStart w:id="3" w:name="OLE_LINK14"/>
      <w:bookmarkStart w:id="4" w:name="OLE_LINK15"/>
    </w:p>
    <w:p w:rsidR="00577839" w:rsidRDefault="0060036F" w:rsidP="0060036F">
      <w:r>
        <w:t xml:space="preserve">To thank the participants for their time, travel, and information, those completing the focus groups will receive </w:t>
      </w:r>
      <w:r w:rsidR="00E158EA">
        <w:t>a</w:t>
      </w:r>
      <w:r w:rsidR="00522DA2">
        <w:t xml:space="preserve"> $75</w:t>
      </w:r>
      <w:r w:rsidR="00E158EA">
        <w:t xml:space="preserve"> incentive. </w:t>
      </w:r>
      <w:bookmarkEnd w:id="1"/>
      <w:bookmarkEnd w:id="2"/>
    </w:p>
    <w:p w:rsidR="00522DA2" w:rsidRDefault="00522DA2" w:rsidP="0060036F"/>
    <w:bookmarkEnd w:id="3"/>
    <w:bookmarkEnd w:id="4"/>
    <w:p w:rsidR="0060036F" w:rsidRPr="004F73C8" w:rsidRDefault="0060036F" w:rsidP="0060036F">
      <w:pPr>
        <w:rPr>
          <w:b/>
          <w:sz w:val="28"/>
          <w:szCs w:val="28"/>
        </w:rPr>
      </w:pPr>
      <w:r w:rsidRPr="004F73C8">
        <w:rPr>
          <w:b/>
          <w:sz w:val="28"/>
          <w:szCs w:val="28"/>
        </w:rPr>
        <w:t xml:space="preserve">Assurance of </w:t>
      </w:r>
      <w:r>
        <w:rPr>
          <w:b/>
          <w:sz w:val="28"/>
          <w:szCs w:val="28"/>
        </w:rPr>
        <w:t>C</w:t>
      </w:r>
      <w:r w:rsidRPr="004F73C8">
        <w:rPr>
          <w:b/>
          <w:sz w:val="28"/>
          <w:szCs w:val="28"/>
        </w:rPr>
        <w:t>onfidentiality</w:t>
      </w:r>
    </w:p>
    <w:p w:rsidR="0060036F" w:rsidRPr="00507291" w:rsidRDefault="0060036F" w:rsidP="0060036F">
      <w:pPr>
        <w:rPr>
          <w:sz w:val="20"/>
          <w:szCs w:val="20"/>
        </w:rPr>
      </w:pPr>
    </w:p>
    <w:p w:rsidR="0060036F" w:rsidRPr="004176E8" w:rsidRDefault="0060036F" w:rsidP="0060036F">
      <w:pPr>
        <w:autoSpaceDE w:val="0"/>
        <w:autoSpaceDN w:val="0"/>
        <w:adjustRightInd w:val="0"/>
        <w:rPr>
          <w:rFonts w:ascii="MS Shell Dlg 2" w:hAnsi="MS Shell Dlg 2" w:cs="MS Shell Dlg 2"/>
          <w:sz w:val="16"/>
          <w:szCs w:val="16"/>
        </w:rPr>
      </w:pPr>
      <w:r>
        <w:t xml:space="preserve">Participation is voluntary and respondents will read a confidentiality pledge before groups are conducted. This statement is as follows: “The American Institutes for Research is conducting this study for the National Center for Education Statistics (NCES) of the U.S. Department of Education. This study is authorized by law under the Education Sciences Reform Act (ESRA, 20 U.S.C. </w:t>
      </w:r>
      <w:r w:rsidRPr="004176E8">
        <w:t>§9543</w:t>
      </w:r>
      <w:r>
        <w:t xml:space="preserve">). Your </w:t>
      </w:r>
      <w:r>
        <w:lastRenderedPageBreak/>
        <w:t xml:space="preserve">participation is voluntary. Your responses are protected from disclosure by federal statute (20 U.S.C. </w:t>
      </w:r>
      <w:r w:rsidRPr="004176E8">
        <w:t>§95</w:t>
      </w:r>
      <w:r>
        <w:t>7</w:t>
      </w:r>
      <w:r w:rsidRPr="004176E8">
        <w:t>3</w:t>
      </w:r>
      <w:r>
        <w:t xml:space="preserve">). All responses that relate to or describe identifiable characteristics of individuals may be used only for statistical purposes and may not be disclosed, or used, in identifiable form for any other purpose, unless otherwise compelled by law.” </w:t>
      </w:r>
    </w:p>
    <w:p w:rsidR="0060036F" w:rsidRDefault="0060036F" w:rsidP="0060036F"/>
    <w:p w:rsidR="0060036F" w:rsidRDefault="0060036F" w:rsidP="0060036F">
      <w:r>
        <w:t xml:space="preserve">No personally identifiable information will be maintained after the analyses are completed.  </w:t>
      </w:r>
    </w:p>
    <w:p w:rsidR="0060036F" w:rsidRDefault="0060036F" w:rsidP="0060036F">
      <w:pPr>
        <w:rPr>
          <w:b/>
          <w:sz w:val="28"/>
          <w:szCs w:val="28"/>
        </w:rPr>
      </w:pPr>
    </w:p>
    <w:p w:rsidR="0060036F" w:rsidRDefault="0060036F" w:rsidP="0060036F">
      <w:pPr>
        <w:rPr>
          <w:b/>
          <w:sz w:val="28"/>
          <w:szCs w:val="28"/>
        </w:rPr>
      </w:pPr>
      <w:r>
        <w:rPr>
          <w:b/>
          <w:sz w:val="28"/>
          <w:szCs w:val="28"/>
        </w:rPr>
        <w:t>Cost to Federal Government</w:t>
      </w:r>
    </w:p>
    <w:p w:rsidR="0060036F" w:rsidRPr="00507291" w:rsidRDefault="0060036F" w:rsidP="0060036F">
      <w:pPr>
        <w:rPr>
          <w:sz w:val="20"/>
          <w:szCs w:val="20"/>
        </w:rPr>
      </w:pPr>
    </w:p>
    <w:p w:rsidR="0060036F" w:rsidRDefault="0060036F" w:rsidP="0060036F">
      <w:pPr>
        <w:rPr>
          <w:b/>
          <w:sz w:val="28"/>
          <w:szCs w:val="28"/>
        </w:rPr>
      </w:pPr>
      <w:r>
        <w:t xml:space="preserve">The anticipated cost for the target </w:t>
      </w:r>
      <w:r w:rsidR="00577839">
        <w:t>60</w:t>
      </w:r>
      <w:r>
        <w:t xml:space="preserve"> interviews is $</w:t>
      </w:r>
      <w:r w:rsidR="0014036A">
        <w:t>55,916.06</w:t>
      </w:r>
      <w:r>
        <w:t>.</w:t>
      </w:r>
    </w:p>
    <w:p w:rsidR="0060036F" w:rsidRDefault="0060036F" w:rsidP="0060036F">
      <w:pPr>
        <w:rPr>
          <w:b/>
          <w:sz w:val="28"/>
          <w:szCs w:val="28"/>
        </w:rPr>
      </w:pPr>
    </w:p>
    <w:p w:rsidR="0060036F" w:rsidRDefault="0060036F" w:rsidP="0060036F">
      <w:pPr>
        <w:rPr>
          <w:b/>
          <w:sz w:val="28"/>
          <w:szCs w:val="28"/>
        </w:rPr>
      </w:pPr>
      <w:r>
        <w:rPr>
          <w:b/>
          <w:sz w:val="28"/>
          <w:szCs w:val="28"/>
        </w:rPr>
        <w:t>Project Schedule</w:t>
      </w:r>
    </w:p>
    <w:p w:rsidR="0060036F" w:rsidRPr="00507291" w:rsidRDefault="0060036F" w:rsidP="0060036F">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60036F" w:rsidRPr="00D96077" w:rsidTr="00531414">
        <w:trPr>
          <w:trHeight w:val="485"/>
        </w:trPr>
        <w:tc>
          <w:tcPr>
            <w:tcW w:w="4932" w:type="dxa"/>
          </w:tcPr>
          <w:p w:rsidR="0060036F" w:rsidRPr="00D96077" w:rsidRDefault="0060036F" w:rsidP="006C0A1B">
            <w:pPr>
              <w:rPr>
                <w:b/>
              </w:rPr>
            </w:pPr>
            <w:r w:rsidRPr="00D96077">
              <w:rPr>
                <w:b/>
              </w:rPr>
              <w:t>Activity</w:t>
            </w:r>
          </w:p>
        </w:tc>
        <w:tc>
          <w:tcPr>
            <w:tcW w:w="4932" w:type="dxa"/>
          </w:tcPr>
          <w:p w:rsidR="0060036F" w:rsidRPr="00D96077" w:rsidRDefault="0060036F" w:rsidP="00577839">
            <w:pPr>
              <w:rPr>
                <w:b/>
              </w:rPr>
            </w:pPr>
            <w:r w:rsidRPr="00D96077">
              <w:rPr>
                <w:b/>
              </w:rPr>
              <w:t>201</w:t>
            </w:r>
            <w:r w:rsidR="00577839">
              <w:rPr>
                <w:b/>
              </w:rPr>
              <w:t>3</w:t>
            </w:r>
            <w:r w:rsidRPr="00D96077">
              <w:rPr>
                <w:b/>
              </w:rPr>
              <w:t xml:space="preserve"> Dates</w:t>
            </w:r>
          </w:p>
        </w:tc>
      </w:tr>
      <w:tr w:rsidR="0060036F" w:rsidRPr="003A7832" w:rsidTr="006C0A1B">
        <w:tc>
          <w:tcPr>
            <w:tcW w:w="4932" w:type="dxa"/>
          </w:tcPr>
          <w:p w:rsidR="0060036F" w:rsidRPr="003A7832" w:rsidRDefault="0060036F" w:rsidP="006C0A1B">
            <w:r w:rsidRPr="003A7832">
              <w:t>Recruitment</w:t>
            </w:r>
          </w:p>
        </w:tc>
        <w:tc>
          <w:tcPr>
            <w:tcW w:w="4932" w:type="dxa"/>
          </w:tcPr>
          <w:p w:rsidR="0060036F" w:rsidRPr="00E72AB4" w:rsidRDefault="005A1801" w:rsidP="00522DA2">
            <w:r>
              <w:t>May-June 2013</w:t>
            </w:r>
          </w:p>
        </w:tc>
      </w:tr>
      <w:tr w:rsidR="0060036F" w:rsidRPr="003A7832" w:rsidTr="006C0A1B">
        <w:tc>
          <w:tcPr>
            <w:tcW w:w="4932" w:type="dxa"/>
          </w:tcPr>
          <w:p w:rsidR="0060036F" w:rsidRPr="003A7832" w:rsidRDefault="0060036F" w:rsidP="006C0A1B">
            <w:r w:rsidRPr="003A7832">
              <w:t>Conduct focus groups</w:t>
            </w:r>
          </w:p>
        </w:tc>
        <w:tc>
          <w:tcPr>
            <w:tcW w:w="4932" w:type="dxa"/>
          </w:tcPr>
          <w:p w:rsidR="0060036F" w:rsidRPr="00E72AB4" w:rsidRDefault="005A1801" w:rsidP="006C0A1B">
            <w:r>
              <w:t>May-June 2013</w:t>
            </w:r>
          </w:p>
        </w:tc>
      </w:tr>
    </w:tbl>
    <w:p w:rsidR="0060036F" w:rsidRPr="00507291" w:rsidRDefault="0060036F" w:rsidP="0060036F">
      <w:pPr>
        <w:rPr>
          <w:b/>
          <w:sz w:val="16"/>
          <w:szCs w:val="16"/>
        </w:rPr>
      </w:pPr>
    </w:p>
    <w:p w:rsidR="0092319E" w:rsidRDefault="00150AD4"/>
    <w:sectPr w:rsidR="0092319E" w:rsidSect="000A2713">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E4" w:rsidRDefault="004412E4">
      <w:r>
        <w:separator/>
      </w:r>
    </w:p>
  </w:endnote>
  <w:endnote w:type="continuationSeparator" w:id="0">
    <w:p w:rsidR="004412E4" w:rsidRDefault="0044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EE" w:rsidRDefault="00F85146" w:rsidP="00507291">
    <w:pPr>
      <w:pStyle w:val="Footer"/>
      <w:jc w:val="center"/>
    </w:pPr>
    <w:r>
      <w:fldChar w:fldCharType="begin"/>
    </w:r>
    <w:r>
      <w:instrText xml:space="preserve"> PAGE   \* MERGEFORMAT </w:instrText>
    </w:r>
    <w:r>
      <w:fldChar w:fldCharType="separate"/>
    </w:r>
    <w:r w:rsidR="00150AD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E4" w:rsidRDefault="004412E4">
      <w:r>
        <w:separator/>
      </w:r>
    </w:p>
  </w:footnote>
  <w:footnote w:type="continuationSeparator" w:id="0">
    <w:p w:rsidR="004412E4" w:rsidRDefault="004412E4">
      <w:r>
        <w:continuationSeparator/>
      </w:r>
    </w:p>
  </w:footnote>
  <w:footnote w:id="1">
    <w:p w:rsidR="00AB0A2F" w:rsidRDefault="00AB0A2F">
      <w:pPr>
        <w:pStyle w:val="FootnoteText"/>
      </w:pPr>
      <w:r>
        <w:rPr>
          <w:rStyle w:val="FootnoteReference"/>
        </w:rPr>
        <w:footnoteRef/>
      </w:r>
      <w:r>
        <w:t xml:space="preserve"> </w:t>
      </w:r>
      <w:hyperlink r:id="rId1" w:history="1">
        <w:r w:rsidRPr="00834C97">
          <w:rPr>
            <w:rStyle w:val="Hyperlink"/>
          </w:rPr>
          <w:t>http://nces.ed.gov/surveys/gemena/pdf/NoncreditPaper_AIR_Final508.pdf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239"/>
    <w:multiLevelType w:val="hybridMultilevel"/>
    <w:tmpl w:val="2F2C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71B7E"/>
    <w:multiLevelType w:val="hybridMultilevel"/>
    <w:tmpl w:val="D42E7A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4C7AB8"/>
    <w:multiLevelType w:val="hybridMultilevel"/>
    <w:tmpl w:val="88A6E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45428"/>
    <w:multiLevelType w:val="hybridMultilevel"/>
    <w:tmpl w:val="793672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F286B"/>
    <w:multiLevelType w:val="hybridMultilevel"/>
    <w:tmpl w:val="DC54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91D8E"/>
    <w:multiLevelType w:val="hybridMultilevel"/>
    <w:tmpl w:val="F7307C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1042E"/>
    <w:multiLevelType w:val="hybridMultilevel"/>
    <w:tmpl w:val="246A6B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966AE1A8">
      <w:start w:val="4"/>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56FD6"/>
    <w:multiLevelType w:val="hybridMultilevel"/>
    <w:tmpl w:val="88FA6A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8568F0"/>
    <w:multiLevelType w:val="hybridMultilevel"/>
    <w:tmpl w:val="03309D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6"/>
  </w:num>
  <w:num w:numId="6">
    <w:abstractNumId w:val="8"/>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14"/>
    <w:rsid w:val="00005686"/>
    <w:rsid w:val="000073A2"/>
    <w:rsid w:val="00021014"/>
    <w:rsid w:val="00104162"/>
    <w:rsid w:val="0014036A"/>
    <w:rsid w:val="00150AD4"/>
    <w:rsid w:val="002D6D9B"/>
    <w:rsid w:val="003A22AB"/>
    <w:rsid w:val="003B7F9D"/>
    <w:rsid w:val="00410E5B"/>
    <w:rsid w:val="004412E4"/>
    <w:rsid w:val="004B7A0B"/>
    <w:rsid w:val="00522DA2"/>
    <w:rsid w:val="00531414"/>
    <w:rsid w:val="00577839"/>
    <w:rsid w:val="005A1801"/>
    <w:rsid w:val="005B7D67"/>
    <w:rsid w:val="0060036F"/>
    <w:rsid w:val="00652943"/>
    <w:rsid w:val="00673E9B"/>
    <w:rsid w:val="006F65CC"/>
    <w:rsid w:val="007516DE"/>
    <w:rsid w:val="007608E0"/>
    <w:rsid w:val="008160F9"/>
    <w:rsid w:val="00836834"/>
    <w:rsid w:val="00990C23"/>
    <w:rsid w:val="009C0CB2"/>
    <w:rsid w:val="009F0C43"/>
    <w:rsid w:val="00A1711B"/>
    <w:rsid w:val="00AB0A2F"/>
    <w:rsid w:val="00B66E58"/>
    <w:rsid w:val="00BF4B6F"/>
    <w:rsid w:val="00D53EC0"/>
    <w:rsid w:val="00DC0FAD"/>
    <w:rsid w:val="00E158EA"/>
    <w:rsid w:val="00E72AB4"/>
    <w:rsid w:val="00E86F7C"/>
    <w:rsid w:val="00E90536"/>
    <w:rsid w:val="00EA626C"/>
    <w:rsid w:val="00EB26E7"/>
    <w:rsid w:val="00ED0B60"/>
    <w:rsid w:val="00F53ED2"/>
    <w:rsid w:val="00F85146"/>
    <w:rsid w:val="00FF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36F"/>
    <w:pPr>
      <w:ind w:left="720"/>
      <w:contextualSpacing/>
    </w:pPr>
  </w:style>
  <w:style w:type="paragraph" w:styleId="Footer">
    <w:name w:val="footer"/>
    <w:basedOn w:val="Normal"/>
    <w:link w:val="FooterChar"/>
    <w:uiPriority w:val="99"/>
    <w:rsid w:val="0060036F"/>
    <w:pPr>
      <w:tabs>
        <w:tab w:val="center" w:pos="4680"/>
        <w:tab w:val="right" w:pos="9360"/>
      </w:tabs>
    </w:pPr>
  </w:style>
  <w:style w:type="character" w:customStyle="1" w:styleId="FooterChar">
    <w:name w:val="Footer Char"/>
    <w:basedOn w:val="DefaultParagraphFont"/>
    <w:link w:val="Footer"/>
    <w:uiPriority w:val="99"/>
    <w:rsid w:val="0060036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58EA"/>
    <w:rPr>
      <w:sz w:val="16"/>
      <w:szCs w:val="16"/>
    </w:rPr>
  </w:style>
  <w:style w:type="paragraph" w:styleId="CommentText">
    <w:name w:val="annotation text"/>
    <w:basedOn w:val="Normal"/>
    <w:link w:val="CommentTextChar"/>
    <w:uiPriority w:val="99"/>
    <w:semiHidden/>
    <w:unhideWhenUsed/>
    <w:rsid w:val="00E158EA"/>
    <w:rPr>
      <w:sz w:val="20"/>
      <w:szCs w:val="20"/>
    </w:rPr>
  </w:style>
  <w:style w:type="character" w:customStyle="1" w:styleId="CommentTextChar">
    <w:name w:val="Comment Text Char"/>
    <w:basedOn w:val="DefaultParagraphFont"/>
    <w:link w:val="CommentText"/>
    <w:uiPriority w:val="99"/>
    <w:semiHidden/>
    <w:rsid w:val="00E15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8EA"/>
    <w:rPr>
      <w:b/>
      <w:bCs/>
    </w:rPr>
  </w:style>
  <w:style w:type="character" w:customStyle="1" w:styleId="CommentSubjectChar">
    <w:name w:val="Comment Subject Char"/>
    <w:basedOn w:val="CommentTextChar"/>
    <w:link w:val="CommentSubject"/>
    <w:uiPriority w:val="99"/>
    <w:semiHidden/>
    <w:rsid w:val="00E158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58EA"/>
    <w:rPr>
      <w:rFonts w:ascii="Tahoma" w:hAnsi="Tahoma" w:cs="Tahoma"/>
      <w:sz w:val="16"/>
      <w:szCs w:val="16"/>
    </w:rPr>
  </w:style>
  <w:style w:type="character" w:customStyle="1" w:styleId="BalloonTextChar">
    <w:name w:val="Balloon Text Char"/>
    <w:basedOn w:val="DefaultParagraphFont"/>
    <w:link w:val="BalloonText"/>
    <w:uiPriority w:val="99"/>
    <w:semiHidden/>
    <w:rsid w:val="00E158EA"/>
    <w:rPr>
      <w:rFonts w:ascii="Tahoma" w:eastAsia="Times New Roman" w:hAnsi="Tahoma" w:cs="Tahoma"/>
      <w:sz w:val="16"/>
      <w:szCs w:val="16"/>
    </w:rPr>
  </w:style>
  <w:style w:type="character" w:styleId="Emphasis">
    <w:name w:val="Emphasis"/>
    <w:basedOn w:val="DefaultParagraphFont"/>
    <w:uiPriority w:val="20"/>
    <w:qFormat/>
    <w:rsid w:val="005B7D67"/>
    <w:rPr>
      <w:i/>
      <w:iCs/>
    </w:rPr>
  </w:style>
  <w:style w:type="character" w:customStyle="1" w:styleId="apple-converted-space">
    <w:name w:val="apple-converted-space"/>
    <w:basedOn w:val="DefaultParagraphFont"/>
    <w:rsid w:val="005B7D67"/>
  </w:style>
  <w:style w:type="character" w:styleId="Hyperlink">
    <w:name w:val="Hyperlink"/>
    <w:basedOn w:val="DefaultParagraphFont"/>
    <w:uiPriority w:val="99"/>
    <w:unhideWhenUsed/>
    <w:rsid w:val="005B7D67"/>
    <w:rPr>
      <w:color w:val="0000FF"/>
      <w:u w:val="single"/>
    </w:rPr>
  </w:style>
  <w:style w:type="paragraph" w:styleId="EndnoteText">
    <w:name w:val="endnote text"/>
    <w:basedOn w:val="Normal"/>
    <w:link w:val="EndnoteTextChar"/>
    <w:uiPriority w:val="99"/>
    <w:semiHidden/>
    <w:unhideWhenUsed/>
    <w:rsid w:val="00AB0A2F"/>
    <w:rPr>
      <w:sz w:val="20"/>
      <w:szCs w:val="20"/>
    </w:rPr>
  </w:style>
  <w:style w:type="character" w:customStyle="1" w:styleId="EndnoteTextChar">
    <w:name w:val="Endnote Text Char"/>
    <w:basedOn w:val="DefaultParagraphFont"/>
    <w:link w:val="EndnoteText"/>
    <w:uiPriority w:val="99"/>
    <w:semiHidden/>
    <w:rsid w:val="00AB0A2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B0A2F"/>
    <w:rPr>
      <w:vertAlign w:val="superscript"/>
    </w:rPr>
  </w:style>
  <w:style w:type="paragraph" w:styleId="FootnoteText">
    <w:name w:val="footnote text"/>
    <w:basedOn w:val="Normal"/>
    <w:link w:val="FootnoteTextChar"/>
    <w:uiPriority w:val="99"/>
    <w:semiHidden/>
    <w:unhideWhenUsed/>
    <w:rsid w:val="00AB0A2F"/>
    <w:rPr>
      <w:sz w:val="20"/>
      <w:szCs w:val="20"/>
    </w:rPr>
  </w:style>
  <w:style w:type="character" w:customStyle="1" w:styleId="FootnoteTextChar">
    <w:name w:val="Footnote Text Char"/>
    <w:basedOn w:val="DefaultParagraphFont"/>
    <w:link w:val="FootnoteText"/>
    <w:uiPriority w:val="99"/>
    <w:semiHidden/>
    <w:rsid w:val="00AB0A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B0A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36F"/>
    <w:pPr>
      <w:ind w:left="720"/>
      <w:contextualSpacing/>
    </w:pPr>
  </w:style>
  <w:style w:type="paragraph" w:styleId="Footer">
    <w:name w:val="footer"/>
    <w:basedOn w:val="Normal"/>
    <w:link w:val="FooterChar"/>
    <w:uiPriority w:val="99"/>
    <w:rsid w:val="0060036F"/>
    <w:pPr>
      <w:tabs>
        <w:tab w:val="center" w:pos="4680"/>
        <w:tab w:val="right" w:pos="9360"/>
      </w:tabs>
    </w:pPr>
  </w:style>
  <w:style w:type="character" w:customStyle="1" w:styleId="FooterChar">
    <w:name w:val="Footer Char"/>
    <w:basedOn w:val="DefaultParagraphFont"/>
    <w:link w:val="Footer"/>
    <w:uiPriority w:val="99"/>
    <w:rsid w:val="0060036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58EA"/>
    <w:rPr>
      <w:sz w:val="16"/>
      <w:szCs w:val="16"/>
    </w:rPr>
  </w:style>
  <w:style w:type="paragraph" w:styleId="CommentText">
    <w:name w:val="annotation text"/>
    <w:basedOn w:val="Normal"/>
    <w:link w:val="CommentTextChar"/>
    <w:uiPriority w:val="99"/>
    <w:semiHidden/>
    <w:unhideWhenUsed/>
    <w:rsid w:val="00E158EA"/>
    <w:rPr>
      <w:sz w:val="20"/>
      <w:szCs w:val="20"/>
    </w:rPr>
  </w:style>
  <w:style w:type="character" w:customStyle="1" w:styleId="CommentTextChar">
    <w:name w:val="Comment Text Char"/>
    <w:basedOn w:val="DefaultParagraphFont"/>
    <w:link w:val="CommentText"/>
    <w:uiPriority w:val="99"/>
    <w:semiHidden/>
    <w:rsid w:val="00E15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58EA"/>
    <w:rPr>
      <w:b/>
      <w:bCs/>
    </w:rPr>
  </w:style>
  <w:style w:type="character" w:customStyle="1" w:styleId="CommentSubjectChar">
    <w:name w:val="Comment Subject Char"/>
    <w:basedOn w:val="CommentTextChar"/>
    <w:link w:val="CommentSubject"/>
    <w:uiPriority w:val="99"/>
    <w:semiHidden/>
    <w:rsid w:val="00E158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58EA"/>
    <w:rPr>
      <w:rFonts w:ascii="Tahoma" w:hAnsi="Tahoma" w:cs="Tahoma"/>
      <w:sz w:val="16"/>
      <w:szCs w:val="16"/>
    </w:rPr>
  </w:style>
  <w:style w:type="character" w:customStyle="1" w:styleId="BalloonTextChar">
    <w:name w:val="Balloon Text Char"/>
    <w:basedOn w:val="DefaultParagraphFont"/>
    <w:link w:val="BalloonText"/>
    <w:uiPriority w:val="99"/>
    <w:semiHidden/>
    <w:rsid w:val="00E158EA"/>
    <w:rPr>
      <w:rFonts w:ascii="Tahoma" w:eastAsia="Times New Roman" w:hAnsi="Tahoma" w:cs="Tahoma"/>
      <w:sz w:val="16"/>
      <w:szCs w:val="16"/>
    </w:rPr>
  </w:style>
  <w:style w:type="character" w:styleId="Emphasis">
    <w:name w:val="Emphasis"/>
    <w:basedOn w:val="DefaultParagraphFont"/>
    <w:uiPriority w:val="20"/>
    <w:qFormat/>
    <w:rsid w:val="005B7D67"/>
    <w:rPr>
      <w:i/>
      <w:iCs/>
    </w:rPr>
  </w:style>
  <w:style w:type="character" w:customStyle="1" w:styleId="apple-converted-space">
    <w:name w:val="apple-converted-space"/>
    <w:basedOn w:val="DefaultParagraphFont"/>
    <w:rsid w:val="005B7D67"/>
  </w:style>
  <w:style w:type="character" w:styleId="Hyperlink">
    <w:name w:val="Hyperlink"/>
    <w:basedOn w:val="DefaultParagraphFont"/>
    <w:uiPriority w:val="99"/>
    <w:unhideWhenUsed/>
    <w:rsid w:val="005B7D67"/>
    <w:rPr>
      <w:color w:val="0000FF"/>
      <w:u w:val="single"/>
    </w:rPr>
  </w:style>
  <w:style w:type="paragraph" w:styleId="EndnoteText">
    <w:name w:val="endnote text"/>
    <w:basedOn w:val="Normal"/>
    <w:link w:val="EndnoteTextChar"/>
    <w:uiPriority w:val="99"/>
    <w:semiHidden/>
    <w:unhideWhenUsed/>
    <w:rsid w:val="00AB0A2F"/>
    <w:rPr>
      <w:sz w:val="20"/>
      <w:szCs w:val="20"/>
    </w:rPr>
  </w:style>
  <w:style w:type="character" w:customStyle="1" w:styleId="EndnoteTextChar">
    <w:name w:val="Endnote Text Char"/>
    <w:basedOn w:val="DefaultParagraphFont"/>
    <w:link w:val="EndnoteText"/>
    <w:uiPriority w:val="99"/>
    <w:semiHidden/>
    <w:rsid w:val="00AB0A2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B0A2F"/>
    <w:rPr>
      <w:vertAlign w:val="superscript"/>
    </w:rPr>
  </w:style>
  <w:style w:type="paragraph" w:styleId="FootnoteText">
    <w:name w:val="footnote text"/>
    <w:basedOn w:val="Normal"/>
    <w:link w:val="FootnoteTextChar"/>
    <w:uiPriority w:val="99"/>
    <w:semiHidden/>
    <w:unhideWhenUsed/>
    <w:rsid w:val="00AB0A2F"/>
    <w:rPr>
      <w:sz w:val="20"/>
      <w:szCs w:val="20"/>
    </w:rPr>
  </w:style>
  <w:style w:type="character" w:customStyle="1" w:styleId="FootnoteTextChar">
    <w:name w:val="Footnote Text Char"/>
    <w:basedOn w:val="DefaultParagraphFont"/>
    <w:link w:val="FootnoteText"/>
    <w:uiPriority w:val="99"/>
    <w:semiHidden/>
    <w:rsid w:val="00AB0A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B0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surveys/gemena/pdf/NoncreditPaper_AIR_Final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43A8-4B4C-4D36-89C5-2A5C4DD6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rmedway</dc:creator>
  <cp:lastModifiedBy>kashka.kubzdela</cp:lastModifiedBy>
  <cp:revision>11</cp:revision>
  <dcterms:created xsi:type="dcterms:W3CDTF">2013-04-15T17:33:00Z</dcterms:created>
  <dcterms:modified xsi:type="dcterms:W3CDTF">2013-04-16T02:23:00Z</dcterms:modified>
</cp:coreProperties>
</file>