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823" w:rsidRPr="00955B9E" w:rsidRDefault="00F81823" w:rsidP="00F81823">
      <w:pPr>
        <w:pStyle w:val="Header"/>
        <w:tabs>
          <w:tab w:val="left" w:pos="4500"/>
        </w:tabs>
      </w:pPr>
      <w:r>
        <w:rPr>
          <w:rFonts w:ascii="Verdana" w:hAnsi="Verdana"/>
        </w:rPr>
        <w:t>Memorandum</w:t>
      </w:r>
      <w:r>
        <w:rPr>
          <w:rFonts w:ascii="Verdana" w:hAnsi="Verdana"/>
        </w:rPr>
        <w:tab/>
      </w:r>
      <w:r>
        <w:rPr>
          <w:rFonts w:ascii="Verdana" w:hAnsi="Verdana"/>
        </w:rPr>
        <w:tab/>
      </w:r>
      <w:r w:rsidRPr="00955B9E">
        <w:t>United States Department of Education</w:t>
      </w:r>
    </w:p>
    <w:p w:rsidR="00F81823" w:rsidRPr="00955B9E" w:rsidRDefault="00F81823" w:rsidP="00F81823">
      <w:pPr>
        <w:pStyle w:val="Header"/>
        <w:tabs>
          <w:tab w:val="left" w:pos="4500"/>
        </w:tabs>
      </w:pPr>
      <w:r w:rsidRPr="00955B9E">
        <w:tab/>
      </w:r>
      <w:r w:rsidRPr="00955B9E">
        <w:tab/>
        <w:t>Institute of Education Sciences</w:t>
      </w:r>
    </w:p>
    <w:p w:rsidR="00F81823" w:rsidRPr="00F81823" w:rsidRDefault="00F81823" w:rsidP="00F81823">
      <w:pPr>
        <w:pStyle w:val="Header"/>
        <w:tabs>
          <w:tab w:val="left" w:pos="4320"/>
          <w:tab w:val="left" w:pos="4500"/>
        </w:tabs>
        <w:rPr>
          <w:rFonts w:ascii="Verdana" w:hAnsi="Verdana"/>
          <w:b/>
        </w:rPr>
      </w:pPr>
      <w:r w:rsidRPr="00955B9E">
        <w:tab/>
      </w:r>
      <w:r w:rsidRPr="00955B9E">
        <w:tab/>
      </w:r>
      <w:r w:rsidRPr="00955B9E">
        <w:rPr>
          <w:rStyle w:val="PageNumber"/>
          <w:b/>
        </w:rPr>
        <w:t>National Center for Education Statistics</w:t>
      </w:r>
      <w:r>
        <w:rPr>
          <w:rFonts w:ascii="Verdana" w:hAnsi="Verdana"/>
        </w:rPr>
        <w:tab/>
      </w:r>
    </w:p>
    <w:p w:rsidR="00F81823" w:rsidRPr="00F81823" w:rsidRDefault="00F81823" w:rsidP="00F81823">
      <w:pPr>
        <w:pStyle w:val="Header"/>
        <w:rPr>
          <w:rFonts w:ascii="Verdana" w:hAnsi="Verdana"/>
          <w:b/>
        </w:rPr>
      </w:pPr>
      <w:r w:rsidRPr="00F81823">
        <w:rPr>
          <w:rFonts w:ascii="Verdana" w:hAnsi="Verdana"/>
          <w:b/>
        </w:rPr>
        <w:tab/>
      </w:r>
    </w:p>
    <w:tbl>
      <w:tblPr>
        <w:tblW w:w="0" w:type="auto"/>
        <w:tblInd w:w="108" w:type="dxa"/>
        <w:tblBorders>
          <w:top w:val="single" w:sz="8" w:space="0" w:color="auto"/>
        </w:tblBorders>
        <w:tblLook w:val="0000"/>
      </w:tblPr>
      <w:tblGrid>
        <w:gridCol w:w="9360"/>
      </w:tblGrid>
      <w:tr w:rsidR="00F81823">
        <w:trPr>
          <w:trHeight w:val="100"/>
        </w:trPr>
        <w:tc>
          <w:tcPr>
            <w:tcW w:w="9360" w:type="dxa"/>
          </w:tcPr>
          <w:p w:rsidR="00F81823" w:rsidRDefault="00F81823"/>
        </w:tc>
      </w:tr>
    </w:tbl>
    <w:p w:rsidR="00F81823" w:rsidRPr="00184E2E" w:rsidRDefault="00BE2E7A" w:rsidP="00F81823">
      <w:pPr>
        <w:tabs>
          <w:tab w:val="left" w:pos="2160"/>
        </w:tabs>
      </w:pPr>
      <w:r w:rsidRPr="00184E2E">
        <w:t>DATE:</w:t>
      </w:r>
      <w:r w:rsidRPr="00184E2E">
        <w:tab/>
      </w:r>
      <w:r w:rsidR="006E0955" w:rsidRPr="00184E2E">
        <w:t>December 9, 2011</w:t>
      </w:r>
    </w:p>
    <w:p w:rsidR="00F81823" w:rsidRPr="00184E2E" w:rsidRDefault="00F81823" w:rsidP="00F81823">
      <w:pPr>
        <w:tabs>
          <w:tab w:val="left" w:pos="2160"/>
        </w:tabs>
      </w:pPr>
      <w:r w:rsidRPr="00184E2E">
        <w:t>TO:</w:t>
      </w:r>
      <w:r w:rsidRPr="00184E2E">
        <w:tab/>
      </w:r>
      <w:r w:rsidR="00F20A58" w:rsidRPr="00184E2E">
        <w:t xml:space="preserve">Shelly Martinez, </w:t>
      </w:r>
      <w:r w:rsidR="00B70242" w:rsidRPr="00184E2E">
        <w:t>OMB</w:t>
      </w:r>
    </w:p>
    <w:p w:rsidR="00F81823" w:rsidRPr="00184E2E" w:rsidRDefault="00F81823" w:rsidP="00F81823">
      <w:pPr>
        <w:tabs>
          <w:tab w:val="left" w:pos="2160"/>
        </w:tabs>
      </w:pPr>
      <w:r w:rsidRPr="00184E2E">
        <w:t>FROM:</w:t>
      </w:r>
      <w:r w:rsidRPr="00184E2E">
        <w:tab/>
        <w:t>Daniel McGrath, NCES</w:t>
      </w:r>
    </w:p>
    <w:p w:rsidR="00F81823" w:rsidRPr="00184E2E" w:rsidRDefault="00F81823" w:rsidP="00F81823">
      <w:pPr>
        <w:tabs>
          <w:tab w:val="left" w:pos="2160"/>
        </w:tabs>
      </w:pPr>
      <w:r w:rsidRPr="00184E2E">
        <w:t>THROUGH:</w:t>
      </w:r>
      <w:r w:rsidRPr="00184E2E">
        <w:tab/>
        <w:t>Kashka Kubzdela, NCES</w:t>
      </w:r>
    </w:p>
    <w:p w:rsidR="00F81823" w:rsidRPr="00184E2E" w:rsidRDefault="00F81823" w:rsidP="00F81823">
      <w:pPr>
        <w:tabs>
          <w:tab w:val="left" w:pos="2160"/>
        </w:tabs>
      </w:pPr>
      <w:r w:rsidRPr="00184E2E">
        <w:t>SUBJECT:</w:t>
      </w:r>
      <w:r w:rsidRPr="00184E2E">
        <w:tab/>
      </w:r>
      <w:r w:rsidR="00184E2E" w:rsidRPr="00184E2E">
        <w:t xml:space="preserve">ATC21S Project Phase 2.4 Field Test Revision </w:t>
      </w:r>
      <w:r w:rsidRPr="00184E2E">
        <w:t>(OMB</w:t>
      </w:r>
      <w:r w:rsidR="00F20A58" w:rsidRPr="00184E2E">
        <w:t>#</w:t>
      </w:r>
      <w:r w:rsidRPr="00184E2E">
        <w:t xml:space="preserve"> 1850-0803</w:t>
      </w:r>
      <w:r w:rsidR="00F20A58" w:rsidRPr="00184E2E">
        <w:t xml:space="preserve"> v.</w:t>
      </w:r>
      <w:r w:rsidR="006E0955" w:rsidRPr="00184E2E">
        <w:t>6</w:t>
      </w:r>
      <w:r w:rsidR="00B73119" w:rsidRPr="00184E2E">
        <w:t>2</w:t>
      </w:r>
      <w:r w:rsidRPr="00184E2E">
        <w:t>)</w:t>
      </w:r>
    </w:p>
    <w:p w:rsidR="006E0955" w:rsidRPr="006E0955" w:rsidRDefault="006E0955" w:rsidP="0099782C">
      <w:pPr>
        <w:pStyle w:val="Heading1"/>
        <w:rPr>
          <w:rFonts w:asciiTheme="minorHAnsi" w:eastAsiaTheme="minorHAnsi" w:hAnsiTheme="minorHAnsi" w:cstheme="minorBidi"/>
          <w:b w:val="0"/>
          <w:bCs w:val="0"/>
          <w:color w:val="auto"/>
          <w:sz w:val="24"/>
          <w:szCs w:val="24"/>
        </w:rPr>
      </w:pPr>
      <w:r w:rsidRPr="006E0955">
        <w:rPr>
          <w:rFonts w:asciiTheme="minorHAnsi" w:eastAsiaTheme="minorHAnsi" w:hAnsiTheme="minorHAnsi" w:cstheme="minorBidi"/>
          <w:b w:val="0"/>
          <w:bCs w:val="0"/>
          <w:color w:val="auto"/>
          <w:sz w:val="24"/>
          <w:szCs w:val="24"/>
          <w:highlight w:val="yellow"/>
        </w:rPr>
        <w:t>This is a revision to the OMB#1850-</w:t>
      </w:r>
      <w:r w:rsidRPr="00433A6D">
        <w:rPr>
          <w:rFonts w:asciiTheme="minorHAnsi" w:eastAsiaTheme="minorHAnsi" w:hAnsiTheme="minorHAnsi" w:cstheme="minorBidi"/>
          <w:b w:val="0"/>
          <w:bCs w:val="0"/>
          <w:color w:val="auto"/>
          <w:sz w:val="24"/>
          <w:szCs w:val="24"/>
          <w:highlight w:val="yellow"/>
        </w:rPr>
        <w:t xml:space="preserve">0803 v.59 clearance package for the </w:t>
      </w:r>
      <w:r w:rsidR="00433A6D" w:rsidRPr="00433A6D">
        <w:rPr>
          <w:rFonts w:asciiTheme="minorHAnsi" w:eastAsiaTheme="minorHAnsi" w:hAnsiTheme="minorHAnsi" w:cstheme="minorBidi"/>
          <w:b w:val="0"/>
          <w:bCs w:val="0"/>
          <w:color w:val="auto"/>
          <w:sz w:val="24"/>
          <w:szCs w:val="24"/>
          <w:highlight w:val="yellow"/>
        </w:rPr>
        <w:t xml:space="preserve">ATC21S Project Phase 2.4 Field Test </w:t>
      </w:r>
      <w:r w:rsidRPr="00433A6D">
        <w:rPr>
          <w:rFonts w:asciiTheme="minorHAnsi" w:eastAsiaTheme="minorHAnsi" w:hAnsiTheme="minorHAnsi" w:cstheme="minorBidi"/>
          <w:b w:val="0"/>
          <w:bCs w:val="0"/>
          <w:color w:val="auto"/>
          <w:sz w:val="24"/>
          <w:szCs w:val="24"/>
          <w:highlight w:val="yellow"/>
        </w:rPr>
        <w:t xml:space="preserve"> approved by the Office of Management and Budget on November 23rd, 2011. The Information and Communication Technology </w:t>
      </w:r>
      <w:r w:rsidRPr="006E0955">
        <w:rPr>
          <w:rFonts w:asciiTheme="minorHAnsi" w:eastAsiaTheme="minorHAnsi" w:hAnsiTheme="minorHAnsi" w:cstheme="minorBidi"/>
          <w:b w:val="0"/>
          <w:bCs w:val="0"/>
          <w:color w:val="auto"/>
          <w:sz w:val="24"/>
          <w:szCs w:val="24"/>
          <w:highlight w:val="yellow"/>
        </w:rPr>
        <w:t>(ICT) tasks have been deleted and the portions of the text of the original memo that have been revised are highlighted in yellow below.</w:t>
      </w:r>
    </w:p>
    <w:p w:rsidR="00C10B89" w:rsidRDefault="00F81823" w:rsidP="0099782C">
      <w:pPr>
        <w:pStyle w:val="Heading1"/>
      </w:pPr>
      <w:r>
        <w:t>Submitted-Related Information</w:t>
      </w:r>
    </w:p>
    <w:p w:rsidR="00C0007A" w:rsidRDefault="00C0007A"/>
    <w:p w:rsidR="000C7181" w:rsidRPr="00667F9C" w:rsidRDefault="008D774A" w:rsidP="0095112C">
      <w:pPr>
        <w:rPr>
          <w:rFonts w:ascii="Cambria" w:hAnsi="Cambria"/>
        </w:rPr>
      </w:pPr>
      <w:r w:rsidRPr="003965A1">
        <w:t>The following material is being submitted under the National Center for Education Statistics (NCES) clearance agreement (OMB #1850-0803)</w:t>
      </w:r>
      <w:r w:rsidR="006A4743">
        <w:t>,</w:t>
      </w:r>
      <w:r w:rsidRPr="003965A1">
        <w:t xml:space="preserve"> which provides for NCES to improve methodologies, question types, and/or delivery methods of its survey and assessment instruments by conducting field tests, focus groups, and cognitive interviews. The request for approval described in this memorandum is to cond</w:t>
      </w:r>
      <w:r w:rsidR="006A4743">
        <w:t xml:space="preserve">uct the </w:t>
      </w:r>
      <w:r w:rsidR="00846AE9">
        <w:t>fourth</w:t>
      </w:r>
      <w:r w:rsidR="00C95CE2">
        <w:t xml:space="preserve"> </w:t>
      </w:r>
      <w:r w:rsidR="009D6A79">
        <w:t xml:space="preserve">and final </w:t>
      </w:r>
      <w:r>
        <w:t xml:space="preserve">phase of development and </w:t>
      </w:r>
      <w:r w:rsidR="00846AE9">
        <w:t>field-</w:t>
      </w:r>
      <w:r>
        <w:t xml:space="preserve">testing of assessment tasks </w:t>
      </w:r>
      <w:r w:rsidR="00846AE9">
        <w:t>of 21</w:t>
      </w:r>
      <w:r w:rsidR="00301394" w:rsidRPr="00301394">
        <w:rPr>
          <w:vertAlign w:val="superscript"/>
        </w:rPr>
        <w:t>st</w:t>
      </w:r>
      <w:r w:rsidR="00846AE9">
        <w:t xml:space="preserve"> century skills </w:t>
      </w:r>
      <w:r>
        <w:t>for 6</w:t>
      </w:r>
      <w:r w:rsidRPr="004861FD">
        <w:rPr>
          <w:vertAlign w:val="superscript"/>
        </w:rPr>
        <w:t>th</w:t>
      </w:r>
      <w:r>
        <w:t>, 8</w:t>
      </w:r>
      <w:r w:rsidRPr="004861FD">
        <w:rPr>
          <w:vertAlign w:val="superscript"/>
        </w:rPr>
        <w:t>th</w:t>
      </w:r>
      <w:r>
        <w:t>, and 10</w:t>
      </w:r>
      <w:r w:rsidRPr="004861FD">
        <w:rPr>
          <w:vertAlign w:val="superscript"/>
        </w:rPr>
        <w:t>th</w:t>
      </w:r>
      <w:r>
        <w:t xml:space="preserve"> grade students. </w:t>
      </w:r>
      <w:r w:rsidR="0071430B">
        <w:t>The four</w:t>
      </w:r>
      <w:r>
        <w:t xml:space="preserve"> phases of the field test include task validation of the assessment prototype, cognitive labs, a pilot test, and a field test. Attached to this memo please </w:t>
      </w:r>
      <w:r w:rsidR="0095112C">
        <w:t xml:space="preserve">also find </w:t>
      </w:r>
      <w:r w:rsidR="0095112C">
        <w:rPr>
          <w:rFonts w:ascii="Cambria" w:hAnsi="Cambria"/>
        </w:rPr>
        <w:t xml:space="preserve">Appendix </w:t>
      </w:r>
      <w:r w:rsidR="00301394" w:rsidRPr="00667F9C">
        <w:rPr>
          <w:rFonts w:ascii="Cambria" w:hAnsi="Cambria"/>
        </w:rPr>
        <w:t>A</w:t>
      </w:r>
      <w:r w:rsidR="0095112C">
        <w:rPr>
          <w:rFonts w:ascii="Cambria" w:hAnsi="Cambria"/>
        </w:rPr>
        <w:t xml:space="preserve"> with the</w:t>
      </w:r>
      <w:r w:rsidR="00301394" w:rsidRPr="00667F9C">
        <w:rPr>
          <w:rFonts w:ascii="Cambria" w:hAnsi="Cambria"/>
        </w:rPr>
        <w:t xml:space="preserve"> Phase 2.4 </w:t>
      </w:r>
      <w:r w:rsidR="0095112C">
        <w:rPr>
          <w:rFonts w:ascii="Cambria" w:hAnsi="Cambria"/>
        </w:rPr>
        <w:t>f</w:t>
      </w:r>
      <w:r w:rsidR="00301394" w:rsidRPr="00667F9C">
        <w:rPr>
          <w:rFonts w:ascii="Cambria" w:hAnsi="Cambria"/>
        </w:rPr>
        <w:t>ield test training and administration materials</w:t>
      </w:r>
      <w:r w:rsidR="0095112C">
        <w:rPr>
          <w:rFonts w:ascii="Cambria" w:hAnsi="Cambria"/>
        </w:rPr>
        <w:t>.</w:t>
      </w:r>
    </w:p>
    <w:p w:rsidR="006A7946" w:rsidRDefault="00907201" w:rsidP="0099782C">
      <w:pPr>
        <w:pStyle w:val="Heading1"/>
      </w:pPr>
      <w:r>
        <w:t>Background</w:t>
      </w:r>
    </w:p>
    <w:p w:rsidR="00C0007A" w:rsidRPr="00C0007A" w:rsidRDefault="00C0007A" w:rsidP="00C0007A"/>
    <w:p w:rsidR="0079724B" w:rsidRPr="00955B9E" w:rsidRDefault="0079724B" w:rsidP="000F5AC9">
      <w:r w:rsidRPr="00955B9E">
        <w:t xml:space="preserve">The Assessment and Teaching of 21st Century Skills (ATC21S) project is focused on defining </w:t>
      </w:r>
      <w:r>
        <w:t>what are considered to be 21</w:t>
      </w:r>
      <w:r w:rsidRPr="004861FD">
        <w:rPr>
          <w:vertAlign w:val="superscript"/>
        </w:rPr>
        <w:t>st</w:t>
      </w:r>
      <w:r>
        <w:t xml:space="preserve"> century skills. The two areas to be developed are literacy in information and computer technology (ICT) and collaborative problem </w:t>
      </w:r>
      <w:r w:rsidR="00BF334C">
        <w:t>solving</w:t>
      </w:r>
      <w:r w:rsidR="00C0007A">
        <w:t xml:space="preserve"> - </w:t>
      </w:r>
      <w:r>
        <w:t>areas</w:t>
      </w:r>
      <w:r w:rsidR="00C0007A">
        <w:t xml:space="preserve"> </w:t>
      </w:r>
      <w:r>
        <w:t>that are thought to play an important role in students’ preparation for 21</w:t>
      </w:r>
      <w:r w:rsidRPr="004861FD">
        <w:rPr>
          <w:vertAlign w:val="superscript"/>
        </w:rPr>
        <w:t>st</w:t>
      </w:r>
      <w:r>
        <w:t xml:space="preserve"> century work places. The project is coordinated by </w:t>
      </w:r>
      <w:r w:rsidRPr="00955B9E">
        <w:t>Cisco Systems Inc., Intel Corporation</w:t>
      </w:r>
      <w:r w:rsidR="00F20A58">
        <w:t>,</w:t>
      </w:r>
      <w:r w:rsidRPr="00955B9E">
        <w:t xml:space="preserve"> and Microsoft Corp</w:t>
      </w:r>
      <w:r>
        <w:t xml:space="preserve"> and led by representatives of six “Founder” countries that have agreed to test the assessments developed in the ATC21S project: Australia, Finland, Portugal, Singapore, the United Kingdom, and the United States. </w:t>
      </w:r>
      <w:r w:rsidR="00846AE9">
        <w:t xml:space="preserve">Three associated countries, Costa Rica, the Netherlands, and Russia, have recently joined the project. </w:t>
      </w:r>
    </w:p>
    <w:p w:rsidR="0079724B" w:rsidRDefault="0079724B" w:rsidP="0079724B">
      <w:r w:rsidRPr="00955B9E">
        <w:t xml:space="preserve"> </w:t>
      </w:r>
    </w:p>
    <w:p w:rsidR="0079724B" w:rsidRPr="007512C7" w:rsidRDefault="0079724B" w:rsidP="0079724B">
      <w:r w:rsidRPr="003E520A">
        <w:t>In 2009</w:t>
      </w:r>
      <w:r w:rsidRPr="0084092A">
        <w:t xml:space="preserve">, ATC21S </w:t>
      </w:r>
      <w:r>
        <w:t>convened five working groups of experts to review the state-of-the-art and develop key issues to be resolved in conceptualizing the domain of 21</w:t>
      </w:r>
      <w:r w:rsidRPr="001D4C3C">
        <w:rPr>
          <w:vertAlign w:val="superscript"/>
        </w:rPr>
        <w:t>st</w:t>
      </w:r>
      <w:r>
        <w:t xml:space="preserve"> century skills</w:t>
      </w:r>
      <w:r w:rsidR="00F20A58">
        <w:t>;</w:t>
      </w:r>
      <w:r>
        <w:t xml:space="preserve"> developing methodology and technology for assessing these skills</w:t>
      </w:r>
      <w:r w:rsidR="00F20A58">
        <w:t>;</w:t>
      </w:r>
      <w:r>
        <w:t xml:space="preserve"> understanding the relationship between these skills</w:t>
      </w:r>
      <w:r w:rsidR="00F20A58">
        <w:t>,</w:t>
      </w:r>
      <w:r>
        <w:t xml:space="preserve"> instruction</w:t>
      </w:r>
      <w:r w:rsidR="00F20A58">
        <w:t>,</w:t>
      </w:r>
      <w:r>
        <w:t xml:space="preserve"> and other learning opportunities</w:t>
      </w:r>
      <w:r w:rsidR="00F20A58">
        <w:t>;</w:t>
      </w:r>
      <w:r>
        <w:t xml:space="preserve"> and developing a policy framework for implementing assessments of the skills.</w:t>
      </w:r>
      <w:r w:rsidR="00D64063">
        <w:t xml:space="preserve">  Short descriptions of t</w:t>
      </w:r>
      <w:r>
        <w:t>h</w:t>
      </w:r>
      <w:r w:rsidR="00D64063">
        <w:t xml:space="preserve">e </w:t>
      </w:r>
      <w:r>
        <w:t>result</w:t>
      </w:r>
      <w:r w:rsidR="00D64063">
        <w:t>ing</w:t>
      </w:r>
      <w:r>
        <w:t xml:space="preserve"> five White Papers</w:t>
      </w:r>
      <w:r w:rsidR="00D64063">
        <w:t>,</w:t>
      </w:r>
      <w:r>
        <w:t xml:space="preserve"> designed to inform the future stages of the project</w:t>
      </w:r>
      <w:r w:rsidR="00D64063">
        <w:t xml:space="preserve">, were provided in the clearance package for </w:t>
      </w:r>
      <w:r w:rsidR="00D64063" w:rsidRPr="00955B9E">
        <w:t>ATC21S</w:t>
      </w:r>
      <w:r w:rsidR="00D64063">
        <w:t xml:space="preserve"> cognitive interviews (OMB# </w:t>
      </w:r>
      <w:r w:rsidR="00D64063" w:rsidRPr="00D64063">
        <w:t>1850-0803 v.41</w:t>
      </w:r>
      <w:r w:rsidR="006E0034">
        <w:t>)</w:t>
      </w:r>
      <w:r w:rsidR="00D64063">
        <w:t>, approved on February 23, 2011.</w:t>
      </w:r>
    </w:p>
    <w:p w:rsidR="00CB0966" w:rsidRDefault="00CB0966" w:rsidP="009300AE"/>
    <w:p w:rsidR="008B6C01" w:rsidRDefault="008B6C01" w:rsidP="008B6C01">
      <w:r>
        <w:t>In</w:t>
      </w:r>
      <w:r w:rsidRPr="0084092A">
        <w:t xml:space="preserve"> </w:t>
      </w:r>
      <w:r w:rsidRPr="003E520A">
        <w:t>2010</w:t>
      </w:r>
      <w:r w:rsidRPr="0084092A">
        <w:t xml:space="preserve">, the </w:t>
      </w:r>
      <w:r>
        <w:t xml:space="preserve">ATC21S </w:t>
      </w:r>
      <w:r w:rsidRPr="0084092A">
        <w:t>Executive Board</w:t>
      </w:r>
      <w:r>
        <w:t xml:space="preserve"> (made up of senior officials from each of the founder countries and representatives from Cisco, Intel, and Microsoft) </w:t>
      </w:r>
      <w:r w:rsidRPr="0084092A">
        <w:t xml:space="preserve">approved </w:t>
      </w:r>
      <w:r>
        <w:t>a</w:t>
      </w:r>
      <w:r w:rsidRPr="0084092A">
        <w:t xml:space="preserve"> focus on </w:t>
      </w:r>
      <w:r>
        <w:t>two 21</w:t>
      </w:r>
      <w:r w:rsidRPr="004861FD">
        <w:rPr>
          <w:vertAlign w:val="superscript"/>
        </w:rPr>
        <w:t>st</w:t>
      </w:r>
      <w:r>
        <w:t xml:space="preserve"> century skill domains promising for measurement: (1) Collaborative Problem Solving and (2) ICT Literacy – Learning in Digital Communities. Panels of experts were convened to define the constructs to be measured. Both</w:t>
      </w:r>
      <w:r w:rsidRPr="007512C7">
        <w:t xml:space="preserve"> panel</w:t>
      </w:r>
      <w:r>
        <w:t>s</w:t>
      </w:r>
      <w:r w:rsidRPr="007512C7">
        <w:t xml:space="preserve"> focus</w:t>
      </w:r>
      <w:r>
        <w:t>ed</w:t>
      </w:r>
      <w:r w:rsidRPr="007512C7">
        <w:t xml:space="preserve"> on the theoretical framework </w:t>
      </w:r>
      <w:r>
        <w:t xml:space="preserve">for their domain </w:t>
      </w:r>
      <w:r w:rsidRPr="007512C7">
        <w:t>and propose</w:t>
      </w:r>
      <w:r>
        <w:t>d</w:t>
      </w:r>
      <w:r w:rsidRPr="007512C7">
        <w:t xml:space="preserve"> a series of proficiency levels </w:t>
      </w:r>
      <w:r>
        <w:t>to</w:t>
      </w:r>
      <w:r w:rsidRPr="007512C7">
        <w:t xml:space="preserve"> guide </w:t>
      </w:r>
      <w:r>
        <w:t xml:space="preserve">assessment </w:t>
      </w:r>
      <w:r w:rsidRPr="007512C7">
        <w:t xml:space="preserve">task developers in the next phase of the project. </w:t>
      </w:r>
    </w:p>
    <w:p w:rsidR="008B6C01" w:rsidRDefault="008B6C01" w:rsidP="008B6C01"/>
    <w:p w:rsidR="008B6C01" w:rsidRPr="007512C7" w:rsidRDefault="008B6C01" w:rsidP="008B6C01">
      <w:r>
        <w:t xml:space="preserve">The </w:t>
      </w:r>
      <w:r w:rsidRPr="0037247F">
        <w:t>Collaborative Problem Solving</w:t>
      </w:r>
      <w:r>
        <w:t xml:space="preserve"> </w:t>
      </w:r>
      <w:r w:rsidRPr="007512C7">
        <w:t>panel</w:t>
      </w:r>
      <w:r>
        <w:t>,</w:t>
      </w:r>
      <w:r w:rsidRPr="007512C7">
        <w:t xml:space="preserve"> under the leadersh</w:t>
      </w:r>
      <w:r>
        <w:t xml:space="preserve">ip of Professor Friedrich </w:t>
      </w:r>
      <w:proofErr w:type="spellStart"/>
      <w:r>
        <w:t>Hesse</w:t>
      </w:r>
      <w:proofErr w:type="spellEnd"/>
      <w:r w:rsidRPr="007512C7">
        <w:t xml:space="preserve"> (University of Tubingen/Knowledge Media Research Center, Germany) </w:t>
      </w:r>
      <w:r>
        <w:t xml:space="preserve">and </w:t>
      </w:r>
      <w:r w:rsidRPr="0084092A">
        <w:t xml:space="preserve">Professor </w:t>
      </w:r>
      <w:proofErr w:type="spellStart"/>
      <w:r w:rsidRPr="0084092A">
        <w:t>Eckhard</w:t>
      </w:r>
      <w:proofErr w:type="spellEnd"/>
      <w:r w:rsidRPr="0084092A">
        <w:t xml:space="preserve"> </w:t>
      </w:r>
      <w:proofErr w:type="spellStart"/>
      <w:r w:rsidRPr="0084092A">
        <w:t>Klieme</w:t>
      </w:r>
      <w:proofErr w:type="spellEnd"/>
      <w:r w:rsidRPr="0084092A">
        <w:t xml:space="preserve"> (German Institute for International Educational Research)</w:t>
      </w:r>
      <w:r>
        <w:t xml:space="preserve">, </w:t>
      </w:r>
      <w:r w:rsidRPr="007512C7">
        <w:t>define</w:t>
      </w:r>
      <w:r>
        <w:t>d</w:t>
      </w:r>
      <w:r w:rsidRPr="007512C7">
        <w:t xml:space="preserve"> the construct of collaborative problem solving. </w:t>
      </w:r>
      <w:r>
        <w:t xml:space="preserve">The </w:t>
      </w:r>
      <w:r w:rsidRPr="0037247F">
        <w:t>ICT Literacy – Learning in Digital Communities</w:t>
      </w:r>
      <w:r>
        <w:t xml:space="preserve"> </w:t>
      </w:r>
      <w:r w:rsidRPr="007512C7">
        <w:t xml:space="preserve">panel under the leadership of Dr. John </w:t>
      </w:r>
      <w:proofErr w:type="spellStart"/>
      <w:r w:rsidRPr="007512C7">
        <w:t>Ainley</w:t>
      </w:r>
      <w:proofErr w:type="spellEnd"/>
      <w:r w:rsidRPr="007512C7">
        <w:t xml:space="preserve"> (Australian Council for Educational Research, Australia) define</w:t>
      </w:r>
      <w:r>
        <w:t>d</w:t>
      </w:r>
      <w:r w:rsidRPr="007512C7">
        <w:t xml:space="preserve"> the construct of digital literacy and social networking. </w:t>
      </w:r>
      <w:r>
        <w:t>Both</w:t>
      </w:r>
      <w:r w:rsidRPr="007512C7">
        <w:t xml:space="preserve"> panel</w:t>
      </w:r>
      <w:r>
        <w:t>s</w:t>
      </w:r>
      <w:r w:rsidRPr="007512C7">
        <w:t xml:space="preserve"> focus</w:t>
      </w:r>
      <w:r>
        <w:t>ed</w:t>
      </w:r>
      <w:r w:rsidRPr="007512C7">
        <w:t xml:space="preserve"> on the theoretical framework </w:t>
      </w:r>
      <w:r>
        <w:t xml:space="preserve">for their domain </w:t>
      </w:r>
      <w:r w:rsidRPr="007512C7">
        <w:t>and propose</w:t>
      </w:r>
      <w:r>
        <w:t>d</w:t>
      </w:r>
      <w:r w:rsidRPr="007512C7">
        <w:t xml:space="preserve"> a series of proficiency levels </w:t>
      </w:r>
      <w:r>
        <w:t>to</w:t>
      </w:r>
      <w:r w:rsidRPr="007512C7">
        <w:t xml:space="preserve"> guide </w:t>
      </w:r>
      <w:r>
        <w:t xml:space="preserve">assessment </w:t>
      </w:r>
      <w:r w:rsidRPr="007512C7">
        <w:t xml:space="preserve">task developers in the next phase of the project. </w:t>
      </w:r>
    </w:p>
    <w:p w:rsidR="008B6C01" w:rsidRPr="007512C7" w:rsidRDefault="008B6C01" w:rsidP="008B6C01"/>
    <w:p w:rsidR="008B6C01" w:rsidRDefault="008B6C01" w:rsidP="008B6C01">
      <w:r>
        <w:t>Web-based assessments designed to measure literacy in information and communication technology (ICT) were developed in draft form in the United States and assessments to measure the collaborative problem solving were developed in draft form in the United Kingdom. The development work is funded by the Cisco, Intel</w:t>
      </w:r>
      <w:r w:rsidR="00D64063">
        <w:t>,</w:t>
      </w:r>
      <w:r>
        <w:t xml:space="preserve"> and Microsoft consortium under a separate contract.</w:t>
      </w:r>
    </w:p>
    <w:p w:rsidR="008B6C01" w:rsidRDefault="008B6C01" w:rsidP="008B6C01"/>
    <w:p w:rsidR="008B6C01" w:rsidRDefault="008B6C01" w:rsidP="008B6C01">
      <w:r>
        <w:t xml:space="preserve">The </w:t>
      </w:r>
      <w:r w:rsidR="00087DF2">
        <w:t>end products</w:t>
      </w:r>
      <w:r>
        <w:t xml:space="preserve"> of web-based assessments and supporting strategies will be made available in the public domain for classroom use. NCES plans to use the web-based assessments in development of items for its longitudinal surveys, international assessments, and, potentially, NAEP.</w:t>
      </w:r>
    </w:p>
    <w:p w:rsidR="00FA6E30" w:rsidRDefault="00420972" w:rsidP="00657D9C">
      <w:pPr>
        <w:pStyle w:val="Heading1"/>
      </w:pPr>
      <w:r>
        <w:t>Design and Context</w:t>
      </w:r>
    </w:p>
    <w:p w:rsidR="00F54016" w:rsidRPr="00F54016" w:rsidRDefault="00F54016" w:rsidP="00F54016"/>
    <w:p w:rsidR="00030B83" w:rsidRDefault="00EC439C" w:rsidP="00030B83">
      <w:r>
        <w:t>NCES has</w:t>
      </w:r>
      <w:r w:rsidR="004A5669">
        <w:t xml:space="preserve"> </w:t>
      </w:r>
      <w:r w:rsidR="00B42281">
        <w:t>contracted</w:t>
      </w:r>
      <w:r>
        <w:t xml:space="preserve"> </w:t>
      </w:r>
      <w:proofErr w:type="spellStart"/>
      <w:r>
        <w:t>WestEd</w:t>
      </w:r>
      <w:proofErr w:type="spellEnd"/>
      <w:r w:rsidR="00B85EF5">
        <w:t xml:space="preserve"> (henceforth, the contractor)</w:t>
      </w:r>
      <w:r w:rsidR="00E743CE">
        <w:t xml:space="preserve"> </w:t>
      </w:r>
      <w:r>
        <w:t xml:space="preserve">to implement </w:t>
      </w:r>
      <w:r w:rsidR="00224F12">
        <w:t>all</w:t>
      </w:r>
      <w:r>
        <w:t xml:space="preserve"> </w:t>
      </w:r>
      <w:r w:rsidR="00F65B49">
        <w:t>p</w:t>
      </w:r>
      <w:r w:rsidR="00B70242">
        <w:t>hases</w:t>
      </w:r>
      <w:r w:rsidR="00224F12">
        <w:t xml:space="preserve"> of the U</w:t>
      </w:r>
      <w:r w:rsidR="00420972">
        <w:t>.</w:t>
      </w:r>
      <w:r w:rsidR="00224F12">
        <w:t>S</w:t>
      </w:r>
      <w:r w:rsidR="00420972">
        <w:t>.</w:t>
      </w:r>
      <w:r w:rsidR="00224F12">
        <w:t xml:space="preserve"> </w:t>
      </w:r>
      <w:r w:rsidR="00CD3E65">
        <w:t xml:space="preserve">National Feasibility Test </w:t>
      </w:r>
      <w:r w:rsidR="00224F12">
        <w:t>project</w:t>
      </w:r>
      <w:r w:rsidR="00B70242">
        <w:t xml:space="preserve">. Specifically, the </w:t>
      </w:r>
      <w:r w:rsidR="00F34D79">
        <w:t xml:space="preserve">contractor </w:t>
      </w:r>
      <w:r w:rsidR="00C72ECA">
        <w:t>has been</w:t>
      </w:r>
      <w:r w:rsidR="00F34D79">
        <w:t xml:space="preserve"> work</w:t>
      </w:r>
      <w:r w:rsidR="00C72ECA">
        <w:t>ing</w:t>
      </w:r>
      <w:r w:rsidR="00F34D79">
        <w:t xml:space="preserve"> with </w:t>
      </w:r>
      <w:r w:rsidR="00675AA8">
        <w:t xml:space="preserve">the two development contractors, </w:t>
      </w:r>
      <w:r w:rsidR="00F34D79">
        <w:t>the B</w:t>
      </w:r>
      <w:r w:rsidR="00675AA8">
        <w:t xml:space="preserve">erkeley </w:t>
      </w:r>
      <w:r w:rsidR="00F34D79">
        <w:t>E</w:t>
      </w:r>
      <w:r w:rsidR="00675AA8">
        <w:t xml:space="preserve">valuation and </w:t>
      </w:r>
      <w:r w:rsidR="00F34D79">
        <w:t>A</w:t>
      </w:r>
      <w:r w:rsidR="00675AA8">
        <w:t xml:space="preserve">ssessment </w:t>
      </w:r>
      <w:r w:rsidR="00F34D79">
        <w:t>R</w:t>
      </w:r>
      <w:r w:rsidR="00675AA8">
        <w:t>esearch (BEAR)</w:t>
      </w:r>
      <w:r w:rsidR="00F34D79">
        <w:t xml:space="preserve"> Center </w:t>
      </w:r>
      <w:r w:rsidR="00675AA8">
        <w:t>at the University of California, Berkeley</w:t>
      </w:r>
      <w:r w:rsidR="00D64063">
        <w:t>,</w:t>
      </w:r>
      <w:r w:rsidR="00675AA8">
        <w:t xml:space="preserve"> </w:t>
      </w:r>
      <w:r w:rsidR="00CD3E65">
        <w:t xml:space="preserve">and World Class Arena Ltd. </w:t>
      </w:r>
      <w:r w:rsidR="00675AA8">
        <w:t xml:space="preserve">in the UK </w:t>
      </w:r>
      <w:r w:rsidR="00CD3E65">
        <w:t>to test</w:t>
      </w:r>
      <w:r w:rsidR="00F34D79">
        <w:t xml:space="preserve"> the ICT Literacy </w:t>
      </w:r>
      <w:r w:rsidR="00CD3E65">
        <w:t xml:space="preserve">and Collaborative Problem Solving </w:t>
      </w:r>
      <w:r w:rsidR="00F34D79">
        <w:t xml:space="preserve">assessments in the field through different phases of </w:t>
      </w:r>
      <w:r w:rsidR="00B70242">
        <w:t xml:space="preserve">implementation </w:t>
      </w:r>
      <w:r w:rsidR="00224F12">
        <w:t>and report on the findings.</w:t>
      </w:r>
      <w:r w:rsidR="00F34D79">
        <w:t xml:space="preserve"> The findings will be used to further refine the assessments until a final version is achieved.</w:t>
      </w:r>
      <w:r w:rsidR="00030B83">
        <w:t xml:space="preserve"> Eugene Owen and Dan McGrath are the project leads at NCES. </w:t>
      </w:r>
    </w:p>
    <w:p w:rsidR="00EC439C" w:rsidRDefault="00EC439C" w:rsidP="00FA6E30"/>
    <w:p w:rsidR="00A359C6" w:rsidRPr="00AE74D5" w:rsidRDefault="009857C4" w:rsidP="00FA6E30">
      <w:pPr>
        <w:rPr>
          <w:b/>
          <w:i/>
        </w:rPr>
      </w:pPr>
      <w:r w:rsidRPr="009857C4">
        <w:rPr>
          <w:b/>
          <w:i/>
        </w:rPr>
        <w:t>Phases completed to date.</w:t>
      </w:r>
    </w:p>
    <w:p w:rsidR="00A359C6" w:rsidRDefault="00A359C6" w:rsidP="00FA6E30"/>
    <w:p w:rsidR="00AE74D5" w:rsidRPr="00EE72F1" w:rsidRDefault="00EC439C" w:rsidP="00FA6E30">
      <w:r w:rsidRPr="00EE72F1">
        <w:rPr>
          <w:b/>
        </w:rPr>
        <w:t>2.1 Phase</w:t>
      </w:r>
      <w:r w:rsidRPr="00EE72F1">
        <w:t xml:space="preserve"> –</w:t>
      </w:r>
      <w:r w:rsidR="00E6736C" w:rsidRPr="00EE72F1">
        <w:t xml:space="preserve"> </w:t>
      </w:r>
      <w:r w:rsidR="00AE74D5" w:rsidRPr="00EE72F1">
        <w:t xml:space="preserve">Validation of the task concepts was completed on </w:t>
      </w:r>
      <w:r w:rsidR="004C621B" w:rsidRPr="00D461C5">
        <w:t>October 28, 20</w:t>
      </w:r>
      <w:r w:rsidR="00D461C5" w:rsidRPr="00D461C5">
        <w:t>10</w:t>
      </w:r>
      <w:r w:rsidR="00EE72F1" w:rsidRPr="00EE72F1">
        <w:t>.</w:t>
      </w:r>
      <w:r w:rsidR="00AE74D5" w:rsidRPr="00EE72F1">
        <w:t xml:space="preserve"> </w:t>
      </w:r>
      <w:proofErr w:type="spellStart"/>
      <w:r w:rsidR="00AE74D5" w:rsidRPr="00EE72F1">
        <w:t>WestEd</w:t>
      </w:r>
      <w:proofErr w:type="spellEnd"/>
      <w:r w:rsidR="00AE74D5" w:rsidRPr="00EE72F1">
        <w:t xml:space="preserve"> validated the ICT Literacy tasks with</w:t>
      </w:r>
      <w:r w:rsidR="00F65B49" w:rsidRPr="00EE72F1">
        <w:t xml:space="preserve"> </w:t>
      </w:r>
      <w:r w:rsidR="00E6736C" w:rsidRPr="00EE72F1">
        <w:t xml:space="preserve">9 teachers (3 </w:t>
      </w:r>
      <w:r w:rsidR="00AE74D5" w:rsidRPr="00EE72F1">
        <w:t>at</w:t>
      </w:r>
      <w:r w:rsidR="00E6736C" w:rsidRPr="00EE72F1">
        <w:t xml:space="preserve"> 6</w:t>
      </w:r>
      <w:r w:rsidR="00E6736C" w:rsidRPr="00EE72F1">
        <w:rPr>
          <w:vertAlign w:val="superscript"/>
        </w:rPr>
        <w:t>th</w:t>
      </w:r>
      <w:r w:rsidR="00E6736C" w:rsidRPr="00EE72F1">
        <w:t xml:space="preserve"> grade, 3 </w:t>
      </w:r>
      <w:r w:rsidR="00AE74D5" w:rsidRPr="00EE72F1">
        <w:t>at</w:t>
      </w:r>
      <w:r w:rsidR="00E6736C" w:rsidRPr="00EE72F1">
        <w:t xml:space="preserve"> 8</w:t>
      </w:r>
      <w:r w:rsidR="00E6736C" w:rsidRPr="00EE72F1">
        <w:rPr>
          <w:vertAlign w:val="superscript"/>
        </w:rPr>
        <w:t>th</w:t>
      </w:r>
      <w:r w:rsidR="00E6736C" w:rsidRPr="00EE72F1">
        <w:t xml:space="preserve"> grade, and 3 </w:t>
      </w:r>
      <w:r w:rsidR="00AE74D5" w:rsidRPr="00EE72F1">
        <w:t>at</w:t>
      </w:r>
      <w:r w:rsidR="00E6736C" w:rsidRPr="00EE72F1">
        <w:t xml:space="preserve"> 10</w:t>
      </w:r>
      <w:r w:rsidR="00E6736C" w:rsidRPr="00EE72F1">
        <w:rPr>
          <w:vertAlign w:val="superscript"/>
        </w:rPr>
        <w:t>th</w:t>
      </w:r>
      <w:r w:rsidR="00AE74D5" w:rsidRPr="00EE72F1">
        <w:t xml:space="preserve"> grade). T</w:t>
      </w:r>
      <w:r w:rsidR="00196E70" w:rsidRPr="00EE72F1">
        <w:t xml:space="preserve">eacher’s </w:t>
      </w:r>
      <w:r w:rsidR="00AE74D5" w:rsidRPr="00EE72F1">
        <w:t xml:space="preserve">provided </w:t>
      </w:r>
      <w:proofErr w:type="spellStart"/>
      <w:r w:rsidR="00AE74D5" w:rsidRPr="00EE72F1">
        <w:t>WestEd</w:t>
      </w:r>
      <w:proofErr w:type="spellEnd"/>
      <w:r w:rsidR="00AE74D5" w:rsidRPr="00EE72F1">
        <w:t xml:space="preserve"> with </w:t>
      </w:r>
      <w:r w:rsidR="00CD3E65" w:rsidRPr="00EE72F1">
        <w:t>feedback on the task concepts</w:t>
      </w:r>
      <w:r w:rsidR="00F65B49" w:rsidRPr="00EE72F1">
        <w:t xml:space="preserve"> </w:t>
      </w:r>
      <w:r w:rsidR="00196E70" w:rsidRPr="00EE72F1">
        <w:t>as they relate</w:t>
      </w:r>
      <w:r w:rsidR="00AE74D5" w:rsidRPr="00EE72F1">
        <w:t>d</w:t>
      </w:r>
      <w:r w:rsidR="00196E70" w:rsidRPr="00EE72F1">
        <w:t xml:space="preserve"> to </w:t>
      </w:r>
      <w:r w:rsidR="00F65B49" w:rsidRPr="00EE72F1">
        <w:t>the grade level</w:t>
      </w:r>
      <w:r w:rsidR="00AE74D5" w:rsidRPr="00EE72F1">
        <w:t>s they taught</w:t>
      </w:r>
      <w:r w:rsidR="00F65B49" w:rsidRPr="00EE72F1">
        <w:t>.</w:t>
      </w:r>
      <w:r w:rsidR="0013614A" w:rsidRPr="00EE72F1">
        <w:t xml:space="preserve"> </w:t>
      </w:r>
    </w:p>
    <w:p w:rsidR="00EC439C" w:rsidRPr="00EE72F1" w:rsidRDefault="00EC439C" w:rsidP="00FA6E30"/>
    <w:p w:rsidR="001B0C1B" w:rsidRPr="00EE72F1" w:rsidRDefault="00C95CE2" w:rsidP="00C95CE2">
      <w:r w:rsidRPr="00EE72F1">
        <w:rPr>
          <w:b/>
        </w:rPr>
        <w:t>2.2 Phase</w:t>
      </w:r>
      <w:r w:rsidRPr="00EE72F1">
        <w:t xml:space="preserve"> – Cognitive Lab think aloud sessions </w:t>
      </w:r>
      <w:r w:rsidR="00280D7B">
        <w:t>(</w:t>
      </w:r>
      <w:r w:rsidR="00280D7B" w:rsidRPr="00EE72F1">
        <w:t xml:space="preserve">approved on </w:t>
      </w:r>
      <w:r w:rsidR="00280D7B">
        <w:t>February</w:t>
      </w:r>
      <w:r w:rsidR="00280D7B" w:rsidRPr="00EE72F1">
        <w:t xml:space="preserve"> 2</w:t>
      </w:r>
      <w:r w:rsidR="00280D7B">
        <w:t>3</w:t>
      </w:r>
      <w:r w:rsidR="00280D7B" w:rsidRPr="00EE72F1">
        <w:t xml:space="preserve">, </w:t>
      </w:r>
      <w:r w:rsidR="00280D7B">
        <w:t xml:space="preserve">2011, OMB# 1850-0803 v.41) </w:t>
      </w:r>
      <w:r w:rsidR="00AE74D5" w:rsidRPr="00EE72F1">
        <w:t xml:space="preserve">were completed on </w:t>
      </w:r>
      <w:r w:rsidR="004C621B" w:rsidRPr="00EE72F1">
        <w:t>March 31, 2011</w:t>
      </w:r>
      <w:r w:rsidR="00AE74D5" w:rsidRPr="00EE72F1">
        <w:t>. The contractor observed</w:t>
      </w:r>
      <w:r w:rsidRPr="00EE72F1">
        <w:t xml:space="preserve"> a series of individual students as they worked through each of the ICT Literacy</w:t>
      </w:r>
      <w:r w:rsidR="00AE74D5" w:rsidRPr="00EE72F1">
        <w:t xml:space="preserve"> prototype tasks, and collected</w:t>
      </w:r>
      <w:r w:rsidRPr="00EE72F1">
        <w:t xml:space="preserve"> meta</w:t>
      </w:r>
      <w:r w:rsidR="00B43030" w:rsidRPr="00EE72F1">
        <w:t>-</w:t>
      </w:r>
      <w:r w:rsidRPr="00EE72F1">
        <w:t xml:space="preserve">cognitive data during the process. </w:t>
      </w:r>
      <w:r w:rsidR="00830578" w:rsidRPr="00EE72F1">
        <w:t>Twenty-one students from the 6th, 8th, and 10</w:t>
      </w:r>
      <w:r w:rsidR="00830578" w:rsidRPr="00EE72F1">
        <w:rPr>
          <w:vertAlign w:val="superscript"/>
        </w:rPr>
        <w:t>th</w:t>
      </w:r>
      <w:r w:rsidR="00830578" w:rsidRPr="00EE72F1">
        <w:t xml:space="preserve"> grades participated. </w:t>
      </w:r>
      <w:r w:rsidRPr="00EE72F1">
        <w:t xml:space="preserve">The </w:t>
      </w:r>
      <w:r w:rsidRPr="00EE72F1">
        <w:lastRenderedPageBreak/>
        <w:t>Collaborative Problem solving assessments were not included in the US cognitive lab sessions because the</w:t>
      </w:r>
      <w:r w:rsidR="00AE74D5" w:rsidRPr="00EE72F1">
        <w:t>se</w:t>
      </w:r>
      <w:r w:rsidRPr="00EE72F1">
        <w:t xml:space="preserve"> assessments were </w:t>
      </w:r>
      <w:r w:rsidR="00936B41" w:rsidRPr="00EE72F1">
        <w:t xml:space="preserve">not </w:t>
      </w:r>
      <w:r w:rsidR="00AE74D5" w:rsidRPr="00EE72F1">
        <w:t>available at the</w:t>
      </w:r>
      <w:r w:rsidRPr="00EE72F1">
        <w:t xml:space="preserve"> time</w:t>
      </w:r>
      <w:r w:rsidR="00AE74D5" w:rsidRPr="00EE72F1">
        <w:t>.</w:t>
      </w:r>
      <w:r w:rsidRPr="00EE72F1">
        <w:t xml:space="preserve"> </w:t>
      </w:r>
      <w:r w:rsidR="00AE74D5" w:rsidRPr="00EE72F1">
        <w:t>The Collaborative Problem Solving tasks were</w:t>
      </w:r>
      <w:r w:rsidRPr="00EE72F1">
        <w:t xml:space="preserve"> </w:t>
      </w:r>
      <w:r w:rsidR="00AE74D5" w:rsidRPr="00EE72F1">
        <w:t>use</w:t>
      </w:r>
      <w:r w:rsidR="00830578" w:rsidRPr="00EE72F1">
        <w:t>d in cognitive labs in other partner countries in the project</w:t>
      </w:r>
      <w:r w:rsidRPr="00EE72F1">
        <w:t xml:space="preserve">. </w:t>
      </w:r>
    </w:p>
    <w:p w:rsidR="00A359C6" w:rsidRPr="009C1140" w:rsidRDefault="00A359C6" w:rsidP="00B42281">
      <w:pPr>
        <w:rPr>
          <w:highlight w:val="yellow"/>
        </w:rPr>
      </w:pPr>
    </w:p>
    <w:p w:rsidR="00897093" w:rsidRDefault="00CB67BC" w:rsidP="00D665EF">
      <w:r w:rsidRPr="00EE72F1">
        <w:rPr>
          <w:b/>
        </w:rPr>
        <w:t>2.3 Phase</w:t>
      </w:r>
      <w:r w:rsidRPr="00EE72F1">
        <w:t xml:space="preserve"> –The Pilot Test </w:t>
      </w:r>
      <w:r w:rsidR="00466285" w:rsidRPr="00EE72F1">
        <w:t>(approved on May 25, 2011, OMB# 1850-0803 v.49)</w:t>
      </w:r>
      <w:r w:rsidR="00DF034D" w:rsidRPr="00EE72F1">
        <w:t xml:space="preserve"> was administered in </w:t>
      </w:r>
      <w:r w:rsidR="00936B41" w:rsidRPr="00EE72F1">
        <w:t xml:space="preserve">schools in California in </w:t>
      </w:r>
      <w:r w:rsidR="00DF034D" w:rsidRPr="00EE72F1">
        <w:t>September 2011</w:t>
      </w:r>
      <w:r w:rsidR="00C05393" w:rsidRPr="00EE72F1">
        <w:t xml:space="preserve">. </w:t>
      </w:r>
      <w:r w:rsidR="0048244C" w:rsidRPr="00EE72F1">
        <w:t>The P</w:t>
      </w:r>
      <w:r w:rsidRPr="00EE72F1">
        <w:t xml:space="preserve">ilot </w:t>
      </w:r>
      <w:r w:rsidR="0048244C" w:rsidRPr="00EE72F1">
        <w:t>Test</w:t>
      </w:r>
      <w:r w:rsidRPr="00EE72F1">
        <w:t xml:space="preserve"> </w:t>
      </w:r>
      <w:r w:rsidR="0048244C" w:rsidRPr="00EE72F1">
        <w:t>i</w:t>
      </w:r>
      <w:r w:rsidR="00C05393" w:rsidRPr="00EE72F1">
        <w:t>nvolve</w:t>
      </w:r>
      <w:r w:rsidR="0048244C" w:rsidRPr="00EE72F1">
        <w:t>d</w:t>
      </w:r>
      <w:r w:rsidRPr="00EE72F1">
        <w:t xml:space="preserve"> </w:t>
      </w:r>
      <w:r w:rsidR="0048244C" w:rsidRPr="00EE72F1">
        <w:t xml:space="preserve">the </w:t>
      </w:r>
      <w:r w:rsidRPr="00EE72F1">
        <w:t>administ</w:t>
      </w:r>
      <w:r w:rsidR="00C64B21" w:rsidRPr="00EE72F1">
        <w:t xml:space="preserve">ration of the </w:t>
      </w:r>
      <w:r w:rsidR="00DF034D" w:rsidRPr="00EE72F1">
        <w:t>ICT Literacy tasks</w:t>
      </w:r>
      <w:r w:rsidRPr="00EE72F1">
        <w:t xml:space="preserve"> in the classrooms of </w:t>
      </w:r>
      <w:r w:rsidR="00C64B21" w:rsidRPr="00EE72F1">
        <w:t>three</w:t>
      </w:r>
      <w:r w:rsidRPr="00EE72F1">
        <w:t xml:space="preserve"> teachers</w:t>
      </w:r>
      <w:r w:rsidR="00D96C4E" w:rsidRPr="00EE72F1">
        <w:t>, one</w:t>
      </w:r>
      <w:r w:rsidRPr="00EE72F1">
        <w:t xml:space="preserve"> </w:t>
      </w:r>
      <w:r w:rsidR="0048244C" w:rsidRPr="00EE72F1">
        <w:t xml:space="preserve">teacher </w:t>
      </w:r>
      <w:r w:rsidRPr="00EE72F1">
        <w:t>for each grade level (6</w:t>
      </w:r>
      <w:r w:rsidRPr="00EE72F1">
        <w:rPr>
          <w:vertAlign w:val="superscript"/>
        </w:rPr>
        <w:t>th</w:t>
      </w:r>
      <w:r w:rsidRPr="00EE72F1">
        <w:t>, 8</w:t>
      </w:r>
      <w:r w:rsidRPr="00EE72F1">
        <w:rPr>
          <w:vertAlign w:val="superscript"/>
        </w:rPr>
        <w:t>th</w:t>
      </w:r>
      <w:r w:rsidRPr="00EE72F1">
        <w:t>, and 10</w:t>
      </w:r>
      <w:r w:rsidRPr="00EE72F1">
        <w:rPr>
          <w:vertAlign w:val="superscript"/>
        </w:rPr>
        <w:t>th</w:t>
      </w:r>
      <w:r w:rsidRPr="00EE72F1">
        <w:t xml:space="preserve"> grades). </w:t>
      </w:r>
      <w:r w:rsidR="00DE6F72" w:rsidRPr="00EE72F1">
        <w:t xml:space="preserve"> Approximately 112 students participated in the</w:t>
      </w:r>
      <w:r w:rsidR="009E6379" w:rsidRPr="00EE72F1">
        <w:t xml:space="preserve"> pilot (23 students in grade 6; 40 students in grade 8; and 49 students in</w:t>
      </w:r>
      <w:r w:rsidR="00DE6F72" w:rsidRPr="00EE72F1">
        <w:t xml:space="preserve"> grade 10). </w:t>
      </w:r>
      <w:r w:rsidR="00AC2681" w:rsidRPr="00EE72F1">
        <w:t xml:space="preserve">The pilot test produced a data set comprised of the student actions and responses in each of the assessment tasks within the ICT Literacy scenarios, including </w:t>
      </w:r>
      <w:r w:rsidRPr="00EE72F1">
        <w:t>data on how effectively the assessments measure the targeted skills</w:t>
      </w:r>
      <w:r w:rsidR="00C64B21" w:rsidRPr="00EE72F1">
        <w:t>;</w:t>
      </w:r>
      <w:r w:rsidRPr="00EE72F1">
        <w:t xml:space="preserve"> the feasibility of administering web-based assessments in a school setting</w:t>
      </w:r>
      <w:r w:rsidR="00C64B21" w:rsidRPr="00EE72F1">
        <w:t>;</w:t>
      </w:r>
      <w:r w:rsidRPr="00EE72F1">
        <w:t xml:space="preserve"> and the data capture and measurement methods involved in interpreting the complex responses that these types of assessment generate.  </w:t>
      </w:r>
      <w:r w:rsidR="0065360C" w:rsidRPr="00EE72F1">
        <w:t>Th</w:t>
      </w:r>
      <w:r w:rsidR="00C64B21" w:rsidRPr="00EE72F1">
        <w:t>e th</w:t>
      </w:r>
      <w:r w:rsidR="0065360C" w:rsidRPr="00EE72F1">
        <w:t>ree</w:t>
      </w:r>
      <w:r w:rsidRPr="00EE72F1">
        <w:t xml:space="preserve"> teachers</w:t>
      </w:r>
      <w:r w:rsidR="00C64B21" w:rsidRPr="00EE72F1">
        <w:t xml:space="preserve"> </w:t>
      </w:r>
      <w:r w:rsidR="0048244C" w:rsidRPr="00EE72F1">
        <w:t>were</w:t>
      </w:r>
      <w:r w:rsidR="0065360C" w:rsidRPr="00EE72F1">
        <w:t xml:space="preserve"> trained </w:t>
      </w:r>
      <w:r w:rsidRPr="00EE72F1">
        <w:t>to administer th</w:t>
      </w:r>
      <w:r w:rsidR="00DE6F72" w:rsidRPr="00EE72F1">
        <w:t xml:space="preserve">e assessment to their classes. </w:t>
      </w:r>
      <w:r w:rsidRPr="00EE72F1">
        <w:t xml:space="preserve">Training </w:t>
      </w:r>
      <w:r w:rsidR="0048244C" w:rsidRPr="00EE72F1">
        <w:t>was</w:t>
      </w:r>
      <w:r w:rsidRPr="00EE72F1">
        <w:t xml:space="preserve"> conducted online using webinar software so that the contractor c</w:t>
      </w:r>
      <w:r w:rsidR="0048244C" w:rsidRPr="00EE72F1">
        <w:t xml:space="preserve">ould </w:t>
      </w:r>
      <w:r w:rsidRPr="00EE72F1">
        <w:t>walk the teacher</w:t>
      </w:r>
      <w:r w:rsidR="0048244C" w:rsidRPr="00EE72F1">
        <w:t>s</w:t>
      </w:r>
      <w:r w:rsidRPr="00EE72F1">
        <w:t xml:space="preserve"> through the administration process. </w:t>
      </w:r>
      <w:r w:rsidR="00DE6F72" w:rsidRPr="00EE72F1">
        <w:t xml:space="preserve">The Webinar training took approximately one-hour. </w:t>
      </w:r>
      <w:r w:rsidRPr="00EE72F1">
        <w:t xml:space="preserve">Teachers </w:t>
      </w:r>
      <w:r w:rsidR="007643C3" w:rsidRPr="00EE72F1">
        <w:t>reserved</w:t>
      </w:r>
      <w:r w:rsidRPr="00EE72F1">
        <w:t xml:space="preserve"> school comput</w:t>
      </w:r>
      <w:r w:rsidR="009E6379" w:rsidRPr="00EE72F1">
        <w:t xml:space="preserve">er rooms for the administration. Teachers had to conduct an accessibility test on all student computers prior to the pilot to make sure the computers were able to access web sites and to check upload and download speeds. </w:t>
      </w:r>
      <w:r w:rsidR="00936B41" w:rsidRPr="00EE72F1">
        <w:t>Personnel from UC Berkeley provided logins and passwords for all students in the pilot test and t</w:t>
      </w:r>
      <w:r w:rsidRPr="00EE72F1">
        <w:t>he teacher</w:t>
      </w:r>
      <w:r w:rsidR="007643C3" w:rsidRPr="00EE72F1">
        <w:t>s</w:t>
      </w:r>
      <w:r w:rsidRPr="00EE72F1">
        <w:t xml:space="preserve"> </w:t>
      </w:r>
      <w:r w:rsidR="007643C3" w:rsidRPr="00EE72F1">
        <w:t>also made sure that</w:t>
      </w:r>
      <w:r w:rsidRPr="00EE72F1">
        <w:t xml:space="preserve"> student logins </w:t>
      </w:r>
      <w:r w:rsidR="007643C3" w:rsidRPr="00EE72F1">
        <w:t>were</w:t>
      </w:r>
      <w:r w:rsidRPr="00EE72F1">
        <w:t xml:space="preserve"> set up prior to the administration. </w:t>
      </w:r>
      <w:r w:rsidR="009E6379" w:rsidRPr="00EE72F1">
        <w:t xml:space="preserve">Most students completed </w:t>
      </w:r>
      <w:proofErr w:type="spellStart"/>
      <w:r w:rsidR="009E6379" w:rsidRPr="00EE72F1">
        <w:t>Webspiration</w:t>
      </w:r>
      <w:proofErr w:type="spellEnd"/>
      <w:r w:rsidR="009E6379" w:rsidRPr="00EE72F1">
        <w:t xml:space="preserve"> and Arctic </w:t>
      </w:r>
      <w:r w:rsidR="00742BDC" w:rsidRPr="00EE72F1">
        <w:t>Trek</w:t>
      </w:r>
      <w:r w:rsidR="009E6379" w:rsidRPr="00EE72F1">
        <w:t xml:space="preserve">. School district offices blocked the web site </w:t>
      </w:r>
      <w:proofErr w:type="spellStart"/>
      <w:r w:rsidR="009E6379" w:rsidRPr="006E0955">
        <w:t>Chatzy</w:t>
      </w:r>
      <w:proofErr w:type="spellEnd"/>
      <w:r w:rsidR="009E6379" w:rsidRPr="006E0955">
        <w:t xml:space="preserve"> for liability reasons. The </w:t>
      </w:r>
      <w:proofErr w:type="spellStart"/>
      <w:r w:rsidR="009E6379" w:rsidRPr="006E0955">
        <w:t>Chatzy</w:t>
      </w:r>
      <w:proofErr w:type="spellEnd"/>
      <w:r w:rsidR="009E6379" w:rsidRPr="006E0955">
        <w:t xml:space="preserve"> web site is needed for administration of the Second Language Chat. </w:t>
      </w:r>
      <w:r w:rsidR="00897093" w:rsidRPr="006E0955">
        <w:t>As a result of the pilot test, the Second Language Chat will not be administered in the field trials.</w:t>
      </w:r>
    </w:p>
    <w:p w:rsidR="00187429" w:rsidRPr="00742BDC" w:rsidRDefault="00187429" w:rsidP="00D665EF">
      <w:pPr>
        <w:rPr>
          <w:highlight w:val="yellow"/>
        </w:rPr>
      </w:pPr>
    </w:p>
    <w:p w:rsidR="00D665EF" w:rsidRPr="00EE72F1" w:rsidRDefault="00D665EF" w:rsidP="00D665EF">
      <w:pPr>
        <w:rPr>
          <w:b/>
          <w:i/>
        </w:rPr>
      </w:pPr>
      <w:r w:rsidRPr="00EE72F1">
        <w:rPr>
          <w:b/>
          <w:i/>
        </w:rPr>
        <w:t xml:space="preserve">Phase for which OMB approval will be sought </w:t>
      </w:r>
    </w:p>
    <w:p w:rsidR="00D665EF" w:rsidRPr="00EE72F1" w:rsidRDefault="00D665EF" w:rsidP="00FA6E30"/>
    <w:p w:rsidR="00092D5A" w:rsidRPr="00A773F5" w:rsidRDefault="002D5784" w:rsidP="009C305E">
      <w:pPr>
        <w:rPr>
          <w:highlight w:val="yellow"/>
        </w:rPr>
      </w:pPr>
      <w:r w:rsidRPr="00A773F5">
        <w:rPr>
          <w:b/>
          <w:highlight w:val="yellow"/>
        </w:rPr>
        <w:t>2.4 Phase</w:t>
      </w:r>
      <w:r w:rsidR="0079258D" w:rsidRPr="00A773F5">
        <w:rPr>
          <w:highlight w:val="yellow"/>
        </w:rPr>
        <w:t xml:space="preserve"> – </w:t>
      </w:r>
      <w:r w:rsidR="00742BDC" w:rsidRPr="00A773F5">
        <w:rPr>
          <w:highlight w:val="yellow"/>
        </w:rPr>
        <w:t xml:space="preserve">Approval </w:t>
      </w:r>
      <w:r w:rsidR="00092D5A" w:rsidRPr="00A773F5">
        <w:rPr>
          <w:highlight w:val="yellow"/>
        </w:rPr>
        <w:t>was</w:t>
      </w:r>
      <w:r w:rsidR="00742BDC" w:rsidRPr="00A773F5">
        <w:rPr>
          <w:highlight w:val="yellow"/>
        </w:rPr>
        <w:t xml:space="preserve"> sought</w:t>
      </w:r>
      <w:r w:rsidR="00092D5A" w:rsidRPr="00A773F5">
        <w:rPr>
          <w:highlight w:val="yellow"/>
        </w:rPr>
        <w:t xml:space="preserve"> and granted </w:t>
      </w:r>
      <w:r w:rsidR="00742BDC" w:rsidRPr="00A773F5">
        <w:rPr>
          <w:highlight w:val="yellow"/>
        </w:rPr>
        <w:t>for administration of t</w:t>
      </w:r>
      <w:r w:rsidR="00985205" w:rsidRPr="00A773F5">
        <w:rPr>
          <w:highlight w:val="yellow"/>
        </w:rPr>
        <w:t xml:space="preserve">he </w:t>
      </w:r>
      <w:r w:rsidR="00742BDC" w:rsidRPr="00A773F5">
        <w:rPr>
          <w:highlight w:val="yellow"/>
        </w:rPr>
        <w:t>f</w:t>
      </w:r>
      <w:r w:rsidR="0065360C" w:rsidRPr="00A773F5">
        <w:rPr>
          <w:highlight w:val="yellow"/>
        </w:rPr>
        <w:t xml:space="preserve">ield </w:t>
      </w:r>
      <w:r w:rsidR="00742BDC" w:rsidRPr="00A773F5">
        <w:rPr>
          <w:highlight w:val="yellow"/>
        </w:rPr>
        <w:t>trials</w:t>
      </w:r>
      <w:r w:rsidR="00092D5A" w:rsidRPr="00A773F5">
        <w:rPr>
          <w:highlight w:val="yellow"/>
        </w:rPr>
        <w:t xml:space="preserve"> on November 23, 2011 (OMB# 1850-0803 v.59)</w:t>
      </w:r>
      <w:r w:rsidR="00742BDC" w:rsidRPr="00A773F5">
        <w:rPr>
          <w:highlight w:val="yellow"/>
        </w:rPr>
        <w:t>.</w:t>
      </w:r>
      <w:r w:rsidR="0065360C" w:rsidRPr="00A773F5">
        <w:rPr>
          <w:highlight w:val="yellow"/>
        </w:rPr>
        <w:t xml:space="preserve"> </w:t>
      </w:r>
      <w:r w:rsidR="00092D5A" w:rsidRPr="00A773F5">
        <w:rPr>
          <w:highlight w:val="yellow"/>
        </w:rPr>
        <w:t>Due to an unforeseen breakdown in international communications, there has been a change in the administration of the tasks in the field trials.</w:t>
      </w:r>
      <w:r w:rsidR="006E0955" w:rsidRPr="00A773F5">
        <w:rPr>
          <w:highlight w:val="yellow"/>
        </w:rPr>
        <w:t xml:space="preserve">  We originally planned and were approved to </w:t>
      </w:r>
      <w:r w:rsidR="00092D5A" w:rsidRPr="00A773F5">
        <w:rPr>
          <w:highlight w:val="yellow"/>
        </w:rPr>
        <w:t>administ</w:t>
      </w:r>
      <w:r w:rsidR="006E0955" w:rsidRPr="00A773F5">
        <w:rPr>
          <w:highlight w:val="yellow"/>
        </w:rPr>
        <w:t>e</w:t>
      </w:r>
      <w:r w:rsidR="00092D5A" w:rsidRPr="00A773F5">
        <w:rPr>
          <w:highlight w:val="yellow"/>
        </w:rPr>
        <w:t xml:space="preserve">r two types of assessment tasks: Information and Communication Technology (ICT) tasks and Collaborative Problem Solving tasks (CPS). </w:t>
      </w:r>
      <w:r w:rsidR="006E0955" w:rsidRPr="00A773F5">
        <w:rPr>
          <w:highlight w:val="yellow"/>
        </w:rPr>
        <w:t>During preparation for implementing the field tests, a few days ago, w</w:t>
      </w:r>
      <w:r w:rsidR="00092D5A" w:rsidRPr="00A773F5">
        <w:rPr>
          <w:highlight w:val="yellow"/>
        </w:rPr>
        <w:t xml:space="preserve">e </w:t>
      </w:r>
      <w:r w:rsidR="006E0955" w:rsidRPr="00A773F5">
        <w:rPr>
          <w:highlight w:val="yellow"/>
        </w:rPr>
        <w:t xml:space="preserve">learned </w:t>
      </w:r>
      <w:r w:rsidR="00092D5A" w:rsidRPr="00A773F5">
        <w:rPr>
          <w:highlight w:val="yellow"/>
        </w:rPr>
        <w:t>that the ICT tasks will not be included in the field trials.</w:t>
      </w:r>
    </w:p>
    <w:p w:rsidR="00E06A3F" w:rsidRPr="00A773F5" w:rsidRDefault="00E06A3F" w:rsidP="009C305E">
      <w:pPr>
        <w:rPr>
          <w:highlight w:val="yellow"/>
        </w:rPr>
      </w:pPr>
    </w:p>
    <w:p w:rsidR="00947E80" w:rsidRPr="00A773F5" w:rsidRDefault="00E06A3F" w:rsidP="00E06A3F">
      <w:pPr>
        <w:rPr>
          <w:highlight w:val="yellow"/>
        </w:rPr>
      </w:pPr>
      <w:r w:rsidRPr="00A773F5">
        <w:rPr>
          <w:highlight w:val="yellow"/>
        </w:rPr>
        <w:t xml:space="preserve">The </w:t>
      </w:r>
      <w:r w:rsidR="006E0955" w:rsidRPr="00A773F5">
        <w:rPr>
          <w:highlight w:val="yellow"/>
        </w:rPr>
        <w:t xml:space="preserve">ACT21S field test is being administered on the </w:t>
      </w:r>
      <w:r w:rsidRPr="00A773F5">
        <w:rPr>
          <w:highlight w:val="yellow"/>
        </w:rPr>
        <w:t xml:space="preserve">University of Melbourne </w:t>
      </w:r>
      <w:r w:rsidR="006E0955" w:rsidRPr="00A773F5">
        <w:rPr>
          <w:highlight w:val="yellow"/>
        </w:rPr>
        <w:t>computer platform</w:t>
      </w:r>
      <w:r w:rsidRPr="00A773F5">
        <w:rPr>
          <w:highlight w:val="yellow"/>
        </w:rPr>
        <w:t xml:space="preserve">. The </w:t>
      </w:r>
      <w:r w:rsidR="00802802" w:rsidRPr="00A773F5">
        <w:rPr>
          <w:highlight w:val="yellow"/>
        </w:rPr>
        <w:t>ICT</w:t>
      </w:r>
      <w:r w:rsidRPr="00A773F5">
        <w:rPr>
          <w:highlight w:val="yellow"/>
        </w:rPr>
        <w:t xml:space="preserve"> tasks were developed by the BEAR Center at the University of California, Berkeley</w:t>
      </w:r>
      <w:r w:rsidR="006E0955" w:rsidRPr="00A773F5">
        <w:rPr>
          <w:highlight w:val="yellow"/>
        </w:rPr>
        <w:t>,</w:t>
      </w:r>
      <w:r w:rsidRPr="00A773F5">
        <w:rPr>
          <w:highlight w:val="yellow"/>
        </w:rPr>
        <w:t xml:space="preserve"> on their </w:t>
      </w:r>
      <w:r w:rsidR="006E0955" w:rsidRPr="00A773F5">
        <w:rPr>
          <w:highlight w:val="yellow"/>
        </w:rPr>
        <w:t xml:space="preserve">computer </w:t>
      </w:r>
      <w:r w:rsidRPr="00A773F5">
        <w:rPr>
          <w:highlight w:val="yellow"/>
        </w:rPr>
        <w:t>platform</w:t>
      </w:r>
      <w:r w:rsidR="006E0955" w:rsidRPr="00A773F5">
        <w:rPr>
          <w:highlight w:val="yellow"/>
        </w:rPr>
        <w:t xml:space="preserve"> and they </w:t>
      </w:r>
      <w:r w:rsidRPr="00A773F5">
        <w:rPr>
          <w:highlight w:val="yellow"/>
        </w:rPr>
        <w:t>only work on the Berkeley platform; they will not run on the Melbourne pl</w:t>
      </w:r>
      <w:r w:rsidR="000425C9" w:rsidRPr="00A773F5">
        <w:rPr>
          <w:highlight w:val="yellow"/>
        </w:rPr>
        <w:t>atform</w:t>
      </w:r>
      <w:r w:rsidR="00802802" w:rsidRPr="00A773F5">
        <w:rPr>
          <w:highlight w:val="yellow"/>
        </w:rPr>
        <w:t>.</w:t>
      </w:r>
      <w:r w:rsidR="000425C9" w:rsidRPr="00A773F5">
        <w:rPr>
          <w:highlight w:val="yellow"/>
        </w:rPr>
        <w:t xml:space="preserve"> </w:t>
      </w:r>
      <w:r w:rsidR="006E0955" w:rsidRPr="00A773F5">
        <w:rPr>
          <w:highlight w:val="yellow"/>
        </w:rPr>
        <w:t xml:space="preserve">As a result, </w:t>
      </w:r>
      <w:r w:rsidR="00190BC4" w:rsidRPr="00A773F5">
        <w:rPr>
          <w:highlight w:val="yellow"/>
        </w:rPr>
        <w:t xml:space="preserve">the ICT tasks </w:t>
      </w:r>
      <w:r w:rsidR="006E0955" w:rsidRPr="00A773F5">
        <w:rPr>
          <w:highlight w:val="yellow"/>
        </w:rPr>
        <w:t>have been</w:t>
      </w:r>
      <w:r w:rsidR="00190BC4" w:rsidRPr="00A773F5">
        <w:rPr>
          <w:highlight w:val="yellow"/>
        </w:rPr>
        <w:t xml:space="preserve"> dropped</w:t>
      </w:r>
      <w:r w:rsidR="00947E80" w:rsidRPr="00A773F5">
        <w:rPr>
          <w:highlight w:val="yellow"/>
        </w:rPr>
        <w:t xml:space="preserve"> from the field trials</w:t>
      </w:r>
      <w:r w:rsidR="00A773F5" w:rsidRPr="00A773F5">
        <w:rPr>
          <w:highlight w:val="yellow"/>
        </w:rPr>
        <w:t xml:space="preserve"> at this point and </w:t>
      </w:r>
      <w:r w:rsidR="00214FB4" w:rsidRPr="00A773F5">
        <w:rPr>
          <w:highlight w:val="yellow"/>
        </w:rPr>
        <w:t xml:space="preserve"> we</w:t>
      </w:r>
      <w:r w:rsidR="00A773F5" w:rsidRPr="00A773F5">
        <w:rPr>
          <w:highlight w:val="yellow"/>
        </w:rPr>
        <w:t xml:space="preserve"> ha</w:t>
      </w:r>
      <w:r w:rsidR="00214FB4" w:rsidRPr="00A773F5">
        <w:rPr>
          <w:highlight w:val="yellow"/>
        </w:rPr>
        <w:t>ve</w:t>
      </w:r>
      <w:r w:rsidR="00A94DA5" w:rsidRPr="00A773F5">
        <w:rPr>
          <w:highlight w:val="yellow"/>
        </w:rPr>
        <w:t xml:space="preserve"> </w:t>
      </w:r>
      <w:r w:rsidR="00214FB4" w:rsidRPr="00A773F5">
        <w:rPr>
          <w:highlight w:val="yellow"/>
        </w:rPr>
        <w:t>removed</w:t>
      </w:r>
      <w:r w:rsidR="00190BC4" w:rsidRPr="00A773F5">
        <w:rPr>
          <w:highlight w:val="yellow"/>
        </w:rPr>
        <w:t xml:space="preserve"> the ICT tasks from th</w:t>
      </w:r>
      <w:r w:rsidR="00A773F5" w:rsidRPr="00A773F5">
        <w:rPr>
          <w:highlight w:val="yellow"/>
        </w:rPr>
        <w:t>is revised</w:t>
      </w:r>
      <w:r w:rsidR="00190BC4" w:rsidRPr="00A773F5">
        <w:rPr>
          <w:highlight w:val="yellow"/>
        </w:rPr>
        <w:t xml:space="preserve"> OMB package.</w:t>
      </w:r>
    </w:p>
    <w:p w:rsidR="00947E80" w:rsidRPr="00A773F5" w:rsidRDefault="00947E80" w:rsidP="00E06A3F">
      <w:pPr>
        <w:rPr>
          <w:highlight w:val="yellow"/>
        </w:rPr>
      </w:pPr>
    </w:p>
    <w:p w:rsidR="000425C9" w:rsidRPr="00A773F5" w:rsidRDefault="00C766C8" w:rsidP="00E06A3F">
      <w:pPr>
        <w:rPr>
          <w:highlight w:val="yellow"/>
        </w:rPr>
      </w:pPr>
      <w:r w:rsidRPr="00A773F5">
        <w:rPr>
          <w:szCs w:val="22"/>
          <w:highlight w:val="yellow"/>
        </w:rPr>
        <w:t>The</w:t>
      </w:r>
      <w:r w:rsidR="00A94DA5" w:rsidRPr="00A773F5">
        <w:rPr>
          <w:szCs w:val="22"/>
          <w:highlight w:val="yellow"/>
        </w:rPr>
        <w:t xml:space="preserve"> number</w:t>
      </w:r>
      <w:r w:rsidRPr="00A773F5">
        <w:rPr>
          <w:szCs w:val="22"/>
          <w:highlight w:val="yellow"/>
        </w:rPr>
        <w:t>s</w:t>
      </w:r>
      <w:r w:rsidR="00A94DA5" w:rsidRPr="00A773F5">
        <w:rPr>
          <w:szCs w:val="22"/>
          <w:highlight w:val="yellow"/>
        </w:rPr>
        <w:t xml:space="preserve"> of teachers and students participating </w:t>
      </w:r>
      <w:r w:rsidRPr="00A773F5">
        <w:rPr>
          <w:szCs w:val="22"/>
          <w:highlight w:val="yellow"/>
        </w:rPr>
        <w:t xml:space="preserve">in the field trials </w:t>
      </w:r>
      <w:r w:rsidR="00A94DA5" w:rsidRPr="00A773F5">
        <w:rPr>
          <w:szCs w:val="22"/>
          <w:highlight w:val="yellow"/>
        </w:rPr>
        <w:t>do not change; we are simply replacing student time on ICT tasks with student time on collaborative problem solving tasks. This will provide more information on the collaborative problem solving tasks, about which we have less U.S.</w:t>
      </w:r>
      <w:r w:rsidRPr="00A773F5">
        <w:rPr>
          <w:szCs w:val="22"/>
          <w:highlight w:val="yellow"/>
        </w:rPr>
        <w:t xml:space="preserve"> </w:t>
      </w:r>
      <w:r w:rsidR="00A94DA5" w:rsidRPr="00A773F5">
        <w:rPr>
          <w:szCs w:val="22"/>
          <w:highlight w:val="yellow"/>
        </w:rPr>
        <w:t>specific information than on the ICT tasks.</w:t>
      </w:r>
      <w:r w:rsidRPr="00A773F5">
        <w:rPr>
          <w:szCs w:val="22"/>
          <w:highlight w:val="yellow"/>
        </w:rPr>
        <w:t xml:space="preserve"> </w:t>
      </w:r>
      <w:r w:rsidR="00A773F5" w:rsidRPr="00A773F5">
        <w:rPr>
          <w:szCs w:val="22"/>
          <w:highlight w:val="yellow"/>
        </w:rPr>
        <w:t xml:space="preserve">However, </w:t>
      </w:r>
      <w:r w:rsidR="00A773F5" w:rsidRPr="00A773F5">
        <w:rPr>
          <w:highlight w:val="yellow"/>
        </w:rPr>
        <w:t>the University of Melbourne CPS modules also  ask students to</w:t>
      </w:r>
      <w:r w:rsidRPr="00A773F5">
        <w:rPr>
          <w:szCs w:val="22"/>
          <w:highlight w:val="yellow"/>
        </w:rPr>
        <w:t xml:space="preserve"> respond to </w:t>
      </w:r>
      <w:r w:rsidR="00895832" w:rsidRPr="00A773F5">
        <w:rPr>
          <w:szCs w:val="22"/>
          <w:highlight w:val="yellow"/>
        </w:rPr>
        <w:t>two</w:t>
      </w:r>
      <w:r w:rsidRPr="00A773F5">
        <w:rPr>
          <w:szCs w:val="22"/>
          <w:highlight w:val="yellow"/>
        </w:rPr>
        <w:t xml:space="preserve"> short 15-minute survey</w:t>
      </w:r>
      <w:r w:rsidR="00895832" w:rsidRPr="00A773F5">
        <w:rPr>
          <w:szCs w:val="22"/>
          <w:highlight w:val="yellow"/>
        </w:rPr>
        <w:t>s</w:t>
      </w:r>
      <w:r w:rsidRPr="00A773F5">
        <w:rPr>
          <w:szCs w:val="22"/>
          <w:highlight w:val="yellow"/>
        </w:rPr>
        <w:t xml:space="preserve"> about the CPS tasks at the end of </w:t>
      </w:r>
      <w:r w:rsidR="00895832" w:rsidRPr="00A773F5">
        <w:rPr>
          <w:szCs w:val="22"/>
          <w:highlight w:val="yellow"/>
        </w:rPr>
        <w:t>each</w:t>
      </w:r>
      <w:r w:rsidRPr="00A773F5">
        <w:rPr>
          <w:szCs w:val="22"/>
          <w:highlight w:val="yellow"/>
        </w:rPr>
        <w:t xml:space="preserve"> testing session. The survey</w:t>
      </w:r>
      <w:r w:rsidR="00895832" w:rsidRPr="00A773F5">
        <w:rPr>
          <w:szCs w:val="22"/>
          <w:highlight w:val="yellow"/>
        </w:rPr>
        <w:t>s (</w:t>
      </w:r>
      <w:proofErr w:type="spellStart"/>
      <w:r w:rsidR="00895832" w:rsidRPr="00A773F5">
        <w:rPr>
          <w:szCs w:val="22"/>
          <w:highlight w:val="yellow"/>
        </w:rPr>
        <w:t>refered</w:t>
      </w:r>
      <w:proofErr w:type="spellEnd"/>
      <w:r w:rsidR="00895832" w:rsidRPr="00A773F5">
        <w:rPr>
          <w:szCs w:val="22"/>
          <w:highlight w:val="yellow"/>
        </w:rPr>
        <w:t xml:space="preserve"> to as “Peer Assessment“ and “Self-Assessment”) </w:t>
      </w:r>
      <w:r w:rsidR="00A773F5" w:rsidRPr="00A773F5">
        <w:rPr>
          <w:szCs w:val="22"/>
          <w:highlight w:val="yellow"/>
        </w:rPr>
        <w:t>have been added to Appendix A (</w:t>
      </w:r>
      <w:r w:rsidR="00895832" w:rsidRPr="00A773F5">
        <w:rPr>
          <w:szCs w:val="22"/>
          <w:highlight w:val="yellow"/>
        </w:rPr>
        <w:t>pages 14-21</w:t>
      </w:r>
      <w:r w:rsidR="00A773F5" w:rsidRPr="00A773F5">
        <w:rPr>
          <w:szCs w:val="22"/>
          <w:highlight w:val="yellow"/>
        </w:rPr>
        <w:t>)</w:t>
      </w:r>
      <w:r w:rsidRPr="00A773F5">
        <w:rPr>
          <w:szCs w:val="22"/>
          <w:highlight w:val="yellow"/>
        </w:rPr>
        <w:t>.</w:t>
      </w:r>
    </w:p>
    <w:p w:rsidR="00254F91" w:rsidRPr="00A773F5" w:rsidRDefault="00254F91" w:rsidP="00254F91">
      <w:pPr>
        <w:rPr>
          <w:highlight w:val="yellow"/>
        </w:rPr>
      </w:pPr>
    </w:p>
    <w:p w:rsidR="00947E80" w:rsidRPr="00A773F5" w:rsidRDefault="00254F91" w:rsidP="00184E2E">
      <w:pPr>
        <w:spacing w:beforeLines="1" w:afterLines="1"/>
        <w:rPr>
          <w:rFonts w:eastAsia="Calibri" w:cs="Helvetica"/>
          <w:szCs w:val="22"/>
          <w:highlight w:val="yellow"/>
        </w:rPr>
      </w:pPr>
      <w:r w:rsidRPr="00A773F5">
        <w:rPr>
          <w:highlight w:val="yellow"/>
        </w:rPr>
        <w:lastRenderedPageBreak/>
        <w:t xml:space="preserve">Recruitment for the field trials was approved in </w:t>
      </w:r>
      <w:r w:rsidR="00A773F5">
        <w:rPr>
          <w:highlight w:val="yellow"/>
        </w:rPr>
        <w:t>an earlier</w:t>
      </w:r>
      <w:r w:rsidRPr="00A773F5">
        <w:rPr>
          <w:highlight w:val="yellow"/>
        </w:rPr>
        <w:t xml:space="preserve"> OMB package (OMB# 1850-0803 v.49</w:t>
      </w:r>
      <w:r w:rsidRPr="00A773F5">
        <w:rPr>
          <w:rFonts w:eastAsia="Calibri" w:cs="Helvetica"/>
          <w:szCs w:val="22"/>
          <w:highlight w:val="yellow"/>
        </w:rPr>
        <w:t xml:space="preserve">) on May 25, 2011. The recruitment activities were described on page 8 of the memo dated May 11, 2011, under the section titled 2.4 Phase—Field Test. </w:t>
      </w:r>
      <w:r w:rsidR="009D3527">
        <w:rPr>
          <w:rFonts w:eastAsia="Calibri" w:cs="Helvetica"/>
          <w:szCs w:val="22"/>
          <w:highlight w:val="yellow"/>
        </w:rPr>
        <w:t>The</w:t>
      </w:r>
      <w:r w:rsidR="00A773F5">
        <w:rPr>
          <w:rFonts w:eastAsia="Calibri" w:cs="Helvetica"/>
          <w:szCs w:val="22"/>
          <w:highlight w:val="yellow"/>
        </w:rPr>
        <w:t>s</w:t>
      </w:r>
      <w:r w:rsidR="009D3527">
        <w:rPr>
          <w:rFonts w:eastAsia="Calibri" w:cs="Helvetica"/>
          <w:szCs w:val="22"/>
          <w:highlight w:val="yellow"/>
        </w:rPr>
        <w:t>e</w:t>
      </w:r>
      <w:r w:rsidR="00A773F5">
        <w:rPr>
          <w:rFonts w:eastAsia="Calibri" w:cs="Helvetica"/>
          <w:szCs w:val="22"/>
          <w:highlight w:val="yellow"/>
        </w:rPr>
        <w:t xml:space="preserve"> activities have been completed and w</w:t>
      </w:r>
      <w:r w:rsidRPr="00A773F5">
        <w:rPr>
          <w:rFonts w:eastAsia="Calibri" w:cs="Helvetica"/>
          <w:szCs w:val="22"/>
          <w:highlight w:val="yellow"/>
        </w:rPr>
        <w:t>e have not made any changes to th</w:t>
      </w:r>
      <w:r w:rsidR="00A773F5">
        <w:rPr>
          <w:rFonts w:eastAsia="Calibri" w:cs="Helvetica"/>
          <w:szCs w:val="22"/>
          <w:highlight w:val="yellow"/>
        </w:rPr>
        <w:t>em</w:t>
      </w:r>
      <w:r w:rsidR="00947E80" w:rsidRPr="00A773F5">
        <w:rPr>
          <w:rFonts w:eastAsia="Calibri" w:cs="Helvetica"/>
          <w:szCs w:val="22"/>
          <w:highlight w:val="yellow"/>
        </w:rPr>
        <w:t xml:space="preserve">. </w:t>
      </w:r>
    </w:p>
    <w:p w:rsidR="00254F91" w:rsidRPr="00A773F5" w:rsidRDefault="00254F91" w:rsidP="00184E2E">
      <w:pPr>
        <w:spacing w:beforeLines="1" w:afterLines="1"/>
        <w:rPr>
          <w:rFonts w:eastAsia="Calibri" w:cs="Helvetica"/>
          <w:szCs w:val="22"/>
          <w:highlight w:val="yellow"/>
        </w:rPr>
      </w:pPr>
    </w:p>
    <w:p w:rsidR="00254F91" w:rsidRPr="00B31103" w:rsidRDefault="00254F91" w:rsidP="00184E2E">
      <w:pPr>
        <w:spacing w:beforeLines="1" w:afterLines="1"/>
        <w:rPr>
          <w:rFonts w:eastAsia="Calibri" w:cs="Helvetica"/>
          <w:szCs w:val="22"/>
        </w:rPr>
      </w:pPr>
      <w:r w:rsidRPr="00A773F5">
        <w:rPr>
          <w:rFonts w:eastAsia="Calibri" w:cs="Helvetica"/>
          <w:szCs w:val="22"/>
          <w:highlight w:val="yellow"/>
        </w:rPr>
        <w:t>Seven teachers at the 6</w:t>
      </w:r>
      <w:r w:rsidRPr="00A773F5">
        <w:rPr>
          <w:rFonts w:eastAsia="Calibri" w:cs="Helvetica"/>
          <w:szCs w:val="22"/>
          <w:highlight w:val="yellow"/>
          <w:vertAlign w:val="superscript"/>
        </w:rPr>
        <w:t>th</w:t>
      </w:r>
      <w:r w:rsidRPr="00A773F5">
        <w:rPr>
          <w:rFonts w:eastAsia="Calibri" w:cs="Helvetica"/>
          <w:szCs w:val="22"/>
          <w:highlight w:val="yellow"/>
        </w:rPr>
        <w:t xml:space="preserve"> grade level, seven teachers at the </w:t>
      </w:r>
      <w:r w:rsidR="00A773F5">
        <w:rPr>
          <w:rFonts w:eastAsia="Calibri" w:cs="Helvetica"/>
          <w:szCs w:val="22"/>
          <w:highlight w:val="yellow"/>
        </w:rPr>
        <w:t>8</w:t>
      </w:r>
      <w:r w:rsidR="00A773F5" w:rsidRPr="00A773F5">
        <w:rPr>
          <w:rFonts w:eastAsia="Calibri" w:cs="Helvetica"/>
          <w:szCs w:val="22"/>
          <w:highlight w:val="yellow"/>
          <w:vertAlign w:val="superscript"/>
        </w:rPr>
        <w:t>th</w:t>
      </w:r>
      <w:r w:rsidR="00A773F5">
        <w:rPr>
          <w:rFonts w:eastAsia="Calibri" w:cs="Helvetica"/>
          <w:szCs w:val="22"/>
          <w:highlight w:val="yellow"/>
        </w:rPr>
        <w:t xml:space="preserve"> </w:t>
      </w:r>
      <w:r w:rsidRPr="00A773F5">
        <w:rPr>
          <w:rFonts w:eastAsia="Calibri" w:cs="Helvetica"/>
          <w:szCs w:val="22"/>
          <w:highlight w:val="yellow"/>
        </w:rPr>
        <w:t>grade level, and seven teachers at the 10</w:t>
      </w:r>
      <w:r w:rsidRPr="00A773F5">
        <w:rPr>
          <w:rFonts w:eastAsia="Calibri" w:cs="Helvetica"/>
          <w:szCs w:val="22"/>
          <w:highlight w:val="yellow"/>
          <w:vertAlign w:val="superscript"/>
        </w:rPr>
        <w:t>th</w:t>
      </w:r>
      <w:r w:rsidRPr="00A773F5">
        <w:rPr>
          <w:rFonts w:eastAsia="Calibri" w:cs="Helvetica"/>
          <w:szCs w:val="22"/>
          <w:highlight w:val="yellow"/>
        </w:rPr>
        <w:t xml:space="preserve"> grade, representing a geographically and socioeconomically diverse sample of schools, have been selected to administer the assessments. </w:t>
      </w:r>
      <w:r w:rsidRPr="00A773F5">
        <w:rPr>
          <w:highlight w:val="yellow"/>
        </w:rPr>
        <w:t>We are ready to administer</w:t>
      </w:r>
      <w:r w:rsidR="00105B52" w:rsidRPr="00A773F5">
        <w:rPr>
          <w:highlight w:val="yellow"/>
        </w:rPr>
        <w:t xml:space="preserve"> </w:t>
      </w:r>
      <w:r w:rsidRPr="00A773F5">
        <w:rPr>
          <w:highlight w:val="yellow"/>
        </w:rPr>
        <w:t>t</w:t>
      </w:r>
      <w:r w:rsidR="00742BDC" w:rsidRPr="00A773F5">
        <w:rPr>
          <w:highlight w:val="yellow"/>
        </w:rPr>
        <w:t>he field trials</w:t>
      </w:r>
      <w:r w:rsidR="0091603F" w:rsidRPr="00A773F5">
        <w:rPr>
          <w:highlight w:val="yellow"/>
        </w:rPr>
        <w:t xml:space="preserve"> of the collaborative problem solving tasks</w:t>
      </w:r>
      <w:r w:rsidR="00742BDC" w:rsidRPr="00A773F5">
        <w:rPr>
          <w:highlight w:val="yellow"/>
        </w:rPr>
        <w:t xml:space="preserve"> </w:t>
      </w:r>
      <w:r w:rsidR="00A773F5">
        <w:rPr>
          <w:highlight w:val="yellow"/>
        </w:rPr>
        <w:t xml:space="preserve">as soon as possible, </w:t>
      </w:r>
      <w:r w:rsidR="00FD29F3" w:rsidRPr="00A773F5">
        <w:rPr>
          <w:highlight w:val="yellow"/>
        </w:rPr>
        <w:t>in</w:t>
      </w:r>
      <w:r w:rsidR="00EA4A72" w:rsidRPr="00A773F5">
        <w:rPr>
          <w:highlight w:val="yellow"/>
        </w:rPr>
        <w:t xml:space="preserve"> December 2011.</w:t>
      </w:r>
      <w:r w:rsidR="00742BDC" w:rsidRPr="00EE72F1">
        <w:t xml:space="preserve"> </w:t>
      </w:r>
    </w:p>
    <w:p w:rsidR="00254F91" w:rsidRDefault="00254F91" w:rsidP="009C305E"/>
    <w:p w:rsidR="00EA4A72" w:rsidRDefault="00742BDC" w:rsidP="00184E2E">
      <w:pPr>
        <w:spacing w:beforeLines="1" w:afterLines="1"/>
      </w:pPr>
      <w:r w:rsidRPr="00EE72F1">
        <w:t>The field trials</w:t>
      </w:r>
      <w:r w:rsidR="002A4BBA" w:rsidRPr="00EE72F1">
        <w:t xml:space="preserve"> </w:t>
      </w:r>
      <w:r w:rsidRPr="00EE72F1">
        <w:t>are</w:t>
      </w:r>
      <w:r w:rsidR="002A4BBA" w:rsidRPr="00EE72F1">
        <w:t xml:space="preserve"> designed to provide sufficien</w:t>
      </w:r>
      <w:r w:rsidR="0079258D" w:rsidRPr="00EE72F1">
        <w:t xml:space="preserve">t data to establish empirically </w:t>
      </w:r>
      <w:r w:rsidR="002A4BBA" w:rsidRPr="00EE72F1">
        <w:t>based scales that have the capacity to indicate students’ place and progress on developmental continua associated with each of</w:t>
      </w:r>
      <w:r w:rsidR="00653AF8" w:rsidRPr="00EE72F1">
        <w:t xml:space="preserve"> </w:t>
      </w:r>
      <w:r w:rsidR="00D45CD4">
        <w:t xml:space="preserve">the </w:t>
      </w:r>
      <w:r w:rsidR="00653AF8" w:rsidRPr="00EE72F1">
        <w:t>21</w:t>
      </w:r>
      <w:r w:rsidR="00653AF8" w:rsidRPr="00EE72F1">
        <w:rPr>
          <w:vertAlign w:val="superscript"/>
        </w:rPr>
        <w:t>st</w:t>
      </w:r>
      <w:r w:rsidR="00653AF8" w:rsidRPr="00EE72F1">
        <w:t xml:space="preserve"> century</w:t>
      </w:r>
      <w:r w:rsidR="002A4BBA" w:rsidRPr="00EE72F1">
        <w:t xml:space="preserve"> skill sets</w:t>
      </w:r>
      <w:r w:rsidR="00653AF8" w:rsidRPr="00EE72F1">
        <w:t xml:space="preserve"> assessed</w:t>
      </w:r>
      <w:r w:rsidR="002A4BBA" w:rsidRPr="00EE72F1">
        <w:t xml:space="preserve">.  </w:t>
      </w:r>
      <w:r w:rsidR="00FD29F3" w:rsidRPr="00EE72F1">
        <w:t xml:space="preserve">The US sample </w:t>
      </w:r>
      <w:r w:rsidR="00A70C67" w:rsidRPr="00EE72F1">
        <w:t>is</w:t>
      </w:r>
      <w:r w:rsidR="00FD29F3" w:rsidRPr="00EE72F1">
        <w:t xml:space="preserve"> a part of an overall sampling design that spans all of the countries</w:t>
      </w:r>
      <w:r w:rsidRPr="00EE72F1">
        <w:t xml:space="preserve"> participating in the field trials</w:t>
      </w:r>
      <w:r w:rsidR="00FD29F3" w:rsidRPr="00EE72F1">
        <w:t xml:space="preserve"> phase of the project and will involve field</w:t>
      </w:r>
      <w:r w:rsidR="002601C4" w:rsidRPr="00EE72F1">
        <w:t>-</w:t>
      </w:r>
      <w:r w:rsidR="00EA4A72" w:rsidRPr="00A773F5">
        <w:t xml:space="preserve">testing of </w:t>
      </w:r>
      <w:r w:rsidR="00EA4A72" w:rsidRPr="00EA4A72">
        <w:rPr>
          <w:highlight w:val="yellow"/>
        </w:rPr>
        <w:t>the Collaborative Problem Solving domains.</w:t>
      </w:r>
      <w:r w:rsidR="00FD29F3" w:rsidRPr="00105B52">
        <w:rPr>
          <w:highlight w:val="yellow"/>
        </w:rPr>
        <w:t xml:space="preserve"> </w:t>
      </w:r>
      <w:r w:rsidR="001566E9">
        <w:rPr>
          <w:highlight w:val="yellow"/>
        </w:rPr>
        <w:t>There are eleven CPS assessment tasks.</w:t>
      </w:r>
      <w:r w:rsidR="00EA4A72" w:rsidRPr="00EA4A72">
        <w:rPr>
          <w:highlight w:val="yellow"/>
        </w:rPr>
        <w:t xml:space="preserve"> Students will </w:t>
      </w:r>
      <w:r w:rsidR="001566E9">
        <w:rPr>
          <w:highlight w:val="yellow"/>
        </w:rPr>
        <w:t xml:space="preserve">not </w:t>
      </w:r>
      <w:r w:rsidR="00EA4A72" w:rsidRPr="00EA4A72">
        <w:rPr>
          <w:highlight w:val="yellow"/>
        </w:rPr>
        <w:t xml:space="preserve">take </w:t>
      </w:r>
      <w:r w:rsidR="001566E9">
        <w:rPr>
          <w:highlight w:val="yellow"/>
        </w:rPr>
        <w:t xml:space="preserve">all eleven </w:t>
      </w:r>
      <w:r w:rsidR="00EA4A72" w:rsidRPr="00EA4A72">
        <w:rPr>
          <w:highlight w:val="yellow"/>
        </w:rPr>
        <w:t>tasks</w:t>
      </w:r>
      <w:r w:rsidR="001566E9">
        <w:rPr>
          <w:highlight w:val="yellow"/>
        </w:rPr>
        <w:t xml:space="preserve">. They will be allocated linked bundles of tasks administered over </w:t>
      </w:r>
      <w:r w:rsidR="00EA4A72" w:rsidRPr="00EA4A72">
        <w:rPr>
          <w:highlight w:val="yellow"/>
        </w:rPr>
        <w:t xml:space="preserve">two </w:t>
      </w:r>
      <w:r w:rsidR="001566E9">
        <w:rPr>
          <w:highlight w:val="yellow"/>
        </w:rPr>
        <w:t>60-minute class periods.</w:t>
      </w:r>
      <w:r w:rsidR="006623E4">
        <w:rPr>
          <w:highlight w:val="yellow"/>
        </w:rPr>
        <w:t xml:space="preserve"> </w:t>
      </w:r>
      <w:r w:rsidR="00E03C98" w:rsidRPr="006E2FDC">
        <w:rPr>
          <w:highlight w:val="yellow"/>
        </w:rPr>
        <w:t>Students will take</w:t>
      </w:r>
      <w:r w:rsidR="001B154C">
        <w:rPr>
          <w:highlight w:val="yellow"/>
        </w:rPr>
        <w:t xml:space="preserve"> two </w:t>
      </w:r>
      <w:r w:rsidR="009D3527">
        <w:rPr>
          <w:highlight w:val="yellow"/>
        </w:rPr>
        <w:t>40</w:t>
      </w:r>
      <w:r w:rsidR="001B154C">
        <w:rPr>
          <w:highlight w:val="yellow"/>
        </w:rPr>
        <w:t>-</w:t>
      </w:r>
      <w:r w:rsidR="00B31103">
        <w:rPr>
          <w:highlight w:val="yellow"/>
        </w:rPr>
        <w:t>minute tasks,</w:t>
      </w:r>
      <w:r w:rsidR="00E03C98" w:rsidRPr="006E2FDC">
        <w:rPr>
          <w:highlight w:val="yellow"/>
        </w:rPr>
        <w:t xml:space="preserve"> a 10-minute practice task</w:t>
      </w:r>
      <w:r w:rsidR="00A773F5">
        <w:rPr>
          <w:highlight w:val="yellow"/>
        </w:rPr>
        <w:t>,</w:t>
      </w:r>
      <w:r w:rsidR="00E03C98" w:rsidRPr="006E2FDC">
        <w:rPr>
          <w:highlight w:val="yellow"/>
        </w:rPr>
        <w:t xml:space="preserve"> and </w:t>
      </w:r>
      <w:r w:rsidR="004261A1">
        <w:rPr>
          <w:highlight w:val="yellow"/>
        </w:rPr>
        <w:t>two</w:t>
      </w:r>
      <w:r w:rsidR="00E03C98" w:rsidRPr="006E2FDC">
        <w:rPr>
          <w:highlight w:val="yellow"/>
        </w:rPr>
        <w:t xml:space="preserve"> 15-minute survey</w:t>
      </w:r>
      <w:r w:rsidR="004261A1">
        <w:rPr>
          <w:highlight w:val="yellow"/>
        </w:rPr>
        <w:t>s</w:t>
      </w:r>
      <w:r w:rsidR="00E03C98" w:rsidRPr="006E2FDC">
        <w:rPr>
          <w:highlight w:val="yellow"/>
        </w:rPr>
        <w:t>. The survey</w:t>
      </w:r>
      <w:r w:rsidR="004261A1">
        <w:rPr>
          <w:highlight w:val="yellow"/>
        </w:rPr>
        <w:t>s</w:t>
      </w:r>
      <w:r w:rsidR="00E03C98" w:rsidRPr="006E2FDC">
        <w:rPr>
          <w:highlight w:val="yellow"/>
        </w:rPr>
        <w:t xml:space="preserve"> </w:t>
      </w:r>
      <w:r w:rsidR="004261A1">
        <w:rPr>
          <w:highlight w:val="yellow"/>
        </w:rPr>
        <w:t>are</w:t>
      </w:r>
      <w:r w:rsidR="00E03C98" w:rsidRPr="006E2FDC">
        <w:rPr>
          <w:highlight w:val="yellow"/>
        </w:rPr>
        <w:t xml:space="preserve"> designed to ask students if they liked the task</w:t>
      </w:r>
      <w:r w:rsidR="00EA4A72" w:rsidRPr="00EA4A72">
        <w:rPr>
          <w:highlight w:val="yellow"/>
        </w:rPr>
        <w:t xml:space="preserve"> and </w:t>
      </w:r>
      <w:r w:rsidR="006E2FDC" w:rsidRPr="006E2FDC">
        <w:rPr>
          <w:highlight w:val="yellow"/>
        </w:rPr>
        <w:t>how well</w:t>
      </w:r>
      <w:r w:rsidR="00E03C98" w:rsidRPr="006E2FDC">
        <w:rPr>
          <w:highlight w:val="yellow"/>
        </w:rPr>
        <w:t xml:space="preserve"> they thought they had an </w:t>
      </w:r>
      <w:r w:rsidR="006E2FDC" w:rsidRPr="006E2FDC">
        <w:rPr>
          <w:highlight w:val="yellow"/>
        </w:rPr>
        <w:t>opportunity to collaborate. No student demographic information will be collected.</w:t>
      </w:r>
    </w:p>
    <w:p w:rsidR="006623E4" w:rsidRPr="00A65ED0" w:rsidRDefault="006623E4" w:rsidP="00184E2E">
      <w:pPr>
        <w:spacing w:beforeLines="1" w:afterLines="1"/>
        <w:rPr>
          <w:color w:val="3366FF"/>
        </w:rPr>
      </w:pPr>
    </w:p>
    <w:p w:rsidR="006623E4" w:rsidRPr="00CA52E6" w:rsidRDefault="006623E4" w:rsidP="00184E2E">
      <w:pPr>
        <w:spacing w:beforeLines="1" w:afterLines="1"/>
        <w:rPr>
          <w:rFonts w:eastAsia="Calibri" w:cs="Helvetica"/>
          <w:szCs w:val="22"/>
        </w:rPr>
      </w:pPr>
      <w:r w:rsidRPr="006623E4">
        <w:rPr>
          <w:rFonts w:eastAsia="Calibri" w:cs="Helvetica"/>
          <w:szCs w:val="22"/>
          <w:highlight w:val="yellow"/>
        </w:rPr>
        <w:t xml:space="preserve">Students will be randomly assigned to task </w:t>
      </w:r>
      <w:r>
        <w:rPr>
          <w:rFonts w:eastAsia="Calibri" w:cs="Helvetica"/>
          <w:szCs w:val="22"/>
          <w:highlight w:val="yellow"/>
        </w:rPr>
        <w:t>bundles</w:t>
      </w:r>
      <w:r w:rsidRPr="006623E4">
        <w:rPr>
          <w:rFonts w:eastAsia="Calibri" w:cs="Helvetica"/>
          <w:szCs w:val="22"/>
          <w:highlight w:val="yellow"/>
        </w:rPr>
        <w:t>. A counterbalanced allocation process is used to ensure that all tasks are administered and that all participating students are linked across tasks.  The objective is not to assess the students, but to collect sufficient data to enable calibration of the tasks. Students within age levels are randomly assigned to tasks, but in a manner that ensures the linking across all tasks in order to obtain sufficient data points across specific strands for development of robust scoring.</w:t>
      </w:r>
    </w:p>
    <w:p w:rsidR="001566E9" w:rsidRDefault="001566E9" w:rsidP="009C305E">
      <w:pPr>
        <w:rPr>
          <w:highlight w:val="yellow"/>
        </w:rPr>
      </w:pPr>
    </w:p>
    <w:p w:rsidR="00266EB1" w:rsidRPr="00107F3F" w:rsidRDefault="00FE160E" w:rsidP="009C305E">
      <w:pPr>
        <w:rPr>
          <w:highlight w:val="yellow"/>
        </w:rPr>
      </w:pPr>
      <w:r w:rsidRPr="00107F3F">
        <w:rPr>
          <w:highlight w:val="yellow"/>
        </w:rPr>
        <w:t xml:space="preserve">Table </w:t>
      </w:r>
      <w:r w:rsidR="006623E4" w:rsidRPr="00107F3F">
        <w:rPr>
          <w:highlight w:val="yellow"/>
        </w:rPr>
        <w:t>1</w:t>
      </w:r>
      <w:r w:rsidR="006E2FDC" w:rsidRPr="00107F3F">
        <w:rPr>
          <w:highlight w:val="yellow"/>
        </w:rPr>
        <w:t xml:space="preserve"> </w:t>
      </w:r>
      <w:r w:rsidRPr="00107F3F">
        <w:rPr>
          <w:highlight w:val="yellow"/>
        </w:rPr>
        <w:t xml:space="preserve">shows </w:t>
      </w:r>
      <w:r w:rsidR="00A40C95">
        <w:rPr>
          <w:highlight w:val="yellow"/>
        </w:rPr>
        <w:t xml:space="preserve">how </w:t>
      </w:r>
      <w:r w:rsidRPr="00107F3F">
        <w:rPr>
          <w:highlight w:val="yellow"/>
        </w:rPr>
        <w:t xml:space="preserve">the </w:t>
      </w:r>
      <w:r w:rsidR="006E2FDC" w:rsidRPr="00107F3F">
        <w:rPr>
          <w:highlight w:val="yellow"/>
        </w:rPr>
        <w:t>CPS tasks are bundled</w:t>
      </w:r>
      <w:r w:rsidR="00107F3F" w:rsidRPr="00107F3F">
        <w:rPr>
          <w:highlight w:val="yellow"/>
        </w:rPr>
        <w:t xml:space="preserve">. In Bundle A, four short tasks are administered in a 60- minute period. Bundles B, C, and D contain two longer tasks administered in a 60-minute period, and Bundle E contains one longer task administered in a 60-minute period. </w:t>
      </w:r>
      <w:r w:rsidR="00897093">
        <w:rPr>
          <w:highlight w:val="yellow"/>
        </w:rPr>
        <w:t>Table 2 shows the CPS task strands by ages 11, 13 and 15.</w:t>
      </w:r>
    </w:p>
    <w:p w:rsidR="00187429" w:rsidRPr="00107F3F" w:rsidRDefault="00187429">
      <w:pPr>
        <w:rPr>
          <w:b/>
          <w:highlight w:val="yellow"/>
        </w:rPr>
      </w:pPr>
    </w:p>
    <w:p w:rsidR="00266EB1" w:rsidRPr="00107F3F" w:rsidRDefault="00301394" w:rsidP="009C305E">
      <w:pPr>
        <w:rPr>
          <w:b/>
          <w:highlight w:val="yellow"/>
        </w:rPr>
      </w:pPr>
      <w:r w:rsidRPr="00107F3F">
        <w:rPr>
          <w:b/>
          <w:highlight w:val="yellow"/>
        </w:rPr>
        <w:t xml:space="preserve">Table </w:t>
      </w:r>
      <w:r w:rsidR="006623E4" w:rsidRPr="00107F3F">
        <w:rPr>
          <w:b/>
          <w:highlight w:val="yellow"/>
        </w:rPr>
        <w:t>1</w:t>
      </w:r>
      <w:r w:rsidRPr="00107F3F">
        <w:rPr>
          <w:b/>
          <w:highlight w:val="yellow"/>
        </w:rPr>
        <w:t xml:space="preserve">: Collaborative Problem Solving Task </w:t>
      </w:r>
      <w:r w:rsidR="006E2FDC" w:rsidRPr="00107F3F">
        <w:rPr>
          <w:b/>
          <w:highlight w:val="yellow"/>
        </w:rPr>
        <w:t>Bundles</w:t>
      </w:r>
    </w:p>
    <w:p w:rsidR="006E2FDC" w:rsidRPr="00107F3F" w:rsidRDefault="006E2FDC" w:rsidP="009C305E">
      <w:pPr>
        <w:rPr>
          <w:noProof/>
          <w:highlight w:val="yellow"/>
        </w:rPr>
      </w:pPr>
    </w:p>
    <w:p w:rsidR="00107F3F" w:rsidRPr="00107F3F" w:rsidRDefault="00107F3F" w:rsidP="00107F3F">
      <w:pPr>
        <w:rPr>
          <w:highlight w:val="yellow"/>
        </w:rPr>
      </w:pPr>
    </w:p>
    <w:tbl>
      <w:tblPr>
        <w:tblW w:w="8765" w:type="dxa"/>
        <w:jc w:val="center"/>
        <w:tblInd w:w="93" w:type="dxa"/>
        <w:tblLook w:val="04A0"/>
      </w:tblPr>
      <w:tblGrid>
        <w:gridCol w:w="1006"/>
        <w:gridCol w:w="2077"/>
        <w:gridCol w:w="2128"/>
        <w:gridCol w:w="1786"/>
        <w:gridCol w:w="1768"/>
        <w:gridCol w:w="222"/>
      </w:tblGrid>
      <w:tr w:rsidR="00ED42F1" w:rsidRPr="00107F3F">
        <w:trPr>
          <w:trHeight w:val="402"/>
          <w:jc w:val="center"/>
        </w:trPr>
        <w:tc>
          <w:tcPr>
            <w:tcW w:w="1006" w:type="dxa"/>
            <w:tcBorders>
              <w:top w:val="single" w:sz="4" w:space="0" w:color="auto"/>
              <w:left w:val="single" w:sz="4" w:space="0" w:color="auto"/>
              <w:bottom w:val="single" w:sz="4" w:space="0" w:color="auto"/>
              <w:right w:val="single" w:sz="4" w:space="0" w:color="auto"/>
            </w:tcBorders>
            <w:shd w:val="clear" w:color="000000" w:fill="FFFF00"/>
            <w:noWrap/>
            <w:vAlign w:val="bottom"/>
          </w:tcPr>
          <w:p w:rsidR="00107F3F" w:rsidRPr="00107F3F" w:rsidRDefault="00107F3F" w:rsidP="00107F3F">
            <w:pPr>
              <w:jc w:val="center"/>
              <w:rPr>
                <w:rFonts w:eastAsia="Times New Roman"/>
                <w:b/>
                <w:bCs/>
                <w:color w:val="000000"/>
                <w:highlight w:val="yellow"/>
                <w:lang w:eastAsia="en-AU"/>
              </w:rPr>
            </w:pPr>
            <w:r w:rsidRPr="00107F3F">
              <w:rPr>
                <w:rFonts w:eastAsia="Times New Roman"/>
                <w:b/>
                <w:bCs/>
                <w:color w:val="000000"/>
                <w:highlight w:val="yellow"/>
                <w:lang w:eastAsia="en-AU"/>
              </w:rPr>
              <w:t>Bundle</w:t>
            </w:r>
          </w:p>
        </w:tc>
        <w:tc>
          <w:tcPr>
            <w:tcW w:w="2077" w:type="dxa"/>
            <w:tcBorders>
              <w:top w:val="single" w:sz="4" w:space="0" w:color="auto"/>
              <w:left w:val="nil"/>
              <w:bottom w:val="single" w:sz="4" w:space="0" w:color="auto"/>
              <w:right w:val="single" w:sz="4" w:space="0" w:color="auto"/>
            </w:tcBorders>
            <w:shd w:val="clear" w:color="000000" w:fill="FFFF00"/>
            <w:noWrap/>
            <w:vAlign w:val="bottom"/>
          </w:tcPr>
          <w:p w:rsidR="00107F3F" w:rsidRPr="00107F3F" w:rsidRDefault="00EA4A72" w:rsidP="00107F3F">
            <w:pPr>
              <w:jc w:val="center"/>
              <w:rPr>
                <w:b/>
                <w:color w:val="000000"/>
                <w:highlight w:val="yellow"/>
              </w:rPr>
            </w:pPr>
            <w:r w:rsidRPr="00EA4A72">
              <w:rPr>
                <w:b/>
                <w:color w:val="000000"/>
                <w:highlight w:val="yellow"/>
              </w:rPr>
              <w:t>Task</w:t>
            </w:r>
            <w:r w:rsidR="00107F3F" w:rsidRPr="00107F3F">
              <w:rPr>
                <w:rFonts w:eastAsia="Times New Roman"/>
                <w:b/>
                <w:bCs/>
                <w:color w:val="000000"/>
                <w:highlight w:val="yellow"/>
                <w:lang w:eastAsia="en-AU"/>
              </w:rPr>
              <w:t xml:space="preserve"> 1</w:t>
            </w:r>
          </w:p>
        </w:tc>
        <w:tc>
          <w:tcPr>
            <w:tcW w:w="2128" w:type="dxa"/>
            <w:tcBorders>
              <w:top w:val="single" w:sz="4" w:space="0" w:color="auto"/>
              <w:left w:val="nil"/>
              <w:bottom w:val="single" w:sz="4" w:space="0" w:color="auto"/>
              <w:right w:val="single" w:sz="4" w:space="0" w:color="auto"/>
            </w:tcBorders>
            <w:shd w:val="clear" w:color="000000" w:fill="FFFF00"/>
            <w:noWrap/>
            <w:vAlign w:val="bottom"/>
          </w:tcPr>
          <w:p w:rsidR="00107F3F" w:rsidRPr="00107F3F" w:rsidRDefault="00107F3F" w:rsidP="00107F3F">
            <w:pPr>
              <w:jc w:val="center"/>
              <w:rPr>
                <w:b/>
                <w:color w:val="000000"/>
                <w:highlight w:val="yellow"/>
              </w:rPr>
            </w:pPr>
            <w:r w:rsidRPr="00107F3F">
              <w:rPr>
                <w:rFonts w:eastAsia="Times New Roman"/>
                <w:b/>
                <w:bCs/>
                <w:color w:val="000000"/>
                <w:highlight w:val="yellow"/>
                <w:lang w:eastAsia="en-AU"/>
              </w:rPr>
              <w:t>Task 2</w:t>
            </w:r>
          </w:p>
        </w:tc>
        <w:tc>
          <w:tcPr>
            <w:tcW w:w="1786" w:type="dxa"/>
            <w:tcBorders>
              <w:top w:val="single" w:sz="4" w:space="0" w:color="auto"/>
              <w:left w:val="nil"/>
              <w:bottom w:val="single" w:sz="4" w:space="0" w:color="auto"/>
              <w:right w:val="single" w:sz="4" w:space="0" w:color="auto"/>
            </w:tcBorders>
            <w:shd w:val="clear" w:color="000000" w:fill="FFFF00"/>
            <w:noWrap/>
            <w:vAlign w:val="bottom"/>
          </w:tcPr>
          <w:p w:rsidR="00107F3F" w:rsidRPr="00107F3F" w:rsidRDefault="00EA4A72" w:rsidP="00107F3F">
            <w:pPr>
              <w:jc w:val="center"/>
              <w:rPr>
                <w:b/>
                <w:color w:val="000000"/>
                <w:highlight w:val="yellow"/>
              </w:rPr>
            </w:pPr>
            <w:r w:rsidRPr="00EA4A72">
              <w:rPr>
                <w:b/>
                <w:color w:val="000000"/>
                <w:highlight w:val="yellow"/>
              </w:rPr>
              <w:t xml:space="preserve">Task </w:t>
            </w:r>
            <w:r w:rsidR="00107F3F" w:rsidRPr="00107F3F">
              <w:rPr>
                <w:rFonts w:eastAsia="Times New Roman"/>
                <w:b/>
                <w:bCs/>
                <w:color w:val="000000"/>
                <w:highlight w:val="yellow"/>
                <w:lang w:eastAsia="en-AU"/>
              </w:rPr>
              <w:t>3</w:t>
            </w:r>
          </w:p>
        </w:tc>
        <w:tc>
          <w:tcPr>
            <w:tcW w:w="1768" w:type="dxa"/>
            <w:gridSpan w:val="2"/>
            <w:tcBorders>
              <w:top w:val="single" w:sz="4" w:space="0" w:color="auto"/>
              <w:left w:val="nil"/>
              <w:bottom w:val="single" w:sz="4" w:space="0" w:color="auto"/>
              <w:right w:val="single" w:sz="4" w:space="0" w:color="auto"/>
            </w:tcBorders>
            <w:shd w:val="clear" w:color="000000" w:fill="FFFF00"/>
            <w:noWrap/>
            <w:vAlign w:val="bottom"/>
          </w:tcPr>
          <w:p w:rsidR="00107F3F" w:rsidRPr="00107F3F" w:rsidRDefault="00107F3F" w:rsidP="00107F3F">
            <w:pPr>
              <w:jc w:val="center"/>
              <w:rPr>
                <w:rFonts w:eastAsia="Times New Roman"/>
                <w:b/>
                <w:bCs/>
                <w:color w:val="000000"/>
                <w:highlight w:val="yellow"/>
                <w:lang w:eastAsia="en-AU"/>
              </w:rPr>
            </w:pPr>
            <w:r w:rsidRPr="00107F3F">
              <w:rPr>
                <w:rFonts w:eastAsia="Times New Roman"/>
                <w:b/>
                <w:bCs/>
                <w:color w:val="000000"/>
                <w:highlight w:val="yellow"/>
                <w:lang w:eastAsia="en-AU"/>
              </w:rPr>
              <w:t>Task 4</w:t>
            </w:r>
          </w:p>
        </w:tc>
      </w:tr>
      <w:tr w:rsidR="00ED42F1" w:rsidRPr="00107F3F">
        <w:trPr>
          <w:trHeight w:val="402"/>
          <w:jc w:val="center"/>
        </w:trPr>
        <w:tc>
          <w:tcPr>
            <w:tcW w:w="1006" w:type="dxa"/>
            <w:tcBorders>
              <w:top w:val="nil"/>
              <w:left w:val="single" w:sz="4" w:space="0" w:color="auto"/>
              <w:bottom w:val="single" w:sz="4" w:space="0" w:color="auto"/>
              <w:right w:val="single" w:sz="4" w:space="0" w:color="auto"/>
            </w:tcBorders>
            <w:shd w:val="clear" w:color="auto" w:fill="auto"/>
            <w:noWrap/>
            <w:vAlign w:val="bottom"/>
          </w:tcPr>
          <w:p w:rsidR="00107F3F" w:rsidRPr="00107F3F" w:rsidRDefault="00107F3F" w:rsidP="00107F3F">
            <w:pPr>
              <w:jc w:val="center"/>
              <w:rPr>
                <w:color w:val="000000"/>
                <w:highlight w:val="yellow"/>
              </w:rPr>
            </w:pPr>
            <w:r w:rsidRPr="00107F3F">
              <w:rPr>
                <w:rFonts w:eastAsia="Times New Roman"/>
                <w:color w:val="000000"/>
                <w:highlight w:val="yellow"/>
                <w:lang w:eastAsia="en-AU"/>
              </w:rPr>
              <w:t xml:space="preserve"> A</w:t>
            </w:r>
          </w:p>
        </w:tc>
        <w:tc>
          <w:tcPr>
            <w:tcW w:w="2077" w:type="dxa"/>
            <w:tcBorders>
              <w:top w:val="nil"/>
              <w:left w:val="nil"/>
              <w:bottom w:val="single" w:sz="4" w:space="0" w:color="auto"/>
              <w:right w:val="single" w:sz="4" w:space="0" w:color="auto"/>
            </w:tcBorders>
            <w:shd w:val="clear" w:color="auto" w:fill="auto"/>
            <w:noWrap/>
            <w:vAlign w:val="bottom"/>
          </w:tcPr>
          <w:p w:rsidR="00107F3F" w:rsidRPr="00107F3F" w:rsidRDefault="00107F3F" w:rsidP="00107F3F">
            <w:pPr>
              <w:jc w:val="center"/>
              <w:rPr>
                <w:color w:val="000000"/>
                <w:sz w:val="20"/>
                <w:highlight w:val="yellow"/>
              </w:rPr>
            </w:pPr>
            <w:r w:rsidRPr="00107F3F">
              <w:rPr>
                <w:rFonts w:eastAsia="Times New Roman"/>
                <w:color w:val="000000"/>
                <w:sz w:val="20"/>
                <w:szCs w:val="20"/>
                <w:highlight w:val="yellow"/>
                <w:lang w:eastAsia="en-AU"/>
              </w:rPr>
              <w:t xml:space="preserve">Clowns </w:t>
            </w:r>
          </w:p>
        </w:tc>
        <w:tc>
          <w:tcPr>
            <w:tcW w:w="2128" w:type="dxa"/>
            <w:tcBorders>
              <w:top w:val="nil"/>
              <w:left w:val="nil"/>
              <w:bottom w:val="single" w:sz="4" w:space="0" w:color="auto"/>
              <w:right w:val="single" w:sz="4" w:space="0" w:color="auto"/>
            </w:tcBorders>
            <w:shd w:val="clear" w:color="auto" w:fill="auto"/>
            <w:noWrap/>
            <w:vAlign w:val="bottom"/>
          </w:tcPr>
          <w:p w:rsidR="00107F3F" w:rsidRPr="00107F3F" w:rsidRDefault="00107F3F" w:rsidP="00107F3F">
            <w:pPr>
              <w:jc w:val="center"/>
              <w:rPr>
                <w:color w:val="000000"/>
                <w:sz w:val="20"/>
                <w:highlight w:val="yellow"/>
              </w:rPr>
            </w:pPr>
            <w:r w:rsidRPr="00107F3F">
              <w:rPr>
                <w:rFonts w:eastAsia="Times New Roman"/>
                <w:color w:val="000000"/>
                <w:sz w:val="20"/>
                <w:szCs w:val="20"/>
                <w:highlight w:val="yellow"/>
                <w:lang w:eastAsia="en-AU"/>
              </w:rPr>
              <w:t xml:space="preserve">Olive Oil </w:t>
            </w:r>
          </w:p>
        </w:tc>
        <w:tc>
          <w:tcPr>
            <w:tcW w:w="1786" w:type="dxa"/>
            <w:tcBorders>
              <w:top w:val="nil"/>
              <w:left w:val="nil"/>
              <w:bottom w:val="single" w:sz="4" w:space="0" w:color="auto"/>
              <w:right w:val="single" w:sz="4" w:space="0" w:color="auto"/>
            </w:tcBorders>
            <w:shd w:val="clear" w:color="auto" w:fill="auto"/>
            <w:noWrap/>
            <w:vAlign w:val="bottom"/>
          </w:tcPr>
          <w:p w:rsidR="00107F3F" w:rsidRPr="00107F3F" w:rsidRDefault="00107F3F" w:rsidP="00107F3F">
            <w:pPr>
              <w:jc w:val="center"/>
              <w:rPr>
                <w:color w:val="000000"/>
                <w:sz w:val="20"/>
                <w:highlight w:val="yellow"/>
              </w:rPr>
            </w:pPr>
            <w:r w:rsidRPr="00107F3F">
              <w:rPr>
                <w:rFonts w:eastAsia="Times New Roman"/>
                <w:color w:val="000000"/>
                <w:sz w:val="20"/>
                <w:szCs w:val="20"/>
                <w:highlight w:val="yellow"/>
                <w:lang w:eastAsia="en-AU"/>
              </w:rPr>
              <w:t>Hot Chocolate</w:t>
            </w:r>
          </w:p>
        </w:tc>
        <w:tc>
          <w:tcPr>
            <w:tcW w:w="1768" w:type="dxa"/>
            <w:tcBorders>
              <w:top w:val="nil"/>
              <w:left w:val="nil"/>
              <w:bottom w:val="single" w:sz="4" w:space="0" w:color="auto"/>
              <w:right w:val="single" w:sz="4" w:space="0" w:color="auto"/>
            </w:tcBorders>
            <w:shd w:val="clear" w:color="auto" w:fill="auto"/>
            <w:noWrap/>
            <w:vAlign w:val="bottom"/>
          </w:tcPr>
          <w:p w:rsidR="00107F3F" w:rsidRPr="00107F3F" w:rsidRDefault="00107F3F" w:rsidP="00107F3F">
            <w:pPr>
              <w:jc w:val="center"/>
              <w:rPr>
                <w:color w:val="000000"/>
                <w:sz w:val="20"/>
                <w:highlight w:val="yellow"/>
              </w:rPr>
            </w:pPr>
            <w:r w:rsidRPr="00107F3F">
              <w:rPr>
                <w:rFonts w:eastAsia="Times New Roman"/>
                <w:color w:val="000000"/>
                <w:sz w:val="20"/>
                <w:szCs w:val="20"/>
                <w:highlight w:val="yellow"/>
                <w:lang w:eastAsia="en-AU"/>
              </w:rPr>
              <w:t xml:space="preserve">Sunflower </w:t>
            </w:r>
          </w:p>
        </w:tc>
        <w:tc>
          <w:tcPr>
            <w:tcW w:w="780" w:type="dxa"/>
            <w:shd w:val="clear" w:color="auto" w:fill="FFFF00"/>
          </w:tcPr>
          <w:p w:rsidR="00D8473F" w:rsidRPr="001503A8" w:rsidRDefault="00D8473F" w:rsidP="001503A8">
            <w:pPr>
              <w:jc w:val="center"/>
              <w:rPr>
                <w:rFonts w:asciiTheme="majorHAnsi" w:hAnsiTheme="majorHAnsi"/>
                <w:sz w:val="18"/>
              </w:rPr>
            </w:pPr>
          </w:p>
        </w:tc>
      </w:tr>
      <w:tr w:rsidR="00ED42F1" w:rsidRPr="00107F3F">
        <w:trPr>
          <w:trHeight w:val="402"/>
          <w:jc w:val="center"/>
        </w:trPr>
        <w:tc>
          <w:tcPr>
            <w:tcW w:w="1006" w:type="dxa"/>
            <w:tcBorders>
              <w:top w:val="nil"/>
              <w:left w:val="single" w:sz="4" w:space="0" w:color="auto"/>
              <w:bottom w:val="single" w:sz="4" w:space="0" w:color="auto"/>
              <w:right w:val="single" w:sz="4" w:space="0" w:color="auto"/>
            </w:tcBorders>
            <w:shd w:val="clear" w:color="auto" w:fill="auto"/>
            <w:noWrap/>
            <w:vAlign w:val="bottom"/>
          </w:tcPr>
          <w:p w:rsidR="00EA4A72" w:rsidRPr="00EA4A72" w:rsidRDefault="00107F3F" w:rsidP="00EA4A72">
            <w:pPr>
              <w:jc w:val="center"/>
              <w:rPr>
                <w:color w:val="000000"/>
                <w:highlight w:val="yellow"/>
              </w:rPr>
            </w:pPr>
            <w:r w:rsidRPr="00107F3F">
              <w:rPr>
                <w:rFonts w:eastAsia="Times New Roman"/>
                <w:color w:val="000000"/>
                <w:highlight w:val="yellow"/>
                <w:lang w:eastAsia="en-AU"/>
              </w:rPr>
              <w:t>B</w:t>
            </w:r>
          </w:p>
        </w:tc>
        <w:tc>
          <w:tcPr>
            <w:tcW w:w="2077" w:type="dxa"/>
            <w:tcBorders>
              <w:top w:val="nil"/>
              <w:left w:val="nil"/>
              <w:bottom w:val="single" w:sz="4" w:space="0" w:color="auto"/>
              <w:right w:val="single" w:sz="4" w:space="0" w:color="auto"/>
            </w:tcBorders>
            <w:shd w:val="clear" w:color="auto" w:fill="auto"/>
            <w:noWrap/>
            <w:vAlign w:val="bottom"/>
          </w:tcPr>
          <w:p w:rsidR="00107F3F" w:rsidRPr="00107F3F" w:rsidRDefault="00107F3F" w:rsidP="00107F3F">
            <w:pPr>
              <w:jc w:val="center"/>
              <w:rPr>
                <w:color w:val="000000"/>
                <w:sz w:val="20"/>
                <w:highlight w:val="yellow"/>
              </w:rPr>
            </w:pPr>
            <w:r w:rsidRPr="00107F3F">
              <w:rPr>
                <w:rFonts w:eastAsia="Times New Roman"/>
                <w:color w:val="000000"/>
                <w:sz w:val="20"/>
                <w:szCs w:val="20"/>
                <w:highlight w:val="yellow"/>
                <w:lang w:eastAsia="en-AU"/>
              </w:rPr>
              <w:t xml:space="preserve">Plant Growth </w:t>
            </w:r>
          </w:p>
        </w:tc>
        <w:tc>
          <w:tcPr>
            <w:tcW w:w="2128" w:type="dxa"/>
            <w:tcBorders>
              <w:top w:val="nil"/>
              <w:left w:val="nil"/>
              <w:bottom w:val="single" w:sz="4" w:space="0" w:color="auto"/>
              <w:right w:val="single" w:sz="4" w:space="0" w:color="auto"/>
            </w:tcBorders>
            <w:shd w:val="clear" w:color="auto" w:fill="auto"/>
            <w:noWrap/>
            <w:vAlign w:val="bottom"/>
          </w:tcPr>
          <w:p w:rsidR="00107F3F" w:rsidRPr="00107F3F" w:rsidRDefault="00107F3F" w:rsidP="00107F3F">
            <w:pPr>
              <w:jc w:val="center"/>
              <w:rPr>
                <w:color w:val="000000"/>
                <w:sz w:val="20"/>
                <w:highlight w:val="yellow"/>
              </w:rPr>
            </w:pPr>
            <w:r w:rsidRPr="00107F3F">
              <w:rPr>
                <w:rFonts w:eastAsia="Times New Roman"/>
                <w:color w:val="000000"/>
                <w:sz w:val="20"/>
                <w:szCs w:val="20"/>
                <w:highlight w:val="yellow"/>
                <w:lang w:eastAsia="en-AU"/>
              </w:rPr>
              <w:t xml:space="preserve">Warehouse </w:t>
            </w:r>
          </w:p>
        </w:tc>
        <w:tc>
          <w:tcPr>
            <w:tcW w:w="1786" w:type="dxa"/>
            <w:tcBorders>
              <w:top w:val="nil"/>
              <w:left w:val="nil"/>
              <w:bottom w:val="single" w:sz="4" w:space="0" w:color="auto"/>
              <w:right w:val="single" w:sz="4" w:space="0" w:color="auto"/>
            </w:tcBorders>
            <w:shd w:val="clear" w:color="auto" w:fill="auto"/>
            <w:noWrap/>
            <w:vAlign w:val="bottom"/>
          </w:tcPr>
          <w:p w:rsidR="00107F3F" w:rsidRPr="00107F3F" w:rsidRDefault="00107F3F" w:rsidP="00107F3F">
            <w:pPr>
              <w:jc w:val="center"/>
              <w:rPr>
                <w:color w:val="000000"/>
                <w:sz w:val="20"/>
                <w:highlight w:val="yellow"/>
              </w:rPr>
            </w:pPr>
            <w:r w:rsidRPr="00107F3F">
              <w:rPr>
                <w:rFonts w:eastAsia="Times New Roman"/>
                <w:color w:val="000000"/>
                <w:sz w:val="20"/>
                <w:szCs w:val="20"/>
                <w:highlight w:val="yellow"/>
                <w:lang w:eastAsia="en-AU"/>
              </w:rPr>
              <w:t> </w:t>
            </w:r>
          </w:p>
        </w:tc>
        <w:tc>
          <w:tcPr>
            <w:tcW w:w="1768" w:type="dxa"/>
            <w:tcBorders>
              <w:top w:val="nil"/>
              <w:left w:val="nil"/>
              <w:bottom w:val="single" w:sz="4" w:space="0" w:color="auto"/>
              <w:right w:val="single" w:sz="4" w:space="0" w:color="auto"/>
            </w:tcBorders>
            <w:shd w:val="clear" w:color="auto" w:fill="auto"/>
            <w:noWrap/>
            <w:vAlign w:val="bottom"/>
          </w:tcPr>
          <w:p w:rsidR="00107F3F" w:rsidRPr="00107F3F" w:rsidRDefault="00107F3F" w:rsidP="00107F3F">
            <w:pPr>
              <w:jc w:val="center"/>
              <w:rPr>
                <w:color w:val="000000"/>
                <w:sz w:val="20"/>
                <w:highlight w:val="yellow"/>
              </w:rPr>
            </w:pPr>
            <w:r w:rsidRPr="00107F3F">
              <w:rPr>
                <w:rFonts w:eastAsia="Times New Roman"/>
                <w:color w:val="000000"/>
                <w:sz w:val="20"/>
                <w:szCs w:val="20"/>
                <w:highlight w:val="yellow"/>
                <w:lang w:eastAsia="en-AU"/>
              </w:rPr>
              <w:t> </w:t>
            </w:r>
          </w:p>
        </w:tc>
        <w:tc>
          <w:tcPr>
            <w:tcW w:w="780" w:type="dxa"/>
          </w:tcPr>
          <w:p w:rsidR="00D8473F" w:rsidRPr="001503A8" w:rsidRDefault="00D8473F" w:rsidP="001503A8">
            <w:pPr>
              <w:jc w:val="center"/>
              <w:rPr>
                <w:rFonts w:asciiTheme="majorHAnsi" w:hAnsiTheme="majorHAnsi"/>
                <w:sz w:val="20"/>
              </w:rPr>
            </w:pPr>
          </w:p>
        </w:tc>
      </w:tr>
      <w:tr w:rsidR="00ED42F1" w:rsidRPr="00107F3F">
        <w:trPr>
          <w:trHeight w:val="402"/>
          <w:jc w:val="center"/>
        </w:trPr>
        <w:tc>
          <w:tcPr>
            <w:tcW w:w="1006" w:type="dxa"/>
            <w:tcBorders>
              <w:top w:val="nil"/>
              <w:left w:val="single" w:sz="4" w:space="0" w:color="auto"/>
              <w:bottom w:val="single" w:sz="4" w:space="0" w:color="auto"/>
              <w:right w:val="single" w:sz="4" w:space="0" w:color="auto"/>
            </w:tcBorders>
            <w:shd w:val="clear" w:color="auto" w:fill="auto"/>
            <w:noWrap/>
            <w:vAlign w:val="bottom"/>
          </w:tcPr>
          <w:p w:rsidR="00EA4A72" w:rsidRPr="00EA4A72" w:rsidRDefault="00107F3F" w:rsidP="00EA4A72">
            <w:pPr>
              <w:jc w:val="center"/>
              <w:rPr>
                <w:color w:val="000000"/>
                <w:highlight w:val="yellow"/>
              </w:rPr>
            </w:pPr>
            <w:r w:rsidRPr="00107F3F">
              <w:rPr>
                <w:rFonts w:eastAsia="Times New Roman"/>
                <w:color w:val="000000"/>
                <w:highlight w:val="yellow"/>
                <w:lang w:eastAsia="en-AU"/>
              </w:rPr>
              <w:t>C</w:t>
            </w:r>
          </w:p>
        </w:tc>
        <w:tc>
          <w:tcPr>
            <w:tcW w:w="2077" w:type="dxa"/>
            <w:tcBorders>
              <w:top w:val="nil"/>
              <w:left w:val="nil"/>
              <w:bottom w:val="single" w:sz="4" w:space="0" w:color="auto"/>
              <w:right w:val="single" w:sz="4" w:space="0" w:color="auto"/>
            </w:tcBorders>
            <w:shd w:val="clear" w:color="auto" w:fill="auto"/>
            <w:noWrap/>
            <w:vAlign w:val="bottom"/>
          </w:tcPr>
          <w:p w:rsidR="00107F3F" w:rsidRPr="00107F3F" w:rsidRDefault="00107F3F" w:rsidP="00107F3F">
            <w:pPr>
              <w:jc w:val="center"/>
              <w:rPr>
                <w:color w:val="000000"/>
                <w:sz w:val="20"/>
                <w:highlight w:val="yellow"/>
              </w:rPr>
            </w:pPr>
            <w:r w:rsidRPr="00107F3F">
              <w:rPr>
                <w:rFonts w:eastAsia="Times New Roman"/>
                <w:color w:val="000000"/>
                <w:sz w:val="20"/>
                <w:szCs w:val="20"/>
                <w:highlight w:val="yellow"/>
                <w:lang w:eastAsia="en-AU"/>
              </w:rPr>
              <w:t xml:space="preserve">Game of 20 </w:t>
            </w:r>
          </w:p>
        </w:tc>
        <w:tc>
          <w:tcPr>
            <w:tcW w:w="2128" w:type="dxa"/>
            <w:tcBorders>
              <w:top w:val="nil"/>
              <w:left w:val="nil"/>
              <w:bottom w:val="single" w:sz="4" w:space="0" w:color="auto"/>
              <w:right w:val="single" w:sz="4" w:space="0" w:color="auto"/>
            </w:tcBorders>
            <w:shd w:val="clear" w:color="auto" w:fill="auto"/>
            <w:noWrap/>
            <w:vAlign w:val="bottom"/>
          </w:tcPr>
          <w:p w:rsidR="00107F3F" w:rsidRPr="00107F3F" w:rsidRDefault="00107F3F" w:rsidP="00107F3F">
            <w:pPr>
              <w:jc w:val="center"/>
              <w:rPr>
                <w:color w:val="000000"/>
                <w:sz w:val="20"/>
                <w:highlight w:val="yellow"/>
              </w:rPr>
            </w:pPr>
            <w:r w:rsidRPr="00107F3F">
              <w:rPr>
                <w:rFonts w:eastAsia="Times New Roman"/>
                <w:color w:val="000000"/>
                <w:sz w:val="20"/>
                <w:szCs w:val="20"/>
                <w:highlight w:val="yellow"/>
                <w:lang w:eastAsia="en-AU"/>
              </w:rPr>
              <w:t xml:space="preserve">Hexagons </w:t>
            </w:r>
          </w:p>
        </w:tc>
        <w:tc>
          <w:tcPr>
            <w:tcW w:w="1786" w:type="dxa"/>
            <w:tcBorders>
              <w:top w:val="nil"/>
              <w:left w:val="nil"/>
              <w:bottom w:val="single" w:sz="4" w:space="0" w:color="auto"/>
              <w:right w:val="single" w:sz="4" w:space="0" w:color="auto"/>
            </w:tcBorders>
            <w:shd w:val="clear" w:color="auto" w:fill="auto"/>
            <w:noWrap/>
            <w:vAlign w:val="bottom"/>
          </w:tcPr>
          <w:p w:rsidR="00107F3F" w:rsidRPr="00107F3F" w:rsidRDefault="00107F3F" w:rsidP="00107F3F">
            <w:pPr>
              <w:jc w:val="center"/>
              <w:rPr>
                <w:color w:val="000000"/>
                <w:sz w:val="20"/>
                <w:highlight w:val="yellow"/>
              </w:rPr>
            </w:pPr>
            <w:r w:rsidRPr="00107F3F">
              <w:rPr>
                <w:rFonts w:eastAsia="Times New Roman"/>
                <w:color w:val="000000"/>
                <w:sz w:val="20"/>
                <w:szCs w:val="20"/>
                <w:highlight w:val="yellow"/>
                <w:lang w:eastAsia="en-AU"/>
              </w:rPr>
              <w:t> </w:t>
            </w:r>
          </w:p>
        </w:tc>
        <w:tc>
          <w:tcPr>
            <w:tcW w:w="1768" w:type="dxa"/>
            <w:tcBorders>
              <w:top w:val="nil"/>
              <w:left w:val="nil"/>
              <w:bottom w:val="single" w:sz="4" w:space="0" w:color="auto"/>
              <w:right w:val="single" w:sz="4" w:space="0" w:color="auto"/>
            </w:tcBorders>
            <w:shd w:val="clear" w:color="auto" w:fill="auto"/>
            <w:noWrap/>
            <w:vAlign w:val="bottom"/>
          </w:tcPr>
          <w:p w:rsidR="00107F3F" w:rsidRPr="00107F3F" w:rsidRDefault="00107F3F" w:rsidP="00107F3F">
            <w:pPr>
              <w:jc w:val="center"/>
              <w:rPr>
                <w:color w:val="000000"/>
                <w:sz w:val="20"/>
                <w:highlight w:val="yellow"/>
              </w:rPr>
            </w:pPr>
            <w:r w:rsidRPr="00107F3F">
              <w:rPr>
                <w:rFonts w:eastAsia="Times New Roman"/>
                <w:color w:val="000000"/>
                <w:sz w:val="20"/>
                <w:szCs w:val="20"/>
                <w:highlight w:val="yellow"/>
                <w:lang w:eastAsia="en-AU"/>
              </w:rPr>
              <w:t> </w:t>
            </w:r>
          </w:p>
        </w:tc>
        <w:tc>
          <w:tcPr>
            <w:tcW w:w="780" w:type="dxa"/>
          </w:tcPr>
          <w:p w:rsidR="00654F9A" w:rsidRPr="001503A8" w:rsidRDefault="00654F9A" w:rsidP="001503A8">
            <w:pPr>
              <w:jc w:val="center"/>
              <w:rPr>
                <w:rFonts w:asciiTheme="majorHAnsi" w:hAnsiTheme="majorHAnsi"/>
                <w:sz w:val="20"/>
              </w:rPr>
            </w:pPr>
          </w:p>
        </w:tc>
      </w:tr>
      <w:tr w:rsidR="00ED42F1" w:rsidRPr="00107F3F">
        <w:trPr>
          <w:trHeight w:val="402"/>
          <w:jc w:val="center"/>
        </w:trPr>
        <w:tc>
          <w:tcPr>
            <w:tcW w:w="1006" w:type="dxa"/>
            <w:tcBorders>
              <w:top w:val="nil"/>
              <w:left w:val="single" w:sz="4" w:space="0" w:color="auto"/>
              <w:bottom w:val="single" w:sz="4" w:space="0" w:color="auto"/>
              <w:right w:val="single" w:sz="4" w:space="0" w:color="auto"/>
            </w:tcBorders>
            <w:shd w:val="clear" w:color="auto" w:fill="auto"/>
            <w:noWrap/>
            <w:vAlign w:val="bottom"/>
          </w:tcPr>
          <w:p w:rsidR="00EA4A72" w:rsidRPr="00EA4A72" w:rsidRDefault="00107F3F" w:rsidP="00EA4A72">
            <w:pPr>
              <w:jc w:val="center"/>
              <w:rPr>
                <w:color w:val="000000"/>
                <w:highlight w:val="yellow"/>
              </w:rPr>
            </w:pPr>
            <w:r w:rsidRPr="00107F3F">
              <w:rPr>
                <w:rFonts w:eastAsia="Times New Roman"/>
                <w:color w:val="000000"/>
                <w:highlight w:val="yellow"/>
                <w:lang w:eastAsia="en-AU"/>
              </w:rPr>
              <w:t>D</w:t>
            </w:r>
          </w:p>
        </w:tc>
        <w:tc>
          <w:tcPr>
            <w:tcW w:w="2077" w:type="dxa"/>
            <w:tcBorders>
              <w:top w:val="nil"/>
              <w:left w:val="nil"/>
              <w:bottom w:val="single" w:sz="4" w:space="0" w:color="auto"/>
              <w:right w:val="single" w:sz="4" w:space="0" w:color="auto"/>
            </w:tcBorders>
            <w:shd w:val="clear" w:color="auto" w:fill="auto"/>
            <w:noWrap/>
            <w:vAlign w:val="bottom"/>
          </w:tcPr>
          <w:p w:rsidR="00107F3F" w:rsidRPr="00107F3F" w:rsidRDefault="00107F3F" w:rsidP="00107F3F">
            <w:pPr>
              <w:jc w:val="center"/>
              <w:rPr>
                <w:color w:val="000000"/>
                <w:sz w:val="20"/>
                <w:highlight w:val="yellow"/>
              </w:rPr>
            </w:pPr>
            <w:r w:rsidRPr="00107F3F">
              <w:rPr>
                <w:rFonts w:eastAsia="Times New Roman"/>
                <w:color w:val="000000"/>
                <w:sz w:val="20"/>
                <w:szCs w:val="20"/>
                <w:highlight w:val="yellow"/>
                <w:lang w:eastAsia="en-AU"/>
              </w:rPr>
              <w:t xml:space="preserve">Shared Garden </w:t>
            </w:r>
          </w:p>
        </w:tc>
        <w:tc>
          <w:tcPr>
            <w:tcW w:w="2128" w:type="dxa"/>
            <w:tcBorders>
              <w:top w:val="nil"/>
              <w:left w:val="nil"/>
              <w:bottom w:val="single" w:sz="4" w:space="0" w:color="auto"/>
              <w:right w:val="single" w:sz="4" w:space="0" w:color="auto"/>
            </w:tcBorders>
            <w:shd w:val="clear" w:color="auto" w:fill="auto"/>
            <w:noWrap/>
            <w:vAlign w:val="bottom"/>
          </w:tcPr>
          <w:p w:rsidR="00107F3F" w:rsidRPr="00107F3F" w:rsidRDefault="00107F3F" w:rsidP="00107F3F">
            <w:pPr>
              <w:jc w:val="center"/>
              <w:rPr>
                <w:color w:val="000000"/>
                <w:sz w:val="20"/>
                <w:highlight w:val="yellow"/>
              </w:rPr>
            </w:pPr>
            <w:r w:rsidRPr="00107F3F">
              <w:rPr>
                <w:rFonts w:eastAsia="Times New Roman"/>
                <w:color w:val="000000"/>
                <w:sz w:val="20"/>
                <w:szCs w:val="20"/>
                <w:highlight w:val="yellow"/>
                <w:lang w:eastAsia="en-AU"/>
              </w:rPr>
              <w:t xml:space="preserve">Small Pyramids </w:t>
            </w:r>
          </w:p>
        </w:tc>
        <w:tc>
          <w:tcPr>
            <w:tcW w:w="1786" w:type="dxa"/>
            <w:tcBorders>
              <w:top w:val="nil"/>
              <w:left w:val="nil"/>
              <w:bottom w:val="single" w:sz="4" w:space="0" w:color="auto"/>
              <w:right w:val="single" w:sz="4" w:space="0" w:color="auto"/>
            </w:tcBorders>
            <w:shd w:val="clear" w:color="auto" w:fill="auto"/>
            <w:noWrap/>
            <w:vAlign w:val="bottom"/>
          </w:tcPr>
          <w:p w:rsidR="00107F3F" w:rsidRPr="00107F3F" w:rsidRDefault="00107F3F" w:rsidP="00107F3F">
            <w:pPr>
              <w:jc w:val="center"/>
              <w:rPr>
                <w:color w:val="000000"/>
                <w:sz w:val="20"/>
                <w:highlight w:val="yellow"/>
              </w:rPr>
            </w:pPr>
            <w:r w:rsidRPr="00107F3F">
              <w:rPr>
                <w:rFonts w:eastAsia="Times New Roman"/>
                <w:color w:val="000000"/>
                <w:sz w:val="20"/>
                <w:szCs w:val="20"/>
                <w:highlight w:val="yellow"/>
                <w:lang w:eastAsia="en-AU"/>
              </w:rPr>
              <w:t> </w:t>
            </w:r>
          </w:p>
        </w:tc>
        <w:tc>
          <w:tcPr>
            <w:tcW w:w="1768" w:type="dxa"/>
            <w:tcBorders>
              <w:top w:val="nil"/>
              <w:left w:val="nil"/>
              <w:bottom w:val="single" w:sz="4" w:space="0" w:color="auto"/>
              <w:right w:val="single" w:sz="4" w:space="0" w:color="auto"/>
            </w:tcBorders>
            <w:shd w:val="clear" w:color="auto" w:fill="auto"/>
            <w:noWrap/>
            <w:vAlign w:val="bottom"/>
          </w:tcPr>
          <w:p w:rsidR="00107F3F" w:rsidRPr="00107F3F" w:rsidRDefault="00107F3F" w:rsidP="00107F3F">
            <w:pPr>
              <w:jc w:val="center"/>
              <w:rPr>
                <w:color w:val="000000"/>
                <w:sz w:val="20"/>
                <w:highlight w:val="yellow"/>
              </w:rPr>
            </w:pPr>
            <w:r w:rsidRPr="00107F3F">
              <w:rPr>
                <w:rFonts w:eastAsia="Times New Roman"/>
                <w:color w:val="000000"/>
                <w:sz w:val="20"/>
                <w:szCs w:val="20"/>
                <w:highlight w:val="yellow"/>
                <w:lang w:eastAsia="en-AU"/>
              </w:rPr>
              <w:t> </w:t>
            </w:r>
          </w:p>
        </w:tc>
        <w:tc>
          <w:tcPr>
            <w:tcW w:w="780" w:type="dxa"/>
          </w:tcPr>
          <w:p w:rsidR="00654F9A" w:rsidRPr="001503A8" w:rsidRDefault="00654F9A" w:rsidP="001503A8">
            <w:pPr>
              <w:jc w:val="center"/>
              <w:rPr>
                <w:rFonts w:asciiTheme="majorHAnsi" w:hAnsiTheme="majorHAnsi"/>
                <w:sz w:val="20"/>
              </w:rPr>
            </w:pPr>
          </w:p>
        </w:tc>
      </w:tr>
      <w:tr w:rsidR="00ED42F1" w:rsidRPr="00217464">
        <w:trPr>
          <w:trHeight w:val="402"/>
          <w:jc w:val="center"/>
        </w:trPr>
        <w:tc>
          <w:tcPr>
            <w:tcW w:w="1006" w:type="dxa"/>
            <w:tcBorders>
              <w:top w:val="nil"/>
              <w:left w:val="single" w:sz="4" w:space="0" w:color="auto"/>
              <w:bottom w:val="single" w:sz="4" w:space="0" w:color="auto"/>
              <w:right w:val="single" w:sz="4" w:space="0" w:color="auto"/>
            </w:tcBorders>
            <w:shd w:val="clear" w:color="auto" w:fill="auto"/>
            <w:noWrap/>
            <w:vAlign w:val="bottom"/>
          </w:tcPr>
          <w:p w:rsidR="00EA4A72" w:rsidRPr="00EA4A72" w:rsidRDefault="00107F3F" w:rsidP="00EA4A72">
            <w:pPr>
              <w:jc w:val="center"/>
              <w:rPr>
                <w:color w:val="000000"/>
                <w:highlight w:val="yellow"/>
              </w:rPr>
            </w:pPr>
            <w:r w:rsidRPr="00107F3F">
              <w:rPr>
                <w:rFonts w:eastAsia="Times New Roman"/>
                <w:color w:val="000000"/>
                <w:highlight w:val="yellow"/>
                <w:lang w:eastAsia="en-AU"/>
              </w:rPr>
              <w:t>E</w:t>
            </w:r>
          </w:p>
        </w:tc>
        <w:tc>
          <w:tcPr>
            <w:tcW w:w="2077" w:type="dxa"/>
            <w:tcBorders>
              <w:top w:val="nil"/>
              <w:left w:val="nil"/>
              <w:bottom w:val="single" w:sz="4" w:space="0" w:color="auto"/>
              <w:right w:val="single" w:sz="4" w:space="0" w:color="auto"/>
            </w:tcBorders>
            <w:shd w:val="clear" w:color="auto" w:fill="auto"/>
            <w:noWrap/>
            <w:vAlign w:val="bottom"/>
          </w:tcPr>
          <w:p w:rsidR="00107F3F" w:rsidRPr="00C579F6" w:rsidRDefault="00107F3F" w:rsidP="00107F3F">
            <w:pPr>
              <w:jc w:val="center"/>
              <w:rPr>
                <w:color w:val="000000"/>
                <w:sz w:val="20"/>
              </w:rPr>
            </w:pPr>
            <w:r w:rsidRPr="00107F3F">
              <w:rPr>
                <w:rFonts w:eastAsia="Times New Roman"/>
                <w:color w:val="000000"/>
                <w:sz w:val="20"/>
                <w:szCs w:val="20"/>
                <w:highlight w:val="yellow"/>
                <w:lang w:eastAsia="en-AU"/>
              </w:rPr>
              <w:t>Balance</w:t>
            </w:r>
            <w:r w:rsidRPr="00C579F6">
              <w:rPr>
                <w:rFonts w:eastAsia="Times New Roman"/>
                <w:color w:val="000000"/>
                <w:sz w:val="20"/>
                <w:szCs w:val="20"/>
                <w:lang w:eastAsia="en-AU"/>
              </w:rPr>
              <w:t xml:space="preserve"> </w:t>
            </w:r>
          </w:p>
        </w:tc>
        <w:tc>
          <w:tcPr>
            <w:tcW w:w="2128" w:type="dxa"/>
            <w:tcBorders>
              <w:top w:val="nil"/>
              <w:left w:val="nil"/>
              <w:bottom w:val="single" w:sz="4" w:space="0" w:color="auto"/>
              <w:right w:val="single" w:sz="4" w:space="0" w:color="auto"/>
            </w:tcBorders>
            <w:shd w:val="clear" w:color="auto" w:fill="auto"/>
            <w:noWrap/>
            <w:vAlign w:val="bottom"/>
          </w:tcPr>
          <w:p w:rsidR="00107F3F" w:rsidRPr="00C579F6" w:rsidRDefault="00107F3F" w:rsidP="00107F3F">
            <w:pPr>
              <w:jc w:val="center"/>
              <w:rPr>
                <w:color w:val="000000"/>
                <w:sz w:val="20"/>
              </w:rPr>
            </w:pPr>
            <w:r w:rsidRPr="00C579F6">
              <w:rPr>
                <w:rFonts w:eastAsia="Times New Roman"/>
                <w:color w:val="000000"/>
                <w:sz w:val="20"/>
                <w:szCs w:val="20"/>
                <w:lang w:eastAsia="en-AU"/>
              </w:rPr>
              <w:t> </w:t>
            </w:r>
          </w:p>
        </w:tc>
        <w:tc>
          <w:tcPr>
            <w:tcW w:w="1786" w:type="dxa"/>
            <w:tcBorders>
              <w:top w:val="nil"/>
              <w:left w:val="nil"/>
              <w:bottom w:val="single" w:sz="4" w:space="0" w:color="auto"/>
              <w:right w:val="single" w:sz="4" w:space="0" w:color="auto"/>
            </w:tcBorders>
            <w:shd w:val="clear" w:color="auto" w:fill="auto"/>
            <w:noWrap/>
            <w:vAlign w:val="bottom"/>
          </w:tcPr>
          <w:p w:rsidR="00107F3F" w:rsidRPr="00C579F6" w:rsidRDefault="00107F3F" w:rsidP="00107F3F">
            <w:pPr>
              <w:jc w:val="center"/>
              <w:rPr>
                <w:color w:val="000000"/>
                <w:sz w:val="20"/>
              </w:rPr>
            </w:pPr>
            <w:r w:rsidRPr="00C579F6">
              <w:rPr>
                <w:rFonts w:eastAsia="Times New Roman"/>
                <w:color w:val="000000"/>
                <w:sz w:val="20"/>
                <w:szCs w:val="20"/>
                <w:lang w:eastAsia="en-AU"/>
              </w:rPr>
              <w:t> </w:t>
            </w:r>
          </w:p>
        </w:tc>
        <w:tc>
          <w:tcPr>
            <w:tcW w:w="1768" w:type="dxa"/>
            <w:tcBorders>
              <w:top w:val="nil"/>
              <w:left w:val="nil"/>
              <w:bottom w:val="single" w:sz="4" w:space="0" w:color="auto"/>
              <w:right w:val="single" w:sz="4" w:space="0" w:color="auto"/>
            </w:tcBorders>
            <w:shd w:val="clear" w:color="auto" w:fill="auto"/>
            <w:noWrap/>
            <w:vAlign w:val="bottom"/>
          </w:tcPr>
          <w:p w:rsidR="00107F3F" w:rsidRPr="00C579F6" w:rsidRDefault="00107F3F" w:rsidP="00107F3F">
            <w:pPr>
              <w:jc w:val="center"/>
              <w:rPr>
                <w:color w:val="000000"/>
                <w:sz w:val="20"/>
              </w:rPr>
            </w:pPr>
            <w:r w:rsidRPr="00C579F6">
              <w:rPr>
                <w:rFonts w:eastAsia="Times New Roman"/>
                <w:color w:val="000000"/>
                <w:sz w:val="20"/>
                <w:szCs w:val="20"/>
                <w:lang w:eastAsia="en-AU"/>
              </w:rPr>
              <w:t> </w:t>
            </w:r>
          </w:p>
        </w:tc>
        <w:tc>
          <w:tcPr>
            <w:tcW w:w="780" w:type="dxa"/>
          </w:tcPr>
          <w:p w:rsidR="00654F9A" w:rsidRPr="001503A8" w:rsidRDefault="00654F9A" w:rsidP="001503A8">
            <w:pPr>
              <w:jc w:val="center"/>
              <w:rPr>
                <w:rFonts w:asciiTheme="majorHAnsi" w:hAnsiTheme="majorHAnsi"/>
                <w:sz w:val="20"/>
              </w:rPr>
            </w:pPr>
          </w:p>
        </w:tc>
      </w:tr>
    </w:tbl>
    <w:p w:rsidR="006E2FDC" w:rsidRDefault="006E2FDC" w:rsidP="009C305E"/>
    <w:p w:rsidR="005640DB" w:rsidRDefault="005640DB" w:rsidP="009C305E"/>
    <w:p w:rsidR="00897093" w:rsidRPr="00266EB1" w:rsidRDefault="00897093" w:rsidP="00897093">
      <w:pPr>
        <w:rPr>
          <w:b/>
        </w:rPr>
      </w:pPr>
      <w:r w:rsidRPr="009D3527">
        <w:rPr>
          <w:b/>
        </w:rPr>
        <w:t>Table 2: Collaborative Problem Solving Task Strand</w:t>
      </w:r>
    </w:p>
    <w:p w:rsidR="00897093" w:rsidRDefault="00897093" w:rsidP="00897093">
      <w:r w:rsidRPr="00D8473F">
        <w:rPr>
          <w:noProof/>
        </w:rPr>
        <w:lastRenderedPageBreak/>
        <w:drawing>
          <wp:inline distT="0" distB="0" distL="0" distR="0">
            <wp:extent cx="3860800" cy="2743200"/>
            <wp:effectExtent l="2540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860800" cy="2743200"/>
                    </a:xfrm>
                    <a:prstGeom prst="rect">
                      <a:avLst/>
                    </a:prstGeom>
                    <a:noFill/>
                    <a:ln w="9525">
                      <a:noFill/>
                      <a:miter lim="800000"/>
                      <a:headEnd/>
                      <a:tailEnd/>
                    </a:ln>
                  </pic:spPr>
                </pic:pic>
              </a:graphicData>
            </a:graphic>
          </wp:inline>
        </w:drawing>
      </w:r>
    </w:p>
    <w:p w:rsidR="00813461" w:rsidRDefault="00813461" w:rsidP="009C305E"/>
    <w:p w:rsidR="00F020B6" w:rsidRDefault="00F020B6" w:rsidP="009C305E"/>
    <w:p w:rsidR="0013786F" w:rsidRPr="003774F0" w:rsidRDefault="009C305E" w:rsidP="00A70C67">
      <w:pPr>
        <w:rPr>
          <w:highlight w:val="yellow"/>
        </w:rPr>
      </w:pPr>
      <w:r>
        <w:t>During the field</w:t>
      </w:r>
      <w:r w:rsidR="00742BDC">
        <w:t xml:space="preserve"> trials</w:t>
      </w:r>
      <w:r>
        <w:t>, the administration of the tasks will be fully automated, and should not require teacher input apart from their fulfilling a supervisory role during the administration</w:t>
      </w:r>
      <w:r w:rsidR="00BF334C">
        <w:t xml:space="preserve">. </w:t>
      </w:r>
      <w:r>
        <w:t xml:space="preserve"> A web-based delivery system will deliver the assessment</w:t>
      </w:r>
      <w:r w:rsidR="00313B75">
        <w:t>s</w:t>
      </w:r>
      <w:r>
        <w:t xml:space="preserve">. Training of teachers will be conducted online using webinar software so that the contractor can walk the teachers through the </w:t>
      </w:r>
      <w:r w:rsidRPr="00EE72F1">
        <w:t xml:space="preserve">administration process. </w:t>
      </w:r>
      <w:r w:rsidR="00313B75" w:rsidRPr="00EE72F1">
        <w:t xml:space="preserve">Prior to the training session, teachers will receive the </w:t>
      </w:r>
      <w:r w:rsidR="00EA4A72" w:rsidRPr="00EA4A72">
        <w:rPr>
          <w:highlight w:val="yellow"/>
        </w:rPr>
        <w:t xml:space="preserve">Collaborative Problem Solving Administration Manual (Appendix </w:t>
      </w:r>
      <w:r w:rsidR="00EA4A72" w:rsidRPr="00B73119">
        <w:rPr>
          <w:highlight w:val="yellow"/>
        </w:rPr>
        <w:t>A</w:t>
      </w:r>
      <w:r w:rsidR="005D7B10" w:rsidRPr="00B73119">
        <w:rPr>
          <w:highlight w:val="yellow"/>
        </w:rPr>
        <w:t xml:space="preserve">, pages </w:t>
      </w:r>
      <w:r w:rsidR="00895832" w:rsidRPr="00B73119">
        <w:rPr>
          <w:highlight w:val="yellow"/>
        </w:rPr>
        <w:t>2</w:t>
      </w:r>
      <w:r w:rsidR="005D7B10" w:rsidRPr="00B73119">
        <w:rPr>
          <w:highlight w:val="yellow"/>
        </w:rPr>
        <w:t xml:space="preserve"> to </w:t>
      </w:r>
      <w:r w:rsidR="00895832" w:rsidRPr="00B73119">
        <w:rPr>
          <w:highlight w:val="yellow"/>
        </w:rPr>
        <w:t>9</w:t>
      </w:r>
      <w:r w:rsidR="00F8194D" w:rsidRPr="00B73119">
        <w:rPr>
          <w:highlight w:val="yellow"/>
        </w:rPr>
        <w:t>)</w:t>
      </w:r>
      <w:r w:rsidR="00313B75" w:rsidRPr="00B73119">
        <w:rPr>
          <w:highlight w:val="yellow"/>
        </w:rPr>
        <w:t xml:space="preserve"> </w:t>
      </w:r>
      <w:r w:rsidR="0013786F" w:rsidRPr="00B73119">
        <w:rPr>
          <w:highlight w:val="yellow"/>
        </w:rPr>
        <w:t xml:space="preserve">and the </w:t>
      </w:r>
      <w:r w:rsidR="00B37B99" w:rsidRPr="00B73119">
        <w:rPr>
          <w:highlight w:val="yellow"/>
        </w:rPr>
        <w:t>n</w:t>
      </w:r>
      <w:r w:rsidR="00813461" w:rsidRPr="00B73119">
        <w:rPr>
          <w:highlight w:val="yellow"/>
        </w:rPr>
        <w:t xml:space="preserve">ew </w:t>
      </w:r>
      <w:r w:rsidR="0013786F" w:rsidRPr="00B73119">
        <w:rPr>
          <w:highlight w:val="yellow"/>
        </w:rPr>
        <w:t xml:space="preserve">CPS Practice Task Guide </w:t>
      </w:r>
      <w:r w:rsidR="00313B75" w:rsidRPr="00B73119">
        <w:rPr>
          <w:highlight w:val="yellow"/>
        </w:rPr>
        <w:t>(Appendix A</w:t>
      </w:r>
      <w:r w:rsidR="00813461" w:rsidRPr="00B73119">
        <w:rPr>
          <w:highlight w:val="yellow"/>
        </w:rPr>
        <w:t xml:space="preserve">, </w:t>
      </w:r>
      <w:r w:rsidR="00D57DCE" w:rsidRPr="00B73119">
        <w:rPr>
          <w:highlight w:val="yellow"/>
        </w:rPr>
        <w:t xml:space="preserve">pages </w:t>
      </w:r>
      <w:r w:rsidR="00895832" w:rsidRPr="00B73119">
        <w:rPr>
          <w:highlight w:val="yellow"/>
        </w:rPr>
        <w:t>10</w:t>
      </w:r>
      <w:r w:rsidR="00D57DCE" w:rsidRPr="00B73119">
        <w:rPr>
          <w:highlight w:val="yellow"/>
        </w:rPr>
        <w:t>-</w:t>
      </w:r>
      <w:r w:rsidR="00895832" w:rsidRPr="00B73119">
        <w:rPr>
          <w:highlight w:val="yellow"/>
        </w:rPr>
        <w:t>13</w:t>
      </w:r>
      <w:r w:rsidR="00313B75" w:rsidRPr="00B73119">
        <w:rPr>
          <w:highlight w:val="yellow"/>
        </w:rPr>
        <w:t>).</w:t>
      </w:r>
      <w:r w:rsidR="00EA4A72" w:rsidRPr="00B73119">
        <w:rPr>
          <w:highlight w:val="yellow"/>
        </w:rPr>
        <w:t xml:space="preserve"> Teachers will reserve school computer rooms for the administration</w:t>
      </w:r>
      <w:r w:rsidR="00574594" w:rsidRPr="00B73119">
        <w:rPr>
          <w:highlight w:val="yellow"/>
        </w:rPr>
        <w:t xml:space="preserve"> and</w:t>
      </w:r>
      <w:r w:rsidRPr="00B73119">
        <w:rPr>
          <w:highlight w:val="yellow"/>
        </w:rPr>
        <w:t xml:space="preserve"> </w:t>
      </w:r>
      <w:r w:rsidR="0013786F" w:rsidRPr="00B73119">
        <w:rPr>
          <w:highlight w:val="yellow"/>
        </w:rPr>
        <w:t xml:space="preserve">check all student computers to ensure </w:t>
      </w:r>
      <w:r w:rsidR="009D3527">
        <w:rPr>
          <w:highlight w:val="yellow"/>
        </w:rPr>
        <w:t xml:space="preserve">that </w:t>
      </w:r>
      <w:r w:rsidR="0013786F" w:rsidRPr="00B73119">
        <w:rPr>
          <w:highlight w:val="yellow"/>
        </w:rPr>
        <w:t>th</w:t>
      </w:r>
      <w:r w:rsidR="0013786F" w:rsidRPr="00F8194D">
        <w:rPr>
          <w:highlight w:val="yellow"/>
        </w:rPr>
        <w:t>ey meet technical requirements. Teache</w:t>
      </w:r>
      <w:r w:rsidR="0013786F" w:rsidRPr="0013786F">
        <w:rPr>
          <w:highlight w:val="yellow"/>
        </w:rPr>
        <w:t>rs will also need to check each student</w:t>
      </w:r>
      <w:r w:rsidR="00EA4A72" w:rsidRPr="00EA4A72">
        <w:rPr>
          <w:highlight w:val="yellow"/>
        </w:rPr>
        <w:t xml:space="preserve"> computer to ensure that </w:t>
      </w:r>
      <w:r w:rsidR="0013786F" w:rsidRPr="0013786F">
        <w:rPr>
          <w:highlight w:val="yellow"/>
        </w:rPr>
        <w:t>they can access the assessment web site</w:t>
      </w:r>
      <w:r w:rsidR="0013786F" w:rsidRPr="009D3527">
        <w:rPr>
          <w:highlight w:val="yellow"/>
        </w:rPr>
        <w:t>. T</w:t>
      </w:r>
      <w:r w:rsidR="0013786F" w:rsidRPr="003774F0">
        <w:rPr>
          <w:highlight w:val="yellow"/>
        </w:rPr>
        <w:t>he University of Melbourne will assign student logins and passwords</w:t>
      </w:r>
      <w:r w:rsidR="00EA4A72" w:rsidRPr="00EA4A72">
        <w:rPr>
          <w:highlight w:val="yellow"/>
        </w:rPr>
        <w:t xml:space="preserve"> for </w:t>
      </w:r>
      <w:r w:rsidR="0013786F" w:rsidRPr="003774F0">
        <w:rPr>
          <w:highlight w:val="yellow"/>
        </w:rPr>
        <w:t>each student</w:t>
      </w:r>
      <w:r w:rsidR="001374EB">
        <w:rPr>
          <w:highlight w:val="yellow"/>
        </w:rPr>
        <w:t xml:space="preserve"> for </w:t>
      </w:r>
      <w:r w:rsidR="00EA4A72" w:rsidRPr="00EA4A72">
        <w:rPr>
          <w:highlight w:val="yellow"/>
        </w:rPr>
        <w:t>administration</w:t>
      </w:r>
      <w:r w:rsidR="001374EB">
        <w:rPr>
          <w:highlight w:val="yellow"/>
        </w:rPr>
        <w:t xml:space="preserve"> of the CPS tasks</w:t>
      </w:r>
      <w:r w:rsidR="0013786F" w:rsidRPr="003774F0">
        <w:rPr>
          <w:highlight w:val="yellow"/>
        </w:rPr>
        <w:t>. The</w:t>
      </w:r>
      <w:r w:rsidR="00EA4A72" w:rsidRPr="00EA4A72">
        <w:rPr>
          <w:highlight w:val="yellow"/>
        </w:rPr>
        <w:t xml:space="preserve"> logins are </w:t>
      </w:r>
      <w:r w:rsidR="0013786F" w:rsidRPr="003774F0">
        <w:rPr>
          <w:highlight w:val="yellow"/>
        </w:rPr>
        <w:t xml:space="preserve">provided in a class roster </w:t>
      </w:r>
      <w:r w:rsidR="001374EB">
        <w:rPr>
          <w:highlight w:val="yellow"/>
        </w:rPr>
        <w:t>(</w:t>
      </w:r>
      <w:r w:rsidR="009D3527">
        <w:rPr>
          <w:highlight w:val="yellow"/>
        </w:rPr>
        <w:t>c</w:t>
      </w:r>
      <w:r w:rsidR="001374EB">
        <w:rPr>
          <w:highlight w:val="yellow"/>
        </w:rPr>
        <w:t xml:space="preserve">lass rosters were not required for </w:t>
      </w:r>
      <w:r w:rsidR="00EA4A72" w:rsidRPr="00EA4A72">
        <w:rPr>
          <w:highlight w:val="yellow"/>
        </w:rPr>
        <w:t>administration</w:t>
      </w:r>
      <w:r w:rsidR="001374EB">
        <w:rPr>
          <w:highlight w:val="yellow"/>
        </w:rPr>
        <w:t xml:space="preserve"> of the ICT tasks.) </w:t>
      </w:r>
      <w:r w:rsidR="0013786F" w:rsidRPr="003774F0">
        <w:rPr>
          <w:highlight w:val="yellow"/>
        </w:rPr>
        <w:t>Teachers will need to assign</w:t>
      </w:r>
      <w:r w:rsidR="00EA4A72" w:rsidRPr="00EA4A72">
        <w:rPr>
          <w:highlight w:val="yellow"/>
        </w:rPr>
        <w:t xml:space="preserve"> students </w:t>
      </w:r>
      <w:r w:rsidR="0013786F" w:rsidRPr="003774F0">
        <w:rPr>
          <w:highlight w:val="yellow"/>
        </w:rPr>
        <w:t xml:space="preserve">to individual logins and complete the information on the roster. Table </w:t>
      </w:r>
      <w:r w:rsidR="009D3527">
        <w:rPr>
          <w:highlight w:val="yellow"/>
        </w:rPr>
        <w:t>3</w:t>
      </w:r>
      <w:r w:rsidR="0013786F" w:rsidRPr="003774F0">
        <w:rPr>
          <w:highlight w:val="yellow"/>
        </w:rPr>
        <w:t xml:space="preserve"> below shows the student logins in a class roster.</w:t>
      </w:r>
      <w:r w:rsidR="003774F0">
        <w:rPr>
          <w:highlight w:val="yellow"/>
        </w:rPr>
        <w:t xml:space="preserve"> Teachers will enter student names for each login, cut along horizontal lines and distribute </w:t>
      </w:r>
      <w:r w:rsidR="00B31103">
        <w:rPr>
          <w:highlight w:val="yellow"/>
        </w:rPr>
        <w:t xml:space="preserve">strips with logins </w:t>
      </w:r>
      <w:r w:rsidR="003774F0">
        <w:rPr>
          <w:highlight w:val="yellow"/>
        </w:rPr>
        <w:t>to</w:t>
      </w:r>
      <w:r w:rsidR="00EA4A72" w:rsidRPr="00EA4A72">
        <w:rPr>
          <w:highlight w:val="yellow"/>
        </w:rPr>
        <w:t xml:space="preserve"> students</w:t>
      </w:r>
      <w:r w:rsidR="003774F0">
        <w:rPr>
          <w:highlight w:val="yellow"/>
        </w:rPr>
        <w:t>.</w:t>
      </w:r>
    </w:p>
    <w:p w:rsidR="0013786F" w:rsidRPr="003774F0" w:rsidRDefault="0013786F" w:rsidP="00A70C67">
      <w:pPr>
        <w:rPr>
          <w:highlight w:val="yellow"/>
        </w:rPr>
      </w:pPr>
    </w:p>
    <w:p w:rsidR="0013786F" w:rsidRPr="003774F0" w:rsidRDefault="009D3527" w:rsidP="00A70C67">
      <w:pPr>
        <w:rPr>
          <w:b/>
          <w:highlight w:val="yellow"/>
        </w:rPr>
      </w:pPr>
      <w:r>
        <w:rPr>
          <w:b/>
          <w:highlight w:val="yellow"/>
        </w:rPr>
        <w:br w:type="page"/>
      </w:r>
      <w:r w:rsidR="0013786F" w:rsidRPr="003774F0">
        <w:rPr>
          <w:b/>
          <w:highlight w:val="yellow"/>
        </w:rPr>
        <w:lastRenderedPageBreak/>
        <w:t xml:space="preserve">Table </w:t>
      </w:r>
      <w:r w:rsidR="00813461">
        <w:rPr>
          <w:b/>
          <w:highlight w:val="yellow"/>
        </w:rPr>
        <w:t>3</w:t>
      </w:r>
      <w:r w:rsidR="0013786F" w:rsidRPr="003774F0">
        <w:rPr>
          <w:b/>
          <w:highlight w:val="yellow"/>
        </w:rPr>
        <w:t>: Student Logins in a Class Roster</w:t>
      </w:r>
    </w:p>
    <w:p w:rsidR="003774F0" w:rsidRPr="003774F0" w:rsidRDefault="003774F0" w:rsidP="00A70C67">
      <w:pPr>
        <w:rPr>
          <w:b/>
          <w:highlight w:val="yellow"/>
        </w:rPr>
      </w:pPr>
    </w:p>
    <w:p w:rsidR="0013786F" w:rsidRDefault="006E0955" w:rsidP="00A70C67">
      <w:pPr>
        <w:rPr>
          <w:b/>
        </w:rPr>
      </w:pPr>
      <w:r>
        <w:rPr>
          <w:b/>
          <w:noProof/>
          <w:highlight w:val="yellow"/>
        </w:rPr>
        <w:drawing>
          <wp:inline distT="0" distB="0" distL="0" distR="0">
            <wp:extent cx="6108481" cy="3691122"/>
            <wp:effectExtent l="19050" t="0" r="656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106830" cy="3690124"/>
                    </a:xfrm>
                    <a:prstGeom prst="rect">
                      <a:avLst/>
                    </a:prstGeom>
                    <a:noFill/>
                    <a:ln w="9525">
                      <a:noFill/>
                      <a:miter lim="800000"/>
                      <a:headEnd/>
                      <a:tailEnd/>
                    </a:ln>
                  </pic:spPr>
                </pic:pic>
              </a:graphicData>
            </a:graphic>
          </wp:inline>
        </w:drawing>
      </w:r>
    </w:p>
    <w:p w:rsidR="0013786F" w:rsidRDefault="0013786F" w:rsidP="00A70C67">
      <w:pPr>
        <w:rPr>
          <w:b/>
        </w:rPr>
      </w:pPr>
    </w:p>
    <w:p w:rsidR="0013786F" w:rsidRDefault="0013786F" w:rsidP="00A70C67">
      <w:pPr>
        <w:rPr>
          <w:b/>
        </w:rPr>
      </w:pPr>
    </w:p>
    <w:p w:rsidR="00C1686A" w:rsidRDefault="00B31103" w:rsidP="00C60ECD">
      <w:r w:rsidRPr="00B73119">
        <w:t xml:space="preserve">We </w:t>
      </w:r>
      <w:r w:rsidR="00A94DA5" w:rsidRPr="00B73119">
        <w:t>estimate that</w:t>
      </w:r>
      <w:r w:rsidR="00574594" w:rsidRPr="00B73119">
        <w:t xml:space="preserve"> 25 students per each of the </w:t>
      </w:r>
      <w:r w:rsidR="00A70C67" w:rsidRPr="00B73119">
        <w:t xml:space="preserve">21 </w:t>
      </w:r>
      <w:r w:rsidR="00574594" w:rsidRPr="00B73119">
        <w:t>teachers</w:t>
      </w:r>
      <w:r w:rsidR="00CB67BC" w:rsidRPr="00B73119">
        <w:t xml:space="preserve"> </w:t>
      </w:r>
      <w:r w:rsidR="00574594" w:rsidRPr="00B73119">
        <w:t xml:space="preserve">(total </w:t>
      </w:r>
      <w:r w:rsidR="00A70C67" w:rsidRPr="00B73119">
        <w:t xml:space="preserve">525 </w:t>
      </w:r>
      <w:r w:rsidR="00574594" w:rsidRPr="00B73119">
        <w:t xml:space="preserve">students) </w:t>
      </w:r>
      <w:r w:rsidR="00A94DA5" w:rsidRPr="00B73119">
        <w:t>will</w:t>
      </w:r>
      <w:r w:rsidR="00CB67BC" w:rsidRPr="00B73119">
        <w:t xml:space="preserve"> take the</w:t>
      </w:r>
      <w:r w:rsidRPr="00B73119">
        <w:t xml:space="preserve"> assessments. </w:t>
      </w:r>
      <w:r w:rsidR="00CB67BC">
        <w:t xml:space="preserve">Student responses will be recorded and stored electronically for analysis of the whole data set. </w:t>
      </w:r>
    </w:p>
    <w:p w:rsidR="00C1686A" w:rsidRDefault="00C1686A" w:rsidP="00C60ECD"/>
    <w:p w:rsidR="009C3505" w:rsidRPr="001B154C" w:rsidRDefault="00CB67BC" w:rsidP="00C60ECD">
      <w:r w:rsidRPr="00B73119">
        <w:t xml:space="preserve">Teachers will </w:t>
      </w:r>
      <w:r w:rsidR="00574594" w:rsidRPr="00B73119">
        <w:t>receive</w:t>
      </w:r>
      <w:r w:rsidRPr="00B73119">
        <w:t xml:space="preserve"> $200</w:t>
      </w:r>
      <w:r w:rsidR="00D544F2" w:rsidRPr="00B73119">
        <w:t xml:space="preserve"> incentive</w:t>
      </w:r>
      <w:r w:rsidRPr="00B73119">
        <w:t xml:space="preserve"> for</w:t>
      </w:r>
      <w:r w:rsidR="00890970" w:rsidRPr="00B73119">
        <w:t>:</w:t>
      </w:r>
      <w:r w:rsidRPr="00B73119">
        <w:t xml:space="preserve"> </w:t>
      </w:r>
      <w:r w:rsidR="00890970" w:rsidRPr="00B73119">
        <w:t xml:space="preserve">participating in a training session; </w:t>
      </w:r>
      <w:r w:rsidR="00890970" w:rsidRPr="00890970">
        <w:rPr>
          <w:highlight w:val="yellow"/>
        </w:rPr>
        <w:t>conducting accessibility checks of classroom computers to ensure each computer meets technical requirements; completing rosters for class logins</w:t>
      </w:r>
      <w:r w:rsidR="00B73119">
        <w:rPr>
          <w:highlight w:val="yellow"/>
        </w:rPr>
        <w:t>;</w:t>
      </w:r>
      <w:r w:rsidR="00890970" w:rsidRPr="00890970">
        <w:rPr>
          <w:highlight w:val="yellow"/>
        </w:rPr>
        <w:t xml:space="preserve"> administering</w:t>
      </w:r>
      <w:r w:rsidR="005C7E37">
        <w:rPr>
          <w:highlight w:val="yellow"/>
        </w:rPr>
        <w:t xml:space="preserve"> the</w:t>
      </w:r>
      <w:r w:rsidR="00890970" w:rsidRPr="00890970">
        <w:rPr>
          <w:highlight w:val="yellow"/>
        </w:rPr>
        <w:t xml:space="preserve"> practice task, CPS assessments, and surveys</w:t>
      </w:r>
      <w:r w:rsidR="00B73119">
        <w:rPr>
          <w:highlight w:val="yellow"/>
        </w:rPr>
        <w:t>;</w:t>
      </w:r>
      <w:r w:rsidR="00890970" w:rsidRPr="00890970">
        <w:rPr>
          <w:highlight w:val="yellow"/>
        </w:rPr>
        <w:t xml:space="preserve"> and fulfilling the role of school coordinator</w:t>
      </w:r>
      <w:r w:rsidR="00C1686A" w:rsidRPr="00B73119">
        <w:t xml:space="preserve">. </w:t>
      </w:r>
      <w:r w:rsidR="00E937BB" w:rsidRPr="00B73119">
        <w:t>The $200.00 teacher incentive was approved in the OMB package (OMB# 1850-0803 v.49</w:t>
      </w:r>
      <w:r w:rsidR="00E937BB" w:rsidRPr="00B73119">
        <w:rPr>
          <w:rFonts w:eastAsia="Calibri" w:cs="Helvetica"/>
          <w:szCs w:val="22"/>
        </w:rPr>
        <w:t>) on May 25, 2011 as part of the recruitment materials and activities.</w:t>
      </w:r>
    </w:p>
    <w:p w:rsidR="00C1686A" w:rsidRDefault="00C1686A" w:rsidP="00C60ECD">
      <w:pPr>
        <w:rPr>
          <w:b/>
        </w:rPr>
      </w:pPr>
    </w:p>
    <w:p w:rsidR="00EE72F1" w:rsidRDefault="00301394" w:rsidP="00C60ECD">
      <w:pPr>
        <w:rPr>
          <w:b/>
        </w:rPr>
      </w:pPr>
      <w:r w:rsidRPr="00301394">
        <w:rPr>
          <w:b/>
        </w:rPr>
        <w:t xml:space="preserve">Overview of the </w:t>
      </w:r>
      <w:r w:rsidR="00EA4A72" w:rsidRPr="00EA4A72">
        <w:rPr>
          <w:b/>
        </w:rPr>
        <w:t>Collaborative Problem Solving Tasks</w:t>
      </w:r>
    </w:p>
    <w:p w:rsidR="0018139A" w:rsidRPr="009C1140" w:rsidRDefault="0018139A" w:rsidP="00FA6E30">
      <w:pPr>
        <w:rPr>
          <w:i/>
          <w:highlight w:val="yellow"/>
        </w:rPr>
      </w:pPr>
    </w:p>
    <w:p w:rsidR="0031081F" w:rsidRDefault="00187429" w:rsidP="00FA6E30">
      <w:r w:rsidRPr="00AE49D6">
        <w:t xml:space="preserve">The Collaborative Problem Solving Skills </w:t>
      </w:r>
      <w:r w:rsidR="00EE72F1" w:rsidRPr="00AE49D6">
        <w:t xml:space="preserve">to be </w:t>
      </w:r>
      <w:r w:rsidR="001527DA" w:rsidRPr="00AE49D6">
        <w:t xml:space="preserve">administered during the field trials </w:t>
      </w:r>
      <w:r w:rsidR="00AE49D6">
        <w:t>will</w:t>
      </w:r>
      <w:r w:rsidRPr="00AE49D6">
        <w:t xml:space="preserve"> measure constructs in: (1) social skills, including participation</w:t>
      </w:r>
      <w:r w:rsidR="0031081F" w:rsidRPr="00AE49D6">
        <w:t>,</w:t>
      </w:r>
      <w:r w:rsidRPr="00AE49D6">
        <w:t xml:space="preserve"> perspective taking, and social regulation; and (2) cognitive skills, including task regulation and knowledge building.</w:t>
      </w:r>
      <w:r w:rsidR="0031081F" w:rsidRPr="00AE49D6">
        <w:t xml:space="preserve"> </w:t>
      </w:r>
      <w:r w:rsidR="004B26A7" w:rsidRPr="00AE49D6">
        <w:t xml:space="preserve">Students will work with a partner </w:t>
      </w:r>
      <w:r w:rsidR="00EF6772" w:rsidRPr="00AE49D6">
        <w:t xml:space="preserve">to solve the same problem </w:t>
      </w:r>
      <w:r w:rsidR="001527DA" w:rsidRPr="00AE49D6">
        <w:t>using</w:t>
      </w:r>
      <w:r w:rsidR="00EF6772" w:rsidRPr="00AE49D6">
        <w:t xml:space="preserve"> different pieces of information. Students must communicate via a chat space to share information to solve the problem within a designated period of time.</w:t>
      </w:r>
      <w:r w:rsidR="00EF6772">
        <w:t xml:space="preserve">  </w:t>
      </w:r>
      <w:r w:rsidR="0031081F">
        <w:t xml:space="preserve">Figures </w:t>
      </w:r>
      <w:r w:rsidR="009C3505">
        <w:t>1</w:t>
      </w:r>
      <w:r w:rsidR="0031081F">
        <w:t xml:space="preserve"> through </w:t>
      </w:r>
      <w:r w:rsidR="009C3505">
        <w:t>6</w:t>
      </w:r>
      <w:r w:rsidR="0031081F">
        <w:t xml:space="preserve"> show examples of the Collaborative Problem Solving tasks.</w:t>
      </w:r>
    </w:p>
    <w:p w:rsidR="001F659E" w:rsidRDefault="001F659E" w:rsidP="00FA6E30"/>
    <w:p w:rsidR="00A055A0" w:rsidRDefault="00C0007A" w:rsidP="00FA6E30">
      <w:r>
        <w:rPr>
          <w:noProof/>
        </w:rPr>
        <w:lastRenderedPageBreak/>
        <w:drawing>
          <wp:inline distT="0" distB="0" distL="0" distR="0">
            <wp:extent cx="4569553" cy="2560320"/>
            <wp:effectExtent l="76200" t="25400" r="104047" b="5588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3" cstate="print"/>
                    <a:srcRect/>
                    <a:stretch>
                      <a:fillRect/>
                    </a:stretch>
                  </pic:blipFill>
                  <pic:spPr bwMode="auto">
                    <a:xfrm>
                      <a:off x="0" y="0"/>
                      <a:ext cx="4569553" cy="2560320"/>
                    </a:xfrm>
                    <a:prstGeom prst="rect">
                      <a:avLst/>
                    </a:prstGeom>
                    <a:noFill/>
                    <a:ln w="9525" cmpd="sng">
                      <a:solidFill>
                        <a:schemeClr val="tx1"/>
                      </a:solidFill>
                      <a:miter lim="800000"/>
                      <a:headEnd/>
                      <a:tailEnd/>
                    </a:ln>
                    <a:effectLst>
                      <a:outerShdw blurRad="50800" dist="38100" dir="2700000">
                        <a:srgbClr val="000000">
                          <a:alpha val="43000"/>
                        </a:srgbClr>
                      </a:outerShdw>
                    </a:effectLst>
                  </pic:spPr>
                </pic:pic>
              </a:graphicData>
            </a:graphic>
          </wp:inline>
        </w:drawing>
      </w:r>
    </w:p>
    <w:p w:rsidR="00A055A0" w:rsidRDefault="00EA4A72" w:rsidP="00A055A0">
      <w:pPr>
        <w:rPr>
          <w:i/>
        </w:rPr>
      </w:pPr>
      <w:r w:rsidRPr="00EA4A72">
        <w:rPr>
          <w:i/>
          <w:highlight w:val="yellow"/>
        </w:rPr>
        <w:t xml:space="preserve">Figure </w:t>
      </w:r>
      <w:r w:rsidR="009C3505" w:rsidRPr="00C12541">
        <w:rPr>
          <w:i/>
          <w:highlight w:val="yellow"/>
        </w:rPr>
        <w:t>1</w:t>
      </w:r>
      <w:r w:rsidR="00A055A0">
        <w:rPr>
          <w:i/>
        </w:rPr>
        <w:t>: WCAL Warehouse—students collaborate on the placement of cameras to secure a warehouse</w:t>
      </w:r>
    </w:p>
    <w:p w:rsidR="00F62B55" w:rsidRDefault="00F62B55" w:rsidP="00FA6E30"/>
    <w:p w:rsidR="00F62B55" w:rsidRDefault="00F62B55" w:rsidP="00FA6E30"/>
    <w:p w:rsidR="00441EAE" w:rsidRDefault="00C0007A" w:rsidP="00FA6E30">
      <w:r>
        <w:rPr>
          <w:noProof/>
        </w:rPr>
        <w:drawing>
          <wp:inline distT="0" distB="0" distL="0" distR="0">
            <wp:extent cx="3966851" cy="2743200"/>
            <wp:effectExtent l="76200" t="25400" r="97149" b="7620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4" cstate="print"/>
                    <a:srcRect/>
                    <a:stretch>
                      <a:fillRect/>
                    </a:stretch>
                  </pic:blipFill>
                  <pic:spPr bwMode="auto">
                    <a:xfrm>
                      <a:off x="0" y="0"/>
                      <a:ext cx="3966851" cy="2743200"/>
                    </a:xfrm>
                    <a:prstGeom prst="rect">
                      <a:avLst/>
                    </a:prstGeom>
                    <a:noFill/>
                    <a:ln w="6350" cap="flat" cmpd="sng" algn="ctr">
                      <a:solidFill>
                        <a:srgbClr val="000000"/>
                      </a:solidFill>
                      <a:prstDash val="solid"/>
                      <a:miter lim="800000"/>
                      <a:headEnd type="none" w="med" len="med"/>
                      <a:tailEnd type="none" w="med" len="med"/>
                    </a:ln>
                    <a:effectLst>
                      <a:outerShdw blurRad="50800" dist="38100" dir="2700000">
                        <a:srgbClr val="000000">
                          <a:alpha val="43000"/>
                        </a:srgbClr>
                      </a:outerShdw>
                    </a:effectLst>
                  </pic:spPr>
                </pic:pic>
              </a:graphicData>
            </a:graphic>
          </wp:inline>
        </w:drawing>
      </w:r>
    </w:p>
    <w:p w:rsidR="00441EAE" w:rsidRDefault="00441EAE" w:rsidP="00FA6E30"/>
    <w:p w:rsidR="008A3004" w:rsidRDefault="00EA4A72" w:rsidP="008A3004">
      <w:pPr>
        <w:rPr>
          <w:i/>
        </w:rPr>
      </w:pPr>
      <w:r w:rsidRPr="00EA4A72">
        <w:rPr>
          <w:i/>
          <w:highlight w:val="yellow"/>
        </w:rPr>
        <w:t xml:space="preserve">Figure </w:t>
      </w:r>
      <w:r w:rsidR="009C3505" w:rsidRPr="00C12541">
        <w:rPr>
          <w:i/>
          <w:highlight w:val="yellow"/>
        </w:rPr>
        <w:t>2</w:t>
      </w:r>
      <w:r w:rsidR="008A3004">
        <w:rPr>
          <w:i/>
        </w:rPr>
        <w:t xml:space="preserve">: </w:t>
      </w:r>
      <w:proofErr w:type="spellStart"/>
      <w:r w:rsidR="008A3004">
        <w:rPr>
          <w:i/>
        </w:rPr>
        <w:t>UoM</w:t>
      </w:r>
      <w:proofErr w:type="spellEnd"/>
      <w:r w:rsidR="008A3004">
        <w:rPr>
          <w:i/>
        </w:rPr>
        <w:t xml:space="preserve"> Plant Growth—students log on to the task as partners</w:t>
      </w:r>
    </w:p>
    <w:p w:rsidR="00441EAE" w:rsidRDefault="00441EAE" w:rsidP="00FA6E30"/>
    <w:p w:rsidR="00441EAE" w:rsidRDefault="00441EAE" w:rsidP="00FA6E30"/>
    <w:p w:rsidR="00441EAE" w:rsidRDefault="00C0007A" w:rsidP="00FA6E30">
      <w:r>
        <w:rPr>
          <w:noProof/>
        </w:rPr>
        <w:lastRenderedPageBreak/>
        <w:drawing>
          <wp:inline distT="0" distB="0" distL="0" distR="0">
            <wp:extent cx="4152351" cy="2743200"/>
            <wp:effectExtent l="76200" t="25400" r="114849" b="7620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15" cstate="print"/>
                    <a:srcRect/>
                    <a:stretch>
                      <a:fillRect/>
                    </a:stretch>
                  </pic:blipFill>
                  <pic:spPr bwMode="auto">
                    <a:xfrm>
                      <a:off x="0" y="0"/>
                      <a:ext cx="4152351" cy="2743200"/>
                    </a:xfrm>
                    <a:prstGeom prst="rect">
                      <a:avLst/>
                    </a:prstGeom>
                    <a:noFill/>
                    <a:ln w="9525">
                      <a:solidFill>
                        <a:srgbClr val="000000"/>
                      </a:solidFill>
                      <a:miter lim="800000"/>
                      <a:headEnd/>
                      <a:tailEnd/>
                    </a:ln>
                    <a:effectLst>
                      <a:outerShdw blurRad="50800" dist="38100" dir="2700000">
                        <a:srgbClr val="000000">
                          <a:alpha val="43000"/>
                        </a:srgbClr>
                      </a:outerShdw>
                    </a:effectLst>
                  </pic:spPr>
                </pic:pic>
              </a:graphicData>
            </a:graphic>
          </wp:inline>
        </w:drawing>
      </w:r>
    </w:p>
    <w:p w:rsidR="00441EAE" w:rsidRDefault="00441EAE" w:rsidP="00FA6E30"/>
    <w:p w:rsidR="008A3004" w:rsidRDefault="00EA4A72" w:rsidP="008A3004">
      <w:pPr>
        <w:rPr>
          <w:i/>
        </w:rPr>
      </w:pPr>
      <w:r w:rsidRPr="00EA4A72">
        <w:rPr>
          <w:i/>
          <w:highlight w:val="yellow"/>
        </w:rPr>
        <w:t xml:space="preserve">Figure </w:t>
      </w:r>
      <w:r w:rsidR="009C3505" w:rsidRPr="00C12541">
        <w:rPr>
          <w:i/>
          <w:highlight w:val="yellow"/>
        </w:rPr>
        <w:t>3</w:t>
      </w:r>
      <w:r w:rsidR="008A3004">
        <w:rPr>
          <w:i/>
        </w:rPr>
        <w:t xml:space="preserve">: </w:t>
      </w:r>
      <w:proofErr w:type="spellStart"/>
      <w:r w:rsidR="008A3004">
        <w:rPr>
          <w:i/>
        </w:rPr>
        <w:t>UoM</w:t>
      </w:r>
      <w:proofErr w:type="spellEnd"/>
      <w:r w:rsidR="008A3004">
        <w:rPr>
          <w:i/>
        </w:rPr>
        <w:t xml:space="preserve"> Plant Growth—students collaborate on the amount of light and temperature needed for plant growth</w:t>
      </w:r>
    </w:p>
    <w:p w:rsidR="00F62B55" w:rsidRDefault="00F62B55" w:rsidP="00FA6E30"/>
    <w:p w:rsidR="00F62B55" w:rsidRDefault="00F62B55" w:rsidP="00FA6E30"/>
    <w:p w:rsidR="00441EAE" w:rsidRDefault="00C0007A" w:rsidP="00FA6E30">
      <w:r>
        <w:rPr>
          <w:noProof/>
        </w:rPr>
        <w:drawing>
          <wp:inline distT="0" distB="0" distL="0" distR="0">
            <wp:extent cx="3658807" cy="2743200"/>
            <wp:effectExtent l="76200" t="25400" r="100393" b="7620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noChangeArrowheads="1"/>
                    </pic:cNvPicPr>
                  </pic:nvPicPr>
                  <pic:blipFill>
                    <a:blip r:embed="rId16" cstate="print"/>
                    <a:srcRect/>
                    <a:stretch>
                      <a:fillRect/>
                    </a:stretch>
                  </pic:blipFill>
                  <pic:spPr bwMode="auto">
                    <a:xfrm>
                      <a:off x="0" y="0"/>
                      <a:ext cx="3658807" cy="2743200"/>
                    </a:xfrm>
                    <a:prstGeom prst="rect">
                      <a:avLst/>
                    </a:prstGeom>
                    <a:noFill/>
                    <a:ln w="9525">
                      <a:solidFill>
                        <a:srgbClr val="000000"/>
                      </a:solidFill>
                      <a:miter lim="800000"/>
                      <a:headEnd/>
                      <a:tailEnd/>
                    </a:ln>
                    <a:effectLst>
                      <a:outerShdw blurRad="50800" dist="38100" dir="2700000">
                        <a:srgbClr val="000000">
                          <a:alpha val="43000"/>
                        </a:srgbClr>
                      </a:outerShdw>
                    </a:effectLst>
                  </pic:spPr>
                </pic:pic>
              </a:graphicData>
            </a:graphic>
          </wp:inline>
        </w:drawing>
      </w:r>
    </w:p>
    <w:p w:rsidR="00441EAE" w:rsidRDefault="00441EAE" w:rsidP="00FA6E30"/>
    <w:p w:rsidR="008A3004" w:rsidRDefault="00EA4A72" w:rsidP="008A3004">
      <w:pPr>
        <w:rPr>
          <w:i/>
        </w:rPr>
      </w:pPr>
      <w:r w:rsidRPr="00EA4A72">
        <w:rPr>
          <w:i/>
          <w:highlight w:val="yellow"/>
        </w:rPr>
        <w:t xml:space="preserve">Figure </w:t>
      </w:r>
      <w:r w:rsidR="009C3505" w:rsidRPr="00C12541">
        <w:rPr>
          <w:i/>
          <w:highlight w:val="yellow"/>
        </w:rPr>
        <w:t>4</w:t>
      </w:r>
      <w:r w:rsidR="008A3004">
        <w:rPr>
          <w:i/>
        </w:rPr>
        <w:t xml:space="preserve">: </w:t>
      </w:r>
      <w:proofErr w:type="spellStart"/>
      <w:r w:rsidR="008A3004">
        <w:rPr>
          <w:i/>
        </w:rPr>
        <w:t>UoM</w:t>
      </w:r>
      <w:proofErr w:type="spellEnd"/>
      <w:r w:rsidR="008A3004">
        <w:rPr>
          <w:i/>
        </w:rPr>
        <w:t xml:space="preserve"> Plant Growth—students see different information—e.g., one student will be able to control </w:t>
      </w:r>
      <w:r w:rsidR="00313EFB">
        <w:rPr>
          <w:i/>
        </w:rPr>
        <w:t>the amount of</w:t>
      </w:r>
      <w:r w:rsidR="008A3004">
        <w:rPr>
          <w:i/>
        </w:rPr>
        <w:t xml:space="preserve"> light</w:t>
      </w:r>
    </w:p>
    <w:p w:rsidR="008A3004" w:rsidRDefault="008A3004" w:rsidP="00FA6E30"/>
    <w:p w:rsidR="00441EAE" w:rsidRDefault="00441EAE" w:rsidP="00FA6E30"/>
    <w:p w:rsidR="00182541" w:rsidRDefault="00C0007A" w:rsidP="00FA6E30">
      <w:r>
        <w:rPr>
          <w:noProof/>
        </w:rPr>
        <w:lastRenderedPageBreak/>
        <w:drawing>
          <wp:inline distT="0" distB="0" distL="0" distR="0">
            <wp:extent cx="3803472" cy="2743200"/>
            <wp:effectExtent l="76200" t="25400" r="108128" b="7620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a:picLocks noChangeAspect="1" noChangeArrowheads="1"/>
                    </pic:cNvPicPr>
                  </pic:nvPicPr>
                  <pic:blipFill>
                    <a:blip r:embed="rId17" cstate="print"/>
                    <a:srcRect/>
                    <a:stretch>
                      <a:fillRect/>
                    </a:stretch>
                  </pic:blipFill>
                  <pic:spPr bwMode="auto">
                    <a:xfrm>
                      <a:off x="0" y="0"/>
                      <a:ext cx="3803472" cy="2743200"/>
                    </a:xfrm>
                    <a:prstGeom prst="rect">
                      <a:avLst/>
                    </a:prstGeom>
                    <a:noFill/>
                    <a:ln w="9525">
                      <a:solidFill>
                        <a:srgbClr val="000000"/>
                      </a:solidFill>
                      <a:miter lim="800000"/>
                      <a:headEnd/>
                      <a:tailEnd/>
                    </a:ln>
                    <a:effectLst>
                      <a:outerShdw blurRad="50800" dist="38100" dir="2700000">
                        <a:srgbClr val="000000">
                          <a:alpha val="43000"/>
                        </a:srgbClr>
                      </a:outerShdw>
                    </a:effectLst>
                  </pic:spPr>
                </pic:pic>
              </a:graphicData>
            </a:graphic>
          </wp:inline>
        </w:drawing>
      </w:r>
    </w:p>
    <w:p w:rsidR="00182541" w:rsidRDefault="00182541" w:rsidP="00FA6E30"/>
    <w:p w:rsidR="008A3004" w:rsidRDefault="00EA4A72" w:rsidP="008A3004">
      <w:pPr>
        <w:rPr>
          <w:i/>
        </w:rPr>
      </w:pPr>
      <w:r w:rsidRPr="00EA4A72">
        <w:rPr>
          <w:i/>
          <w:highlight w:val="yellow"/>
        </w:rPr>
        <w:t xml:space="preserve">Figure </w:t>
      </w:r>
      <w:r w:rsidR="009C3505" w:rsidRPr="00C12541">
        <w:rPr>
          <w:i/>
          <w:highlight w:val="yellow"/>
        </w:rPr>
        <w:t>5</w:t>
      </w:r>
      <w:r w:rsidR="008A3004">
        <w:rPr>
          <w:i/>
        </w:rPr>
        <w:t xml:space="preserve">: </w:t>
      </w:r>
      <w:proofErr w:type="spellStart"/>
      <w:r w:rsidR="008A3004">
        <w:rPr>
          <w:i/>
        </w:rPr>
        <w:t>UoM</w:t>
      </w:r>
      <w:proofErr w:type="spellEnd"/>
      <w:r w:rsidR="008A3004">
        <w:rPr>
          <w:i/>
        </w:rPr>
        <w:t xml:space="preserve"> Plant Growth—students see different information—e.g., </w:t>
      </w:r>
      <w:r w:rsidR="00313EFB">
        <w:rPr>
          <w:i/>
        </w:rPr>
        <w:t>another</w:t>
      </w:r>
      <w:r w:rsidR="008A3004">
        <w:rPr>
          <w:i/>
        </w:rPr>
        <w:t xml:space="preserve"> student will be able to control temperature </w:t>
      </w:r>
    </w:p>
    <w:p w:rsidR="008A3004" w:rsidRDefault="00C0007A" w:rsidP="00FA6E30">
      <w:r>
        <w:rPr>
          <w:noProof/>
        </w:rPr>
        <w:drawing>
          <wp:inline distT="0" distB="0" distL="0" distR="0">
            <wp:extent cx="3880180" cy="2743200"/>
            <wp:effectExtent l="76200" t="25400" r="107620" b="7620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8" cstate="print"/>
                    <a:srcRect/>
                    <a:stretch>
                      <a:fillRect/>
                    </a:stretch>
                  </pic:blipFill>
                  <pic:spPr bwMode="auto">
                    <a:xfrm>
                      <a:off x="0" y="0"/>
                      <a:ext cx="3880180" cy="2743200"/>
                    </a:xfrm>
                    <a:prstGeom prst="rect">
                      <a:avLst/>
                    </a:prstGeom>
                    <a:noFill/>
                    <a:ln w="9525">
                      <a:solidFill>
                        <a:srgbClr val="000000"/>
                      </a:solidFill>
                      <a:miter lim="800000"/>
                      <a:headEnd/>
                      <a:tailEnd/>
                    </a:ln>
                    <a:effectLst>
                      <a:outerShdw blurRad="50800" dist="38100" dir="2700000">
                        <a:srgbClr val="000000">
                          <a:alpha val="43000"/>
                        </a:srgbClr>
                      </a:outerShdw>
                    </a:effectLst>
                  </pic:spPr>
                </pic:pic>
              </a:graphicData>
            </a:graphic>
          </wp:inline>
        </w:drawing>
      </w:r>
    </w:p>
    <w:p w:rsidR="008A3004" w:rsidRDefault="008A3004" w:rsidP="00FA6E30"/>
    <w:p w:rsidR="008A3004" w:rsidRDefault="00EA4A72" w:rsidP="008A3004">
      <w:pPr>
        <w:rPr>
          <w:i/>
        </w:rPr>
      </w:pPr>
      <w:r w:rsidRPr="00EA4A72">
        <w:rPr>
          <w:i/>
          <w:highlight w:val="yellow"/>
        </w:rPr>
        <w:t xml:space="preserve">Figure </w:t>
      </w:r>
      <w:r w:rsidR="00C12541" w:rsidRPr="00C12541">
        <w:rPr>
          <w:i/>
          <w:highlight w:val="yellow"/>
        </w:rPr>
        <w:t>6</w:t>
      </w:r>
      <w:r w:rsidR="008A3004">
        <w:rPr>
          <w:i/>
        </w:rPr>
        <w:t xml:space="preserve">: </w:t>
      </w:r>
      <w:proofErr w:type="spellStart"/>
      <w:r w:rsidR="008A3004">
        <w:rPr>
          <w:i/>
        </w:rPr>
        <w:t>UoM</w:t>
      </w:r>
      <w:proofErr w:type="spellEnd"/>
      <w:r w:rsidR="008A3004">
        <w:rPr>
          <w:i/>
        </w:rPr>
        <w:t xml:space="preserve"> Plant Growth—although students see different pieces of information, they must collaborate through a chat space to organize their findings on a graph</w:t>
      </w:r>
    </w:p>
    <w:p w:rsidR="002A4BBA" w:rsidRDefault="002A4BBA" w:rsidP="00FA6E30"/>
    <w:p w:rsidR="00F62B55" w:rsidRDefault="00F62B55" w:rsidP="00FA6E30">
      <w:pPr>
        <w:rPr>
          <w:b/>
        </w:rPr>
      </w:pPr>
    </w:p>
    <w:p w:rsidR="002A4BBA" w:rsidRPr="0079258D" w:rsidRDefault="002A4BBA" w:rsidP="00FA6E30">
      <w:pPr>
        <w:rPr>
          <w:b/>
        </w:rPr>
      </w:pPr>
      <w:r w:rsidRPr="0079258D">
        <w:rPr>
          <w:b/>
        </w:rPr>
        <w:t>Final Report</w:t>
      </w:r>
    </w:p>
    <w:p w:rsidR="00F80898" w:rsidRDefault="008A3004" w:rsidP="0009627A">
      <w:r>
        <w:t xml:space="preserve">The ACT21S project has been extended through July 2012. The project was originally intended to end by December 31, 2011. </w:t>
      </w:r>
      <w:r w:rsidR="002A4BBA">
        <w:t xml:space="preserve">The contractor will produce and deliver a written report summarizing the project, the activities, and the findings by </w:t>
      </w:r>
      <w:r>
        <w:t xml:space="preserve">July </w:t>
      </w:r>
      <w:r w:rsidR="00BF334C">
        <w:t>31, 2012</w:t>
      </w:r>
      <w:r w:rsidR="002A4BBA">
        <w:t>.</w:t>
      </w:r>
    </w:p>
    <w:p w:rsidR="00F80898" w:rsidRDefault="00B73119" w:rsidP="00B73119">
      <w:pPr>
        <w:pStyle w:val="Heading1"/>
        <w:spacing w:before="0"/>
      </w:pPr>
      <w:r>
        <w:br w:type="page"/>
      </w:r>
      <w:r w:rsidR="00F80898">
        <w:lastRenderedPageBreak/>
        <w:t>Use of Results</w:t>
      </w:r>
    </w:p>
    <w:p w:rsidR="001F659E" w:rsidRPr="001F659E" w:rsidRDefault="001F659E" w:rsidP="001F659E"/>
    <w:p w:rsidR="008A7DE0" w:rsidRDefault="008A7DE0" w:rsidP="00F62B55">
      <w:pPr>
        <w:numPr>
          <w:ilvl w:val="0"/>
          <w:numId w:val="2"/>
        </w:numPr>
      </w:pPr>
      <w:r>
        <w:t>T</w:t>
      </w:r>
      <w:r w:rsidR="00F80898" w:rsidRPr="00992880">
        <w:t xml:space="preserve">he </w:t>
      </w:r>
      <w:r w:rsidR="00BF334C">
        <w:t xml:space="preserve">field </w:t>
      </w:r>
      <w:r w:rsidR="00BC1708">
        <w:t>test will provide data on the feasibility of the assessments being administered in school settings</w:t>
      </w:r>
      <w:r w:rsidR="00F62B55">
        <w:t>,</w:t>
      </w:r>
      <w:r>
        <w:t xml:space="preserve"> </w:t>
      </w:r>
      <w:r w:rsidR="003C1341">
        <w:t xml:space="preserve">on </w:t>
      </w:r>
      <w:r>
        <w:t xml:space="preserve">data collection </w:t>
      </w:r>
      <w:r w:rsidR="003C1341">
        <w:t xml:space="preserve">being carried out </w:t>
      </w:r>
      <w:r>
        <w:t>through the test administration system</w:t>
      </w:r>
      <w:r w:rsidR="00F62B55">
        <w:t xml:space="preserve">, and will allow for </w:t>
      </w:r>
      <w:r w:rsidRPr="00992880">
        <w:t>calibrat</w:t>
      </w:r>
      <w:r w:rsidR="00F62B55">
        <w:t>ion of</w:t>
      </w:r>
      <w:r w:rsidRPr="00992880">
        <w:t xml:space="preserve"> the scales used to measure the skills. </w:t>
      </w:r>
      <w:r>
        <w:t>A data set will be collected. All personally identifying information will be removed.</w:t>
      </w:r>
    </w:p>
    <w:p w:rsidR="00FF06A1" w:rsidRPr="00992880" w:rsidRDefault="00FF06A1" w:rsidP="00FF06A1">
      <w:pPr>
        <w:numPr>
          <w:ilvl w:val="0"/>
          <w:numId w:val="2"/>
        </w:numPr>
      </w:pPr>
      <w:r>
        <w:t>End products of the overall project will be made publicly available for use in classrooms and will be used by NCES for the development of assessment tasks in its longitudinal studies, international assessments, and, potentially, NAEP.</w:t>
      </w:r>
    </w:p>
    <w:p w:rsidR="00FF06A1" w:rsidRPr="00992880" w:rsidRDefault="00FF06A1" w:rsidP="00FF06A1"/>
    <w:p w:rsidR="00FF06A1" w:rsidRPr="00223A11" w:rsidRDefault="00FF06A1" w:rsidP="00FF06A1">
      <w:r w:rsidRPr="00AE49D6">
        <w:t xml:space="preserve">Results and data from </w:t>
      </w:r>
      <w:r w:rsidR="00BF334C" w:rsidRPr="00AE49D6">
        <w:t xml:space="preserve">the field </w:t>
      </w:r>
      <w:r w:rsidR="00313B75" w:rsidRPr="00AE49D6">
        <w:t>trials</w:t>
      </w:r>
      <w:r w:rsidRPr="00AE49D6">
        <w:t xml:space="preserve"> will be compiled by the contractor and provided in usable form to NCES and </w:t>
      </w:r>
      <w:r w:rsidR="00313B75" w:rsidRPr="00AE49D6">
        <w:t xml:space="preserve">to </w:t>
      </w:r>
      <w:r w:rsidRPr="00AE49D6">
        <w:t>the inter</w:t>
      </w:r>
      <w:r w:rsidR="00313B75" w:rsidRPr="00AE49D6">
        <w:t xml:space="preserve">national researcher coordinator. </w:t>
      </w:r>
      <w:r w:rsidRPr="00AE49D6">
        <w:t>NCES will provide direction through the international research coordinator</w:t>
      </w:r>
      <w:r w:rsidR="00313B75" w:rsidRPr="00AE49D6">
        <w:t>.</w:t>
      </w:r>
      <w:r w:rsidR="00AE49D6">
        <w:t xml:space="preserve"> </w:t>
      </w:r>
    </w:p>
    <w:p w:rsidR="00F80898" w:rsidRDefault="00F80898" w:rsidP="00F80898">
      <w:pPr>
        <w:pStyle w:val="Heading1"/>
      </w:pPr>
      <w:r>
        <w:t>Assurance of Confidentiality</w:t>
      </w:r>
    </w:p>
    <w:p w:rsidR="001F659E" w:rsidRPr="001F659E" w:rsidRDefault="001F659E" w:rsidP="001F659E"/>
    <w:p w:rsidR="00313B75" w:rsidRDefault="008A7DE0" w:rsidP="00450BF6">
      <w:r w:rsidRPr="00AE49D6">
        <w:t>Field</w:t>
      </w:r>
      <w:r w:rsidR="00F80898" w:rsidRPr="00AE49D6">
        <w:t xml:space="preserve"> </w:t>
      </w:r>
      <w:r w:rsidR="004F0516" w:rsidRPr="00AE49D6">
        <w:t>T</w:t>
      </w:r>
      <w:r w:rsidR="00313B75" w:rsidRPr="00AE49D6">
        <w:t>rial</w:t>
      </w:r>
      <w:r w:rsidR="00F80898" w:rsidRPr="00AE49D6">
        <w:t xml:space="preserve"> teacher participants </w:t>
      </w:r>
      <w:r w:rsidR="00B9355F">
        <w:t>are</w:t>
      </w:r>
      <w:r w:rsidR="00F80898" w:rsidRPr="00AE49D6">
        <w:t xml:space="preserve"> asked to sign </w:t>
      </w:r>
      <w:r w:rsidR="0013268D">
        <w:t xml:space="preserve">(1) </w:t>
      </w:r>
      <w:r w:rsidR="00F80898" w:rsidRPr="00AE49D6">
        <w:t xml:space="preserve">a Teacher Consent form provided by the contractor as a condition of participation. </w:t>
      </w:r>
      <w:r w:rsidR="00200A19" w:rsidRPr="00AE49D6">
        <w:t xml:space="preserve">Principals </w:t>
      </w:r>
      <w:r w:rsidR="00B9355F">
        <w:t>are</w:t>
      </w:r>
      <w:r w:rsidR="00200A19" w:rsidRPr="00AE49D6">
        <w:t xml:space="preserve"> asked to sign </w:t>
      </w:r>
      <w:r w:rsidR="0013268D">
        <w:t xml:space="preserve">(2) </w:t>
      </w:r>
      <w:r w:rsidR="00200A19" w:rsidRPr="00AE49D6">
        <w:t>a Principal Consent Form</w:t>
      </w:r>
      <w:r w:rsidR="0013268D">
        <w:t xml:space="preserve"> and to </w:t>
      </w:r>
      <w:r w:rsidR="0013268D" w:rsidRPr="00AE49D6">
        <w:t xml:space="preserve">sign </w:t>
      </w:r>
      <w:r w:rsidR="0013268D">
        <w:t xml:space="preserve">(3) </w:t>
      </w:r>
      <w:r w:rsidR="0013268D" w:rsidRPr="00AE49D6">
        <w:t>a Memorandum of Understanding</w:t>
      </w:r>
      <w:r w:rsidR="0013268D">
        <w:t xml:space="preserve"> for school participation</w:t>
      </w:r>
      <w:r w:rsidR="00200A19" w:rsidRPr="00AE49D6">
        <w:t xml:space="preserve">. </w:t>
      </w:r>
      <w:r w:rsidR="0013268D">
        <w:t xml:space="preserve">Teachers </w:t>
      </w:r>
      <w:r w:rsidR="00B9355F">
        <w:t>are</w:t>
      </w:r>
      <w:r w:rsidR="0013268D">
        <w:t xml:space="preserve"> provided with (4) a Parental Opt Out form so that parents can have the option of having their child’s data removed from field trial results.</w:t>
      </w:r>
      <w:r w:rsidR="0013268D" w:rsidRPr="0013268D">
        <w:t xml:space="preserve"> </w:t>
      </w:r>
      <w:r w:rsidR="0013268D">
        <w:t>These four forms</w:t>
      </w:r>
      <w:r w:rsidR="0013268D" w:rsidRPr="00AE49D6">
        <w:t xml:space="preserve"> </w:t>
      </w:r>
      <w:r w:rsidR="0013268D">
        <w:t>were submitted with the OMB memorandum on May 2, 2011 and approved on May 25, 2011</w:t>
      </w:r>
      <w:r w:rsidR="0013268D" w:rsidRPr="00AE49D6">
        <w:t>.</w:t>
      </w:r>
      <w:r w:rsidR="0087364C">
        <w:t xml:space="preserve">  </w:t>
      </w:r>
      <w:r w:rsidR="00F80898" w:rsidRPr="00AE49D6">
        <w:t xml:space="preserve">Student response data will be de-identified through </w:t>
      </w:r>
      <w:r w:rsidR="003C1341" w:rsidRPr="00AE49D6">
        <w:t xml:space="preserve">the </w:t>
      </w:r>
      <w:r w:rsidR="00F80898" w:rsidRPr="00AE49D6">
        <w:t>use of unique ID number</w:t>
      </w:r>
      <w:r w:rsidR="003C1341" w:rsidRPr="00AE49D6">
        <w:t>s</w:t>
      </w:r>
      <w:r w:rsidR="00F80898" w:rsidRPr="00AE49D6">
        <w:t xml:space="preserve"> so that individual students cannot be identified in the data set collected for analysis.</w:t>
      </w:r>
      <w:r w:rsidR="00F80898">
        <w:t xml:space="preserve"> </w:t>
      </w:r>
      <w:r w:rsidR="0087364C">
        <w:t xml:space="preserve">  </w:t>
      </w:r>
      <w:r w:rsidR="0095112C">
        <w:t>Additionally,</w:t>
      </w:r>
      <w:r w:rsidR="00B9355F">
        <w:t xml:space="preserve"> </w:t>
      </w:r>
      <w:proofErr w:type="spellStart"/>
      <w:r w:rsidR="00B9355F">
        <w:t>WestEd</w:t>
      </w:r>
      <w:proofErr w:type="spellEnd"/>
      <w:r w:rsidR="000F5AC9">
        <w:t xml:space="preserve"> </w:t>
      </w:r>
      <w:r w:rsidR="00C12541">
        <w:t>staff working on the project signs</w:t>
      </w:r>
      <w:r w:rsidR="0095112C">
        <w:t xml:space="preserve"> the NCES </w:t>
      </w:r>
      <w:r w:rsidR="000F5AC9">
        <w:t>Affidavit of Nondisclosure.</w:t>
      </w:r>
    </w:p>
    <w:p w:rsidR="00F04CA0" w:rsidRDefault="00F04CA0" w:rsidP="00450BF6"/>
    <w:p w:rsidR="00F04CA0" w:rsidRDefault="00F04CA0" w:rsidP="00F04CA0">
      <w:r>
        <w:t>Students will be reminded before they begin the assessment that they will not receive a grade for taking the computer-based assessment tasks; that the tasks are being field tested to see how well these tasks work, that the performance of the students is not being evaluated, that their names will not be associated with the assessments’ results, that no identifying information will be recorded, and all information collected will be use</w:t>
      </w:r>
      <w:r w:rsidR="001826D1">
        <w:t>d only for statistical purposes.</w:t>
      </w:r>
    </w:p>
    <w:p w:rsidR="00BF334C" w:rsidRPr="000C315E" w:rsidRDefault="0009627A" w:rsidP="000C315E">
      <w:pPr>
        <w:pStyle w:val="Heading1"/>
        <w:rPr>
          <w:color w:val="FF0000"/>
        </w:rPr>
      </w:pPr>
      <w:r>
        <w:t>Project Schedule</w:t>
      </w:r>
      <w:r w:rsidR="001527DA">
        <w:t xml:space="preserve"> </w:t>
      </w:r>
    </w:p>
    <w:p w:rsidR="00055CE8" w:rsidRPr="00D34D90" w:rsidDel="00055CE8" w:rsidRDefault="00E239A3" w:rsidP="00FA6E30">
      <w:pPr>
        <w:rPr>
          <w:noProof/>
        </w:rPr>
      </w:pPr>
      <w:r>
        <w:t xml:space="preserve"> </w:t>
      </w:r>
      <w:r w:rsidR="00903B85" w:rsidRPr="00D34D90">
        <w:tab/>
      </w:r>
      <w:r w:rsidR="00903B85" w:rsidRPr="00D34D90">
        <w:tab/>
      </w:r>
      <w:r w:rsidR="00903B85" w:rsidRPr="00D34D90">
        <w:tab/>
      </w:r>
      <w:r w:rsidR="00903B85" w:rsidRPr="00D34D90">
        <w:tab/>
      </w:r>
      <w:r w:rsidR="00903B85" w:rsidRPr="00D34D90">
        <w:tab/>
      </w:r>
      <w:r w:rsidR="00903B85" w:rsidRPr="00D34D90">
        <w:tab/>
        <w:t>2011</w:t>
      </w:r>
      <w:r w:rsidR="00903B85" w:rsidRPr="00D34D90">
        <w:tab/>
      </w:r>
      <w:r w:rsidR="00903B85" w:rsidRPr="00D34D90">
        <w:tab/>
      </w:r>
      <w:r w:rsidR="00903B85" w:rsidRPr="00D34D90">
        <w:tab/>
      </w:r>
      <w:r w:rsidR="00903B85" w:rsidRPr="00D34D90">
        <w:tab/>
        <w:t>2012</w:t>
      </w:r>
      <w:r w:rsidR="00903B85" w:rsidRPr="00D34D90">
        <w:tab/>
      </w:r>
      <w:r w:rsidR="00903B85" w:rsidRPr="00D34D90">
        <w:tab/>
      </w:r>
      <w:r w:rsidR="00903B85" w:rsidRPr="00D34D90">
        <w:tab/>
      </w:r>
    </w:p>
    <w:tbl>
      <w:tblPr>
        <w:tblStyle w:val="TableGrid"/>
        <w:tblW w:w="10098" w:type="dxa"/>
        <w:tblLayout w:type="fixed"/>
        <w:tblLook w:val="00BF"/>
      </w:tblPr>
      <w:tblGrid>
        <w:gridCol w:w="3078"/>
        <w:gridCol w:w="630"/>
        <w:gridCol w:w="630"/>
        <w:gridCol w:w="531"/>
        <w:gridCol w:w="581"/>
        <w:gridCol w:w="581"/>
        <w:gridCol w:w="581"/>
        <w:gridCol w:w="581"/>
        <w:gridCol w:w="581"/>
        <w:gridCol w:w="581"/>
        <w:gridCol w:w="581"/>
        <w:gridCol w:w="581"/>
        <w:gridCol w:w="581"/>
      </w:tblGrid>
      <w:tr w:rsidR="00055CE8">
        <w:tc>
          <w:tcPr>
            <w:tcW w:w="3078" w:type="dxa"/>
          </w:tcPr>
          <w:p w:rsidR="00055CE8" w:rsidRDefault="00055CE8">
            <w:pPr>
              <w:rPr>
                <w:rFonts w:ascii="Arial Rounded MT Bold" w:hAnsi="Arial Rounded MT Bold"/>
                <w:sz w:val="18"/>
              </w:rPr>
            </w:pPr>
            <w:r>
              <w:rPr>
                <w:rFonts w:ascii="Arial Rounded MT Bold" w:hAnsi="Arial Rounded MT Bold"/>
                <w:sz w:val="18"/>
              </w:rPr>
              <w:t xml:space="preserve">Remaining </w:t>
            </w:r>
            <w:r w:rsidRPr="001F7B82">
              <w:rPr>
                <w:rFonts w:ascii="Arial Rounded MT Bold" w:hAnsi="Arial Rounded MT Bold"/>
                <w:sz w:val="18"/>
              </w:rPr>
              <w:t>Tasks</w:t>
            </w:r>
          </w:p>
          <w:p w:rsidR="00055CE8" w:rsidRPr="001F7B82" w:rsidRDefault="00055CE8">
            <w:pPr>
              <w:rPr>
                <w:rFonts w:ascii="Arial Rounded MT Bold" w:hAnsi="Arial Rounded MT Bold"/>
                <w:sz w:val="18"/>
              </w:rPr>
            </w:pPr>
          </w:p>
        </w:tc>
        <w:tc>
          <w:tcPr>
            <w:tcW w:w="630" w:type="dxa"/>
            <w:shd w:val="clear" w:color="auto" w:fill="FFCC99"/>
          </w:tcPr>
          <w:p w:rsidR="00055CE8" w:rsidRPr="001F7B82" w:rsidRDefault="00055CE8">
            <w:pPr>
              <w:rPr>
                <w:rFonts w:ascii="Arial Rounded MT Bold" w:hAnsi="Arial Rounded MT Bold"/>
                <w:sz w:val="18"/>
              </w:rPr>
            </w:pPr>
            <w:r>
              <w:rPr>
                <w:rFonts w:ascii="Arial Rounded MT Bold" w:hAnsi="Arial Rounded MT Bold"/>
                <w:sz w:val="18"/>
              </w:rPr>
              <w:t>Aug</w:t>
            </w:r>
          </w:p>
        </w:tc>
        <w:tc>
          <w:tcPr>
            <w:tcW w:w="630" w:type="dxa"/>
            <w:shd w:val="clear" w:color="auto" w:fill="FFCC99"/>
          </w:tcPr>
          <w:p w:rsidR="00055CE8" w:rsidRPr="001F7B82" w:rsidRDefault="00055CE8">
            <w:pPr>
              <w:rPr>
                <w:rFonts w:ascii="Arial Rounded MT Bold" w:hAnsi="Arial Rounded MT Bold"/>
                <w:sz w:val="18"/>
              </w:rPr>
            </w:pPr>
            <w:r w:rsidRPr="001F7B82">
              <w:rPr>
                <w:rFonts w:ascii="Arial Rounded MT Bold" w:hAnsi="Arial Rounded MT Bold"/>
                <w:sz w:val="18"/>
              </w:rPr>
              <w:t>Sept</w:t>
            </w:r>
          </w:p>
        </w:tc>
        <w:tc>
          <w:tcPr>
            <w:tcW w:w="531" w:type="dxa"/>
            <w:shd w:val="clear" w:color="auto" w:fill="FFCC99"/>
          </w:tcPr>
          <w:p w:rsidR="00055CE8" w:rsidRPr="001F7B82" w:rsidRDefault="00055CE8">
            <w:pPr>
              <w:rPr>
                <w:rFonts w:ascii="Arial Rounded MT Bold" w:hAnsi="Arial Rounded MT Bold"/>
                <w:sz w:val="18"/>
              </w:rPr>
            </w:pPr>
            <w:r w:rsidRPr="001F7B82">
              <w:rPr>
                <w:rFonts w:ascii="Arial Rounded MT Bold" w:hAnsi="Arial Rounded MT Bold"/>
                <w:sz w:val="18"/>
              </w:rPr>
              <w:t>Oct</w:t>
            </w:r>
          </w:p>
        </w:tc>
        <w:tc>
          <w:tcPr>
            <w:tcW w:w="581" w:type="dxa"/>
            <w:shd w:val="clear" w:color="auto" w:fill="FFCC99"/>
          </w:tcPr>
          <w:p w:rsidR="00055CE8" w:rsidRPr="001F7B82" w:rsidRDefault="00055CE8">
            <w:pPr>
              <w:rPr>
                <w:rFonts w:ascii="Arial Rounded MT Bold" w:hAnsi="Arial Rounded MT Bold"/>
                <w:sz w:val="18"/>
              </w:rPr>
            </w:pPr>
            <w:r w:rsidRPr="001F7B82">
              <w:rPr>
                <w:rFonts w:ascii="Arial Rounded MT Bold" w:hAnsi="Arial Rounded MT Bold"/>
                <w:sz w:val="18"/>
              </w:rPr>
              <w:t>Nov</w:t>
            </w:r>
          </w:p>
        </w:tc>
        <w:tc>
          <w:tcPr>
            <w:tcW w:w="581" w:type="dxa"/>
            <w:shd w:val="clear" w:color="auto" w:fill="FFCC99"/>
          </w:tcPr>
          <w:p w:rsidR="00055CE8" w:rsidRPr="001F7B82" w:rsidRDefault="00055CE8">
            <w:pPr>
              <w:rPr>
                <w:rFonts w:ascii="Arial Rounded MT Bold" w:hAnsi="Arial Rounded MT Bold"/>
                <w:sz w:val="18"/>
              </w:rPr>
            </w:pPr>
            <w:r w:rsidRPr="001F7B82">
              <w:rPr>
                <w:rFonts w:ascii="Arial Rounded MT Bold" w:hAnsi="Arial Rounded MT Bold"/>
                <w:sz w:val="18"/>
              </w:rPr>
              <w:t>Dec</w:t>
            </w:r>
          </w:p>
        </w:tc>
        <w:tc>
          <w:tcPr>
            <w:tcW w:w="581" w:type="dxa"/>
            <w:shd w:val="clear" w:color="auto" w:fill="CCFFFF"/>
          </w:tcPr>
          <w:p w:rsidR="00055CE8" w:rsidRPr="001F7B82" w:rsidRDefault="00055CE8">
            <w:pPr>
              <w:rPr>
                <w:rFonts w:ascii="Arial Rounded MT Bold" w:hAnsi="Arial Rounded MT Bold"/>
                <w:sz w:val="18"/>
              </w:rPr>
            </w:pPr>
            <w:r w:rsidRPr="001F7B82">
              <w:rPr>
                <w:rFonts w:ascii="Arial Rounded MT Bold" w:hAnsi="Arial Rounded MT Bold"/>
                <w:sz w:val="18"/>
              </w:rPr>
              <w:t>Jan</w:t>
            </w:r>
          </w:p>
        </w:tc>
        <w:tc>
          <w:tcPr>
            <w:tcW w:w="581" w:type="dxa"/>
            <w:shd w:val="clear" w:color="auto" w:fill="CCFFFF"/>
          </w:tcPr>
          <w:p w:rsidR="00055CE8" w:rsidRPr="001F7B82" w:rsidRDefault="00055CE8">
            <w:pPr>
              <w:rPr>
                <w:rFonts w:ascii="Arial Rounded MT Bold" w:hAnsi="Arial Rounded MT Bold"/>
                <w:sz w:val="18"/>
              </w:rPr>
            </w:pPr>
            <w:r w:rsidRPr="001F7B82">
              <w:rPr>
                <w:rFonts w:ascii="Arial Rounded MT Bold" w:hAnsi="Arial Rounded MT Bold"/>
                <w:sz w:val="18"/>
              </w:rPr>
              <w:t>Feb</w:t>
            </w:r>
          </w:p>
        </w:tc>
        <w:tc>
          <w:tcPr>
            <w:tcW w:w="581" w:type="dxa"/>
            <w:shd w:val="clear" w:color="auto" w:fill="CCFFFF"/>
          </w:tcPr>
          <w:p w:rsidR="00055CE8" w:rsidRPr="001F7B82" w:rsidRDefault="00055CE8">
            <w:pPr>
              <w:rPr>
                <w:rFonts w:ascii="Arial Rounded MT Bold" w:hAnsi="Arial Rounded MT Bold"/>
                <w:sz w:val="18"/>
              </w:rPr>
            </w:pPr>
            <w:r w:rsidRPr="001F7B82">
              <w:rPr>
                <w:rFonts w:ascii="Arial Rounded MT Bold" w:hAnsi="Arial Rounded MT Bold"/>
                <w:sz w:val="18"/>
              </w:rPr>
              <w:t>Mar</w:t>
            </w:r>
          </w:p>
        </w:tc>
        <w:tc>
          <w:tcPr>
            <w:tcW w:w="581" w:type="dxa"/>
            <w:shd w:val="clear" w:color="auto" w:fill="CCFFFF"/>
          </w:tcPr>
          <w:p w:rsidR="00055CE8" w:rsidRPr="001F7B82" w:rsidRDefault="00055CE8">
            <w:pPr>
              <w:rPr>
                <w:rFonts w:ascii="Arial Rounded MT Bold" w:hAnsi="Arial Rounded MT Bold"/>
                <w:sz w:val="18"/>
              </w:rPr>
            </w:pPr>
            <w:r w:rsidRPr="001F7B82">
              <w:rPr>
                <w:rFonts w:ascii="Arial Rounded MT Bold" w:hAnsi="Arial Rounded MT Bold"/>
                <w:sz w:val="18"/>
              </w:rPr>
              <w:t>Apr</w:t>
            </w:r>
          </w:p>
        </w:tc>
        <w:tc>
          <w:tcPr>
            <w:tcW w:w="581" w:type="dxa"/>
            <w:shd w:val="clear" w:color="auto" w:fill="CCFFFF"/>
          </w:tcPr>
          <w:p w:rsidR="00055CE8" w:rsidRPr="001F7B82" w:rsidRDefault="00055CE8">
            <w:pPr>
              <w:rPr>
                <w:rFonts w:ascii="Arial Rounded MT Bold" w:hAnsi="Arial Rounded MT Bold"/>
                <w:sz w:val="18"/>
              </w:rPr>
            </w:pPr>
            <w:r w:rsidRPr="001F7B82">
              <w:rPr>
                <w:rFonts w:ascii="Arial Rounded MT Bold" w:hAnsi="Arial Rounded MT Bold"/>
                <w:sz w:val="18"/>
              </w:rPr>
              <w:t>May</w:t>
            </w:r>
          </w:p>
        </w:tc>
        <w:tc>
          <w:tcPr>
            <w:tcW w:w="581" w:type="dxa"/>
            <w:shd w:val="clear" w:color="auto" w:fill="CCFFFF"/>
          </w:tcPr>
          <w:p w:rsidR="00055CE8" w:rsidRPr="001F7B82" w:rsidRDefault="00055CE8">
            <w:pPr>
              <w:rPr>
                <w:rFonts w:ascii="Arial Rounded MT Bold" w:hAnsi="Arial Rounded MT Bold"/>
                <w:sz w:val="18"/>
              </w:rPr>
            </w:pPr>
            <w:r w:rsidRPr="001F7B82">
              <w:rPr>
                <w:rFonts w:ascii="Arial Rounded MT Bold" w:hAnsi="Arial Rounded MT Bold"/>
                <w:sz w:val="18"/>
              </w:rPr>
              <w:t>Jun</w:t>
            </w:r>
          </w:p>
        </w:tc>
        <w:tc>
          <w:tcPr>
            <w:tcW w:w="581" w:type="dxa"/>
            <w:shd w:val="clear" w:color="auto" w:fill="CCFFFF"/>
          </w:tcPr>
          <w:p w:rsidR="00055CE8" w:rsidRPr="001F7B82" w:rsidRDefault="00055CE8" w:rsidP="00565AC7">
            <w:pPr>
              <w:rPr>
                <w:rFonts w:ascii="Arial Rounded MT Bold" w:hAnsi="Arial Rounded MT Bold"/>
                <w:sz w:val="18"/>
              </w:rPr>
            </w:pPr>
            <w:r w:rsidRPr="001F7B82">
              <w:rPr>
                <w:rFonts w:ascii="Arial Rounded MT Bold" w:hAnsi="Arial Rounded MT Bold"/>
                <w:sz w:val="18"/>
              </w:rPr>
              <w:t>Jul</w:t>
            </w:r>
          </w:p>
        </w:tc>
      </w:tr>
      <w:tr w:rsidR="00055CE8">
        <w:tc>
          <w:tcPr>
            <w:tcW w:w="3078" w:type="dxa"/>
          </w:tcPr>
          <w:p w:rsidR="00055CE8" w:rsidRPr="001F7B82" w:rsidRDefault="00055CE8" w:rsidP="00565AC7">
            <w:pPr>
              <w:rPr>
                <w:rFonts w:ascii="Verdana" w:hAnsi="Verdana"/>
                <w:sz w:val="18"/>
                <w:szCs w:val="18"/>
              </w:rPr>
            </w:pPr>
            <w:r>
              <w:rPr>
                <w:rFonts w:ascii="Verdana" w:hAnsi="Verdana"/>
                <w:sz w:val="18"/>
                <w:szCs w:val="18"/>
              </w:rPr>
              <w:t>Run ICT Pilot Test</w:t>
            </w:r>
          </w:p>
          <w:p w:rsidR="00055CE8" w:rsidRPr="001F7B82" w:rsidRDefault="00055CE8">
            <w:pPr>
              <w:rPr>
                <w:sz w:val="18"/>
              </w:rPr>
            </w:pPr>
          </w:p>
        </w:tc>
        <w:tc>
          <w:tcPr>
            <w:tcW w:w="630" w:type="dxa"/>
            <w:shd w:val="clear" w:color="auto" w:fill="000000" w:themeFill="text1"/>
          </w:tcPr>
          <w:p w:rsidR="00055CE8" w:rsidRDefault="00055CE8"/>
        </w:tc>
        <w:tc>
          <w:tcPr>
            <w:tcW w:w="630" w:type="dxa"/>
            <w:shd w:val="clear" w:color="auto" w:fill="000000" w:themeFill="text1"/>
          </w:tcPr>
          <w:p w:rsidR="00055CE8" w:rsidRDefault="00055CE8"/>
        </w:tc>
        <w:tc>
          <w:tcPr>
            <w:tcW w:w="531" w:type="dxa"/>
          </w:tcPr>
          <w:p w:rsidR="00055CE8" w:rsidRDefault="00055CE8"/>
        </w:tc>
        <w:tc>
          <w:tcPr>
            <w:tcW w:w="581" w:type="dxa"/>
          </w:tcPr>
          <w:p w:rsidR="00055CE8" w:rsidRDefault="00055CE8"/>
        </w:tc>
        <w:tc>
          <w:tcPr>
            <w:tcW w:w="581" w:type="dxa"/>
          </w:tcPr>
          <w:p w:rsidR="00055CE8" w:rsidRDefault="00055CE8"/>
        </w:tc>
        <w:tc>
          <w:tcPr>
            <w:tcW w:w="581" w:type="dxa"/>
          </w:tcPr>
          <w:p w:rsidR="00055CE8" w:rsidRDefault="00055CE8"/>
        </w:tc>
        <w:tc>
          <w:tcPr>
            <w:tcW w:w="581" w:type="dxa"/>
          </w:tcPr>
          <w:p w:rsidR="00055CE8" w:rsidRDefault="00055CE8"/>
        </w:tc>
        <w:tc>
          <w:tcPr>
            <w:tcW w:w="581" w:type="dxa"/>
          </w:tcPr>
          <w:p w:rsidR="00055CE8" w:rsidRDefault="00055CE8"/>
        </w:tc>
        <w:tc>
          <w:tcPr>
            <w:tcW w:w="581" w:type="dxa"/>
          </w:tcPr>
          <w:p w:rsidR="00055CE8" w:rsidRDefault="00055CE8"/>
        </w:tc>
        <w:tc>
          <w:tcPr>
            <w:tcW w:w="581" w:type="dxa"/>
          </w:tcPr>
          <w:p w:rsidR="00055CE8" w:rsidRDefault="00055CE8"/>
        </w:tc>
        <w:tc>
          <w:tcPr>
            <w:tcW w:w="581" w:type="dxa"/>
          </w:tcPr>
          <w:p w:rsidR="00055CE8" w:rsidRDefault="00055CE8"/>
        </w:tc>
        <w:tc>
          <w:tcPr>
            <w:tcW w:w="581" w:type="dxa"/>
          </w:tcPr>
          <w:p w:rsidR="00055CE8" w:rsidRDefault="00055CE8"/>
        </w:tc>
      </w:tr>
      <w:tr w:rsidR="00055CE8">
        <w:tc>
          <w:tcPr>
            <w:tcW w:w="3078" w:type="dxa"/>
          </w:tcPr>
          <w:p w:rsidR="00055CE8" w:rsidRPr="001F7B82" w:rsidRDefault="00055CE8" w:rsidP="00565AC7">
            <w:pPr>
              <w:rPr>
                <w:rFonts w:ascii="Verdana" w:hAnsi="Verdana"/>
                <w:sz w:val="18"/>
                <w:szCs w:val="18"/>
              </w:rPr>
            </w:pPr>
            <w:r w:rsidRPr="001F7B82">
              <w:rPr>
                <w:rFonts w:ascii="Verdana" w:hAnsi="Verdana"/>
                <w:sz w:val="18"/>
                <w:szCs w:val="18"/>
              </w:rPr>
              <w:t>(Production of Field Test version of ICT/CPS)</w:t>
            </w:r>
          </w:p>
          <w:p w:rsidR="00055CE8" w:rsidRPr="001F7B82" w:rsidRDefault="00055CE8">
            <w:pPr>
              <w:rPr>
                <w:sz w:val="18"/>
              </w:rPr>
            </w:pPr>
          </w:p>
        </w:tc>
        <w:tc>
          <w:tcPr>
            <w:tcW w:w="630" w:type="dxa"/>
            <w:shd w:val="clear" w:color="auto" w:fill="FF0000"/>
          </w:tcPr>
          <w:p w:rsidR="00055CE8" w:rsidRDefault="00055CE8"/>
        </w:tc>
        <w:tc>
          <w:tcPr>
            <w:tcW w:w="630" w:type="dxa"/>
            <w:shd w:val="clear" w:color="auto" w:fill="FF0000"/>
          </w:tcPr>
          <w:p w:rsidR="00055CE8" w:rsidRDefault="00055CE8"/>
        </w:tc>
        <w:tc>
          <w:tcPr>
            <w:tcW w:w="531" w:type="dxa"/>
          </w:tcPr>
          <w:p w:rsidR="00055CE8" w:rsidRDefault="00055CE8"/>
        </w:tc>
        <w:tc>
          <w:tcPr>
            <w:tcW w:w="581" w:type="dxa"/>
          </w:tcPr>
          <w:p w:rsidR="00055CE8" w:rsidRDefault="00055CE8"/>
        </w:tc>
        <w:tc>
          <w:tcPr>
            <w:tcW w:w="581" w:type="dxa"/>
          </w:tcPr>
          <w:p w:rsidR="00055CE8" w:rsidRDefault="00055CE8"/>
        </w:tc>
        <w:tc>
          <w:tcPr>
            <w:tcW w:w="581" w:type="dxa"/>
          </w:tcPr>
          <w:p w:rsidR="00055CE8" w:rsidRDefault="00055CE8"/>
        </w:tc>
        <w:tc>
          <w:tcPr>
            <w:tcW w:w="581" w:type="dxa"/>
          </w:tcPr>
          <w:p w:rsidR="00055CE8" w:rsidRDefault="00055CE8"/>
        </w:tc>
        <w:tc>
          <w:tcPr>
            <w:tcW w:w="581" w:type="dxa"/>
          </w:tcPr>
          <w:p w:rsidR="00055CE8" w:rsidRDefault="00055CE8"/>
        </w:tc>
        <w:tc>
          <w:tcPr>
            <w:tcW w:w="581" w:type="dxa"/>
          </w:tcPr>
          <w:p w:rsidR="00055CE8" w:rsidRDefault="00055CE8"/>
        </w:tc>
        <w:tc>
          <w:tcPr>
            <w:tcW w:w="581" w:type="dxa"/>
          </w:tcPr>
          <w:p w:rsidR="00055CE8" w:rsidRDefault="00055CE8"/>
        </w:tc>
        <w:tc>
          <w:tcPr>
            <w:tcW w:w="581" w:type="dxa"/>
          </w:tcPr>
          <w:p w:rsidR="00055CE8" w:rsidRDefault="00055CE8"/>
        </w:tc>
        <w:tc>
          <w:tcPr>
            <w:tcW w:w="581" w:type="dxa"/>
          </w:tcPr>
          <w:p w:rsidR="00055CE8" w:rsidRDefault="00055CE8"/>
        </w:tc>
      </w:tr>
      <w:tr w:rsidR="00055CE8">
        <w:tc>
          <w:tcPr>
            <w:tcW w:w="3078" w:type="dxa"/>
          </w:tcPr>
          <w:p w:rsidR="00055CE8" w:rsidRPr="001F7B82" w:rsidRDefault="00055CE8" w:rsidP="00565AC7">
            <w:pPr>
              <w:rPr>
                <w:rFonts w:ascii="Verdana" w:hAnsi="Verdana"/>
                <w:sz w:val="18"/>
                <w:szCs w:val="18"/>
              </w:rPr>
            </w:pPr>
            <w:r w:rsidRPr="001F7B82">
              <w:rPr>
                <w:rFonts w:ascii="Verdana" w:hAnsi="Verdana"/>
                <w:sz w:val="18"/>
                <w:szCs w:val="18"/>
              </w:rPr>
              <w:t>Prep OMB pack for Field Test</w:t>
            </w:r>
          </w:p>
          <w:p w:rsidR="00055CE8" w:rsidRPr="001F7B82" w:rsidRDefault="00055CE8">
            <w:pPr>
              <w:rPr>
                <w:sz w:val="18"/>
              </w:rPr>
            </w:pPr>
          </w:p>
        </w:tc>
        <w:tc>
          <w:tcPr>
            <w:tcW w:w="630" w:type="dxa"/>
            <w:shd w:val="clear" w:color="auto" w:fill="FFFFFF" w:themeFill="background1"/>
          </w:tcPr>
          <w:p w:rsidR="00055CE8" w:rsidRDefault="00055CE8"/>
        </w:tc>
        <w:tc>
          <w:tcPr>
            <w:tcW w:w="630" w:type="dxa"/>
          </w:tcPr>
          <w:p w:rsidR="00055CE8" w:rsidRDefault="00055CE8"/>
        </w:tc>
        <w:tc>
          <w:tcPr>
            <w:tcW w:w="531" w:type="dxa"/>
            <w:shd w:val="clear" w:color="auto" w:fill="008000"/>
          </w:tcPr>
          <w:p w:rsidR="00055CE8" w:rsidRDefault="00055CE8"/>
        </w:tc>
        <w:tc>
          <w:tcPr>
            <w:tcW w:w="581" w:type="dxa"/>
          </w:tcPr>
          <w:p w:rsidR="00055CE8" w:rsidRDefault="00055CE8"/>
        </w:tc>
        <w:tc>
          <w:tcPr>
            <w:tcW w:w="581" w:type="dxa"/>
          </w:tcPr>
          <w:p w:rsidR="00055CE8" w:rsidRDefault="00055CE8"/>
        </w:tc>
        <w:tc>
          <w:tcPr>
            <w:tcW w:w="581" w:type="dxa"/>
          </w:tcPr>
          <w:p w:rsidR="00055CE8" w:rsidRDefault="00055CE8"/>
        </w:tc>
        <w:tc>
          <w:tcPr>
            <w:tcW w:w="581" w:type="dxa"/>
          </w:tcPr>
          <w:p w:rsidR="00055CE8" w:rsidRDefault="00055CE8"/>
        </w:tc>
        <w:tc>
          <w:tcPr>
            <w:tcW w:w="581" w:type="dxa"/>
          </w:tcPr>
          <w:p w:rsidR="00055CE8" w:rsidRDefault="00055CE8"/>
        </w:tc>
        <w:tc>
          <w:tcPr>
            <w:tcW w:w="581" w:type="dxa"/>
          </w:tcPr>
          <w:p w:rsidR="00055CE8" w:rsidRDefault="00055CE8"/>
        </w:tc>
        <w:tc>
          <w:tcPr>
            <w:tcW w:w="581" w:type="dxa"/>
          </w:tcPr>
          <w:p w:rsidR="00055CE8" w:rsidRDefault="00055CE8"/>
        </w:tc>
        <w:tc>
          <w:tcPr>
            <w:tcW w:w="581" w:type="dxa"/>
          </w:tcPr>
          <w:p w:rsidR="00055CE8" w:rsidRDefault="00055CE8"/>
        </w:tc>
        <w:tc>
          <w:tcPr>
            <w:tcW w:w="581" w:type="dxa"/>
          </w:tcPr>
          <w:p w:rsidR="00055CE8" w:rsidRDefault="00055CE8"/>
        </w:tc>
      </w:tr>
      <w:tr w:rsidR="00055CE8">
        <w:tc>
          <w:tcPr>
            <w:tcW w:w="3078" w:type="dxa"/>
          </w:tcPr>
          <w:p w:rsidR="00055CE8" w:rsidRPr="001F7B82" w:rsidRDefault="00055CE8" w:rsidP="00565AC7">
            <w:pPr>
              <w:rPr>
                <w:rFonts w:ascii="Verdana" w:hAnsi="Verdana"/>
                <w:sz w:val="18"/>
                <w:szCs w:val="18"/>
              </w:rPr>
            </w:pPr>
            <w:r w:rsidRPr="001F7B82">
              <w:rPr>
                <w:rFonts w:ascii="Verdana" w:hAnsi="Verdana"/>
                <w:sz w:val="18"/>
                <w:szCs w:val="18"/>
              </w:rPr>
              <w:t>Recruit for Field Test</w:t>
            </w:r>
          </w:p>
          <w:p w:rsidR="00055CE8" w:rsidRPr="001F7B82" w:rsidRDefault="00055CE8">
            <w:pPr>
              <w:rPr>
                <w:sz w:val="18"/>
              </w:rPr>
            </w:pPr>
          </w:p>
        </w:tc>
        <w:tc>
          <w:tcPr>
            <w:tcW w:w="630" w:type="dxa"/>
          </w:tcPr>
          <w:p w:rsidR="00055CE8" w:rsidRDefault="00055CE8"/>
        </w:tc>
        <w:tc>
          <w:tcPr>
            <w:tcW w:w="630" w:type="dxa"/>
            <w:shd w:val="clear" w:color="auto" w:fill="FFFFFF" w:themeFill="background1"/>
          </w:tcPr>
          <w:p w:rsidR="00055CE8" w:rsidRDefault="00055CE8"/>
        </w:tc>
        <w:tc>
          <w:tcPr>
            <w:tcW w:w="531" w:type="dxa"/>
            <w:shd w:val="clear" w:color="auto" w:fill="000000" w:themeFill="text1"/>
          </w:tcPr>
          <w:p w:rsidR="00055CE8" w:rsidRDefault="00055CE8"/>
        </w:tc>
        <w:tc>
          <w:tcPr>
            <w:tcW w:w="581" w:type="dxa"/>
            <w:shd w:val="clear" w:color="auto" w:fill="000000" w:themeFill="text1"/>
          </w:tcPr>
          <w:p w:rsidR="00055CE8" w:rsidRDefault="00055CE8"/>
        </w:tc>
        <w:tc>
          <w:tcPr>
            <w:tcW w:w="581" w:type="dxa"/>
            <w:shd w:val="clear" w:color="auto" w:fill="FFFFFF" w:themeFill="background1"/>
          </w:tcPr>
          <w:p w:rsidR="00055CE8" w:rsidRDefault="00055CE8"/>
        </w:tc>
        <w:tc>
          <w:tcPr>
            <w:tcW w:w="581" w:type="dxa"/>
          </w:tcPr>
          <w:p w:rsidR="00055CE8" w:rsidRDefault="00055CE8"/>
        </w:tc>
        <w:tc>
          <w:tcPr>
            <w:tcW w:w="581" w:type="dxa"/>
          </w:tcPr>
          <w:p w:rsidR="00055CE8" w:rsidRDefault="00055CE8"/>
        </w:tc>
        <w:tc>
          <w:tcPr>
            <w:tcW w:w="581" w:type="dxa"/>
          </w:tcPr>
          <w:p w:rsidR="00055CE8" w:rsidRDefault="00055CE8"/>
        </w:tc>
        <w:tc>
          <w:tcPr>
            <w:tcW w:w="581" w:type="dxa"/>
          </w:tcPr>
          <w:p w:rsidR="00055CE8" w:rsidRDefault="00055CE8"/>
        </w:tc>
        <w:tc>
          <w:tcPr>
            <w:tcW w:w="581" w:type="dxa"/>
          </w:tcPr>
          <w:p w:rsidR="00055CE8" w:rsidRDefault="00055CE8"/>
        </w:tc>
        <w:tc>
          <w:tcPr>
            <w:tcW w:w="581" w:type="dxa"/>
          </w:tcPr>
          <w:p w:rsidR="00055CE8" w:rsidRDefault="00055CE8"/>
        </w:tc>
        <w:tc>
          <w:tcPr>
            <w:tcW w:w="581" w:type="dxa"/>
          </w:tcPr>
          <w:p w:rsidR="00055CE8" w:rsidRDefault="00055CE8"/>
        </w:tc>
      </w:tr>
      <w:tr w:rsidR="00055CE8">
        <w:tc>
          <w:tcPr>
            <w:tcW w:w="3078" w:type="dxa"/>
          </w:tcPr>
          <w:p w:rsidR="00055CE8" w:rsidRPr="001F7B82" w:rsidRDefault="00055CE8" w:rsidP="00565AC7">
            <w:pPr>
              <w:rPr>
                <w:rFonts w:ascii="Verdana" w:hAnsi="Verdana"/>
                <w:sz w:val="18"/>
                <w:szCs w:val="18"/>
              </w:rPr>
            </w:pPr>
            <w:r w:rsidRPr="001F7B82">
              <w:rPr>
                <w:rFonts w:ascii="Verdana" w:hAnsi="Verdana"/>
                <w:sz w:val="18"/>
                <w:szCs w:val="18"/>
              </w:rPr>
              <w:t>Run Field Test</w:t>
            </w:r>
          </w:p>
          <w:p w:rsidR="00055CE8" w:rsidRPr="001F7B82" w:rsidRDefault="00055CE8">
            <w:pPr>
              <w:rPr>
                <w:sz w:val="18"/>
              </w:rPr>
            </w:pPr>
          </w:p>
        </w:tc>
        <w:tc>
          <w:tcPr>
            <w:tcW w:w="630" w:type="dxa"/>
          </w:tcPr>
          <w:p w:rsidR="00055CE8" w:rsidRDefault="00055CE8"/>
        </w:tc>
        <w:tc>
          <w:tcPr>
            <w:tcW w:w="630" w:type="dxa"/>
          </w:tcPr>
          <w:p w:rsidR="00055CE8" w:rsidRDefault="00055CE8"/>
        </w:tc>
        <w:tc>
          <w:tcPr>
            <w:tcW w:w="531" w:type="dxa"/>
            <w:shd w:val="clear" w:color="auto" w:fill="FFFFFF" w:themeFill="background1"/>
          </w:tcPr>
          <w:p w:rsidR="00055CE8" w:rsidRDefault="00055CE8"/>
        </w:tc>
        <w:tc>
          <w:tcPr>
            <w:tcW w:w="581" w:type="dxa"/>
            <w:shd w:val="clear" w:color="auto" w:fill="000000" w:themeFill="text1"/>
          </w:tcPr>
          <w:p w:rsidR="00055CE8" w:rsidRDefault="00055CE8"/>
        </w:tc>
        <w:tc>
          <w:tcPr>
            <w:tcW w:w="581" w:type="dxa"/>
            <w:shd w:val="clear" w:color="auto" w:fill="000000" w:themeFill="text1"/>
          </w:tcPr>
          <w:p w:rsidR="00055CE8" w:rsidRDefault="00055CE8"/>
        </w:tc>
        <w:tc>
          <w:tcPr>
            <w:tcW w:w="581" w:type="dxa"/>
          </w:tcPr>
          <w:p w:rsidR="00055CE8" w:rsidRDefault="00055CE8"/>
        </w:tc>
        <w:tc>
          <w:tcPr>
            <w:tcW w:w="581" w:type="dxa"/>
          </w:tcPr>
          <w:p w:rsidR="00055CE8" w:rsidRDefault="00055CE8"/>
        </w:tc>
        <w:tc>
          <w:tcPr>
            <w:tcW w:w="581" w:type="dxa"/>
          </w:tcPr>
          <w:p w:rsidR="00055CE8" w:rsidRDefault="00055CE8"/>
        </w:tc>
        <w:tc>
          <w:tcPr>
            <w:tcW w:w="581" w:type="dxa"/>
          </w:tcPr>
          <w:p w:rsidR="00055CE8" w:rsidRDefault="00055CE8"/>
        </w:tc>
        <w:tc>
          <w:tcPr>
            <w:tcW w:w="581" w:type="dxa"/>
          </w:tcPr>
          <w:p w:rsidR="00055CE8" w:rsidRDefault="00055CE8"/>
        </w:tc>
        <w:tc>
          <w:tcPr>
            <w:tcW w:w="581" w:type="dxa"/>
          </w:tcPr>
          <w:p w:rsidR="00055CE8" w:rsidRDefault="00055CE8"/>
        </w:tc>
        <w:tc>
          <w:tcPr>
            <w:tcW w:w="581" w:type="dxa"/>
          </w:tcPr>
          <w:p w:rsidR="00055CE8" w:rsidRDefault="00055CE8"/>
        </w:tc>
      </w:tr>
      <w:tr w:rsidR="00055CE8">
        <w:tc>
          <w:tcPr>
            <w:tcW w:w="3078" w:type="dxa"/>
          </w:tcPr>
          <w:p w:rsidR="00055CE8" w:rsidRPr="001F7B82" w:rsidRDefault="00055CE8" w:rsidP="00565AC7">
            <w:pPr>
              <w:rPr>
                <w:rFonts w:ascii="Verdana" w:hAnsi="Verdana"/>
                <w:sz w:val="18"/>
                <w:szCs w:val="18"/>
              </w:rPr>
            </w:pPr>
            <w:r w:rsidRPr="001F7B82">
              <w:rPr>
                <w:rFonts w:ascii="Verdana" w:hAnsi="Verdana"/>
                <w:sz w:val="18"/>
                <w:szCs w:val="18"/>
              </w:rPr>
              <w:t>Produce final report</w:t>
            </w:r>
          </w:p>
          <w:p w:rsidR="00055CE8" w:rsidRPr="001F7B82" w:rsidRDefault="00055CE8">
            <w:pPr>
              <w:rPr>
                <w:sz w:val="18"/>
              </w:rPr>
            </w:pPr>
          </w:p>
        </w:tc>
        <w:tc>
          <w:tcPr>
            <w:tcW w:w="630" w:type="dxa"/>
          </w:tcPr>
          <w:p w:rsidR="00055CE8" w:rsidRDefault="00055CE8"/>
        </w:tc>
        <w:tc>
          <w:tcPr>
            <w:tcW w:w="630" w:type="dxa"/>
          </w:tcPr>
          <w:p w:rsidR="00055CE8" w:rsidRDefault="00055CE8"/>
        </w:tc>
        <w:tc>
          <w:tcPr>
            <w:tcW w:w="531" w:type="dxa"/>
          </w:tcPr>
          <w:p w:rsidR="00055CE8" w:rsidRDefault="00055CE8"/>
        </w:tc>
        <w:tc>
          <w:tcPr>
            <w:tcW w:w="581" w:type="dxa"/>
          </w:tcPr>
          <w:p w:rsidR="00055CE8" w:rsidRDefault="00055CE8"/>
        </w:tc>
        <w:tc>
          <w:tcPr>
            <w:tcW w:w="581" w:type="dxa"/>
            <w:shd w:val="clear" w:color="auto" w:fill="000000" w:themeFill="text1"/>
          </w:tcPr>
          <w:p w:rsidR="00055CE8" w:rsidRDefault="00055CE8"/>
        </w:tc>
        <w:tc>
          <w:tcPr>
            <w:tcW w:w="581" w:type="dxa"/>
            <w:shd w:val="clear" w:color="auto" w:fill="000000" w:themeFill="text1"/>
          </w:tcPr>
          <w:p w:rsidR="00055CE8" w:rsidRDefault="00055CE8"/>
        </w:tc>
        <w:tc>
          <w:tcPr>
            <w:tcW w:w="581" w:type="dxa"/>
            <w:shd w:val="clear" w:color="auto" w:fill="000000" w:themeFill="text1"/>
          </w:tcPr>
          <w:p w:rsidR="00055CE8" w:rsidRDefault="00055CE8"/>
        </w:tc>
        <w:tc>
          <w:tcPr>
            <w:tcW w:w="581" w:type="dxa"/>
            <w:shd w:val="clear" w:color="auto" w:fill="000000" w:themeFill="text1"/>
          </w:tcPr>
          <w:p w:rsidR="00055CE8" w:rsidRDefault="00055CE8"/>
        </w:tc>
        <w:tc>
          <w:tcPr>
            <w:tcW w:w="581" w:type="dxa"/>
            <w:shd w:val="clear" w:color="auto" w:fill="000000" w:themeFill="text1"/>
          </w:tcPr>
          <w:p w:rsidR="00055CE8" w:rsidRDefault="00055CE8"/>
        </w:tc>
        <w:tc>
          <w:tcPr>
            <w:tcW w:w="581" w:type="dxa"/>
            <w:shd w:val="clear" w:color="auto" w:fill="000000" w:themeFill="text1"/>
          </w:tcPr>
          <w:p w:rsidR="00055CE8" w:rsidRDefault="00055CE8"/>
        </w:tc>
        <w:tc>
          <w:tcPr>
            <w:tcW w:w="581" w:type="dxa"/>
            <w:shd w:val="clear" w:color="auto" w:fill="000000" w:themeFill="text1"/>
          </w:tcPr>
          <w:p w:rsidR="00055CE8" w:rsidRDefault="00055CE8"/>
        </w:tc>
        <w:tc>
          <w:tcPr>
            <w:tcW w:w="581" w:type="dxa"/>
            <w:shd w:val="clear" w:color="auto" w:fill="000000" w:themeFill="text1"/>
          </w:tcPr>
          <w:p w:rsidR="00055CE8" w:rsidRDefault="00055CE8"/>
        </w:tc>
      </w:tr>
    </w:tbl>
    <w:p w:rsidR="003E7731" w:rsidRDefault="0099782C" w:rsidP="0099782C">
      <w:pPr>
        <w:pStyle w:val="Heading1"/>
      </w:pPr>
      <w:r>
        <w:lastRenderedPageBreak/>
        <w:t xml:space="preserve">Estimate of </w:t>
      </w:r>
      <w:r w:rsidR="0009627A">
        <w:t xml:space="preserve">Hour </w:t>
      </w:r>
      <w:r>
        <w:t>Burden</w:t>
      </w:r>
    </w:p>
    <w:p w:rsidR="001F659E" w:rsidRDefault="001F659E" w:rsidP="001F659E"/>
    <w:p w:rsidR="009C25D5" w:rsidRPr="003E0835" w:rsidRDefault="009C25D5" w:rsidP="009C25D5">
      <w:r w:rsidRPr="003E0835">
        <w:t>A purposive sample of teachers and schools across the United States will be recruited to participate in the field trials. While the sample will not be a nationally representative sample, the study will attempt to recruit from all regions of the country and include urban, suburban, and rural schools. For example, the contractor will conduct recruitments in Washington, California, Colorado, Texas, Chicago, Florida, District of Columbia, New York City, and New England. Participants will include seven 6</w:t>
      </w:r>
      <w:r w:rsidRPr="003E0835">
        <w:rPr>
          <w:vertAlign w:val="superscript"/>
        </w:rPr>
        <w:t>th</w:t>
      </w:r>
      <w:r w:rsidRPr="003E0835">
        <w:t xml:space="preserve"> grade teachers, seven 8</w:t>
      </w:r>
      <w:r w:rsidRPr="003E0835">
        <w:rPr>
          <w:vertAlign w:val="superscript"/>
        </w:rPr>
        <w:t>th</w:t>
      </w:r>
      <w:r w:rsidRPr="003E0835">
        <w:t xml:space="preserve"> grade teachers, and seven 10</w:t>
      </w:r>
      <w:r w:rsidRPr="003E0835">
        <w:rPr>
          <w:vertAlign w:val="superscript"/>
        </w:rPr>
        <w:t>th</w:t>
      </w:r>
      <w:r w:rsidRPr="003E0835">
        <w:t xml:space="preserve"> grade teachers. Once recruited, teachers and schools will complete and submit consent </w:t>
      </w:r>
      <w:r w:rsidRPr="00BD0687">
        <w:t>forms and confirm technology requirements with the school compu</w:t>
      </w:r>
      <w:r w:rsidR="004261A1">
        <w:t>ter network support expert (</w:t>
      </w:r>
      <w:r w:rsidRPr="00B73119">
        <w:rPr>
          <w:highlight w:val="yellow"/>
        </w:rPr>
        <w:t>Appendix A</w:t>
      </w:r>
      <w:r w:rsidR="004261A1" w:rsidRPr="00B73119">
        <w:rPr>
          <w:highlight w:val="yellow"/>
        </w:rPr>
        <w:t>, pages 22-23</w:t>
      </w:r>
      <w:r w:rsidRPr="00B73119">
        <w:rPr>
          <w:highlight w:val="yellow"/>
        </w:rPr>
        <w:t>).</w:t>
      </w:r>
      <w:r w:rsidRPr="00BD0687">
        <w:t xml:space="preserve"> All</w:t>
      </w:r>
      <w:r w:rsidRPr="003E0835">
        <w:t xml:space="preserve"> teachers will schedule and participate in a web-based training session and will be provided student logins and passwords for the testing sessions. All teachers will also conduct accessibility testing on school computers. Schools will be provided a testing window and teachers will administer </w:t>
      </w:r>
      <w:r w:rsidR="00EA4A72" w:rsidRPr="00EA4A72">
        <w:rPr>
          <w:highlight w:val="yellow"/>
        </w:rPr>
        <w:t xml:space="preserve">the </w:t>
      </w:r>
      <w:r w:rsidRPr="00445960">
        <w:rPr>
          <w:highlight w:val="yellow"/>
        </w:rPr>
        <w:t>two 60</w:t>
      </w:r>
      <w:r w:rsidR="00EA4A72" w:rsidRPr="00EA4A72">
        <w:rPr>
          <w:highlight w:val="yellow"/>
        </w:rPr>
        <w:t>-minute tasks</w:t>
      </w:r>
      <w:r w:rsidRPr="003E0835">
        <w:t xml:space="preserve"> in one day or over a two-week</w:t>
      </w:r>
      <w:r>
        <w:t xml:space="preserve"> period.</w:t>
      </w:r>
    </w:p>
    <w:p w:rsidR="00450BF6" w:rsidRPr="003E0835" w:rsidRDefault="00450BF6" w:rsidP="009328E6"/>
    <w:p w:rsidR="009328E6" w:rsidRPr="003E0835" w:rsidRDefault="009328E6" w:rsidP="009328E6">
      <w:pPr>
        <w:rPr>
          <w:color w:val="FF0000"/>
        </w:rPr>
      </w:pPr>
      <w:r w:rsidRPr="003E0835">
        <w:t>Burden Table</w:t>
      </w:r>
      <w:r w:rsidR="001F659E" w:rsidRPr="003E0835">
        <w:t xml:space="preserve"> for Phase 2.4 Field T</w:t>
      </w:r>
      <w:r w:rsidR="003E0835" w:rsidRPr="003E0835">
        <w:t>rials</w:t>
      </w:r>
      <w:r w:rsidR="001F659E" w:rsidRPr="003E0835">
        <w:t xml:space="preserve"> (assessment administration)</w:t>
      </w:r>
      <w:r w:rsidR="00200A19" w:rsidRPr="003E0835">
        <w:t xml:space="preserve"> </w:t>
      </w:r>
    </w:p>
    <w:tbl>
      <w:tblPr>
        <w:tblStyle w:val="TableGrid"/>
        <w:tblW w:w="5000" w:type="pct"/>
        <w:tblLayout w:type="fixed"/>
        <w:tblLook w:val="00BF"/>
      </w:tblPr>
      <w:tblGrid>
        <w:gridCol w:w="4247"/>
        <w:gridCol w:w="1620"/>
        <w:gridCol w:w="1441"/>
        <w:gridCol w:w="1441"/>
        <w:gridCol w:w="1691"/>
      </w:tblGrid>
      <w:tr w:rsidR="001F659E" w:rsidRPr="003E0835">
        <w:tc>
          <w:tcPr>
            <w:tcW w:w="2034" w:type="pct"/>
          </w:tcPr>
          <w:p w:rsidR="001F659E" w:rsidRPr="003E0835" w:rsidRDefault="001F659E" w:rsidP="00F34D79">
            <w:pPr>
              <w:pStyle w:val="Heading2"/>
            </w:pPr>
            <w:r w:rsidRPr="003E0835">
              <w:t>Activity</w:t>
            </w:r>
          </w:p>
        </w:tc>
        <w:tc>
          <w:tcPr>
            <w:tcW w:w="776" w:type="pct"/>
          </w:tcPr>
          <w:p w:rsidR="001F659E" w:rsidRPr="003E0835" w:rsidRDefault="001F659E" w:rsidP="00F34D79">
            <w:pPr>
              <w:pStyle w:val="Heading2"/>
            </w:pPr>
            <w:r w:rsidRPr="003E0835">
              <w:t>Number of Respondents</w:t>
            </w:r>
          </w:p>
        </w:tc>
        <w:tc>
          <w:tcPr>
            <w:tcW w:w="690" w:type="pct"/>
          </w:tcPr>
          <w:p w:rsidR="001F659E" w:rsidRPr="003E0835" w:rsidRDefault="001F659E" w:rsidP="00E1517D">
            <w:pPr>
              <w:pStyle w:val="Heading2"/>
            </w:pPr>
            <w:r w:rsidRPr="003E0835">
              <w:t>Number of Responses</w:t>
            </w:r>
          </w:p>
        </w:tc>
        <w:tc>
          <w:tcPr>
            <w:tcW w:w="690" w:type="pct"/>
          </w:tcPr>
          <w:p w:rsidR="001F659E" w:rsidRPr="003E0835" w:rsidRDefault="001F659E" w:rsidP="00F34D79">
            <w:pPr>
              <w:pStyle w:val="Heading2"/>
            </w:pPr>
            <w:r w:rsidRPr="003E0835">
              <w:t>Estimated Hours</w:t>
            </w:r>
          </w:p>
        </w:tc>
        <w:tc>
          <w:tcPr>
            <w:tcW w:w="810" w:type="pct"/>
          </w:tcPr>
          <w:p w:rsidR="001F659E" w:rsidRPr="003E0835" w:rsidRDefault="001F659E" w:rsidP="002145F8">
            <w:pPr>
              <w:pStyle w:val="Heading2"/>
              <w:ind w:right="-36"/>
            </w:pPr>
            <w:r w:rsidRPr="003E0835">
              <w:t xml:space="preserve">TOTAL </w:t>
            </w:r>
            <w:r w:rsidR="002145F8">
              <w:t>B</w:t>
            </w:r>
            <w:r w:rsidRPr="003E0835">
              <w:t>urden Hours</w:t>
            </w:r>
          </w:p>
        </w:tc>
      </w:tr>
      <w:tr w:rsidR="00373AD3" w:rsidRPr="009C25D5">
        <w:tc>
          <w:tcPr>
            <w:tcW w:w="2034" w:type="pct"/>
          </w:tcPr>
          <w:p w:rsidR="00EA4A72" w:rsidRDefault="00131A9E" w:rsidP="00EA4A72">
            <w:pPr>
              <w:ind w:left="360" w:hanging="360"/>
            </w:pPr>
            <w:r w:rsidRPr="009C25D5">
              <w:t>Teacher computer accessibility test</w:t>
            </w:r>
            <w:r w:rsidR="00450BF6" w:rsidRPr="009C25D5">
              <w:t>ing</w:t>
            </w:r>
          </w:p>
        </w:tc>
        <w:tc>
          <w:tcPr>
            <w:tcW w:w="776" w:type="pct"/>
          </w:tcPr>
          <w:p w:rsidR="00373AD3" w:rsidRPr="009C25D5" w:rsidRDefault="00373AD3" w:rsidP="009328E6">
            <w:pPr>
              <w:jc w:val="right"/>
            </w:pPr>
            <w:r w:rsidRPr="009C25D5">
              <w:t>21 teachers</w:t>
            </w:r>
          </w:p>
        </w:tc>
        <w:tc>
          <w:tcPr>
            <w:tcW w:w="690" w:type="pct"/>
          </w:tcPr>
          <w:p w:rsidR="00373AD3" w:rsidRPr="009C25D5" w:rsidRDefault="00373AD3" w:rsidP="009328E6">
            <w:pPr>
              <w:jc w:val="right"/>
            </w:pPr>
            <w:r w:rsidRPr="009C25D5">
              <w:t>21</w:t>
            </w:r>
          </w:p>
        </w:tc>
        <w:tc>
          <w:tcPr>
            <w:tcW w:w="690" w:type="pct"/>
          </w:tcPr>
          <w:p w:rsidR="00373AD3" w:rsidRPr="009C25D5" w:rsidRDefault="00373AD3" w:rsidP="009328E6">
            <w:pPr>
              <w:jc w:val="right"/>
            </w:pPr>
            <w:r w:rsidRPr="009C25D5">
              <w:t>2</w:t>
            </w:r>
          </w:p>
        </w:tc>
        <w:tc>
          <w:tcPr>
            <w:tcW w:w="810" w:type="pct"/>
          </w:tcPr>
          <w:p w:rsidR="00373AD3" w:rsidRPr="009C25D5" w:rsidRDefault="00373AD3" w:rsidP="00603D19">
            <w:pPr>
              <w:jc w:val="right"/>
            </w:pPr>
            <w:r w:rsidRPr="009C25D5">
              <w:t>42</w:t>
            </w:r>
          </w:p>
        </w:tc>
      </w:tr>
      <w:tr w:rsidR="009C25D5" w:rsidRPr="009C25D5">
        <w:tc>
          <w:tcPr>
            <w:tcW w:w="2034" w:type="pct"/>
          </w:tcPr>
          <w:p w:rsidR="009C25D5" w:rsidRPr="009C25D5" w:rsidRDefault="009C25D5" w:rsidP="009C25D5">
            <w:r w:rsidRPr="009C25D5">
              <w:t>Teacher Training</w:t>
            </w:r>
          </w:p>
        </w:tc>
        <w:tc>
          <w:tcPr>
            <w:tcW w:w="776" w:type="pct"/>
          </w:tcPr>
          <w:p w:rsidR="009C25D5" w:rsidRPr="009C25D5" w:rsidRDefault="009C25D5" w:rsidP="009328E6">
            <w:pPr>
              <w:jc w:val="right"/>
            </w:pPr>
            <w:r w:rsidRPr="009C25D5">
              <w:t>21 teachers</w:t>
            </w:r>
          </w:p>
        </w:tc>
        <w:tc>
          <w:tcPr>
            <w:tcW w:w="690" w:type="pct"/>
          </w:tcPr>
          <w:p w:rsidR="009C25D5" w:rsidRPr="009C25D5" w:rsidRDefault="009C25D5" w:rsidP="009328E6">
            <w:pPr>
              <w:jc w:val="right"/>
            </w:pPr>
            <w:r w:rsidRPr="009C25D5">
              <w:t>21</w:t>
            </w:r>
          </w:p>
        </w:tc>
        <w:tc>
          <w:tcPr>
            <w:tcW w:w="690" w:type="pct"/>
          </w:tcPr>
          <w:p w:rsidR="009C25D5" w:rsidRPr="009C25D5" w:rsidRDefault="009C25D5" w:rsidP="009328E6">
            <w:pPr>
              <w:jc w:val="right"/>
            </w:pPr>
            <w:r w:rsidRPr="009C25D5">
              <w:t>1</w:t>
            </w:r>
          </w:p>
        </w:tc>
        <w:tc>
          <w:tcPr>
            <w:tcW w:w="810" w:type="pct"/>
          </w:tcPr>
          <w:p w:rsidR="009C25D5" w:rsidRPr="009C25D5" w:rsidRDefault="009C25D5" w:rsidP="00603D19">
            <w:pPr>
              <w:jc w:val="right"/>
            </w:pPr>
            <w:r w:rsidRPr="009C25D5">
              <w:t>21</w:t>
            </w:r>
          </w:p>
        </w:tc>
      </w:tr>
      <w:tr w:rsidR="001F659E" w:rsidRPr="009C25D5">
        <w:tc>
          <w:tcPr>
            <w:tcW w:w="2034" w:type="pct"/>
          </w:tcPr>
          <w:p w:rsidR="00EA4A72" w:rsidRDefault="009C25D5" w:rsidP="00EA4A72">
            <w:pPr>
              <w:ind w:left="360" w:hanging="360"/>
            </w:pPr>
            <w:r w:rsidRPr="009C25D5">
              <w:t>Teacher administration of the field test</w:t>
            </w:r>
          </w:p>
        </w:tc>
        <w:tc>
          <w:tcPr>
            <w:tcW w:w="776" w:type="pct"/>
          </w:tcPr>
          <w:p w:rsidR="001F659E" w:rsidRPr="009C25D5" w:rsidRDefault="001374EB" w:rsidP="009328E6">
            <w:pPr>
              <w:jc w:val="right"/>
            </w:pPr>
            <w:r w:rsidRPr="009C25D5">
              <w:t>21 teachers</w:t>
            </w:r>
          </w:p>
        </w:tc>
        <w:tc>
          <w:tcPr>
            <w:tcW w:w="690" w:type="pct"/>
          </w:tcPr>
          <w:p w:rsidR="001F659E" w:rsidRPr="009C25D5" w:rsidRDefault="004B5DDE" w:rsidP="009328E6">
            <w:pPr>
              <w:jc w:val="right"/>
            </w:pPr>
            <w:r w:rsidRPr="009C25D5">
              <w:t>21</w:t>
            </w:r>
          </w:p>
        </w:tc>
        <w:tc>
          <w:tcPr>
            <w:tcW w:w="690" w:type="pct"/>
          </w:tcPr>
          <w:p w:rsidR="001F659E" w:rsidRPr="009C25D5" w:rsidRDefault="009C25D5" w:rsidP="009328E6">
            <w:pPr>
              <w:jc w:val="right"/>
            </w:pPr>
            <w:r w:rsidRPr="009C25D5">
              <w:t>3</w:t>
            </w:r>
          </w:p>
        </w:tc>
        <w:tc>
          <w:tcPr>
            <w:tcW w:w="810" w:type="pct"/>
          </w:tcPr>
          <w:p w:rsidR="001F659E" w:rsidRPr="009C25D5" w:rsidRDefault="009C25D5" w:rsidP="00603D19">
            <w:pPr>
              <w:jc w:val="right"/>
            </w:pPr>
            <w:r w:rsidRPr="009C25D5">
              <w:t>63</w:t>
            </w:r>
          </w:p>
        </w:tc>
      </w:tr>
      <w:tr w:rsidR="005D7B10">
        <w:tc>
          <w:tcPr>
            <w:tcW w:w="2034" w:type="pct"/>
          </w:tcPr>
          <w:p w:rsidR="005D7B10" w:rsidRPr="00B73119" w:rsidRDefault="005D7B10" w:rsidP="005D7B10">
            <w:pPr>
              <w:rPr>
                <w:highlight w:val="yellow"/>
              </w:rPr>
            </w:pPr>
            <w:r w:rsidRPr="00B73119">
              <w:rPr>
                <w:highlight w:val="yellow"/>
              </w:rPr>
              <w:t>Student survey</w:t>
            </w:r>
            <w:r w:rsidR="00F4695E" w:rsidRPr="00B73119">
              <w:rPr>
                <w:highlight w:val="yellow"/>
              </w:rPr>
              <w:t>s</w:t>
            </w:r>
            <w:r w:rsidRPr="00B73119">
              <w:rPr>
                <w:highlight w:val="yellow"/>
              </w:rPr>
              <w:t xml:space="preserve"> </w:t>
            </w:r>
          </w:p>
        </w:tc>
        <w:tc>
          <w:tcPr>
            <w:tcW w:w="776" w:type="pct"/>
          </w:tcPr>
          <w:p w:rsidR="005D7B10" w:rsidRPr="00B73119" w:rsidRDefault="005D7B10" w:rsidP="009E47AF">
            <w:pPr>
              <w:jc w:val="right"/>
              <w:rPr>
                <w:highlight w:val="yellow"/>
              </w:rPr>
            </w:pPr>
            <w:r w:rsidRPr="00B73119">
              <w:rPr>
                <w:highlight w:val="yellow"/>
              </w:rPr>
              <w:t>525</w:t>
            </w:r>
          </w:p>
        </w:tc>
        <w:tc>
          <w:tcPr>
            <w:tcW w:w="690" w:type="pct"/>
          </w:tcPr>
          <w:p w:rsidR="005D7B10" w:rsidRPr="00B73119" w:rsidRDefault="005D7B10" w:rsidP="009E47AF">
            <w:pPr>
              <w:jc w:val="right"/>
              <w:rPr>
                <w:highlight w:val="yellow"/>
              </w:rPr>
            </w:pPr>
            <w:r w:rsidRPr="00B73119">
              <w:rPr>
                <w:highlight w:val="yellow"/>
              </w:rPr>
              <w:t>525</w:t>
            </w:r>
          </w:p>
        </w:tc>
        <w:tc>
          <w:tcPr>
            <w:tcW w:w="690" w:type="pct"/>
          </w:tcPr>
          <w:p w:rsidR="005D7B10" w:rsidRPr="00B73119" w:rsidRDefault="003764BF" w:rsidP="003C6C57">
            <w:pPr>
              <w:jc w:val="right"/>
              <w:rPr>
                <w:highlight w:val="yellow"/>
              </w:rPr>
            </w:pPr>
            <w:r>
              <w:rPr>
                <w:highlight w:val="yellow"/>
              </w:rPr>
              <w:t>132</w:t>
            </w:r>
          </w:p>
        </w:tc>
        <w:tc>
          <w:tcPr>
            <w:tcW w:w="810" w:type="pct"/>
          </w:tcPr>
          <w:p w:rsidR="005D7B10" w:rsidRPr="003E0835" w:rsidRDefault="003764BF" w:rsidP="003C1341">
            <w:pPr>
              <w:jc w:val="right"/>
              <w:rPr>
                <w:b/>
              </w:rPr>
            </w:pPr>
            <w:r w:rsidRPr="003764BF">
              <w:rPr>
                <w:highlight w:val="yellow"/>
              </w:rPr>
              <w:t>132</w:t>
            </w:r>
          </w:p>
        </w:tc>
      </w:tr>
      <w:tr w:rsidR="001F659E" w:rsidRPr="00B37B99">
        <w:tc>
          <w:tcPr>
            <w:tcW w:w="2034" w:type="pct"/>
          </w:tcPr>
          <w:p w:rsidR="001F659E" w:rsidRPr="00B73119" w:rsidRDefault="001F659E" w:rsidP="001F659E">
            <w:pPr>
              <w:rPr>
                <w:b/>
                <w:highlight w:val="yellow"/>
              </w:rPr>
            </w:pPr>
            <w:r w:rsidRPr="00B73119">
              <w:rPr>
                <w:b/>
                <w:highlight w:val="yellow"/>
              </w:rPr>
              <w:t>Total</w:t>
            </w:r>
          </w:p>
        </w:tc>
        <w:tc>
          <w:tcPr>
            <w:tcW w:w="776" w:type="pct"/>
          </w:tcPr>
          <w:p w:rsidR="001F659E" w:rsidRPr="00B73119" w:rsidRDefault="00B73119" w:rsidP="009E47AF">
            <w:pPr>
              <w:jc w:val="right"/>
              <w:rPr>
                <w:b/>
                <w:highlight w:val="yellow"/>
              </w:rPr>
            </w:pPr>
            <w:r w:rsidRPr="00B73119">
              <w:rPr>
                <w:b/>
                <w:highlight w:val="yellow"/>
              </w:rPr>
              <w:t>546</w:t>
            </w:r>
          </w:p>
        </w:tc>
        <w:tc>
          <w:tcPr>
            <w:tcW w:w="690" w:type="pct"/>
          </w:tcPr>
          <w:p w:rsidR="001F659E" w:rsidRPr="00B73119" w:rsidRDefault="00B73119" w:rsidP="009E47AF">
            <w:pPr>
              <w:jc w:val="right"/>
              <w:rPr>
                <w:b/>
                <w:highlight w:val="yellow"/>
              </w:rPr>
            </w:pPr>
            <w:r w:rsidRPr="00B73119">
              <w:rPr>
                <w:b/>
                <w:highlight w:val="yellow"/>
              </w:rPr>
              <w:t>588</w:t>
            </w:r>
          </w:p>
        </w:tc>
        <w:tc>
          <w:tcPr>
            <w:tcW w:w="690" w:type="pct"/>
          </w:tcPr>
          <w:p w:rsidR="001F659E" w:rsidRPr="00B73119" w:rsidRDefault="001F659E" w:rsidP="003C6C57">
            <w:pPr>
              <w:jc w:val="right"/>
              <w:rPr>
                <w:b/>
                <w:highlight w:val="yellow"/>
              </w:rPr>
            </w:pPr>
          </w:p>
        </w:tc>
        <w:tc>
          <w:tcPr>
            <w:tcW w:w="810" w:type="pct"/>
          </w:tcPr>
          <w:p w:rsidR="001F659E" w:rsidRPr="00B73119" w:rsidRDefault="003764BF" w:rsidP="005D7B10">
            <w:pPr>
              <w:jc w:val="right"/>
              <w:rPr>
                <w:b/>
                <w:highlight w:val="yellow"/>
              </w:rPr>
            </w:pPr>
            <w:r>
              <w:rPr>
                <w:b/>
                <w:highlight w:val="yellow"/>
              </w:rPr>
              <w:t>258</w:t>
            </w:r>
          </w:p>
        </w:tc>
      </w:tr>
    </w:tbl>
    <w:p w:rsidR="00B427C0" w:rsidRDefault="0099782C" w:rsidP="0099782C">
      <w:pPr>
        <w:pStyle w:val="Heading1"/>
      </w:pPr>
      <w:r>
        <w:t>Cost to the Federal Government</w:t>
      </w:r>
    </w:p>
    <w:tbl>
      <w:tblPr>
        <w:tblStyle w:val="TableGrid"/>
        <w:tblW w:w="0" w:type="auto"/>
        <w:tblLook w:val="00BF"/>
      </w:tblPr>
      <w:tblGrid>
        <w:gridCol w:w="6678"/>
        <w:gridCol w:w="3258"/>
      </w:tblGrid>
      <w:tr w:rsidR="00C10B89">
        <w:tc>
          <w:tcPr>
            <w:tcW w:w="6678" w:type="dxa"/>
          </w:tcPr>
          <w:p w:rsidR="00C10B89" w:rsidRDefault="00E73C99" w:rsidP="00C26147">
            <w:pPr>
              <w:pStyle w:val="Heading2"/>
            </w:pPr>
            <w:r>
              <w:rPr>
                <w:rFonts w:asciiTheme="minorHAnsi" w:eastAsiaTheme="minorHAnsi" w:hAnsiTheme="minorHAnsi" w:cstheme="minorBidi"/>
                <w:b w:val="0"/>
                <w:bCs w:val="0"/>
                <w:color w:val="auto"/>
                <w:sz w:val="24"/>
                <w:szCs w:val="24"/>
              </w:rPr>
              <w:t xml:space="preserve">Phase 2.2, Cognitive Labs &amp; Phase 2.3, </w:t>
            </w:r>
            <w:r w:rsidR="00C26147">
              <w:rPr>
                <w:rFonts w:asciiTheme="minorHAnsi" w:eastAsiaTheme="minorHAnsi" w:hAnsiTheme="minorHAnsi" w:cstheme="minorBidi"/>
                <w:b w:val="0"/>
                <w:bCs w:val="0"/>
                <w:color w:val="auto"/>
                <w:sz w:val="24"/>
                <w:szCs w:val="24"/>
              </w:rPr>
              <w:t xml:space="preserve">Pilot </w:t>
            </w:r>
            <w:r w:rsidR="004F0516">
              <w:rPr>
                <w:rFonts w:asciiTheme="minorHAnsi" w:eastAsiaTheme="minorHAnsi" w:hAnsiTheme="minorHAnsi" w:cstheme="minorBidi"/>
                <w:b w:val="0"/>
                <w:bCs w:val="0"/>
                <w:color w:val="auto"/>
                <w:sz w:val="24"/>
                <w:szCs w:val="24"/>
              </w:rPr>
              <w:t>Test</w:t>
            </w:r>
          </w:p>
        </w:tc>
        <w:tc>
          <w:tcPr>
            <w:tcW w:w="3258" w:type="dxa"/>
          </w:tcPr>
          <w:p w:rsidR="00603D19" w:rsidRDefault="00287B1F" w:rsidP="00603D19">
            <w:pPr>
              <w:pStyle w:val="Heading2"/>
              <w:jc w:val="right"/>
            </w:pPr>
            <w:r>
              <w:t>$127,741</w:t>
            </w:r>
          </w:p>
        </w:tc>
      </w:tr>
    </w:tbl>
    <w:p w:rsidR="003214A6" w:rsidRDefault="003214A6" w:rsidP="003214A6"/>
    <w:tbl>
      <w:tblPr>
        <w:tblStyle w:val="TableGrid"/>
        <w:tblW w:w="0" w:type="auto"/>
        <w:tblLook w:val="00BF"/>
      </w:tblPr>
      <w:tblGrid>
        <w:gridCol w:w="6678"/>
        <w:gridCol w:w="3258"/>
      </w:tblGrid>
      <w:tr w:rsidR="003214A6">
        <w:tc>
          <w:tcPr>
            <w:tcW w:w="6678" w:type="dxa"/>
          </w:tcPr>
          <w:p w:rsidR="003214A6" w:rsidRDefault="004C6666" w:rsidP="003214A6">
            <w:pPr>
              <w:pStyle w:val="Heading2"/>
            </w:pPr>
            <w:r>
              <w:rPr>
                <w:rFonts w:asciiTheme="minorHAnsi" w:eastAsiaTheme="minorHAnsi" w:hAnsiTheme="minorHAnsi" w:cstheme="minorBidi"/>
                <w:b w:val="0"/>
                <w:bCs w:val="0"/>
                <w:color w:val="auto"/>
                <w:sz w:val="24"/>
                <w:szCs w:val="24"/>
              </w:rPr>
              <w:t>Phase 2.4</w:t>
            </w:r>
            <w:r w:rsidR="00603D19" w:rsidRPr="00603D19">
              <w:rPr>
                <w:rFonts w:asciiTheme="minorHAnsi" w:eastAsiaTheme="minorHAnsi" w:hAnsiTheme="minorHAnsi" w:cstheme="minorBidi"/>
                <w:b w:val="0"/>
                <w:bCs w:val="0"/>
                <w:color w:val="auto"/>
                <w:sz w:val="24"/>
                <w:szCs w:val="24"/>
              </w:rPr>
              <w:t xml:space="preserve">, Field </w:t>
            </w:r>
            <w:r w:rsidR="004F0516">
              <w:rPr>
                <w:rFonts w:asciiTheme="minorHAnsi" w:eastAsiaTheme="minorHAnsi" w:hAnsiTheme="minorHAnsi" w:cstheme="minorBidi"/>
                <w:b w:val="0"/>
                <w:bCs w:val="0"/>
                <w:color w:val="auto"/>
                <w:sz w:val="24"/>
                <w:szCs w:val="24"/>
              </w:rPr>
              <w:t>Test</w:t>
            </w:r>
          </w:p>
        </w:tc>
        <w:tc>
          <w:tcPr>
            <w:tcW w:w="3258" w:type="dxa"/>
          </w:tcPr>
          <w:p w:rsidR="00603D19" w:rsidRDefault="00C26147" w:rsidP="00603D19">
            <w:pPr>
              <w:pStyle w:val="Heading2"/>
              <w:jc w:val="right"/>
            </w:pPr>
            <w:r>
              <w:t>$</w:t>
            </w:r>
            <w:r w:rsidR="00287B1F">
              <w:t>75,201</w:t>
            </w:r>
          </w:p>
        </w:tc>
      </w:tr>
    </w:tbl>
    <w:p w:rsidR="00FA2DA7" w:rsidRDefault="00FA2DA7" w:rsidP="003214A6"/>
    <w:tbl>
      <w:tblPr>
        <w:tblStyle w:val="TableGrid"/>
        <w:tblW w:w="0" w:type="auto"/>
        <w:tblLook w:val="00BF"/>
      </w:tblPr>
      <w:tblGrid>
        <w:gridCol w:w="6678"/>
        <w:gridCol w:w="3258"/>
      </w:tblGrid>
      <w:tr w:rsidR="00FA2DA7">
        <w:tc>
          <w:tcPr>
            <w:tcW w:w="6678" w:type="dxa"/>
          </w:tcPr>
          <w:p w:rsidR="00FA2DA7" w:rsidRDefault="00603D19" w:rsidP="00FA2DA7">
            <w:pPr>
              <w:pStyle w:val="Heading2"/>
            </w:pPr>
            <w:r w:rsidRPr="00603D19">
              <w:rPr>
                <w:rFonts w:asciiTheme="minorHAnsi" w:eastAsiaTheme="minorHAnsi" w:hAnsiTheme="minorHAnsi" w:cstheme="minorBidi"/>
                <w:b w:val="0"/>
                <w:bCs w:val="0"/>
                <w:color w:val="auto"/>
                <w:sz w:val="24"/>
                <w:szCs w:val="24"/>
              </w:rPr>
              <w:t>Final Report</w:t>
            </w:r>
          </w:p>
        </w:tc>
        <w:tc>
          <w:tcPr>
            <w:tcW w:w="3258" w:type="dxa"/>
          </w:tcPr>
          <w:p w:rsidR="00FA2DA7" w:rsidRPr="00FA2DA7" w:rsidRDefault="00C26147" w:rsidP="00287B1F">
            <w:pPr>
              <w:jc w:val="right"/>
              <w:rPr>
                <w:b/>
              </w:rPr>
            </w:pPr>
            <w:r>
              <w:rPr>
                <w:b/>
              </w:rPr>
              <w:t>$</w:t>
            </w:r>
            <w:r w:rsidR="00287B1F">
              <w:rPr>
                <w:b/>
              </w:rPr>
              <w:t>32,185</w:t>
            </w:r>
          </w:p>
        </w:tc>
      </w:tr>
    </w:tbl>
    <w:p w:rsidR="003214A6" w:rsidRDefault="003214A6" w:rsidP="003214A6"/>
    <w:sectPr w:rsidR="003214A6" w:rsidSect="00C72ECA">
      <w:headerReference w:type="default" r:id="rId19"/>
      <w:footerReference w:type="default" r:id="rId20"/>
      <w:pgSz w:w="12240" w:h="15840"/>
      <w:pgMar w:top="1008" w:right="1008" w:bottom="1008" w:left="1008"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119" w:rsidRDefault="00B73119" w:rsidP="007B40DC">
      <w:r>
        <w:separator/>
      </w:r>
    </w:p>
  </w:endnote>
  <w:endnote w:type="continuationSeparator" w:id="0">
    <w:p w:rsidR="00B73119" w:rsidRDefault="00B73119" w:rsidP="007B40D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119" w:rsidRDefault="00B73119" w:rsidP="00A41127">
    <w:pPr>
      <w:pStyle w:val="Footer"/>
    </w:pPr>
    <w:r>
      <w:rPr>
        <w:rStyle w:val="PageNumber"/>
      </w:rPr>
      <w:t>ATC21S</w:t>
    </w:r>
    <w:r>
      <w:rPr>
        <w:rStyle w:val="PageNumber"/>
      </w:rPr>
      <w:tab/>
    </w:r>
    <w:r>
      <w:rPr>
        <w:rStyle w:val="PageNumber"/>
      </w:rPr>
      <w:tab/>
    </w:r>
    <w:r>
      <w:rPr>
        <w:rStyle w:val="PageNumber"/>
      </w:rPr>
      <w:tab/>
    </w:r>
    <w:r w:rsidR="002744F5">
      <w:rPr>
        <w:rStyle w:val="PageNumber"/>
      </w:rPr>
      <w:fldChar w:fldCharType="begin"/>
    </w:r>
    <w:r>
      <w:rPr>
        <w:rStyle w:val="PageNumber"/>
      </w:rPr>
      <w:instrText xml:space="preserve"> PAGE </w:instrText>
    </w:r>
    <w:r w:rsidR="002744F5">
      <w:rPr>
        <w:rStyle w:val="PageNumber"/>
      </w:rPr>
      <w:fldChar w:fldCharType="separate"/>
    </w:r>
    <w:r w:rsidR="00184E2E">
      <w:rPr>
        <w:rStyle w:val="PageNumber"/>
        <w:noProof/>
      </w:rPr>
      <w:t>1</w:t>
    </w:r>
    <w:r w:rsidR="002744F5">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119" w:rsidRDefault="00B73119" w:rsidP="007B40DC">
      <w:r>
        <w:separator/>
      </w:r>
    </w:p>
  </w:footnote>
  <w:footnote w:type="continuationSeparator" w:id="0">
    <w:p w:rsidR="00B73119" w:rsidRDefault="00B73119" w:rsidP="007B40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119" w:rsidRDefault="00B731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6091"/>
    <w:multiLevelType w:val="hybridMultilevel"/>
    <w:tmpl w:val="B0680FF0"/>
    <w:lvl w:ilvl="0" w:tplc="F87C35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547A2"/>
    <w:multiLevelType w:val="hybridMultilevel"/>
    <w:tmpl w:val="B3FC7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CD94F32"/>
    <w:multiLevelType w:val="hybridMultilevel"/>
    <w:tmpl w:val="F0D24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C55E25"/>
    <w:multiLevelType w:val="hybridMultilevel"/>
    <w:tmpl w:val="E034A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DB08C2"/>
    <w:multiLevelType w:val="hybridMultilevel"/>
    <w:tmpl w:val="6B3E803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C871F7A"/>
    <w:multiLevelType w:val="hybridMultilevel"/>
    <w:tmpl w:val="8AB6F3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DC67432"/>
    <w:multiLevelType w:val="hybridMultilevel"/>
    <w:tmpl w:val="E85E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4A2B87"/>
    <w:multiLevelType w:val="hybridMultilevel"/>
    <w:tmpl w:val="F6C80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E3678FA"/>
    <w:multiLevelType w:val="multilevel"/>
    <w:tmpl w:val="B3FC76A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9">
    <w:nsid w:val="67351A1B"/>
    <w:multiLevelType w:val="hybridMultilevel"/>
    <w:tmpl w:val="6A440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052B60"/>
    <w:multiLevelType w:val="hybridMultilevel"/>
    <w:tmpl w:val="6A42CC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6AC730F"/>
    <w:multiLevelType w:val="hybridMultilevel"/>
    <w:tmpl w:val="1AC0B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1"/>
  </w:num>
  <w:num w:numId="5">
    <w:abstractNumId w:val="11"/>
  </w:num>
  <w:num w:numId="6">
    <w:abstractNumId w:val="9"/>
  </w:num>
  <w:num w:numId="7">
    <w:abstractNumId w:val="8"/>
  </w:num>
  <w:num w:numId="8">
    <w:abstractNumId w:val="10"/>
  </w:num>
  <w:num w:numId="9">
    <w:abstractNumId w:val="2"/>
  </w:num>
  <w:num w:numId="10">
    <w:abstractNumId w:val="5"/>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proofState w:spelling="clean"/>
  <w:doNotTrackMoves/>
  <w:defaultTabStop w:val="720"/>
  <w:drawingGridHorizontalSpacing w:val="12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F81823"/>
    <w:rsid w:val="000004EE"/>
    <w:rsid w:val="00005B52"/>
    <w:rsid w:val="000117D8"/>
    <w:rsid w:val="00014B52"/>
    <w:rsid w:val="00027A23"/>
    <w:rsid w:val="00030464"/>
    <w:rsid w:val="00030B83"/>
    <w:rsid w:val="00030ED9"/>
    <w:rsid w:val="00031C85"/>
    <w:rsid w:val="000346B4"/>
    <w:rsid w:val="00034AED"/>
    <w:rsid w:val="000369D5"/>
    <w:rsid w:val="000425C9"/>
    <w:rsid w:val="000503E4"/>
    <w:rsid w:val="00055CE8"/>
    <w:rsid w:val="00057225"/>
    <w:rsid w:val="0007381D"/>
    <w:rsid w:val="000816A3"/>
    <w:rsid w:val="00082CE1"/>
    <w:rsid w:val="00087DF2"/>
    <w:rsid w:val="00092D5A"/>
    <w:rsid w:val="0009627A"/>
    <w:rsid w:val="000A5718"/>
    <w:rsid w:val="000A5B5F"/>
    <w:rsid w:val="000B2780"/>
    <w:rsid w:val="000C1214"/>
    <w:rsid w:val="000C315E"/>
    <w:rsid w:val="000C3B91"/>
    <w:rsid w:val="000C7181"/>
    <w:rsid w:val="000C7866"/>
    <w:rsid w:val="000E5471"/>
    <w:rsid w:val="000F0ECE"/>
    <w:rsid w:val="000F52DC"/>
    <w:rsid w:val="000F5AC9"/>
    <w:rsid w:val="0010093B"/>
    <w:rsid w:val="00105B52"/>
    <w:rsid w:val="00107008"/>
    <w:rsid w:val="00107468"/>
    <w:rsid w:val="00107F3F"/>
    <w:rsid w:val="00114B6F"/>
    <w:rsid w:val="00120CAF"/>
    <w:rsid w:val="001275AA"/>
    <w:rsid w:val="00131061"/>
    <w:rsid w:val="00131A9E"/>
    <w:rsid w:val="0013268D"/>
    <w:rsid w:val="0013614A"/>
    <w:rsid w:val="001374EB"/>
    <w:rsid w:val="0013786F"/>
    <w:rsid w:val="00137DB3"/>
    <w:rsid w:val="001503A8"/>
    <w:rsid w:val="001527DA"/>
    <w:rsid w:val="00154FEC"/>
    <w:rsid w:val="001566E9"/>
    <w:rsid w:val="00165038"/>
    <w:rsid w:val="00166CC9"/>
    <w:rsid w:val="00170F48"/>
    <w:rsid w:val="00176307"/>
    <w:rsid w:val="0018139A"/>
    <w:rsid w:val="00181A86"/>
    <w:rsid w:val="00182541"/>
    <w:rsid w:val="001826D1"/>
    <w:rsid w:val="00184E2E"/>
    <w:rsid w:val="00186B34"/>
    <w:rsid w:val="00187429"/>
    <w:rsid w:val="00190BC4"/>
    <w:rsid w:val="00196E70"/>
    <w:rsid w:val="001A23D0"/>
    <w:rsid w:val="001A38C8"/>
    <w:rsid w:val="001A6B35"/>
    <w:rsid w:val="001B0C1B"/>
    <w:rsid w:val="001B154C"/>
    <w:rsid w:val="001B3BE0"/>
    <w:rsid w:val="001C5D1B"/>
    <w:rsid w:val="001C7655"/>
    <w:rsid w:val="001D7C61"/>
    <w:rsid w:val="001E22C4"/>
    <w:rsid w:val="001E3B72"/>
    <w:rsid w:val="001F325C"/>
    <w:rsid w:val="001F63E4"/>
    <w:rsid w:val="001F659E"/>
    <w:rsid w:val="00200A19"/>
    <w:rsid w:val="00206DAD"/>
    <w:rsid w:val="00210D30"/>
    <w:rsid w:val="002145F8"/>
    <w:rsid w:val="00214FB4"/>
    <w:rsid w:val="0022017D"/>
    <w:rsid w:val="00220D7B"/>
    <w:rsid w:val="00222C32"/>
    <w:rsid w:val="00223A11"/>
    <w:rsid w:val="00224C06"/>
    <w:rsid w:val="00224F12"/>
    <w:rsid w:val="0022642B"/>
    <w:rsid w:val="002336C5"/>
    <w:rsid w:val="002348C8"/>
    <w:rsid w:val="00236B09"/>
    <w:rsid w:val="00243A23"/>
    <w:rsid w:val="0025072E"/>
    <w:rsid w:val="002520D1"/>
    <w:rsid w:val="00253A9B"/>
    <w:rsid w:val="00254F91"/>
    <w:rsid w:val="002601C4"/>
    <w:rsid w:val="002630D3"/>
    <w:rsid w:val="00266EB1"/>
    <w:rsid w:val="002744F5"/>
    <w:rsid w:val="002800DC"/>
    <w:rsid w:val="00280D7B"/>
    <w:rsid w:val="00282C19"/>
    <w:rsid w:val="00282F6F"/>
    <w:rsid w:val="002836BE"/>
    <w:rsid w:val="00287B1F"/>
    <w:rsid w:val="002A4BBA"/>
    <w:rsid w:val="002A6FFE"/>
    <w:rsid w:val="002B5B5F"/>
    <w:rsid w:val="002C2FA5"/>
    <w:rsid w:val="002C511A"/>
    <w:rsid w:val="002D3E6E"/>
    <w:rsid w:val="002D5784"/>
    <w:rsid w:val="002D59A7"/>
    <w:rsid w:val="002E4738"/>
    <w:rsid w:val="002F2BC4"/>
    <w:rsid w:val="00301394"/>
    <w:rsid w:val="00302254"/>
    <w:rsid w:val="0031081F"/>
    <w:rsid w:val="00312936"/>
    <w:rsid w:val="00313B75"/>
    <w:rsid w:val="00313EFB"/>
    <w:rsid w:val="003153D3"/>
    <w:rsid w:val="003214A6"/>
    <w:rsid w:val="00331135"/>
    <w:rsid w:val="003330E0"/>
    <w:rsid w:val="00345FFB"/>
    <w:rsid w:val="00355E20"/>
    <w:rsid w:val="00367C67"/>
    <w:rsid w:val="00371C1C"/>
    <w:rsid w:val="003721CA"/>
    <w:rsid w:val="00373338"/>
    <w:rsid w:val="00373AD3"/>
    <w:rsid w:val="003764BF"/>
    <w:rsid w:val="003774F0"/>
    <w:rsid w:val="003A162B"/>
    <w:rsid w:val="003C1341"/>
    <w:rsid w:val="003C6C57"/>
    <w:rsid w:val="003D1629"/>
    <w:rsid w:val="003E0835"/>
    <w:rsid w:val="003E1373"/>
    <w:rsid w:val="003E520A"/>
    <w:rsid w:val="003E7731"/>
    <w:rsid w:val="003F1484"/>
    <w:rsid w:val="004017B0"/>
    <w:rsid w:val="00404888"/>
    <w:rsid w:val="004115B1"/>
    <w:rsid w:val="00420972"/>
    <w:rsid w:val="004236C6"/>
    <w:rsid w:val="004261A1"/>
    <w:rsid w:val="0042620E"/>
    <w:rsid w:val="0043232A"/>
    <w:rsid w:val="00433A6D"/>
    <w:rsid w:val="00441EAE"/>
    <w:rsid w:val="004423A8"/>
    <w:rsid w:val="00445960"/>
    <w:rsid w:val="00450BF6"/>
    <w:rsid w:val="00450F22"/>
    <w:rsid w:val="00466285"/>
    <w:rsid w:val="0047375B"/>
    <w:rsid w:val="0048244C"/>
    <w:rsid w:val="00485FDC"/>
    <w:rsid w:val="004861FD"/>
    <w:rsid w:val="00491AFE"/>
    <w:rsid w:val="00494EA4"/>
    <w:rsid w:val="004A0661"/>
    <w:rsid w:val="004A195D"/>
    <w:rsid w:val="004A5669"/>
    <w:rsid w:val="004B1DC9"/>
    <w:rsid w:val="004B26A7"/>
    <w:rsid w:val="004B5DDE"/>
    <w:rsid w:val="004C55C4"/>
    <w:rsid w:val="004C621B"/>
    <w:rsid w:val="004C6666"/>
    <w:rsid w:val="004D03D3"/>
    <w:rsid w:val="004D4328"/>
    <w:rsid w:val="004D4E41"/>
    <w:rsid w:val="004E0194"/>
    <w:rsid w:val="004E2759"/>
    <w:rsid w:val="004E6B0E"/>
    <w:rsid w:val="004F041E"/>
    <w:rsid w:val="004F0516"/>
    <w:rsid w:val="00503503"/>
    <w:rsid w:val="00513C6B"/>
    <w:rsid w:val="005148E8"/>
    <w:rsid w:val="00515B4E"/>
    <w:rsid w:val="00520A3B"/>
    <w:rsid w:val="0054152D"/>
    <w:rsid w:val="0054713D"/>
    <w:rsid w:val="005547BE"/>
    <w:rsid w:val="005640DB"/>
    <w:rsid w:val="00564B7E"/>
    <w:rsid w:val="00565AC7"/>
    <w:rsid w:val="00567330"/>
    <w:rsid w:val="00574594"/>
    <w:rsid w:val="005801C6"/>
    <w:rsid w:val="00580873"/>
    <w:rsid w:val="00585173"/>
    <w:rsid w:val="005852BE"/>
    <w:rsid w:val="00586DC8"/>
    <w:rsid w:val="00595653"/>
    <w:rsid w:val="005A360C"/>
    <w:rsid w:val="005A36CC"/>
    <w:rsid w:val="005A383C"/>
    <w:rsid w:val="005A77D8"/>
    <w:rsid w:val="005B17C6"/>
    <w:rsid w:val="005B1BAD"/>
    <w:rsid w:val="005B1D3B"/>
    <w:rsid w:val="005B5D99"/>
    <w:rsid w:val="005B6205"/>
    <w:rsid w:val="005B7D1A"/>
    <w:rsid w:val="005C28E7"/>
    <w:rsid w:val="005C7E37"/>
    <w:rsid w:val="005D3C4B"/>
    <w:rsid w:val="005D436E"/>
    <w:rsid w:val="005D6DF3"/>
    <w:rsid w:val="005D7B10"/>
    <w:rsid w:val="005E171B"/>
    <w:rsid w:val="005E2C98"/>
    <w:rsid w:val="005F2576"/>
    <w:rsid w:val="00603D19"/>
    <w:rsid w:val="00605AC1"/>
    <w:rsid w:val="006104D3"/>
    <w:rsid w:val="00610833"/>
    <w:rsid w:val="00611585"/>
    <w:rsid w:val="00614C19"/>
    <w:rsid w:val="0063295C"/>
    <w:rsid w:val="006340D7"/>
    <w:rsid w:val="00637170"/>
    <w:rsid w:val="00644ED7"/>
    <w:rsid w:val="0065360C"/>
    <w:rsid w:val="00653AF8"/>
    <w:rsid w:val="00654F9A"/>
    <w:rsid w:val="00657D9C"/>
    <w:rsid w:val="006623E4"/>
    <w:rsid w:val="00667F9C"/>
    <w:rsid w:val="0067507B"/>
    <w:rsid w:val="006758D4"/>
    <w:rsid w:val="00675AA8"/>
    <w:rsid w:val="0067702A"/>
    <w:rsid w:val="0069253D"/>
    <w:rsid w:val="006979B2"/>
    <w:rsid w:val="006A4743"/>
    <w:rsid w:val="006A4E7A"/>
    <w:rsid w:val="006A7946"/>
    <w:rsid w:val="006B5712"/>
    <w:rsid w:val="006C2385"/>
    <w:rsid w:val="006C2CCC"/>
    <w:rsid w:val="006D4549"/>
    <w:rsid w:val="006D6CF3"/>
    <w:rsid w:val="006E0034"/>
    <w:rsid w:val="006E0955"/>
    <w:rsid w:val="006E2FDC"/>
    <w:rsid w:val="006E75F0"/>
    <w:rsid w:val="006F3AE6"/>
    <w:rsid w:val="006F502C"/>
    <w:rsid w:val="0070513A"/>
    <w:rsid w:val="00707DDE"/>
    <w:rsid w:val="00710D55"/>
    <w:rsid w:val="0071430B"/>
    <w:rsid w:val="00715FD4"/>
    <w:rsid w:val="00716559"/>
    <w:rsid w:val="00720E04"/>
    <w:rsid w:val="00724539"/>
    <w:rsid w:val="007265FB"/>
    <w:rsid w:val="00736E90"/>
    <w:rsid w:val="00742945"/>
    <w:rsid w:val="00742BDC"/>
    <w:rsid w:val="00746DDF"/>
    <w:rsid w:val="00754266"/>
    <w:rsid w:val="00761A4C"/>
    <w:rsid w:val="007643C3"/>
    <w:rsid w:val="00766B38"/>
    <w:rsid w:val="00771918"/>
    <w:rsid w:val="007740E5"/>
    <w:rsid w:val="0078004B"/>
    <w:rsid w:val="007816A2"/>
    <w:rsid w:val="0078385D"/>
    <w:rsid w:val="00784EA3"/>
    <w:rsid w:val="00787706"/>
    <w:rsid w:val="0079258D"/>
    <w:rsid w:val="00796B3A"/>
    <w:rsid w:val="00797196"/>
    <w:rsid w:val="0079724B"/>
    <w:rsid w:val="007A3732"/>
    <w:rsid w:val="007A60EC"/>
    <w:rsid w:val="007B1612"/>
    <w:rsid w:val="007B2F02"/>
    <w:rsid w:val="007B3EF9"/>
    <w:rsid w:val="007B40DC"/>
    <w:rsid w:val="007B5922"/>
    <w:rsid w:val="007D6032"/>
    <w:rsid w:val="007E2001"/>
    <w:rsid w:val="007E2529"/>
    <w:rsid w:val="007E3957"/>
    <w:rsid w:val="007E7A7C"/>
    <w:rsid w:val="007F1016"/>
    <w:rsid w:val="007F25F8"/>
    <w:rsid w:val="00800249"/>
    <w:rsid w:val="00802802"/>
    <w:rsid w:val="0080517F"/>
    <w:rsid w:val="00813461"/>
    <w:rsid w:val="00821E52"/>
    <w:rsid w:val="00830578"/>
    <w:rsid w:val="00830B41"/>
    <w:rsid w:val="0083175C"/>
    <w:rsid w:val="00845628"/>
    <w:rsid w:val="00846AE9"/>
    <w:rsid w:val="008500A3"/>
    <w:rsid w:val="00854C74"/>
    <w:rsid w:val="00866E18"/>
    <w:rsid w:val="0087364C"/>
    <w:rsid w:val="00880847"/>
    <w:rsid w:val="00890970"/>
    <w:rsid w:val="008912F3"/>
    <w:rsid w:val="00895832"/>
    <w:rsid w:val="00897093"/>
    <w:rsid w:val="008A3004"/>
    <w:rsid w:val="008A56EB"/>
    <w:rsid w:val="008A6746"/>
    <w:rsid w:val="008A7DE0"/>
    <w:rsid w:val="008B0E2C"/>
    <w:rsid w:val="008B4B72"/>
    <w:rsid w:val="008B53C4"/>
    <w:rsid w:val="008B68F8"/>
    <w:rsid w:val="008B6C01"/>
    <w:rsid w:val="008D5D6D"/>
    <w:rsid w:val="008D774A"/>
    <w:rsid w:val="008F251D"/>
    <w:rsid w:val="008F4CEB"/>
    <w:rsid w:val="00903B85"/>
    <w:rsid w:val="00903C05"/>
    <w:rsid w:val="0090507B"/>
    <w:rsid w:val="00907201"/>
    <w:rsid w:val="00907B50"/>
    <w:rsid w:val="0091067F"/>
    <w:rsid w:val="0091603F"/>
    <w:rsid w:val="00916A97"/>
    <w:rsid w:val="00917161"/>
    <w:rsid w:val="00924E9F"/>
    <w:rsid w:val="009300AE"/>
    <w:rsid w:val="0093216B"/>
    <w:rsid w:val="009328E6"/>
    <w:rsid w:val="00936705"/>
    <w:rsid w:val="00936B41"/>
    <w:rsid w:val="009374FD"/>
    <w:rsid w:val="00945E5B"/>
    <w:rsid w:val="009473DA"/>
    <w:rsid w:val="00947E80"/>
    <w:rsid w:val="0095112C"/>
    <w:rsid w:val="00955B9E"/>
    <w:rsid w:val="0096184F"/>
    <w:rsid w:val="00961E20"/>
    <w:rsid w:val="00972DC8"/>
    <w:rsid w:val="009802F1"/>
    <w:rsid w:val="00985205"/>
    <w:rsid w:val="009857C4"/>
    <w:rsid w:val="00993A88"/>
    <w:rsid w:val="0099782C"/>
    <w:rsid w:val="009B50E2"/>
    <w:rsid w:val="009C1140"/>
    <w:rsid w:val="009C25D5"/>
    <w:rsid w:val="009C305E"/>
    <w:rsid w:val="009C3505"/>
    <w:rsid w:val="009D3527"/>
    <w:rsid w:val="009D6A79"/>
    <w:rsid w:val="009E2E20"/>
    <w:rsid w:val="009E47AF"/>
    <w:rsid w:val="009E544B"/>
    <w:rsid w:val="009E6379"/>
    <w:rsid w:val="009E724D"/>
    <w:rsid w:val="00A055A0"/>
    <w:rsid w:val="00A07B5E"/>
    <w:rsid w:val="00A25D25"/>
    <w:rsid w:val="00A359C6"/>
    <w:rsid w:val="00A40C95"/>
    <w:rsid w:val="00A41127"/>
    <w:rsid w:val="00A42885"/>
    <w:rsid w:val="00A443CD"/>
    <w:rsid w:val="00A452F5"/>
    <w:rsid w:val="00A46A3E"/>
    <w:rsid w:val="00A534F4"/>
    <w:rsid w:val="00A53D2A"/>
    <w:rsid w:val="00A60C38"/>
    <w:rsid w:val="00A65C5C"/>
    <w:rsid w:val="00A70C67"/>
    <w:rsid w:val="00A72902"/>
    <w:rsid w:val="00A773F5"/>
    <w:rsid w:val="00A811BB"/>
    <w:rsid w:val="00A81ACE"/>
    <w:rsid w:val="00A86800"/>
    <w:rsid w:val="00A91EF6"/>
    <w:rsid w:val="00A94DA5"/>
    <w:rsid w:val="00A96E91"/>
    <w:rsid w:val="00AA0C47"/>
    <w:rsid w:val="00AA36FA"/>
    <w:rsid w:val="00AB1182"/>
    <w:rsid w:val="00AB77F5"/>
    <w:rsid w:val="00AC2681"/>
    <w:rsid w:val="00AC64C6"/>
    <w:rsid w:val="00AC7667"/>
    <w:rsid w:val="00AD42E0"/>
    <w:rsid w:val="00AD5EC6"/>
    <w:rsid w:val="00AD7683"/>
    <w:rsid w:val="00AE072A"/>
    <w:rsid w:val="00AE49D6"/>
    <w:rsid w:val="00AE7308"/>
    <w:rsid w:val="00AE74D5"/>
    <w:rsid w:val="00AF2617"/>
    <w:rsid w:val="00B013EB"/>
    <w:rsid w:val="00B03240"/>
    <w:rsid w:val="00B10906"/>
    <w:rsid w:val="00B2624F"/>
    <w:rsid w:val="00B31103"/>
    <w:rsid w:val="00B3180B"/>
    <w:rsid w:val="00B37B99"/>
    <w:rsid w:val="00B40872"/>
    <w:rsid w:val="00B421EE"/>
    <w:rsid w:val="00B42281"/>
    <w:rsid w:val="00B427C0"/>
    <w:rsid w:val="00B43030"/>
    <w:rsid w:val="00B57E97"/>
    <w:rsid w:val="00B67AF2"/>
    <w:rsid w:val="00B70242"/>
    <w:rsid w:val="00B73119"/>
    <w:rsid w:val="00B74178"/>
    <w:rsid w:val="00B7560E"/>
    <w:rsid w:val="00B8136C"/>
    <w:rsid w:val="00B85158"/>
    <w:rsid w:val="00B85EF5"/>
    <w:rsid w:val="00B9355F"/>
    <w:rsid w:val="00B96223"/>
    <w:rsid w:val="00BA7B21"/>
    <w:rsid w:val="00BB1B62"/>
    <w:rsid w:val="00BB54D8"/>
    <w:rsid w:val="00BB6C3D"/>
    <w:rsid w:val="00BC11F4"/>
    <w:rsid w:val="00BC1708"/>
    <w:rsid w:val="00BC6681"/>
    <w:rsid w:val="00BD0687"/>
    <w:rsid w:val="00BD13E6"/>
    <w:rsid w:val="00BD2A6B"/>
    <w:rsid w:val="00BD38E4"/>
    <w:rsid w:val="00BD50C8"/>
    <w:rsid w:val="00BE2E7A"/>
    <w:rsid w:val="00BF334C"/>
    <w:rsid w:val="00C0007A"/>
    <w:rsid w:val="00C05393"/>
    <w:rsid w:val="00C07D0C"/>
    <w:rsid w:val="00C1046A"/>
    <w:rsid w:val="00C10B89"/>
    <w:rsid w:val="00C12541"/>
    <w:rsid w:val="00C14CA1"/>
    <w:rsid w:val="00C1686A"/>
    <w:rsid w:val="00C1793C"/>
    <w:rsid w:val="00C26147"/>
    <w:rsid w:val="00C26ED1"/>
    <w:rsid w:val="00C33BD3"/>
    <w:rsid w:val="00C377B3"/>
    <w:rsid w:val="00C41858"/>
    <w:rsid w:val="00C6068A"/>
    <w:rsid w:val="00C60ECD"/>
    <w:rsid w:val="00C64B21"/>
    <w:rsid w:val="00C71F3C"/>
    <w:rsid w:val="00C72ECA"/>
    <w:rsid w:val="00C74A01"/>
    <w:rsid w:val="00C766C8"/>
    <w:rsid w:val="00C871BE"/>
    <w:rsid w:val="00C95CE2"/>
    <w:rsid w:val="00CA07D9"/>
    <w:rsid w:val="00CA7364"/>
    <w:rsid w:val="00CA7713"/>
    <w:rsid w:val="00CB086F"/>
    <w:rsid w:val="00CB0966"/>
    <w:rsid w:val="00CB67BC"/>
    <w:rsid w:val="00CC0808"/>
    <w:rsid w:val="00CC67A7"/>
    <w:rsid w:val="00CD3E65"/>
    <w:rsid w:val="00CE0873"/>
    <w:rsid w:val="00CE134D"/>
    <w:rsid w:val="00CE31BB"/>
    <w:rsid w:val="00CF3EAE"/>
    <w:rsid w:val="00D01184"/>
    <w:rsid w:val="00D06E8D"/>
    <w:rsid w:val="00D1583F"/>
    <w:rsid w:val="00D16E64"/>
    <w:rsid w:val="00D20A31"/>
    <w:rsid w:val="00D21554"/>
    <w:rsid w:val="00D30E48"/>
    <w:rsid w:val="00D34D90"/>
    <w:rsid w:val="00D45CD4"/>
    <w:rsid w:val="00D461C5"/>
    <w:rsid w:val="00D53384"/>
    <w:rsid w:val="00D544F2"/>
    <w:rsid w:val="00D57DCE"/>
    <w:rsid w:val="00D64063"/>
    <w:rsid w:val="00D665EF"/>
    <w:rsid w:val="00D76F1B"/>
    <w:rsid w:val="00D82048"/>
    <w:rsid w:val="00D82266"/>
    <w:rsid w:val="00D8473F"/>
    <w:rsid w:val="00D917FF"/>
    <w:rsid w:val="00D96C4E"/>
    <w:rsid w:val="00DB40F6"/>
    <w:rsid w:val="00DB6196"/>
    <w:rsid w:val="00DC2217"/>
    <w:rsid w:val="00DC3BC2"/>
    <w:rsid w:val="00DC3EE2"/>
    <w:rsid w:val="00DC7AEC"/>
    <w:rsid w:val="00DD1A7F"/>
    <w:rsid w:val="00DE6F72"/>
    <w:rsid w:val="00DF034D"/>
    <w:rsid w:val="00DF0A50"/>
    <w:rsid w:val="00DF4C75"/>
    <w:rsid w:val="00DF4C76"/>
    <w:rsid w:val="00E00A81"/>
    <w:rsid w:val="00E0311D"/>
    <w:rsid w:val="00E03C98"/>
    <w:rsid w:val="00E05AE7"/>
    <w:rsid w:val="00E06A3F"/>
    <w:rsid w:val="00E1517D"/>
    <w:rsid w:val="00E1571D"/>
    <w:rsid w:val="00E215B3"/>
    <w:rsid w:val="00E239A3"/>
    <w:rsid w:val="00E33D62"/>
    <w:rsid w:val="00E418D5"/>
    <w:rsid w:val="00E4291F"/>
    <w:rsid w:val="00E43451"/>
    <w:rsid w:val="00E4417D"/>
    <w:rsid w:val="00E56C88"/>
    <w:rsid w:val="00E6736C"/>
    <w:rsid w:val="00E67FBD"/>
    <w:rsid w:val="00E73C99"/>
    <w:rsid w:val="00E743CE"/>
    <w:rsid w:val="00E764B4"/>
    <w:rsid w:val="00E937BB"/>
    <w:rsid w:val="00EA25DB"/>
    <w:rsid w:val="00EA4A72"/>
    <w:rsid w:val="00EA67A2"/>
    <w:rsid w:val="00EB3B1D"/>
    <w:rsid w:val="00EC12DD"/>
    <w:rsid w:val="00EC439C"/>
    <w:rsid w:val="00ED13D4"/>
    <w:rsid w:val="00ED42F1"/>
    <w:rsid w:val="00ED6EE9"/>
    <w:rsid w:val="00EE0ED9"/>
    <w:rsid w:val="00EE72F1"/>
    <w:rsid w:val="00EF63D6"/>
    <w:rsid w:val="00EF6772"/>
    <w:rsid w:val="00EF780D"/>
    <w:rsid w:val="00F00C7C"/>
    <w:rsid w:val="00F020B6"/>
    <w:rsid w:val="00F04CA0"/>
    <w:rsid w:val="00F04E4E"/>
    <w:rsid w:val="00F11A71"/>
    <w:rsid w:val="00F147C1"/>
    <w:rsid w:val="00F17176"/>
    <w:rsid w:val="00F20A58"/>
    <w:rsid w:val="00F20C4B"/>
    <w:rsid w:val="00F34D79"/>
    <w:rsid w:val="00F36010"/>
    <w:rsid w:val="00F41152"/>
    <w:rsid w:val="00F44DBF"/>
    <w:rsid w:val="00F4695E"/>
    <w:rsid w:val="00F47976"/>
    <w:rsid w:val="00F5208C"/>
    <w:rsid w:val="00F54016"/>
    <w:rsid w:val="00F562BA"/>
    <w:rsid w:val="00F60214"/>
    <w:rsid w:val="00F6130D"/>
    <w:rsid w:val="00F620BB"/>
    <w:rsid w:val="00F62B55"/>
    <w:rsid w:val="00F63613"/>
    <w:rsid w:val="00F6484B"/>
    <w:rsid w:val="00F65B49"/>
    <w:rsid w:val="00F80898"/>
    <w:rsid w:val="00F81823"/>
    <w:rsid w:val="00F8194D"/>
    <w:rsid w:val="00F84265"/>
    <w:rsid w:val="00F845D9"/>
    <w:rsid w:val="00F872D3"/>
    <w:rsid w:val="00F95278"/>
    <w:rsid w:val="00F96E1D"/>
    <w:rsid w:val="00F97B57"/>
    <w:rsid w:val="00FA2751"/>
    <w:rsid w:val="00FA2DA7"/>
    <w:rsid w:val="00FA4CD0"/>
    <w:rsid w:val="00FA5C95"/>
    <w:rsid w:val="00FA6E30"/>
    <w:rsid w:val="00FB44A1"/>
    <w:rsid w:val="00FC5779"/>
    <w:rsid w:val="00FD29F3"/>
    <w:rsid w:val="00FD4809"/>
    <w:rsid w:val="00FD6177"/>
    <w:rsid w:val="00FE160E"/>
    <w:rsid w:val="00FE2696"/>
    <w:rsid w:val="00FE6B28"/>
    <w:rsid w:val="00FF06A1"/>
    <w:rsid w:val="00FF1B86"/>
    <w:rsid w:val="00FF678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er" w:uiPriority="99"/>
    <w:lsdException w:name="footer" w:uiPriority="99"/>
    <w:lsdException w:name="page number" w:uiPriority="99"/>
    <w:lsdException w:name="Default Paragraph Font" w:uiPriority="1"/>
    <w:lsdException w:name="No List" w:uiPriority="99"/>
    <w:lsdException w:name="Table Grid" w:uiPriority="59"/>
    <w:lsdException w:name="List Paragraph" w:uiPriority="9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72D0"/>
  </w:style>
  <w:style w:type="paragraph" w:styleId="Heading1">
    <w:name w:val="heading 1"/>
    <w:basedOn w:val="Normal"/>
    <w:next w:val="Normal"/>
    <w:link w:val="Heading1Char"/>
    <w:uiPriority w:val="9"/>
    <w:qFormat/>
    <w:rsid w:val="0099782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05A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A53D2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823"/>
    <w:pPr>
      <w:tabs>
        <w:tab w:val="center" w:pos="4320"/>
        <w:tab w:val="right" w:pos="8640"/>
      </w:tabs>
    </w:pPr>
  </w:style>
  <w:style w:type="character" w:customStyle="1" w:styleId="HeaderChar">
    <w:name w:val="Header Char"/>
    <w:basedOn w:val="DefaultParagraphFont"/>
    <w:link w:val="Header"/>
    <w:uiPriority w:val="99"/>
    <w:rsid w:val="00F81823"/>
  </w:style>
  <w:style w:type="paragraph" w:styleId="Footer">
    <w:name w:val="footer"/>
    <w:basedOn w:val="Normal"/>
    <w:link w:val="FooterChar"/>
    <w:uiPriority w:val="99"/>
    <w:semiHidden/>
    <w:unhideWhenUsed/>
    <w:rsid w:val="00F81823"/>
    <w:pPr>
      <w:tabs>
        <w:tab w:val="center" w:pos="4320"/>
        <w:tab w:val="right" w:pos="8640"/>
      </w:tabs>
    </w:pPr>
  </w:style>
  <w:style w:type="character" w:customStyle="1" w:styleId="FooterChar">
    <w:name w:val="Footer Char"/>
    <w:basedOn w:val="DefaultParagraphFont"/>
    <w:link w:val="Footer"/>
    <w:uiPriority w:val="99"/>
    <w:semiHidden/>
    <w:rsid w:val="00F81823"/>
  </w:style>
  <w:style w:type="character" w:styleId="PageNumber">
    <w:name w:val="page number"/>
    <w:basedOn w:val="DefaultParagraphFont"/>
    <w:uiPriority w:val="99"/>
    <w:semiHidden/>
    <w:unhideWhenUsed/>
    <w:rsid w:val="00F81823"/>
  </w:style>
  <w:style w:type="character" w:customStyle="1" w:styleId="Heading1Char">
    <w:name w:val="Heading 1 Char"/>
    <w:basedOn w:val="DefaultParagraphFont"/>
    <w:link w:val="Heading1"/>
    <w:uiPriority w:val="9"/>
    <w:rsid w:val="0099782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605AC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AC76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99"/>
    <w:qFormat/>
    <w:rsid w:val="005E2C98"/>
    <w:pPr>
      <w:widowControl w:val="0"/>
      <w:ind w:left="720"/>
      <w:contextualSpacing/>
    </w:pPr>
    <w:rPr>
      <w:rFonts w:ascii="Times New Roman" w:eastAsia="Times New Roman" w:hAnsi="Times New Roman" w:cs="Times New Roman"/>
      <w:snapToGrid w:val="0"/>
      <w:sz w:val="20"/>
      <w:szCs w:val="20"/>
    </w:rPr>
  </w:style>
  <w:style w:type="character" w:customStyle="1" w:styleId="Heading3Char">
    <w:name w:val="Heading 3 Char"/>
    <w:basedOn w:val="DefaultParagraphFont"/>
    <w:link w:val="Heading3"/>
    <w:uiPriority w:val="9"/>
    <w:rsid w:val="00A53D2A"/>
    <w:rPr>
      <w:rFonts w:asciiTheme="majorHAnsi" w:eastAsiaTheme="majorEastAsia" w:hAnsiTheme="majorHAnsi" w:cstheme="majorBidi"/>
      <w:b/>
      <w:bCs/>
      <w:color w:val="4F81BD" w:themeColor="accent1"/>
    </w:rPr>
  </w:style>
  <w:style w:type="paragraph" w:styleId="BalloonText">
    <w:name w:val="Balloon Text"/>
    <w:basedOn w:val="Normal"/>
    <w:link w:val="BalloonTextChar"/>
    <w:rsid w:val="00BE2E7A"/>
    <w:rPr>
      <w:rFonts w:ascii="Tahoma" w:hAnsi="Tahoma" w:cs="Tahoma"/>
      <w:sz w:val="16"/>
      <w:szCs w:val="16"/>
    </w:rPr>
  </w:style>
  <w:style w:type="character" w:customStyle="1" w:styleId="BalloonTextChar">
    <w:name w:val="Balloon Text Char"/>
    <w:basedOn w:val="DefaultParagraphFont"/>
    <w:link w:val="BalloonText"/>
    <w:rsid w:val="00BE2E7A"/>
    <w:rPr>
      <w:rFonts w:ascii="Tahoma" w:hAnsi="Tahoma" w:cs="Tahoma"/>
      <w:sz w:val="16"/>
      <w:szCs w:val="16"/>
    </w:rPr>
  </w:style>
  <w:style w:type="character" w:styleId="CommentReference">
    <w:name w:val="annotation reference"/>
    <w:basedOn w:val="DefaultParagraphFont"/>
    <w:rsid w:val="00761A4C"/>
    <w:rPr>
      <w:sz w:val="16"/>
      <w:szCs w:val="16"/>
    </w:rPr>
  </w:style>
  <w:style w:type="paragraph" w:styleId="CommentText">
    <w:name w:val="annotation text"/>
    <w:basedOn w:val="Normal"/>
    <w:link w:val="CommentTextChar"/>
    <w:rsid w:val="00761A4C"/>
    <w:rPr>
      <w:sz w:val="20"/>
      <w:szCs w:val="20"/>
    </w:rPr>
  </w:style>
  <w:style w:type="character" w:customStyle="1" w:styleId="CommentTextChar">
    <w:name w:val="Comment Text Char"/>
    <w:basedOn w:val="DefaultParagraphFont"/>
    <w:link w:val="CommentText"/>
    <w:rsid w:val="00761A4C"/>
    <w:rPr>
      <w:sz w:val="20"/>
      <w:szCs w:val="20"/>
    </w:rPr>
  </w:style>
  <w:style w:type="paragraph" w:styleId="CommentSubject">
    <w:name w:val="annotation subject"/>
    <w:basedOn w:val="CommentText"/>
    <w:next w:val="CommentText"/>
    <w:link w:val="CommentSubjectChar"/>
    <w:rsid w:val="00761A4C"/>
    <w:rPr>
      <w:b/>
      <w:bCs/>
    </w:rPr>
  </w:style>
  <w:style w:type="character" w:customStyle="1" w:styleId="CommentSubjectChar">
    <w:name w:val="Comment Subject Char"/>
    <w:basedOn w:val="CommentTextChar"/>
    <w:link w:val="CommentSubject"/>
    <w:rsid w:val="00761A4C"/>
    <w:rPr>
      <w:b/>
      <w:bCs/>
    </w:rPr>
  </w:style>
  <w:style w:type="paragraph" w:styleId="FootnoteText">
    <w:name w:val="footnote text"/>
    <w:basedOn w:val="Normal"/>
    <w:link w:val="FootnoteTextChar"/>
    <w:rsid w:val="0054152D"/>
  </w:style>
  <w:style w:type="character" w:customStyle="1" w:styleId="FootnoteTextChar">
    <w:name w:val="Footnote Text Char"/>
    <w:basedOn w:val="DefaultParagraphFont"/>
    <w:link w:val="FootnoteText"/>
    <w:rsid w:val="0054152D"/>
  </w:style>
  <w:style w:type="character" w:styleId="FootnoteReference">
    <w:name w:val="footnote reference"/>
    <w:basedOn w:val="DefaultParagraphFont"/>
    <w:rsid w:val="0054152D"/>
    <w:rPr>
      <w:vertAlign w:val="superscript"/>
    </w:rPr>
  </w:style>
  <w:style w:type="paragraph" w:styleId="Revision">
    <w:name w:val="Revision"/>
    <w:hidden/>
    <w:rsid w:val="00ED42F1"/>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924C5-49A5-48AF-8BC4-C154E5ED4E00}">
  <ds:schemaRefs>
    <ds:schemaRef ds:uri="http://schemas.openxmlformats.org/officeDocument/2006/bibliography"/>
  </ds:schemaRefs>
</ds:datastoreItem>
</file>

<file path=customXml/itemProps2.xml><?xml version="1.0" encoding="utf-8"?>
<ds:datastoreItem xmlns:ds="http://schemas.openxmlformats.org/officeDocument/2006/customXml" ds:itemID="{9C3B3F0E-4445-4C8B-A10B-4C60F07E95B2}">
  <ds:schemaRefs>
    <ds:schemaRef ds:uri="http://schemas.openxmlformats.org/officeDocument/2006/bibliography"/>
  </ds:schemaRefs>
</ds:datastoreItem>
</file>

<file path=customXml/itemProps3.xml><?xml version="1.0" encoding="utf-8"?>
<ds:datastoreItem xmlns:ds="http://schemas.openxmlformats.org/officeDocument/2006/customXml" ds:itemID="{9D445ABB-3EB6-4CD2-877A-5D493AB1D563}">
  <ds:schemaRefs>
    <ds:schemaRef ds:uri="http://schemas.openxmlformats.org/officeDocument/2006/bibliography"/>
  </ds:schemaRefs>
</ds:datastoreItem>
</file>

<file path=customXml/itemProps4.xml><?xml version="1.0" encoding="utf-8"?>
<ds:datastoreItem xmlns:ds="http://schemas.openxmlformats.org/officeDocument/2006/customXml" ds:itemID="{6B7E5E70-6673-47CA-A14B-8EA0BC42B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11</Pages>
  <Words>3104</Words>
  <Characters>17698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WestEd</Company>
  <LinksUpToDate>false</LinksUpToDate>
  <CharactersWithSpaces>20761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Timms</dc:creator>
  <cp:lastModifiedBy>kashka.kubzdela</cp:lastModifiedBy>
  <cp:revision>10</cp:revision>
  <cp:lastPrinted>2011-05-02T17:35:00Z</cp:lastPrinted>
  <dcterms:created xsi:type="dcterms:W3CDTF">2011-12-09T01:21:00Z</dcterms:created>
  <dcterms:modified xsi:type="dcterms:W3CDTF">2011-12-09T17:59:00Z</dcterms:modified>
</cp:coreProperties>
</file>