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C1C23" w:rsidRPr="00846E18" w:rsidRDefault="00DC1C23">
      <w:pPr>
        <w:tabs>
          <w:tab w:val="center" w:pos="4680"/>
        </w:tabs>
        <w:suppressAutoHyphens/>
        <w:rPr>
          <w:b/>
          <w:sz w:val="24"/>
        </w:rPr>
      </w:pPr>
      <w:r>
        <w:rPr>
          <w:sz w:val="24"/>
        </w:rPr>
        <w:tab/>
      </w:r>
      <w:r w:rsidRPr="00846E18">
        <w:rPr>
          <w:b/>
          <w:sz w:val="24"/>
        </w:rPr>
        <w:t>THE SUPPORTING STATEMENT</w:t>
      </w:r>
    </w:p>
    <w:p w:rsidR="00DC1C23" w:rsidRDefault="00DC1C23">
      <w:pPr>
        <w:tabs>
          <w:tab w:val="left" w:pos="-720"/>
        </w:tabs>
        <w:suppressAutoHyphens/>
        <w:rPr>
          <w:sz w:val="24"/>
        </w:rPr>
      </w:pPr>
    </w:p>
    <w:p w:rsidR="00DC1C23" w:rsidRDefault="00DC1C23">
      <w:pPr>
        <w:tabs>
          <w:tab w:val="left" w:pos="-720"/>
        </w:tabs>
        <w:suppressAutoHyphens/>
        <w:rPr>
          <w:b/>
          <w:sz w:val="24"/>
        </w:rPr>
      </w:pPr>
    </w:p>
    <w:p w:rsidR="00DC1C23" w:rsidRDefault="00DC1C23">
      <w:pPr>
        <w:tabs>
          <w:tab w:val="left" w:pos="-720"/>
        </w:tabs>
        <w:suppressAutoHyphens/>
        <w:rPr>
          <w:b/>
          <w:sz w:val="24"/>
        </w:rPr>
      </w:pPr>
      <w:r>
        <w:rPr>
          <w:b/>
          <w:sz w:val="24"/>
        </w:rPr>
        <w:t>Specific Instructions</w:t>
      </w:r>
    </w:p>
    <w:p w:rsidR="00DC1C23" w:rsidRDefault="00DC1C23">
      <w:pPr>
        <w:tabs>
          <w:tab w:val="left" w:pos="-720"/>
        </w:tabs>
        <w:suppressAutoHyphens/>
        <w:rPr>
          <w:b/>
          <w:sz w:val="24"/>
        </w:rPr>
      </w:pPr>
    </w:p>
    <w:p w:rsidR="002C3C4F" w:rsidRPr="002C3C4F" w:rsidRDefault="002C3C4F" w:rsidP="002C3C4F">
      <w:pPr>
        <w:widowControl/>
        <w:spacing w:before="100" w:beforeAutospacing="1" w:after="100" w:afterAutospacing="1"/>
        <w:rPr>
          <w:rFonts w:ascii="Times New Roman" w:hAnsi="Times New Roman"/>
          <w:snapToGrid/>
          <w:sz w:val="24"/>
          <w:szCs w:val="24"/>
        </w:rPr>
      </w:pPr>
      <w:r w:rsidRPr="002C3C4F">
        <w:rPr>
          <w:rFonts w:ascii="Times New Roman" w:hAnsi="Times New Roman"/>
          <w:b/>
          <w:bCs/>
          <w:snapToGrid/>
          <w:sz w:val="24"/>
          <w:szCs w:val="24"/>
        </w:rPr>
        <w:t>A. Justification</w:t>
      </w:r>
    </w:p>
    <w:p w:rsidR="002C3C4F" w:rsidRPr="00691028" w:rsidRDefault="002C3C4F" w:rsidP="002C3C4F">
      <w:pPr>
        <w:widowControl/>
        <w:numPr>
          <w:ilvl w:val="0"/>
          <w:numId w:val="3"/>
        </w:numPr>
        <w:spacing w:before="100" w:beforeAutospacing="1" w:after="100" w:afterAutospacing="1"/>
        <w:rPr>
          <w:rFonts w:ascii="Times New Roman" w:hAnsi="Times New Roman"/>
          <w:b/>
          <w:snapToGrid/>
          <w:sz w:val="24"/>
          <w:szCs w:val="24"/>
        </w:rPr>
      </w:pPr>
      <w:r w:rsidRPr="00691028">
        <w:rPr>
          <w:rFonts w:ascii="Times New Roman" w:hAnsi="Times New Roman"/>
          <w:b/>
          <w:snapToGrid/>
          <w:sz w:val="24"/>
          <w:szCs w:val="24"/>
        </w:rPr>
        <w:t xml:space="preserve">Circumstances Making the Collection of Information Necessary </w:t>
      </w:r>
    </w:p>
    <w:p w:rsidR="009C0B24" w:rsidRPr="009C0B24" w:rsidRDefault="009C0B24" w:rsidP="009C0B24">
      <w:pPr>
        <w:widowControl/>
        <w:spacing w:before="100" w:beforeAutospacing="1" w:after="100" w:afterAutospacing="1"/>
        <w:rPr>
          <w:rFonts w:ascii="Times New Roman" w:hAnsi="Times New Roman"/>
          <w:snapToGrid/>
          <w:sz w:val="24"/>
          <w:szCs w:val="24"/>
        </w:rPr>
      </w:pPr>
      <w:r w:rsidRPr="009C0B24">
        <w:rPr>
          <w:rFonts w:ascii="Times New Roman" w:hAnsi="Times New Roman"/>
          <w:snapToGrid/>
          <w:sz w:val="24"/>
          <w:szCs w:val="24"/>
        </w:rPr>
        <w:t>The Federal Office of Child Support Enforcement (OCSE) oversees administration of the Child Support Enforcement program in the 54 States and jurisdictions that participate in it.  The Federal government sets program standards and policy, evaluates States performance in conducting their program, and offers technical assistance and training to the States.  It also conducts audits of State program activities.</w:t>
      </w:r>
    </w:p>
    <w:p w:rsidR="009C0B24" w:rsidRPr="009C0B24" w:rsidRDefault="009C0B24" w:rsidP="009C0B24">
      <w:pPr>
        <w:widowControl/>
        <w:spacing w:before="100" w:beforeAutospacing="1" w:after="100" w:afterAutospacing="1"/>
        <w:rPr>
          <w:rFonts w:ascii="Times New Roman" w:hAnsi="Times New Roman"/>
          <w:snapToGrid/>
          <w:sz w:val="24"/>
          <w:szCs w:val="24"/>
        </w:rPr>
      </w:pPr>
      <w:r w:rsidRPr="009C0B24">
        <w:rPr>
          <w:rFonts w:ascii="Times New Roman" w:hAnsi="Times New Roman"/>
          <w:snapToGrid/>
          <w:sz w:val="24"/>
          <w:szCs w:val="24"/>
        </w:rPr>
        <w:t xml:space="preserve">The Federal government receives data from the States.  They then compile and evaluate these data for presentation in the Annual Data Report.  The authority to collect and report information requested on this form is found in sections 452 (a) (4), 452 (a) (5), 452 (a) (10), and 469 of the Social Security Act (the Act) [42 </w:t>
      </w:r>
      <w:proofErr w:type="spellStart"/>
      <w:r w:rsidRPr="009C0B24">
        <w:rPr>
          <w:rFonts w:ascii="Times New Roman" w:hAnsi="Times New Roman"/>
          <w:snapToGrid/>
          <w:sz w:val="24"/>
          <w:szCs w:val="24"/>
        </w:rPr>
        <w:t>u.s.c</w:t>
      </w:r>
      <w:proofErr w:type="spellEnd"/>
      <w:r w:rsidRPr="009C0B24">
        <w:rPr>
          <w:rFonts w:ascii="Times New Roman" w:hAnsi="Times New Roman"/>
          <w:snapToGrid/>
          <w:sz w:val="24"/>
          <w:szCs w:val="24"/>
        </w:rPr>
        <w:t xml:space="preserve"> 652 and 669] (see Attachment A)</w:t>
      </w:r>
    </w:p>
    <w:p w:rsidR="009C0B24" w:rsidRPr="009C0B24" w:rsidRDefault="009C0B24" w:rsidP="009C0B24">
      <w:pPr>
        <w:widowControl/>
        <w:spacing w:before="100" w:beforeAutospacing="1" w:after="100" w:afterAutospacing="1"/>
        <w:rPr>
          <w:rFonts w:ascii="Times New Roman" w:hAnsi="Times New Roman"/>
          <w:snapToGrid/>
          <w:sz w:val="24"/>
          <w:szCs w:val="24"/>
        </w:rPr>
      </w:pPr>
      <w:r w:rsidRPr="009C0B24">
        <w:rPr>
          <w:rFonts w:ascii="Times New Roman" w:hAnsi="Times New Roman"/>
          <w:snapToGrid/>
          <w:sz w:val="24"/>
          <w:szCs w:val="24"/>
        </w:rPr>
        <w:t xml:space="preserve">State agencies administering or supervising the administration of State plans under title IV-D of the Social Security Act are required by law to maintain a full record of child support collections and expenditures and have an adequate reporting system to provide information as requested by the Department.  Under legislation at section 452 (a) (10) of the Act, OCSE is required to maintain records of activities performed and reported by State Child support Enforcement agencies for use in an annual report to Congress.  </w:t>
      </w:r>
    </w:p>
    <w:p w:rsidR="009C0B24" w:rsidRPr="002C3C4F" w:rsidRDefault="009C0B24" w:rsidP="009C0B24">
      <w:pPr>
        <w:widowControl/>
        <w:spacing w:before="100" w:beforeAutospacing="1" w:after="100" w:afterAutospacing="1"/>
        <w:rPr>
          <w:rFonts w:ascii="Times New Roman" w:hAnsi="Times New Roman"/>
          <w:snapToGrid/>
          <w:sz w:val="24"/>
          <w:szCs w:val="24"/>
        </w:rPr>
      </w:pPr>
      <w:r w:rsidRPr="009C0B24">
        <w:rPr>
          <w:rFonts w:ascii="Times New Roman" w:hAnsi="Times New Roman"/>
          <w:snapToGrid/>
          <w:sz w:val="24"/>
          <w:szCs w:val="24"/>
        </w:rPr>
        <w:t>Attachment B contains the collection instruments and instruction for completing it.</w:t>
      </w:r>
    </w:p>
    <w:p w:rsidR="002C3C4F" w:rsidRPr="00691028" w:rsidRDefault="00F31167" w:rsidP="00F31167">
      <w:pPr>
        <w:widowControl/>
        <w:spacing w:before="100" w:beforeAutospacing="1" w:after="100" w:afterAutospacing="1"/>
        <w:rPr>
          <w:rFonts w:ascii="Times New Roman" w:hAnsi="Times New Roman"/>
          <w:b/>
          <w:snapToGrid/>
          <w:sz w:val="24"/>
          <w:szCs w:val="24"/>
        </w:rPr>
      </w:pPr>
      <w:r>
        <w:rPr>
          <w:rFonts w:ascii="Times New Roman" w:hAnsi="Times New Roman"/>
          <w:b/>
          <w:snapToGrid/>
          <w:sz w:val="24"/>
          <w:szCs w:val="24"/>
        </w:rPr>
        <w:t>2.</w:t>
      </w:r>
      <w:r>
        <w:rPr>
          <w:rFonts w:ascii="Times New Roman" w:hAnsi="Times New Roman"/>
          <w:b/>
          <w:snapToGrid/>
          <w:sz w:val="24"/>
          <w:szCs w:val="24"/>
        </w:rPr>
        <w:tab/>
      </w:r>
      <w:r w:rsidR="002C3C4F" w:rsidRPr="00691028">
        <w:rPr>
          <w:rFonts w:ascii="Times New Roman" w:hAnsi="Times New Roman"/>
          <w:b/>
          <w:snapToGrid/>
          <w:sz w:val="24"/>
          <w:szCs w:val="24"/>
        </w:rPr>
        <w:t xml:space="preserve">Purpose and Use of the Information Collection </w:t>
      </w:r>
    </w:p>
    <w:p w:rsidR="009C0B24" w:rsidRDefault="009C0B24" w:rsidP="009C0B24">
      <w:pPr>
        <w:widowControl/>
        <w:spacing w:before="100" w:beforeAutospacing="1" w:after="100" w:afterAutospacing="1"/>
        <w:rPr>
          <w:rFonts w:ascii="Times New Roman" w:hAnsi="Times New Roman"/>
          <w:snapToGrid/>
          <w:sz w:val="24"/>
          <w:szCs w:val="24"/>
        </w:rPr>
      </w:pPr>
      <w:r w:rsidRPr="009C0B24">
        <w:rPr>
          <w:rFonts w:ascii="Times New Roman" w:hAnsi="Times New Roman"/>
          <w:snapToGrid/>
          <w:sz w:val="24"/>
          <w:szCs w:val="24"/>
        </w:rPr>
        <w:t xml:space="preserve">The data collected by form OCSE-157 are used to prepare the annual report.  In addition, these data are used to determine performance indicators for establishing the effectiveness and efficiency of State child support programs.  </w:t>
      </w:r>
    </w:p>
    <w:p w:rsidR="009C0B24" w:rsidRPr="009C0B24" w:rsidRDefault="009C0B24" w:rsidP="009C0B24">
      <w:pPr>
        <w:widowControl/>
        <w:spacing w:before="100" w:beforeAutospacing="1" w:after="100" w:afterAutospacing="1"/>
        <w:rPr>
          <w:rFonts w:ascii="Times New Roman" w:hAnsi="Times New Roman"/>
          <w:snapToGrid/>
          <w:sz w:val="24"/>
          <w:szCs w:val="24"/>
        </w:rPr>
      </w:pPr>
      <w:r w:rsidRPr="009C0B24">
        <w:rPr>
          <w:rFonts w:ascii="Times New Roman" w:hAnsi="Times New Roman"/>
          <w:snapToGrid/>
          <w:sz w:val="24"/>
          <w:szCs w:val="24"/>
        </w:rPr>
        <w:t>The data collected on this form will be used to:</w:t>
      </w:r>
    </w:p>
    <w:p w:rsidR="009C0B24" w:rsidRPr="009C0B24" w:rsidRDefault="00DF1F66" w:rsidP="009C0B24">
      <w:pPr>
        <w:widowControl/>
        <w:spacing w:before="100" w:beforeAutospacing="1" w:after="100" w:afterAutospacing="1"/>
        <w:ind w:firstLine="720"/>
        <w:rPr>
          <w:rFonts w:ascii="Times New Roman" w:hAnsi="Times New Roman"/>
          <w:snapToGrid/>
          <w:sz w:val="24"/>
          <w:szCs w:val="24"/>
        </w:rPr>
      </w:pPr>
      <w:proofErr w:type="gramStart"/>
      <w:r w:rsidRPr="009C0B24">
        <w:rPr>
          <w:rFonts w:ascii="Times New Roman" w:hAnsi="Times New Roman"/>
          <w:snapToGrid/>
          <w:sz w:val="24"/>
          <w:szCs w:val="24"/>
        </w:rPr>
        <w:t>a</w:t>
      </w:r>
      <w:proofErr w:type="gramEnd"/>
      <w:r w:rsidRPr="009C0B24">
        <w:rPr>
          <w:rFonts w:ascii="Times New Roman" w:hAnsi="Times New Roman"/>
          <w:snapToGrid/>
          <w:sz w:val="24"/>
          <w:szCs w:val="24"/>
        </w:rPr>
        <w:t>. respond</w:t>
      </w:r>
      <w:r w:rsidR="009C0B24" w:rsidRPr="009C0B24">
        <w:rPr>
          <w:rFonts w:ascii="Times New Roman" w:hAnsi="Times New Roman"/>
          <w:snapToGrid/>
          <w:sz w:val="24"/>
          <w:szCs w:val="24"/>
        </w:rPr>
        <w:t xml:space="preserve"> to Congressional and public inquiries;</w:t>
      </w:r>
    </w:p>
    <w:p w:rsidR="009C0B24" w:rsidRDefault="009C0B24" w:rsidP="009C0B24">
      <w:pPr>
        <w:widowControl/>
        <w:spacing w:before="100" w:beforeAutospacing="1" w:after="100" w:afterAutospacing="1"/>
        <w:ind w:firstLine="720"/>
        <w:rPr>
          <w:rFonts w:ascii="Times New Roman" w:hAnsi="Times New Roman"/>
          <w:snapToGrid/>
          <w:sz w:val="24"/>
          <w:szCs w:val="24"/>
        </w:rPr>
      </w:pPr>
      <w:proofErr w:type="gramStart"/>
      <w:r w:rsidRPr="009C0B24">
        <w:rPr>
          <w:rFonts w:ascii="Times New Roman" w:hAnsi="Times New Roman"/>
          <w:snapToGrid/>
          <w:sz w:val="24"/>
          <w:szCs w:val="24"/>
        </w:rPr>
        <w:t>b.  calculate</w:t>
      </w:r>
      <w:proofErr w:type="gramEnd"/>
      <w:r w:rsidRPr="009C0B24">
        <w:rPr>
          <w:rFonts w:ascii="Times New Roman" w:hAnsi="Times New Roman"/>
          <w:snapToGrid/>
          <w:sz w:val="24"/>
          <w:szCs w:val="24"/>
        </w:rPr>
        <w:t xml:space="preserve"> budget estimates and impact statements of proposed legislation;</w:t>
      </w:r>
      <w:r>
        <w:rPr>
          <w:rFonts w:ascii="Times New Roman" w:hAnsi="Times New Roman"/>
          <w:snapToGrid/>
          <w:sz w:val="24"/>
          <w:szCs w:val="24"/>
        </w:rPr>
        <w:tab/>
      </w:r>
    </w:p>
    <w:p w:rsidR="009C0B24" w:rsidRPr="009C0B24" w:rsidRDefault="009C0B24" w:rsidP="009C0B24">
      <w:pPr>
        <w:widowControl/>
        <w:spacing w:before="100" w:beforeAutospacing="1" w:after="100" w:afterAutospacing="1"/>
        <w:ind w:firstLine="720"/>
        <w:rPr>
          <w:rFonts w:ascii="Times New Roman" w:hAnsi="Times New Roman"/>
          <w:snapToGrid/>
          <w:sz w:val="24"/>
          <w:szCs w:val="24"/>
        </w:rPr>
      </w:pPr>
      <w:proofErr w:type="gramStart"/>
      <w:r w:rsidRPr="009C0B24">
        <w:rPr>
          <w:rFonts w:ascii="Times New Roman" w:hAnsi="Times New Roman"/>
          <w:snapToGrid/>
          <w:sz w:val="24"/>
          <w:szCs w:val="24"/>
        </w:rPr>
        <w:t>c.  evaluate</w:t>
      </w:r>
      <w:proofErr w:type="gramEnd"/>
      <w:r w:rsidRPr="009C0B24">
        <w:rPr>
          <w:rFonts w:ascii="Times New Roman" w:hAnsi="Times New Roman"/>
          <w:snapToGrid/>
          <w:sz w:val="24"/>
          <w:szCs w:val="24"/>
        </w:rPr>
        <w:t xml:space="preserve"> areas where technical assistance may be required by a State;</w:t>
      </w:r>
    </w:p>
    <w:p w:rsidR="009C0B24" w:rsidRPr="009C0B24" w:rsidRDefault="009C0B24" w:rsidP="009C0B24">
      <w:pPr>
        <w:widowControl/>
        <w:spacing w:before="100" w:beforeAutospacing="1" w:after="100" w:afterAutospacing="1"/>
        <w:ind w:left="720"/>
        <w:rPr>
          <w:rFonts w:ascii="Times New Roman" w:hAnsi="Times New Roman"/>
          <w:snapToGrid/>
          <w:sz w:val="24"/>
          <w:szCs w:val="24"/>
        </w:rPr>
      </w:pPr>
      <w:proofErr w:type="gramStart"/>
      <w:r w:rsidRPr="009C0B24">
        <w:rPr>
          <w:rFonts w:ascii="Times New Roman" w:hAnsi="Times New Roman"/>
          <w:snapToGrid/>
          <w:sz w:val="24"/>
          <w:szCs w:val="24"/>
        </w:rPr>
        <w:t>d.  provide</w:t>
      </w:r>
      <w:proofErr w:type="gramEnd"/>
      <w:r w:rsidRPr="009C0B24">
        <w:rPr>
          <w:rFonts w:ascii="Times New Roman" w:hAnsi="Times New Roman"/>
          <w:snapToGrid/>
          <w:sz w:val="24"/>
          <w:szCs w:val="24"/>
        </w:rPr>
        <w:t xml:space="preserve"> Federal auditors with an indication of where their efforts should be concentrated during compliance audits; </w:t>
      </w:r>
    </w:p>
    <w:p w:rsidR="009C0B24" w:rsidRPr="009C0B24" w:rsidRDefault="009C0B24" w:rsidP="009C0B24">
      <w:pPr>
        <w:widowControl/>
        <w:spacing w:before="100" w:beforeAutospacing="1" w:after="100" w:afterAutospacing="1"/>
        <w:ind w:left="720"/>
        <w:rPr>
          <w:rFonts w:ascii="Times New Roman" w:hAnsi="Times New Roman"/>
          <w:snapToGrid/>
          <w:sz w:val="24"/>
          <w:szCs w:val="24"/>
        </w:rPr>
      </w:pPr>
      <w:proofErr w:type="gramStart"/>
      <w:r w:rsidRPr="009C0B24">
        <w:rPr>
          <w:rFonts w:ascii="Times New Roman" w:hAnsi="Times New Roman"/>
          <w:snapToGrid/>
          <w:sz w:val="24"/>
          <w:szCs w:val="24"/>
        </w:rPr>
        <w:t>e.  compute</w:t>
      </w:r>
      <w:proofErr w:type="gramEnd"/>
      <w:r w:rsidRPr="009C0B24">
        <w:rPr>
          <w:rFonts w:ascii="Times New Roman" w:hAnsi="Times New Roman"/>
          <w:snapToGrid/>
          <w:sz w:val="24"/>
          <w:szCs w:val="24"/>
        </w:rPr>
        <w:t xml:space="preserve"> performance indicators used as part of the assessment of State program performance for audit penalty purposes; and</w:t>
      </w:r>
    </w:p>
    <w:p w:rsidR="009C0B24" w:rsidRPr="009C0B24" w:rsidRDefault="009C0B24" w:rsidP="009C0B24">
      <w:pPr>
        <w:widowControl/>
        <w:spacing w:before="100" w:beforeAutospacing="1" w:after="100" w:afterAutospacing="1"/>
        <w:ind w:firstLine="720"/>
        <w:rPr>
          <w:rFonts w:ascii="Times New Roman" w:hAnsi="Times New Roman"/>
          <w:snapToGrid/>
          <w:sz w:val="24"/>
          <w:szCs w:val="24"/>
        </w:rPr>
      </w:pPr>
      <w:proofErr w:type="gramStart"/>
      <w:r w:rsidRPr="009C0B24">
        <w:rPr>
          <w:rFonts w:ascii="Times New Roman" w:hAnsi="Times New Roman"/>
          <w:snapToGrid/>
          <w:sz w:val="24"/>
          <w:szCs w:val="24"/>
        </w:rPr>
        <w:lastRenderedPageBreak/>
        <w:t>f.  compute</w:t>
      </w:r>
      <w:proofErr w:type="gramEnd"/>
      <w:r w:rsidRPr="009C0B24">
        <w:rPr>
          <w:rFonts w:ascii="Times New Roman" w:hAnsi="Times New Roman"/>
          <w:snapToGrid/>
          <w:sz w:val="24"/>
          <w:szCs w:val="24"/>
        </w:rPr>
        <w:t xml:space="preserve"> individual State incentive payments.</w:t>
      </w:r>
    </w:p>
    <w:p w:rsidR="009C0B24" w:rsidRPr="002C3C4F" w:rsidRDefault="009C0B24" w:rsidP="009C0B24">
      <w:pPr>
        <w:widowControl/>
        <w:spacing w:before="100" w:beforeAutospacing="1" w:after="100" w:afterAutospacing="1"/>
        <w:rPr>
          <w:rFonts w:ascii="Times New Roman" w:hAnsi="Times New Roman"/>
          <w:snapToGrid/>
          <w:sz w:val="24"/>
          <w:szCs w:val="24"/>
        </w:rPr>
      </w:pPr>
      <w:r w:rsidRPr="009C0B24">
        <w:rPr>
          <w:rFonts w:ascii="Times New Roman" w:hAnsi="Times New Roman"/>
          <w:snapToGrid/>
          <w:sz w:val="24"/>
          <w:szCs w:val="24"/>
        </w:rPr>
        <w:t>Lines 11 and 15 of this report remain "Reserved," while lines 33 through 37 of the report have been opened to collect Medicaid data.</w:t>
      </w:r>
    </w:p>
    <w:p w:rsidR="002C3C4F" w:rsidRPr="00691028" w:rsidRDefault="00F31167" w:rsidP="00F31167">
      <w:pPr>
        <w:widowControl/>
        <w:spacing w:before="100" w:beforeAutospacing="1" w:after="100" w:afterAutospacing="1"/>
        <w:rPr>
          <w:rFonts w:ascii="Times New Roman" w:hAnsi="Times New Roman"/>
          <w:b/>
          <w:snapToGrid/>
          <w:sz w:val="24"/>
          <w:szCs w:val="24"/>
        </w:rPr>
      </w:pPr>
      <w:r>
        <w:rPr>
          <w:rFonts w:ascii="Times New Roman" w:hAnsi="Times New Roman"/>
          <w:b/>
          <w:snapToGrid/>
          <w:sz w:val="24"/>
          <w:szCs w:val="24"/>
        </w:rPr>
        <w:t>3.</w:t>
      </w:r>
      <w:r>
        <w:rPr>
          <w:rFonts w:ascii="Times New Roman" w:hAnsi="Times New Roman"/>
          <w:b/>
          <w:snapToGrid/>
          <w:sz w:val="24"/>
          <w:szCs w:val="24"/>
        </w:rPr>
        <w:tab/>
      </w:r>
      <w:r w:rsidR="002C3C4F" w:rsidRPr="00691028">
        <w:rPr>
          <w:rFonts w:ascii="Times New Roman" w:hAnsi="Times New Roman"/>
          <w:b/>
          <w:snapToGrid/>
          <w:sz w:val="24"/>
          <w:szCs w:val="24"/>
        </w:rPr>
        <w:t xml:space="preserve">Use of Improved Information Technology and Burden Reduction </w:t>
      </w:r>
    </w:p>
    <w:p w:rsidR="009C0B24" w:rsidRPr="002C3C4F" w:rsidRDefault="009C0B24" w:rsidP="009C0B24">
      <w:pPr>
        <w:widowControl/>
        <w:spacing w:before="100" w:beforeAutospacing="1" w:after="100" w:afterAutospacing="1"/>
        <w:rPr>
          <w:rFonts w:ascii="Times New Roman" w:hAnsi="Times New Roman"/>
          <w:snapToGrid/>
          <w:sz w:val="24"/>
          <w:szCs w:val="24"/>
        </w:rPr>
      </w:pPr>
      <w:r w:rsidRPr="009C0B24">
        <w:rPr>
          <w:rFonts w:ascii="Times New Roman" w:hAnsi="Times New Roman"/>
          <w:snapToGrid/>
          <w:sz w:val="24"/>
          <w:szCs w:val="24"/>
        </w:rPr>
        <w:t>The Administration for Child and Families developed the Online Data Collection (OLDC) System to allow States to submit their OCSE-157 reports electronically through the HHS website.  States are encouraged to use this online system since it is the quickest way of submitting information to OCSE.</w:t>
      </w:r>
    </w:p>
    <w:p w:rsidR="002C3C4F" w:rsidRPr="00691028" w:rsidRDefault="00F31167" w:rsidP="00F31167">
      <w:pPr>
        <w:widowControl/>
        <w:spacing w:before="100" w:beforeAutospacing="1" w:after="100" w:afterAutospacing="1"/>
        <w:rPr>
          <w:rFonts w:ascii="Times New Roman" w:hAnsi="Times New Roman"/>
          <w:b/>
          <w:snapToGrid/>
          <w:sz w:val="24"/>
          <w:szCs w:val="24"/>
        </w:rPr>
      </w:pPr>
      <w:r>
        <w:rPr>
          <w:rFonts w:ascii="Times New Roman" w:hAnsi="Times New Roman"/>
          <w:b/>
          <w:snapToGrid/>
          <w:sz w:val="24"/>
          <w:szCs w:val="24"/>
        </w:rPr>
        <w:t>4.</w:t>
      </w:r>
      <w:r>
        <w:rPr>
          <w:rFonts w:ascii="Times New Roman" w:hAnsi="Times New Roman"/>
          <w:b/>
          <w:snapToGrid/>
          <w:sz w:val="24"/>
          <w:szCs w:val="24"/>
        </w:rPr>
        <w:tab/>
      </w:r>
      <w:r w:rsidR="002C3C4F" w:rsidRPr="00691028">
        <w:rPr>
          <w:rFonts w:ascii="Times New Roman" w:hAnsi="Times New Roman"/>
          <w:b/>
          <w:snapToGrid/>
          <w:sz w:val="24"/>
          <w:szCs w:val="24"/>
        </w:rPr>
        <w:t xml:space="preserve">Efforts to Identify Duplication and Use of Similar Information </w:t>
      </w:r>
    </w:p>
    <w:p w:rsidR="009C0B24" w:rsidRPr="002C3C4F" w:rsidRDefault="009C0B24" w:rsidP="009C0B24">
      <w:pPr>
        <w:widowControl/>
        <w:spacing w:before="100" w:beforeAutospacing="1" w:after="100" w:afterAutospacing="1"/>
        <w:rPr>
          <w:rFonts w:ascii="Times New Roman" w:hAnsi="Times New Roman"/>
          <w:snapToGrid/>
          <w:sz w:val="24"/>
          <w:szCs w:val="24"/>
        </w:rPr>
      </w:pPr>
      <w:r w:rsidRPr="009C0B24">
        <w:rPr>
          <w:rFonts w:ascii="Times New Roman" w:hAnsi="Times New Roman"/>
          <w:snapToGrid/>
          <w:sz w:val="24"/>
          <w:szCs w:val="24"/>
        </w:rPr>
        <w:t>This form will be the only method used by States to report child support information needed to compute States incentives and penalty performance levels and other required program data.  No data are reported elsewhere and there is no other form in use by OCSE/ACF which collects similar State information.</w:t>
      </w:r>
    </w:p>
    <w:p w:rsidR="002C3C4F" w:rsidRPr="00691028" w:rsidRDefault="00F31167" w:rsidP="00F31167">
      <w:pPr>
        <w:widowControl/>
        <w:spacing w:before="100" w:beforeAutospacing="1" w:after="100" w:afterAutospacing="1"/>
        <w:rPr>
          <w:rFonts w:ascii="Times New Roman" w:hAnsi="Times New Roman"/>
          <w:b/>
          <w:snapToGrid/>
          <w:sz w:val="24"/>
          <w:szCs w:val="24"/>
        </w:rPr>
      </w:pPr>
      <w:r>
        <w:rPr>
          <w:rFonts w:ascii="Times New Roman" w:hAnsi="Times New Roman"/>
          <w:b/>
          <w:snapToGrid/>
          <w:sz w:val="24"/>
          <w:szCs w:val="24"/>
        </w:rPr>
        <w:t>5.</w:t>
      </w:r>
      <w:r>
        <w:rPr>
          <w:rFonts w:ascii="Times New Roman" w:hAnsi="Times New Roman"/>
          <w:b/>
          <w:snapToGrid/>
          <w:sz w:val="24"/>
          <w:szCs w:val="24"/>
        </w:rPr>
        <w:tab/>
      </w:r>
      <w:r w:rsidR="002C3C4F" w:rsidRPr="00691028">
        <w:rPr>
          <w:rFonts w:ascii="Times New Roman" w:hAnsi="Times New Roman"/>
          <w:b/>
          <w:snapToGrid/>
          <w:sz w:val="24"/>
          <w:szCs w:val="24"/>
        </w:rPr>
        <w:t xml:space="preserve">Impact on Small Businesses or Other Small Entities </w:t>
      </w:r>
    </w:p>
    <w:p w:rsidR="009C0B24" w:rsidRPr="002C3C4F" w:rsidRDefault="009C0B24" w:rsidP="009C0B24">
      <w:pPr>
        <w:widowControl/>
        <w:spacing w:before="100" w:beforeAutospacing="1" w:after="100" w:afterAutospacing="1"/>
        <w:rPr>
          <w:rFonts w:ascii="Times New Roman" w:hAnsi="Times New Roman"/>
          <w:snapToGrid/>
          <w:sz w:val="24"/>
          <w:szCs w:val="24"/>
        </w:rPr>
      </w:pPr>
      <w:r w:rsidRPr="009C0B24">
        <w:rPr>
          <w:rFonts w:ascii="Times New Roman" w:hAnsi="Times New Roman"/>
          <w:snapToGrid/>
          <w:sz w:val="24"/>
          <w:szCs w:val="24"/>
        </w:rPr>
        <w:t xml:space="preserve">This reporting requirement is imposed on State government agencies.  There </w:t>
      </w:r>
      <w:proofErr w:type="gramStart"/>
      <w:r w:rsidRPr="009C0B24">
        <w:rPr>
          <w:rFonts w:ascii="Times New Roman" w:hAnsi="Times New Roman"/>
          <w:snapToGrid/>
          <w:sz w:val="24"/>
          <w:szCs w:val="24"/>
        </w:rPr>
        <w:t>are no small business</w:t>
      </w:r>
      <w:proofErr w:type="gramEnd"/>
      <w:r w:rsidRPr="009C0B24">
        <w:rPr>
          <w:rFonts w:ascii="Times New Roman" w:hAnsi="Times New Roman"/>
          <w:snapToGrid/>
          <w:sz w:val="24"/>
          <w:szCs w:val="24"/>
        </w:rPr>
        <w:t xml:space="preserve"> contacted to complete this form.</w:t>
      </w:r>
    </w:p>
    <w:p w:rsidR="002C3C4F" w:rsidRPr="00691028" w:rsidRDefault="00F31167" w:rsidP="00F31167">
      <w:pPr>
        <w:widowControl/>
        <w:spacing w:before="100" w:beforeAutospacing="1" w:after="100" w:afterAutospacing="1"/>
        <w:rPr>
          <w:rFonts w:ascii="Times New Roman" w:hAnsi="Times New Roman"/>
          <w:b/>
          <w:snapToGrid/>
          <w:sz w:val="24"/>
          <w:szCs w:val="24"/>
        </w:rPr>
      </w:pPr>
      <w:r>
        <w:rPr>
          <w:rFonts w:ascii="Times New Roman" w:hAnsi="Times New Roman"/>
          <w:b/>
          <w:snapToGrid/>
          <w:sz w:val="24"/>
          <w:szCs w:val="24"/>
        </w:rPr>
        <w:t>6.</w:t>
      </w:r>
      <w:r>
        <w:rPr>
          <w:rFonts w:ascii="Times New Roman" w:hAnsi="Times New Roman"/>
          <w:b/>
          <w:snapToGrid/>
          <w:sz w:val="24"/>
          <w:szCs w:val="24"/>
        </w:rPr>
        <w:tab/>
      </w:r>
      <w:r w:rsidR="002C3C4F" w:rsidRPr="00691028">
        <w:rPr>
          <w:rFonts w:ascii="Times New Roman" w:hAnsi="Times New Roman"/>
          <w:b/>
          <w:snapToGrid/>
          <w:sz w:val="24"/>
          <w:szCs w:val="24"/>
        </w:rPr>
        <w:t xml:space="preserve">Consequences of Collecting the Information Less Frequently </w:t>
      </w:r>
    </w:p>
    <w:p w:rsidR="009C0B24" w:rsidRPr="002C3C4F" w:rsidRDefault="009C0B24" w:rsidP="009C0B24">
      <w:pPr>
        <w:widowControl/>
        <w:spacing w:before="100" w:beforeAutospacing="1" w:after="100" w:afterAutospacing="1"/>
        <w:rPr>
          <w:rFonts w:ascii="Times New Roman" w:hAnsi="Times New Roman"/>
          <w:snapToGrid/>
          <w:sz w:val="24"/>
          <w:szCs w:val="24"/>
        </w:rPr>
      </w:pPr>
      <w:r w:rsidRPr="009C0B24">
        <w:rPr>
          <w:rFonts w:ascii="Times New Roman" w:hAnsi="Times New Roman"/>
          <w:snapToGrid/>
          <w:sz w:val="24"/>
          <w:szCs w:val="24"/>
        </w:rPr>
        <w:t>The data collected in OCSE-157 are used annually by OCSE to evaluate State programs and to identify areas where program improvement may be required and to set in motion tailored strategies for achieving such improvement.  Failure to collect this data would preclude the Department from monitoring and evaluating the success of the program and would prevent the Department from being in compliance with annual reporting for penalty purposes.  It would also preclude the computation of performance indicators and incentive payments.</w:t>
      </w:r>
    </w:p>
    <w:p w:rsidR="002C3C4F" w:rsidRPr="00691028" w:rsidRDefault="00F31167" w:rsidP="00F31167">
      <w:pPr>
        <w:widowControl/>
        <w:spacing w:before="100" w:beforeAutospacing="1" w:after="100" w:afterAutospacing="1"/>
        <w:rPr>
          <w:rFonts w:ascii="Times New Roman" w:hAnsi="Times New Roman"/>
          <w:b/>
          <w:snapToGrid/>
          <w:sz w:val="24"/>
          <w:szCs w:val="24"/>
        </w:rPr>
      </w:pPr>
      <w:r>
        <w:rPr>
          <w:rFonts w:ascii="Times New Roman" w:hAnsi="Times New Roman"/>
          <w:b/>
          <w:snapToGrid/>
          <w:sz w:val="24"/>
          <w:szCs w:val="24"/>
        </w:rPr>
        <w:t>7.</w:t>
      </w:r>
      <w:r>
        <w:rPr>
          <w:rFonts w:ascii="Times New Roman" w:hAnsi="Times New Roman"/>
          <w:b/>
          <w:snapToGrid/>
          <w:sz w:val="24"/>
          <w:szCs w:val="24"/>
        </w:rPr>
        <w:tab/>
      </w:r>
      <w:r w:rsidR="002C3C4F" w:rsidRPr="00691028">
        <w:rPr>
          <w:rFonts w:ascii="Times New Roman" w:hAnsi="Times New Roman"/>
          <w:b/>
          <w:snapToGrid/>
          <w:sz w:val="24"/>
          <w:szCs w:val="24"/>
        </w:rPr>
        <w:t xml:space="preserve">Special Circumstances Relating to the Guidelines of 5 CFR 1320.5 </w:t>
      </w:r>
    </w:p>
    <w:p w:rsidR="009C0B24" w:rsidRPr="002C3C4F" w:rsidRDefault="00535CEE" w:rsidP="009C0B24">
      <w:pPr>
        <w:widowControl/>
        <w:spacing w:before="100" w:beforeAutospacing="1" w:after="100" w:afterAutospacing="1"/>
        <w:rPr>
          <w:rFonts w:ascii="Times New Roman" w:hAnsi="Times New Roman"/>
          <w:snapToGrid/>
          <w:sz w:val="24"/>
          <w:szCs w:val="24"/>
        </w:rPr>
      </w:pPr>
      <w:r w:rsidRPr="00535CEE">
        <w:rPr>
          <w:rFonts w:ascii="Times New Roman" w:hAnsi="Times New Roman"/>
          <w:snapToGrid/>
          <w:sz w:val="24"/>
          <w:szCs w:val="24"/>
        </w:rPr>
        <w:t>This collection is conducted in a manner consistent with guidelines in 5 CFR 1320.5.  There are no special circumstances.</w:t>
      </w:r>
    </w:p>
    <w:p w:rsidR="002C3C4F" w:rsidRPr="00691028" w:rsidRDefault="00F31167" w:rsidP="00F31167">
      <w:pPr>
        <w:widowControl/>
        <w:spacing w:before="100" w:beforeAutospacing="1" w:after="100" w:afterAutospacing="1"/>
        <w:rPr>
          <w:rFonts w:ascii="Times New Roman" w:hAnsi="Times New Roman"/>
          <w:b/>
          <w:snapToGrid/>
          <w:sz w:val="24"/>
          <w:szCs w:val="24"/>
        </w:rPr>
      </w:pPr>
      <w:r>
        <w:rPr>
          <w:rFonts w:ascii="Times New Roman" w:hAnsi="Times New Roman"/>
          <w:b/>
          <w:snapToGrid/>
          <w:sz w:val="24"/>
          <w:szCs w:val="24"/>
        </w:rPr>
        <w:t>8.</w:t>
      </w:r>
      <w:r>
        <w:rPr>
          <w:rFonts w:ascii="Times New Roman" w:hAnsi="Times New Roman"/>
          <w:b/>
          <w:snapToGrid/>
          <w:sz w:val="24"/>
          <w:szCs w:val="24"/>
        </w:rPr>
        <w:tab/>
      </w:r>
      <w:r w:rsidR="002C3C4F" w:rsidRPr="00691028">
        <w:rPr>
          <w:rFonts w:ascii="Times New Roman" w:hAnsi="Times New Roman"/>
          <w:b/>
          <w:snapToGrid/>
          <w:sz w:val="24"/>
          <w:szCs w:val="24"/>
        </w:rPr>
        <w:t xml:space="preserve">Comments in Response to the Federal Register Notice and Efforts to Consult Outside the Agency </w:t>
      </w:r>
    </w:p>
    <w:p w:rsidR="00F31167" w:rsidRPr="00F31167" w:rsidRDefault="00F31167" w:rsidP="00F31167">
      <w:pPr>
        <w:widowControl/>
        <w:spacing w:before="100" w:beforeAutospacing="1" w:after="100" w:afterAutospacing="1"/>
        <w:rPr>
          <w:rFonts w:ascii="Times New Roman" w:hAnsi="Times New Roman"/>
          <w:snapToGrid/>
          <w:sz w:val="24"/>
          <w:szCs w:val="24"/>
        </w:rPr>
      </w:pPr>
      <w:r>
        <w:rPr>
          <w:rFonts w:ascii="Times New Roman" w:hAnsi="Times New Roman"/>
          <w:snapToGrid/>
          <w:sz w:val="24"/>
          <w:szCs w:val="24"/>
        </w:rPr>
        <w:t>The 60 day notice was published on 5/13/2011, vol. 76 page no. 28043.</w:t>
      </w:r>
    </w:p>
    <w:p w:rsidR="00F31167" w:rsidRDefault="00F31167" w:rsidP="00F31167">
      <w:pPr>
        <w:pStyle w:val="PlainText"/>
      </w:pPr>
      <w:r>
        <w:t>Four comments were received in response to the 60-day federal register notice.  Each respondent expressed concern that the changes to instructions were either not optional or would require systems changes that may take some time to implement.  In response to these concerns, additional language was inserted in the instructions to make it clear that reporting changes are at state option and are not required.  In addition, 3 respondents commented on the disparity between the proposed information collection and the standard for ordering medical support in the Federal regulations.  To address this issue, policy language was inserted in the document referencing official program guidance updating medical support policy and guidelines.</w:t>
      </w:r>
    </w:p>
    <w:p w:rsidR="00F31167" w:rsidRDefault="00F31167" w:rsidP="00F31167">
      <w:pPr>
        <w:pStyle w:val="PlainText"/>
      </w:pPr>
    </w:p>
    <w:p w:rsidR="002C3C4F" w:rsidRPr="00691028" w:rsidRDefault="00F31167" w:rsidP="00F31167">
      <w:pPr>
        <w:widowControl/>
        <w:spacing w:before="100" w:beforeAutospacing="1" w:after="100" w:afterAutospacing="1"/>
        <w:rPr>
          <w:rFonts w:ascii="Times New Roman" w:hAnsi="Times New Roman"/>
          <w:b/>
          <w:snapToGrid/>
          <w:sz w:val="24"/>
          <w:szCs w:val="24"/>
        </w:rPr>
      </w:pPr>
      <w:r>
        <w:rPr>
          <w:rFonts w:ascii="Times New Roman" w:hAnsi="Times New Roman"/>
          <w:b/>
          <w:snapToGrid/>
          <w:sz w:val="24"/>
          <w:szCs w:val="24"/>
        </w:rPr>
        <w:t>9.</w:t>
      </w:r>
      <w:r>
        <w:rPr>
          <w:rFonts w:ascii="Times New Roman" w:hAnsi="Times New Roman"/>
          <w:b/>
          <w:snapToGrid/>
          <w:sz w:val="24"/>
          <w:szCs w:val="24"/>
        </w:rPr>
        <w:tab/>
      </w:r>
      <w:r w:rsidR="002C3C4F" w:rsidRPr="00691028">
        <w:rPr>
          <w:rFonts w:ascii="Times New Roman" w:hAnsi="Times New Roman"/>
          <w:b/>
          <w:snapToGrid/>
          <w:sz w:val="24"/>
          <w:szCs w:val="24"/>
        </w:rPr>
        <w:t xml:space="preserve">Explanation of Any Payment or Gift to Respondents </w:t>
      </w:r>
    </w:p>
    <w:p w:rsidR="00535CEE" w:rsidRPr="002C3C4F" w:rsidRDefault="00535CEE" w:rsidP="00535CEE">
      <w:pPr>
        <w:widowControl/>
        <w:spacing w:before="100" w:beforeAutospacing="1" w:after="100" w:afterAutospacing="1"/>
        <w:rPr>
          <w:rFonts w:ascii="Times New Roman" w:hAnsi="Times New Roman"/>
          <w:snapToGrid/>
          <w:sz w:val="24"/>
          <w:szCs w:val="24"/>
        </w:rPr>
      </w:pPr>
      <w:r w:rsidRPr="00535CEE">
        <w:rPr>
          <w:rFonts w:ascii="Times New Roman" w:hAnsi="Times New Roman"/>
          <w:snapToGrid/>
          <w:sz w:val="24"/>
          <w:szCs w:val="24"/>
        </w:rPr>
        <w:t>No payments or other remuneration to respondents are made for the collection of this information.</w:t>
      </w:r>
    </w:p>
    <w:p w:rsidR="002C3C4F" w:rsidRPr="00691028" w:rsidRDefault="00F31167" w:rsidP="00F31167">
      <w:pPr>
        <w:widowControl/>
        <w:spacing w:before="100" w:beforeAutospacing="1" w:after="100" w:afterAutospacing="1"/>
        <w:rPr>
          <w:rFonts w:ascii="Times New Roman" w:hAnsi="Times New Roman"/>
          <w:b/>
          <w:snapToGrid/>
          <w:sz w:val="24"/>
          <w:szCs w:val="24"/>
        </w:rPr>
      </w:pPr>
      <w:r>
        <w:rPr>
          <w:rFonts w:ascii="Times New Roman" w:hAnsi="Times New Roman"/>
          <w:b/>
          <w:snapToGrid/>
          <w:sz w:val="24"/>
          <w:szCs w:val="24"/>
        </w:rPr>
        <w:t>10.</w:t>
      </w:r>
      <w:r>
        <w:rPr>
          <w:rFonts w:ascii="Times New Roman" w:hAnsi="Times New Roman"/>
          <w:b/>
          <w:snapToGrid/>
          <w:sz w:val="24"/>
          <w:szCs w:val="24"/>
        </w:rPr>
        <w:tab/>
      </w:r>
      <w:r w:rsidR="002C3C4F" w:rsidRPr="00691028">
        <w:rPr>
          <w:rFonts w:ascii="Times New Roman" w:hAnsi="Times New Roman"/>
          <w:b/>
          <w:snapToGrid/>
          <w:sz w:val="24"/>
          <w:szCs w:val="24"/>
        </w:rPr>
        <w:t xml:space="preserve">Assurance of Confidentiality Provided to Respondents </w:t>
      </w:r>
    </w:p>
    <w:p w:rsidR="00535CEE" w:rsidRPr="002C3C4F" w:rsidRDefault="00535CEE" w:rsidP="00535CEE">
      <w:pPr>
        <w:widowControl/>
        <w:spacing w:before="100" w:beforeAutospacing="1" w:after="100" w:afterAutospacing="1"/>
        <w:rPr>
          <w:rFonts w:ascii="Times New Roman" w:hAnsi="Times New Roman"/>
          <w:snapToGrid/>
          <w:sz w:val="24"/>
          <w:szCs w:val="24"/>
        </w:rPr>
      </w:pPr>
      <w:r w:rsidRPr="00535CEE">
        <w:rPr>
          <w:rFonts w:ascii="Times New Roman" w:hAnsi="Times New Roman"/>
          <w:snapToGrid/>
          <w:sz w:val="24"/>
          <w:szCs w:val="24"/>
        </w:rPr>
        <w:t>The data reported are considered to be public information.</w:t>
      </w:r>
    </w:p>
    <w:p w:rsidR="002C3C4F" w:rsidRPr="00691028" w:rsidRDefault="00F31167" w:rsidP="00F31167">
      <w:pPr>
        <w:widowControl/>
        <w:spacing w:before="100" w:beforeAutospacing="1" w:after="100" w:afterAutospacing="1"/>
        <w:rPr>
          <w:rFonts w:ascii="Times New Roman" w:hAnsi="Times New Roman"/>
          <w:b/>
          <w:snapToGrid/>
          <w:sz w:val="24"/>
          <w:szCs w:val="24"/>
        </w:rPr>
      </w:pPr>
      <w:r>
        <w:rPr>
          <w:rFonts w:ascii="Times New Roman" w:hAnsi="Times New Roman"/>
          <w:b/>
          <w:snapToGrid/>
          <w:sz w:val="24"/>
          <w:szCs w:val="24"/>
        </w:rPr>
        <w:t>11.</w:t>
      </w:r>
      <w:r>
        <w:rPr>
          <w:rFonts w:ascii="Times New Roman" w:hAnsi="Times New Roman"/>
          <w:b/>
          <w:snapToGrid/>
          <w:sz w:val="24"/>
          <w:szCs w:val="24"/>
        </w:rPr>
        <w:tab/>
      </w:r>
      <w:r w:rsidR="002C3C4F" w:rsidRPr="00691028">
        <w:rPr>
          <w:rFonts w:ascii="Times New Roman" w:hAnsi="Times New Roman"/>
          <w:b/>
          <w:snapToGrid/>
          <w:sz w:val="24"/>
          <w:szCs w:val="24"/>
        </w:rPr>
        <w:t xml:space="preserve">Justification for Sensitive Questions </w:t>
      </w:r>
    </w:p>
    <w:p w:rsidR="00535CEE" w:rsidRPr="002C3C4F" w:rsidRDefault="00535CEE" w:rsidP="00535CEE">
      <w:pPr>
        <w:widowControl/>
        <w:spacing w:before="100" w:beforeAutospacing="1" w:after="100" w:afterAutospacing="1"/>
        <w:rPr>
          <w:rFonts w:ascii="Times New Roman" w:hAnsi="Times New Roman"/>
          <w:snapToGrid/>
          <w:sz w:val="24"/>
          <w:szCs w:val="24"/>
        </w:rPr>
      </w:pPr>
      <w:r w:rsidRPr="00535CEE">
        <w:rPr>
          <w:rFonts w:ascii="Times New Roman" w:hAnsi="Times New Roman"/>
          <w:snapToGrid/>
          <w:sz w:val="24"/>
          <w:szCs w:val="24"/>
        </w:rPr>
        <w:t>Data are reported only on an aggregate basis.  There is no personal information or data of a sensitive nature being collected on this form.</w:t>
      </w:r>
    </w:p>
    <w:p w:rsidR="002C3C4F" w:rsidRPr="00691028" w:rsidRDefault="00F31167" w:rsidP="00F31167">
      <w:pPr>
        <w:widowControl/>
        <w:spacing w:before="100" w:beforeAutospacing="1" w:after="100" w:afterAutospacing="1"/>
        <w:rPr>
          <w:rFonts w:ascii="Times New Roman" w:hAnsi="Times New Roman"/>
          <w:b/>
          <w:snapToGrid/>
          <w:sz w:val="24"/>
          <w:szCs w:val="24"/>
        </w:rPr>
      </w:pPr>
      <w:r>
        <w:rPr>
          <w:rFonts w:ascii="Times New Roman" w:hAnsi="Times New Roman"/>
          <w:b/>
          <w:snapToGrid/>
          <w:sz w:val="24"/>
          <w:szCs w:val="24"/>
        </w:rPr>
        <w:t>12.</w:t>
      </w:r>
      <w:r>
        <w:rPr>
          <w:rFonts w:ascii="Times New Roman" w:hAnsi="Times New Roman"/>
          <w:b/>
          <w:snapToGrid/>
          <w:sz w:val="24"/>
          <w:szCs w:val="24"/>
        </w:rPr>
        <w:tab/>
      </w:r>
      <w:r w:rsidR="002C3C4F" w:rsidRPr="00691028">
        <w:rPr>
          <w:rFonts w:ascii="Times New Roman" w:hAnsi="Times New Roman"/>
          <w:b/>
          <w:snapToGrid/>
          <w:sz w:val="24"/>
          <w:szCs w:val="24"/>
        </w:rPr>
        <w:t xml:space="preserve">Estimates of Annualized Burden Hours and Costs </w:t>
      </w:r>
    </w:p>
    <w:p w:rsidR="00C64833" w:rsidRDefault="00C64833" w:rsidP="00C64833">
      <w:pPr>
        <w:tabs>
          <w:tab w:val="left" w:pos="-720"/>
        </w:tabs>
        <w:suppressAutoHyphens/>
        <w:ind w:left="360"/>
        <w:rPr>
          <w:b/>
          <w:noProof/>
          <w:sz w:val="24"/>
        </w:rPr>
      </w:pPr>
    </w:p>
    <w:p w:rsidR="00C64833" w:rsidRDefault="00C64833" w:rsidP="00C64833">
      <w:pPr>
        <w:tabs>
          <w:tab w:val="left" w:pos="-720"/>
        </w:tabs>
        <w:suppressAutoHyphens/>
        <w:ind w:left="720"/>
        <w:rPr>
          <w:b/>
          <w:noProof/>
          <w:sz w:val="24"/>
        </w:rPr>
      </w:pPr>
      <w:r>
        <w:rPr>
          <w:b/>
          <w:noProof/>
          <w:sz w:val="24"/>
        </w:rPr>
        <w:t>Based on experience from other data collection efforts, the burden on all State agenicies is estimated at 378 hours per year, calculated as follows:</w:t>
      </w:r>
    </w:p>
    <w:p w:rsidR="00C64833" w:rsidRDefault="00C64833" w:rsidP="00C64833">
      <w:pPr>
        <w:tabs>
          <w:tab w:val="left" w:pos="-720"/>
        </w:tabs>
        <w:suppressAutoHyphens/>
        <w:ind w:left="720"/>
        <w:rPr>
          <w:b/>
          <w:noProof/>
          <w:sz w:val="24"/>
        </w:rPr>
      </w:pP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771"/>
        <w:gridCol w:w="1898"/>
        <w:gridCol w:w="1877"/>
        <w:gridCol w:w="1835"/>
        <w:gridCol w:w="1835"/>
      </w:tblGrid>
      <w:tr w:rsidR="001B04E0" w:rsidRPr="001B04E0" w:rsidTr="001B04E0">
        <w:tc>
          <w:tcPr>
            <w:tcW w:w="1771" w:type="dxa"/>
          </w:tcPr>
          <w:p w:rsidR="00C64833" w:rsidRPr="001B04E0" w:rsidRDefault="00C64833" w:rsidP="001B04E0">
            <w:pPr>
              <w:tabs>
                <w:tab w:val="left" w:pos="-720"/>
              </w:tabs>
              <w:suppressAutoHyphens/>
              <w:rPr>
                <w:b/>
                <w:noProof/>
                <w:sz w:val="24"/>
              </w:rPr>
            </w:pPr>
            <w:r w:rsidRPr="001B04E0">
              <w:rPr>
                <w:b/>
                <w:noProof/>
                <w:sz w:val="24"/>
              </w:rPr>
              <w:t>Form</w:t>
            </w:r>
          </w:p>
        </w:tc>
        <w:tc>
          <w:tcPr>
            <w:tcW w:w="1898" w:type="dxa"/>
          </w:tcPr>
          <w:p w:rsidR="00C64833" w:rsidRPr="001B04E0" w:rsidRDefault="00C64833" w:rsidP="001B04E0">
            <w:pPr>
              <w:tabs>
                <w:tab w:val="left" w:pos="-720"/>
              </w:tabs>
              <w:suppressAutoHyphens/>
              <w:rPr>
                <w:b/>
                <w:noProof/>
                <w:sz w:val="24"/>
              </w:rPr>
            </w:pPr>
            <w:r w:rsidRPr="001B04E0">
              <w:rPr>
                <w:b/>
                <w:noProof/>
                <w:sz w:val="24"/>
              </w:rPr>
              <w:t># of Respondents</w:t>
            </w:r>
          </w:p>
        </w:tc>
        <w:tc>
          <w:tcPr>
            <w:tcW w:w="1877" w:type="dxa"/>
          </w:tcPr>
          <w:p w:rsidR="00C64833" w:rsidRPr="001B04E0" w:rsidRDefault="00C64833" w:rsidP="001B04E0">
            <w:pPr>
              <w:tabs>
                <w:tab w:val="left" w:pos="-720"/>
              </w:tabs>
              <w:suppressAutoHyphens/>
              <w:rPr>
                <w:b/>
                <w:noProof/>
                <w:sz w:val="24"/>
              </w:rPr>
            </w:pPr>
            <w:r w:rsidRPr="001B04E0">
              <w:rPr>
                <w:b/>
                <w:noProof/>
                <w:sz w:val="24"/>
              </w:rPr>
              <w:t># of Responses per respondent</w:t>
            </w:r>
          </w:p>
        </w:tc>
        <w:tc>
          <w:tcPr>
            <w:tcW w:w="1835" w:type="dxa"/>
          </w:tcPr>
          <w:p w:rsidR="00C64833" w:rsidRPr="001B04E0" w:rsidRDefault="00C64833" w:rsidP="001B04E0">
            <w:pPr>
              <w:tabs>
                <w:tab w:val="left" w:pos="-720"/>
              </w:tabs>
              <w:suppressAutoHyphens/>
              <w:rPr>
                <w:b/>
                <w:noProof/>
                <w:sz w:val="24"/>
              </w:rPr>
            </w:pPr>
            <w:r w:rsidRPr="001B04E0">
              <w:rPr>
                <w:b/>
                <w:noProof/>
                <w:sz w:val="24"/>
              </w:rPr>
              <w:t>Hrs. Per Response</w:t>
            </w:r>
          </w:p>
        </w:tc>
        <w:tc>
          <w:tcPr>
            <w:tcW w:w="1835" w:type="dxa"/>
          </w:tcPr>
          <w:p w:rsidR="00C64833" w:rsidRPr="001B04E0" w:rsidRDefault="00C64833" w:rsidP="001B04E0">
            <w:pPr>
              <w:tabs>
                <w:tab w:val="left" w:pos="-720"/>
              </w:tabs>
              <w:suppressAutoHyphens/>
              <w:rPr>
                <w:b/>
                <w:noProof/>
                <w:sz w:val="24"/>
              </w:rPr>
            </w:pPr>
            <w:r w:rsidRPr="001B04E0">
              <w:rPr>
                <w:b/>
                <w:noProof/>
                <w:sz w:val="24"/>
              </w:rPr>
              <w:t>Response Burden</w:t>
            </w:r>
          </w:p>
        </w:tc>
      </w:tr>
      <w:tr w:rsidR="001B04E0" w:rsidRPr="001B04E0" w:rsidTr="001B04E0">
        <w:tc>
          <w:tcPr>
            <w:tcW w:w="1771" w:type="dxa"/>
          </w:tcPr>
          <w:p w:rsidR="00C64833" w:rsidRPr="001B04E0" w:rsidRDefault="00C64833" w:rsidP="001B04E0">
            <w:pPr>
              <w:tabs>
                <w:tab w:val="left" w:pos="-720"/>
              </w:tabs>
              <w:suppressAutoHyphens/>
              <w:rPr>
                <w:b/>
                <w:noProof/>
                <w:sz w:val="24"/>
              </w:rPr>
            </w:pPr>
            <w:r w:rsidRPr="001B04E0">
              <w:rPr>
                <w:b/>
                <w:noProof/>
                <w:sz w:val="24"/>
              </w:rPr>
              <w:t>OCSE-157</w:t>
            </w:r>
          </w:p>
        </w:tc>
        <w:tc>
          <w:tcPr>
            <w:tcW w:w="1898" w:type="dxa"/>
          </w:tcPr>
          <w:p w:rsidR="00C64833" w:rsidRPr="001B04E0" w:rsidRDefault="00C64833" w:rsidP="001B04E0">
            <w:pPr>
              <w:tabs>
                <w:tab w:val="left" w:pos="-720"/>
              </w:tabs>
              <w:suppressAutoHyphens/>
              <w:rPr>
                <w:b/>
                <w:noProof/>
                <w:sz w:val="24"/>
              </w:rPr>
            </w:pPr>
            <w:r w:rsidRPr="001B04E0">
              <w:rPr>
                <w:b/>
                <w:noProof/>
                <w:sz w:val="24"/>
              </w:rPr>
              <w:t>54</w:t>
            </w:r>
          </w:p>
        </w:tc>
        <w:tc>
          <w:tcPr>
            <w:tcW w:w="1877" w:type="dxa"/>
          </w:tcPr>
          <w:p w:rsidR="00C64833" w:rsidRPr="001B04E0" w:rsidRDefault="00C64833" w:rsidP="001B04E0">
            <w:pPr>
              <w:tabs>
                <w:tab w:val="left" w:pos="-720"/>
              </w:tabs>
              <w:suppressAutoHyphens/>
              <w:rPr>
                <w:b/>
                <w:noProof/>
                <w:sz w:val="24"/>
              </w:rPr>
            </w:pPr>
            <w:r w:rsidRPr="001B04E0">
              <w:rPr>
                <w:b/>
                <w:noProof/>
                <w:sz w:val="24"/>
              </w:rPr>
              <w:t>1</w:t>
            </w:r>
          </w:p>
        </w:tc>
        <w:tc>
          <w:tcPr>
            <w:tcW w:w="1835" w:type="dxa"/>
          </w:tcPr>
          <w:p w:rsidR="00C64833" w:rsidRPr="001B04E0" w:rsidRDefault="00C64833" w:rsidP="001B04E0">
            <w:pPr>
              <w:tabs>
                <w:tab w:val="left" w:pos="-720"/>
              </w:tabs>
              <w:suppressAutoHyphens/>
              <w:rPr>
                <w:b/>
                <w:noProof/>
                <w:sz w:val="24"/>
              </w:rPr>
            </w:pPr>
            <w:r w:rsidRPr="001B04E0">
              <w:rPr>
                <w:b/>
                <w:noProof/>
                <w:sz w:val="24"/>
              </w:rPr>
              <w:t>7</w:t>
            </w:r>
          </w:p>
        </w:tc>
        <w:tc>
          <w:tcPr>
            <w:tcW w:w="1835" w:type="dxa"/>
          </w:tcPr>
          <w:p w:rsidR="00C64833" w:rsidRPr="001B04E0" w:rsidRDefault="00C64833" w:rsidP="001B04E0">
            <w:pPr>
              <w:tabs>
                <w:tab w:val="left" w:pos="-720"/>
              </w:tabs>
              <w:suppressAutoHyphens/>
              <w:rPr>
                <w:b/>
                <w:noProof/>
                <w:sz w:val="24"/>
              </w:rPr>
            </w:pPr>
            <w:r w:rsidRPr="001B04E0">
              <w:rPr>
                <w:b/>
                <w:noProof/>
                <w:sz w:val="24"/>
              </w:rPr>
              <w:t>378</w:t>
            </w:r>
          </w:p>
        </w:tc>
      </w:tr>
    </w:tbl>
    <w:p w:rsidR="00C64833" w:rsidRDefault="00C64833" w:rsidP="00C64833">
      <w:pPr>
        <w:tabs>
          <w:tab w:val="left" w:pos="-720"/>
        </w:tabs>
        <w:suppressAutoHyphens/>
        <w:ind w:left="360"/>
        <w:rPr>
          <w:b/>
          <w:noProof/>
          <w:sz w:val="24"/>
        </w:rPr>
      </w:pPr>
    </w:p>
    <w:p w:rsidR="00C64833" w:rsidRPr="00C64833" w:rsidRDefault="00C64833" w:rsidP="00C64833">
      <w:pPr>
        <w:tabs>
          <w:tab w:val="left" w:pos="-720"/>
        </w:tabs>
        <w:suppressAutoHyphens/>
        <w:ind w:left="720"/>
        <w:rPr>
          <w:b/>
          <w:noProof/>
          <w:sz w:val="24"/>
        </w:rPr>
      </w:pPr>
    </w:p>
    <w:p w:rsidR="00C64833" w:rsidRDefault="00C64833" w:rsidP="00C64833">
      <w:pPr>
        <w:widowControl/>
        <w:spacing w:before="100" w:beforeAutospacing="1" w:after="100" w:afterAutospacing="1"/>
        <w:ind w:left="720"/>
        <w:rPr>
          <w:b/>
          <w:sz w:val="24"/>
        </w:rPr>
      </w:pPr>
      <w:r>
        <w:rPr>
          <w:b/>
          <w:sz w:val="24"/>
        </w:rPr>
        <w:t>The bur</w:t>
      </w:r>
      <w:r w:rsidR="00CA4ADC">
        <w:rPr>
          <w:b/>
          <w:sz w:val="24"/>
        </w:rPr>
        <w:t>den cost is estimated to be $40.00 per hour for a total of $280</w:t>
      </w:r>
      <w:r>
        <w:rPr>
          <w:b/>
          <w:sz w:val="24"/>
        </w:rPr>
        <w:t>.00 per respondent</w:t>
      </w:r>
      <w:r w:rsidR="00CA4ADC">
        <w:rPr>
          <w:b/>
          <w:sz w:val="24"/>
        </w:rPr>
        <w:t xml:space="preserve"> ($40.00 X 7).  Total Burden cost for all respondents is $15,120.00 ($378 X 40), as indicated below:</w:t>
      </w:r>
      <w:r>
        <w:rPr>
          <w:b/>
          <w:sz w:val="24"/>
        </w:rPr>
        <w:t xml:space="preserve"> </w:t>
      </w:r>
    </w:p>
    <w:p w:rsidR="00C64833" w:rsidRDefault="00C64833" w:rsidP="00C64833">
      <w:pPr>
        <w:widowControl/>
        <w:spacing w:before="100" w:beforeAutospacing="1" w:after="100" w:afterAutospacing="1"/>
        <w:ind w:left="720"/>
        <w:rPr>
          <w:b/>
          <w:sz w:val="24"/>
        </w:rPr>
      </w:pPr>
    </w:p>
    <w:tbl>
      <w:tblPr>
        <w:tblW w:w="9871" w:type="dxa"/>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37"/>
        <w:gridCol w:w="1801"/>
        <w:gridCol w:w="1657"/>
        <w:gridCol w:w="1369"/>
        <w:gridCol w:w="1369"/>
        <w:gridCol w:w="1081"/>
        <w:gridCol w:w="1657"/>
      </w:tblGrid>
      <w:tr w:rsidR="001B04E0" w:rsidRPr="001B04E0" w:rsidTr="002A1FC7">
        <w:tc>
          <w:tcPr>
            <w:tcW w:w="937" w:type="dxa"/>
          </w:tcPr>
          <w:p w:rsidR="00C64833" w:rsidRPr="001B04E0" w:rsidRDefault="00C64833" w:rsidP="001B04E0">
            <w:pPr>
              <w:tabs>
                <w:tab w:val="left" w:pos="-720"/>
              </w:tabs>
              <w:suppressAutoHyphens/>
              <w:rPr>
                <w:b/>
                <w:noProof/>
                <w:sz w:val="24"/>
              </w:rPr>
            </w:pPr>
            <w:r w:rsidRPr="001B04E0">
              <w:rPr>
                <w:b/>
                <w:noProof/>
                <w:sz w:val="24"/>
              </w:rPr>
              <w:t>Form</w:t>
            </w:r>
          </w:p>
        </w:tc>
        <w:tc>
          <w:tcPr>
            <w:tcW w:w="1801" w:type="dxa"/>
          </w:tcPr>
          <w:p w:rsidR="00C64833" w:rsidRPr="001B04E0" w:rsidRDefault="00C64833" w:rsidP="001B04E0">
            <w:pPr>
              <w:tabs>
                <w:tab w:val="left" w:pos="-720"/>
              </w:tabs>
              <w:suppressAutoHyphens/>
              <w:rPr>
                <w:b/>
                <w:noProof/>
                <w:sz w:val="24"/>
              </w:rPr>
            </w:pPr>
            <w:r w:rsidRPr="001B04E0">
              <w:rPr>
                <w:b/>
                <w:noProof/>
                <w:sz w:val="24"/>
              </w:rPr>
              <w:t># of Respondents</w:t>
            </w:r>
          </w:p>
        </w:tc>
        <w:tc>
          <w:tcPr>
            <w:tcW w:w="1657" w:type="dxa"/>
          </w:tcPr>
          <w:p w:rsidR="00C64833" w:rsidRPr="001B04E0" w:rsidRDefault="00C64833" w:rsidP="001B04E0">
            <w:pPr>
              <w:tabs>
                <w:tab w:val="left" w:pos="-720"/>
              </w:tabs>
              <w:suppressAutoHyphens/>
              <w:rPr>
                <w:b/>
                <w:noProof/>
                <w:sz w:val="24"/>
              </w:rPr>
            </w:pPr>
            <w:r w:rsidRPr="001B04E0">
              <w:rPr>
                <w:b/>
                <w:noProof/>
                <w:sz w:val="24"/>
              </w:rPr>
              <w:t># of Responses per respondent</w:t>
            </w:r>
          </w:p>
        </w:tc>
        <w:tc>
          <w:tcPr>
            <w:tcW w:w="1369" w:type="dxa"/>
          </w:tcPr>
          <w:p w:rsidR="00C64833" w:rsidRPr="001B04E0" w:rsidRDefault="00C64833" w:rsidP="001B04E0">
            <w:pPr>
              <w:tabs>
                <w:tab w:val="left" w:pos="-720"/>
              </w:tabs>
              <w:suppressAutoHyphens/>
              <w:rPr>
                <w:b/>
                <w:noProof/>
                <w:sz w:val="24"/>
              </w:rPr>
            </w:pPr>
            <w:r w:rsidRPr="001B04E0">
              <w:rPr>
                <w:b/>
                <w:noProof/>
                <w:sz w:val="24"/>
              </w:rPr>
              <w:t>Hrs. Per Response</w:t>
            </w:r>
          </w:p>
        </w:tc>
        <w:tc>
          <w:tcPr>
            <w:tcW w:w="1369" w:type="dxa"/>
          </w:tcPr>
          <w:p w:rsidR="00C64833" w:rsidRPr="001B04E0" w:rsidRDefault="00C64833" w:rsidP="001B04E0">
            <w:pPr>
              <w:tabs>
                <w:tab w:val="left" w:pos="-720"/>
              </w:tabs>
              <w:suppressAutoHyphens/>
              <w:rPr>
                <w:b/>
                <w:noProof/>
                <w:sz w:val="24"/>
              </w:rPr>
            </w:pPr>
            <w:r w:rsidRPr="001B04E0">
              <w:rPr>
                <w:b/>
                <w:noProof/>
                <w:sz w:val="24"/>
              </w:rPr>
              <w:t>Response Burden</w:t>
            </w:r>
          </w:p>
        </w:tc>
        <w:tc>
          <w:tcPr>
            <w:tcW w:w="1081" w:type="dxa"/>
          </w:tcPr>
          <w:p w:rsidR="00C64833" w:rsidRPr="001B04E0" w:rsidRDefault="00C64833" w:rsidP="001B04E0">
            <w:pPr>
              <w:tabs>
                <w:tab w:val="left" w:pos="-720"/>
              </w:tabs>
              <w:suppressAutoHyphens/>
              <w:rPr>
                <w:b/>
                <w:noProof/>
                <w:sz w:val="24"/>
              </w:rPr>
            </w:pPr>
            <w:r w:rsidRPr="001B04E0">
              <w:rPr>
                <w:b/>
                <w:noProof/>
                <w:sz w:val="24"/>
              </w:rPr>
              <w:t>Hourly Rate</w:t>
            </w:r>
          </w:p>
        </w:tc>
        <w:tc>
          <w:tcPr>
            <w:tcW w:w="1657" w:type="dxa"/>
          </w:tcPr>
          <w:p w:rsidR="00C64833" w:rsidRPr="001B04E0" w:rsidRDefault="00C64833" w:rsidP="001B04E0">
            <w:pPr>
              <w:tabs>
                <w:tab w:val="left" w:pos="-720"/>
              </w:tabs>
              <w:suppressAutoHyphens/>
              <w:rPr>
                <w:b/>
                <w:noProof/>
                <w:sz w:val="24"/>
              </w:rPr>
            </w:pPr>
            <w:r w:rsidRPr="001B04E0">
              <w:rPr>
                <w:b/>
                <w:noProof/>
                <w:sz w:val="24"/>
              </w:rPr>
              <w:t>Total Burden Cost</w:t>
            </w:r>
          </w:p>
        </w:tc>
      </w:tr>
      <w:tr w:rsidR="001B04E0" w:rsidRPr="001B04E0" w:rsidTr="002A1FC7">
        <w:tc>
          <w:tcPr>
            <w:tcW w:w="937" w:type="dxa"/>
          </w:tcPr>
          <w:p w:rsidR="00C64833" w:rsidRPr="001B04E0" w:rsidRDefault="00C64833" w:rsidP="001B04E0">
            <w:pPr>
              <w:tabs>
                <w:tab w:val="left" w:pos="-720"/>
              </w:tabs>
              <w:suppressAutoHyphens/>
              <w:rPr>
                <w:b/>
                <w:noProof/>
                <w:sz w:val="24"/>
              </w:rPr>
            </w:pPr>
            <w:r w:rsidRPr="001B04E0">
              <w:rPr>
                <w:b/>
                <w:noProof/>
                <w:sz w:val="24"/>
              </w:rPr>
              <w:t>OCSE-157</w:t>
            </w:r>
          </w:p>
        </w:tc>
        <w:tc>
          <w:tcPr>
            <w:tcW w:w="1801" w:type="dxa"/>
          </w:tcPr>
          <w:p w:rsidR="00C64833" w:rsidRPr="001B04E0" w:rsidRDefault="00C64833" w:rsidP="001B04E0">
            <w:pPr>
              <w:tabs>
                <w:tab w:val="left" w:pos="-720"/>
              </w:tabs>
              <w:suppressAutoHyphens/>
              <w:rPr>
                <w:b/>
                <w:noProof/>
                <w:sz w:val="24"/>
              </w:rPr>
            </w:pPr>
            <w:r w:rsidRPr="001B04E0">
              <w:rPr>
                <w:b/>
                <w:noProof/>
                <w:sz w:val="24"/>
              </w:rPr>
              <w:t>54</w:t>
            </w:r>
          </w:p>
        </w:tc>
        <w:tc>
          <w:tcPr>
            <w:tcW w:w="1657" w:type="dxa"/>
          </w:tcPr>
          <w:p w:rsidR="00C64833" w:rsidRPr="001B04E0" w:rsidRDefault="00C64833" w:rsidP="001B04E0">
            <w:pPr>
              <w:tabs>
                <w:tab w:val="left" w:pos="-720"/>
              </w:tabs>
              <w:suppressAutoHyphens/>
              <w:rPr>
                <w:b/>
                <w:noProof/>
                <w:sz w:val="24"/>
              </w:rPr>
            </w:pPr>
            <w:r w:rsidRPr="001B04E0">
              <w:rPr>
                <w:b/>
                <w:noProof/>
                <w:sz w:val="24"/>
              </w:rPr>
              <w:t>1</w:t>
            </w:r>
          </w:p>
        </w:tc>
        <w:tc>
          <w:tcPr>
            <w:tcW w:w="1369" w:type="dxa"/>
          </w:tcPr>
          <w:p w:rsidR="00C64833" w:rsidRPr="001B04E0" w:rsidRDefault="00C64833" w:rsidP="001B04E0">
            <w:pPr>
              <w:tabs>
                <w:tab w:val="left" w:pos="-720"/>
              </w:tabs>
              <w:suppressAutoHyphens/>
              <w:rPr>
                <w:b/>
                <w:noProof/>
                <w:sz w:val="24"/>
              </w:rPr>
            </w:pPr>
            <w:r w:rsidRPr="001B04E0">
              <w:rPr>
                <w:b/>
                <w:noProof/>
                <w:sz w:val="24"/>
              </w:rPr>
              <w:t>7</w:t>
            </w:r>
          </w:p>
        </w:tc>
        <w:tc>
          <w:tcPr>
            <w:tcW w:w="1369" w:type="dxa"/>
          </w:tcPr>
          <w:p w:rsidR="00C64833" w:rsidRPr="001B04E0" w:rsidRDefault="00C64833" w:rsidP="001B04E0">
            <w:pPr>
              <w:tabs>
                <w:tab w:val="left" w:pos="-720"/>
              </w:tabs>
              <w:suppressAutoHyphens/>
              <w:rPr>
                <w:b/>
                <w:noProof/>
                <w:sz w:val="24"/>
              </w:rPr>
            </w:pPr>
            <w:r w:rsidRPr="001B04E0">
              <w:rPr>
                <w:b/>
                <w:noProof/>
                <w:sz w:val="24"/>
              </w:rPr>
              <w:t>378</w:t>
            </w:r>
          </w:p>
        </w:tc>
        <w:tc>
          <w:tcPr>
            <w:tcW w:w="1081" w:type="dxa"/>
          </w:tcPr>
          <w:p w:rsidR="00C64833" w:rsidRPr="001B04E0" w:rsidRDefault="00C64833" w:rsidP="001B04E0">
            <w:pPr>
              <w:tabs>
                <w:tab w:val="left" w:pos="-720"/>
              </w:tabs>
              <w:suppressAutoHyphens/>
              <w:rPr>
                <w:b/>
                <w:noProof/>
                <w:sz w:val="24"/>
              </w:rPr>
            </w:pPr>
            <w:r w:rsidRPr="001B04E0">
              <w:rPr>
                <w:b/>
                <w:noProof/>
                <w:sz w:val="24"/>
              </w:rPr>
              <w:t xml:space="preserve">$40.00 </w:t>
            </w:r>
          </w:p>
        </w:tc>
        <w:tc>
          <w:tcPr>
            <w:tcW w:w="1657" w:type="dxa"/>
          </w:tcPr>
          <w:p w:rsidR="00C64833" w:rsidRPr="001B04E0" w:rsidRDefault="00C64833" w:rsidP="001B04E0">
            <w:pPr>
              <w:tabs>
                <w:tab w:val="left" w:pos="-720"/>
              </w:tabs>
              <w:suppressAutoHyphens/>
              <w:rPr>
                <w:b/>
                <w:noProof/>
                <w:sz w:val="24"/>
              </w:rPr>
            </w:pPr>
            <w:r w:rsidRPr="001B04E0">
              <w:rPr>
                <w:b/>
                <w:noProof/>
                <w:sz w:val="24"/>
              </w:rPr>
              <w:t>$15,120.00</w:t>
            </w:r>
          </w:p>
        </w:tc>
      </w:tr>
    </w:tbl>
    <w:p w:rsidR="00C64833" w:rsidRPr="002C3C4F" w:rsidRDefault="00C64833" w:rsidP="00C64833">
      <w:pPr>
        <w:widowControl/>
        <w:spacing w:before="100" w:beforeAutospacing="1" w:after="100" w:afterAutospacing="1"/>
        <w:ind w:left="720"/>
        <w:rPr>
          <w:rFonts w:ascii="Times New Roman" w:hAnsi="Times New Roman"/>
          <w:snapToGrid/>
          <w:sz w:val="24"/>
          <w:szCs w:val="24"/>
        </w:rPr>
      </w:pPr>
    </w:p>
    <w:p w:rsidR="002C3C4F" w:rsidRPr="00691028" w:rsidRDefault="00F31167" w:rsidP="00F31167">
      <w:pPr>
        <w:widowControl/>
        <w:spacing w:before="100" w:beforeAutospacing="1" w:after="100" w:afterAutospacing="1"/>
        <w:rPr>
          <w:rFonts w:ascii="Times New Roman" w:hAnsi="Times New Roman"/>
          <w:b/>
          <w:snapToGrid/>
          <w:sz w:val="24"/>
          <w:szCs w:val="24"/>
        </w:rPr>
      </w:pPr>
      <w:r>
        <w:rPr>
          <w:rFonts w:ascii="Times New Roman" w:hAnsi="Times New Roman"/>
          <w:b/>
          <w:snapToGrid/>
          <w:sz w:val="24"/>
          <w:szCs w:val="24"/>
        </w:rPr>
        <w:t>13.</w:t>
      </w:r>
      <w:r>
        <w:rPr>
          <w:rFonts w:ascii="Times New Roman" w:hAnsi="Times New Roman"/>
          <w:b/>
          <w:snapToGrid/>
          <w:sz w:val="24"/>
          <w:szCs w:val="24"/>
        </w:rPr>
        <w:tab/>
      </w:r>
      <w:r w:rsidR="002C3C4F" w:rsidRPr="00691028">
        <w:rPr>
          <w:rFonts w:ascii="Times New Roman" w:hAnsi="Times New Roman"/>
          <w:b/>
          <w:snapToGrid/>
          <w:sz w:val="24"/>
          <w:szCs w:val="24"/>
        </w:rPr>
        <w:t xml:space="preserve">Estimates of Other Total Annual Cost Burden to Respondents and Record Keepers </w:t>
      </w:r>
    </w:p>
    <w:p w:rsidR="00CA4ADC" w:rsidRPr="002C3C4F" w:rsidRDefault="00CA4ADC" w:rsidP="00CA4ADC">
      <w:pPr>
        <w:widowControl/>
        <w:spacing w:before="100" w:beforeAutospacing="1" w:after="100" w:afterAutospacing="1"/>
        <w:rPr>
          <w:rFonts w:ascii="Times New Roman" w:hAnsi="Times New Roman"/>
          <w:snapToGrid/>
          <w:sz w:val="24"/>
          <w:szCs w:val="24"/>
        </w:rPr>
      </w:pPr>
      <w:r w:rsidRPr="00CA4ADC">
        <w:rPr>
          <w:rFonts w:ascii="Times New Roman" w:hAnsi="Times New Roman"/>
          <w:snapToGrid/>
          <w:sz w:val="24"/>
          <w:szCs w:val="24"/>
        </w:rPr>
        <w:t>There are no other total annual cost burdens to respondents and record keepers.</w:t>
      </w:r>
    </w:p>
    <w:p w:rsidR="002C3C4F" w:rsidRDefault="00F31167" w:rsidP="00F31167">
      <w:pPr>
        <w:widowControl/>
        <w:spacing w:before="100" w:beforeAutospacing="1" w:after="100" w:afterAutospacing="1"/>
        <w:rPr>
          <w:rFonts w:ascii="Times New Roman" w:hAnsi="Times New Roman"/>
          <w:b/>
          <w:snapToGrid/>
          <w:sz w:val="24"/>
          <w:szCs w:val="24"/>
        </w:rPr>
      </w:pPr>
      <w:r>
        <w:rPr>
          <w:rFonts w:ascii="Times New Roman" w:hAnsi="Times New Roman"/>
          <w:b/>
          <w:snapToGrid/>
          <w:sz w:val="24"/>
          <w:szCs w:val="24"/>
        </w:rPr>
        <w:t>14.</w:t>
      </w:r>
      <w:r>
        <w:rPr>
          <w:rFonts w:ascii="Times New Roman" w:hAnsi="Times New Roman"/>
          <w:b/>
          <w:snapToGrid/>
          <w:sz w:val="24"/>
          <w:szCs w:val="24"/>
        </w:rPr>
        <w:tab/>
      </w:r>
      <w:r w:rsidR="002C3C4F" w:rsidRPr="00691028">
        <w:rPr>
          <w:rFonts w:ascii="Times New Roman" w:hAnsi="Times New Roman"/>
          <w:b/>
          <w:snapToGrid/>
          <w:sz w:val="24"/>
          <w:szCs w:val="24"/>
        </w:rPr>
        <w:t xml:space="preserve">Annualized Cost to the Federal Government </w:t>
      </w:r>
    </w:p>
    <w:p w:rsidR="007256B4" w:rsidRPr="007256B4" w:rsidRDefault="007256B4" w:rsidP="007256B4">
      <w:pPr>
        <w:widowControl/>
        <w:spacing w:before="100" w:beforeAutospacing="1" w:after="100" w:afterAutospacing="1"/>
        <w:ind w:left="720"/>
        <w:rPr>
          <w:rFonts w:ascii="Times New Roman" w:hAnsi="Times New Roman"/>
          <w:snapToGrid/>
          <w:sz w:val="24"/>
          <w:szCs w:val="24"/>
        </w:rPr>
      </w:pPr>
      <w:r>
        <w:rPr>
          <w:rFonts w:ascii="Times New Roman" w:hAnsi="Times New Roman"/>
          <w:snapToGrid/>
          <w:sz w:val="24"/>
          <w:szCs w:val="24"/>
        </w:rPr>
        <w:t>Approximate annualized cost to the government includes 1,040 federal staff hours for analysis and publication of results at the hourly rate of approximately $40.00 per hour.  Total estimated cost is $41,600.00 (1,040 X $40.00).</w:t>
      </w:r>
    </w:p>
    <w:p w:rsidR="002C3C4F" w:rsidRPr="00691028" w:rsidRDefault="00F31167" w:rsidP="00F31167">
      <w:pPr>
        <w:widowControl/>
        <w:spacing w:before="100" w:beforeAutospacing="1" w:after="100" w:afterAutospacing="1"/>
        <w:rPr>
          <w:rFonts w:ascii="Times New Roman" w:hAnsi="Times New Roman"/>
          <w:b/>
          <w:snapToGrid/>
          <w:sz w:val="24"/>
          <w:szCs w:val="24"/>
        </w:rPr>
      </w:pPr>
      <w:r>
        <w:rPr>
          <w:rFonts w:ascii="Times New Roman" w:hAnsi="Times New Roman"/>
          <w:b/>
          <w:snapToGrid/>
          <w:sz w:val="24"/>
          <w:szCs w:val="24"/>
        </w:rPr>
        <w:t>15.</w:t>
      </w:r>
      <w:r>
        <w:rPr>
          <w:rFonts w:ascii="Times New Roman" w:hAnsi="Times New Roman"/>
          <w:b/>
          <w:snapToGrid/>
          <w:sz w:val="24"/>
          <w:szCs w:val="24"/>
        </w:rPr>
        <w:tab/>
      </w:r>
      <w:r w:rsidR="002C3C4F" w:rsidRPr="00691028">
        <w:rPr>
          <w:rFonts w:ascii="Times New Roman" w:hAnsi="Times New Roman"/>
          <w:b/>
          <w:snapToGrid/>
          <w:sz w:val="24"/>
          <w:szCs w:val="24"/>
        </w:rPr>
        <w:t xml:space="preserve">Explanation for Program Changes or Adjustments </w:t>
      </w:r>
    </w:p>
    <w:p w:rsidR="00F31167" w:rsidRDefault="00F31167" w:rsidP="00CA4ADC">
      <w:pPr>
        <w:widowControl/>
        <w:spacing w:before="100" w:beforeAutospacing="1" w:after="100" w:afterAutospacing="1"/>
        <w:rPr>
          <w:rFonts w:ascii="Times New Roman" w:hAnsi="Times New Roman"/>
          <w:snapToGrid/>
          <w:sz w:val="24"/>
          <w:szCs w:val="24"/>
        </w:rPr>
      </w:pPr>
      <w:r>
        <w:rPr>
          <w:rFonts w:ascii="Times New Roman" w:hAnsi="Times New Roman"/>
          <w:snapToGrid/>
          <w:sz w:val="24"/>
          <w:szCs w:val="24"/>
        </w:rPr>
        <w:t>There are no adjustments however there are program changes.</w:t>
      </w:r>
    </w:p>
    <w:p w:rsidR="00CA4ADC" w:rsidRPr="00CA4ADC" w:rsidRDefault="00CA4ADC" w:rsidP="00CA4ADC">
      <w:pPr>
        <w:widowControl/>
        <w:spacing w:before="100" w:beforeAutospacing="1" w:after="100" w:afterAutospacing="1"/>
        <w:rPr>
          <w:rFonts w:ascii="Times New Roman" w:hAnsi="Times New Roman"/>
          <w:snapToGrid/>
          <w:sz w:val="24"/>
          <w:szCs w:val="24"/>
        </w:rPr>
      </w:pPr>
      <w:r w:rsidRPr="00CA4ADC">
        <w:rPr>
          <w:rFonts w:ascii="Times New Roman" w:hAnsi="Times New Roman"/>
          <w:snapToGrid/>
          <w:sz w:val="24"/>
          <w:szCs w:val="24"/>
        </w:rPr>
        <w:t>Below are the proposed modifications to the OCSE-157 form instructions. The changes reflect the intent to be consistent with the Children’s Health Insurance Program Reauthorization Act of 2009 (CHIPRA) (P.L. 111-3), the Affordable Care Act (P.L. 111-148 and P.L. 111-152), and Secretary Sebelius’ goal of enrolling all eligible uninsured children in Medicaid and CHIP by 2014. As such, these changes will provide states with the option to define medical support to include private health insurance as well as other publicly-funded health care coverage such as Medicaid, CHIP, and other state coverage plans, and cash medical support. Revisions to the instructions will also reduce the burden of states having to verify and document those cases where health insurance is not available at a reasonable cost.</w:t>
      </w:r>
    </w:p>
    <w:p w:rsidR="00CA4ADC" w:rsidRPr="00CA4ADC" w:rsidRDefault="00CA4ADC" w:rsidP="00CA4ADC">
      <w:pPr>
        <w:widowControl/>
        <w:spacing w:before="100" w:beforeAutospacing="1" w:after="100" w:afterAutospacing="1"/>
        <w:rPr>
          <w:rFonts w:ascii="Times New Roman" w:hAnsi="Times New Roman"/>
          <w:b/>
          <w:snapToGrid/>
          <w:sz w:val="24"/>
          <w:szCs w:val="24"/>
        </w:rPr>
      </w:pPr>
      <w:r w:rsidRPr="00CA4ADC">
        <w:rPr>
          <w:rFonts w:ascii="Times New Roman" w:hAnsi="Times New Roman"/>
          <w:b/>
          <w:snapToGrid/>
          <w:sz w:val="24"/>
          <w:szCs w:val="24"/>
        </w:rPr>
        <w:t>Changes to OCSE-157 Form Instructions:</w:t>
      </w:r>
    </w:p>
    <w:p w:rsidR="00CA4ADC" w:rsidRPr="00CA4ADC" w:rsidRDefault="00CA4ADC" w:rsidP="00CA4ADC">
      <w:pPr>
        <w:widowControl/>
        <w:spacing w:before="100" w:beforeAutospacing="1" w:after="100" w:afterAutospacing="1"/>
        <w:rPr>
          <w:rFonts w:ascii="Times New Roman" w:hAnsi="Times New Roman"/>
          <w:b/>
          <w:snapToGrid/>
          <w:sz w:val="24"/>
          <w:szCs w:val="24"/>
        </w:rPr>
      </w:pPr>
      <w:r w:rsidRPr="00CA4ADC">
        <w:rPr>
          <w:rFonts w:ascii="Times New Roman" w:hAnsi="Times New Roman"/>
          <w:b/>
          <w:snapToGrid/>
          <w:sz w:val="24"/>
          <w:szCs w:val="24"/>
        </w:rPr>
        <w:t>Service Definitions</w:t>
      </w:r>
    </w:p>
    <w:p w:rsidR="00CA4ADC" w:rsidRPr="00CA4ADC" w:rsidRDefault="00CA4ADC" w:rsidP="00CA4ADC">
      <w:pPr>
        <w:widowControl/>
        <w:spacing w:before="100" w:beforeAutospacing="1" w:after="100" w:afterAutospacing="1"/>
        <w:rPr>
          <w:rFonts w:ascii="Times New Roman" w:hAnsi="Times New Roman"/>
          <w:snapToGrid/>
          <w:sz w:val="24"/>
          <w:szCs w:val="24"/>
        </w:rPr>
      </w:pPr>
      <w:r w:rsidRPr="00CA4ADC">
        <w:rPr>
          <w:rFonts w:ascii="Times New Roman" w:hAnsi="Times New Roman"/>
          <w:snapToGrid/>
          <w:sz w:val="24"/>
          <w:szCs w:val="24"/>
        </w:rPr>
        <w:t xml:space="preserve">Medical Support--The definition of medical support has been revised to include publicly-funded health care coverage such as Medicaid, Children’s Health Insurance Program (CHIP), and other state coverage plans. </w:t>
      </w:r>
    </w:p>
    <w:p w:rsidR="00CA4ADC" w:rsidRPr="00CA4ADC" w:rsidRDefault="00CA4ADC" w:rsidP="00CA4ADC">
      <w:pPr>
        <w:widowControl/>
        <w:spacing w:before="100" w:beforeAutospacing="1" w:after="100" w:afterAutospacing="1"/>
        <w:rPr>
          <w:rFonts w:ascii="Times New Roman" w:hAnsi="Times New Roman"/>
          <w:snapToGrid/>
          <w:sz w:val="24"/>
          <w:szCs w:val="24"/>
        </w:rPr>
      </w:pPr>
      <w:r w:rsidRPr="00CA4ADC">
        <w:rPr>
          <w:rFonts w:ascii="Times New Roman" w:hAnsi="Times New Roman"/>
          <w:snapToGrid/>
          <w:sz w:val="24"/>
          <w:szCs w:val="24"/>
        </w:rPr>
        <w:t xml:space="preserve">Line 21a—Cases Open at the End of the Fiscal Year in Which Medical Support is Ordered and Provided—The instructions for this line have been revised to include cases with publicly-funded health care coverage such as Medicaid, Children’s Health Insurance Program (CHIP), and other state coverage plans. The following text will be deleted from the instructions for this line as it no longer applies: “If private health insurance is ordered, states cannot include cash medical support payments, unless it is documented that private health insurance is not available to the non-custodial parent at a reasonable cost. Publicly-funded health insurance is included only if there is documentation that private health insurance coverage is unavailable at a reasonable cost and a parent is ordered by a court or administrative process to provide a cash medical support payment to help pay the cost of Medicaid or State Child Health Insurance Program (SCHIP).” </w:t>
      </w:r>
    </w:p>
    <w:p w:rsidR="00CA4ADC" w:rsidRPr="00CA4ADC" w:rsidRDefault="00CA4ADC" w:rsidP="00CA4ADC">
      <w:pPr>
        <w:widowControl/>
        <w:spacing w:before="100" w:beforeAutospacing="1" w:after="100" w:afterAutospacing="1"/>
        <w:rPr>
          <w:rFonts w:ascii="Times New Roman" w:hAnsi="Times New Roman"/>
          <w:snapToGrid/>
          <w:sz w:val="24"/>
          <w:szCs w:val="24"/>
        </w:rPr>
      </w:pPr>
      <w:r w:rsidRPr="00CA4ADC">
        <w:rPr>
          <w:rFonts w:ascii="Times New Roman" w:hAnsi="Times New Roman"/>
          <w:snapToGrid/>
          <w:sz w:val="24"/>
          <w:szCs w:val="24"/>
        </w:rPr>
        <w:t>Line 22—Cases Open at the End of the Fiscal Year Where Health Insurance is Ordered—</w:t>
      </w:r>
      <w:proofErr w:type="gramStart"/>
      <w:r w:rsidRPr="00CA4ADC">
        <w:rPr>
          <w:rFonts w:ascii="Times New Roman" w:hAnsi="Times New Roman"/>
          <w:snapToGrid/>
          <w:sz w:val="24"/>
          <w:szCs w:val="24"/>
        </w:rPr>
        <w:t>The</w:t>
      </w:r>
      <w:proofErr w:type="gramEnd"/>
      <w:r w:rsidRPr="00CA4ADC">
        <w:rPr>
          <w:rFonts w:ascii="Times New Roman" w:hAnsi="Times New Roman"/>
          <w:snapToGrid/>
          <w:sz w:val="24"/>
          <w:szCs w:val="24"/>
        </w:rPr>
        <w:t xml:space="preserve"> following sentence has been deleted from the instructions for this line: “States may exclude cases where the unavailability of health insurance at a reasonable cost is confirmed.” </w:t>
      </w:r>
    </w:p>
    <w:p w:rsidR="00CA4ADC" w:rsidRPr="002C3C4F" w:rsidRDefault="00CA4ADC" w:rsidP="00CA4ADC">
      <w:pPr>
        <w:widowControl/>
        <w:spacing w:before="100" w:beforeAutospacing="1" w:after="100" w:afterAutospacing="1"/>
        <w:rPr>
          <w:rFonts w:ascii="Times New Roman" w:hAnsi="Times New Roman"/>
          <w:snapToGrid/>
          <w:sz w:val="24"/>
          <w:szCs w:val="24"/>
        </w:rPr>
      </w:pPr>
      <w:r w:rsidRPr="00CA4ADC">
        <w:rPr>
          <w:rFonts w:ascii="Times New Roman" w:hAnsi="Times New Roman"/>
          <w:snapToGrid/>
          <w:sz w:val="24"/>
          <w:szCs w:val="24"/>
        </w:rPr>
        <w:t>Other medical support lines including lines 23, 33, 34, and 35 will remain unchanged (except that Line 33 will no longer be optional per phase-in requirements).</w:t>
      </w:r>
    </w:p>
    <w:p w:rsidR="002C3C4F" w:rsidRPr="00F31167" w:rsidRDefault="00F31167" w:rsidP="00F31167">
      <w:pPr>
        <w:widowControl/>
        <w:spacing w:before="100" w:beforeAutospacing="1" w:after="100" w:afterAutospacing="1"/>
        <w:rPr>
          <w:rFonts w:ascii="Times New Roman" w:hAnsi="Times New Roman"/>
          <w:b/>
          <w:snapToGrid/>
          <w:sz w:val="24"/>
          <w:szCs w:val="24"/>
        </w:rPr>
      </w:pPr>
      <w:r>
        <w:rPr>
          <w:rFonts w:ascii="Times New Roman" w:hAnsi="Times New Roman"/>
          <w:b/>
          <w:snapToGrid/>
          <w:sz w:val="24"/>
          <w:szCs w:val="24"/>
        </w:rPr>
        <w:t>16.</w:t>
      </w:r>
      <w:r>
        <w:rPr>
          <w:rFonts w:ascii="Times New Roman" w:hAnsi="Times New Roman"/>
          <w:b/>
          <w:snapToGrid/>
          <w:sz w:val="24"/>
          <w:szCs w:val="24"/>
        </w:rPr>
        <w:tab/>
      </w:r>
      <w:r w:rsidR="002C3C4F" w:rsidRPr="00F31167">
        <w:rPr>
          <w:rFonts w:ascii="Times New Roman" w:hAnsi="Times New Roman"/>
          <w:b/>
          <w:snapToGrid/>
          <w:sz w:val="24"/>
          <w:szCs w:val="24"/>
        </w:rPr>
        <w:t xml:space="preserve">Plans for Tabulation and Publication and Project Time Schedule </w:t>
      </w:r>
    </w:p>
    <w:p w:rsidR="00CA4ADC" w:rsidRPr="002C3C4F" w:rsidRDefault="00CA4ADC" w:rsidP="00CA4ADC">
      <w:pPr>
        <w:widowControl/>
        <w:spacing w:before="100" w:beforeAutospacing="1" w:after="100" w:afterAutospacing="1"/>
        <w:rPr>
          <w:rFonts w:ascii="Times New Roman" w:hAnsi="Times New Roman"/>
          <w:snapToGrid/>
          <w:sz w:val="24"/>
          <w:szCs w:val="24"/>
        </w:rPr>
      </w:pPr>
      <w:r w:rsidRPr="00CA4ADC">
        <w:rPr>
          <w:rFonts w:ascii="Times New Roman" w:hAnsi="Times New Roman"/>
          <w:snapToGrid/>
          <w:sz w:val="24"/>
          <w:szCs w:val="24"/>
        </w:rPr>
        <w:t>Information on this form will be published in aggregate on a State-by-State basis in combination with other financial and statistical data.  The data is published at the end of each fiscal year in an annual report and is included in various agency publications that highlight child support data.</w:t>
      </w:r>
    </w:p>
    <w:p w:rsidR="002C3C4F" w:rsidRPr="00691028" w:rsidRDefault="00F31167" w:rsidP="00F31167">
      <w:pPr>
        <w:widowControl/>
        <w:spacing w:before="100" w:beforeAutospacing="1" w:after="100" w:afterAutospacing="1"/>
        <w:rPr>
          <w:rFonts w:ascii="Times New Roman" w:hAnsi="Times New Roman"/>
          <w:b/>
          <w:snapToGrid/>
          <w:sz w:val="24"/>
          <w:szCs w:val="24"/>
        </w:rPr>
      </w:pPr>
      <w:r>
        <w:rPr>
          <w:rFonts w:ascii="Times New Roman" w:hAnsi="Times New Roman"/>
          <w:b/>
          <w:snapToGrid/>
          <w:sz w:val="24"/>
          <w:szCs w:val="24"/>
        </w:rPr>
        <w:t>17.</w:t>
      </w:r>
      <w:r>
        <w:rPr>
          <w:rFonts w:ascii="Times New Roman" w:hAnsi="Times New Roman"/>
          <w:b/>
          <w:snapToGrid/>
          <w:sz w:val="24"/>
          <w:szCs w:val="24"/>
        </w:rPr>
        <w:tab/>
      </w:r>
      <w:r w:rsidR="002C3C4F" w:rsidRPr="00691028">
        <w:rPr>
          <w:rFonts w:ascii="Times New Roman" w:hAnsi="Times New Roman"/>
          <w:b/>
          <w:snapToGrid/>
          <w:sz w:val="24"/>
          <w:szCs w:val="24"/>
        </w:rPr>
        <w:t xml:space="preserve">Reason(s) Display of OMB Expiration Date is Inappropriate </w:t>
      </w:r>
    </w:p>
    <w:p w:rsidR="00CA4ADC" w:rsidRPr="002C3C4F" w:rsidRDefault="00CA4ADC" w:rsidP="00CA4ADC">
      <w:pPr>
        <w:widowControl/>
        <w:spacing w:before="100" w:beforeAutospacing="1" w:after="100" w:afterAutospacing="1"/>
        <w:rPr>
          <w:rFonts w:ascii="Times New Roman" w:hAnsi="Times New Roman"/>
          <w:snapToGrid/>
          <w:sz w:val="24"/>
          <w:szCs w:val="24"/>
        </w:rPr>
      </w:pPr>
      <w:r w:rsidRPr="00CA4ADC">
        <w:rPr>
          <w:rFonts w:ascii="Times New Roman" w:hAnsi="Times New Roman"/>
          <w:snapToGrid/>
          <w:sz w:val="24"/>
          <w:szCs w:val="24"/>
        </w:rPr>
        <w:t>The expiration date will be displayed.</w:t>
      </w:r>
    </w:p>
    <w:p w:rsidR="002C3C4F" w:rsidRPr="00691028" w:rsidRDefault="00F31167" w:rsidP="00F31167">
      <w:pPr>
        <w:widowControl/>
        <w:spacing w:before="100" w:beforeAutospacing="1" w:after="100" w:afterAutospacing="1"/>
        <w:rPr>
          <w:rFonts w:ascii="Times New Roman" w:hAnsi="Times New Roman"/>
          <w:b/>
          <w:snapToGrid/>
          <w:sz w:val="24"/>
          <w:szCs w:val="24"/>
        </w:rPr>
      </w:pPr>
      <w:r>
        <w:rPr>
          <w:rFonts w:ascii="Times New Roman" w:hAnsi="Times New Roman"/>
          <w:b/>
          <w:snapToGrid/>
          <w:sz w:val="24"/>
          <w:szCs w:val="24"/>
        </w:rPr>
        <w:t>18.</w:t>
      </w:r>
      <w:r>
        <w:rPr>
          <w:rFonts w:ascii="Times New Roman" w:hAnsi="Times New Roman"/>
          <w:b/>
          <w:snapToGrid/>
          <w:sz w:val="24"/>
          <w:szCs w:val="24"/>
        </w:rPr>
        <w:tab/>
      </w:r>
      <w:r w:rsidR="002C3C4F" w:rsidRPr="00691028">
        <w:rPr>
          <w:rFonts w:ascii="Times New Roman" w:hAnsi="Times New Roman"/>
          <w:b/>
          <w:snapToGrid/>
          <w:sz w:val="24"/>
          <w:szCs w:val="24"/>
        </w:rPr>
        <w:t>Exceptions to Certification for Paperwork Reduction Act Submissions</w:t>
      </w:r>
    </w:p>
    <w:p w:rsidR="00CA4ADC" w:rsidRPr="002C3C4F" w:rsidRDefault="00CA4ADC" w:rsidP="00CA4ADC">
      <w:pPr>
        <w:widowControl/>
        <w:spacing w:before="100" w:beforeAutospacing="1" w:after="100" w:afterAutospacing="1"/>
        <w:rPr>
          <w:rFonts w:ascii="Times New Roman" w:hAnsi="Times New Roman"/>
          <w:snapToGrid/>
          <w:sz w:val="24"/>
          <w:szCs w:val="24"/>
        </w:rPr>
      </w:pPr>
      <w:r w:rsidRPr="00CA4ADC">
        <w:rPr>
          <w:rFonts w:ascii="Times New Roman" w:hAnsi="Times New Roman"/>
          <w:snapToGrid/>
          <w:sz w:val="24"/>
          <w:szCs w:val="24"/>
        </w:rPr>
        <w:t>There are no exceptions to the certification statement.</w:t>
      </w:r>
    </w:p>
    <w:p w:rsidR="002C3C4F" w:rsidRPr="00A918E4" w:rsidRDefault="002C3C4F" w:rsidP="00DF1F66">
      <w:pPr>
        <w:widowControl/>
        <w:spacing w:before="100" w:beforeAutospacing="1" w:after="100" w:afterAutospacing="1"/>
        <w:ind w:left="720"/>
        <w:rPr>
          <w:rFonts w:ascii="Times New Roman" w:hAnsi="Times New Roman"/>
          <w:snapToGrid/>
          <w:sz w:val="24"/>
          <w:szCs w:val="24"/>
        </w:rPr>
      </w:pPr>
    </w:p>
    <w:sectPr w:rsidR="002C3C4F" w:rsidRPr="00A918E4" w:rsidSect="00A918E4">
      <w:footerReference w:type="default" r:id="rId8"/>
      <w:endnotePr>
        <w:numFmt w:val="decimal"/>
      </w:endnotePr>
      <w:pgSz w:w="12240" w:h="15840"/>
      <w:pgMar w:top="1152" w:right="1440" w:bottom="864" w:left="1440" w:header="1440" w:footer="1440" w:gutter="0"/>
      <w:pgNumType w:start="1"/>
      <w:cols w:space="720"/>
      <w:noEndnote/>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76318" w:rsidRDefault="00476318">
      <w:pPr>
        <w:spacing w:line="20" w:lineRule="exact"/>
        <w:rPr>
          <w:sz w:val="24"/>
        </w:rPr>
      </w:pPr>
    </w:p>
  </w:endnote>
  <w:endnote w:type="continuationSeparator" w:id="0">
    <w:p w:rsidR="00476318" w:rsidRDefault="00476318">
      <w:r>
        <w:rPr>
          <w:sz w:val="24"/>
        </w:rPr>
        <w:t xml:space="preserve"> </w:t>
      </w:r>
    </w:p>
  </w:endnote>
  <w:endnote w:type="continuationNotice" w:id="1">
    <w:p w:rsidR="00476318" w:rsidRDefault="00476318">
      <w:r>
        <w:rPr>
          <w:sz w:val="24"/>
        </w:rPr>
        <w:t xml:space="preserve"> </w:t>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onsolas">
    <w:panose1 w:val="020B0609020204030204"/>
    <w:charset w:val="00"/>
    <w:family w:val="modern"/>
    <w:pitch w:val="fixed"/>
    <w:sig w:usb0="A00002EF" w:usb1="4000204B" w:usb2="00000000" w:usb3="00000000" w:csb0="0000009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C1C23" w:rsidRDefault="00DC1C23">
    <w:pPr>
      <w:spacing w:before="140" w:line="100" w:lineRule="exact"/>
      <w:rPr>
        <w:sz w:val="10"/>
      </w:rPr>
    </w:pPr>
  </w:p>
  <w:p w:rsidR="00DC1C23" w:rsidRDefault="00DC1C23">
    <w:pPr>
      <w:tabs>
        <w:tab w:val="left" w:pos="-720"/>
      </w:tabs>
      <w:suppressAutoHyphens/>
      <w:rPr>
        <w:sz w:val="24"/>
      </w:rPr>
    </w:pPr>
  </w:p>
  <w:p w:rsidR="00DC1C23" w:rsidRDefault="00B27164">
    <w:pPr>
      <w:tabs>
        <w:tab w:val="left" w:pos="-720"/>
      </w:tabs>
      <w:suppressAutoHyphens/>
      <w:rPr>
        <w:sz w:val="24"/>
      </w:rPr>
    </w:pPr>
    <w:r w:rsidRPr="00B27164">
      <w:rPr>
        <w:noProof/>
        <w:snapToGrid/>
      </w:rPr>
      <w:pict>
        <v:rect id="_x0000_s1025" style="position:absolute;margin-left:1.5pt;margin-top:12pt;width:465pt;height:12pt;z-index:-251658752;mso-position-horizontal-relative:margin" o:allowincell="f" filled="f" stroked="f" strokeweight="0">
          <v:textbox inset="0,0,0,0">
            <w:txbxContent>
              <w:p w:rsidR="00DC1C23" w:rsidRDefault="00DC1C23">
                <w:pPr>
                  <w:tabs>
                    <w:tab w:val="center" w:pos="4650"/>
                  </w:tabs>
                  <w:suppressAutoHyphens/>
                  <w:jc w:val="both"/>
                  <w:rPr>
                    <w:sz w:val="24"/>
                  </w:rPr>
                </w:pPr>
                <w:r>
                  <w:rPr>
                    <w:sz w:val="24"/>
                  </w:rPr>
                  <w:tab/>
                </w:r>
                <w:r w:rsidR="00B27164">
                  <w:rPr>
                    <w:sz w:val="24"/>
                  </w:rPr>
                  <w:fldChar w:fldCharType="begin"/>
                </w:r>
                <w:r>
                  <w:rPr>
                    <w:sz w:val="24"/>
                  </w:rPr>
                  <w:instrText>page \* arabic</w:instrText>
                </w:r>
                <w:r w:rsidR="00B27164">
                  <w:rPr>
                    <w:sz w:val="24"/>
                  </w:rPr>
                  <w:fldChar w:fldCharType="separate"/>
                </w:r>
                <w:r w:rsidR="00F31167">
                  <w:rPr>
                    <w:noProof/>
                    <w:sz w:val="24"/>
                  </w:rPr>
                  <w:t>3</w:t>
                </w:r>
                <w:r w:rsidR="00B27164">
                  <w:rPr>
                    <w:sz w:val="24"/>
                  </w:rPr>
                  <w:fldChar w:fldCharType="end"/>
                </w:r>
              </w:p>
            </w:txbxContent>
          </v:textbox>
          <w10:wrap anchorx="margin"/>
        </v:rect>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76318" w:rsidRDefault="00476318">
      <w:r>
        <w:rPr>
          <w:sz w:val="24"/>
        </w:rPr>
        <w:separator/>
      </w:r>
    </w:p>
  </w:footnote>
  <w:footnote w:type="continuationSeparator" w:id="0">
    <w:p w:rsidR="00476318" w:rsidRDefault="0047631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D58510B"/>
    <w:multiLevelType w:val="multilevel"/>
    <w:tmpl w:val="91DAC4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4E3347D5"/>
    <w:multiLevelType w:val="hybridMultilevel"/>
    <w:tmpl w:val="DA14AF8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557E789B"/>
    <w:multiLevelType w:val="hybridMultilevel"/>
    <w:tmpl w:val="934EAC54"/>
    <w:lvl w:ilvl="0" w:tplc="E3003BCC">
      <w:start w:val="1"/>
      <w:numFmt w:val="upperLetter"/>
      <w:lvlText w:val="%1."/>
      <w:lvlJc w:val="left"/>
      <w:pPr>
        <w:tabs>
          <w:tab w:val="num" w:pos="600"/>
        </w:tabs>
        <w:ind w:left="600" w:hanging="60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
    <w:nsid w:val="59FA1BD6"/>
    <w:multiLevelType w:val="multilevel"/>
    <w:tmpl w:val="1D2A3A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6B2A7D1D"/>
    <w:multiLevelType w:val="hybridMultilevel"/>
    <w:tmpl w:val="261C5A3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1"/>
  </w:num>
  <w:num w:numId="2">
    <w:abstractNumId w:val="2"/>
  </w:num>
  <w:num w:numId="3">
    <w:abstractNumId w:val="3"/>
  </w:num>
  <w:num w:numId="4">
    <w:abstractNumId w:val="0"/>
  </w:num>
  <w:num w:numId="5">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stylePaneFormatFilter w:val="3F01"/>
  <w:documentProtection w:edit="forms" w:enforcement="0"/>
  <w:defaultTabStop w:val="720"/>
  <w:hyphenationZone w:val="95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2050"/>
    <o:shapelayout v:ext="edit">
      <o:idmap v:ext="edit" data="1"/>
    </o:shapelayout>
  </w:hdrShapeDefaults>
  <w:footnotePr>
    <w:footnote w:id="-1"/>
    <w:footnote w:id="0"/>
  </w:footnotePr>
  <w:endnotePr>
    <w:numFmt w:val="decimal"/>
    <w:endnote w:id="-1"/>
    <w:endnote w:id="0"/>
    <w:endnote w:id="1"/>
  </w:endnotePr>
  <w:compat/>
  <w:rsids>
    <w:rsidRoot w:val="00DC1C23"/>
    <w:rsid w:val="0014145B"/>
    <w:rsid w:val="00186385"/>
    <w:rsid w:val="001B04E0"/>
    <w:rsid w:val="001C483C"/>
    <w:rsid w:val="00234235"/>
    <w:rsid w:val="0029589B"/>
    <w:rsid w:val="00296738"/>
    <w:rsid w:val="002A1FC7"/>
    <w:rsid w:val="002C3C4F"/>
    <w:rsid w:val="002E10D1"/>
    <w:rsid w:val="003405A4"/>
    <w:rsid w:val="003E6EA3"/>
    <w:rsid w:val="00467954"/>
    <w:rsid w:val="00476318"/>
    <w:rsid w:val="00476C1F"/>
    <w:rsid w:val="00480072"/>
    <w:rsid w:val="0049119A"/>
    <w:rsid w:val="004943E0"/>
    <w:rsid w:val="00535CEE"/>
    <w:rsid w:val="005824BD"/>
    <w:rsid w:val="005B22D4"/>
    <w:rsid w:val="005C60F1"/>
    <w:rsid w:val="005D274E"/>
    <w:rsid w:val="005D61DB"/>
    <w:rsid w:val="005F0ED4"/>
    <w:rsid w:val="00603498"/>
    <w:rsid w:val="00640565"/>
    <w:rsid w:val="00691028"/>
    <w:rsid w:val="006B2726"/>
    <w:rsid w:val="006E6629"/>
    <w:rsid w:val="006F68BE"/>
    <w:rsid w:val="007256B4"/>
    <w:rsid w:val="00841BDF"/>
    <w:rsid w:val="00846E18"/>
    <w:rsid w:val="009031AF"/>
    <w:rsid w:val="00936A53"/>
    <w:rsid w:val="00945B72"/>
    <w:rsid w:val="009C0B24"/>
    <w:rsid w:val="00A77AC0"/>
    <w:rsid w:val="00A918E4"/>
    <w:rsid w:val="00AF4347"/>
    <w:rsid w:val="00AF5FE7"/>
    <w:rsid w:val="00B27164"/>
    <w:rsid w:val="00BD378C"/>
    <w:rsid w:val="00C13BA6"/>
    <w:rsid w:val="00C64833"/>
    <w:rsid w:val="00CA4ADC"/>
    <w:rsid w:val="00CE53AB"/>
    <w:rsid w:val="00D176EB"/>
    <w:rsid w:val="00D9648C"/>
    <w:rsid w:val="00DC1C23"/>
    <w:rsid w:val="00DF1F66"/>
    <w:rsid w:val="00EA2715"/>
    <w:rsid w:val="00F10B17"/>
    <w:rsid w:val="00F31167"/>
    <w:rsid w:val="00FA509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031AF"/>
    <w:pPr>
      <w:widowControl w:val="0"/>
    </w:pPr>
    <w:rPr>
      <w:rFonts w:ascii="Courier New" w:hAnsi="Courier New"/>
      <w:snapToGrid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9031AF"/>
    <w:rPr>
      <w:sz w:val="24"/>
    </w:rPr>
  </w:style>
  <w:style w:type="character" w:styleId="EndnoteReference">
    <w:name w:val="endnote reference"/>
    <w:basedOn w:val="DefaultParagraphFont"/>
    <w:semiHidden/>
    <w:rsid w:val="009031AF"/>
    <w:rPr>
      <w:vertAlign w:val="superscript"/>
    </w:rPr>
  </w:style>
  <w:style w:type="paragraph" w:styleId="FootnoteText">
    <w:name w:val="footnote text"/>
    <w:basedOn w:val="Normal"/>
    <w:semiHidden/>
    <w:rsid w:val="009031AF"/>
    <w:rPr>
      <w:sz w:val="24"/>
    </w:rPr>
  </w:style>
  <w:style w:type="character" w:styleId="FootnoteReference">
    <w:name w:val="footnote reference"/>
    <w:basedOn w:val="DefaultParagraphFont"/>
    <w:semiHidden/>
    <w:rsid w:val="009031AF"/>
    <w:rPr>
      <w:vertAlign w:val="superscript"/>
    </w:rPr>
  </w:style>
  <w:style w:type="paragraph" w:styleId="TOC1">
    <w:name w:val="toc 1"/>
    <w:basedOn w:val="Normal"/>
    <w:next w:val="Normal"/>
    <w:autoRedefine/>
    <w:semiHidden/>
    <w:rsid w:val="009031AF"/>
    <w:pPr>
      <w:tabs>
        <w:tab w:val="right" w:leader="dot" w:pos="9360"/>
      </w:tabs>
      <w:suppressAutoHyphens/>
      <w:spacing w:before="480"/>
      <w:ind w:left="720" w:right="720" w:hanging="720"/>
    </w:pPr>
  </w:style>
  <w:style w:type="paragraph" w:styleId="TOC2">
    <w:name w:val="toc 2"/>
    <w:basedOn w:val="Normal"/>
    <w:next w:val="Normal"/>
    <w:autoRedefine/>
    <w:semiHidden/>
    <w:rsid w:val="009031AF"/>
    <w:pPr>
      <w:tabs>
        <w:tab w:val="right" w:leader="dot" w:pos="9360"/>
      </w:tabs>
      <w:suppressAutoHyphens/>
      <w:ind w:left="1440" w:right="720" w:hanging="720"/>
    </w:pPr>
  </w:style>
  <w:style w:type="paragraph" w:styleId="TOC3">
    <w:name w:val="toc 3"/>
    <w:basedOn w:val="Normal"/>
    <w:next w:val="Normal"/>
    <w:autoRedefine/>
    <w:semiHidden/>
    <w:rsid w:val="009031AF"/>
    <w:pPr>
      <w:tabs>
        <w:tab w:val="right" w:leader="dot" w:pos="9360"/>
      </w:tabs>
      <w:suppressAutoHyphens/>
      <w:ind w:left="2160" w:right="720" w:hanging="720"/>
    </w:pPr>
  </w:style>
  <w:style w:type="paragraph" w:styleId="TOC4">
    <w:name w:val="toc 4"/>
    <w:basedOn w:val="Normal"/>
    <w:next w:val="Normal"/>
    <w:autoRedefine/>
    <w:semiHidden/>
    <w:rsid w:val="009031AF"/>
    <w:pPr>
      <w:tabs>
        <w:tab w:val="right" w:leader="dot" w:pos="9360"/>
      </w:tabs>
      <w:suppressAutoHyphens/>
      <w:ind w:left="2880" w:right="720" w:hanging="720"/>
    </w:pPr>
  </w:style>
  <w:style w:type="paragraph" w:styleId="TOC5">
    <w:name w:val="toc 5"/>
    <w:basedOn w:val="Normal"/>
    <w:next w:val="Normal"/>
    <w:autoRedefine/>
    <w:semiHidden/>
    <w:rsid w:val="009031AF"/>
    <w:pPr>
      <w:tabs>
        <w:tab w:val="right" w:leader="dot" w:pos="9360"/>
      </w:tabs>
      <w:suppressAutoHyphens/>
      <w:ind w:left="3600" w:right="720" w:hanging="720"/>
    </w:pPr>
  </w:style>
  <w:style w:type="paragraph" w:styleId="TOC6">
    <w:name w:val="toc 6"/>
    <w:basedOn w:val="Normal"/>
    <w:next w:val="Normal"/>
    <w:autoRedefine/>
    <w:semiHidden/>
    <w:rsid w:val="009031AF"/>
    <w:pPr>
      <w:tabs>
        <w:tab w:val="right" w:pos="9360"/>
      </w:tabs>
      <w:suppressAutoHyphens/>
      <w:ind w:left="720" w:hanging="720"/>
    </w:pPr>
  </w:style>
  <w:style w:type="paragraph" w:styleId="TOC7">
    <w:name w:val="toc 7"/>
    <w:basedOn w:val="Normal"/>
    <w:next w:val="Normal"/>
    <w:autoRedefine/>
    <w:semiHidden/>
    <w:rsid w:val="009031AF"/>
    <w:pPr>
      <w:suppressAutoHyphens/>
      <w:ind w:left="720" w:hanging="720"/>
    </w:pPr>
  </w:style>
  <w:style w:type="paragraph" w:styleId="TOC8">
    <w:name w:val="toc 8"/>
    <w:basedOn w:val="Normal"/>
    <w:next w:val="Normal"/>
    <w:autoRedefine/>
    <w:semiHidden/>
    <w:rsid w:val="009031AF"/>
    <w:pPr>
      <w:tabs>
        <w:tab w:val="right" w:pos="9360"/>
      </w:tabs>
      <w:suppressAutoHyphens/>
      <w:ind w:left="720" w:hanging="720"/>
    </w:pPr>
  </w:style>
  <w:style w:type="paragraph" w:styleId="TOC9">
    <w:name w:val="toc 9"/>
    <w:basedOn w:val="Normal"/>
    <w:next w:val="Normal"/>
    <w:autoRedefine/>
    <w:semiHidden/>
    <w:rsid w:val="009031AF"/>
    <w:pPr>
      <w:tabs>
        <w:tab w:val="right" w:leader="dot" w:pos="9360"/>
      </w:tabs>
      <w:suppressAutoHyphens/>
      <w:ind w:left="720" w:hanging="720"/>
    </w:pPr>
  </w:style>
  <w:style w:type="paragraph" w:styleId="Index1">
    <w:name w:val="index 1"/>
    <w:basedOn w:val="Normal"/>
    <w:next w:val="Normal"/>
    <w:autoRedefine/>
    <w:semiHidden/>
    <w:rsid w:val="009031AF"/>
    <w:pPr>
      <w:tabs>
        <w:tab w:val="right" w:leader="dot" w:pos="9360"/>
      </w:tabs>
      <w:suppressAutoHyphens/>
      <w:ind w:left="1440" w:right="720" w:hanging="1440"/>
    </w:pPr>
  </w:style>
  <w:style w:type="paragraph" w:styleId="Index2">
    <w:name w:val="index 2"/>
    <w:basedOn w:val="Normal"/>
    <w:next w:val="Normal"/>
    <w:autoRedefine/>
    <w:semiHidden/>
    <w:rsid w:val="009031AF"/>
    <w:pPr>
      <w:tabs>
        <w:tab w:val="right" w:leader="dot" w:pos="9360"/>
      </w:tabs>
      <w:suppressAutoHyphens/>
      <w:ind w:left="1440" w:right="720" w:hanging="720"/>
    </w:pPr>
  </w:style>
  <w:style w:type="paragraph" w:styleId="TOAHeading">
    <w:name w:val="toa heading"/>
    <w:basedOn w:val="Normal"/>
    <w:next w:val="Normal"/>
    <w:semiHidden/>
    <w:rsid w:val="009031AF"/>
    <w:pPr>
      <w:tabs>
        <w:tab w:val="right" w:pos="9360"/>
      </w:tabs>
      <w:suppressAutoHyphens/>
    </w:pPr>
  </w:style>
  <w:style w:type="paragraph" w:styleId="Caption">
    <w:name w:val="caption"/>
    <w:basedOn w:val="Normal"/>
    <w:next w:val="Normal"/>
    <w:qFormat/>
    <w:rsid w:val="009031AF"/>
    <w:rPr>
      <w:sz w:val="24"/>
    </w:rPr>
  </w:style>
  <w:style w:type="character" w:customStyle="1" w:styleId="EquationCaption">
    <w:name w:val="_Equation Caption"/>
    <w:rsid w:val="009031AF"/>
  </w:style>
  <w:style w:type="character" w:styleId="Hyperlink">
    <w:name w:val="Hyperlink"/>
    <w:basedOn w:val="DefaultParagraphFont"/>
    <w:rsid w:val="00A77AC0"/>
    <w:rPr>
      <w:color w:val="0000FF"/>
      <w:u w:val="single"/>
    </w:rPr>
  </w:style>
  <w:style w:type="paragraph" w:styleId="NormalWeb">
    <w:name w:val="Normal (Web)"/>
    <w:basedOn w:val="Normal"/>
    <w:rsid w:val="002C3C4F"/>
    <w:pPr>
      <w:widowControl/>
      <w:spacing w:before="100" w:beforeAutospacing="1" w:after="100" w:afterAutospacing="1"/>
    </w:pPr>
    <w:rPr>
      <w:rFonts w:ascii="Times New Roman" w:hAnsi="Times New Roman"/>
      <w:snapToGrid/>
      <w:sz w:val="24"/>
      <w:szCs w:val="24"/>
    </w:rPr>
  </w:style>
  <w:style w:type="table" w:styleId="TableGrid">
    <w:name w:val="Table Grid"/>
    <w:basedOn w:val="TableNormal"/>
    <w:rsid w:val="00C6483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rsid w:val="00DF1F66"/>
    <w:pPr>
      <w:tabs>
        <w:tab w:val="center" w:pos="4680"/>
        <w:tab w:val="right" w:pos="9360"/>
      </w:tabs>
    </w:pPr>
  </w:style>
  <w:style w:type="character" w:customStyle="1" w:styleId="HeaderChar">
    <w:name w:val="Header Char"/>
    <w:basedOn w:val="DefaultParagraphFont"/>
    <w:link w:val="Header"/>
    <w:rsid w:val="00DF1F66"/>
    <w:rPr>
      <w:rFonts w:ascii="Courier New" w:hAnsi="Courier New"/>
      <w:snapToGrid w:val="0"/>
    </w:rPr>
  </w:style>
  <w:style w:type="paragraph" w:styleId="Footer">
    <w:name w:val="footer"/>
    <w:basedOn w:val="Normal"/>
    <w:link w:val="FooterChar"/>
    <w:rsid w:val="00DF1F66"/>
    <w:pPr>
      <w:tabs>
        <w:tab w:val="center" w:pos="4680"/>
        <w:tab w:val="right" w:pos="9360"/>
      </w:tabs>
    </w:pPr>
  </w:style>
  <w:style w:type="character" w:customStyle="1" w:styleId="FooterChar">
    <w:name w:val="Footer Char"/>
    <w:basedOn w:val="DefaultParagraphFont"/>
    <w:link w:val="Footer"/>
    <w:rsid w:val="00DF1F66"/>
    <w:rPr>
      <w:rFonts w:ascii="Courier New" w:hAnsi="Courier New"/>
      <w:snapToGrid w:val="0"/>
    </w:rPr>
  </w:style>
  <w:style w:type="paragraph" w:styleId="PlainText">
    <w:name w:val="Plain Text"/>
    <w:basedOn w:val="Normal"/>
    <w:link w:val="PlainTextChar"/>
    <w:uiPriority w:val="99"/>
    <w:unhideWhenUsed/>
    <w:rsid w:val="00F31167"/>
    <w:pPr>
      <w:widowControl/>
    </w:pPr>
    <w:rPr>
      <w:rFonts w:ascii="Consolas" w:eastAsiaTheme="minorEastAsia" w:hAnsi="Consolas"/>
      <w:snapToGrid/>
      <w:sz w:val="21"/>
      <w:szCs w:val="21"/>
    </w:rPr>
  </w:style>
  <w:style w:type="character" w:customStyle="1" w:styleId="PlainTextChar">
    <w:name w:val="Plain Text Char"/>
    <w:basedOn w:val="DefaultParagraphFont"/>
    <w:link w:val="PlainText"/>
    <w:uiPriority w:val="99"/>
    <w:rsid w:val="00F31167"/>
    <w:rPr>
      <w:rFonts w:ascii="Consolas" w:eastAsiaTheme="minorEastAsia" w:hAnsi="Consolas"/>
      <w:sz w:val="21"/>
      <w:szCs w:val="21"/>
    </w:rPr>
  </w:style>
  <w:style w:type="paragraph" w:styleId="ListParagraph">
    <w:name w:val="List Paragraph"/>
    <w:basedOn w:val="Normal"/>
    <w:uiPriority w:val="34"/>
    <w:qFormat/>
    <w:rsid w:val="00F31167"/>
    <w:pPr>
      <w:ind w:left="720"/>
      <w:contextualSpacing/>
    </w:pPr>
  </w:style>
</w:styles>
</file>

<file path=word/webSettings.xml><?xml version="1.0" encoding="utf-8"?>
<w:webSettings xmlns:r="http://schemas.openxmlformats.org/officeDocument/2006/relationships" xmlns:w="http://schemas.openxmlformats.org/wordprocessingml/2006/main">
  <w:divs>
    <w:div w:id="12858438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1D90C55-62E0-4BE2-ACE5-2E863A17BD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5</Pages>
  <Words>1506</Words>
  <Characters>8286</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DHHS</Company>
  <LinksUpToDate>false</LinksUpToDate>
  <CharactersWithSpaces>9773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ACF</dc:creator>
  <cp:keywords/>
  <cp:lastModifiedBy>Department of Health and Human Services</cp:lastModifiedBy>
  <cp:revision>2</cp:revision>
  <cp:lastPrinted>2007-10-10T20:27:00Z</cp:lastPrinted>
  <dcterms:created xsi:type="dcterms:W3CDTF">2011-08-16T16:44:00Z</dcterms:created>
  <dcterms:modified xsi:type="dcterms:W3CDTF">2011-08-16T16:44:00Z</dcterms:modified>
</cp:coreProperties>
</file>