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AA5FF0" w:rsidRDefault="009B633D" w:rsidP="00AA5FF0">
      <w:pPr>
        <w:jc w:val="center"/>
      </w:pPr>
    </w:p>
    <w:p w:rsidR="00AA5FF0" w:rsidRPr="00342599" w:rsidRDefault="003C7F21" w:rsidP="004B12B4">
      <w:pPr>
        <w:tabs>
          <w:tab w:val="left" w:pos="1440"/>
        </w:tabs>
        <w:autoSpaceDE w:val="0"/>
        <w:autoSpaceDN w:val="0"/>
        <w:adjustRightInd w:val="0"/>
        <w:ind w:left="1440" w:hanging="1440"/>
        <w:jc w:val="center"/>
        <w:rPr>
          <w:rFonts w:ascii="Microsoft Sans Serif" w:hAnsi="Microsoft Sans Serif" w:cs="Microsoft Sans Serif"/>
          <w:color w:val="000000"/>
          <w:sz w:val="36"/>
          <w:szCs w:val="36"/>
        </w:rPr>
      </w:pPr>
      <w:r>
        <w:rPr>
          <w:color w:val="000000"/>
          <w:sz w:val="36"/>
          <w:szCs w:val="36"/>
        </w:rPr>
        <w:t>Pre-test</w:t>
      </w:r>
      <w:r w:rsidRPr="00342599">
        <w:rPr>
          <w:color w:val="000000"/>
          <w:sz w:val="36"/>
          <w:szCs w:val="36"/>
        </w:rPr>
        <w:t xml:space="preserve"> </w:t>
      </w:r>
      <w:r w:rsidR="00AA5FF0" w:rsidRPr="00342599">
        <w:rPr>
          <w:color w:val="000000"/>
          <w:sz w:val="36"/>
          <w:szCs w:val="36"/>
        </w:rPr>
        <w:t>of an Assisted Living Consensus Instrument</w:t>
      </w:r>
    </w:p>
    <w:p w:rsidR="009B633D" w:rsidRPr="00342599" w:rsidRDefault="009B633D" w:rsidP="009B633D">
      <w:pPr>
        <w:jc w:val="center"/>
        <w:rPr>
          <w:i/>
          <w:sz w:val="36"/>
          <w:szCs w:val="36"/>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C4006D" w:rsidRDefault="00BB1C2F" w:rsidP="009B633D">
      <w:pPr>
        <w:jc w:val="center"/>
        <w:rPr>
          <w:i/>
          <w:sz w:val="28"/>
          <w:szCs w:val="28"/>
        </w:rPr>
      </w:pPr>
      <w:r>
        <w:rPr>
          <w:b/>
          <w:sz w:val="28"/>
          <w:szCs w:val="28"/>
        </w:rPr>
        <w:t>Versio</w:t>
      </w:r>
      <w:r w:rsidRPr="00AA5FF0">
        <w:rPr>
          <w:b/>
          <w:sz w:val="28"/>
          <w:szCs w:val="28"/>
        </w:rPr>
        <w:t>n</w:t>
      </w:r>
      <w:r w:rsidR="006E5491">
        <w:rPr>
          <w:b/>
          <w:sz w:val="28"/>
          <w:szCs w:val="28"/>
        </w:rPr>
        <w:t xml:space="preserve">: </w:t>
      </w:r>
      <w:r w:rsidR="00CC7E8B">
        <w:rPr>
          <w:b/>
          <w:sz w:val="28"/>
          <w:szCs w:val="28"/>
        </w:rPr>
        <w:t>November 10</w:t>
      </w:r>
      <w:r w:rsidR="003959A1">
        <w:rPr>
          <w:b/>
          <w:sz w:val="28"/>
          <w:szCs w:val="28"/>
        </w:rPr>
        <w:t>, 2011</w:t>
      </w:r>
    </w:p>
    <w:p w:rsidR="009B633D"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r w:rsidRPr="00677A0B">
        <w:rPr>
          <w:sz w:val="28"/>
          <w:szCs w:val="28"/>
        </w:rPr>
        <w:t xml:space="preserve">Agency </w:t>
      </w:r>
      <w:r w:rsidR="003959A1">
        <w:rPr>
          <w:sz w:val="28"/>
          <w:szCs w:val="28"/>
        </w:rPr>
        <w:t>for</w:t>
      </w:r>
      <w:r w:rsidRPr="00677A0B">
        <w:rPr>
          <w:sz w:val="28"/>
          <w:szCs w:val="28"/>
        </w:rPr>
        <w:t xml:space="preserve"> Healthcare Research and Quality (AHRQ)</w:t>
      </w:r>
    </w:p>
    <w:p w:rsidR="009B633D" w:rsidRDefault="009B633D">
      <w:pPr>
        <w:rPr>
          <w:sz w:val="28"/>
          <w:szCs w:val="28"/>
        </w:rPr>
      </w:pPr>
    </w:p>
    <w:p w:rsidR="009B633D" w:rsidRDefault="009B633D" w:rsidP="008C580E">
      <w:pPr>
        <w:rPr>
          <w:b/>
        </w:rPr>
      </w:pPr>
      <w:r>
        <w:br w:type="page"/>
      </w:r>
      <w:r w:rsidRPr="001D0454">
        <w:rPr>
          <w:b/>
        </w:rPr>
        <w:lastRenderedPageBreak/>
        <w:t>Table of contents</w:t>
      </w:r>
    </w:p>
    <w:p w:rsidR="00EB58F3" w:rsidRDefault="00EB58F3" w:rsidP="009B633D">
      <w:pPr>
        <w:jc w:val="center"/>
        <w:rPr>
          <w:b/>
        </w:rPr>
      </w:pPr>
    </w:p>
    <w:p w:rsidR="00EB58F3" w:rsidRDefault="008C580E" w:rsidP="007B3A8E">
      <w:pPr>
        <w:tabs>
          <w:tab w:val="left" w:leader="dot" w:pos="8280"/>
        </w:tabs>
      </w:pPr>
      <w:r w:rsidRPr="008C580E">
        <w:t>A. Justification</w:t>
      </w:r>
      <w:r w:rsidR="007B3A8E">
        <w:tab/>
        <w:t>3</w:t>
      </w:r>
    </w:p>
    <w:p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rsidR="007B3A8E" w:rsidRDefault="007B3A8E" w:rsidP="007B3A8E">
      <w:pPr>
        <w:tabs>
          <w:tab w:val="left" w:pos="360"/>
          <w:tab w:val="left" w:leader="dot" w:pos="8280"/>
        </w:tabs>
      </w:pPr>
      <w:r>
        <w:tab/>
        <w:t xml:space="preserve">2. </w:t>
      </w:r>
      <w:r w:rsidR="006014DB">
        <w:t xml:space="preserve">Purpose and </w:t>
      </w:r>
      <w:r w:rsidR="00AB6EE0">
        <w:t>U</w:t>
      </w:r>
      <w:r w:rsidR="006014DB">
        <w:t xml:space="preserve">se of </w:t>
      </w:r>
      <w:r w:rsidR="00AB6EE0">
        <w:t>I</w:t>
      </w:r>
      <w:r w:rsidRPr="007B3A8E">
        <w:t>nformation</w:t>
      </w:r>
      <w:r>
        <w:tab/>
      </w:r>
      <w:r w:rsidR="00B72021">
        <w:t>5</w:t>
      </w:r>
    </w:p>
    <w:p w:rsidR="007B3A8E" w:rsidRDefault="007B3A8E" w:rsidP="007B3A8E">
      <w:pPr>
        <w:tabs>
          <w:tab w:val="left" w:pos="360"/>
          <w:tab w:val="left" w:leader="dot" w:pos="8280"/>
        </w:tabs>
      </w:pPr>
      <w:r>
        <w:tab/>
        <w:t xml:space="preserve">3. </w:t>
      </w:r>
      <w:r w:rsidRPr="007B3A8E">
        <w:t>Use of Improved Information Technology</w:t>
      </w:r>
      <w:r>
        <w:tab/>
      </w:r>
      <w:r w:rsidR="00945446">
        <w:t>5</w:t>
      </w:r>
    </w:p>
    <w:p w:rsidR="007B3A8E" w:rsidRDefault="007B3A8E" w:rsidP="007B3A8E">
      <w:pPr>
        <w:tabs>
          <w:tab w:val="left" w:pos="360"/>
          <w:tab w:val="left" w:leader="dot" w:pos="8280"/>
        </w:tabs>
      </w:pPr>
      <w:r>
        <w:tab/>
        <w:t xml:space="preserve">4. </w:t>
      </w:r>
      <w:r w:rsidRPr="007B3A8E">
        <w:t>Efforts to Identify Duplication</w:t>
      </w:r>
      <w:r>
        <w:tab/>
      </w:r>
      <w:r w:rsidR="00945446">
        <w:t>5</w:t>
      </w:r>
    </w:p>
    <w:p w:rsidR="007B3A8E" w:rsidRDefault="007B3A8E" w:rsidP="007B3A8E">
      <w:pPr>
        <w:tabs>
          <w:tab w:val="left" w:pos="360"/>
          <w:tab w:val="left" w:leader="dot" w:pos="8280"/>
        </w:tabs>
      </w:pPr>
      <w:r>
        <w:tab/>
        <w:t xml:space="preserve">5. </w:t>
      </w:r>
      <w:r w:rsidR="00556066" w:rsidRPr="00556066">
        <w:t>Involvement of Small Entities</w:t>
      </w:r>
      <w:r w:rsidR="00556066">
        <w:tab/>
      </w:r>
      <w:r w:rsidR="00945446">
        <w:t>5</w:t>
      </w:r>
    </w:p>
    <w:p w:rsidR="00556066" w:rsidRDefault="00556066" w:rsidP="007B3A8E">
      <w:pPr>
        <w:tabs>
          <w:tab w:val="left" w:pos="360"/>
          <w:tab w:val="left" w:leader="dot" w:pos="8280"/>
        </w:tabs>
      </w:pPr>
      <w:r>
        <w:tab/>
        <w:t xml:space="preserve">6. </w:t>
      </w:r>
      <w:r w:rsidRPr="00556066">
        <w:t>Consequences if Information Collected Less Frequently</w:t>
      </w:r>
      <w:r>
        <w:tab/>
      </w:r>
      <w:r w:rsidR="00945446">
        <w:t>5</w:t>
      </w:r>
    </w:p>
    <w:p w:rsidR="00556066" w:rsidRDefault="00556066" w:rsidP="007B3A8E">
      <w:pPr>
        <w:tabs>
          <w:tab w:val="left" w:pos="360"/>
          <w:tab w:val="left" w:leader="dot" w:pos="8280"/>
        </w:tabs>
      </w:pPr>
      <w:r>
        <w:tab/>
        <w:t xml:space="preserve">7. </w:t>
      </w:r>
      <w:r w:rsidRPr="00556066">
        <w:t>Special Circumstances</w:t>
      </w:r>
      <w:r>
        <w:tab/>
      </w:r>
      <w:r w:rsidR="00945446">
        <w:t>5</w:t>
      </w:r>
    </w:p>
    <w:p w:rsidR="00556066" w:rsidRDefault="00556066" w:rsidP="007B3A8E">
      <w:pPr>
        <w:tabs>
          <w:tab w:val="left" w:pos="360"/>
          <w:tab w:val="left" w:leader="dot" w:pos="8280"/>
        </w:tabs>
      </w:pPr>
      <w:r>
        <w:tab/>
        <w:t xml:space="preserve">8. </w:t>
      </w:r>
      <w:r w:rsidR="00B72021">
        <w:t xml:space="preserve">Federal Register Notice and Outside </w:t>
      </w:r>
      <w:r w:rsidRPr="00556066">
        <w:t>Consultation</w:t>
      </w:r>
      <w:r w:rsidR="00B72021">
        <w:t>s</w:t>
      </w:r>
      <w:r>
        <w:tab/>
      </w:r>
      <w:r w:rsidR="00FC12ED">
        <w:t>6</w:t>
      </w:r>
    </w:p>
    <w:p w:rsidR="00556066" w:rsidRDefault="00556066" w:rsidP="007B3A8E">
      <w:pPr>
        <w:tabs>
          <w:tab w:val="left" w:pos="360"/>
          <w:tab w:val="left" w:leader="dot" w:pos="8280"/>
        </w:tabs>
      </w:pPr>
      <w:r>
        <w:tab/>
        <w:t xml:space="preserve">9. </w:t>
      </w:r>
      <w:r w:rsidRPr="00556066">
        <w:t>Payments/Gifts to Respondents</w:t>
      </w:r>
      <w:r>
        <w:tab/>
      </w:r>
      <w:r w:rsidR="00DE5B1C">
        <w:t>7</w:t>
      </w:r>
    </w:p>
    <w:p w:rsidR="00556066" w:rsidRDefault="00556066" w:rsidP="007B3A8E">
      <w:pPr>
        <w:tabs>
          <w:tab w:val="left" w:pos="360"/>
          <w:tab w:val="left" w:leader="dot" w:pos="8280"/>
        </w:tabs>
      </w:pPr>
      <w:r>
        <w:tab/>
        <w:t xml:space="preserve">10. </w:t>
      </w:r>
      <w:r w:rsidRPr="00556066">
        <w:t>Assurance of Confidentiality</w:t>
      </w:r>
      <w:r>
        <w:tab/>
      </w:r>
      <w:r w:rsidR="00DE5B1C">
        <w:t>7</w:t>
      </w:r>
    </w:p>
    <w:p w:rsidR="00556066" w:rsidRDefault="00556066" w:rsidP="007B3A8E">
      <w:pPr>
        <w:tabs>
          <w:tab w:val="left" w:pos="360"/>
          <w:tab w:val="left" w:leader="dot" w:pos="8280"/>
        </w:tabs>
      </w:pPr>
      <w:r>
        <w:tab/>
        <w:t xml:space="preserve">11. </w:t>
      </w:r>
      <w:r w:rsidRPr="00556066">
        <w:t>Questions of a Sensitive Nature</w:t>
      </w:r>
      <w:r>
        <w:tab/>
      </w:r>
      <w:r w:rsidR="00DE5B1C">
        <w:t>8</w:t>
      </w:r>
    </w:p>
    <w:p w:rsidR="00556066" w:rsidRDefault="00556066" w:rsidP="007B3A8E">
      <w:pPr>
        <w:tabs>
          <w:tab w:val="left" w:pos="360"/>
          <w:tab w:val="left" w:leader="dot" w:pos="8280"/>
        </w:tabs>
      </w:pPr>
      <w:r>
        <w:tab/>
        <w:t xml:space="preserve">12. </w:t>
      </w:r>
      <w:r w:rsidRPr="00556066">
        <w:t>Estimates of Annualized Burden Hours and Costs</w:t>
      </w:r>
      <w:r>
        <w:tab/>
      </w:r>
      <w:r w:rsidR="00DE5B1C">
        <w:t>8</w:t>
      </w:r>
    </w:p>
    <w:p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DE5B1C">
        <w:t>9</w:t>
      </w:r>
    </w:p>
    <w:p w:rsidR="00556066" w:rsidRDefault="00556066" w:rsidP="007B3A8E">
      <w:pPr>
        <w:tabs>
          <w:tab w:val="left" w:pos="360"/>
          <w:tab w:val="left" w:leader="dot" w:pos="8280"/>
        </w:tabs>
      </w:pPr>
      <w:r>
        <w:tab/>
        <w:t xml:space="preserve">14. </w:t>
      </w:r>
      <w:r w:rsidRPr="00556066">
        <w:t>Estimates of Annualized Cost to the Government</w:t>
      </w:r>
      <w:r>
        <w:tab/>
      </w:r>
      <w:r w:rsidR="00DE5B1C">
        <w:t>9</w:t>
      </w:r>
    </w:p>
    <w:p w:rsidR="00556066" w:rsidRDefault="00556066" w:rsidP="007B3A8E">
      <w:pPr>
        <w:tabs>
          <w:tab w:val="left" w:pos="360"/>
          <w:tab w:val="left" w:leader="dot" w:pos="8280"/>
        </w:tabs>
      </w:pPr>
      <w:r>
        <w:tab/>
        <w:t xml:space="preserve">15. </w:t>
      </w:r>
      <w:r w:rsidRPr="00556066">
        <w:t>Changes in Hour Burden</w:t>
      </w:r>
      <w:r>
        <w:tab/>
      </w:r>
      <w:r w:rsidR="00DE5B1C">
        <w:t>9</w:t>
      </w:r>
    </w:p>
    <w:p w:rsidR="006014DB" w:rsidRDefault="006014DB" w:rsidP="007B3A8E">
      <w:pPr>
        <w:tabs>
          <w:tab w:val="left" w:pos="360"/>
          <w:tab w:val="left" w:leader="dot" w:pos="8280"/>
        </w:tabs>
      </w:pPr>
      <w:r>
        <w:tab/>
        <w:t xml:space="preserve">16. </w:t>
      </w:r>
      <w:r w:rsidRPr="006014DB">
        <w:t>Time Schedule, Publication and Analysis Plans</w:t>
      </w:r>
      <w:r>
        <w:tab/>
      </w:r>
      <w:r w:rsidR="00DE5B1C">
        <w:t>9</w:t>
      </w:r>
    </w:p>
    <w:p w:rsidR="006014DB" w:rsidRDefault="006014DB" w:rsidP="007B3A8E">
      <w:pPr>
        <w:tabs>
          <w:tab w:val="left" w:pos="360"/>
          <w:tab w:val="left" w:leader="dot" w:pos="8280"/>
        </w:tabs>
      </w:pPr>
      <w:r>
        <w:tab/>
        <w:t xml:space="preserve">17. </w:t>
      </w:r>
      <w:r w:rsidRPr="006014DB">
        <w:t>Exemption for Display of Expiration Date</w:t>
      </w:r>
      <w:r>
        <w:tab/>
      </w:r>
      <w:r w:rsidR="00DE5B1C">
        <w:t>10</w:t>
      </w:r>
    </w:p>
    <w:p w:rsidR="00FC12ED" w:rsidRDefault="00FC12ED" w:rsidP="007B3A8E">
      <w:pPr>
        <w:tabs>
          <w:tab w:val="left" w:pos="360"/>
          <w:tab w:val="left" w:leader="dot" w:pos="8280"/>
        </w:tabs>
      </w:pPr>
      <w:r>
        <w:tab/>
        <w:t>List of Attachments</w:t>
      </w:r>
      <w:r>
        <w:tab/>
        <w:t>10</w:t>
      </w:r>
    </w:p>
    <w:p w:rsidR="00556066" w:rsidRPr="00556066" w:rsidRDefault="006014DB" w:rsidP="007B3A8E">
      <w:pPr>
        <w:tabs>
          <w:tab w:val="left" w:pos="360"/>
          <w:tab w:val="left" w:leader="dot" w:pos="8280"/>
        </w:tabs>
      </w:pPr>
      <w:r>
        <w:tab/>
      </w:r>
    </w:p>
    <w:p w:rsidR="00556066" w:rsidRPr="00556066" w:rsidRDefault="00556066" w:rsidP="007B3A8E">
      <w:pPr>
        <w:tabs>
          <w:tab w:val="left" w:pos="360"/>
          <w:tab w:val="left" w:leader="dot" w:pos="8280"/>
        </w:tabs>
      </w:pPr>
      <w:r>
        <w:tab/>
      </w:r>
    </w:p>
    <w:p w:rsidR="009B633D" w:rsidRDefault="009B633D" w:rsidP="009B633D">
      <w:pPr>
        <w:jc w:val="center"/>
        <w:rPr>
          <w:b/>
        </w:rPr>
      </w:pPr>
    </w:p>
    <w:p w:rsidR="009B633D" w:rsidRDefault="00C8717E">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rsidR="009B633D" w:rsidRPr="001D0454" w:rsidRDefault="00C8717E" w:rsidP="009B633D">
      <w:pPr>
        <w:jc w:val="center"/>
        <w:rPr>
          <w:b/>
        </w:rPr>
      </w:pPr>
      <w:r>
        <w:rPr>
          <w:b/>
        </w:rPr>
        <w:fldChar w:fldCharType="end"/>
      </w:r>
    </w:p>
    <w:p w:rsidR="009B633D" w:rsidRPr="006014DB" w:rsidRDefault="009B633D" w:rsidP="009B633D">
      <w:pPr>
        <w:pStyle w:val="Heading1"/>
        <w:rPr>
          <w:sz w:val="24"/>
          <w:szCs w:val="24"/>
        </w:rPr>
      </w:pPr>
      <w:r>
        <w:br w:type="page"/>
      </w:r>
      <w:bookmarkStart w:id="0" w:name="_Toc151782175"/>
      <w:bookmarkStart w:id="1" w:name="_Toc158526215"/>
      <w:r w:rsidRPr="006014DB">
        <w:rPr>
          <w:sz w:val="24"/>
          <w:szCs w:val="24"/>
        </w:rPr>
        <w:lastRenderedPageBreak/>
        <w:t>A. Justification</w:t>
      </w:r>
      <w:bookmarkEnd w:id="0"/>
      <w:bookmarkEnd w:id="1"/>
    </w:p>
    <w:p w:rsidR="009B633D" w:rsidRPr="006014DB" w:rsidRDefault="009B633D" w:rsidP="009B633D"/>
    <w:p w:rsidR="009B633D" w:rsidRDefault="009B633D" w:rsidP="006014DB">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006014DB" w:rsidRPr="006014DB">
        <w:rPr>
          <w:sz w:val="24"/>
          <w:szCs w:val="24"/>
        </w:rPr>
        <w:t>Circumstances that make the collection of information necessary</w:t>
      </w:r>
    </w:p>
    <w:p w:rsidR="006014DB" w:rsidRDefault="006014DB" w:rsidP="006014DB"/>
    <w:p w:rsidR="000A140E" w:rsidRDefault="000A140E" w:rsidP="000A140E">
      <w:r>
        <w:t xml:space="preserve">The mission of the </w:t>
      </w:r>
      <w:r w:rsidR="001F55D7">
        <w:t xml:space="preserve">U.S. </w:t>
      </w:r>
      <w:r>
        <w:t>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Default="00606400" w:rsidP="00606400">
      <w:pPr>
        <w:tabs>
          <w:tab w:val="left" w:pos="360"/>
        </w:tabs>
      </w:pPr>
      <w:r>
        <w:tab/>
      </w:r>
    </w:p>
    <w:p w:rsidR="00606400" w:rsidRDefault="00606400" w:rsidP="00606400">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RDefault="00325B9C" w:rsidP="00606400">
      <w:pPr>
        <w:tabs>
          <w:tab w:val="left" w:pos="360"/>
        </w:tabs>
        <w:ind w:left="360"/>
      </w:pPr>
    </w:p>
    <w:p w:rsidR="00325B9C" w:rsidRDefault="00325B9C" w:rsidP="00606400">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RDefault="00B645ED" w:rsidP="00606400">
      <w:pPr>
        <w:tabs>
          <w:tab w:val="left" w:pos="360"/>
        </w:tabs>
        <w:ind w:left="360"/>
      </w:pPr>
    </w:p>
    <w:p w:rsidR="00B645ED" w:rsidRDefault="00B645ED" w:rsidP="00606400">
      <w:pPr>
        <w:tabs>
          <w:tab w:val="left" w:pos="360"/>
        </w:tabs>
        <w:ind w:left="360"/>
      </w:pPr>
      <w:r>
        <w:t>3.</w:t>
      </w:r>
      <w:r>
        <w:tab/>
        <w:t>initiatives to advance private and public efforts to improve health care quality.</w:t>
      </w:r>
    </w:p>
    <w:p w:rsidR="00B645ED" w:rsidRDefault="00B645ED" w:rsidP="00B645ED">
      <w:pPr>
        <w:tabs>
          <w:tab w:val="left" w:pos="360"/>
        </w:tabs>
      </w:pPr>
    </w:p>
    <w:p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1B32D7" w:rsidRDefault="001B32D7" w:rsidP="001B32D7">
      <w:pPr>
        <w:tabs>
          <w:tab w:val="left" w:pos="1080"/>
          <w:tab w:val="left" w:pos="1440"/>
          <w:tab w:val="left" w:pos="1800"/>
        </w:tabs>
      </w:pPr>
    </w:p>
    <w:p w:rsidR="001B32D7" w:rsidRDefault="003C7F21" w:rsidP="001B32D7">
      <w:pPr>
        <w:tabs>
          <w:tab w:val="left" w:pos="1080"/>
          <w:tab w:val="left" w:pos="1440"/>
          <w:tab w:val="left" w:pos="1800"/>
        </w:tabs>
      </w:pPr>
      <w:r>
        <w:t>Using a consensus-based process and in</w:t>
      </w:r>
      <w:r w:rsidR="00224DF7" w:rsidRPr="00952584">
        <w:t xml:space="preserve"> partnership with the Center for Excellence in Assisted Living (CEAL), AHRQ </w:t>
      </w:r>
      <w:r>
        <w:t>has</w:t>
      </w:r>
      <w:r w:rsidRPr="00952584">
        <w:t xml:space="preserve"> </w:t>
      </w:r>
      <w:r>
        <w:t xml:space="preserve">developed </w:t>
      </w:r>
      <w:r w:rsidRPr="00952584">
        <w:t xml:space="preserve">a data collection tool that will collect uniform information about individual </w:t>
      </w:r>
      <w:r w:rsidR="00716943">
        <w:t>assisted living facilities (</w:t>
      </w:r>
      <w:r w:rsidRPr="00952584">
        <w:t>AL</w:t>
      </w:r>
      <w:r>
        <w:t>F</w:t>
      </w:r>
      <w:r w:rsidRPr="00952584">
        <w:t>s</w:t>
      </w:r>
      <w:r w:rsidR="00716943">
        <w:t>)</w:t>
      </w:r>
      <w:r w:rsidRPr="00952584">
        <w:t xml:space="preserve"> </w:t>
      </w:r>
      <w:r>
        <w:t xml:space="preserve">in the United States </w:t>
      </w:r>
      <w:r w:rsidRPr="00952584">
        <w:t>to</w:t>
      </w:r>
      <w:r>
        <w:t xml:space="preserve"> i</w:t>
      </w:r>
      <w:r w:rsidRPr="00693106">
        <w:t xml:space="preserve">ncrease the value of healthcare for consumers by helping </w:t>
      </w:r>
      <w:r>
        <w:t>them</w:t>
      </w:r>
      <w:r w:rsidRPr="00693106">
        <w:t xml:space="preserve"> make informed choices </w:t>
      </w:r>
      <w:r w:rsidRPr="00952584">
        <w:t>when selecting an AL</w:t>
      </w:r>
      <w:r>
        <w:t>F.  Included in the development process w</w:t>
      </w:r>
      <w:r w:rsidR="00EE5BE5">
        <w:t>as</w:t>
      </w:r>
      <w:r>
        <w:t xml:space="preserve"> </w:t>
      </w:r>
      <w:r w:rsidR="006E5491">
        <w:t>a voluntary committee of national representatives of Assisted Living</w:t>
      </w:r>
      <w:r w:rsidR="00500952">
        <w:t xml:space="preserve"> (AL)</w:t>
      </w:r>
      <w:r w:rsidR="006E5491">
        <w:t xml:space="preserve"> consumers and researchers</w:t>
      </w:r>
      <w:r w:rsidR="004557C2">
        <w:t xml:space="preserve"> (Attachment B)</w:t>
      </w:r>
      <w:r>
        <w:t>.</w:t>
      </w:r>
    </w:p>
    <w:p w:rsidR="009F1609" w:rsidRDefault="009F1609" w:rsidP="009F1609">
      <w:pPr>
        <w:rPr>
          <w:spacing w:val="-2"/>
          <w:szCs w:val="22"/>
        </w:rPr>
      </w:pPr>
    </w:p>
    <w:p w:rsidR="009F1609" w:rsidRPr="00EA4D0A" w:rsidRDefault="003217AB" w:rsidP="009F1609">
      <w:pPr>
        <w:rPr>
          <w:spacing w:val="-2"/>
          <w:szCs w:val="22"/>
        </w:rPr>
      </w:pPr>
      <w:smartTag w:uri="urn:schemas-microsoft-com:office:smarttags" w:element="State">
        <w:smartTag w:uri="urn:schemas-microsoft-com:office:smarttags" w:element="place">
          <w:r>
            <w:rPr>
              <w:spacing w:val="-2"/>
              <w:szCs w:val="22"/>
            </w:rPr>
            <w:t>AL</w:t>
          </w:r>
        </w:smartTag>
      </w:smartTag>
      <w:r>
        <w:rPr>
          <w:spacing w:val="-2"/>
          <w:szCs w:val="22"/>
        </w:rPr>
        <w:t xml:space="preserve"> </w:t>
      </w:r>
      <w:r w:rsidR="009F1609" w:rsidRPr="00EA4D0A">
        <w:rPr>
          <w:spacing w:val="-2"/>
          <w:szCs w:val="22"/>
        </w:rPr>
        <w:t xml:space="preserve">is a relatively new long-term care option that currently serves approximately one million older and dependent Americans.  Unlike skilled nursing facilities which are federally regulated and relatively uniform from state to state, </w:t>
      </w:r>
      <w:r w:rsidR="008A410F">
        <w:rPr>
          <w:spacing w:val="-2"/>
          <w:szCs w:val="22"/>
        </w:rPr>
        <w:t xml:space="preserve">ALFs </w:t>
      </w:r>
      <w:r w:rsidR="009F1609" w:rsidRPr="00EA4D0A">
        <w:rPr>
          <w:spacing w:val="-2"/>
          <w:szCs w:val="22"/>
        </w:rPr>
        <w:t xml:space="preserve">vary from state to state, as well as within each state, reflecting various core values that embrace consumer choice and provider diversity.  </w:t>
      </w:r>
    </w:p>
    <w:p w:rsidR="009F1609" w:rsidRDefault="009F1609" w:rsidP="009F1609">
      <w:pPr>
        <w:rPr>
          <w:i/>
        </w:rPr>
      </w:pPr>
    </w:p>
    <w:p w:rsidR="009F1609" w:rsidRPr="00EA4D0A" w:rsidRDefault="009F1609" w:rsidP="009F1609">
      <w:pPr>
        <w:rPr>
          <w:color w:val="000000"/>
          <w:spacing w:val="-4"/>
          <w:szCs w:val="22"/>
        </w:rPr>
      </w:pPr>
      <w:r w:rsidRPr="00EA4D0A">
        <w:rPr>
          <w:color w:val="000000"/>
          <w:spacing w:val="-4"/>
          <w:szCs w:val="22"/>
        </w:rPr>
        <w:t xml:space="preserve">Most states mandate a set of basic services that an </w:t>
      </w:r>
      <w:r w:rsidR="008A410F">
        <w:rPr>
          <w:color w:val="000000"/>
          <w:spacing w:val="-4"/>
          <w:szCs w:val="22"/>
        </w:rPr>
        <w:t>AL</w:t>
      </w:r>
      <w:r w:rsidR="003217AB">
        <w:rPr>
          <w:color w:val="000000"/>
          <w:spacing w:val="-4"/>
          <w:szCs w:val="22"/>
        </w:rPr>
        <w:t>F</w:t>
      </w:r>
      <w:r w:rsidR="008A410F">
        <w:rPr>
          <w:color w:val="000000"/>
          <w:spacing w:val="-4"/>
          <w:szCs w:val="22"/>
        </w:rPr>
        <w:t xml:space="preserve"> </w:t>
      </w:r>
      <w:r w:rsidRPr="00EA4D0A">
        <w:rPr>
          <w:color w:val="000000"/>
          <w:spacing w:val="-4"/>
          <w:szCs w:val="22"/>
        </w:rPr>
        <w:t xml:space="preserve">must offer, such as meals and housekeeping.  The upper limits of allowable services are also often proscribed.  However, within the range of services required and allowed, </w:t>
      </w:r>
      <w:r w:rsidR="003217AB">
        <w:rPr>
          <w:color w:val="000000"/>
          <w:spacing w:val="-4"/>
          <w:szCs w:val="22"/>
        </w:rPr>
        <w:t>ALF</w:t>
      </w:r>
      <w:r w:rsidRPr="00EA4D0A">
        <w:rPr>
          <w:color w:val="000000"/>
          <w:spacing w:val="-4"/>
          <w:szCs w:val="22"/>
        </w:rPr>
        <w:t xml:space="preserve">s in most states are given some latitude as to who they choose to serve and what services they choose to provide.  Further, the choice of services is not always confined by geography; that is, given the widespread dispersion of families, potential </w:t>
      </w:r>
      <w:smartTag w:uri="urn:schemas-microsoft-com:office:smarttags" w:element="place">
        <w:smartTag w:uri="urn:schemas-microsoft-com:office:smarttags" w:element="State">
          <w:r w:rsidR="001F55D7">
            <w:rPr>
              <w:color w:val="000000"/>
              <w:spacing w:val="-4"/>
              <w:szCs w:val="22"/>
            </w:rPr>
            <w:t>AL</w:t>
          </w:r>
        </w:smartTag>
      </w:smartTag>
      <w:r w:rsidR="001F55D7">
        <w:rPr>
          <w:color w:val="000000"/>
          <w:spacing w:val="-4"/>
          <w:szCs w:val="22"/>
        </w:rPr>
        <w:t xml:space="preserve"> </w:t>
      </w:r>
      <w:r w:rsidRPr="00EA4D0A">
        <w:rPr>
          <w:color w:val="000000"/>
          <w:spacing w:val="-4"/>
          <w:szCs w:val="22"/>
        </w:rPr>
        <w:t>residents may be looking to choose among assisted living properties in different states, thereby widening the choices available.</w:t>
      </w:r>
    </w:p>
    <w:p w:rsidR="009F1609" w:rsidRDefault="009F1609" w:rsidP="009F1609">
      <w:pPr>
        <w:rPr>
          <w:i/>
        </w:rPr>
      </w:pPr>
    </w:p>
    <w:p w:rsidR="009F1609" w:rsidRDefault="009F1609" w:rsidP="009F1609">
      <w:pPr>
        <w:rPr>
          <w:color w:val="000000"/>
          <w:spacing w:val="-4"/>
          <w:szCs w:val="22"/>
        </w:rPr>
      </w:pPr>
      <w:r>
        <w:rPr>
          <w:color w:val="000000"/>
        </w:rPr>
        <w:t xml:space="preserve">While some </w:t>
      </w:r>
      <w:r w:rsidR="008A410F">
        <w:rPr>
          <w:color w:val="000000"/>
        </w:rPr>
        <w:t xml:space="preserve">ALFs </w:t>
      </w:r>
      <w:r>
        <w:rPr>
          <w:color w:val="000000"/>
        </w:rPr>
        <w:t xml:space="preserve">are equipped to serve a wide range of resident needs, it is more common that an </w:t>
      </w:r>
      <w:r w:rsidR="00500952">
        <w:rPr>
          <w:color w:val="000000"/>
        </w:rPr>
        <w:t>ALF</w:t>
      </w:r>
      <w:r>
        <w:rPr>
          <w:color w:val="000000"/>
        </w:rPr>
        <w:t xml:space="preserve"> will address a particular “market niche.”  There are many ways in which </w:t>
      </w:r>
      <w:r w:rsidR="008A410F">
        <w:rPr>
          <w:color w:val="000000"/>
        </w:rPr>
        <w:t>AL</w:t>
      </w:r>
      <w:r w:rsidR="003217AB">
        <w:rPr>
          <w:color w:val="000000"/>
        </w:rPr>
        <w:t>F</w:t>
      </w:r>
      <w:r>
        <w:rPr>
          <w:color w:val="000000"/>
        </w:rPr>
        <w:t xml:space="preserve">s offer diversity – in the religious or cultural affiliations of </w:t>
      </w:r>
      <w:r w:rsidR="00500952">
        <w:rPr>
          <w:color w:val="000000"/>
        </w:rPr>
        <w:t>their</w:t>
      </w:r>
      <w:r>
        <w:rPr>
          <w:color w:val="000000"/>
        </w:rPr>
        <w:t xml:space="preserve"> target market; in the house rules that influence expectations about dress and behavior in the dining room; in the admission and discharge criteria in place; as well as in the range of services provided.  </w:t>
      </w:r>
      <w:r w:rsidRPr="00272F75">
        <w:rPr>
          <w:color w:val="000000"/>
          <w:spacing w:val="-4"/>
          <w:szCs w:val="22"/>
        </w:rPr>
        <w:t xml:space="preserve">Major variation is found in the extent to which a particular </w:t>
      </w:r>
      <w:r w:rsidR="008A410F">
        <w:rPr>
          <w:color w:val="000000"/>
          <w:spacing w:val="-4"/>
          <w:szCs w:val="22"/>
        </w:rPr>
        <w:t xml:space="preserve">ALF </w:t>
      </w:r>
      <w:r w:rsidRPr="00272F75">
        <w:rPr>
          <w:color w:val="000000"/>
          <w:spacing w:val="-4"/>
          <w:szCs w:val="22"/>
        </w:rPr>
        <w:t xml:space="preserve">is able and willing to serve those with dementia.  While most </w:t>
      </w:r>
      <w:r w:rsidR="001F55D7">
        <w:rPr>
          <w:color w:val="000000"/>
          <w:spacing w:val="-4"/>
          <w:szCs w:val="22"/>
        </w:rPr>
        <w:t>ALF</w:t>
      </w:r>
      <w:r w:rsidRPr="00272F75">
        <w:rPr>
          <w:color w:val="000000"/>
          <w:spacing w:val="-4"/>
          <w:szCs w:val="22"/>
        </w:rPr>
        <w:t xml:space="preserve">s admit and retain residents with mild cognitive impairment, those without a specialized dementia program may have difficulty serving residents with </w:t>
      </w:r>
      <w:r w:rsidR="001F55D7">
        <w:rPr>
          <w:color w:val="000000"/>
          <w:spacing w:val="-4"/>
          <w:szCs w:val="22"/>
        </w:rPr>
        <w:t>c</w:t>
      </w:r>
      <w:r w:rsidRPr="00272F75">
        <w:rPr>
          <w:color w:val="000000"/>
          <w:spacing w:val="-4"/>
          <w:szCs w:val="22"/>
        </w:rPr>
        <w:t xml:space="preserve">ommon symptoms </w:t>
      </w:r>
      <w:r w:rsidR="001F55D7">
        <w:rPr>
          <w:color w:val="000000"/>
          <w:spacing w:val="-4"/>
          <w:szCs w:val="22"/>
        </w:rPr>
        <w:t xml:space="preserve">such </w:t>
      </w:r>
      <w:r w:rsidRPr="00272F75">
        <w:rPr>
          <w:color w:val="000000"/>
          <w:spacing w:val="-4"/>
          <w:szCs w:val="22"/>
        </w:rPr>
        <w:t xml:space="preserve">as </w:t>
      </w:r>
      <w:r w:rsidR="001F55D7">
        <w:rPr>
          <w:color w:val="000000"/>
          <w:spacing w:val="-4"/>
          <w:szCs w:val="22"/>
        </w:rPr>
        <w:t xml:space="preserve">a </w:t>
      </w:r>
      <w:r w:rsidRPr="00272F75">
        <w:rPr>
          <w:color w:val="000000"/>
          <w:spacing w:val="-4"/>
          <w:szCs w:val="22"/>
        </w:rPr>
        <w:t>lack of safety awareness, wandering, sleep disturbances and agitation.</w:t>
      </w:r>
      <w:r w:rsidR="00500952">
        <w:rPr>
          <w:color w:val="000000"/>
          <w:spacing w:val="-4"/>
          <w:szCs w:val="22"/>
        </w:rPr>
        <w:t xml:space="preserve">  </w:t>
      </w:r>
      <w:r w:rsidRPr="00EA4D0A">
        <w:rPr>
          <w:color w:val="000000"/>
          <w:spacing w:val="-4"/>
          <w:szCs w:val="22"/>
        </w:rPr>
        <w:t xml:space="preserve">To some extent, admission and discharge criteria are dictated by the laws and regulations of the state in which a particular </w:t>
      </w:r>
      <w:r w:rsidR="008A410F">
        <w:rPr>
          <w:color w:val="000000"/>
          <w:spacing w:val="-4"/>
          <w:szCs w:val="22"/>
        </w:rPr>
        <w:t>ALF</w:t>
      </w:r>
      <w:r w:rsidRPr="00EA4D0A">
        <w:rPr>
          <w:color w:val="000000"/>
          <w:spacing w:val="-4"/>
          <w:szCs w:val="22"/>
        </w:rPr>
        <w:t xml:space="preserve"> operates.  Beyond this, </w:t>
      </w:r>
      <w:r w:rsidR="008A410F">
        <w:rPr>
          <w:color w:val="000000"/>
          <w:spacing w:val="-4"/>
          <w:szCs w:val="22"/>
        </w:rPr>
        <w:t>AL</w:t>
      </w:r>
      <w:r w:rsidR="003217AB">
        <w:rPr>
          <w:color w:val="000000"/>
          <w:spacing w:val="-4"/>
          <w:szCs w:val="22"/>
        </w:rPr>
        <w:t>F</w:t>
      </w:r>
      <w:r w:rsidRPr="00EA4D0A">
        <w:rPr>
          <w:color w:val="000000"/>
          <w:spacing w:val="-4"/>
          <w:szCs w:val="22"/>
        </w:rPr>
        <w:t>s have considerable latitude</w:t>
      </w:r>
      <w:r w:rsidR="001F55D7">
        <w:rPr>
          <w:color w:val="000000"/>
          <w:spacing w:val="-4"/>
          <w:szCs w:val="22"/>
        </w:rPr>
        <w:t xml:space="preserve"> (</w:t>
      </w:r>
      <w:r w:rsidRPr="00EA4D0A">
        <w:rPr>
          <w:color w:val="000000"/>
          <w:spacing w:val="-4"/>
          <w:szCs w:val="22"/>
        </w:rPr>
        <w:t>even considering the requirements of the Fair Housing and Americans with Disabilities Acts</w:t>
      </w:r>
      <w:r w:rsidR="001F55D7">
        <w:rPr>
          <w:color w:val="000000"/>
          <w:spacing w:val="-4"/>
          <w:szCs w:val="22"/>
        </w:rPr>
        <w:t>)</w:t>
      </w:r>
      <w:r w:rsidRPr="00EA4D0A">
        <w:rPr>
          <w:color w:val="000000"/>
          <w:spacing w:val="-4"/>
          <w:szCs w:val="22"/>
        </w:rPr>
        <w:t xml:space="preserve"> in assessing individuals who</w:t>
      </w:r>
      <w:r w:rsidR="00D823DD">
        <w:rPr>
          <w:color w:val="000000"/>
          <w:spacing w:val="-4"/>
          <w:szCs w:val="22"/>
        </w:rPr>
        <w:t>m</w:t>
      </w:r>
      <w:r w:rsidRPr="00EA4D0A">
        <w:rPr>
          <w:color w:val="000000"/>
          <w:spacing w:val="-4"/>
          <w:szCs w:val="22"/>
        </w:rPr>
        <w:t xml:space="preserve"> they will admit and retain in their </w:t>
      </w:r>
      <w:r w:rsidR="00D823DD">
        <w:rPr>
          <w:color w:val="000000"/>
          <w:spacing w:val="-4"/>
          <w:szCs w:val="22"/>
        </w:rPr>
        <w:t>facilities</w:t>
      </w:r>
      <w:r w:rsidRPr="00EA4D0A">
        <w:rPr>
          <w:color w:val="000000"/>
          <w:spacing w:val="-4"/>
          <w:szCs w:val="22"/>
        </w:rPr>
        <w:t xml:space="preserve">.  </w:t>
      </w:r>
    </w:p>
    <w:p w:rsidR="009F1609" w:rsidRPr="00EA4D0A" w:rsidRDefault="009F1609" w:rsidP="009F1609">
      <w:pPr>
        <w:rPr>
          <w:color w:val="000000"/>
          <w:spacing w:val="-4"/>
          <w:szCs w:val="22"/>
        </w:rPr>
      </w:pPr>
    </w:p>
    <w:p w:rsidR="00B62E70" w:rsidRDefault="009F1609" w:rsidP="009F1609">
      <w:pPr>
        <w:rPr>
          <w:color w:val="000000"/>
        </w:rPr>
      </w:pPr>
      <w:r w:rsidRPr="00877AE5">
        <w:rPr>
          <w:color w:val="000000"/>
          <w:spacing w:val="-4"/>
          <w:szCs w:val="22"/>
        </w:rPr>
        <w:t xml:space="preserve">In addition to </w:t>
      </w:r>
      <w:r w:rsidR="001F55D7">
        <w:rPr>
          <w:color w:val="000000"/>
          <w:spacing w:val="-4"/>
          <w:szCs w:val="22"/>
        </w:rPr>
        <w:t xml:space="preserve">the </w:t>
      </w:r>
      <w:r w:rsidRPr="00877AE5">
        <w:rPr>
          <w:color w:val="000000"/>
          <w:spacing w:val="-4"/>
          <w:szCs w:val="22"/>
        </w:rPr>
        <w:t xml:space="preserve">assessment of needed services in relation to the services that are available, </w:t>
      </w:r>
      <w:r w:rsidR="001F55D7">
        <w:rPr>
          <w:color w:val="000000"/>
          <w:spacing w:val="-4"/>
          <w:szCs w:val="22"/>
        </w:rPr>
        <w:t xml:space="preserve">the </w:t>
      </w:r>
      <w:r w:rsidRPr="00877AE5">
        <w:rPr>
          <w:color w:val="000000"/>
          <w:spacing w:val="-4"/>
          <w:szCs w:val="22"/>
        </w:rPr>
        <w:t xml:space="preserve">ability to pay for services is a critical factor </w:t>
      </w:r>
      <w:r w:rsidR="00D823DD">
        <w:rPr>
          <w:color w:val="000000"/>
          <w:spacing w:val="-4"/>
          <w:szCs w:val="22"/>
        </w:rPr>
        <w:t>for</w:t>
      </w:r>
      <w:r w:rsidRPr="00877AE5">
        <w:rPr>
          <w:color w:val="000000"/>
          <w:spacing w:val="-4"/>
          <w:szCs w:val="22"/>
        </w:rPr>
        <w:t xml:space="preserve"> both the consumer and </w:t>
      </w:r>
      <w:r w:rsidR="00D823DD">
        <w:rPr>
          <w:color w:val="000000"/>
          <w:spacing w:val="-4"/>
          <w:szCs w:val="22"/>
        </w:rPr>
        <w:t>ALF</w:t>
      </w:r>
      <w:r w:rsidRPr="00877AE5">
        <w:rPr>
          <w:color w:val="000000"/>
          <w:spacing w:val="-4"/>
          <w:szCs w:val="22"/>
        </w:rPr>
        <w:t xml:space="preserve"> decision</w:t>
      </w:r>
      <w:r w:rsidR="001F55D7">
        <w:rPr>
          <w:color w:val="000000"/>
          <w:spacing w:val="-4"/>
          <w:szCs w:val="22"/>
        </w:rPr>
        <w:t>-</w:t>
      </w:r>
      <w:r w:rsidRPr="00877AE5">
        <w:rPr>
          <w:color w:val="000000"/>
          <w:spacing w:val="-4"/>
          <w:szCs w:val="22"/>
        </w:rPr>
        <w:t xml:space="preserve">making </w:t>
      </w:r>
      <w:r w:rsidR="00D823DD">
        <w:rPr>
          <w:color w:val="000000"/>
          <w:spacing w:val="-4"/>
          <w:szCs w:val="22"/>
        </w:rPr>
        <w:t xml:space="preserve">about whether and when an individual </w:t>
      </w:r>
      <w:r w:rsidR="00E83EB0">
        <w:rPr>
          <w:color w:val="000000"/>
          <w:spacing w:val="-4"/>
          <w:szCs w:val="22"/>
        </w:rPr>
        <w:t xml:space="preserve">moves </w:t>
      </w:r>
      <w:r w:rsidRPr="00877AE5">
        <w:rPr>
          <w:color w:val="000000"/>
          <w:spacing w:val="-4"/>
          <w:szCs w:val="22"/>
        </w:rPr>
        <w:t xml:space="preserve">into and out of a particular </w:t>
      </w:r>
      <w:r w:rsidR="00E83EB0">
        <w:rPr>
          <w:color w:val="000000"/>
          <w:spacing w:val="-4"/>
          <w:szCs w:val="22"/>
        </w:rPr>
        <w:t>ALF</w:t>
      </w:r>
      <w:r w:rsidRPr="00877AE5">
        <w:rPr>
          <w:color w:val="000000"/>
          <w:spacing w:val="-4"/>
          <w:szCs w:val="22"/>
        </w:rPr>
        <w:t xml:space="preserve">.   Approximately ten percent of </w:t>
      </w:r>
      <w:smartTag w:uri="urn:schemas-microsoft-com:office:smarttags" w:element="place">
        <w:smartTag w:uri="urn:schemas-microsoft-com:office:smarttags" w:element="State">
          <w:r w:rsidR="008A410F">
            <w:rPr>
              <w:color w:val="000000"/>
              <w:spacing w:val="-4"/>
              <w:szCs w:val="22"/>
            </w:rPr>
            <w:t>AL</w:t>
          </w:r>
        </w:smartTag>
      </w:smartTag>
      <w:r w:rsidR="008A410F">
        <w:rPr>
          <w:color w:val="000000"/>
          <w:spacing w:val="-4"/>
          <w:szCs w:val="22"/>
        </w:rPr>
        <w:t xml:space="preserve"> </w:t>
      </w:r>
      <w:r w:rsidRPr="00877AE5">
        <w:rPr>
          <w:color w:val="000000"/>
          <w:spacing w:val="-4"/>
          <w:szCs w:val="22"/>
        </w:rPr>
        <w:t>residents receive subsidies through State Medicaid Waiver or State Plan programs</w:t>
      </w:r>
      <w:r w:rsidR="001F55D7">
        <w:rPr>
          <w:color w:val="000000"/>
          <w:spacing w:val="-4"/>
          <w:szCs w:val="22"/>
        </w:rPr>
        <w:t xml:space="preserve">, </w:t>
      </w:r>
      <w:r>
        <w:rPr>
          <w:color w:val="000000"/>
          <w:spacing w:val="-4"/>
          <w:szCs w:val="22"/>
        </w:rPr>
        <w:t>and f</w:t>
      </w:r>
      <w:r w:rsidRPr="00877AE5">
        <w:rPr>
          <w:color w:val="000000"/>
          <w:spacing w:val="-4"/>
          <w:szCs w:val="22"/>
        </w:rPr>
        <w:t xml:space="preserve">ewer than three percent are covered by long-term care insurance. Thus, a substantial percentage of </w:t>
      </w:r>
      <w:smartTag w:uri="urn:schemas-microsoft-com:office:smarttags" w:element="place">
        <w:smartTag w:uri="urn:schemas-microsoft-com:office:smarttags" w:element="State">
          <w:r w:rsidR="001F55D7">
            <w:rPr>
              <w:color w:val="000000"/>
              <w:spacing w:val="-4"/>
              <w:szCs w:val="22"/>
            </w:rPr>
            <w:t>AL</w:t>
          </w:r>
        </w:smartTag>
      </w:smartTag>
      <w:r w:rsidR="001F55D7">
        <w:rPr>
          <w:color w:val="000000"/>
          <w:spacing w:val="-4"/>
          <w:szCs w:val="22"/>
        </w:rPr>
        <w:t xml:space="preserve"> </w:t>
      </w:r>
      <w:r w:rsidRPr="00877AE5">
        <w:rPr>
          <w:color w:val="000000"/>
          <w:spacing w:val="-4"/>
          <w:szCs w:val="22"/>
        </w:rPr>
        <w:t xml:space="preserve">consumers use savings and other assets, including proceeds from the sale of their homes, to </w:t>
      </w:r>
      <w:r w:rsidR="00E83EB0">
        <w:rPr>
          <w:color w:val="000000"/>
          <w:spacing w:val="-4"/>
          <w:szCs w:val="22"/>
        </w:rPr>
        <w:t>pay for</w:t>
      </w:r>
      <w:r w:rsidRPr="00877AE5">
        <w:rPr>
          <w:color w:val="000000"/>
          <w:spacing w:val="-4"/>
          <w:szCs w:val="22"/>
        </w:rPr>
        <w:t xml:space="preserve"> their stay in</w:t>
      </w:r>
      <w:r w:rsidR="001F55D7">
        <w:rPr>
          <w:color w:val="000000"/>
          <w:spacing w:val="-4"/>
          <w:szCs w:val="22"/>
        </w:rPr>
        <w:t xml:space="preserve"> an </w:t>
      </w:r>
      <w:r w:rsidR="008A410F">
        <w:rPr>
          <w:color w:val="000000"/>
          <w:spacing w:val="-4"/>
          <w:szCs w:val="22"/>
        </w:rPr>
        <w:t>ALF</w:t>
      </w:r>
      <w:r w:rsidRPr="00877AE5">
        <w:rPr>
          <w:color w:val="000000"/>
          <w:spacing w:val="-4"/>
          <w:szCs w:val="22"/>
        </w:rPr>
        <w:t xml:space="preserve">.  In choosing an </w:t>
      </w:r>
      <w:r w:rsidR="008A410F">
        <w:rPr>
          <w:color w:val="000000"/>
          <w:spacing w:val="-4"/>
          <w:szCs w:val="22"/>
        </w:rPr>
        <w:t>ALF</w:t>
      </w:r>
      <w:r w:rsidRPr="00877AE5">
        <w:rPr>
          <w:color w:val="000000"/>
          <w:spacing w:val="-4"/>
          <w:szCs w:val="22"/>
        </w:rPr>
        <w:t xml:space="preserve">, </w:t>
      </w:r>
      <w:r w:rsidRPr="003217AB">
        <w:rPr>
          <w:color w:val="000000"/>
          <w:spacing w:val="-4"/>
          <w:szCs w:val="22"/>
        </w:rPr>
        <w:t>consumers</w:t>
      </w:r>
      <w:r w:rsidRPr="00877AE5">
        <w:rPr>
          <w:color w:val="000000"/>
          <w:spacing w:val="-4"/>
          <w:szCs w:val="22"/>
        </w:rPr>
        <w:t xml:space="preserve"> need to consider whether a particular </w:t>
      </w:r>
      <w:r w:rsidR="00E83EB0">
        <w:rPr>
          <w:color w:val="000000"/>
          <w:spacing w:val="-4"/>
          <w:szCs w:val="22"/>
        </w:rPr>
        <w:t>facility</w:t>
      </w:r>
      <w:r w:rsidRPr="00877AE5">
        <w:rPr>
          <w:color w:val="000000"/>
          <w:spacing w:val="-4"/>
          <w:szCs w:val="22"/>
        </w:rPr>
        <w:t xml:space="preserve"> is able to accept Medicaid or other third party payments, both now and in the future, should the</w:t>
      </w:r>
      <w:r w:rsidR="003217AB">
        <w:rPr>
          <w:color w:val="000000"/>
          <w:spacing w:val="-4"/>
          <w:szCs w:val="22"/>
        </w:rPr>
        <w:t>ir</w:t>
      </w:r>
      <w:r w:rsidRPr="00877AE5">
        <w:rPr>
          <w:color w:val="000000"/>
          <w:spacing w:val="-4"/>
          <w:szCs w:val="22"/>
        </w:rPr>
        <w:t xml:space="preserve"> assets become depleted</w:t>
      </w:r>
      <w:r w:rsidR="009E0F8F">
        <w:rPr>
          <w:color w:val="000000"/>
          <w:spacing w:val="-4"/>
          <w:szCs w:val="22"/>
        </w:rPr>
        <w:t>.</w:t>
      </w:r>
    </w:p>
    <w:p w:rsidR="00B62E70" w:rsidRDefault="00B62E70" w:rsidP="009F1609">
      <w:pPr>
        <w:rPr>
          <w:color w:val="000000"/>
        </w:rPr>
      </w:pPr>
    </w:p>
    <w:p w:rsidR="00244A49" w:rsidRDefault="00244A49" w:rsidP="00244A49">
      <w:bookmarkStart w:id="4" w:name="_Toc151782177"/>
      <w:bookmarkStart w:id="5" w:name="_Toc158526217"/>
      <w:r>
        <w:t>This research has the following goals:</w:t>
      </w:r>
    </w:p>
    <w:p w:rsidR="00244A49" w:rsidRDefault="005F55A8" w:rsidP="00244A49">
      <w:pPr>
        <w:tabs>
          <w:tab w:val="left" w:pos="360"/>
        </w:tabs>
        <w:ind w:left="360" w:hanging="360"/>
      </w:pPr>
      <w:r>
        <w:t>1</w:t>
      </w:r>
      <w:r w:rsidR="00244A49">
        <w:t>)</w:t>
      </w:r>
      <w:r w:rsidR="00244A49">
        <w:tab/>
      </w:r>
      <w:r w:rsidR="0011166B">
        <w:t>Refine the data collection tool</w:t>
      </w:r>
      <w:r w:rsidR="00500952">
        <w:t xml:space="preserve">, known as </w:t>
      </w:r>
      <w:r w:rsidR="00500952" w:rsidRPr="00500952">
        <w:rPr>
          <w:i/>
        </w:rPr>
        <w:t xml:space="preserve">The </w:t>
      </w:r>
      <w:r w:rsidR="00ED1101">
        <w:rPr>
          <w:i/>
        </w:rPr>
        <w:t>Assisted Living Provider Information Tool for Consumer Education</w:t>
      </w:r>
      <w:r w:rsidR="00500952">
        <w:t>,</w:t>
      </w:r>
      <w:r w:rsidR="0011166B">
        <w:t xml:space="preserve"> through pre-testing with a sample of ALFs; and</w:t>
      </w:r>
    </w:p>
    <w:p w:rsidR="00EC65CC" w:rsidRPr="00527BBD" w:rsidRDefault="005F55A8" w:rsidP="00244A49">
      <w:pPr>
        <w:tabs>
          <w:tab w:val="left" w:pos="360"/>
        </w:tabs>
        <w:ind w:left="360" w:hanging="360"/>
      </w:pPr>
      <w:r>
        <w:t>2</w:t>
      </w:r>
      <w:r w:rsidR="00244A49">
        <w:t>)</w:t>
      </w:r>
      <w:r w:rsidR="00244A49">
        <w:tab/>
      </w:r>
      <w:r w:rsidR="0011166B">
        <w:t xml:space="preserve">Make the data collection tool </w:t>
      </w:r>
      <w:r w:rsidR="00CD3112">
        <w:t xml:space="preserve">publically </w:t>
      </w:r>
      <w:r w:rsidR="0011166B">
        <w:t xml:space="preserve">available </w:t>
      </w:r>
      <w:r w:rsidR="00CD3112">
        <w:t>through the AHRQ website</w:t>
      </w:r>
      <w:r w:rsidR="00EC65CC">
        <w:t xml:space="preserve"> so that consumer intermediaries (e.g., state regulators, aging agencies, provider trade groups, etc.) can use the tested tool to obtain (and ultimately make available) standardized information on all ALFs in an area – thus enabling consumers to better chose an ALF that meets their needs</w:t>
      </w:r>
      <w:r w:rsidR="0011166B">
        <w:t>.</w:t>
      </w:r>
    </w:p>
    <w:p w:rsidR="00244A49" w:rsidRDefault="00244A49" w:rsidP="00244A49"/>
    <w:p w:rsidR="00244A49" w:rsidRDefault="00244A49" w:rsidP="00404C6B">
      <w:pPr>
        <w:keepNext/>
      </w:pPr>
      <w:r>
        <w:t xml:space="preserve">To achieve the goals of this project the following data collection will be </w:t>
      </w:r>
      <w:r w:rsidR="00E83EB0">
        <w:t>undertaken</w:t>
      </w:r>
      <w:r>
        <w:t>:</w:t>
      </w:r>
    </w:p>
    <w:p w:rsidR="00FC705C" w:rsidRDefault="00FC705C" w:rsidP="00404C6B">
      <w:pPr>
        <w:keepNext/>
        <w:tabs>
          <w:tab w:val="left" w:pos="360"/>
        </w:tabs>
        <w:ind w:left="360" w:hanging="360"/>
      </w:pPr>
    </w:p>
    <w:p w:rsidR="00244A49" w:rsidRDefault="00244A49" w:rsidP="00404C6B">
      <w:pPr>
        <w:keepNext/>
        <w:tabs>
          <w:tab w:val="left" w:pos="360"/>
        </w:tabs>
        <w:ind w:left="360" w:hanging="360"/>
      </w:pPr>
      <w:r>
        <w:t>1)</w:t>
      </w:r>
      <w:r>
        <w:tab/>
      </w:r>
      <w:r w:rsidR="00356292">
        <w:t>Telephone verification</w:t>
      </w:r>
      <w:r w:rsidR="00827FF8">
        <w:t xml:space="preserve"> (Attachment </w:t>
      </w:r>
      <w:r w:rsidR="004557C2">
        <w:t>C</w:t>
      </w:r>
      <w:r w:rsidR="00827FF8">
        <w:t>)</w:t>
      </w:r>
      <w:r w:rsidR="00286ED6">
        <w:t>.  T</w:t>
      </w:r>
      <w:r w:rsidR="00D511D4">
        <w:t xml:space="preserve">he purpose of the telephone verification is to </w:t>
      </w:r>
      <w:r w:rsidR="0011166B">
        <w:t xml:space="preserve">ensure </w:t>
      </w:r>
      <w:r w:rsidR="00AD7483">
        <w:t xml:space="preserve">that </w:t>
      </w:r>
      <w:r w:rsidR="0011166B">
        <w:t xml:space="preserve">the most current mailing address of each ALF is utilized for the </w:t>
      </w:r>
      <w:r w:rsidR="00E83EB0">
        <w:t xml:space="preserve">survey </w:t>
      </w:r>
      <w:r w:rsidR="0011166B">
        <w:t>pre-test</w:t>
      </w:r>
      <w:r w:rsidR="00E83EB0">
        <w:t>,</w:t>
      </w:r>
      <w:r w:rsidR="0011166B">
        <w:t xml:space="preserve"> and to </w:t>
      </w:r>
      <w:r w:rsidR="00AD7483">
        <w:t>o</w:t>
      </w:r>
      <w:r w:rsidR="0011166B">
        <w:t xml:space="preserve">btain the name of the </w:t>
      </w:r>
      <w:r w:rsidR="00EE5BE5">
        <w:t xml:space="preserve">current </w:t>
      </w:r>
      <w:r w:rsidR="0011166B">
        <w:t>Administrator or Executive Director</w:t>
      </w:r>
      <w:r w:rsidR="00286ED6">
        <w:t xml:space="preserve"> of the ALF</w:t>
      </w:r>
      <w:r w:rsidR="0011166B">
        <w:t xml:space="preserve"> so the </w:t>
      </w:r>
      <w:r w:rsidR="00E83EB0">
        <w:t xml:space="preserve">mailed </w:t>
      </w:r>
      <w:r w:rsidR="0011166B">
        <w:t>pre-test survey can be addressed directly to that person;</w:t>
      </w:r>
      <w:r w:rsidR="00286ED6">
        <w:t xml:space="preserve"> and</w:t>
      </w:r>
    </w:p>
    <w:p w:rsidR="00FC705C" w:rsidRDefault="00FC705C" w:rsidP="00404C6B">
      <w:pPr>
        <w:keepNext/>
        <w:tabs>
          <w:tab w:val="left" w:pos="360"/>
        </w:tabs>
        <w:ind w:left="360" w:hanging="360"/>
      </w:pPr>
    </w:p>
    <w:p w:rsidR="00244A49" w:rsidRDefault="00D511D4" w:rsidP="00283388">
      <w:pPr>
        <w:keepNext/>
        <w:numPr>
          <w:ilvl w:val="0"/>
          <w:numId w:val="5"/>
        </w:numPr>
      </w:pPr>
      <w:r>
        <w:t>Pre</w:t>
      </w:r>
      <w:r w:rsidR="00AD7483">
        <w:t>-</w:t>
      </w:r>
      <w:r>
        <w:t xml:space="preserve">test of the </w:t>
      </w:r>
      <w:r w:rsidR="00ED1101">
        <w:rPr>
          <w:i/>
        </w:rPr>
        <w:t>Assisted Living Provider Information Tool for Consumer Education</w:t>
      </w:r>
      <w:r w:rsidR="005F55A8">
        <w:t xml:space="preserve"> (Attachment </w:t>
      </w:r>
      <w:r w:rsidR="004557C2">
        <w:t>D</w:t>
      </w:r>
      <w:r w:rsidR="005F55A8">
        <w:t>)</w:t>
      </w:r>
      <w:r w:rsidRPr="00D6499B">
        <w:t xml:space="preserve">.  </w:t>
      </w:r>
      <w:r w:rsidR="005F55A8">
        <w:t xml:space="preserve">The data collection </w:t>
      </w:r>
      <w:r w:rsidR="005F55A8" w:rsidRPr="00952584">
        <w:t xml:space="preserve">will </w:t>
      </w:r>
      <w:r w:rsidR="005F55A8">
        <w:t>include</w:t>
      </w:r>
      <w:r w:rsidR="005F55A8" w:rsidRPr="00952584">
        <w:t xml:space="preserve"> information on several topics of interest to consumers including services available </w:t>
      </w:r>
      <w:r w:rsidR="005F55A8">
        <w:t xml:space="preserve">in </w:t>
      </w:r>
      <w:r w:rsidR="00716943">
        <w:t xml:space="preserve">ALFs </w:t>
      </w:r>
      <w:r w:rsidR="005F55A8" w:rsidRPr="00952584">
        <w:t xml:space="preserve">and costs of those services, criteria for moving into and out of </w:t>
      </w:r>
      <w:r w:rsidR="005F55A8">
        <w:t>an</w:t>
      </w:r>
      <w:r w:rsidR="005F55A8" w:rsidRPr="00952584">
        <w:t xml:space="preserve"> </w:t>
      </w:r>
      <w:r w:rsidR="005F55A8">
        <w:t xml:space="preserve">ALF, </w:t>
      </w:r>
      <w:r w:rsidR="005F55A8" w:rsidRPr="00952584">
        <w:t xml:space="preserve">resident’s rights, house rules, life safety features, staffing within the </w:t>
      </w:r>
      <w:r w:rsidR="005F55A8">
        <w:t xml:space="preserve">ALF, </w:t>
      </w:r>
      <w:r w:rsidR="005F55A8" w:rsidRPr="00952584">
        <w:t>and the availability of dementia care</w:t>
      </w:r>
      <w:r w:rsidR="005F55A8">
        <w:t xml:space="preserve"> services within the ALF. </w:t>
      </w:r>
      <w:r w:rsidRPr="00D6499B">
        <w:t>The purpose of the pre</w:t>
      </w:r>
      <w:r w:rsidR="00AD7483">
        <w:t>-</w:t>
      </w:r>
      <w:r w:rsidRPr="00D6499B">
        <w:t xml:space="preserve">test is to </w:t>
      </w:r>
      <w:r w:rsidR="0011166B" w:rsidRPr="00D6499B">
        <w:t xml:space="preserve">assess the utility of the data collection </w:t>
      </w:r>
      <w:r w:rsidR="00E83EB0">
        <w:t xml:space="preserve">tool </w:t>
      </w:r>
      <w:r w:rsidR="0011166B" w:rsidRPr="00D6499B">
        <w:t>as well as the feasibility for its implementation.</w:t>
      </w:r>
      <w:r w:rsidR="005F55A8">
        <w:t xml:space="preserve">  </w:t>
      </w:r>
    </w:p>
    <w:p w:rsidR="00D6499B" w:rsidRPr="00D6499B" w:rsidRDefault="00D6499B" w:rsidP="00D6499B">
      <w:pPr>
        <w:tabs>
          <w:tab w:val="left" w:pos="360"/>
        </w:tabs>
      </w:pPr>
    </w:p>
    <w:p w:rsidR="00244A49" w:rsidRDefault="00244A49" w:rsidP="00244A49">
      <w:r w:rsidRPr="00527BBD">
        <w:t xml:space="preserve">This study is being conducted by AHRQ through its contractor, </w:t>
      </w:r>
      <w:r w:rsidR="0011166B">
        <w:t>Abt Associates Inc.</w:t>
      </w:r>
      <w:r w:rsidR="00081FD4">
        <w:t>,</w:t>
      </w:r>
      <w:r w:rsidR="004927D7">
        <w:t xml:space="preserve"> </w:t>
      </w:r>
      <w:r w:rsidRPr="00527BBD">
        <w:t>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009B633D" w:rsidRPr="00983636" w:rsidRDefault="009B633D" w:rsidP="009B633D">
      <w:pPr>
        <w:pStyle w:val="Heading2"/>
        <w:rPr>
          <w:sz w:val="24"/>
        </w:rPr>
      </w:pPr>
      <w:r w:rsidRPr="00983636">
        <w:rPr>
          <w:sz w:val="24"/>
        </w:rPr>
        <w:t>2. Purpose and Use of Information</w:t>
      </w:r>
      <w:bookmarkEnd w:id="4"/>
      <w:bookmarkEnd w:id="5"/>
    </w:p>
    <w:p w:rsidR="009C048E" w:rsidRDefault="00D500ED" w:rsidP="009C048E">
      <w:pPr>
        <w:autoSpaceDE w:val="0"/>
        <w:autoSpaceDN w:val="0"/>
        <w:adjustRightInd w:val="0"/>
        <w:rPr>
          <w:rFonts w:ascii="Tms Rmn" w:hAnsi="Tms Rmn" w:cs="Tms Rmn"/>
          <w:color w:val="000000"/>
        </w:rPr>
      </w:pPr>
      <w:bookmarkStart w:id="6" w:name="_Toc151782178"/>
      <w:bookmarkStart w:id="7" w:name="_Toc158526218"/>
      <w:r w:rsidRPr="00C33838">
        <w:t xml:space="preserve">This is a </w:t>
      </w:r>
      <w:r w:rsidR="00C33838">
        <w:t>one-</w:t>
      </w:r>
      <w:r w:rsidRPr="00C33838">
        <w:t>time data collection</w:t>
      </w:r>
      <w:r w:rsidR="00C33838">
        <w:t>.</w:t>
      </w:r>
      <w:r w:rsidR="0011166B">
        <w:t xml:space="preserve">  The data that will be collected through this effort will be used to make final refinements to the </w:t>
      </w:r>
      <w:r w:rsidR="00ED1101">
        <w:rPr>
          <w:i/>
        </w:rPr>
        <w:t>Assisted Living Provider Information Tool for Consumer Education</w:t>
      </w:r>
      <w:r w:rsidR="0011166B">
        <w:t xml:space="preserve"> and to make adjustments to the </w:t>
      </w:r>
      <w:r w:rsidR="00FD62DD">
        <w:t xml:space="preserve">recommended </w:t>
      </w:r>
      <w:r w:rsidR="0011166B">
        <w:t xml:space="preserve">processes for implementing </w:t>
      </w:r>
      <w:r w:rsidR="00FD62DD">
        <w:t xml:space="preserve">a </w:t>
      </w:r>
      <w:r w:rsidR="0011166B">
        <w:t>similar data collection</w:t>
      </w:r>
      <w:r w:rsidR="00FD62DD">
        <w:t xml:space="preserve"> effort on a broader basis.</w:t>
      </w:r>
      <w:r w:rsidR="00C33838">
        <w:t xml:space="preserve">  </w:t>
      </w:r>
    </w:p>
    <w:p w:rsidR="009B633D" w:rsidRPr="00983636" w:rsidRDefault="009B633D" w:rsidP="009B633D">
      <w:pPr>
        <w:pStyle w:val="Heading2"/>
        <w:rPr>
          <w:sz w:val="24"/>
        </w:rPr>
      </w:pPr>
      <w:r w:rsidRPr="00983636">
        <w:rPr>
          <w:sz w:val="24"/>
        </w:rPr>
        <w:t>3. Use of Improved Information Technology</w:t>
      </w:r>
      <w:bookmarkEnd w:id="6"/>
      <w:bookmarkEnd w:id="7"/>
    </w:p>
    <w:p w:rsidR="00C33838" w:rsidRPr="00C33838" w:rsidRDefault="00CD0AB0" w:rsidP="00C33838">
      <w:r>
        <w:t xml:space="preserve">When </w:t>
      </w:r>
      <w:r w:rsidR="00FD62DD">
        <w:t xml:space="preserve">this data collection is </w:t>
      </w:r>
      <w:r>
        <w:t>implemented nationally through State agencies</w:t>
      </w:r>
      <w:r w:rsidR="00FD62DD">
        <w:t xml:space="preserve"> or other </w:t>
      </w:r>
      <w:smartTag w:uri="urn:schemas-microsoft-com:office:smarttags" w:element="place">
        <w:smartTag w:uri="urn:schemas-microsoft-com:office:smarttags" w:element="State">
          <w:r w:rsidR="00FD62DD">
            <w:t>AL</w:t>
          </w:r>
        </w:smartTag>
      </w:smartTag>
      <w:r w:rsidR="00FD62DD">
        <w:t xml:space="preserve"> entities</w:t>
      </w:r>
      <w:r>
        <w:t xml:space="preserve">, it is likely that data collection will be conducted via a </w:t>
      </w:r>
      <w:r w:rsidR="00E83EB0">
        <w:t xml:space="preserve">mailed </w:t>
      </w:r>
      <w:r>
        <w:t xml:space="preserve">paper survey.  </w:t>
      </w:r>
      <w:r w:rsidR="00E83EB0">
        <w:t xml:space="preserve">Therefore, </w:t>
      </w:r>
      <w:r>
        <w:t>our data collection effort centers on the process of a mail survey and does not involve the use of electronic data collection methods.</w:t>
      </w:r>
    </w:p>
    <w:p w:rsidR="009B633D" w:rsidRDefault="009B633D" w:rsidP="009B633D">
      <w:pPr>
        <w:pStyle w:val="Heading2"/>
        <w:rPr>
          <w:sz w:val="24"/>
        </w:rPr>
      </w:pPr>
      <w:bookmarkStart w:id="8" w:name="_Toc151782179"/>
      <w:bookmarkStart w:id="9" w:name="_Toc158526219"/>
      <w:r w:rsidRPr="00983636">
        <w:rPr>
          <w:sz w:val="24"/>
        </w:rPr>
        <w:t>4. Efforts to Identify Duplication</w:t>
      </w:r>
      <w:bookmarkEnd w:id="8"/>
      <w:bookmarkEnd w:id="9"/>
    </w:p>
    <w:p w:rsidR="00CD0964" w:rsidRDefault="00EC65CC" w:rsidP="00CD0964">
      <w:pPr>
        <w:autoSpaceDE w:val="0"/>
        <w:autoSpaceDN w:val="0"/>
        <w:adjustRightInd w:val="0"/>
        <w:rPr>
          <w:rFonts w:ascii="Tms Rmn" w:hAnsi="Tms Rmn" w:cs="Tms Rmn"/>
          <w:color w:val="000000"/>
        </w:rPr>
      </w:pPr>
      <w:r>
        <w:rPr>
          <w:rFonts w:ascii="Tms Rmn" w:hAnsi="Tms Rmn" w:cs="Tms Rmn"/>
          <w:color w:val="000000"/>
        </w:rPr>
        <w:t xml:space="preserve">A thorough review of the existing literature did not reveal any similar efforts. </w:t>
      </w:r>
      <w:r w:rsidR="00CD0964">
        <w:rPr>
          <w:rFonts w:ascii="Tms Rmn" w:hAnsi="Tms Rmn" w:cs="Tms Rmn"/>
          <w:color w:val="000000"/>
        </w:rPr>
        <w:t xml:space="preserve">While there is some existing literature that describes </w:t>
      </w:r>
      <w:r w:rsidR="008A410F">
        <w:rPr>
          <w:rFonts w:ascii="Tms Rmn" w:hAnsi="Tms Rmn" w:cs="Tms Rmn"/>
          <w:color w:val="000000"/>
        </w:rPr>
        <w:t>ALFs</w:t>
      </w:r>
      <w:r w:rsidR="00AD7483">
        <w:rPr>
          <w:rFonts w:ascii="Tms Rmn" w:hAnsi="Tms Rmn" w:cs="Tms Rmn"/>
          <w:color w:val="000000"/>
        </w:rPr>
        <w:t xml:space="preserve">, that literature </w:t>
      </w:r>
      <w:r w:rsidR="00CD0964">
        <w:rPr>
          <w:rFonts w:ascii="Tms Rmn" w:hAnsi="Tms Rmn" w:cs="Tms Rmn"/>
          <w:color w:val="000000"/>
        </w:rPr>
        <w:t xml:space="preserve">does not address the </w:t>
      </w:r>
      <w:r w:rsidR="00FD62DD">
        <w:rPr>
          <w:rFonts w:ascii="Tms Rmn" w:hAnsi="Tms Rmn" w:cs="Tms Rmn"/>
          <w:color w:val="000000"/>
        </w:rPr>
        <w:t xml:space="preserve">goals </w:t>
      </w:r>
      <w:r w:rsidR="00CD0964">
        <w:rPr>
          <w:rFonts w:ascii="Tms Rmn" w:hAnsi="Tms Rmn" w:cs="Tms Rmn"/>
          <w:color w:val="000000"/>
        </w:rPr>
        <w:t xml:space="preserve">of this </w:t>
      </w:r>
      <w:r w:rsidR="009C048E">
        <w:rPr>
          <w:rFonts w:ascii="Tms Rmn" w:hAnsi="Tms Rmn" w:cs="Tms Rmn"/>
          <w:color w:val="000000"/>
        </w:rPr>
        <w:t>data collection effort</w:t>
      </w:r>
      <w:r>
        <w:rPr>
          <w:rFonts w:ascii="Tms Rmn" w:hAnsi="Tms Rmn" w:cs="Tms Rmn"/>
          <w:color w:val="000000"/>
        </w:rPr>
        <w:t xml:space="preserve"> (</w:t>
      </w:r>
      <w:r w:rsidR="00625F99">
        <w:rPr>
          <w:rFonts w:ascii="Tms Rmn" w:hAnsi="Tms Rmn" w:cs="Tms Rmn"/>
          <w:color w:val="000000"/>
        </w:rPr>
        <w:t xml:space="preserve">i.e., </w:t>
      </w:r>
      <w:r>
        <w:rPr>
          <w:rFonts w:ascii="Tms Rmn" w:hAnsi="Tms Rmn" w:cs="Tms Rmn"/>
          <w:color w:val="000000"/>
        </w:rPr>
        <w:t>to develop</w:t>
      </w:r>
      <w:r w:rsidR="00625F99">
        <w:rPr>
          <w:rFonts w:ascii="Tms Rmn" w:hAnsi="Tms Rmn" w:cs="Tms Rmn"/>
          <w:color w:val="000000"/>
        </w:rPr>
        <w:t>,</w:t>
      </w:r>
      <w:r>
        <w:rPr>
          <w:rFonts w:ascii="Tms Rmn" w:hAnsi="Tms Rmn" w:cs="Tms Rmn"/>
          <w:color w:val="000000"/>
        </w:rPr>
        <w:t xml:space="preserve"> </w:t>
      </w:r>
      <w:r w:rsidR="00824440">
        <w:rPr>
          <w:rFonts w:ascii="Tms Rmn" w:hAnsi="Tms Rmn" w:cs="Tms Rmn"/>
          <w:color w:val="000000"/>
        </w:rPr>
        <w:t>via consensus</w:t>
      </w:r>
      <w:r w:rsidR="00625F99">
        <w:rPr>
          <w:rFonts w:ascii="Tms Rmn" w:hAnsi="Tms Rmn" w:cs="Tms Rmn"/>
          <w:color w:val="000000"/>
        </w:rPr>
        <w:t>,</w:t>
      </w:r>
      <w:r w:rsidR="00824440">
        <w:rPr>
          <w:rFonts w:ascii="Tms Rmn" w:hAnsi="Tms Rmn" w:cs="Tms Rmn"/>
          <w:color w:val="000000"/>
        </w:rPr>
        <w:t xml:space="preserve"> </w:t>
      </w:r>
      <w:r>
        <w:rPr>
          <w:rFonts w:ascii="Tms Rmn" w:hAnsi="Tms Rmn" w:cs="Tms Rmn"/>
          <w:color w:val="000000"/>
        </w:rPr>
        <w:t>a tested instrument that can be used by consumer intermed</w:t>
      </w:r>
      <w:r w:rsidR="00824440">
        <w:rPr>
          <w:rFonts w:ascii="Tms Rmn" w:hAnsi="Tms Rmn" w:cs="Tms Rmn"/>
          <w:color w:val="000000"/>
        </w:rPr>
        <w:t>ia</w:t>
      </w:r>
      <w:r>
        <w:rPr>
          <w:rFonts w:ascii="Tms Rmn" w:hAnsi="Tms Rmn" w:cs="Tms Rmn"/>
          <w:color w:val="000000"/>
        </w:rPr>
        <w:t xml:space="preserve">ries </w:t>
      </w:r>
      <w:r w:rsidR="00824440">
        <w:rPr>
          <w:rFonts w:ascii="Tms Rmn" w:hAnsi="Tms Rmn" w:cs="Tms Rmn"/>
          <w:color w:val="000000"/>
        </w:rPr>
        <w:t>to obtain/make available standardized information on a census of ALFs)</w:t>
      </w:r>
      <w:r w:rsidR="00194B00">
        <w:rPr>
          <w:rFonts w:ascii="Tms Rmn" w:hAnsi="Tms Rmn" w:cs="Tms Rmn"/>
          <w:color w:val="000000"/>
        </w:rPr>
        <w:t xml:space="preserve">. </w:t>
      </w:r>
    </w:p>
    <w:p w:rsidR="00824440" w:rsidRDefault="00824440" w:rsidP="00CD0964">
      <w:pPr>
        <w:autoSpaceDE w:val="0"/>
        <w:autoSpaceDN w:val="0"/>
        <w:adjustRightInd w:val="0"/>
        <w:rPr>
          <w:rFonts w:ascii="Tms Rmn" w:hAnsi="Tms Rmn" w:cs="Tms Rmn"/>
          <w:color w:val="000000"/>
        </w:rPr>
      </w:pPr>
    </w:p>
    <w:p w:rsidR="00824440" w:rsidRDefault="00824440" w:rsidP="00CD0964">
      <w:pPr>
        <w:autoSpaceDE w:val="0"/>
        <w:autoSpaceDN w:val="0"/>
        <w:adjustRightInd w:val="0"/>
        <w:rPr>
          <w:rFonts w:ascii="Tms Rmn" w:hAnsi="Tms Rmn" w:cs="Tms Rmn"/>
          <w:color w:val="000000"/>
        </w:rPr>
      </w:pPr>
      <w:r>
        <w:rPr>
          <w:rFonts w:ascii="Tms Rmn" w:hAnsi="Tms Rmn" w:cs="Tms Rmn"/>
          <w:color w:val="000000"/>
        </w:rPr>
        <w:t xml:space="preserve">There are some similarities between this pre-test and the recent National Survey of Residential Care Facilities (NSRCF) conducted by the National Center for Health Statistics. Both efforts use the same conceptual definition of a residential care facility (referred to as “assisted living” </w:t>
      </w:r>
      <w:r w:rsidR="00C20D5F">
        <w:rPr>
          <w:rFonts w:ascii="Tms Rmn" w:hAnsi="Tms Rmn" w:cs="Tms Rmn"/>
          <w:color w:val="000000"/>
        </w:rPr>
        <w:t>here</w:t>
      </w:r>
      <w:r>
        <w:rPr>
          <w:rFonts w:ascii="Tms Rmn" w:hAnsi="Tms Rmn" w:cs="Tms Rmn"/>
          <w:color w:val="000000"/>
        </w:rPr>
        <w:t xml:space="preserve">)(with the </w:t>
      </w:r>
      <w:r w:rsidR="00625F99">
        <w:rPr>
          <w:rFonts w:ascii="Tms Rmn" w:hAnsi="Tms Rmn" w:cs="Tms Rmn"/>
          <w:color w:val="000000"/>
        </w:rPr>
        <w:t xml:space="preserve">minor </w:t>
      </w:r>
      <w:r>
        <w:rPr>
          <w:rFonts w:ascii="Tms Rmn" w:hAnsi="Tms Rmn" w:cs="Tms Rmn"/>
          <w:color w:val="000000"/>
        </w:rPr>
        <w:t>exception that the NSRCF’s includes facilities with 4 or 5 beds</w:t>
      </w:r>
      <w:r w:rsidR="00194B00">
        <w:rPr>
          <w:rFonts w:ascii="Tms Rmn" w:hAnsi="Tms Rmn" w:cs="Tms Rmn"/>
          <w:color w:val="000000"/>
        </w:rPr>
        <w:t xml:space="preserve">, </w:t>
      </w:r>
      <w:r w:rsidR="00C20D5F">
        <w:rPr>
          <w:rFonts w:ascii="Tms Rmn" w:hAnsi="Tms Rmn" w:cs="Tms Rmn"/>
          <w:color w:val="000000"/>
        </w:rPr>
        <w:t xml:space="preserve">and </w:t>
      </w:r>
      <w:r w:rsidR="00877978">
        <w:rPr>
          <w:rFonts w:ascii="Tms Rmn" w:hAnsi="Tms Rmn" w:cs="Tms Rmn"/>
          <w:color w:val="000000"/>
        </w:rPr>
        <w:t>these are excluded from this pre-test).  Both use similar methods to construct the sampling frame</w:t>
      </w:r>
      <w:r>
        <w:rPr>
          <w:rFonts w:ascii="Tms Rmn" w:hAnsi="Tms Rmn" w:cs="Tms Rmn"/>
          <w:color w:val="000000"/>
        </w:rPr>
        <w:t xml:space="preserve"> </w:t>
      </w:r>
      <w:r w:rsidR="00877978">
        <w:rPr>
          <w:rFonts w:ascii="Tms Rmn" w:hAnsi="Tms Rmn" w:cs="Tms Rmn"/>
          <w:color w:val="000000"/>
        </w:rPr>
        <w:t>(see “</w:t>
      </w:r>
      <w:r w:rsidR="00877978" w:rsidRPr="00877978">
        <w:rPr>
          <w:rFonts w:ascii="Tms Rmn" w:hAnsi="Tms Rmn" w:cs="Tms Rmn"/>
          <w:color w:val="000000"/>
        </w:rPr>
        <w:t>National Survey of Residential Care Facilities: Sample Frame Construction and Benchmarking Report</w:t>
      </w:r>
      <w:r w:rsidR="00877978">
        <w:rPr>
          <w:rFonts w:ascii="Tms Rmn" w:hAnsi="Tms Rmn" w:cs="Tms Rmn"/>
          <w:color w:val="000000"/>
        </w:rPr>
        <w:t>, 2010</w:t>
      </w:r>
      <w:r w:rsidR="00625F99">
        <w:rPr>
          <w:rFonts w:ascii="Tms Rmn" w:hAnsi="Tms Rmn" w:cs="Tms Rmn"/>
          <w:color w:val="000000"/>
        </w:rPr>
        <w:t xml:space="preserve">”).  The major difference between the two is that the NSRCFs is a multi-purpose </w:t>
      </w:r>
      <w:r w:rsidR="00C20D5F">
        <w:rPr>
          <w:rFonts w:ascii="Tms Rmn" w:hAnsi="Tms Rmn" w:cs="Tms Rmn"/>
          <w:color w:val="000000"/>
        </w:rPr>
        <w:t xml:space="preserve">research survey, </w:t>
      </w:r>
      <w:r w:rsidR="00625F99">
        <w:rPr>
          <w:rFonts w:ascii="Tms Rmn" w:hAnsi="Tms Rmn" w:cs="Tms Rmn"/>
          <w:color w:val="000000"/>
        </w:rPr>
        <w:t xml:space="preserve">while this effort is a large scale test of an AL provider tool designed to (ultimately) collect information for </w:t>
      </w:r>
      <w:r w:rsidR="00C20D5F">
        <w:rPr>
          <w:rFonts w:ascii="Tms Rmn" w:hAnsi="Tms Rmn" w:cs="Tms Rmn"/>
          <w:color w:val="000000"/>
        </w:rPr>
        <w:t xml:space="preserve">an area’s </w:t>
      </w:r>
      <w:r w:rsidR="00625F99">
        <w:rPr>
          <w:rFonts w:ascii="Tms Rmn" w:hAnsi="Tms Rmn" w:cs="Tms Rmn"/>
          <w:color w:val="000000"/>
        </w:rPr>
        <w:t>census of ALFs</w:t>
      </w:r>
      <w:r w:rsidR="00C20D5F">
        <w:rPr>
          <w:rFonts w:ascii="Tms Rmn" w:hAnsi="Tms Rmn" w:cs="Tms Rmn"/>
          <w:color w:val="000000"/>
        </w:rPr>
        <w:t>.</w:t>
      </w:r>
      <w:r w:rsidR="00625F99">
        <w:rPr>
          <w:rFonts w:ascii="Tms Rmn" w:hAnsi="Tms Rmn" w:cs="Tms Rmn"/>
          <w:color w:val="000000"/>
        </w:rPr>
        <w:t xml:space="preserve"> </w:t>
      </w:r>
    </w:p>
    <w:p w:rsidR="00F60488" w:rsidRPr="00A322F4" w:rsidRDefault="009B633D" w:rsidP="00A322F4">
      <w:pPr>
        <w:pStyle w:val="Heading2"/>
        <w:rPr>
          <w:sz w:val="24"/>
        </w:rPr>
      </w:pPr>
      <w:bookmarkStart w:id="10" w:name="_Toc151782180"/>
      <w:bookmarkStart w:id="11" w:name="_Toc158526220"/>
      <w:r w:rsidRPr="00A322F4">
        <w:rPr>
          <w:sz w:val="24"/>
        </w:rPr>
        <w:t>5. Involvement of Small Entities</w:t>
      </w:r>
      <w:bookmarkEnd w:id="10"/>
      <w:bookmarkEnd w:id="11"/>
    </w:p>
    <w:p w:rsidR="003F62EF" w:rsidRPr="00B27676" w:rsidRDefault="009F1E75" w:rsidP="009C048E">
      <w:pPr>
        <w:spacing w:before="100" w:beforeAutospacing="1" w:after="100" w:afterAutospacing="1"/>
      </w:pPr>
      <w:r>
        <w:t xml:space="preserve">Some of </w:t>
      </w:r>
      <w:r w:rsidRPr="00AF0287">
        <w:t xml:space="preserve">the </w:t>
      </w:r>
      <w:r w:rsidR="008A410F" w:rsidRPr="00AF0287">
        <w:t>ALFs</w:t>
      </w:r>
      <w:r w:rsidR="0031488E" w:rsidRPr="00AF0287">
        <w:t xml:space="preserve"> </w:t>
      </w:r>
      <w:r w:rsidRPr="00AF0287">
        <w:t>involved</w:t>
      </w:r>
      <w:r>
        <w:t xml:space="preserve"> in this research may be considered to be small businesses.  </w:t>
      </w:r>
      <w:r w:rsidR="00E83EB0">
        <w:t>T</w:t>
      </w:r>
      <w:r>
        <w:t xml:space="preserve">he data collection tools have </w:t>
      </w:r>
      <w:r w:rsidR="00E83EB0">
        <w:t xml:space="preserve">therefore </w:t>
      </w:r>
      <w:r>
        <w:t xml:space="preserve">been designed to minimize the burden to all participating </w:t>
      </w:r>
      <w:r w:rsidR="00FD08E8">
        <w:t>ALFs</w:t>
      </w:r>
      <w:r>
        <w:t xml:space="preserve">.  </w:t>
      </w:r>
      <w:r w:rsidR="009C048E">
        <w:t xml:space="preserve">  </w:t>
      </w:r>
      <w:r w:rsidR="003F62EF" w:rsidRPr="00B27676">
        <w:t xml:space="preserve"> </w:t>
      </w:r>
    </w:p>
    <w:p w:rsidR="009B633D" w:rsidRPr="00983636" w:rsidRDefault="009B633D" w:rsidP="009B633D">
      <w:pPr>
        <w:pStyle w:val="Heading2"/>
        <w:rPr>
          <w:sz w:val="24"/>
        </w:rPr>
      </w:pPr>
      <w:bookmarkStart w:id="12" w:name="_Toc151782181"/>
      <w:bookmarkStart w:id="13" w:name="_Toc158526221"/>
      <w:r w:rsidRPr="00983636">
        <w:rPr>
          <w:sz w:val="24"/>
        </w:rPr>
        <w:t>6. Consequences if Information Collected Less Frequently</w:t>
      </w:r>
      <w:bookmarkEnd w:id="12"/>
      <w:bookmarkEnd w:id="13"/>
    </w:p>
    <w:p w:rsidR="00105A83" w:rsidRPr="00105A83" w:rsidRDefault="00105A83" w:rsidP="00105A83">
      <w:bookmarkStart w:id="14" w:name="_Toc151782182"/>
      <w:bookmarkStart w:id="15" w:name="_Toc158526222"/>
      <w:r>
        <w:t xml:space="preserve">This is a one-time </w:t>
      </w:r>
      <w:r w:rsidR="009C4AA8">
        <w:t xml:space="preserve">data </w:t>
      </w:r>
      <w:r>
        <w:t>collection.</w:t>
      </w:r>
    </w:p>
    <w:p w:rsidR="009B633D" w:rsidRDefault="009B633D" w:rsidP="009B633D">
      <w:pPr>
        <w:pStyle w:val="Heading2"/>
        <w:rPr>
          <w:sz w:val="24"/>
        </w:rPr>
      </w:pPr>
      <w:r w:rsidRPr="00412C6F">
        <w:rPr>
          <w:sz w:val="24"/>
        </w:rPr>
        <w:t>7. Special Circumstances</w:t>
      </w:r>
      <w:bookmarkEnd w:id="14"/>
      <w:bookmarkEnd w:id="15"/>
    </w:p>
    <w:p w:rsidR="009B633D" w:rsidRDefault="009B633D" w:rsidP="009B633D">
      <w:pPr>
        <w:spacing w:before="120"/>
      </w:pPr>
      <w:r w:rsidRPr="004F03D2">
        <w:t>This request is consistent with the general information collection guid</w:t>
      </w:r>
      <w:r>
        <w:t>elines of 5 CFR 1320.5(d)(2).  No special circumstances apply.</w:t>
      </w:r>
    </w:p>
    <w:p w:rsidR="004E3A1B" w:rsidRDefault="009B633D" w:rsidP="00B72021">
      <w:pPr>
        <w:pStyle w:val="Heading2"/>
        <w:rPr>
          <w:sz w:val="24"/>
          <w:szCs w:val="24"/>
        </w:rPr>
      </w:pPr>
      <w:bookmarkStart w:id="16" w:name="_Toc151782183"/>
      <w:bookmarkStart w:id="17" w:name="_Toc158526223"/>
      <w:r w:rsidRPr="00412C6F">
        <w:rPr>
          <w:sz w:val="24"/>
        </w:rPr>
        <w:t>8.</w:t>
      </w:r>
      <w:r w:rsidRPr="004E3A1B">
        <w:rPr>
          <w:sz w:val="24"/>
          <w:szCs w:val="24"/>
        </w:rPr>
        <w:t xml:space="preserve"> </w:t>
      </w:r>
      <w:bookmarkEnd w:id="16"/>
      <w:bookmarkEnd w:id="17"/>
      <w:r w:rsidR="004E3A1B" w:rsidRPr="004E3A1B">
        <w:rPr>
          <w:sz w:val="24"/>
          <w:szCs w:val="24"/>
        </w:rPr>
        <w:t>Federal Register Notice and Outside Consultations</w:t>
      </w:r>
    </w:p>
    <w:p w:rsidR="004E3A1B" w:rsidRDefault="004E3A1B" w:rsidP="00B72021">
      <w:pPr>
        <w:keepNext/>
      </w:pPr>
    </w:p>
    <w:p w:rsidR="00131443" w:rsidRPr="00C56894" w:rsidRDefault="004E3A1B" w:rsidP="00B72021">
      <w:pPr>
        <w:keepNext/>
        <w:rPr>
          <w:rFonts w:ascii="Arial" w:hAnsi="Arial" w:cs="Arial"/>
          <w:b/>
          <w:bCs/>
          <w:i/>
          <w:iCs/>
        </w:rPr>
      </w:pPr>
      <w:r w:rsidRPr="00C56894">
        <w:rPr>
          <w:rFonts w:ascii="Arial" w:hAnsi="Arial" w:cs="Arial"/>
          <w:b/>
          <w:i/>
        </w:rPr>
        <w:t>8.a.</w:t>
      </w:r>
      <w:r w:rsidRPr="00C56894">
        <w:t xml:space="preserve"> </w:t>
      </w:r>
      <w:r w:rsidRPr="00C56894">
        <w:rPr>
          <w:rFonts w:ascii="Arial" w:hAnsi="Arial" w:cs="Arial"/>
          <w:b/>
          <w:bCs/>
          <w:i/>
          <w:iCs/>
        </w:rPr>
        <w:t>Federal Register Notice</w:t>
      </w:r>
    </w:p>
    <w:p w:rsidR="004E3A1B" w:rsidRDefault="00A30D9A" w:rsidP="00B72021">
      <w:pPr>
        <w:keepNext/>
        <w:rPr>
          <w:i/>
        </w:rPr>
      </w:pPr>
      <w:r w:rsidRPr="00C56894">
        <w:t xml:space="preserve">As required by </w:t>
      </w:r>
      <w:r w:rsidR="0037771B" w:rsidRPr="00C56894">
        <w:t>5 CFR 1320.8(d),</w:t>
      </w:r>
      <w:r w:rsidR="00FC12ED">
        <w:t xml:space="preserve"> </w:t>
      </w:r>
      <w:r w:rsidR="0037771B" w:rsidRPr="00C56894">
        <w:t>n</w:t>
      </w:r>
      <w:r w:rsidR="009374DF" w:rsidRPr="00C56894">
        <w:t xml:space="preserve">otice was published in the Federal Register on </w:t>
      </w:r>
      <w:r w:rsidR="00FC12ED">
        <w:t>May 11</w:t>
      </w:r>
      <w:r w:rsidR="00FC12ED" w:rsidRPr="00FC12ED">
        <w:rPr>
          <w:vertAlign w:val="superscript"/>
        </w:rPr>
        <w:t>th</w:t>
      </w:r>
      <w:r w:rsidR="00FC12ED">
        <w:t>, 2011 for 60 days and again for 30 days on July 27</w:t>
      </w:r>
      <w:r w:rsidR="00FC12ED" w:rsidRPr="00FC12ED">
        <w:rPr>
          <w:vertAlign w:val="superscript"/>
        </w:rPr>
        <w:t>th</w:t>
      </w:r>
      <w:r w:rsidR="00FC12ED">
        <w:t>, 2011</w:t>
      </w:r>
      <w:r w:rsidR="00016560" w:rsidRPr="00C56894">
        <w:t xml:space="preserve"> </w:t>
      </w:r>
      <w:r w:rsidR="00620B93" w:rsidRPr="00C56894">
        <w:t>(see A</w:t>
      </w:r>
      <w:r w:rsidR="00EE4455" w:rsidRPr="00C56894">
        <w:t xml:space="preserve">ttachment </w:t>
      </w:r>
      <w:r w:rsidR="004557C2">
        <w:t>E</w:t>
      </w:r>
      <w:r w:rsidR="00016560" w:rsidRPr="00C56894">
        <w:t>)</w:t>
      </w:r>
      <w:r w:rsidR="009374DF" w:rsidRPr="00C56894">
        <w:t xml:space="preserve">.  </w:t>
      </w:r>
      <w:r w:rsidR="00FC12ED">
        <w:t>No comments were received.</w:t>
      </w:r>
    </w:p>
    <w:p w:rsidR="009B633D" w:rsidRDefault="004E3A1B" w:rsidP="00B72021">
      <w:pPr>
        <w:pStyle w:val="Heading2"/>
        <w:rPr>
          <w:sz w:val="24"/>
          <w:szCs w:val="24"/>
        </w:rPr>
      </w:pPr>
      <w:r>
        <w:rPr>
          <w:sz w:val="24"/>
        </w:rPr>
        <w:t xml:space="preserve">8.b.  </w:t>
      </w:r>
      <w:r w:rsidRPr="004E3A1B">
        <w:rPr>
          <w:sz w:val="24"/>
          <w:szCs w:val="24"/>
        </w:rPr>
        <w:t>Outside Consultations</w:t>
      </w:r>
    </w:p>
    <w:p w:rsidR="00FF0537" w:rsidRDefault="00FF0537" w:rsidP="00FF0537">
      <w:r>
        <w:t xml:space="preserve">1. The </w:t>
      </w:r>
      <w:r w:rsidR="00ED1101">
        <w:rPr>
          <w:i/>
        </w:rPr>
        <w:t>Assisted Living Provider Information Tool for Consumer Education</w:t>
      </w:r>
      <w:r>
        <w:rPr>
          <w:i/>
        </w:rPr>
        <w:t xml:space="preserve"> (</w:t>
      </w:r>
      <w:r w:rsidRPr="00472FD9">
        <w:t>the pre-test</w:t>
      </w:r>
      <w:r>
        <w:t xml:space="preserve"> instrument) was developed by AHRQ through a voluntary consensus process with the Center for Excellence in Assisted Living and representatives of </w:t>
      </w:r>
      <w:r w:rsidR="00500952">
        <w:t>n</w:t>
      </w:r>
      <w:r>
        <w:t xml:space="preserve">ational organizations that represent AL providers, consumers and researchers (collectively called the </w:t>
      </w:r>
      <w:r w:rsidR="00500952">
        <w:t>AL</w:t>
      </w:r>
      <w:r>
        <w:t xml:space="preserve"> Disclosure Collaborative).  The following organizations were voting members of the AL Disclosure Collaborative:</w:t>
      </w:r>
    </w:p>
    <w:p w:rsidR="00FF0537" w:rsidRPr="00EE5BE5" w:rsidRDefault="00FF0537" w:rsidP="00283388">
      <w:pPr>
        <w:numPr>
          <w:ilvl w:val="0"/>
          <w:numId w:val="6"/>
        </w:numPr>
        <w:spacing w:before="100" w:beforeAutospacing="1" w:after="100" w:afterAutospacing="1"/>
        <w:ind w:left="876"/>
      </w:pPr>
      <w:r w:rsidRPr="00EE5BE5">
        <w:t>AARP</w:t>
      </w:r>
    </w:p>
    <w:p w:rsidR="00FF0537" w:rsidRPr="00EE5BE5" w:rsidRDefault="00FF0537" w:rsidP="00283388">
      <w:pPr>
        <w:numPr>
          <w:ilvl w:val="0"/>
          <w:numId w:val="6"/>
        </w:numPr>
        <w:spacing w:before="100" w:beforeAutospacing="1" w:after="100" w:afterAutospacing="1"/>
        <w:ind w:left="876"/>
      </w:pPr>
      <w:r w:rsidRPr="00EE5BE5">
        <w:t>Agency for Healthcare Research and Quality</w:t>
      </w:r>
    </w:p>
    <w:p w:rsidR="00FF0537" w:rsidRPr="00EE5BE5" w:rsidRDefault="00FF0537" w:rsidP="00283388">
      <w:pPr>
        <w:numPr>
          <w:ilvl w:val="0"/>
          <w:numId w:val="6"/>
        </w:numPr>
        <w:spacing w:before="100" w:beforeAutospacing="1" w:after="100" w:afterAutospacing="1"/>
        <w:ind w:left="876"/>
      </w:pPr>
      <w:r w:rsidRPr="00EE5BE5">
        <w:t>Alzheimer's Association</w:t>
      </w:r>
    </w:p>
    <w:p w:rsidR="00FF0537" w:rsidRPr="00EE5BE5" w:rsidRDefault="00FF0537" w:rsidP="00283388">
      <w:pPr>
        <w:numPr>
          <w:ilvl w:val="0"/>
          <w:numId w:val="6"/>
        </w:numPr>
        <w:spacing w:before="100" w:beforeAutospacing="1" w:after="100" w:afterAutospacing="1"/>
        <w:ind w:left="876"/>
      </w:pPr>
      <w:r w:rsidRPr="00EE5BE5">
        <w:t>American Association of Homes and Services for the Aging</w:t>
      </w:r>
    </w:p>
    <w:p w:rsidR="00FF0537" w:rsidRPr="00EE5BE5" w:rsidRDefault="00FF0537" w:rsidP="00283388">
      <w:pPr>
        <w:numPr>
          <w:ilvl w:val="0"/>
          <w:numId w:val="6"/>
        </w:numPr>
        <w:spacing w:before="100" w:beforeAutospacing="1" w:after="100" w:afterAutospacing="1"/>
        <w:ind w:left="876"/>
      </w:pPr>
      <w:smartTag w:uri="urn:schemas-microsoft-com:office:smarttags" w:element="place">
        <w:smartTag w:uri="urn:schemas-microsoft-com:office:smarttags" w:element="PlaceName">
          <w:r w:rsidRPr="00EE5BE5">
            <w:t>American</w:t>
          </w:r>
        </w:smartTag>
        <w:r w:rsidRPr="00EE5BE5">
          <w:t xml:space="preserve"> </w:t>
        </w:r>
        <w:smartTag w:uri="urn:schemas-microsoft-com:office:smarttags" w:element="PlaceType">
          <w:r w:rsidRPr="00EE5BE5">
            <w:t>College</w:t>
          </w:r>
        </w:smartTag>
      </w:smartTag>
      <w:r w:rsidRPr="00EE5BE5">
        <w:t xml:space="preserve"> of Health Care Administrators</w:t>
      </w:r>
    </w:p>
    <w:p w:rsidR="00FF0537" w:rsidRPr="00EE5BE5" w:rsidRDefault="00FF0537" w:rsidP="00283388">
      <w:pPr>
        <w:numPr>
          <w:ilvl w:val="0"/>
          <w:numId w:val="6"/>
        </w:numPr>
        <w:spacing w:before="100" w:beforeAutospacing="1" w:after="100" w:afterAutospacing="1"/>
        <w:ind w:left="876"/>
      </w:pPr>
      <w:r w:rsidRPr="00EE5BE5">
        <w:t>American Seniors Housing Association</w:t>
      </w:r>
    </w:p>
    <w:p w:rsidR="00FF0537" w:rsidRPr="00EE5BE5" w:rsidRDefault="00FF0537" w:rsidP="00283388">
      <w:pPr>
        <w:numPr>
          <w:ilvl w:val="0"/>
          <w:numId w:val="6"/>
        </w:numPr>
        <w:spacing w:before="100" w:beforeAutospacing="1" w:after="100" w:afterAutospacing="1"/>
        <w:ind w:left="876"/>
      </w:pPr>
      <w:r w:rsidRPr="00EE5BE5">
        <w:t xml:space="preserve">Assisted Living Federation of </w:t>
      </w:r>
      <w:smartTag w:uri="urn:schemas-microsoft-com:office:smarttags" w:element="place">
        <w:smartTag w:uri="urn:schemas-microsoft-com:office:smarttags" w:element="country-region">
          <w:r w:rsidRPr="00EE5BE5">
            <w:t>America</w:t>
          </w:r>
        </w:smartTag>
      </w:smartTag>
    </w:p>
    <w:p w:rsidR="00FF0537" w:rsidRPr="00EE5BE5" w:rsidRDefault="00FF0537" w:rsidP="00283388">
      <w:pPr>
        <w:numPr>
          <w:ilvl w:val="0"/>
          <w:numId w:val="6"/>
        </w:numPr>
        <w:spacing w:before="100" w:beforeAutospacing="1" w:after="100" w:afterAutospacing="1"/>
        <w:ind w:left="876"/>
      </w:pPr>
      <w:r w:rsidRPr="00EE5BE5">
        <w:t>Commission on Accreditation of Rehabilitation Facilities-Continuing Care Accreditation Commission</w:t>
      </w:r>
    </w:p>
    <w:p w:rsidR="00FF0537" w:rsidRPr="00EE5BE5" w:rsidRDefault="00FF0537" w:rsidP="00283388">
      <w:pPr>
        <w:numPr>
          <w:ilvl w:val="0"/>
          <w:numId w:val="6"/>
        </w:numPr>
        <w:spacing w:before="100" w:beforeAutospacing="1" w:after="100" w:afterAutospacing="1"/>
        <w:ind w:left="876"/>
      </w:pPr>
      <w:r w:rsidRPr="00EE5BE5">
        <w:t>Consumer Consortium on Assisted Living</w:t>
      </w:r>
    </w:p>
    <w:p w:rsidR="00FF0537" w:rsidRPr="00EE5BE5" w:rsidRDefault="00FF0537" w:rsidP="00283388">
      <w:pPr>
        <w:numPr>
          <w:ilvl w:val="0"/>
          <w:numId w:val="6"/>
        </w:numPr>
        <w:spacing w:before="100" w:beforeAutospacing="1" w:after="100" w:afterAutospacing="1"/>
        <w:ind w:left="876"/>
      </w:pPr>
      <w:r w:rsidRPr="00EE5BE5">
        <w:t xml:space="preserve">Gerontological Society of </w:t>
      </w:r>
      <w:smartTag w:uri="urn:schemas-microsoft-com:office:smarttags" w:element="place">
        <w:smartTag w:uri="urn:schemas-microsoft-com:office:smarttags" w:element="country-region">
          <w:r w:rsidRPr="00EE5BE5">
            <w:t>America</w:t>
          </w:r>
        </w:smartTag>
      </w:smartTag>
      <w:r w:rsidRPr="00EE5BE5">
        <w:t xml:space="preserve"> Assisted Living-Special Interest Group</w:t>
      </w:r>
    </w:p>
    <w:p w:rsidR="00FF0537" w:rsidRPr="00EE5BE5" w:rsidRDefault="00FF0537" w:rsidP="00283388">
      <w:pPr>
        <w:numPr>
          <w:ilvl w:val="0"/>
          <w:numId w:val="6"/>
        </w:numPr>
        <w:spacing w:before="100" w:beforeAutospacing="1" w:after="100" w:afterAutospacing="1"/>
        <w:ind w:left="876"/>
      </w:pPr>
      <w:r w:rsidRPr="00EE5BE5">
        <w:t>National Association of State Ombudsman Programs</w:t>
      </w:r>
    </w:p>
    <w:p w:rsidR="00FF0537" w:rsidRPr="00EE5BE5" w:rsidRDefault="00FF0537" w:rsidP="00283388">
      <w:pPr>
        <w:numPr>
          <w:ilvl w:val="0"/>
          <w:numId w:val="6"/>
        </w:numPr>
        <w:spacing w:before="100" w:beforeAutospacing="1" w:after="100" w:afterAutospacing="1"/>
        <w:ind w:left="876"/>
      </w:pPr>
      <w:r w:rsidRPr="00EE5BE5">
        <w:t>National Association of State Units on Aging</w:t>
      </w:r>
    </w:p>
    <w:p w:rsidR="00FF0537" w:rsidRPr="00EE5BE5" w:rsidRDefault="00FF0537" w:rsidP="00283388">
      <w:pPr>
        <w:numPr>
          <w:ilvl w:val="0"/>
          <w:numId w:val="6"/>
        </w:numPr>
        <w:spacing w:before="100" w:beforeAutospacing="1" w:after="100" w:afterAutospacing="1"/>
        <w:ind w:left="876"/>
      </w:pPr>
      <w:r w:rsidRPr="00EE5BE5">
        <w:t>National Association of Social Workers</w:t>
      </w:r>
    </w:p>
    <w:p w:rsidR="00FF0537" w:rsidRPr="00EE5BE5" w:rsidRDefault="00FF0537" w:rsidP="00283388">
      <w:pPr>
        <w:numPr>
          <w:ilvl w:val="0"/>
          <w:numId w:val="6"/>
        </w:numPr>
        <w:spacing w:before="100" w:beforeAutospacing="1" w:after="100" w:afterAutospacing="1"/>
        <w:ind w:left="876"/>
      </w:pPr>
      <w:r w:rsidRPr="00EE5BE5">
        <w:t>National Association of Professional Geriatric Managers</w:t>
      </w:r>
    </w:p>
    <w:p w:rsidR="00FF0537" w:rsidRPr="00EE5BE5" w:rsidRDefault="00FF0537" w:rsidP="00283388">
      <w:pPr>
        <w:numPr>
          <w:ilvl w:val="0"/>
          <w:numId w:val="6"/>
        </w:numPr>
        <w:spacing w:before="100" w:beforeAutospacing="1" w:after="100" w:afterAutospacing="1"/>
        <w:ind w:left="876"/>
      </w:pPr>
      <w:smartTag w:uri="urn:schemas-microsoft-com:office:smarttags" w:element="place">
        <w:smartTag w:uri="urn:schemas-microsoft-com:office:smarttags" w:element="PlaceName">
          <w:r w:rsidRPr="00EE5BE5">
            <w:t>National</w:t>
          </w:r>
        </w:smartTag>
        <w:r w:rsidRPr="00EE5BE5">
          <w:t xml:space="preserve"> </w:t>
        </w:r>
        <w:smartTag w:uri="urn:schemas-microsoft-com:office:smarttags" w:element="PlaceType">
          <w:r w:rsidRPr="00EE5BE5">
            <w:t>Center</w:t>
          </w:r>
        </w:smartTag>
      </w:smartTag>
      <w:r w:rsidRPr="00EE5BE5">
        <w:t xml:space="preserve"> for Assisted Living</w:t>
      </w:r>
    </w:p>
    <w:p w:rsidR="00FF0537" w:rsidRPr="00EE5BE5" w:rsidRDefault="00FF0537" w:rsidP="00283388">
      <w:pPr>
        <w:numPr>
          <w:ilvl w:val="0"/>
          <w:numId w:val="6"/>
        </w:numPr>
        <w:spacing w:before="100" w:beforeAutospacing="1" w:after="100" w:afterAutospacing="1"/>
        <w:ind w:left="876"/>
      </w:pPr>
      <w:r w:rsidRPr="00EE5BE5">
        <w:t>NCB Capital Impact</w:t>
      </w:r>
    </w:p>
    <w:p w:rsidR="00FF0537" w:rsidRPr="00EE5BE5" w:rsidRDefault="00FF0537" w:rsidP="00283388">
      <w:pPr>
        <w:numPr>
          <w:ilvl w:val="0"/>
          <w:numId w:val="6"/>
        </w:numPr>
        <w:spacing w:before="100" w:beforeAutospacing="1" w:after="100" w:afterAutospacing="1"/>
        <w:ind w:left="876"/>
      </w:pPr>
      <w:r w:rsidRPr="00EE5BE5">
        <w:t>Pioneer Network</w:t>
      </w:r>
    </w:p>
    <w:p w:rsidR="00FF0537" w:rsidRDefault="00FF0537" w:rsidP="00FF0537">
      <w:r w:rsidRPr="00472FD9">
        <w:t xml:space="preserve"> </w:t>
      </w:r>
      <w:r>
        <w:t xml:space="preserve">2.  The </w:t>
      </w:r>
      <w:smartTag w:uri="urn:schemas-microsoft-com:office:smarttags" w:element="place">
        <w:smartTag w:uri="urn:schemas-microsoft-com:office:smarttags" w:element="State">
          <w:r>
            <w:t>AL</w:t>
          </w:r>
        </w:smartTag>
      </w:smartTag>
      <w:r>
        <w:t xml:space="preserve"> Disclosure Collaborative also consisted of representatives from three operative divisions of the US Department of Health and Human Services:</w:t>
      </w:r>
    </w:p>
    <w:p w:rsidR="00194B00" w:rsidRPr="00EE5BE5" w:rsidRDefault="00194B00" w:rsidP="00FF0537"/>
    <w:p w:rsidR="00FF0537" w:rsidRPr="00EE5BE5" w:rsidRDefault="00FF0537" w:rsidP="00283388">
      <w:pPr>
        <w:pStyle w:val="ListParagraph"/>
        <w:numPr>
          <w:ilvl w:val="0"/>
          <w:numId w:val="8"/>
        </w:numPr>
      </w:pPr>
      <w:smartTag w:uri="urn:schemas-microsoft-com:office:smarttags" w:element="place">
        <w:smartTag w:uri="urn:schemas-microsoft-com:office:smarttags" w:element="PlaceName">
          <w:r w:rsidRPr="00EE5BE5">
            <w:t>National</w:t>
          </w:r>
        </w:smartTag>
        <w:r w:rsidRPr="00EE5BE5">
          <w:t xml:space="preserve"> </w:t>
        </w:r>
        <w:smartTag w:uri="urn:schemas-microsoft-com:office:smarttags" w:element="PlaceType">
          <w:r w:rsidRPr="00EE5BE5">
            <w:t>Center</w:t>
          </w:r>
        </w:smartTag>
      </w:smartTag>
      <w:r w:rsidRPr="00EE5BE5">
        <w:t xml:space="preserve"> for Health Statistics, Centers for Disease Control</w:t>
      </w:r>
    </w:p>
    <w:p w:rsidR="00FF0537" w:rsidRPr="00EE5BE5" w:rsidRDefault="00FF0537" w:rsidP="00283388">
      <w:pPr>
        <w:pStyle w:val="ListParagraph"/>
        <w:numPr>
          <w:ilvl w:val="0"/>
          <w:numId w:val="8"/>
        </w:numPr>
      </w:pPr>
      <w:r w:rsidRPr="00EE5BE5">
        <w:t>Office of the Assistant Secretary for Planning and Evaluation, Office of the HHS Secretary</w:t>
      </w:r>
    </w:p>
    <w:p w:rsidR="00FF0537" w:rsidRPr="00EE5BE5" w:rsidRDefault="00FF0537" w:rsidP="00283388">
      <w:pPr>
        <w:pStyle w:val="ListParagraph"/>
        <w:numPr>
          <w:ilvl w:val="0"/>
          <w:numId w:val="8"/>
        </w:numPr>
      </w:pPr>
      <w:r w:rsidRPr="00EE5BE5">
        <w:t>Administration on Aging</w:t>
      </w:r>
    </w:p>
    <w:p w:rsidR="00FF0537" w:rsidRDefault="00FF0537" w:rsidP="00FF0537"/>
    <w:p w:rsidR="00FF0537" w:rsidRDefault="00FF0537" w:rsidP="00FF0537">
      <w:r>
        <w:t>These representatives reviewed the instrument during the development process.</w:t>
      </w:r>
    </w:p>
    <w:p w:rsidR="00EE5BE5" w:rsidRDefault="00EE5BE5" w:rsidP="00FF0537"/>
    <w:p w:rsidR="00FF0537" w:rsidRDefault="00FF0537" w:rsidP="00FF0537">
      <w:r>
        <w:t xml:space="preserve">3.   The </w:t>
      </w:r>
      <w:r w:rsidR="00500952">
        <w:t xml:space="preserve">AL </w:t>
      </w:r>
      <w:r>
        <w:t xml:space="preserve">Disclosure Collaborative was composed of 96 individuals who served as expert consultants (Attachment </w:t>
      </w:r>
      <w:r w:rsidR="004557C2">
        <w:t>F</w:t>
      </w:r>
      <w:r>
        <w:t>).  All of these persons contributed to the develop</w:t>
      </w:r>
      <w:r w:rsidR="00500952">
        <w:t xml:space="preserve">ment of the </w:t>
      </w:r>
      <w:r w:rsidR="00ED1101">
        <w:rPr>
          <w:i/>
        </w:rPr>
        <w:t>Assisted Living Provider Information Tool for Consumer Education</w:t>
      </w:r>
      <w:r w:rsidR="00500952">
        <w:rPr>
          <w:i/>
        </w:rPr>
        <w:t>.</w:t>
      </w:r>
      <w:r>
        <w:t xml:space="preserve"> </w:t>
      </w:r>
    </w:p>
    <w:p w:rsidR="00B94CF4" w:rsidRDefault="00B94CF4" w:rsidP="00FF0537"/>
    <w:p w:rsidR="00FF0537" w:rsidRDefault="00FF0537" w:rsidP="00FF0537">
      <w:r>
        <w:t xml:space="preserve">4. An informal dialogue (focus group) was held with </w:t>
      </w:r>
      <w:r w:rsidR="00500952">
        <w:t>nine</w:t>
      </w:r>
      <w:r>
        <w:t xml:space="preserve"> </w:t>
      </w:r>
      <w:r w:rsidR="00500952">
        <w:t>ALF A</w:t>
      </w:r>
      <w:r>
        <w:t>dministrators (the target respondents for the instrument).</w:t>
      </w:r>
    </w:p>
    <w:p w:rsidR="00EE5BE5" w:rsidRDefault="00EE5BE5" w:rsidP="00FF0537"/>
    <w:p w:rsidR="00FF0537" w:rsidRDefault="00FF0537" w:rsidP="00FF0537">
      <w:r>
        <w:t xml:space="preserve">5.  Two rounds of cognitive interviewing were also conducted with </w:t>
      </w:r>
      <w:r w:rsidR="00500952">
        <w:t>nine</w:t>
      </w:r>
      <w:r>
        <w:t xml:space="preserve"> additional ALF providers.</w:t>
      </w:r>
    </w:p>
    <w:p w:rsidR="00EE5BE5" w:rsidRDefault="00EE5BE5" w:rsidP="00FF0537"/>
    <w:p w:rsidR="00FF0537" w:rsidRDefault="00FF0537" w:rsidP="00FF0537">
      <w:r>
        <w:t>6.  The following AHRQ contractor staff also contributed to this project:</w:t>
      </w:r>
    </w:p>
    <w:p w:rsidR="00FF0537" w:rsidRPr="00EE5BE5" w:rsidRDefault="00FF0537" w:rsidP="00283388">
      <w:pPr>
        <w:pStyle w:val="ListParagraph"/>
        <w:numPr>
          <w:ilvl w:val="0"/>
          <w:numId w:val="7"/>
        </w:numPr>
      </w:pPr>
      <w:r w:rsidRPr="00EE5BE5">
        <w:t>Sheryl Zimmerman, Ph.D.</w:t>
      </w:r>
    </w:p>
    <w:p w:rsidR="00FF0537" w:rsidRPr="00EE5BE5" w:rsidRDefault="00FF0537" w:rsidP="00FF0537">
      <w:pPr>
        <w:autoSpaceDE w:val="0"/>
        <w:autoSpaceDN w:val="0"/>
        <w:adjustRightInd w:val="0"/>
        <w:ind w:firstLine="720"/>
      </w:pPr>
      <w:smartTag w:uri="urn:schemas-microsoft-com:office:smarttags" w:element="place">
        <w:smartTag w:uri="urn:schemas-microsoft-com:office:smarttags" w:element="PlaceName">
          <w:r w:rsidRPr="00EE5BE5">
            <w:t>Cecil</w:t>
          </w:r>
        </w:smartTag>
        <w:r w:rsidRPr="00EE5BE5">
          <w:t xml:space="preserve"> </w:t>
        </w:r>
        <w:smartTag w:uri="urn:schemas-microsoft-com:office:smarttags" w:element="PlaceName">
          <w:r w:rsidRPr="00EE5BE5">
            <w:t>G.</w:t>
          </w:r>
        </w:smartTag>
        <w:r w:rsidRPr="00EE5BE5">
          <w:t xml:space="preserve"> </w:t>
        </w:r>
        <w:smartTag w:uri="urn:schemas-microsoft-com:office:smarttags" w:element="PlaceName">
          <w:r w:rsidRPr="00EE5BE5">
            <w:t>Sheps</w:t>
          </w:r>
        </w:smartTag>
        <w:r w:rsidRPr="00EE5BE5">
          <w:t xml:space="preserve"> </w:t>
        </w:r>
        <w:smartTag w:uri="urn:schemas-microsoft-com:office:smarttags" w:element="PlaceType">
          <w:r w:rsidRPr="00EE5BE5">
            <w:t>Center</w:t>
          </w:r>
        </w:smartTag>
      </w:smartTag>
      <w:r w:rsidRPr="00EE5BE5">
        <w:t xml:space="preserve"> for Health Services Research</w:t>
      </w:r>
    </w:p>
    <w:p w:rsidR="00FF0537" w:rsidRPr="00EE5BE5" w:rsidRDefault="00FF0537" w:rsidP="00FF0537">
      <w:pPr>
        <w:ind w:firstLine="720"/>
      </w:pPr>
      <w:smartTag w:uri="urn:schemas-microsoft-com:office:smarttags" w:element="PlaceType">
        <w:r w:rsidRPr="00EE5BE5">
          <w:t>University</w:t>
        </w:r>
      </w:smartTag>
      <w:r w:rsidRPr="00EE5BE5">
        <w:t xml:space="preserve"> of </w:t>
      </w:r>
      <w:smartTag w:uri="urn:schemas-microsoft-com:office:smarttags" w:element="PlaceName">
        <w:r w:rsidRPr="00EE5BE5">
          <w:t>North Carolina</w:t>
        </w:r>
      </w:smartTag>
      <w:r w:rsidRPr="00EE5BE5">
        <w:t xml:space="preserve">, </w:t>
      </w:r>
      <w:smartTag w:uri="urn:schemas-microsoft-com:office:smarttags" w:element="place">
        <w:r w:rsidRPr="00EE5BE5">
          <w:t>Chapel Hill</w:t>
        </w:r>
      </w:smartTag>
    </w:p>
    <w:p w:rsidR="00FF0537" w:rsidRPr="00EE5BE5" w:rsidRDefault="00FF0537" w:rsidP="00FF0537">
      <w:pPr>
        <w:ind w:firstLine="720"/>
      </w:pPr>
    </w:p>
    <w:p w:rsidR="00FF0537" w:rsidRPr="00EE5BE5" w:rsidRDefault="00FF0537" w:rsidP="00283388">
      <w:pPr>
        <w:pStyle w:val="ListParagraph"/>
        <w:numPr>
          <w:ilvl w:val="0"/>
          <w:numId w:val="7"/>
        </w:numPr>
        <w:rPr>
          <w:color w:val="000000"/>
        </w:rPr>
      </w:pPr>
      <w:r w:rsidRPr="00EE5BE5">
        <w:rPr>
          <w:rStyle w:val="highlightedsearchterm"/>
          <w:color w:val="000000"/>
        </w:rPr>
        <w:t>Phil</w:t>
      </w:r>
      <w:r w:rsidRPr="00EE5BE5">
        <w:rPr>
          <w:color w:val="000000"/>
        </w:rPr>
        <w:t xml:space="preserve">ip D. </w:t>
      </w:r>
      <w:r w:rsidRPr="00EE5BE5">
        <w:rPr>
          <w:rStyle w:val="highlightedsearchterm"/>
          <w:color w:val="000000"/>
        </w:rPr>
        <w:t>Sloane</w:t>
      </w:r>
      <w:r w:rsidRPr="00EE5BE5">
        <w:rPr>
          <w:color w:val="000000"/>
        </w:rPr>
        <w:t xml:space="preserve">, MD, MPH </w:t>
      </w:r>
    </w:p>
    <w:p w:rsidR="00FF0537" w:rsidRPr="00EE5BE5" w:rsidRDefault="00FF0537" w:rsidP="00FF0537">
      <w:pPr>
        <w:ind w:firstLine="720"/>
      </w:pPr>
      <w:smartTag w:uri="urn:schemas-microsoft-com:office:smarttags" w:element="place">
        <w:smartTag w:uri="urn:schemas-microsoft-com:office:smarttags" w:element="PlaceName">
          <w:r w:rsidRPr="00EE5BE5">
            <w:t>UNC</w:t>
          </w:r>
        </w:smartTag>
        <w:r w:rsidRPr="00EE5BE5">
          <w:t xml:space="preserve"> </w:t>
        </w:r>
        <w:smartTag w:uri="urn:schemas-microsoft-com:office:smarttags" w:element="PlaceType">
          <w:r w:rsidRPr="00EE5BE5">
            <w:t>School</w:t>
          </w:r>
        </w:smartTag>
      </w:smartTag>
      <w:r w:rsidRPr="00EE5BE5">
        <w:t xml:space="preserve"> of Medicine</w:t>
      </w:r>
    </w:p>
    <w:p w:rsidR="00FF0537" w:rsidRPr="00EE5BE5" w:rsidRDefault="00FF0537" w:rsidP="00FF0537">
      <w:pPr>
        <w:ind w:firstLine="720"/>
      </w:pPr>
      <w:smartTag w:uri="urn:schemas-microsoft-com:office:smarttags" w:element="PlaceType">
        <w:r w:rsidRPr="00EE5BE5">
          <w:t>University</w:t>
        </w:r>
      </w:smartTag>
      <w:r w:rsidRPr="00EE5BE5">
        <w:t xml:space="preserve"> of </w:t>
      </w:r>
      <w:smartTag w:uri="urn:schemas-microsoft-com:office:smarttags" w:element="PlaceName">
        <w:r w:rsidRPr="00EE5BE5">
          <w:t>North Carolina</w:t>
        </w:r>
      </w:smartTag>
      <w:r w:rsidRPr="00EE5BE5">
        <w:t xml:space="preserve">, </w:t>
      </w:r>
      <w:smartTag w:uri="urn:schemas-microsoft-com:office:smarttags" w:element="place">
        <w:r w:rsidRPr="00EE5BE5">
          <w:t>Chapel Hill</w:t>
        </w:r>
      </w:smartTag>
    </w:p>
    <w:p w:rsidR="00FF0537" w:rsidRPr="00EE5BE5" w:rsidRDefault="00FF0537" w:rsidP="00FF0537"/>
    <w:p w:rsidR="00FF0537" w:rsidRPr="00EE5BE5" w:rsidRDefault="00FF0537" w:rsidP="00283388">
      <w:pPr>
        <w:pStyle w:val="ListParagraph"/>
        <w:numPr>
          <w:ilvl w:val="0"/>
          <w:numId w:val="7"/>
        </w:numPr>
      </w:pPr>
      <w:r w:rsidRPr="00EE5BE5">
        <w:t>Joan Hyde, PhD</w:t>
      </w:r>
    </w:p>
    <w:p w:rsidR="00FF0537" w:rsidRPr="00EE5BE5" w:rsidRDefault="00FF0537" w:rsidP="00FF0537">
      <w:pPr>
        <w:ind w:left="720"/>
      </w:pPr>
      <w:r w:rsidRPr="00EE5BE5">
        <w:t>Ivy Hall Senior Living and</w:t>
      </w:r>
    </w:p>
    <w:p w:rsidR="00FF0537" w:rsidRPr="00EE5BE5" w:rsidRDefault="00FF0537" w:rsidP="00FF0537">
      <w:pPr>
        <w:ind w:left="720"/>
      </w:pPr>
      <w:r w:rsidRPr="00EE5BE5">
        <w:t>Gerontology Institute, Wheatley Hall</w:t>
      </w:r>
    </w:p>
    <w:p w:rsidR="00FF0537" w:rsidRPr="00EE5BE5" w:rsidRDefault="00FF0537" w:rsidP="00FF0537">
      <w:pPr>
        <w:ind w:left="720"/>
      </w:pPr>
      <w:smartTag w:uri="urn:schemas-microsoft-com:office:smarttags" w:element="place">
        <w:smartTag w:uri="urn:schemas-microsoft-com:office:smarttags" w:element="PlaceType">
          <w:r w:rsidRPr="00EE5BE5">
            <w:t>University</w:t>
          </w:r>
        </w:smartTag>
        <w:r w:rsidRPr="00EE5BE5">
          <w:t xml:space="preserve"> of </w:t>
        </w:r>
        <w:smartTag w:uri="urn:schemas-microsoft-com:office:smarttags" w:element="PlaceName">
          <w:r w:rsidRPr="00EE5BE5">
            <w:t>Massachusetts</w:t>
          </w:r>
        </w:smartTag>
      </w:smartTag>
    </w:p>
    <w:p w:rsidR="00FF0537" w:rsidRPr="00EE5BE5" w:rsidRDefault="00FF0537" w:rsidP="00FF0537">
      <w:pPr>
        <w:ind w:left="720"/>
      </w:pPr>
    </w:p>
    <w:p w:rsidR="00FF0537" w:rsidRPr="00EE5BE5" w:rsidRDefault="00FF0537" w:rsidP="00283388">
      <w:pPr>
        <w:pStyle w:val="ListParagraph"/>
        <w:numPr>
          <w:ilvl w:val="0"/>
          <w:numId w:val="7"/>
        </w:numPr>
      </w:pPr>
      <w:r w:rsidRPr="00EE5BE5">
        <w:t>Allison Muma, MHA</w:t>
      </w:r>
    </w:p>
    <w:p w:rsidR="00FF0537" w:rsidRPr="00EE5BE5" w:rsidRDefault="00FF0537" w:rsidP="00FF0537">
      <w:pPr>
        <w:ind w:left="720"/>
      </w:pPr>
      <w:r w:rsidRPr="00EE5BE5">
        <w:t xml:space="preserve">Abt Associates </w:t>
      </w:r>
    </w:p>
    <w:p w:rsidR="00FF0537" w:rsidRPr="00EE5BE5" w:rsidRDefault="00FF0537" w:rsidP="00FF0537">
      <w:pPr>
        <w:ind w:left="720"/>
      </w:pPr>
      <w:smartTag w:uri="urn:schemas-microsoft-com:office:smarttags" w:element="place">
        <w:smartTag w:uri="urn:schemas-microsoft-com:office:smarttags" w:element="City">
          <w:r w:rsidRPr="00EE5BE5">
            <w:t>Durham</w:t>
          </w:r>
        </w:smartTag>
        <w:r w:rsidRPr="00EE5BE5">
          <w:t xml:space="preserve">, </w:t>
        </w:r>
        <w:smartTag w:uri="urn:schemas-microsoft-com:office:smarttags" w:element="State">
          <w:r w:rsidRPr="00EE5BE5">
            <w:t>NC</w:t>
          </w:r>
        </w:smartTag>
      </w:smartTag>
    </w:p>
    <w:p w:rsidR="0038217D" w:rsidRPr="00FD08E8" w:rsidRDefault="009B633D" w:rsidP="0038217D">
      <w:pPr>
        <w:pStyle w:val="Heading2"/>
        <w:rPr>
          <w:sz w:val="24"/>
          <w:szCs w:val="24"/>
        </w:rPr>
      </w:pPr>
      <w:bookmarkStart w:id="18" w:name="_Toc457285506"/>
      <w:bookmarkStart w:id="19" w:name="_Toc58725294"/>
      <w:bookmarkStart w:id="20" w:name="_Toc151782184"/>
      <w:bookmarkStart w:id="21" w:name="_Toc158526224"/>
      <w:r w:rsidRPr="00FD08E8">
        <w:rPr>
          <w:sz w:val="24"/>
          <w:szCs w:val="24"/>
        </w:rPr>
        <w:t>9. Payments/Gifts to Respondents</w:t>
      </w:r>
      <w:bookmarkEnd w:id="18"/>
      <w:bookmarkEnd w:id="19"/>
      <w:bookmarkEnd w:id="20"/>
      <w:bookmarkEnd w:id="21"/>
    </w:p>
    <w:p w:rsidR="00E520A6" w:rsidRPr="00E520A6" w:rsidRDefault="00EB5964" w:rsidP="00E520A6">
      <w:r>
        <w:t>No incentives or gifts will be offered to survey respondents.</w:t>
      </w:r>
    </w:p>
    <w:p w:rsidR="009B633D" w:rsidRPr="00412C6F" w:rsidRDefault="009B633D" w:rsidP="009B633D">
      <w:pPr>
        <w:pStyle w:val="Heading2"/>
        <w:rPr>
          <w:sz w:val="24"/>
        </w:rPr>
      </w:pPr>
      <w:bookmarkStart w:id="22" w:name="_Toc151782185"/>
      <w:bookmarkStart w:id="23" w:name="_Toc158526225"/>
      <w:r w:rsidRPr="00412C6F">
        <w:rPr>
          <w:sz w:val="24"/>
        </w:rPr>
        <w:t>10. Assurance of Confidentiality</w:t>
      </w:r>
      <w:bookmarkEnd w:id="22"/>
      <w:bookmarkEnd w:id="23"/>
    </w:p>
    <w:p w:rsidR="00261EDC" w:rsidRDefault="008F0B8B" w:rsidP="00AD7483">
      <w:pPr>
        <w:spacing w:before="100" w:beforeAutospacing="1" w:after="100" w:afterAutospacing="1"/>
      </w:pPr>
      <w:r w:rsidRPr="008C525E">
        <w:t>Individuals and organizations will be assured of the confidentiality of their replies under Section 9</w:t>
      </w:r>
      <w:r>
        <w:t>3</w:t>
      </w:r>
      <w:r w:rsidRPr="008C525E">
        <w:t xml:space="preserve">4(c) of the </w:t>
      </w:r>
      <w:r>
        <w:t xml:space="preserve">Public Health Service Act, 42 USC 299c-3(c).  </w:t>
      </w:r>
      <w:r w:rsidR="00426FF7">
        <w:t xml:space="preserve">They will be told the purposes for which the information is </w:t>
      </w:r>
      <w:r w:rsidR="00E83EB0">
        <w:t xml:space="preserve">being </w:t>
      </w:r>
      <w:r w:rsidR="00426FF7">
        <w:t xml:space="preserve">collected and that, in accordance with this statute, any identifiable information about them will not be used or disclosed for any other purpose. In instances where respondent identity is needed, the information collection will fully comply with all respects of the Privacy Act.  </w:t>
      </w:r>
    </w:p>
    <w:p w:rsidR="00261EDC" w:rsidRDefault="00261EDC" w:rsidP="00AD7483">
      <w:pPr>
        <w:spacing w:before="100" w:beforeAutospacing="1" w:after="100" w:afterAutospacing="1"/>
      </w:pPr>
      <w:r>
        <w:t xml:space="preserve">Respondents will be informed in the introduction of the </w:t>
      </w:r>
      <w:r w:rsidR="00E83EB0">
        <w:t>mailed paper</w:t>
      </w:r>
      <w:r>
        <w:t xml:space="preserve"> survey that their answers will be kept confidential</w:t>
      </w:r>
      <w:r w:rsidR="00F0603C">
        <w:t xml:space="preserve"> </w:t>
      </w:r>
      <w:r w:rsidR="00F0603C" w:rsidRPr="007208E0">
        <w:t>to the extent permitted by law</w:t>
      </w:r>
      <w:r>
        <w:t>.  Participation will be entirely voluntary, and the study will conform to the requirements of the Privacy Act by omitting individuals’ names, addresses, telephone numbers and other personal identifiers in the final data file.</w:t>
      </w:r>
    </w:p>
    <w:p w:rsidR="00261EDC" w:rsidRPr="00AD7483" w:rsidRDefault="00261EDC" w:rsidP="00AD7483">
      <w:pPr>
        <w:spacing w:before="100" w:beforeAutospacing="1" w:after="100" w:afterAutospacing="1"/>
      </w:pPr>
      <w:r w:rsidRPr="00AD7483">
        <w:t>The firm that will conduct the data collection</w:t>
      </w:r>
      <w:r w:rsidR="00AD7483">
        <w:t xml:space="preserve"> -- </w:t>
      </w:r>
      <w:r>
        <w:t>Abt Associates Inc.</w:t>
      </w:r>
      <w:r w:rsidR="00AD7483">
        <w:t xml:space="preserve"> -- </w:t>
      </w:r>
      <w:r w:rsidRPr="00AD7483">
        <w:t>has conducted numerous projects and surveys involving</w:t>
      </w:r>
      <w:r w:rsidR="003217AB">
        <w:t xml:space="preserve"> both </w:t>
      </w:r>
      <w:r w:rsidRPr="00AD7483">
        <w:t xml:space="preserve">sensitive </w:t>
      </w:r>
      <w:r w:rsidR="003217AB">
        <w:t xml:space="preserve">and non-sensitive </w:t>
      </w:r>
      <w:r w:rsidRPr="00AD7483">
        <w:t xml:space="preserve">information; consequently, </w:t>
      </w:r>
      <w:r w:rsidR="00AD7483">
        <w:t xml:space="preserve">processes </w:t>
      </w:r>
      <w:r w:rsidRPr="00AD7483">
        <w:t>and procedures have been developed to maintain respondent confidentiality. All Abt Associates project</w:t>
      </w:r>
      <w:r w:rsidR="00E83EB0">
        <w:t xml:space="preserve"> staff</w:t>
      </w:r>
      <w:r w:rsidRPr="00AD7483">
        <w:t xml:space="preserve"> </w:t>
      </w:r>
      <w:r w:rsidR="003217AB">
        <w:t xml:space="preserve">will </w:t>
      </w:r>
      <w:r w:rsidRPr="00AD7483">
        <w:t xml:space="preserve">sign confidentiality agreements </w:t>
      </w:r>
      <w:r w:rsidR="00186DFF">
        <w:t xml:space="preserve">(Attachment </w:t>
      </w:r>
      <w:r w:rsidR="004557C2">
        <w:t>G</w:t>
      </w:r>
      <w:r w:rsidR="00186DFF">
        <w:t xml:space="preserve">) </w:t>
      </w:r>
      <w:r>
        <w:t>specifying that no identification of respondents or their answers will be revealed to other persons who are not specifically involved with this project as an employee</w:t>
      </w:r>
      <w:r w:rsidRPr="00AD7483">
        <w:t>. All databases will be password protected, with only the data administrators having write authority over files. If electronic data transfer is necessary, the data will be transferred via diskette or CD-ROM to clients in an encrypted and password-protected format before shipping via a bonded courier.</w:t>
      </w:r>
    </w:p>
    <w:p w:rsidR="00A25783" w:rsidRPr="00FF61D9" w:rsidRDefault="00261EDC" w:rsidP="00AD7483">
      <w:pPr>
        <w:spacing w:before="100" w:beforeAutospacing="1" w:after="100" w:afterAutospacing="1"/>
      </w:pPr>
      <w:r>
        <w:t>Abt Associates emphasizes the importance of protecting the data while it is stored in their facilities.  Abt Associates frequently maintains and manages large datasets, which frequently include highly sensitive information.  In over a decade of conducting surveys on sensitive topics, Abt Associates has never suffered a breach of any respondent's privacy.</w:t>
      </w:r>
      <w:r w:rsidR="00A25783" w:rsidRPr="00FF61D9">
        <w:t xml:space="preserve"> </w:t>
      </w:r>
    </w:p>
    <w:p w:rsidR="009B633D" w:rsidRPr="00412C6F" w:rsidRDefault="009B633D" w:rsidP="009B633D">
      <w:pPr>
        <w:pStyle w:val="Heading2"/>
        <w:rPr>
          <w:sz w:val="24"/>
        </w:rPr>
      </w:pPr>
      <w:bookmarkStart w:id="24" w:name="_Toc151782186"/>
      <w:bookmarkStart w:id="25" w:name="_Toc158526226"/>
      <w:r w:rsidRPr="00412C6F">
        <w:rPr>
          <w:sz w:val="24"/>
        </w:rPr>
        <w:t>11. Questions of a Sensitive Nature</w:t>
      </w:r>
      <w:bookmarkEnd w:id="24"/>
      <w:bookmarkEnd w:id="25"/>
    </w:p>
    <w:p w:rsidR="00426FF7" w:rsidRDefault="00426FF7" w:rsidP="00AD7483">
      <w:pPr>
        <w:spacing w:before="100" w:beforeAutospacing="1" w:after="100" w:afterAutospacing="1"/>
        <w:rPr>
          <w:spacing w:val="4"/>
        </w:rPr>
      </w:pPr>
      <w:r>
        <w:rPr>
          <w:spacing w:val="6"/>
        </w:rPr>
        <w:t xml:space="preserve">The data collection tool does not contain any questions concerning sexual behavior and </w:t>
      </w:r>
      <w:r>
        <w:rPr>
          <w:spacing w:val="4"/>
        </w:rPr>
        <w:t xml:space="preserve">attitudes, religious beliefs, or other matters that are commonly considered private.  </w:t>
      </w:r>
    </w:p>
    <w:p w:rsidR="009B633D" w:rsidRDefault="009B633D" w:rsidP="009B633D">
      <w:pPr>
        <w:pStyle w:val="Heading2"/>
        <w:rPr>
          <w:sz w:val="24"/>
        </w:rPr>
      </w:pPr>
      <w:bookmarkStart w:id="26" w:name="_Toc151782187"/>
      <w:bookmarkStart w:id="27" w:name="_Toc158526227"/>
      <w:r w:rsidRPr="00412C6F">
        <w:rPr>
          <w:sz w:val="24"/>
        </w:rPr>
        <w:t>12. Estimates of Annualized Burden Hours and Costs</w:t>
      </w:r>
      <w:bookmarkEnd w:id="26"/>
      <w:bookmarkEnd w:id="27"/>
    </w:p>
    <w:p w:rsidR="00AA788A" w:rsidRDefault="008F222A" w:rsidP="007D4F9F">
      <w:r>
        <w:rPr>
          <w:rStyle w:val="Strong"/>
          <w:b w:val="0"/>
        </w:rPr>
        <w:t xml:space="preserve">Exhibit 1 shows the estimated annualized burden for the respondents’ time to participate in this project.  The telephone verification will be completed </w:t>
      </w:r>
      <w:r w:rsidR="004F7524">
        <w:rPr>
          <w:rStyle w:val="Strong"/>
          <w:b w:val="0"/>
        </w:rPr>
        <w:t xml:space="preserve">by </w:t>
      </w:r>
      <w:r w:rsidR="000A5D8C">
        <w:rPr>
          <w:rStyle w:val="Strong"/>
          <w:b w:val="0"/>
        </w:rPr>
        <w:t>285</w:t>
      </w:r>
      <w:r w:rsidR="004F7524">
        <w:rPr>
          <w:rStyle w:val="Strong"/>
          <w:b w:val="0"/>
        </w:rPr>
        <w:t xml:space="preserve"> </w:t>
      </w:r>
      <w:smartTag w:uri="urn:schemas-microsoft-com:office:smarttags" w:element="place">
        <w:smartTag w:uri="urn:schemas-microsoft-com:office:smarttags" w:element="State">
          <w:r w:rsidR="004F7524">
            <w:rPr>
              <w:rStyle w:val="Strong"/>
              <w:b w:val="0"/>
            </w:rPr>
            <w:t>AL</w:t>
          </w:r>
        </w:smartTag>
      </w:smartTag>
      <w:r w:rsidR="004F7524">
        <w:rPr>
          <w:rStyle w:val="Strong"/>
          <w:b w:val="0"/>
        </w:rPr>
        <w:t xml:space="preserve"> </w:t>
      </w:r>
      <w:r w:rsidR="00FD08E8">
        <w:rPr>
          <w:rStyle w:val="Strong"/>
          <w:b w:val="0"/>
        </w:rPr>
        <w:t>providers</w:t>
      </w:r>
      <w:r w:rsidR="004F7524">
        <w:rPr>
          <w:rStyle w:val="Strong"/>
          <w:b w:val="0"/>
        </w:rPr>
        <w:t xml:space="preserve"> and </w:t>
      </w:r>
      <w:r w:rsidR="00FD08E8">
        <w:rPr>
          <w:rStyle w:val="Strong"/>
          <w:b w:val="0"/>
        </w:rPr>
        <w:t xml:space="preserve">will </w:t>
      </w:r>
      <w:r w:rsidR="004F7524">
        <w:rPr>
          <w:rStyle w:val="Strong"/>
          <w:b w:val="0"/>
        </w:rPr>
        <w:t>take a</w:t>
      </w:r>
      <w:r w:rsidR="00FD08E8" w:rsidRPr="006B446F">
        <w:rPr>
          <w:rStyle w:val="Strong"/>
          <w:b w:val="0"/>
        </w:rPr>
        <w:t>p</w:t>
      </w:r>
      <w:r w:rsidR="00FD08E8">
        <w:rPr>
          <w:rStyle w:val="Strong"/>
          <w:b w:val="0"/>
        </w:rPr>
        <w:t>proximately one</w:t>
      </w:r>
      <w:r w:rsidR="004F7524">
        <w:rPr>
          <w:rStyle w:val="Strong"/>
          <w:b w:val="0"/>
        </w:rPr>
        <w:t xml:space="preserve"> minute to complete.  The </w:t>
      </w:r>
      <w:r w:rsidR="00AD7483">
        <w:rPr>
          <w:rStyle w:val="Strong"/>
          <w:b w:val="0"/>
        </w:rPr>
        <w:t>pre-test</w:t>
      </w:r>
      <w:r w:rsidR="004F7524">
        <w:rPr>
          <w:rStyle w:val="Strong"/>
          <w:b w:val="0"/>
        </w:rPr>
        <w:t xml:space="preserve"> of the</w:t>
      </w:r>
      <w:r w:rsidR="002B2469">
        <w:rPr>
          <w:rStyle w:val="Strong"/>
          <w:b w:val="0"/>
          <w:i/>
        </w:rPr>
        <w:t xml:space="preserve"> </w:t>
      </w:r>
      <w:r w:rsidR="00ED1101">
        <w:rPr>
          <w:i/>
        </w:rPr>
        <w:t>Assisted Living Provider Information Tool for Consumer Education</w:t>
      </w:r>
      <w:r w:rsidR="004F7524">
        <w:t xml:space="preserve"> will </w:t>
      </w:r>
      <w:r w:rsidR="002A6C13">
        <w:t>be completed by</w:t>
      </w:r>
      <w:r w:rsidR="004F7524">
        <w:t xml:space="preserve"> 1</w:t>
      </w:r>
      <w:r w:rsidR="002A6C13">
        <w:t>91</w:t>
      </w:r>
      <w:r w:rsidR="004F7524">
        <w:t xml:space="preserve"> AL</w:t>
      </w:r>
      <w:r w:rsidR="00AD7483">
        <w:t>F</w:t>
      </w:r>
      <w:r w:rsidR="004F7524">
        <w:t xml:space="preserve">s and will require </w:t>
      </w:r>
      <w:r w:rsidR="006B446F">
        <w:t xml:space="preserve">approximately </w:t>
      </w:r>
      <w:r w:rsidR="004F7524">
        <w:t>25 minutes</w:t>
      </w:r>
      <w:r w:rsidR="00D662FB">
        <w:t xml:space="preserve"> to complete</w:t>
      </w:r>
      <w:r w:rsidR="004F7524">
        <w:t xml:space="preserve">.  The total annual burden is estimated to be </w:t>
      </w:r>
      <w:r w:rsidR="002A6C13">
        <w:t>85</w:t>
      </w:r>
      <w:r w:rsidR="006B446F">
        <w:t xml:space="preserve"> </w:t>
      </w:r>
      <w:r w:rsidR="004F7524">
        <w:t>hours.</w:t>
      </w:r>
    </w:p>
    <w:p w:rsidR="004F7524" w:rsidRDefault="004F7524" w:rsidP="007D4F9F"/>
    <w:p w:rsidR="004F7524" w:rsidRPr="008F222A" w:rsidRDefault="004F7524" w:rsidP="007D4F9F">
      <w:pPr>
        <w:rPr>
          <w:rStyle w:val="Strong"/>
          <w:b w:val="0"/>
        </w:rPr>
      </w:pPr>
      <w:r>
        <w:t>Exhibit 2 shows the estimated annualized cost burden associated with the respondents’ time to participate in this project.  The total annualized cost burden is estimated to be</w:t>
      </w:r>
      <w:r w:rsidR="006B446F">
        <w:t xml:space="preserve"> </w:t>
      </w:r>
      <w:r w:rsidR="00AD7483">
        <w:t>$</w:t>
      </w:r>
      <w:r w:rsidR="0079441F">
        <w:t>3,576</w:t>
      </w:r>
      <w:r w:rsidR="006B446F">
        <w:t>.</w:t>
      </w:r>
    </w:p>
    <w:p w:rsidR="008F222A" w:rsidRPr="00426FF7" w:rsidRDefault="008F222A" w:rsidP="007D4F9F">
      <w:pPr>
        <w:rPr>
          <w:rStyle w:val="Strong"/>
          <w:b w:val="0"/>
          <w:i/>
        </w:rPr>
      </w:pPr>
    </w:p>
    <w:p w:rsidR="00414C80" w:rsidRPr="00426FF7" w:rsidRDefault="00414C80" w:rsidP="0029734C">
      <w:bookmarkStart w:id="28" w:name="OLE_LINK1"/>
      <w:bookmarkStart w:id="29" w:name="OLE_LINK2"/>
      <w:r w:rsidRPr="00426FF7">
        <w:rPr>
          <w:b/>
          <w:bCs/>
          <w:color w:val="000000"/>
        </w:rPr>
        <w:t>Exhibit 1.  Estimate</w:t>
      </w:r>
      <w:r w:rsidR="00037998" w:rsidRPr="00426FF7">
        <w:rPr>
          <w:b/>
          <w:bCs/>
          <w:color w:val="000000"/>
        </w:rPr>
        <w:t xml:space="preserve">d annualized </w:t>
      </w:r>
      <w:r w:rsidR="00CD53E4">
        <w:rPr>
          <w:b/>
          <w:bCs/>
          <w:color w:val="000000"/>
        </w:rPr>
        <w:t xml:space="preserve">respondent </w:t>
      </w:r>
      <w:r w:rsidR="00037998" w:rsidRPr="00426FF7">
        <w:rPr>
          <w:b/>
          <w:bCs/>
          <w:color w:val="000000"/>
        </w:rPr>
        <w:t>burden hours</w:t>
      </w:r>
    </w:p>
    <w:tbl>
      <w:tblPr>
        <w:tblW w:w="0" w:type="auto"/>
        <w:tblCellMar>
          <w:left w:w="0" w:type="dxa"/>
          <w:right w:w="0" w:type="dxa"/>
        </w:tblCellMar>
        <w:tblLook w:val="0000"/>
      </w:tblPr>
      <w:tblGrid>
        <w:gridCol w:w="3708"/>
        <w:gridCol w:w="1440"/>
        <w:gridCol w:w="1440"/>
        <w:gridCol w:w="1080"/>
        <w:gridCol w:w="900"/>
      </w:tblGrid>
      <w:tr w:rsidR="00E97584" w:rsidRPr="00426FF7" w:rsidTr="00AA788A">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426FF7" w:rsidRDefault="004C4A74" w:rsidP="009C4881">
            <w:pPr>
              <w:jc w:val="center"/>
            </w:pPr>
            <w:r w:rsidRPr="00426FF7">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426FF7" w:rsidRDefault="00015AAF" w:rsidP="009C4881">
            <w:pPr>
              <w:jc w:val="center"/>
            </w:pPr>
            <w:r w:rsidRPr="00426FF7">
              <w:rPr>
                <w:color w:val="000000"/>
                <w:sz w:val="20"/>
                <w:szCs w:val="20"/>
              </w:rPr>
              <w:t>Number of r</w:t>
            </w:r>
            <w:r w:rsidR="00E97584" w:rsidRPr="00426FF7">
              <w:rPr>
                <w:color w:val="000000"/>
                <w:sz w:val="20"/>
                <w:szCs w:val="20"/>
              </w:rPr>
              <w:t>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426FF7" w:rsidRDefault="00E97584" w:rsidP="009C4881">
            <w:pPr>
              <w:jc w:val="center"/>
              <w:rPr>
                <w:sz w:val="20"/>
                <w:szCs w:val="20"/>
              </w:rPr>
            </w:pPr>
            <w:r w:rsidRPr="00426FF7">
              <w:rPr>
                <w:sz w:val="20"/>
                <w:szCs w:val="20"/>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E97584" w:rsidRPr="00426FF7" w:rsidRDefault="00B238AD" w:rsidP="009C4881">
            <w:pPr>
              <w:jc w:val="center"/>
            </w:pPr>
            <w:r w:rsidRPr="00426FF7">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426FF7" w:rsidRDefault="00015AAF" w:rsidP="009C4881">
            <w:pPr>
              <w:jc w:val="center"/>
            </w:pPr>
            <w:r w:rsidRPr="00426FF7">
              <w:rPr>
                <w:color w:val="000000"/>
                <w:sz w:val="20"/>
                <w:szCs w:val="20"/>
              </w:rPr>
              <w:t>Total b</w:t>
            </w:r>
            <w:r w:rsidR="00E97584" w:rsidRPr="00426FF7">
              <w:rPr>
                <w:color w:val="000000"/>
                <w:sz w:val="20"/>
                <w:szCs w:val="20"/>
              </w:rPr>
              <w:t>urden hours</w:t>
            </w:r>
          </w:p>
        </w:tc>
      </w:tr>
      <w:tr w:rsidR="00C85686" w:rsidRPr="00426FF7" w:rsidTr="00AA788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85686" w:rsidRDefault="00356292" w:rsidP="0031488E">
            <w:r>
              <w:t xml:space="preserve">Telephone verification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85686" w:rsidRDefault="00D662FB" w:rsidP="00E97584">
            <w:pPr>
              <w:jc w:val="center"/>
            </w:pPr>
            <w:r>
              <w:t xml:space="preserve"> </w:t>
            </w:r>
            <w:r w:rsidR="001F21CB">
              <w:t>285</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85686" w:rsidRDefault="00C85686" w:rsidP="00E97584">
            <w:pPr>
              <w:jc w:val="center"/>
            </w:pPr>
            <w:r>
              <w:t>1</w:t>
            </w:r>
          </w:p>
        </w:tc>
        <w:tc>
          <w:tcPr>
            <w:tcW w:w="1080" w:type="dxa"/>
            <w:tcBorders>
              <w:top w:val="nil"/>
              <w:left w:val="nil"/>
              <w:bottom w:val="single" w:sz="8" w:space="0" w:color="auto"/>
              <w:right w:val="single" w:sz="8" w:space="0" w:color="auto"/>
            </w:tcBorders>
            <w:vAlign w:val="center"/>
          </w:tcPr>
          <w:p w:rsidR="00C85686" w:rsidRPr="000A5D8C" w:rsidRDefault="00D662FB" w:rsidP="00E97584">
            <w:pPr>
              <w:jc w:val="center"/>
            </w:pPr>
            <w:r w:rsidRPr="000A5D8C">
              <w:t>1</w:t>
            </w:r>
            <w:r w:rsidR="0031488E" w:rsidRPr="000A5D8C">
              <w:t>/60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85686" w:rsidRDefault="002A6C13" w:rsidP="00E97584">
            <w:pPr>
              <w:jc w:val="center"/>
            </w:pPr>
            <w:r>
              <w:t>5</w:t>
            </w:r>
          </w:p>
        </w:tc>
      </w:tr>
      <w:tr w:rsidR="00E97584" w:rsidRPr="00426FF7" w:rsidTr="00AA788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426FF7" w:rsidRDefault="00AD7483">
            <w:r>
              <w:t>Pre-test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426FF7" w:rsidRDefault="005543EA" w:rsidP="00B22F51">
            <w:pPr>
              <w:jc w:val="center"/>
            </w:pPr>
            <w:r>
              <w:t>19</w:t>
            </w:r>
            <w:r w:rsidR="00B22F51">
              <w:t>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426FF7" w:rsidRDefault="00426FF7" w:rsidP="00E97584">
            <w:pPr>
              <w:jc w:val="center"/>
            </w:pPr>
            <w:r>
              <w:t>1</w:t>
            </w:r>
          </w:p>
        </w:tc>
        <w:tc>
          <w:tcPr>
            <w:tcW w:w="1080" w:type="dxa"/>
            <w:tcBorders>
              <w:top w:val="nil"/>
              <w:left w:val="nil"/>
              <w:bottom w:val="single" w:sz="8" w:space="0" w:color="auto"/>
              <w:right w:val="single" w:sz="8" w:space="0" w:color="auto"/>
            </w:tcBorders>
            <w:vAlign w:val="center"/>
          </w:tcPr>
          <w:p w:rsidR="00E97584" w:rsidRPr="000A5D8C" w:rsidRDefault="00356292" w:rsidP="00E97584">
            <w:pPr>
              <w:jc w:val="center"/>
            </w:pPr>
            <w:r w:rsidRPr="000A5D8C">
              <w:t>25/60</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426FF7" w:rsidRDefault="00930E08" w:rsidP="00E97584">
            <w:pPr>
              <w:jc w:val="center"/>
            </w:pPr>
            <w:r>
              <w:t xml:space="preserve"> 80</w:t>
            </w:r>
          </w:p>
        </w:tc>
      </w:tr>
      <w:tr w:rsidR="00E97584" w:rsidRPr="00426FF7" w:rsidTr="00AA788A">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426FF7" w:rsidRDefault="00E97584">
            <w:r w:rsidRPr="00426FF7">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0A5D8C" w:rsidRDefault="00B22F51" w:rsidP="00E97584">
            <w:pPr>
              <w:jc w:val="center"/>
            </w:pPr>
            <w:r>
              <w:t>476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426FF7" w:rsidRDefault="002A6C13" w:rsidP="00E97584">
            <w:pPr>
              <w:jc w:val="center"/>
            </w:pPr>
            <w:r>
              <w:t>na</w:t>
            </w:r>
          </w:p>
        </w:tc>
        <w:tc>
          <w:tcPr>
            <w:tcW w:w="1080" w:type="dxa"/>
            <w:tcBorders>
              <w:top w:val="nil"/>
              <w:left w:val="nil"/>
              <w:bottom w:val="single" w:sz="8" w:space="0" w:color="auto"/>
              <w:right w:val="single" w:sz="8" w:space="0" w:color="auto"/>
            </w:tcBorders>
          </w:tcPr>
          <w:p w:rsidR="00E97584" w:rsidRPr="002A6C13" w:rsidRDefault="002A6C13" w:rsidP="00E97584">
            <w:pPr>
              <w:jc w:val="center"/>
              <w:rPr>
                <w:bCs/>
                <w:color w:val="000000"/>
              </w:rPr>
            </w:pPr>
            <w:r>
              <w:rPr>
                <w:bCs/>
                <w:color w:val="000000"/>
              </w:rPr>
              <w:t>na</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97584" w:rsidRPr="00930E08" w:rsidRDefault="00930E08" w:rsidP="00E97584">
            <w:pPr>
              <w:jc w:val="center"/>
            </w:pPr>
            <w:r w:rsidRPr="00930E08">
              <w:t>8</w:t>
            </w:r>
            <w:r w:rsidR="002A6C13">
              <w:t>5</w:t>
            </w:r>
          </w:p>
        </w:tc>
      </w:tr>
    </w:tbl>
    <w:bookmarkEnd w:id="28"/>
    <w:bookmarkEnd w:id="29"/>
    <w:p w:rsidR="00930E08" w:rsidRPr="004E73C1" w:rsidRDefault="00414C80" w:rsidP="00414C80">
      <w:pPr>
        <w:rPr>
          <w:highlight w:val="red"/>
        </w:rPr>
      </w:pPr>
      <w:r w:rsidRPr="00426FF7">
        <w:t> </w:t>
      </w:r>
    </w:p>
    <w:p w:rsidR="00037998" w:rsidRPr="00D615A2" w:rsidRDefault="00037998" w:rsidP="00414C80">
      <w:pPr>
        <w:rPr>
          <w:b/>
        </w:rPr>
      </w:pPr>
      <w:r w:rsidRPr="00D615A2">
        <w:rPr>
          <w:b/>
        </w:rPr>
        <w:t>Exhibit 2.  Estimated annualized cost burden</w:t>
      </w:r>
    </w:p>
    <w:tbl>
      <w:tblPr>
        <w:tblW w:w="0" w:type="auto"/>
        <w:tblCellMar>
          <w:left w:w="0" w:type="dxa"/>
          <w:right w:w="0" w:type="dxa"/>
        </w:tblCellMar>
        <w:tblLook w:val="0000"/>
      </w:tblPr>
      <w:tblGrid>
        <w:gridCol w:w="3708"/>
        <w:gridCol w:w="1440"/>
        <w:gridCol w:w="900"/>
        <w:gridCol w:w="1460"/>
        <w:gridCol w:w="1260"/>
      </w:tblGrid>
      <w:tr w:rsidR="003C60BD" w:rsidRPr="00037F4F" w:rsidTr="009C4881">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4C4A74" w:rsidP="009C4881">
            <w:pPr>
              <w:jc w:val="center"/>
            </w:pPr>
            <w:r w:rsidRPr="00037F4F">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015AAF" w:rsidP="009C4881">
            <w:pPr>
              <w:jc w:val="center"/>
            </w:pPr>
            <w:r w:rsidRPr="00037F4F">
              <w:rPr>
                <w:color w:val="000000"/>
                <w:sz w:val="20"/>
                <w:szCs w:val="20"/>
              </w:rPr>
              <w:t>Number of r</w:t>
            </w:r>
            <w:r w:rsidR="003C60BD" w:rsidRPr="00037F4F">
              <w:rPr>
                <w:color w:val="000000"/>
                <w:sz w:val="20"/>
                <w:szCs w:val="20"/>
              </w:rPr>
              <w:t>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015AAF" w:rsidP="009C4881">
            <w:pPr>
              <w:jc w:val="center"/>
            </w:pPr>
            <w:r w:rsidRPr="00037F4F">
              <w:rPr>
                <w:color w:val="000000"/>
                <w:sz w:val="20"/>
                <w:szCs w:val="20"/>
              </w:rPr>
              <w:t>Total b</w:t>
            </w:r>
            <w:r w:rsidR="003C60BD" w:rsidRPr="00037F4F">
              <w:rPr>
                <w:color w:val="000000"/>
                <w:sz w:val="20"/>
                <w:szCs w:val="20"/>
              </w:rPr>
              <w:t>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015AAF" w:rsidP="009C4881">
            <w:pPr>
              <w:jc w:val="center"/>
            </w:pPr>
            <w:r w:rsidRPr="00037F4F">
              <w:rPr>
                <w:color w:val="000000"/>
                <w:sz w:val="20"/>
                <w:szCs w:val="20"/>
              </w:rPr>
              <w:t>Average hourly wage r</w:t>
            </w:r>
            <w:r w:rsidR="003C60BD" w:rsidRPr="00037F4F">
              <w:rPr>
                <w:color w:val="000000"/>
                <w:sz w:val="20"/>
                <w:szCs w:val="20"/>
              </w:rPr>
              <w:t>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F3207F" w:rsidP="009C4881">
            <w:pPr>
              <w:jc w:val="center"/>
            </w:pPr>
            <w:r w:rsidRPr="00037F4F">
              <w:rPr>
                <w:color w:val="000000"/>
                <w:sz w:val="20"/>
                <w:szCs w:val="20"/>
              </w:rPr>
              <w:t xml:space="preserve">Total  </w:t>
            </w:r>
            <w:r w:rsidR="00015AAF" w:rsidRPr="00037F4F">
              <w:rPr>
                <w:color w:val="000000"/>
                <w:sz w:val="20"/>
                <w:szCs w:val="20"/>
              </w:rPr>
              <w:t>cost b</w:t>
            </w:r>
            <w:r w:rsidR="003C60BD" w:rsidRPr="00037F4F">
              <w:rPr>
                <w:color w:val="000000"/>
                <w:sz w:val="20"/>
                <w:szCs w:val="20"/>
              </w:rPr>
              <w:t>urden</w:t>
            </w:r>
          </w:p>
        </w:tc>
      </w:tr>
      <w:tr w:rsidR="00C85686" w:rsidRPr="00037F4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85686" w:rsidRPr="00037F4F" w:rsidRDefault="0031488E" w:rsidP="0031488E">
            <w:r>
              <w:t xml:space="preserve">Telephone verification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85686" w:rsidRPr="00037F4F" w:rsidRDefault="00D662FB" w:rsidP="003C60BD">
            <w:pPr>
              <w:jc w:val="center"/>
            </w:pPr>
            <w:r>
              <w:t xml:space="preserve"> 2</w:t>
            </w:r>
            <w:r w:rsidR="001F21CB">
              <w:t>85</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85686" w:rsidRPr="00037F4F" w:rsidRDefault="002A6C13" w:rsidP="003C60BD">
            <w:pPr>
              <w:jc w:val="center"/>
            </w:pPr>
            <w:r>
              <w:t>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85686" w:rsidRDefault="00EC449E" w:rsidP="003C60BD">
            <w:pPr>
              <w:jc w:val="center"/>
            </w:pPr>
            <w:r>
              <w:t>$15.37</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85686" w:rsidRPr="00037F4F" w:rsidRDefault="00EC449E" w:rsidP="0092280E">
            <w:pPr>
              <w:jc w:val="right"/>
            </w:pPr>
            <w:r>
              <w:t>$7</w:t>
            </w:r>
            <w:r w:rsidR="002A6C13">
              <w:t>7</w:t>
            </w:r>
          </w:p>
        </w:tc>
      </w:tr>
      <w:tr w:rsidR="003C60BD" w:rsidRPr="00037F4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AD7483" w:rsidP="009D3DBB">
            <w:r>
              <w:t>Pre-test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5543EA" w:rsidP="00930E08">
            <w:pPr>
              <w:jc w:val="center"/>
            </w:pPr>
            <w:r>
              <w:t>19</w:t>
            </w:r>
            <w:r w:rsidR="00930E08">
              <w:t>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930E08" w:rsidP="00930E08">
            <w:pPr>
              <w:jc w:val="center"/>
            </w:pPr>
            <w:r>
              <w:t xml:space="preserve"> 80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037F4F" w:rsidP="003C60BD">
            <w:pPr>
              <w:jc w:val="center"/>
            </w:pPr>
            <w:r>
              <w:t>$</w:t>
            </w:r>
            <w:r w:rsidR="00D662FB">
              <w:t>43.74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EC449E" w:rsidP="0092280E">
            <w:pPr>
              <w:jc w:val="right"/>
            </w:pPr>
            <w:r>
              <w:t>$</w:t>
            </w:r>
            <w:r w:rsidR="00930E08">
              <w:t>3,499</w:t>
            </w:r>
            <w:r w:rsidR="00930E08">
              <w:rPr>
                <w:strike/>
              </w:rPr>
              <w:t xml:space="preserve"> </w:t>
            </w:r>
          </w:p>
        </w:tc>
      </w:tr>
      <w:tr w:rsidR="003C60BD" w:rsidRPr="00037F4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3C60BD" w:rsidP="009D3DBB">
            <w:r w:rsidRPr="00037F4F">
              <w:rPr>
                <w:b/>
                <w:bCs/>
                <w:color w:val="000000"/>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A5D8C" w:rsidRDefault="00B22F51" w:rsidP="003C60BD">
            <w:pPr>
              <w:jc w:val="center"/>
            </w:pPr>
            <w:r>
              <w:t>476</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930E08" w:rsidP="003C60BD">
            <w:pPr>
              <w:jc w:val="center"/>
            </w:pPr>
            <w:r>
              <w:t xml:space="preserve"> 8</w:t>
            </w:r>
            <w:r w:rsidR="002A6C13">
              <w:t>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79441F" w:rsidP="003C60BD">
            <w:pPr>
              <w:jc w:val="center"/>
            </w:pPr>
            <w:r>
              <w:t>na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C60BD" w:rsidRPr="00037F4F" w:rsidRDefault="00930E08" w:rsidP="0092280E">
            <w:pPr>
              <w:jc w:val="right"/>
            </w:pPr>
            <w:r>
              <w:t>$3,57</w:t>
            </w:r>
            <w:r w:rsidR="002A6C13">
              <w:t>6</w:t>
            </w:r>
          </w:p>
        </w:tc>
      </w:tr>
    </w:tbl>
    <w:p w:rsidR="003C60BD" w:rsidRDefault="00520CE0" w:rsidP="003C60BD">
      <w:pPr>
        <w:rPr>
          <w:color w:val="000000"/>
          <w:sz w:val="20"/>
          <w:szCs w:val="20"/>
        </w:rPr>
      </w:pPr>
      <w:r w:rsidRPr="00037F4F">
        <w:rPr>
          <w:color w:val="000000"/>
          <w:sz w:val="20"/>
          <w:szCs w:val="20"/>
        </w:rPr>
        <w:t>*</w:t>
      </w:r>
      <w:r w:rsidR="003C60BD" w:rsidRPr="00037F4F">
        <w:rPr>
          <w:color w:val="000000"/>
          <w:sz w:val="20"/>
          <w:szCs w:val="20"/>
        </w:rPr>
        <w:t>Based upon the mean of the average wages</w:t>
      </w:r>
      <w:r w:rsidR="00C85686">
        <w:rPr>
          <w:color w:val="000000"/>
          <w:sz w:val="20"/>
          <w:szCs w:val="20"/>
        </w:rPr>
        <w:t xml:space="preserve"> </w:t>
      </w:r>
      <w:r w:rsidR="000A5D8C">
        <w:rPr>
          <w:color w:val="000000"/>
          <w:sz w:val="20"/>
          <w:szCs w:val="20"/>
        </w:rPr>
        <w:t xml:space="preserve">reflected in the </w:t>
      </w:r>
      <w:r w:rsidR="003C60BD" w:rsidRPr="00AD7483">
        <w:rPr>
          <w:i/>
          <w:color w:val="000000"/>
          <w:sz w:val="20"/>
          <w:szCs w:val="20"/>
        </w:rPr>
        <w:t>National Compensation Survey</w:t>
      </w:r>
      <w:r w:rsidR="000A5D8C" w:rsidRPr="00AD7483">
        <w:rPr>
          <w:i/>
          <w:color w:val="000000"/>
          <w:sz w:val="20"/>
          <w:szCs w:val="20"/>
        </w:rPr>
        <w:t xml:space="preserve"> (May 2009) </w:t>
      </w:r>
      <w:smartTag w:uri="urn:schemas-microsoft-com:office:smarttags" w:element="place">
        <w:smartTag w:uri="urn:schemas-microsoft-com:office:smarttags" w:element="country-region">
          <w:r w:rsidR="000A5D8C" w:rsidRPr="00AD7483">
            <w:rPr>
              <w:i/>
              <w:color w:val="000000"/>
              <w:sz w:val="20"/>
              <w:szCs w:val="20"/>
            </w:rPr>
            <w:t>U.S.</w:t>
          </w:r>
        </w:smartTag>
      </w:smartTag>
      <w:r w:rsidR="000A5D8C" w:rsidRPr="00AD7483">
        <w:rPr>
          <w:i/>
          <w:color w:val="000000"/>
          <w:sz w:val="20"/>
          <w:szCs w:val="20"/>
        </w:rPr>
        <w:t xml:space="preserve"> Department of Labor, Bureau of Labor Statistics</w:t>
      </w:r>
      <w:r w:rsidR="000A5D8C" w:rsidRPr="00037F4F">
        <w:rPr>
          <w:color w:val="000000"/>
          <w:sz w:val="20"/>
          <w:szCs w:val="20"/>
        </w:rPr>
        <w:t>.</w:t>
      </w:r>
      <w:r w:rsidR="00AD7483">
        <w:rPr>
          <w:color w:val="000000"/>
          <w:sz w:val="20"/>
          <w:szCs w:val="20"/>
        </w:rPr>
        <w:t xml:space="preserve"> Wage categories used: phone verification - </w:t>
      </w:r>
      <w:r w:rsidR="000A5D8C">
        <w:rPr>
          <w:color w:val="000000"/>
          <w:sz w:val="20"/>
          <w:szCs w:val="20"/>
        </w:rPr>
        <w:t xml:space="preserve">office and administrative support workers; </w:t>
      </w:r>
      <w:r w:rsidR="00AD7483">
        <w:rPr>
          <w:color w:val="000000"/>
          <w:sz w:val="20"/>
          <w:szCs w:val="20"/>
        </w:rPr>
        <w:t xml:space="preserve">pre-test - </w:t>
      </w:r>
      <w:r w:rsidR="000A5D8C">
        <w:rPr>
          <w:color w:val="000000"/>
          <w:sz w:val="20"/>
          <w:szCs w:val="20"/>
        </w:rPr>
        <w:t xml:space="preserve">medical and health services managers </w:t>
      </w:r>
      <w:r w:rsidR="003C60BD" w:rsidRPr="00037F4F">
        <w:rPr>
          <w:color w:val="000000"/>
          <w:sz w:val="20"/>
          <w:szCs w:val="20"/>
        </w:rPr>
        <w:t xml:space="preserve">in the </w:t>
      </w:r>
      <w:smartTag w:uri="urn:schemas-microsoft-com:office:smarttags" w:element="place">
        <w:smartTag w:uri="urn:schemas-microsoft-com:office:smarttags" w:element="country-region">
          <w:r w:rsidR="003C60BD" w:rsidRPr="00037F4F">
            <w:rPr>
              <w:color w:val="000000"/>
              <w:sz w:val="20"/>
              <w:szCs w:val="20"/>
            </w:rPr>
            <w:t>United States</w:t>
          </w:r>
        </w:smartTag>
      </w:smartTag>
      <w:r w:rsidR="00AD7483">
        <w:rPr>
          <w:color w:val="000000"/>
          <w:sz w:val="20"/>
          <w:szCs w:val="20"/>
        </w:rPr>
        <w:t xml:space="preserve">. </w:t>
      </w:r>
    </w:p>
    <w:p w:rsidR="00115D90" w:rsidRDefault="00115D90" w:rsidP="003C60BD"/>
    <w:p w:rsidR="009B633D" w:rsidRPr="00412C6F" w:rsidRDefault="009B633D" w:rsidP="009B633D">
      <w:pPr>
        <w:pStyle w:val="Heading2"/>
        <w:rPr>
          <w:sz w:val="24"/>
        </w:rPr>
      </w:pPr>
      <w:bookmarkStart w:id="30" w:name="_Toc151782188"/>
      <w:bookmarkStart w:id="31" w:name="_Toc158526228"/>
      <w:r w:rsidRPr="00412C6F">
        <w:rPr>
          <w:sz w:val="24"/>
        </w:rPr>
        <w:t>13. Estimates of Annualized Respondent Capital and Maintenance Costs</w:t>
      </w:r>
      <w:bookmarkEnd w:id="30"/>
      <w:bookmarkEnd w:id="31"/>
    </w:p>
    <w:p w:rsidR="00E14FC3" w:rsidRDefault="00C205C8" w:rsidP="00C205C8">
      <w:pPr>
        <w:spacing w:before="120"/>
      </w:pPr>
      <w:r>
        <w:t>T</w:t>
      </w:r>
      <w:r w:rsidR="0080612B">
        <w:t>here are no direct costs to respondents other than their time to participate in the study.</w:t>
      </w:r>
    </w:p>
    <w:p w:rsidR="009B633D" w:rsidRPr="00412C6F" w:rsidRDefault="009B633D" w:rsidP="009B633D">
      <w:pPr>
        <w:pStyle w:val="Heading2"/>
        <w:rPr>
          <w:sz w:val="24"/>
        </w:rPr>
      </w:pPr>
      <w:bookmarkStart w:id="32" w:name="_Toc58725299"/>
      <w:bookmarkStart w:id="33" w:name="_Toc151782189"/>
      <w:bookmarkStart w:id="34" w:name="_Toc158526229"/>
      <w:r w:rsidRPr="00412C6F">
        <w:rPr>
          <w:sz w:val="24"/>
        </w:rPr>
        <w:t>14. Estimates of Annualized Cost to the Government</w:t>
      </w:r>
      <w:bookmarkEnd w:id="32"/>
      <w:bookmarkEnd w:id="33"/>
      <w:bookmarkEnd w:id="34"/>
    </w:p>
    <w:p w:rsidR="00D615A2" w:rsidRPr="00AC1592" w:rsidRDefault="00D615A2" w:rsidP="00D615A2">
      <w:pPr>
        <w:pStyle w:val="BodyText"/>
      </w:pPr>
      <w:bookmarkStart w:id="35" w:name="_Toc151782190"/>
      <w:bookmarkStart w:id="36" w:name="_Toc158526230"/>
      <w:r w:rsidRPr="00AC1592">
        <w:t xml:space="preserve">The total cost </w:t>
      </w:r>
      <w:r>
        <w:t xml:space="preserve">of this contract </w:t>
      </w:r>
      <w:r w:rsidRPr="00AC1592">
        <w:t>to the government is $</w:t>
      </w:r>
      <w:r>
        <w:t>4</w:t>
      </w:r>
      <w:r w:rsidR="0092280E">
        <w:t>39,552</w:t>
      </w:r>
      <w:r w:rsidRPr="00AC1592">
        <w:t xml:space="preserve">.  The project extends over </w:t>
      </w:r>
      <w:r w:rsidR="00243130">
        <w:t>four</w:t>
      </w:r>
      <w:r>
        <w:t xml:space="preserve"> </w:t>
      </w:r>
      <w:r w:rsidRPr="00AC1592">
        <w:t>years</w:t>
      </w:r>
      <w:r w:rsidR="0088437E">
        <w:t>, but this request is for a one year OMB clearance</w:t>
      </w:r>
      <w:r w:rsidR="00B13571">
        <w:t>, which covers the data collection period</w:t>
      </w:r>
      <w:r w:rsidR="0088437E">
        <w:t>.</w:t>
      </w:r>
      <w:r w:rsidRPr="00AC1592">
        <w:t xml:space="preserve"> Exhibit 3 shows a breakdown of the total cost as well as the annualized cost.</w:t>
      </w:r>
      <w:r>
        <w:br/>
      </w:r>
    </w:p>
    <w:p w:rsidR="00D615A2" w:rsidRPr="00F172A3" w:rsidRDefault="00D615A2" w:rsidP="00AD7483">
      <w:pPr>
        <w:keepNext/>
        <w:spacing w:line="360" w:lineRule="auto"/>
        <w:rPr>
          <w:b/>
          <w:bCs/>
        </w:rPr>
      </w:pPr>
      <w:r w:rsidRPr="00F172A3">
        <w:rPr>
          <w:b/>
          <w:bCs/>
        </w:rPr>
        <w:t>Exhibit 3.</w:t>
      </w:r>
      <w:r w:rsidR="00115D90" w:rsidRPr="00F172A3">
        <w:rPr>
          <w:b/>
          <w:bCs/>
        </w:rPr>
        <w:t xml:space="preserve">  Total and annualized cost burden to the government</w:t>
      </w:r>
    </w:p>
    <w:tbl>
      <w:tblPr>
        <w:tblW w:w="0" w:type="auto"/>
        <w:tblBorders>
          <w:top w:val="single" w:sz="12" w:space="0" w:color="auto"/>
          <w:left w:val="single" w:sz="12" w:space="0" w:color="auto"/>
          <w:bottom w:val="single" w:sz="12" w:space="0" w:color="auto"/>
          <w:right w:val="single" w:sz="12" w:space="0" w:color="auto"/>
          <w:insideH w:val="inset" w:sz="6" w:space="0" w:color="auto"/>
          <w:insideV w:val="inset" w:sz="6" w:space="0" w:color="auto"/>
        </w:tblBorders>
        <w:tblCellMar>
          <w:left w:w="0" w:type="dxa"/>
          <w:right w:w="0" w:type="dxa"/>
        </w:tblCellMar>
        <w:tblLook w:val="0000"/>
      </w:tblPr>
      <w:tblGrid>
        <w:gridCol w:w="3708"/>
        <w:gridCol w:w="1440"/>
        <w:gridCol w:w="1980"/>
      </w:tblGrid>
      <w:tr w:rsidR="00D615A2" w:rsidRPr="00AC1592" w:rsidTr="00DD5193">
        <w:tc>
          <w:tcPr>
            <w:tcW w:w="3708" w:type="dxa"/>
            <w:tcMar>
              <w:top w:w="0" w:type="dxa"/>
              <w:left w:w="108" w:type="dxa"/>
              <w:bottom w:w="0" w:type="dxa"/>
              <w:right w:w="108" w:type="dxa"/>
            </w:tcMar>
            <w:vAlign w:val="bottom"/>
          </w:tcPr>
          <w:p w:rsidR="00D615A2" w:rsidRPr="00193A5F" w:rsidRDefault="00D615A2" w:rsidP="00AD7483">
            <w:pPr>
              <w:keepNext/>
              <w:spacing w:before="40" w:after="40"/>
              <w:rPr>
                <w:b/>
              </w:rPr>
            </w:pPr>
            <w:r w:rsidRPr="00193A5F">
              <w:rPr>
                <w:b/>
              </w:rPr>
              <w:t xml:space="preserve">Cost Component </w:t>
            </w:r>
          </w:p>
        </w:tc>
        <w:tc>
          <w:tcPr>
            <w:tcW w:w="1440" w:type="dxa"/>
            <w:tcMar>
              <w:top w:w="0" w:type="dxa"/>
              <w:left w:w="108" w:type="dxa"/>
              <w:bottom w:w="0" w:type="dxa"/>
              <w:right w:w="108" w:type="dxa"/>
            </w:tcMar>
            <w:vAlign w:val="center"/>
          </w:tcPr>
          <w:p w:rsidR="00D615A2" w:rsidRPr="00193A5F" w:rsidRDefault="00D615A2" w:rsidP="00AD7483">
            <w:pPr>
              <w:keepNext/>
              <w:spacing w:before="40" w:after="40"/>
              <w:jc w:val="center"/>
              <w:rPr>
                <w:b/>
              </w:rPr>
            </w:pPr>
            <w:r w:rsidRPr="00193A5F">
              <w:rPr>
                <w:b/>
              </w:rPr>
              <w:t>Total Cost</w:t>
            </w:r>
          </w:p>
        </w:tc>
        <w:tc>
          <w:tcPr>
            <w:tcW w:w="1980" w:type="dxa"/>
            <w:tcMar>
              <w:top w:w="0" w:type="dxa"/>
              <w:left w:w="108" w:type="dxa"/>
              <w:bottom w:w="0" w:type="dxa"/>
              <w:right w:w="108" w:type="dxa"/>
            </w:tcMar>
            <w:vAlign w:val="center"/>
          </w:tcPr>
          <w:p w:rsidR="00D615A2" w:rsidRPr="00193A5F" w:rsidRDefault="00D615A2" w:rsidP="00AD7483">
            <w:pPr>
              <w:keepNext/>
              <w:spacing w:before="40" w:after="40"/>
              <w:jc w:val="center"/>
              <w:rPr>
                <w:b/>
              </w:rPr>
            </w:pPr>
            <w:r>
              <w:rPr>
                <w:b/>
              </w:rPr>
              <w:t>Annualized Cost</w:t>
            </w:r>
          </w:p>
        </w:tc>
      </w:tr>
      <w:tr w:rsidR="00D615A2" w:rsidRPr="00AC1592" w:rsidTr="00DD5193">
        <w:tc>
          <w:tcPr>
            <w:tcW w:w="3708" w:type="dxa"/>
            <w:tcMar>
              <w:top w:w="0" w:type="dxa"/>
              <w:left w:w="108" w:type="dxa"/>
              <w:bottom w:w="0" w:type="dxa"/>
              <w:right w:w="108" w:type="dxa"/>
            </w:tcMar>
            <w:vAlign w:val="center"/>
          </w:tcPr>
          <w:p w:rsidR="00D615A2" w:rsidRPr="00193A5F" w:rsidRDefault="00D615A2" w:rsidP="00AD7483">
            <w:pPr>
              <w:keepNext/>
            </w:pPr>
            <w:bookmarkStart w:id="37" w:name="_Hlk218500168"/>
            <w:r w:rsidRPr="00193A5F">
              <w:t>Project Development</w:t>
            </w:r>
          </w:p>
        </w:tc>
        <w:tc>
          <w:tcPr>
            <w:tcW w:w="1440" w:type="dxa"/>
            <w:tcMar>
              <w:top w:w="0" w:type="dxa"/>
              <w:left w:w="108" w:type="dxa"/>
              <w:bottom w:w="0" w:type="dxa"/>
              <w:right w:w="108" w:type="dxa"/>
            </w:tcMar>
            <w:vAlign w:val="bottom"/>
          </w:tcPr>
          <w:p w:rsidR="00D615A2" w:rsidRPr="00F22FAD" w:rsidRDefault="00243130" w:rsidP="0092280E">
            <w:pPr>
              <w:keepNext/>
              <w:jc w:val="right"/>
            </w:pPr>
            <w:r>
              <w:t>$125,000</w:t>
            </w:r>
          </w:p>
        </w:tc>
        <w:tc>
          <w:tcPr>
            <w:tcW w:w="1980" w:type="dxa"/>
            <w:tcMar>
              <w:top w:w="0" w:type="dxa"/>
              <w:left w:w="108" w:type="dxa"/>
              <w:bottom w:w="0" w:type="dxa"/>
              <w:right w:w="108" w:type="dxa"/>
            </w:tcMar>
            <w:vAlign w:val="bottom"/>
          </w:tcPr>
          <w:p w:rsidR="00D615A2" w:rsidRPr="00F22FAD" w:rsidRDefault="00243130" w:rsidP="0092280E">
            <w:pPr>
              <w:keepNext/>
              <w:jc w:val="right"/>
            </w:pPr>
            <w:r>
              <w:t>$31,250</w:t>
            </w:r>
          </w:p>
        </w:tc>
      </w:tr>
      <w:tr w:rsidR="00D615A2" w:rsidRPr="00AC1592" w:rsidTr="00DD5193">
        <w:tc>
          <w:tcPr>
            <w:tcW w:w="3708" w:type="dxa"/>
            <w:tcMar>
              <w:top w:w="0" w:type="dxa"/>
              <w:left w:w="108" w:type="dxa"/>
              <w:bottom w:w="0" w:type="dxa"/>
              <w:right w:w="108" w:type="dxa"/>
            </w:tcMar>
            <w:vAlign w:val="center"/>
          </w:tcPr>
          <w:p w:rsidR="00D615A2" w:rsidRPr="00193A5F" w:rsidRDefault="00D615A2" w:rsidP="00AD7483">
            <w:pPr>
              <w:keepNext/>
              <w:spacing w:before="40" w:after="40"/>
              <w:rPr>
                <w:bCs/>
              </w:rPr>
            </w:pPr>
            <w:r w:rsidRPr="00193A5F">
              <w:rPr>
                <w:bCs/>
              </w:rPr>
              <w:t>Data Collection Activities</w:t>
            </w:r>
          </w:p>
        </w:tc>
        <w:tc>
          <w:tcPr>
            <w:tcW w:w="1440" w:type="dxa"/>
            <w:tcMar>
              <w:top w:w="0" w:type="dxa"/>
              <w:left w:w="108" w:type="dxa"/>
              <w:bottom w:w="0" w:type="dxa"/>
              <w:right w:w="108" w:type="dxa"/>
            </w:tcMar>
            <w:vAlign w:val="bottom"/>
          </w:tcPr>
          <w:p w:rsidR="00D615A2" w:rsidRPr="00F22FAD" w:rsidRDefault="00243130" w:rsidP="0092280E">
            <w:pPr>
              <w:keepNext/>
              <w:jc w:val="right"/>
            </w:pPr>
            <w:r>
              <w:t>$90,000</w:t>
            </w:r>
          </w:p>
        </w:tc>
        <w:tc>
          <w:tcPr>
            <w:tcW w:w="1980" w:type="dxa"/>
            <w:tcMar>
              <w:top w:w="0" w:type="dxa"/>
              <w:left w:w="108" w:type="dxa"/>
              <w:bottom w:w="0" w:type="dxa"/>
              <w:right w:w="108" w:type="dxa"/>
            </w:tcMar>
            <w:vAlign w:val="bottom"/>
          </w:tcPr>
          <w:p w:rsidR="00D615A2" w:rsidRPr="00F22FAD" w:rsidRDefault="00243130" w:rsidP="0092280E">
            <w:pPr>
              <w:keepNext/>
              <w:jc w:val="right"/>
            </w:pPr>
            <w:r>
              <w:t>$22,500</w:t>
            </w:r>
          </w:p>
        </w:tc>
      </w:tr>
      <w:tr w:rsidR="00D615A2" w:rsidRPr="00AC1592" w:rsidTr="00DD5193">
        <w:tc>
          <w:tcPr>
            <w:tcW w:w="3708" w:type="dxa"/>
            <w:tcMar>
              <w:top w:w="0" w:type="dxa"/>
              <w:left w:w="108" w:type="dxa"/>
              <w:bottom w:w="0" w:type="dxa"/>
              <w:right w:w="108" w:type="dxa"/>
            </w:tcMar>
            <w:vAlign w:val="center"/>
          </w:tcPr>
          <w:p w:rsidR="00D615A2" w:rsidRPr="00193A5F" w:rsidRDefault="00D615A2" w:rsidP="00AD7483">
            <w:pPr>
              <w:keepNext/>
              <w:spacing w:before="40" w:after="40"/>
              <w:rPr>
                <w:bCs/>
              </w:rPr>
            </w:pPr>
            <w:r w:rsidRPr="00193A5F">
              <w:rPr>
                <w:bCs/>
              </w:rPr>
              <w:t>Data Processing and Analysis</w:t>
            </w:r>
          </w:p>
        </w:tc>
        <w:tc>
          <w:tcPr>
            <w:tcW w:w="1440" w:type="dxa"/>
            <w:tcMar>
              <w:top w:w="0" w:type="dxa"/>
              <w:left w:w="108" w:type="dxa"/>
              <w:bottom w:w="0" w:type="dxa"/>
              <w:right w:w="108" w:type="dxa"/>
            </w:tcMar>
            <w:vAlign w:val="bottom"/>
          </w:tcPr>
          <w:p w:rsidR="00D615A2" w:rsidRPr="00F22FAD" w:rsidRDefault="00243130" w:rsidP="0092280E">
            <w:pPr>
              <w:keepNext/>
              <w:jc w:val="right"/>
            </w:pPr>
            <w:r>
              <w:t>$30,000</w:t>
            </w:r>
          </w:p>
        </w:tc>
        <w:tc>
          <w:tcPr>
            <w:tcW w:w="1980" w:type="dxa"/>
            <w:tcMar>
              <w:top w:w="0" w:type="dxa"/>
              <w:left w:w="108" w:type="dxa"/>
              <w:bottom w:w="0" w:type="dxa"/>
              <w:right w:w="108" w:type="dxa"/>
            </w:tcMar>
            <w:vAlign w:val="bottom"/>
          </w:tcPr>
          <w:p w:rsidR="00D615A2" w:rsidRPr="00F22FAD" w:rsidRDefault="00243130" w:rsidP="0092280E">
            <w:pPr>
              <w:keepNext/>
              <w:jc w:val="right"/>
            </w:pPr>
            <w:r>
              <w:t>$7,500</w:t>
            </w:r>
          </w:p>
        </w:tc>
      </w:tr>
      <w:tr w:rsidR="00D615A2" w:rsidRPr="00AC1592" w:rsidTr="00DD5193">
        <w:tc>
          <w:tcPr>
            <w:tcW w:w="3708" w:type="dxa"/>
            <w:tcMar>
              <w:top w:w="0" w:type="dxa"/>
              <w:left w:w="108" w:type="dxa"/>
              <w:bottom w:w="0" w:type="dxa"/>
              <w:right w:w="108" w:type="dxa"/>
            </w:tcMar>
            <w:vAlign w:val="center"/>
          </w:tcPr>
          <w:p w:rsidR="00D615A2" w:rsidRPr="00193A5F" w:rsidRDefault="00243130" w:rsidP="00AD7483">
            <w:pPr>
              <w:keepNext/>
              <w:spacing w:before="40" w:after="40"/>
              <w:rPr>
                <w:bCs/>
              </w:rPr>
            </w:pPr>
            <w:r>
              <w:rPr>
                <w:bCs/>
              </w:rPr>
              <w:t>Reporting of results</w:t>
            </w:r>
          </w:p>
        </w:tc>
        <w:tc>
          <w:tcPr>
            <w:tcW w:w="1440" w:type="dxa"/>
            <w:tcMar>
              <w:top w:w="0" w:type="dxa"/>
              <w:left w:w="108" w:type="dxa"/>
              <w:bottom w:w="0" w:type="dxa"/>
              <w:right w:w="108" w:type="dxa"/>
            </w:tcMar>
            <w:vAlign w:val="bottom"/>
          </w:tcPr>
          <w:p w:rsidR="00D615A2" w:rsidRPr="00F22FAD" w:rsidRDefault="00243130" w:rsidP="0092280E">
            <w:pPr>
              <w:keepNext/>
              <w:jc w:val="right"/>
            </w:pPr>
            <w:r>
              <w:t>$30,000</w:t>
            </w:r>
          </w:p>
        </w:tc>
        <w:tc>
          <w:tcPr>
            <w:tcW w:w="1980" w:type="dxa"/>
            <w:tcMar>
              <w:top w:w="0" w:type="dxa"/>
              <w:left w:w="108" w:type="dxa"/>
              <w:bottom w:w="0" w:type="dxa"/>
              <w:right w:w="108" w:type="dxa"/>
            </w:tcMar>
            <w:vAlign w:val="bottom"/>
          </w:tcPr>
          <w:p w:rsidR="00D615A2" w:rsidRPr="00F22FAD" w:rsidRDefault="00243130" w:rsidP="0092280E">
            <w:pPr>
              <w:keepNext/>
              <w:jc w:val="right"/>
            </w:pPr>
            <w:r>
              <w:t>$7,500</w:t>
            </w:r>
          </w:p>
        </w:tc>
      </w:tr>
      <w:tr w:rsidR="00D615A2" w:rsidRPr="00AC1592" w:rsidTr="00DD5193">
        <w:tc>
          <w:tcPr>
            <w:tcW w:w="3708" w:type="dxa"/>
            <w:tcMar>
              <w:top w:w="0" w:type="dxa"/>
              <w:left w:w="108" w:type="dxa"/>
              <w:bottom w:w="0" w:type="dxa"/>
              <w:right w:w="108" w:type="dxa"/>
            </w:tcMar>
            <w:vAlign w:val="center"/>
          </w:tcPr>
          <w:p w:rsidR="00D615A2" w:rsidRPr="00193A5F" w:rsidRDefault="00D615A2" w:rsidP="00AD7483">
            <w:pPr>
              <w:keepNext/>
              <w:spacing w:before="40" w:after="40"/>
              <w:rPr>
                <w:bCs/>
              </w:rPr>
            </w:pPr>
            <w:r w:rsidRPr="00193A5F">
              <w:rPr>
                <w:bCs/>
              </w:rPr>
              <w:t>Project Management</w:t>
            </w:r>
          </w:p>
        </w:tc>
        <w:tc>
          <w:tcPr>
            <w:tcW w:w="1440" w:type="dxa"/>
            <w:tcMar>
              <w:top w:w="0" w:type="dxa"/>
              <w:left w:w="108" w:type="dxa"/>
              <w:bottom w:w="0" w:type="dxa"/>
              <w:right w:w="108" w:type="dxa"/>
            </w:tcMar>
            <w:vAlign w:val="bottom"/>
          </w:tcPr>
          <w:p w:rsidR="00D615A2" w:rsidRPr="00F22FAD" w:rsidRDefault="00243130" w:rsidP="0092280E">
            <w:pPr>
              <w:keepNext/>
              <w:jc w:val="right"/>
            </w:pPr>
            <w:r>
              <w:t>$</w:t>
            </w:r>
            <w:r w:rsidR="004A5193">
              <w:t xml:space="preserve"> 164,552</w:t>
            </w:r>
          </w:p>
        </w:tc>
        <w:tc>
          <w:tcPr>
            <w:tcW w:w="1980" w:type="dxa"/>
            <w:tcMar>
              <w:top w:w="0" w:type="dxa"/>
              <w:left w:w="108" w:type="dxa"/>
              <w:bottom w:w="0" w:type="dxa"/>
              <w:right w:w="108" w:type="dxa"/>
            </w:tcMar>
            <w:vAlign w:val="bottom"/>
          </w:tcPr>
          <w:p w:rsidR="00D615A2" w:rsidRPr="00F22FAD" w:rsidRDefault="00243130" w:rsidP="0092280E">
            <w:pPr>
              <w:keepNext/>
              <w:jc w:val="right"/>
            </w:pPr>
            <w:r>
              <w:t>$</w:t>
            </w:r>
            <w:r w:rsidR="004A5193">
              <w:t xml:space="preserve"> 41,138</w:t>
            </w:r>
          </w:p>
        </w:tc>
      </w:tr>
      <w:bookmarkEnd w:id="37"/>
      <w:tr w:rsidR="00D615A2" w:rsidRPr="00AC1592" w:rsidTr="00DD5193">
        <w:tc>
          <w:tcPr>
            <w:tcW w:w="3708" w:type="dxa"/>
            <w:tcMar>
              <w:top w:w="0" w:type="dxa"/>
              <w:left w:w="108" w:type="dxa"/>
              <w:bottom w:w="0" w:type="dxa"/>
              <w:right w:w="108" w:type="dxa"/>
            </w:tcMar>
            <w:vAlign w:val="center"/>
          </w:tcPr>
          <w:p w:rsidR="00D615A2" w:rsidRPr="00193A5F" w:rsidRDefault="00D615A2" w:rsidP="002B69B5">
            <w:pPr>
              <w:keepNext/>
              <w:spacing w:before="40" w:after="40"/>
            </w:pPr>
            <w:r w:rsidRPr="00193A5F">
              <w:rPr>
                <w:bCs/>
              </w:rPr>
              <w:t>TOTAL</w:t>
            </w:r>
            <w:r w:rsidR="0088437E">
              <w:rPr>
                <w:bCs/>
              </w:rPr>
              <w:t xml:space="preserve"> COSTS</w:t>
            </w:r>
          </w:p>
        </w:tc>
        <w:tc>
          <w:tcPr>
            <w:tcW w:w="1440" w:type="dxa"/>
            <w:tcMar>
              <w:top w:w="0" w:type="dxa"/>
              <w:left w:w="108" w:type="dxa"/>
              <w:bottom w:w="0" w:type="dxa"/>
              <w:right w:w="108" w:type="dxa"/>
            </w:tcMar>
            <w:vAlign w:val="bottom"/>
          </w:tcPr>
          <w:p w:rsidR="00D615A2" w:rsidRPr="00F22FAD" w:rsidRDefault="00243130" w:rsidP="0092280E">
            <w:pPr>
              <w:keepNext/>
              <w:jc w:val="right"/>
            </w:pPr>
            <w:r>
              <w:t>$</w:t>
            </w:r>
            <w:r w:rsidR="004A5193">
              <w:t xml:space="preserve"> 439,552</w:t>
            </w:r>
          </w:p>
        </w:tc>
        <w:tc>
          <w:tcPr>
            <w:tcW w:w="1980" w:type="dxa"/>
            <w:tcMar>
              <w:top w:w="0" w:type="dxa"/>
              <w:left w:w="108" w:type="dxa"/>
              <w:bottom w:w="0" w:type="dxa"/>
              <w:right w:w="108" w:type="dxa"/>
            </w:tcMar>
            <w:vAlign w:val="bottom"/>
          </w:tcPr>
          <w:p w:rsidR="00D615A2" w:rsidRPr="00F22FAD" w:rsidRDefault="00243130" w:rsidP="0092280E">
            <w:pPr>
              <w:keepNext/>
              <w:jc w:val="right"/>
            </w:pPr>
            <w:r>
              <w:t>$</w:t>
            </w:r>
            <w:r w:rsidR="004A5193">
              <w:t xml:space="preserve"> 109,888</w:t>
            </w:r>
          </w:p>
        </w:tc>
      </w:tr>
    </w:tbl>
    <w:p w:rsidR="00D615A2" w:rsidRDefault="00D615A2" w:rsidP="00AD7483">
      <w:pPr>
        <w:keepNext/>
        <w:rPr>
          <w:b/>
          <w:bCs/>
          <w:color w:val="000000"/>
          <w:highlight w:val="red"/>
        </w:rPr>
      </w:pPr>
    </w:p>
    <w:p w:rsidR="009B633D" w:rsidRPr="00412C6F" w:rsidRDefault="009B633D" w:rsidP="009B633D">
      <w:pPr>
        <w:pStyle w:val="Heading2"/>
        <w:rPr>
          <w:sz w:val="24"/>
        </w:rPr>
      </w:pPr>
      <w:r w:rsidRPr="00412C6F">
        <w:rPr>
          <w:sz w:val="24"/>
        </w:rPr>
        <w:t>15. Changes in Hour Burden</w:t>
      </w:r>
      <w:bookmarkEnd w:id="35"/>
      <w:bookmarkEnd w:id="36"/>
    </w:p>
    <w:p w:rsidR="00C60779" w:rsidRPr="00C60779" w:rsidRDefault="00C60779" w:rsidP="00C60779">
      <w:bookmarkStart w:id="38" w:name="_Toc151782191"/>
      <w:bookmarkStart w:id="39" w:name="_Toc158526231"/>
      <w:r w:rsidRPr="00C60779">
        <w:t>This is a new collection</w:t>
      </w:r>
      <w:r>
        <w:t xml:space="preserve"> of information</w:t>
      </w:r>
      <w:r w:rsidRPr="00C60779">
        <w:t>.</w:t>
      </w:r>
    </w:p>
    <w:p w:rsidR="009B633D" w:rsidRPr="00412C6F" w:rsidRDefault="009B633D" w:rsidP="009B633D">
      <w:pPr>
        <w:pStyle w:val="Heading2"/>
        <w:rPr>
          <w:sz w:val="24"/>
        </w:rPr>
      </w:pPr>
      <w:r w:rsidRPr="00412C6F">
        <w:rPr>
          <w:sz w:val="24"/>
        </w:rPr>
        <w:t>16. Time Schedule, Publication and Analysis Plans</w:t>
      </w:r>
      <w:bookmarkEnd w:id="38"/>
      <w:bookmarkEnd w:id="39"/>
    </w:p>
    <w:p w:rsidR="00FA30BE" w:rsidRDefault="00FA30BE" w:rsidP="009B633D">
      <w:pPr>
        <w:spacing w:before="120"/>
        <w:rPr>
          <w:b/>
        </w:rPr>
      </w:pPr>
      <w:bookmarkStart w:id="40" w:name="_Toc151782192"/>
      <w:r w:rsidRPr="00FA30BE">
        <w:rPr>
          <w:b/>
        </w:rPr>
        <w:t>Time Schedule:</w:t>
      </w:r>
    </w:p>
    <w:p w:rsidR="00FA30BE" w:rsidRDefault="00FA30BE" w:rsidP="009B633D">
      <w:pPr>
        <w:spacing w:before="120"/>
      </w:pPr>
      <w:r w:rsidRPr="00AF0287">
        <w:t xml:space="preserve">Phase I of this project </w:t>
      </w:r>
      <w:r w:rsidR="00827FF8">
        <w:t xml:space="preserve">(not to be confused with the first phase of sampling described in Supporting Statement B) </w:t>
      </w:r>
      <w:r w:rsidRPr="00AF0287">
        <w:t xml:space="preserve">began in May 2008 and ended in April 2010.  During Phase I, the </w:t>
      </w:r>
      <w:r w:rsidR="00ED1101">
        <w:rPr>
          <w:i/>
        </w:rPr>
        <w:t>Assisted Living Provider Information Tool for Consumer Education</w:t>
      </w:r>
      <w:r w:rsidRPr="00AF0287">
        <w:t xml:space="preserve"> was developed through a national, voluntary consensus process involving approximately 12 voting member organizations and nearly 100 individual representatives from those organizations. </w:t>
      </w:r>
      <w:r w:rsidR="0088437E" w:rsidRPr="00AF0287">
        <w:t xml:space="preserve">Phase I of the project involved no data collection. </w:t>
      </w:r>
      <w:r w:rsidRPr="00AF0287">
        <w:t xml:space="preserve"> Phase II of th</w:t>
      </w:r>
      <w:r w:rsidR="00AD7483">
        <w:t>e</w:t>
      </w:r>
      <w:r w:rsidRPr="00AF0287">
        <w:t xml:space="preserve"> project began in September 2009 and will run through approximately </w:t>
      </w:r>
      <w:r w:rsidR="00132D21" w:rsidRPr="00AF0287">
        <w:t xml:space="preserve">Spring </w:t>
      </w:r>
      <w:r w:rsidRPr="00AF0287">
        <w:t>2012.  Phase II includes small scale testing via cognitive interviewing with nine AL providers</w:t>
      </w:r>
      <w:r w:rsidR="00C04D1C">
        <w:t>,</w:t>
      </w:r>
      <w:r w:rsidRPr="00AF0287">
        <w:t xml:space="preserve"> and large scale </w:t>
      </w:r>
      <w:r w:rsidR="00500952">
        <w:t>pre-</w:t>
      </w:r>
      <w:r w:rsidRPr="00AF0287">
        <w:t xml:space="preserve">testing via a mail survey with a target of </w:t>
      </w:r>
      <w:r w:rsidR="00930E08">
        <w:t xml:space="preserve">191 </w:t>
      </w:r>
      <w:r w:rsidRPr="00AF0287">
        <w:t>completed responses from AL</w:t>
      </w:r>
      <w:r w:rsidR="00D87E8D">
        <w:t>F</w:t>
      </w:r>
      <w:r w:rsidRPr="00AF0287">
        <w:t>s</w:t>
      </w:r>
      <w:r w:rsidR="005E7F61" w:rsidRPr="00AF0287">
        <w:t>, as described in this Supporting Statement</w:t>
      </w:r>
      <w:r w:rsidRPr="00AF0287">
        <w:t xml:space="preserve">.  We anticipate beginning </w:t>
      </w:r>
      <w:r w:rsidR="00EA0CEA" w:rsidRPr="00AF0287">
        <w:t xml:space="preserve">large scale </w:t>
      </w:r>
      <w:r w:rsidR="00500952">
        <w:t>pre-</w:t>
      </w:r>
      <w:r w:rsidR="00C04D1C">
        <w:t>testing</w:t>
      </w:r>
      <w:r w:rsidRPr="00AF0287">
        <w:t xml:space="preserve"> in </w:t>
      </w:r>
      <w:r w:rsidR="00AF0287">
        <w:t xml:space="preserve">Winter </w:t>
      </w:r>
      <w:r w:rsidRPr="00AF0287">
        <w:t>201</w:t>
      </w:r>
      <w:r w:rsidR="00AF0287">
        <w:t>2</w:t>
      </w:r>
      <w:r w:rsidRPr="00AF0287">
        <w:t xml:space="preserve"> and completing data collection </w:t>
      </w:r>
      <w:r w:rsidR="00AF0287">
        <w:t>within three months</w:t>
      </w:r>
      <w:r w:rsidRPr="00AF0287">
        <w:t xml:space="preserve">, with analysis and reporting </w:t>
      </w:r>
      <w:r w:rsidR="0088437E" w:rsidRPr="00AF0287">
        <w:t xml:space="preserve">beginning </w:t>
      </w:r>
      <w:r w:rsidR="00AF0287">
        <w:t xml:space="preserve">directly thereafter. </w:t>
      </w:r>
      <w:r w:rsidR="0088437E" w:rsidRPr="00AF0287">
        <w:t xml:space="preserve">Phase III of the project </w:t>
      </w:r>
      <w:r w:rsidR="00B94CF4">
        <w:t>involves the dissemination of the finalized provider tool to consumer intermediaries</w:t>
      </w:r>
      <w:r w:rsidR="001F185A">
        <w:t xml:space="preserve"> by the AL Disclosure Collaborative</w:t>
      </w:r>
      <w:r w:rsidR="00B94CF4">
        <w:t xml:space="preserve">. </w:t>
      </w:r>
      <w:r w:rsidR="001F185A">
        <w:t>AHRQ, as a member of the AL</w:t>
      </w:r>
      <w:r w:rsidR="001F185A" w:rsidRPr="001F185A">
        <w:t xml:space="preserve"> </w:t>
      </w:r>
      <w:r w:rsidR="001F185A">
        <w:t xml:space="preserve">Disclosure Collaborative, will participate in </w:t>
      </w:r>
      <w:r w:rsidR="00194B00">
        <w:t xml:space="preserve">Phase III </w:t>
      </w:r>
      <w:r w:rsidR="001F185A">
        <w:t>planning</w:t>
      </w:r>
      <w:r w:rsidR="00194B00">
        <w:t xml:space="preserve"> </w:t>
      </w:r>
      <w:r w:rsidR="001F185A">
        <w:t>(</w:t>
      </w:r>
      <w:r w:rsidR="0088437E" w:rsidRPr="00AF0287">
        <w:t xml:space="preserve">in the </w:t>
      </w:r>
      <w:r w:rsidR="00194B00">
        <w:t xml:space="preserve">initial </w:t>
      </w:r>
      <w:r w:rsidR="0088437E" w:rsidRPr="00AF0287">
        <w:t>stage</w:t>
      </w:r>
      <w:r w:rsidR="007E7052">
        <w:t>s now)</w:t>
      </w:r>
      <w:r w:rsidR="0088437E" w:rsidRPr="00AF0287">
        <w:t xml:space="preserve"> </w:t>
      </w:r>
      <w:r w:rsidR="007E7052">
        <w:t xml:space="preserve">and tool dissemination (commencing during the </w:t>
      </w:r>
      <w:r w:rsidR="00827DBB">
        <w:t>S</w:t>
      </w:r>
      <w:r w:rsidR="007E7052">
        <w:t>ummer of 2012)</w:t>
      </w:r>
      <w:r w:rsidR="001F185A">
        <w:t xml:space="preserve">. </w:t>
      </w:r>
      <w:r w:rsidR="007E7052">
        <w:t xml:space="preserve"> </w:t>
      </w:r>
      <w:r w:rsidR="001F185A">
        <w:t xml:space="preserve">Phase III efforts will not involve any Federal Government data collection activities. </w:t>
      </w:r>
    </w:p>
    <w:p w:rsidR="00CD53E4" w:rsidRPr="00AF0287" w:rsidRDefault="00CD53E4" w:rsidP="009B633D">
      <w:pPr>
        <w:spacing w:before="120"/>
      </w:pPr>
    </w:p>
    <w:p w:rsidR="00FA30BE" w:rsidRDefault="00FA30BE" w:rsidP="009B633D">
      <w:pPr>
        <w:spacing w:before="120"/>
        <w:rPr>
          <w:b/>
        </w:rPr>
      </w:pPr>
      <w:r>
        <w:rPr>
          <w:b/>
        </w:rPr>
        <w:t>Publication Plan:</w:t>
      </w:r>
    </w:p>
    <w:p w:rsidR="00CD53E4" w:rsidRDefault="00FA30BE" w:rsidP="009B633D">
      <w:pPr>
        <w:spacing w:before="120"/>
      </w:pPr>
      <w:r>
        <w:t>Results of the small and large scale testing will be provided to AHRQ</w:t>
      </w:r>
      <w:r w:rsidR="009E1BC9">
        <w:t xml:space="preserve"> by Abt</w:t>
      </w:r>
      <w:r w:rsidR="00AF0287">
        <w:t xml:space="preserve">; AHRQ will then make the final </w:t>
      </w:r>
      <w:r w:rsidR="00ED1101">
        <w:rPr>
          <w:rFonts w:ascii="Tms Rmn" w:hAnsi="Tms Rmn" w:cs="Tms Rmn"/>
          <w:i/>
          <w:color w:val="000000"/>
        </w:rPr>
        <w:t>Assisted Living Provider Information Tool for Consumer Education</w:t>
      </w:r>
      <w:r w:rsidR="00AF0287">
        <w:t xml:space="preserve"> available to the public via the AHRQ website. </w:t>
      </w:r>
      <w:r w:rsidR="00B94CF4">
        <w:t xml:space="preserve"> </w:t>
      </w:r>
    </w:p>
    <w:p w:rsidR="00FA30BE" w:rsidRPr="00FA30BE" w:rsidRDefault="00FA30BE" w:rsidP="00B72021">
      <w:pPr>
        <w:keepNext/>
        <w:spacing w:before="120"/>
      </w:pPr>
      <w:r>
        <w:rPr>
          <w:b/>
        </w:rPr>
        <w:t>Analysis Plans:</w:t>
      </w:r>
    </w:p>
    <w:p w:rsidR="00FD744A" w:rsidRDefault="00076786" w:rsidP="00B72021">
      <w:pPr>
        <w:keepNext/>
        <w:autoSpaceDE w:val="0"/>
        <w:autoSpaceDN w:val="0"/>
        <w:adjustRightInd w:val="0"/>
        <w:rPr>
          <w:rFonts w:ascii="Tms Rmn" w:hAnsi="Tms Rmn" w:cs="Tms Rmn"/>
          <w:color w:val="000000"/>
        </w:rPr>
      </w:pPr>
      <w:r>
        <w:rPr>
          <w:rFonts w:ascii="Tms Rmn" w:hAnsi="Tms Rmn" w:cs="Tms Rmn"/>
          <w:color w:val="000000"/>
        </w:rPr>
        <w:t xml:space="preserve">The data </w:t>
      </w:r>
      <w:r w:rsidR="0067111D">
        <w:rPr>
          <w:rFonts w:ascii="Tms Rmn" w:hAnsi="Tms Rmn" w:cs="Tms Rmn"/>
          <w:color w:val="000000"/>
        </w:rPr>
        <w:t xml:space="preserve">analysis </w:t>
      </w:r>
      <w:r>
        <w:rPr>
          <w:rFonts w:ascii="Tms Rmn" w:hAnsi="Tms Rmn" w:cs="Tms Rmn"/>
          <w:color w:val="000000"/>
        </w:rPr>
        <w:t xml:space="preserve">is  intended to </w:t>
      </w:r>
      <w:r w:rsidR="00FD744A">
        <w:rPr>
          <w:rFonts w:ascii="Tms Rmn" w:hAnsi="Tms Rmn" w:cs="Tms Rmn"/>
          <w:color w:val="000000"/>
        </w:rPr>
        <w:t xml:space="preserve">assess the completeness of </w:t>
      </w:r>
      <w:r w:rsidR="0067111D">
        <w:rPr>
          <w:rFonts w:ascii="Tms Rmn" w:hAnsi="Tms Rmn" w:cs="Tms Rmn"/>
          <w:color w:val="000000"/>
        </w:rPr>
        <w:t xml:space="preserve">questionnaire </w:t>
      </w:r>
      <w:r w:rsidR="00FD744A">
        <w:rPr>
          <w:rFonts w:ascii="Tms Rmn" w:hAnsi="Tms Rmn" w:cs="Tms Rmn"/>
          <w:color w:val="000000"/>
        </w:rPr>
        <w:t>responses</w:t>
      </w:r>
      <w:r w:rsidR="0067111D">
        <w:rPr>
          <w:rFonts w:ascii="Tms Rmn" w:hAnsi="Tms Rmn" w:cs="Tms Rmn"/>
          <w:color w:val="000000"/>
        </w:rPr>
        <w:t xml:space="preserve"> from a pre-test of the </w:t>
      </w:r>
      <w:r w:rsidR="00ED1101">
        <w:rPr>
          <w:rFonts w:ascii="Tms Rmn" w:hAnsi="Tms Rmn" w:cs="Tms Rmn"/>
          <w:i/>
          <w:color w:val="000000"/>
        </w:rPr>
        <w:t>Assisted Living Provider Information Tool for Consumer Education</w:t>
      </w:r>
      <w:r w:rsidR="00FD744A">
        <w:rPr>
          <w:rFonts w:ascii="Tms Rmn" w:hAnsi="Tms Rmn" w:cs="Tms Rmn"/>
          <w:color w:val="000000"/>
        </w:rPr>
        <w:t>, and to identify questions or areas in which the target audience may have difficulty responding.</w:t>
      </w:r>
      <w:r w:rsidR="00D95BFD">
        <w:rPr>
          <w:rFonts w:ascii="Tms Rmn" w:hAnsi="Tms Rmn" w:cs="Tms Rmn"/>
          <w:color w:val="000000"/>
        </w:rPr>
        <w:t xml:space="preserve">  It is not intended to collect nationally representative data for analysis or research.  As such, our analysis plans center on </w:t>
      </w:r>
      <w:r>
        <w:rPr>
          <w:rFonts w:ascii="Tms Rmn" w:hAnsi="Tms Rmn" w:cs="Tms Rmn"/>
          <w:color w:val="000000"/>
        </w:rPr>
        <w:t xml:space="preserve">descriptive statistics for the survey items.  </w:t>
      </w:r>
      <w:r w:rsidR="004849DA">
        <w:rPr>
          <w:rFonts w:ascii="Tms Rmn" w:hAnsi="Tms Rmn" w:cs="Tms Rmn"/>
          <w:color w:val="000000"/>
        </w:rPr>
        <w:t>Specifically, w</w:t>
      </w:r>
      <w:r>
        <w:rPr>
          <w:rFonts w:ascii="Tms Rmn" w:hAnsi="Tms Rmn" w:cs="Tms Rmn"/>
          <w:color w:val="000000"/>
        </w:rPr>
        <w:t>e will examine the following:</w:t>
      </w:r>
    </w:p>
    <w:p w:rsidR="00500952" w:rsidRDefault="00500952" w:rsidP="00B72021">
      <w:pPr>
        <w:keepNext/>
        <w:autoSpaceDE w:val="0"/>
        <w:autoSpaceDN w:val="0"/>
        <w:adjustRightInd w:val="0"/>
        <w:rPr>
          <w:rFonts w:ascii="Tms Rmn" w:hAnsi="Tms Rmn" w:cs="Tms Rmn"/>
          <w:color w:val="000000"/>
        </w:rPr>
      </w:pPr>
    </w:p>
    <w:p w:rsidR="00076786" w:rsidRDefault="00C04D1C" w:rsidP="00283388">
      <w:pPr>
        <w:keepNext/>
        <w:numPr>
          <w:ilvl w:val="0"/>
          <w:numId w:val="3"/>
        </w:numPr>
        <w:autoSpaceDE w:val="0"/>
        <w:autoSpaceDN w:val="0"/>
        <w:adjustRightInd w:val="0"/>
        <w:rPr>
          <w:rFonts w:ascii="Tms Rmn" w:hAnsi="Tms Rmn" w:cs="Tms Rmn"/>
          <w:color w:val="000000"/>
        </w:rPr>
      </w:pPr>
      <w:r>
        <w:rPr>
          <w:rFonts w:ascii="Tms Rmn" w:hAnsi="Tms Rmn" w:cs="Tms Rmn"/>
          <w:color w:val="000000"/>
        </w:rPr>
        <w:t>d</w:t>
      </w:r>
      <w:r w:rsidR="00076786">
        <w:rPr>
          <w:rFonts w:ascii="Tms Rmn" w:hAnsi="Tms Rmn" w:cs="Tms Rmn"/>
          <w:color w:val="000000"/>
        </w:rPr>
        <w:t>isposition of the survey</w:t>
      </w:r>
      <w:r w:rsidR="004849DA">
        <w:rPr>
          <w:rFonts w:ascii="Tms Rmn" w:hAnsi="Tms Rmn" w:cs="Tms Rmn"/>
          <w:color w:val="000000"/>
        </w:rPr>
        <w:t xml:space="preserve">s with respect to </w:t>
      </w:r>
      <w:r w:rsidR="00076786">
        <w:rPr>
          <w:rFonts w:ascii="Tms Rmn" w:hAnsi="Tms Rmn" w:cs="Tms Rmn"/>
          <w:color w:val="000000"/>
        </w:rPr>
        <w:t>the number of completed surveys, partial surveys, and non-responses;</w:t>
      </w:r>
    </w:p>
    <w:p w:rsidR="00500952" w:rsidRDefault="00500952" w:rsidP="00500952">
      <w:pPr>
        <w:keepNext/>
        <w:autoSpaceDE w:val="0"/>
        <w:autoSpaceDN w:val="0"/>
        <w:adjustRightInd w:val="0"/>
        <w:ind w:left="360"/>
        <w:rPr>
          <w:rFonts w:ascii="Tms Rmn" w:hAnsi="Tms Rmn" w:cs="Tms Rmn"/>
          <w:color w:val="000000"/>
        </w:rPr>
      </w:pPr>
    </w:p>
    <w:p w:rsidR="00076786" w:rsidRDefault="00076786" w:rsidP="00283388">
      <w:pPr>
        <w:keepNext/>
        <w:numPr>
          <w:ilvl w:val="0"/>
          <w:numId w:val="3"/>
        </w:numPr>
        <w:autoSpaceDE w:val="0"/>
        <w:autoSpaceDN w:val="0"/>
        <w:adjustRightInd w:val="0"/>
        <w:rPr>
          <w:rFonts w:ascii="Tms Rmn" w:hAnsi="Tms Rmn" w:cs="Tms Rmn"/>
          <w:color w:val="000000"/>
        </w:rPr>
      </w:pPr>
      <w:r>
        <w:rPr>
          <w:rFonts w:ascii="Tms Rmn" w:hAnsi="Tms Rmn" w:cs="Tms Rmn"/>
          <w:color w:val="000000"/>
        </w:rPr>
        <w:t>distribution</w:t>
      </w:r>
      <w:r w:rsidR="004849DA">
        <w:rPr>
          <w:rFonts w:ascii="Tms Rmn" w:hAnsi="Tms Rmn" w:cs="Tms Rmn"/>
          <w:color w:val="000000"/>
        </w:rPr>
        <w:t xml:space="preserve">s, </w:t>
      </w:r>
      <w:r>
        <w:rPr>
          <w:rFonts w:ascii="Tms Rmn" w:hAnsi="Tms Rmn" w:cs="Tms Rmn"/>
          <w:color w:val="000000"/>
        </w:rPr>
        <w:t>including missing data</w:t>
      </w:r>
      <w:r w:rsidR="004849DA">
        <w:rPr>
          <w:rFonts w:ascii="Tms Rmn" w:hAnsi="Tms Rmn" w:cs="Tms Rmn"/>
          <w:color w:val="000000"/>
        </w:rPr>
        <w:t>, by survey item</w:t>
      </w:r>
      <w:r>
        <w:rPr>
          <w:rFonts w:ascii="Tms Rmn" w:hAnsi="Tms Rmn" w:cs="Tms Rmn"/>
          <w:color w:val="000000"/>
        </w:rPr>
        <w:t>;</w:t>
      </w:r>
    </w:p>
    <w:p w:rsidR="00500952" w:rsidRDefault="00500952" w:rsidP="00500952">
      <w:pPr>
        <w:keepNext/>
        <w:autoSpaceDE w:val="0"/>
        <w:autoSpaceDN w:val="0"/>
        <w:adjustRightInd w:val="0"/>
        <w:ind w:left="360"/>
        <w:rPr>
          <w:rFonts w:ascii="Tms Rmn" w:hAnsi="Tms Rmn" w:cs="Tms Rmn"/>
          <w:color w:val="000000"/>
        </w:rPr>
      </w:pPr>
    </w:p>
    <w:p w:rsidR="00076786" w:rsidRDefault="00076786" w:rsidP="00283388">
      <w:pPr>
        <w:keepNext/>
        <w:numPr>
          <w:ilvl w:val="0"/>
          <w:numId w:val="3"/>
        </w:numPr>
        <w:autoSpaceDE w:val="0"/>
        <w:autoSpaceDN w:val="0"/>
        <w:adjustRightInd w:val="0"/>
        <w:rPr>
          <w:rFonts w:ascii="Tms Rmn" w:hAnsi="Tms Rmn" w:cs="Tms Rmn"/>
          <w:color w:val="000000"/>
        </w:rPr>
      </w:pPr>
      <w:r>
        <w:rPr>
          <w:rFonts w:ascii="Tms Rmn" w:hAnsi="Tms Rmn" w:cs="Tms Rmn"/>
          <w:color w:val="000000"/>
        </w:rPr>
        <w:t xml:space="preserve">disposition of surveys and distribution of responses by characteristics of the sample, including </w:t>
      </w:r>
      <w:r w:rsidR="00115D90">
        <w:rPr>
          <w:rFonts w:ascii="Tms Rmn" w:hAnsi="Tms Rmn" w:cs="Tms Rmn"/>
          <w:color w:val="000000"/>
        </w:rPr>
        <w:t xml:space="preserve">ALF location, </w:t>
      </w:r>
      <w:r>
        <w:rPr>
          <w:rFonts w:ascii="Tms Rmn" w:hAnsi="Tms Rmn" w:cs="Tms Rmn"/>
          <w:color w:val="000000"/>
        </w:rPr>
        <w:t>size, profit status</w:t>
      </w:r>
      <w:r w:rsidR="00AD6072">
        <w:rPr>
          <w:rFonts w:ascii="Tms Rmn" w:hAnsi="Tms Rmn" w:cs="Tms Rmn"/>
          <w:color w:val="000000"/>
        </w:rPr>
        <w:t xml:space="preserve">, </w:t>
      </w:r>
      <w:r w:rsidR="00115D90">
        <w:rPr>
          <w:rFonts w:ascii="Tms Rmn" w:hAnsi="Tms Rmn" w:cs="Tms Rmn"/>
          <w:color w:val="000000"/>
        </w:rPr>
        <w:t>affiliation with another level of care, and presence of a dementia care neighborhood</w:t>
      </w:r>
      <w:r>
        <w:rPr>
          <w:rFonts w:ascii="Tms Rmn" w:hAnsi="Tms Rmn" w:cs="Tms Rmn"/>
          <w:color w:val="000000"/>
        </w:rPr>
        <w:t>;</w:t>
      </w:r>
    </w:p>
    <w:p w:rsidR="00500952" w:rsidRDefault="00500952" w:rsidP="00500952">
      <w:pPr>
        <w:keepNext/>
        <w:autoSpaceDE w:val="0"/>
        <w:autoSpaceDN w:val="0"/>
        <w:adjustRightInd w:val="0"/>
        <w:ind w:left="360"/>
        <w:rPr>
          <w:rFonts w:ascii="Tms Rmn" w:hAnsi="Tms Rmn" w:cs="Tms Rmn"/>
          <w:color w:val="000000"/>
        </w:rPr>
      </w:pPr>
    </w:p>
    <w:p w:rsidR="00076786" w:rsidRDefault="00076786" w:rsidP="00283388">
      <w:pPr>
        <w:keepNext/>
        <w:numPr>
          <w:ilvl w:val="0"/>
          <w:numId w:val="3"/>
        </w:numPr>
        <w:autoSpaceDE w:val="0"/>
        <w:autoSpaceDN w:val="0"/>
        <w:adjustRightInd w:val="0"/>
        <w:rPr>
          <w:rFonts w:ascii="Tms Rmn" w:hAnsi="Tms Rmn" w:cs="Tms Rmn"/>
          <w:color w:val="000000"/>
        </w:rPr>
      </w:pPr>
      <w:r>
        <w:rPr>
          <w:rFonts w:ascii="Tms Rmn" w:hAnsi="Tms Rmn" w:cs="Tms Rmn"/>
          <w:color w:val="000000"/>
        </w:rPr>
        <w:t>instances of when the survey items were completed incorrectly</w:t>
      </w:r>
      <w:r w:rsidR="004849DA">
        <w:rPr>
          <w:rFonts w:ascii="Tms Rmn" w:hAnsi="Tms Rmn" w:cs="Tms Rmn"/>
          <w:color w:val="000000"/>
        </w:rPr>
        <w:t xml:space="preserve"> (e.g., more than one answer/item, incorrect skip); and </w:t>
      </w:r>
    </w:p>
    <w:p w:rsidR="00500952" w:rsidRDefault="00500952" w:rsidP="00500952">
      <w:pPr>
        <w:keepNext/>
        <w:autoSpaceDE w:val="0"/>
        <w:autoSpaceDN w:val="0"/>
        <w:adjustRightInd w:val="0"/>
        <w:ind w:left="360"/>
        <w:rPr>
          <w:rFonts w:ascii="Tms Rmn" w:hAnsi="Tms Rmn" w:cs="Tms Rmn"/>
          <w:color w:val="000000"/>
        </w:rPr>
      </w:pPr>
    </w:p>
    <w:p w:rsidR="004849DA" w:rsidRDefault="004849DA" w:rsidP="00283388">
      <w:pPr>
        <w:keepNext/>
        <w:numPr>
          <w:ilvl w:val="0"/>
          <w:numId w:val="3"/>
        </w:numPr>
        <w:autoSpaceDE w:val="0"/>
        <w:autoSpaceDN w:val="0"/>
        <w:adjustRightInd w:val="0"/>
        <w:rPr>
          <w:rFonts w:ascii="Tms Rmn" w:hAnsi="Tms Rmn" w:cs="Tms Rmn"/>
          <w:color w:val="000000"/>
        </w:rPr>
      </w:pPr>
      <w:r>
        <w:rPr>
          <w:rFonts w:ascii="Tms Rmn" w:hAnsi="Tms Rmn" w:cs="Tms Rmn"/>
          <w:color w:val="000000"/>
        </w:rPr>
        <w:t>logic checks</w:t>
      </w:r>
      <w:r w:rsidR="00D87E8D">
        <w:rPr>
          <w:rFonts w:ascii="Tms Rmn" w:hAnsi="Tms Rmn" w:cs="Tms Rmn"/>
          <w:color w:val="000000"/>
        </w:rPr>
        <w:t>.</w:t>
      </w:r>
    </w:p>
    <w:p w:rsidR="00C60779" w:rsidRDefault="00C60779" w:rsidP="00B72021">
      <w:pPr>
        <w:keepNext/>
      </w:pPr>
    </w:p>
    <w:p w:rsidR="003A7397" w:rsidRDefault="003A7397" w:rsidP="00B72021">
      <w:pPr>
        <w:keepNext/>
      </w:pPr>
      <w:r>
        <w:t>In addition to the item specific analysis</w:t>
      </w:r>
      <w:r w:rsidR="00115D90">
        <w:t>,</w:t>
      </w:r>
      <w:r>
        <w:t xml:space="preserve"> analytic plans include the modeling of unit non-response. Depending upon the results of the pre-test item response modeling may be undertaken</w:t>
      </w:r>
      <w:r w:rsidR="00A7025F">
        <w:t xml:space="preserve"> to access item</w:t>
      </w:r>
      <w:r w:rsidR="00AD6072">
        <w:t xml:space="preserve">-specific </w:t>
      </w:r>
      <w:r w:rsidR="00A7025F">
        <w:t>response.</w:t>
      </w:r>
      <w:r>
        <w:t xml:space="preserve">  </w:t>
      </w:r>
    </w:p>
    <w:p w:rsidR="003A7397" w:rsidRDefault="003A7397" w:rsidP="00B72021">
      <w:pPr>
        <w:keepNext/>
      </w:pPr>
    </w:p>
    <w:p w:rsidR="00210547" w:rsidRDefault="00210547" w:rsidP="00B72021">
      <w:pPr>
        <w:keepNext/>
      </w:pPr>
      <w:r>
        <w:t xml:space="preserve">Attachment </w:t>
      </w:r>
      <w:r w:rsidR="004557C2">
        <w:t>H</w:t>
      </w:r>
      <w:r>
        <w:t xml:space="preserve"> contains all of the materials survey </w:t>
      </w:r>
      <w:r w:rsidR="0067111D">
        <w:t>participants</w:t>
      </w:r>
      <w:r>
        <w:t xml:space="preserve"> will receive as part of the </w:t>
      </w:r>
      <w:r w:rsidR="0067111D">
        <w:t>pre-test</w:t>
      </w:r>
      <w:r>
        <w:t xml:space="preserve"> process</w:t>
      </w:r>
      <w:r w:rsidR="00543382">
        <w:t xml:space="preserve">, including a </w:t>
      </w:r>
      <w:r w:rsidR="00081FD4">
        <w:t>recruitment/reminder le</w:t>
      </w:r>
      <w:r w:rsidR="00543382">
        <w:t>tter to sampled AL</w:t>
      </w:r>
      <w:r w:rsidR="00D87E8D">
        <w:t>F</w:t>
      </w:r>
      <w:r w:rsidR="00543382">
        <w:t xml:space="preserve">s, </w:t>
      </w:r>
      <w:r w:rsidR="00081FD4">
        <w:t xml:space="preserve">the ALC brochure, </w:t>
      </w:r>
      <w:r w:rsidR="00557F82">
        <w:t xml:space="preserve">and </w:t>
      </w:r>
      <w:r w:rsidR="00543382">
        <w:t>reminder post cards</w:t>
      </w:r>
      <w:r w:rsidR="00557F82">
        <w:t>.</w:t>
      </w:r>
    </w:p>
    <w:p w:rsidR="00210547" w:rsidRDefault="00210547" w:rsidP="00B72021">
      <w:pPr>
        <w:keepNext/>
      </w:pPr>
    </w:p>
    <w:p w:rsidR="009B633D" w:rsidRPr="00424E6E" w:rsidRDefault="009B633D" w:rsidP="009B633D">
      <w:pPr>
        <w:pStyle w:val="Heading2"/>
        <w:rPr>
          <w:sz w:val="24"/>
        </w:rPr>
      </w:pPr>
      <w:bookmarkStart w:id="41" w:name="_Toc151782196"/>
      <w:bookmarkStart w:id="42" w:name="_Toc158526232"/>
      <w:bookmarkEnd w:id="40"/>
      <w:r w:rsidRPr="00424E6E">
        <w:rPr>
          <w:sz w:val="24"/>
        </w:rPr>
        <w:t>17. Exemption for Display of Expiration Date</w:t>
      </w:r>
      <w:bookmarkEnd w:id="41"/>
      <w:bookmarkEnd w:id="42"/>
    </w:p>
    <w:p w:rsidR="009B633D" w:rsidRDefault="009B633D" w:rsidP="009B633D">
      <w:r w:rsidRPr="004F03D2">
        <w:t>AHRQ does not seek this exemption</w:t>
      </w:r>
      <w:r>
        <w:t>.</w:t>
      </w:r>
    </w:p>
    <w:p w:rsidR="00016560" w:rsidRPr="00016560" w:rsidRDefault="00FC12ED"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rsidR="00016560" w:rsidRDefault="00A15D49" w:rsidP="007208E0">
      <w:r>
        <w:t xml:space="preserve">Attachment A:  </w:t>
      </w:r>
      <w:r w:rsidR="007208E0">
        <w:t>Healthcare Research and Quality Act of 1999</w:t>
      </w:r>
      <w:r w:rsidR="00962527">
        <w:t xml:space="preserve"> </w:t>
      </w:r>
    </w:p>
    <w:p w:rsidR="004557C2" w:rsidRDefault="004557C2" w:rsidP="007208E0">
      <w:r>
        <w:t>Attachment B:  Organizational Participants of the AL Disclosure Collaborative (ALDC)</w:t>
      </w:r>
    </w:p>
    <w:p w:rsidR="00500952" w:rsidRDefault="00500952" w:rsidP="00500952">
      <w:pPr>
        <w:pStyle w:val="EndnoteText"/>
        <w:tabs>
          <w:tab w:val="left" w:pos="360"/>
          <w:tab w:val="left" w:pos="720"/>
          <w:tab w:val="left" w:pos="1080"/>
          <w:tab w:val="left" w:pos="4680"/>
          <w:tab w:val="left" w:pos="5940"/>
        </w:tabs>
        <w:rPr>
          <w:sz w:val="24"/>
          <w:szCs w:val="24"/>
        </w:rPr>
      </w:pPr>
      <w:r>
        <w:rPr>
          <w:sz w:val="24"/>
          <w:szCs w:val="24"/>
        </w:rPr>
        <w:t xml:space="preserve">Attachment </w:t>
      </w:r>
      <w:r w:rsidR="004557C2">
        <w:rPr>
          <w:sz w:val="24"/>
          <w:szCs w:val="24"/>
        </w:rPr>
        <w:t>C:</w:t>
      </w:r>
      <w:r>
        <w:rPr>
          <w:sz w:val="24"/>
          <w:szCs w:val="24"/>
        </w:rPr>
        <w:t xml:space="preserve">  Telephone Verification</w:t>
      </w:r>
      <w:r w:rsidR="00545286" w:rsidRPr="00545286">
        <w:rPr>
          <w:sz w:val="24"/>
          <w:szCs w:val="24"/>
        </w:rPr>
        <w:t xml:space="preserve"> </w:t>
      </w:r>
      <w:r w:rsidR="00545286">
        <w:rPr>
          <w:sz w:val="24"/>
          <w:szCs w:val="24"/>
        </w:rPr>
        <w:t>Script</w:t>
      </w:r>
    </w:p>
    <w:p w:rsidR="0035631F" w:rsidRDefault="00A15D49" w:rsidP="007208E0">
      <w:r>
        <w:t>Attachmen</w:t>
      </w:r>
      <w:r w:rsidR="000D093E">
        <w:t xml:space="preserve">t </w:t>
      </w:r>
      <w:r w:rsidR="004557C2">
        <w:t>D</w:t>
      </w:r>
      <w:r>
        <w:t xml:space="preserve">:  </w:t>
      </w:r>
      <w:r w:rsidR="00ED1101">
        <w:t>Assisted Living Provider Information Tool for Consumer Education</w:t>
      </w:r>
    </w:p>
    <w:p w:rsidR="00A15D49" w:rsidRDefault="0035631F" w:rsidP="007208E0">
      <w:r>
        <w:t xml:space="preserve">Attachment </w:t>
      </w:r>
      <w:r w:rsidR="004557C2">
        <w:t>E</w:t>
      </w:r>
      <w:r>
        <w:t xml:space="preserve">:  </w:t>
      </w:r>
      <w:r w:rsidR="00A15D49">
        <w:t>Federal Register Notice</w:t>
      </w:r>
    </w:p>
    <w:p w:rsidR="00500952" w:rsidRDefault="00500952" w:rsidP="00500952">
      <w:pPr>
        <w:pStyle w:val="EndnoteText"/>
        <w:tabs>
          <w:tab w:val="left" w:pos="360"/>
          <w:tab w:val="left" w:pos="720"/>
          <w:tab w:val="left" w:pos="1080"/>
          <w:tab w:val="left" w:pos="4680"/>
          <w:tab w:val="left" w:pos="5940"/>
        </w:tabs>
        <w:rPr>
          <w:sz w:val="24"/>
          <w:szCs w:val="24"/>
        </w:rPr>
      </w:pPr>
      <w:r w:rsidRPr="0051686D">
        <w:rPr>
          <w:sz w:val="24"/>
          <w:szCs w:val="24"/>
        </w:rPr>
        <w:t xml:space="preserve">Attachment </w:t>
      </w:r>
      <w:r w:rsidR="004557C2">
        <w:rPr>
          <w:sz w:val="24"/>
          <w:szCs w:val="24"/>
        </w:rPr>
        <w:t>F</w:t>
      </w:r>
      <w:r w:rsidRPr="0051686D">
        <w:rPr>
          <w:sz w:val="24"/>
          <w:szCs w:val="24"/>
        </w:rPr>
        <w:t xml:space="preserve">.  </w:t>
      </w:r>
      <w:r w:rsidR="004557C2">
        <w:rPr>
          <w:sz w:val="24"/>
          <w:szCs w:val="24"/>
        </w:rPr>
        <w:t xml:space="preserve">Individual </w:t>
      </w:r>
      <w:r>
        <w:rPr>
          <w:sz w:val="24"/>
          <w:szCs w:val="24"/>
        </w:rPr>
        <w:t xml:space="preserve">Participants </w:t>
      </w:r>
      <w:r w:rsidRPr="0051686D">
        <w:rPr>
          <w:sz w:val="24"/>
          <w:szCs w:val="24"/>
        </w:rPr>
        <w:t xml:space="preserve">of the AL Disclosure Collaborative </w:t>
      </w:r>
      <w:r>
        <w:rPr>
          <w:sz w:val="24"/>
          <w:szCs w:val="24"/>
        </w:rPr>
        <w:t>(ALDC)</w:t>
      </w:r>
    </w:p>
    <w:p w:rsidR="00500952" w:rsidRDefault="00500952" w:rsidP="00500952">
      <w:pPr>
        <w:pStyle w:val="EndnoteText"/>
        <w:tabs>
          <w:tab w:val="left" w:pos="360"/>
          <w:tab w:val="left" w:pos="720"/>
          <w:tab w:val="left" w:pos="1080"/>
          <w:tab w:val="left" w:pos="4680"/>
          <w:tab w:val="left" w:pos="5940"/>
        </w:tabs>
        <w:rPr>
          <w:sz w:val="24"/>
          <w:szCs w:val="24"/>
        </w:rPr>
      </w:pPr>
      <w:r>
        <w:rPr>
          <w:sz w:val="24"/>
          <w:szCs w:val="24"/>
        </w:rPr>
        <w:t xml:space="preserve">Attachment </w:t>
      </w:r>
      <w:r w:rsidR="004557C2">
        <w:rPr>
          <w:sz w:val="24"/>
          <w:szCs w:val="24"/>
        </w:rPr>
        <w:t>G</w:t>
      </w:r>
      <w:r>
        <w:rPr>
          <w:sz w:val="24"/>
          <w:szCs w:val="24"/>
        </w:rPr>
        <w:t>. Confidential</w:t>
      </w:r>
      <w:r w:rsidR="00545286">
        <w:rPr>
          <w:sz w:val="24"/>
          <w:szCs w:val="24"/>
        </w:rPr>
        <w:t>ity</w:t>
      </w:r>
      <w:r>
        <w:rPr>
          <w:sz w:val="24"/>
          <w:szCs w:val="24"/>
        </w:rPr>
        <w:t xml:space="preserve"> Agreement for Contractor Staff</w:t>
      </w:r>
    </w:p>
    <w:p w:rsidR="004849DA" w:rsidRDefault="004849DA" w:rsidP="007208E0">
      <w:r>
        <w:t xml:space="preserve">Attachment </w:t>
      </w:r>
      <w:r w:rsidR="004557C2">
        <w:t>H</w:t>
      </w:r>
      <w:r>
        <w:t xml:space="preserve">:  </w:t>
      </w:r>
      <w:r w:rsidR="00FC445D" w:rsidRPr="00FC445D">
        <w:t>Recruitment Letter, Brochure &amp; Followup Postcards</w:t>
      </w:r>
    </w:p>
    <w:p w:rsidR="00535B56" w:rsidRDefault="00535B56" w:rsidP="006B446F">
      <w:pPr>
        <w:pStyle w:val="EndnoteText"/>
        <w:tabs>
          <w:tab w:val="left" w:pos="360"/>
          <w:tab w:val="left" w:pos="720"/>
          <w:tab w:val="left" w:pos="1080"/>
          <w:tab w:val="left" w:pos="4680"/>
          <w:tab w:val="left" w:pos="5940"/>
        </w:tabs>
      </w:pPr>
    </w:p>
    <w:p w:rsidR="00716943" w:rsidRDefault="00716943" w:rsidP="006B446F">
      <w:pPr>
        <w:pStyle w:val="EndnoteText"/>
        <w:tabs>
          <w:tab w:val="left" w:pos="360"/>
          <w:tab w:val="left" w:pos="720"/>
          <w:tab w:val="left" w:pos="1080"/>
          <w:tab w:val="left" w:pos="4680"/>
          <w:tab w:val="left" w:pos="5940"/>
        </w:tabs>
      </w:pPr>
    </w:p>
    <w:p w:rsidR="00557F82" w:rsidRDefault="00557F82" w:rsidP="006B446F">
      <w:pPr>
        <w:pStyle w:val="EndnoteText"/>
        <w:tabs>
          <w:tab w:val="left" w:pos="360"/>
          <w:tab w:val="left" w:pos="720"/>
          <w:tab w:val="left" w:pos="1080"/>
          <w:tab w:val="left" w:pos="4680"/>
          <w:tab w:val="left" w:pos="5940"/>
        </w:tabs>
        <w:rPr>
          <w:sz w:val="24"/>
          <w:szCs w:val="24"/>
        </w:rPr>
      </w:pPr>
    </w:p>
    <w:p w:rsidR="00557F82" w:rsidRPr="0051686D" w:rsidRDefault="00557F82" w:rsidP="006B446F">
      <w:pPr>
        <w:pStyle w:val="EndnoteText"/>
        <w:tabs>
          <w:tab w:val="left" w:pos="360"/>
          <w:tab w:val="left" w:pos="720"/>
          <w:tab w:val="left" w:pos="1080"/>
          <w:tab w:val="left" w:pos="4680"/>
          <w:tab w:val="left" w:pos="5940"/>
        </w:tabs>
        <w:rPr>
          <w:sz w:val="24"/>
          <w:szCs w:val="24"/>
        </w:rPr>
      </w:pPr>
    </w:p>
    <w:sectPr w:rsidR="00557F82" w:rsidRPr="0051686D" w:rsidSect="00FA31BB">
      <w:footerReference w:type="even" r:id="rId7"/>
      <w:footerReference w:type="default" r:id="rId8"/>
      <w:endnotePr>
        <w:numFmt w:val="decimal"/>
      </w:endnotePr>
      <w:pgSz w:w="12240" w:h="15840"/>
      <w:pgMar w:top="1440" w:right="1800" w:bottom="144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194" w:rsidRDefault="000A4194">
      <w:r>
        <w:separator/>
      </w:r>
    </w:p>
  </w:endnote>
  <w:endnote w:type="continuationSeparator" w:id="0">
    <w:p w:rsidR="000A4194" w:rsidRDefault="000A41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CF4" w:rsidRDefault="00C8717E" w:rsidP="009B633D">
    <w:pPr>
      <w:pStyle w:val="Footer"/>
      <w:framePr w:wrap="around" w:vAnchor="text" w:hAnchor="margin" w:xAlign="center" w:y="1"/>
      <w:rPr>
        <w:rStyle w:val="PageNumber"/>
      </w:rPr>
    </w:pPr>
    <w:r>
      <w:rPr>
        <w:rStyle w:val="PageNumber"/>
      </w:rPr>
      <w:fldChar w:fldCharType="begin"/>
    </w:r>
    <w:r w:rsidR="00B94CF4">
      <w:rPr>
        <w:rStyle w:val="PageNumber"/>
      </w:rPr>
      <w:instrText xml:space="preserve">PAGE  </w:instrText>
    </w:r>
    <w:r>
      <w:rPr>
        <w:rStyle w:val="PageNumber"/>
      </w:rPr>
      <w:fldChar w:fldCharType="end"/>
    </w:r>
  </w:p>
  <w:p w:rsidR="00B94CF4" w:rsidRDefault="00B94C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CF4" w:rsidRDefault="00C8717E" w:rsidP="009B633D">
    <w:pPr>
      <w:pStyle w:val="Footer"/>
      <w:framePr w:wrap="around" w:vAnchor="text" w:hAnchor="margin" w:xAlign="center" w:y="1"/>
      <w:rPr>
        <w:rStyle w:val="PageNumber"/>
      </w:rPr>
    </w:pPr>
    <w:r>
      <w:rPr>
        <w:rStyle w:val="PageNumber"/>
      </w:rPr>
      <w:fldChar w:fldCharType="begin"/>
    </w:r>
    <w:r w:rsidR="00B94CF4">
      <w:rPr>
        <w:rStyle w:val="PageNumber"/>
      </w:rPr>
      <w:instrText xml:space="preserve">PAGE  </w:instrText>
    </w:r>
    <w:r>
      <w:rPr>
        <w:rStyle w:val="PageNumber"/>
      </w:rPr>
      <w:fldChar w:fldCharType="separate"/>
    </w:r>
    <w:r w:rsidR="00480EE9">
      <w:rPr>
        <w:rStyle w:val="PageNumber"/>
        <w:noProof/>
      </w:rPr>
      <w:t>- 2 -</w:t>
    </w:r>
    <w:r>
      <w:rPr>
        <w:rStyle w:val="PageNumber"/>
      </w:rPr>
      <w:fldChar w:fldCharType="end"/>
    </w:r>
  </w:p>
  <w:p w:rsidR="00B94CF4" w:rsidRDefault="00B94C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194" w:rsidRDefault="000A4194">
      <w:r>
        <w:separator/>
      </w:r>
    </w:p>
  </w:footnote>
  <w:footnote w:type="continuationSeparator" w:id="0">
    <w:p w:rsidR="000A4194" w:rsidRDefault="000A41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96B4D"/>
    <w:multiLevelType w:val="hybridMultilevel"/>
    <w:tmpl w:val="4BC2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
    <w:nsid w:val="5FC30ED8"/>
    <w:multiLevelType w:val="hybridMultilevel"/>
    <w:tmpl w:val="49B61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357409"/>
    <w:multiLevelType w:val="hybridMultilevel"/>
    <w:tmpl w:val="9EC44E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F252F15"/>
    <w:multiLevelType w:val="hybridMultilevel"/>
    <w:tmpl w:val="4B2E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A904DD"/>
    <w:multiLevelType w:val="multilevel"/>
    <w:tmpl w:val="A29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7">
    <w:nsid w:val="7E026BBE"/>
    <w:multiLevelType w:val="hybridMultilevel"/>
    <w:tmpl w:val="FFB8E0A6"/>
    <w:lvl w:ilvl="0" w:tplc="04090011">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
  </w:num>
  <w:num w:numId="3">
    <w:abstractNumId w:val="2"/>
  </w:num>
  <w:num w:numId="4">
    <w:abstractNumId w:val="3"/>
  </w:num>
  <w:num w:numId="5">
    <w:abstractNumId w:val="7"/>
  </w:num>
  <w:num w:numId="6">
    <w:abstractNumId w:val="5"/>
  </w:num>
  <w:num w:numId="7">
    <w:abstractNumId w:val="4"/>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noPunctuationKerning/>
  <w:characterSpacingControl w:val="doNotCompres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66C1"/>
    <w:rsid w:val="00011E85"/>
    <w:rsid w:val="00012FB9"/>
    <w:rsid w:val="00015AAF"/>
    <w:rsid w:val="00016560"/>
    <w:rsid w:val="00024FEE"/>
    <w:rsid w:val="00027D7C"/>
    <w:rsid w:val="00030B79"/>
    <w:rsid w:val="0003747A"/>
    <w:rsid w:val="00037998"/>
    <w:rsid w:val="00037F4F"/>
    <w:rsid w:val="00043473"/>
    <w:rsid w:val="00045959"/>
    <w:rsid w:val="00046359"/>
    <w:rsid w:val="000515AE"/>
    <w:rsid w:val="0006207D"/>
    <w:rsid w:val="00076786"/>
    <w:rsid w:val="000779A9"/>
    <w:rsid w:val="000802F8"/>
    <w:rsid w:val="00081FD4"/>
    <w:rsid w:val="00082047"/>
    <w:rsid w:val="00094648"/>
    <w:rsid w:val="000A140E"/>
    <w:rsid w:val="000A3475"/>
    <w:rsid w:val="000A4194"/>
    <w:rsid w:val="000A5D8C"/>
    <w:rsid w:val="000A7DBB"/>
    <w:rsid w:val="000B78CB"/>
    <w:rsid w:val="000D093E"/>
    <w:rsid w:val="000D429E"/>
    <w:rsid w:val="000D6146"/>
    <w:rsid w:val="000E01D1"/>
    <w:rsid w:val="000E4300"/>
    <w:rsid w:val="000F1328"/>
    <w:rsid w:val="000F1862"/>
    <w:rsid w:val="000F2B59"/>
    <w:rsid w:val="00105A83"/>
    <w:rsid w:val="00107ECF"/>
    <w:rsid w:val="00107F06"/>
    <w:rsid w:val="0011166B"/>
    <w:rsid w:val="00112DF2"/>
    <w:rsid w:val="00115D90"/>
    <w:rsid w:val="00124917"/>
    <w:rsid w:val="00131443"/>
    <w:rsid w:val="00132D21"/>
    <w:rsid w:val="00157457"/>
    <w:rsid w:val="00166A69"/>
    <w:rsid w:val="00175272"/>
    <w:rsid w:val="00186DFF"/>
    <w:rsid w:val="00187A50"/>
    <w:rsid w:val="00194B00"/>
    <w:rsid w:val="001A1AD3"/>
    <w:rsid w:val="001A28C0"/>
    <w:rsid w:val="001B1C61"/>
    <w:rsid w:val="001B32D7"/>
    <w:rsid w:val="001C59E4"/>
    <w:rsid w:val="001E03CC"/>
    <w:rsid w:val="001F185A"/>
    <w:rsid w:val="001F21CB"/>
    <w:rsid w:val="001F55D7"/>
    <w:rsid w:val="00202F30"/>
    <w:rsid w:val="00210547"/>
    <w:rsid w:val="002169CA"/>
    <w:rsid w:val="0022366A"/>
    <w:rsid w:val="00224DF7"/>
    <w:rsid w:val="00243130"/>
    <w:rsid w:val="00244A49"/>
    <w:rsid w:val="00254C28"/>
    <w:rsid w:val="00261EDC"/>
    <w:rsid w:val="0026424E"/>
    <w:rsid w:val="00272E29"/>
    <w:rsid w:val="002771FB"/>
    <w:rsid w:val="002808BD"/>
    <w:rsid w:val="00283388"/>
    <w:rsid w:val="00286ED6"/>
    <w:rsid w:val="00291B73"/>
    <w:rsid w:val="0029734C"/>
    <w:rsid w:val="002A05FA"/>
    <w:rsid w:val="002A2107"/>
    <w:rsid w:val="002A6C13"/>
    <w:rsid w:val="002B2469"/>
    <w:rsid w:val="002B382B"/>
    <w:rsid w:val="002B69B5"/>
    <w:rsid w:val="002E54EF"/>
    <w:rsid w:val="002E73EA"/>
    <w:rsid w:val="002F49F1"/>
    <w:rsid w:val="002F4DE8"/>
    <w:rsid w:val="0031488E"/>
    <w:rsid w:val="003217AB"/>
    <w:rsid w:val="00324A33"/>
    <w:rsid w:val="00325B9C"/>
    <w:rsid w:val="00340D97"/>
    <w:rsid w:val="00342548"/>
    <w:rsid w:val="00342599"/>
    <w:rsid w:val="00343E68"/>
    <w:rsid w:val="00345A69"/>
    <w:rsid w:val="00356292"/>
    <w:rsid w:val="0035631F"/>
    <w:rsid w:val="00361F52"/>
    <w:rsid w:val="00364D2C"/>
    <w:rsid w:val="00365B7B"/>
    <w:rsid w:val="0037427A"/>
    <w:rsid w:val="00377301"/>
    <w:rsid w:val="0037771B"/>
    <w:rsid w:val="0038217D"/>
    <w:rsid w:val="003959A1"/>
    <w:rsid w:val="003A7397"/>
    <w:rsid w:val="003B5859"/>
    <w:rsid w:val="003B6B41"/>
    <w:rsid w:val="003C1241"/>
    <w:rsid w:val="003C60BD"/>
    <w:rsid w:val="003C6F9F"/>
    <w:rsid w:val="003C72F9"/>
    <w:rsid w:val="003C7F21"/>
    <w:rsid w:val="003D21A7"/>
    <w:rsid w:val="003D73D8"/>
    <w:rsid w:val="003E2801"/>
    <w:rsid w:val="003F5921"/>
    <w:rsid w:val="003F62EF"/>
    <w:rsid w:val="00404C6B"/>
    <w:rsid w:val="00414C80"/>
    <w:rsid w:val="004155E1"/>
    <w:rsid w:val="00425974"/>
    <w:rsid w:val="00426FF7"/>
    <w:rsid w:val="0043596B"/>
    <w:rsid w:val="0044769A"/>
    <w:rsid w:val="00450538"/>
    <w:rsid w:val="00452268"/>
    <w:rsid w:val="004557C2"/>
    <w:rsid w:val="00456179"/>
    <w:rsid w:val="00457208"/>
    <w:rsid w:val="00467163"/>
    <w:rsid w:val="0047504D"/>
    <w:rsid w:val="00480EE9"/>
    <w:rsid w:val="004811AD"/>
    <w:rsid w:val="004849DA"/>
    <w:rsid w:val="004927D7"/>
    <w:rsid w:val="004A5107"/>
    <w:rsid w:val="004A5193"/>
    <w:rsid w:val="004A624D"/>
    <w:rsid w:val="004B12B4"/>
    <w:rsid w:val="004C3BA7"/>
    <w:rsid w:val="004C4A74"/>
    <w:rsid w:val="004D4332"/>
    <w:rsid w:val="004D48AC"/>
    <w:rsid w:val="004E3A1B"/>
    <w:rsid w:val="004E7172"/>
    <w:rsid w:val="004E73C1"/>
    <w:rsid w:val="004F7524"/>
    <w:rsid w:val="00500952"/>
    <w:rsid w:val="00510909"/>
    <w:rsid w:val="00515AEF"/>
    <w:rsid w:val="0051686D"/>
    <w:rsid w:val="00520CE0"/>
    <w:rsid w:val="00531857"/>
    <w:rsid w:val="00535B56"/>
    <w:rsid w:val="00543382"/>
    <w:rsid w:val="00545286"/>
    <w:rsid w:val="00551D5E"/>
    <w:rsid w:val="005543EA"/>
    <w:rsid w:val="00556066"/>
    <w:rsid w:val="00557F82"/>
    <w:rsid w:val="00581FD2"/>
    <w:rsid w:val="00582762"/>
    <w:rsid w:val="005B27E8"/>
    <w:rsid w:val="005B2955"/>
    <w:rsid w:val="005B3C01"/>
    <w:rsid w:val="005B62CF"/>
    <w:rsid w:val="005B6FAA"/>
    <w:rsid w:val="005C60A5"/>
    <w:rsid w:val="005E49B8"/>
    <w:rsid w:val="005E7F61"/>
    <w:rsid w:val="005F4B12"/>
    <w:rsid w:val="005F55A8"/>
    <w:rsid w:val="0060047D"/>
    <w:rsid w:val="006014DB"/>
    <w:rsid w:val="00603EAA"/>
    <w:rsid w:val="00606400"/>
    <w:rsid w:val="00613C05"/>
    <w:rsid w:val="00620B93"/>
    <w:rsid w:val="00625C1B"/>
    <w:rsid w:val="00625F99"/>
    <w:rsid w:val="00631C81"/>
    <w:rsid w:val="00635119"/>
    <w:rsid w:val="00636A0C"/>
    <w:rsid w:val="00655A17"/>
    <w:rsid w:val="0067111D"/>
    <w:rsid w:val="00673146"/>
    <w:rsid w:val="006A28E1"/>
    <w:rsid w:val="006A4D4E"/>
    <w:rsid w:val="006B446F"/>
    <w:rsid w:val="006C1E3A"/>
    <w:rsid w:val="006D04CF"/>
    <w:rsid w:val="006D1C5E"/>
    <w:rsid w:val="006E5491"/>
    <w:rsid w:val="0070072D"/>
    <w:rsid w:val="00703573"/>
    <w:rsid w:val="007055E6"/>
    <w:rsid w:val="007109B1"/>
    <w:rsid w:val="00716943"/>
    <w:rsid w:val="007208E0"/>
    <w:rsid w:val="00723075"/>
    <w:rsid w:val="00742918"/>
    <w:rsid w:val="00744D19"/>
    <w:rsid w:val="0074546A"/>
    <w:rsid w:val="00746727"/>
    <w:rsid w:val="00747A7E"/>
    <w:rsid w:val="00747D2F"/>
    <w:rsid w:val="00752942"/>
    <w:rsid w:val="007533F3"/>
    <w:rsid w:val="007579D2"/>
    <w:rsid w:val="007579F4"/>
    <w:rsid w:val="0076423F"/>
    <w:rsid w:val="00765D1A"/>
    <w:rsid w:val="007700A7"/>
    <w:rsid w:val="007721F3"/>
    <w:rsid w:val="0079441F"/>
    <w:rsid w:val="007B0CF3"/>
    <w:rsid w:val="007B3A8E"/>
    <w:rsid w:val="007C1ECB"/>
    <w:rsid w:val="007D0B87"/>
    <w:rsid w:val="007D2161"/>
    <w:rsid w:val="007D481F"/>
    <w:rsid w:val="007D4F9F"/>
    <w:rsid w:val="007E4359"/>
    <w:rsid w:val="007E7052"/>
    <w:rsid w:val="0080612B"/>
    <w:rsid w:val="00817DA0"/>
    <w:rsid w:val="00824440"/>
    <w:rsid w:val="00825DA9"/>
    <w:rsid w:val="00827DBB"/>
    <w:rsid w:val="00827FF8"/>
    <w:rsid w:val="008450C0"/>
    <w:rsid w:val="00847275"/>
    <w:rsid w:val="00861E61"/>
    <w:rsid w:val="00871F58"/>
    <w:rsid w:val="00873F74"/>
    <w:rsid w:val="00874C55"/>
    <w:rsid w:val="00877978"/>
    <w:rsid w:val="00880DFE"/>
    <w:rsid w:val="0088437E"/>
    <w:rsid w:val="00887F65"/>
    <w:rsid w:val="00892655"/>
    <w:rsid w:val="008A30B9"/>
    <w:rsid w:val="008A410F"/>
    <w:rsid w:val="008B593F"/>
    <w:rsid w:val="008C580E"/>
    <w:rsid w:val="008E4703"/>
    <w:rsid w:val="008E567E"/>
    <w:rsid w:val="008F0B8B"/>
    <w:rsid w:val="008F1647"/>
    <w:rsid w:val="008F222A"/>
    <w:rsid w:val="009210C6"/>
    <w:rsid w:val="0092280E"/>
    <w:rsid w:val="00930E08"/>
    <w:rsid w:val="009374DF"/>
    <w:rsid w:val="00945446"/>
    <w:rsid w:val="00955553"/>
    <w:rsid w:val="00962527"/>
    <w:rsid w:val="009746A1"/>
    <w:rsid w:val="009943E2"/>
    <w:rsid w:val="009943E4"/>
    <w:rsid w:val="00994C16"/>
    <w:rsid w:val="009A237A"/>
    <w:rsid w:val="009A49A7"/>
    <w:rsid w:val="009B633D"/>
    <w:rsid w:val="009C048E"/>
    <w:rsid w:val="009C4881"/>
    <w:rsid w:val="009C4AA8"/>
    <w:rsid w:val="009D3DBB"/>
    <w:rsid w:val="009D7871"/>
    <w:rsid w:val="009E0F8F"/>
    <w:rsid w:val="009E1BC9"/>
    <w:rsid w:val="009E74C1"/>
    <w:rsid w:val="009F1609"/>
    <w:rsid w:val="009F1E75"/>
    <w:rsid w:val="009F597D"/>
    <w:rsid w:val="00A13D8D"/>
    <w:rsid w:val="00A14D56"/>
    <w:rsid w:val="00A15D49"/>
    <w:rsid w:val="00A23B01"/>
    <w:rsid w:val="00A25783"/>
    <w:rsid w:val="00A30D9A"/>
    <w:rsid w:val="00A322F4"/>
    <w:rsid w:val="00A33363"/>
    <w:rsid w:val="00A40119"/>
    <w:rsid w:val="00A4694A"/>
    <w:rsid w:val="00A7025F"/>
    <w:rsid w:val="00A7675A"/>
    <w:rsid w:val="00A835E4"/>
    <w:rsid w:val="00A905D8"/>
    <w:rsid w:val="00A94219"/>
    <w:rsid w:val="00A95711"/>
    <w:rsid w:val="00A97E57"/>
    <w:rsid w:val="00AA1DDC"/>
    <w:rsid w:val="00AA3F0B"/>
    <w:rsid w:val="00AA5FF0"/>
    <w:rsid w:val="00AA788A"/>
    <w:rsid w:val="00AB6EE0"/>
    <w:rsid w:val="00AD3EDB"/>
    <w:rsid w:val="00AD5C42"/>
    <w:rsid w:val="00AD6072"/>
    <w:rsid w:val="00AD6516"/>
    <w:rsid w:val="00AD7483"/>
    <w:rsid w:val="00AE4702"/>
    <w:rsid w:val="00AF0287"/>
    <w:rsid w:val="00AF2625"/>
    <w:rsid w:val="00AF3E2F"/>
    <w:rsid w:val="00B13571"/>
    <w:rsid w:val="00B22F51"/>
    <w:rsid w:val="00B238AD"/>
    <w:rsid w:val="00B257FE"/>
    <w:rsid w:val="00B27676"/>
    <w:rsid w:val="00B52533"/>
    <w:rsid w:val="00B62E70"/>
    <w:rsid w:val="00B645ED"/>
    <w:rsid w:val="00B72021"/>
    <w:rsid w:val="00B720EC"/>
    <w:rsid w:val="00B762E0"/>
    <w:rsid w:val="00B825D0"/>
    <w:rsid w:val="00B82B26"/>
    <w:rsid w:val="00B83929"/>
    <w:rsid w:val="00B915F1"/>
    <w:rsid w:val="00B94CF4"/>
    <w:rsid w:val="00BB166D"/>
    <w:rsid w:val="00BB1C2F"/>
    <w:rsid w:val="00BB2479"/>
    <w:rsid w:val="00BB7136"/>
    <w:rsid w:val="00BC20FE"/>
    <w:rsid w:val="00BC2E2E"/>
    <w:rsid w:val="00BD1238"/>
    <w:rsid w:val="00BD357C"/>
    <w:rsid w:val="00BE0430"/>
    <w:rsid w:val="00BF1812"/>
    <w:rsid w:val="00BF735E"/>
    <w:rsid w:val="00C04D1C"/>
    <w:rsid w:val="00C0644C"/>
    <w:rsid w:val="00C205C8"/>
    <w:rsid w:val="00C20D5F"/>
    <w:rsid w:val="00C275CD"/>
    <w:rsid w:val="00C33838"/>
    <w:rsid w:val="00C4006D"/>
    <w:rsid w:val="00C56894"/>
    <w:rsid w:val="00C60779"/>
    <w:rsid w:val="00C65B05"/>
    <w:rsid w:val="00C73F08"/>
    <w:rsid w:val="00C77433"/>
    <w:rsid w:val="00C8244F"/>
    <w:rsid w:val="00C84911"/>
    <w:rsid w:val="00C85686"/>
    <w:rsid w:val="00C8717E"/>
    <w:rsid w:val="00C929D4"/>
    <w:rsid w:val="00C933ED"/>
    <w:rsid w:val="00CA136B"/>
    <w:rsid w:val="00CA7470"/>
    <w:rsid w:val="00CB12B2"/>
    <w:rsid w:val="00CB50C3"/>
    <w:rsid w:val="00CC23F0"/>
    <w:rsid w:val="00CC7E8B"/>
    <w:rsid w:val="00CD0964"/>
    <w:rsid w:val="00CD0AB0"/>
    <w:rsid w:val="00CD3112"/>
    <w:rsid w:val="00CD53E4"/>
    <w:rsid w:val="00CD7854"/>
    <w:rsid w:val="00CE3541"/>
    <w:rsid w:val="00CE7295"/>
    <w:rsid w:val="00CF3861"/>
    <w:rsid w:val="00D0660C"/>
    <w:rsid w:val="00D14AFF"/>
    <w:rsid w:val="00D150A9"/>
    <w:rsid w:val="00D2521F"/>
    <w:rsid w:val="00D27D52"/>
    <w:rsid w:val="00D500ED"/>
    <w:rsid w:val="00D511D4"/>
    <w:rsid w:val="00D543D5"/>
    <w:rsid w:val="00D615A2"/>
    <w:rsid w:val="00D61B86"/>
    <w:rsid w:val="00D6499B"/>
    <w:rsid w:val="00D662FB"/>
    <w:rsid w:val="00D66E74"/>
    <w:rsid w:val="00D71264"/>
    <w:rsid w:val="00D823DD"/>
    <w:rsid w:val="00D87E8D"/>
    <w:rsid w:val="00D91F12"/>
    <w:rsid w:val="00D93166"/>
    <w:rsid w:val="00D95BFD"/>
    <w:rsid w:val="00D95CF5"/>
    <w:rsid w:val="00DA097F"/>
    <w:rsid w:val="00DA73A3"/>
    <w:rsid w:val="00DB3948"/>
    <w:rsid w:val="00DB49A0"/>
    <w:rsid w:val="00DC688A"/>
    <w:rsid w:val="00DD0A49"/>
    <w:rsid w:val="00DD5193"/>
    <w:rsid w:val="00DE4D1F"/>
    <w:rsid w:val="00DE5B1C"/>
    <w:rsid w:val="00DF4F3C"/>
    <w:rsid w:val="00E14FC3"/>
    <w:rsid w:val="00E2592B"/>
    <w:rsid w:val="00E309F6"/>
    <w:rsid w:val="00E329EE"/>
    <w:rsid w:val="00E47851"/>
    <w:rsid w:val="00E520A6"/>
    <w:rsid w:val="00E52235"/>
    <w:rsid w:val="00E52ACC"/>
    <w:rsid w:val="00E706B3"/>
    <w:rsid w:val="00E7422B"/>
    <w:rsid w:val="00E81046"/>
    <w:rsid w:val="00E83EB0"/>
    <w:rsid w:val="00E841AE"/>
    <w:rsid w:val="00E97584"/>
    <w:rsid w:val="00EA0CEA"/>
    <w:rsid w:val="00EB58F3"/>
    <w:rsid w:val="00EB5964"/>
    <w:rsid w:val="00EC449E"/>
    <w:rsid w:val="00EC65CC"/>
    <w:rsid w:val="00ED04A5"/>
    <w:rsid w:val="00ED0EBB"/>
    <w:rsid w:val="00ED1101"/>
    <w:rsid w:val="00EE4455"/>
    <w:rsid w:val="00EE5BE5"/>
    <w:rsid w:val="00F04055"/>
    <w:rsid w:val="00F0603C"/>
    <w:rsid w:val="00F122B9"/>
    <w:rsid w:val="00F172A3"/>
    <w:rsid w:val="00F21CD9"/>
    <w:rsid w:val="00F23B05"/>
    <w:rsid w:val="00F3207F"/>
    <w:rsid w:val="00F3541A"/>
    <w:rsid w:val="00F44529"/>
    <w:rsid w:val="00F46275"/>
    <w:rsid w:val="00F5665F"/>
    <w:rsid w:val="00F60488"/>
    <w:rsid w:val="00F60C77"/>
    <w:rsid w:val="00F631B6"/>
    <w:rsid w:val="00F63BC0"/>
    <w:rsid w:val="00F640FB"/>
    <w:rsid w:val="00F719B8"/>
    <w:rsid w:val="00F872B8"/>
    <w:rsid w:val="00F93CD0"/>
    <w:rsid w:val="00F94B00"/>
    <w:rsid w:val="00FA03AD"/>
    <w:rsid w:val="00FA2E89"/>
    <w:rsid w:val="00FA30BE"/>
    <w:rsid w:val="00FA31BB"/>
    <w:rsid w:val="00FB6500"/>
    <w:rsid w:val="00FC12ED"/>
    <w:rsid w:val="00FC430C"/>
    <w:rsid w:val="00FC445D"/>
    <w:rsid w:val="00FC5879"/>
    <w:rsid w:val="00FC705C"/>
    <w:rsid w:val="00FC7332"/>
    <w:rsid w:val="00FD08E8"/>
    <w:rsid w:val="00FD1D9C"/>
    <w:rsid w:val="00FD62DD"/>
    <w:rsid w:val="00FD744A"/>
    <w:rsid w:val="00FE50D3"/>
    <w:rsid w:val="00FF0537"/>
    <w:rsid w:val="00FF0840"/>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styleId="BodyText">
    <w:name w:val="Body Text"/>
    <w:aliases w:val="Char, Char Char"/>
    <w:basedOn w:val="Normal"/>
    <w:rsid w:val="00D615A2"/>
    <w:pPr>
      <w:spacing w:after="120"/>
    </w:pPr>
  </w:style>
  <w:style w:type="paragraph" w:styleId="ListParagraph">
    <w:name w:val="List Paragraph"/>
    <w:basedOn w:val="Normal"/>
    <w:uiPriority w:val="34"/>
    <w:qFormat/>
    <w:rsid w:val="00FF0537"/>
    <w:pPr>
      <w:ind w:left="720"/>
      <w:contextualSpacing/>
    </w:pPr>
  </w:style>
  <w:style w:type="character" w:customStyle="1" w:styleId="highlightedsearchterm">
    <w:name w:val="highlightedsearchterm"/>
    <w:basedOn w:val="DefaultParagraphFont"/>
    <w:rsid w:val="00FF0537"/>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90666599">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
  <LinksUpToDate>false</LinksUpToDate>
  <CharactersWithSpaces>21951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&amp;lt;p&amp;gt;(Supporting Statement Template and Instructions; instructions are in italics and should be deleted when complete)        SUPPORTING STATEMENT    Part A              (Insert project title here)          Version (Insert date: month, day and year)              Agency of Healthcare Re search and Quality (AHRQ)      (Every &amp;lt;/p&amp;gt;</dc:subject>
  <dc:creator>Heather Nalls</dc:creator>
  <dc:description>&amp;lt;p&amp;gt;(Supporting Statement Template and Instructions; instructions are in italics and should be deleted when complete)        SUPPORTING STATEMENT    Part A              (Insert project title here)          Version (Insert date: month, day and year)              Agency of Healthcare Re search and Quality (AHRQ)      (Every &amp;lt;/p&amp;gt;</dc:description>
  <cp:lastModifiedBy>bbarker</cp:lastModifiedBy>
  <cp:revision>2</cp:revision>
  <cp:lastPrinted>2011-11-10T21:59:00Z</cp:lastPrinted>
  <dcterms:created xsi:type="dcterms:W3CDTF">2011-11-22T14:31:00Z</dcterms:created>
  <dcterms:modified xsi:type="dcterms:W3CDTF">2011-11-22T14:31:00Z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DownloadAsset.aspx?id=7153</vt:lpwstr>
  </property>
  <property fmtid="{D5CDD505-2E9C-101B-9397-08002B2CF9AE}" pid="4" name="EktContentType">
    <vt:i4>101</vt:i4>
  </property>
  <property fmtid="{D5CDD505-2E9C-101B-9397-08002B2CF9AE}" pid="5" name="EktFolderName">
    <vt:lpwstr/>
  </property>
  <property fmtid="{D5CDD505-2E9C-101B-9397-08002B2CF9AE}" pid="6" name="EktCmsPath">
    <vt:lpwstr>&amp;lt;p&amp;gt;(Supporting Statement Template and Instructions; instructions are in italics and should be deleted when complete)        SUPPORTING STATEMENT    Part A              (Insert project title here)          Version (Insert date: month, day and year)  </vt:lpwstr>
  </property>
  <property fmtid="{D5CDD505-2E9C-101B-9397-08002B2CF9AE}" pid="7" name="EktExpiryType">
    <vt:i4>1</vt:i4>
  </property>
  <property fmtid="{D5CDD505-2E9C-101B-9397-08002B2CF9AE}" pid="8" name="EktDateCreated">
    <vt:filetime>2009-10-26T19:20:01Z</vt:filetime>
  </property>
  <property fmtid="{D5CDD505-2E9C-101B-9397-08002B2CF9AE}" pid="9" name="EktDateModified">
    <vt:filetime>2009-10-26T19:20:02Z</vt:filetime>
  </property>
  <property fmtid="{D5CDD505-2E9C-101B-9397-08002B2CF9AE}" pid="10" name="EktTaxCategory">
    <vt:lpwstr/>
  </property>
  <property fmtid="{D5CDD505-2E9C-101B-9397-08002B2CF9AE}" pid="11" name="EktCmsSize">
    <vt:i4>129024</vt:i4>
  </property>
  <property fmtid="{D5CDD505-2E9C-101B-9397-08002B2CF9AE}" pid="12" name="EktSearchable">
    <vt:i4>1</vt:i4>
  </property>
  <property fmtid="{D5CDD505-2E9C-101B-9397-08002B2CF9AE}" pid="13" name="EktEDescription">
    <vt:lpwstr>Summary &amp;lt;p&amp;gt;(Supporting Statement Template and Instructions; instructions are in italics and should be deleted when complete)        SUPPORTING STATEMENT    Part A              (Insert project title here)          Version (Insert date: month, day and</vt:lpwstr>
  </property>
</Properties>
</file>