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D0" w:rsidRDefault="005516D0" w:rsidP="00423334">
      <w:pPr>
        <w:jc w:val="center"/>
        <w:rPr>
          <w:b/>
          <w:color w:val="000000"/>
          <w:sz w:val="28"/>
          <w:szCs w:val="28"/>
        </w:rPr>
      </w:pPr>
      <w:bookmarkStart w:id="0" w:name="_Toc67387400"/>
    </w:p>
    <w:p w:rsidR="005516D0" w:rsidRDefault="005516D0" w:rsidP="00423334">
      <w:pPr>
        <w:jc w:val="center"/>
        <w:rPr>
          <w:b/>
          <w:color w:val="000000"/>
          <w:sz w:val="28"/>
          <w:szCs w:val="28"/>
        </w:rPr>
      </w:pPr>
    </w:p>
    <w:p w:rsidR="005516D0" w:rsidRDefault="005516D0" w:rsidP="00423334">
      <w:pPr>
        <w:jc w:val="center"/>
        <w:rPr>
          <w:b/>
          <w:color w:val="000000"/>
          <w:sz w:val="28"/>
          <w:szCs w:val="28"/>
        </w:rPr>
      </w:pPr>
    </w:p>
    <w:p w:rsidR="00BA2BD7" w:rsidRDefault="00D43F13" w:rsidP="00423334">
      <w:pPr>
        <w:jc w:val="center"/>
        <w:rPr>
          <w:b/>
          <w:color w:val="000000"/>
          <w:sz w:val="28"/>
          <w:szCs w:val="28"/>
        </w:rPr>
      </w:pPr>
      <w:r w:rsidRPr="0037320E">
        <w:rPr>
          <w:b/>
          <w:color w:val="000000"/>
          <w:sz w:val="28"/>
          <w:szCs w:val="28"/>
        </w:rPr>
        <w:t>Supporting Statement</w:t>
      </w:r>
      <w:bookmarkEnd w:id="0"/>
      <w:r w:rsidR="00BA2BD7">
        <w:rPr>
          <w:b/>
          <w:color w:val="000000"/>
          <w:sz w:val="28"/>
          <w:szCs w:val="28"/>
        </w:rPr>
        <w:t xml:space="preserve"> </w:t>
      </w:r>
      <w:r w:rsidR="002766BD">
        <w:rPr>
          <w:b/>
          <w:color w:val="000000"/>
          <w:sz w:val="28"/>
          <w:szCs w:val="28"/>
        </w:rPr>
        <w:t xml:space="preserve">Part B: </w:t>
      </w:r>
    </w:p>
    <w:p w:rsidR="00BA2BD7" w:rsidRDefault="00BA2BD7" w:rsidP="00423334">
      <w:pPr>
        <w:jc w:val="center"/>
        <w:rPr>
          <w:b/>
          <w:color w:val="000000"/>
          <w:sz w:val="28"/>
          <w:szCs w:val="28"/>
        </w:rPr>
      </w:pPr>
    </w:p>
    <w:p w:rsidR="002766BD" w:rsidRDefault="002766BD" w:rsidP="00423334">
      <w:pPr>
        <w:jc w:val="center"/>
        <w:rPr>
          <w:b/>
          <w:color w:val="000000"/>
          <w:sz w:val="28"/>
          <w:szCs w:val="28"/>
        </w:rPr>
      </w:pPr>
      <w:r>
        <w:rPr>
          <w:b/>
          <w:color w:val="000000"/>
          <w:sz w:val="28"/>
          <w:szCs w:val="28"/>
        </w:rPr>
        <w:t>Collection of Information</w:t>
      </w:r>
    </w:p>
    <w:p w:rsidR="002766BD" w:rsidRPr="0037320E" w:rsidRDefault="002766BD" w:rsidP="00423334">
      <w:pPr>
        <w:jc w:val="center"/>
        <w:rPr>
          <w:b/>
          <w:color w:val="000000"/>
          <w:sz w:val="28"/>
          <w:szCs w:val="28"/>
        </w:rPr>
      </w:pPr>
    </w:p>
    <w:p w:rsidR="00D43F13" w:rsidRPr="009D0976" w:rsidRDefault="009D0976" w:rsidP="00F41479">
      <w:pPr>
        <w:jc w:val="center"/>
        <w:rPr>
          <w:b/>
          <w:color w:val="000000"/>
          <w:sz w:val="28"/>
          <w:szCs w:val="28"/>
        </w:rPr>
      </w:pPr>
      <w:r w:rsidRPr="009D0976">
        <w:rPr>
          <w:b/>
          <w:sz w:val="28"/>
          <w:szCs w:val="28"/>
        </w:rPr>
        <w:t>Comparing the Effectiveness of Traditional Evidence-Based Tobacco Cessation Interventions to Newer and Innovative Interventions Used by Comprehensive Cancer Control Programs</w:t>
      </w:r>
    </w:p>
    <w:p w:rsidR="00162E9D" w:rsidRPr="0037320E" w:rsidRDefault="00162E9D" w:rsidP="00F41479">
      <w:pPr>
        <w:jc w:val="center"/>
        <w:rPr>
          <w:color w:val="000000"/>
        </w:rPr>
      </w:pPr>
    </w:p>
    <w:p w:rsidR="00162E9D" w:rsidRDefault="00162E9D" w:rsidP="00F41479">
      <w:pPr>
        <w:jc w:val="center"/>
        <w:rPr>
          <w:color w:val="000000"/>
        </w:rPr>
      </w:pPr>
    </w:p>
    <w:p w:rsidR="005516D0" w:rsidRDefault="005516D0" w:rsidP="00F41479">
      <w:pPr>
        <w:jc w:val="center"/>
        <w:rPr>
          <w:color w:val="000000"/>
        </w:rPr>
      </w:pPr>
    </w:p>
    <w:p w:rsidR="005516D0" w:rsidRPr="0037320E" w:rsidRDefault="005516D0" w:rsidP="00F41479">
      <w:pPr>
        <w:jc w:val="center"/>
        <w:rPr>
          <w:color w:val="000000"/>
        </w:rPr>
      </w:pPr>
    </w:p>
    <w:p w:rsidR="00D43F13" w:rsidRPr="0037320E" w:rsidRDefault="00EB1CD2" w:rsidP="00F41479">
      <w:pPr>
        <w:jc w:val="center"/>
        <w:rPr>
          <w:color w:val="000000"/>
        </w:rPr>
      </w:pPr>
      <w:r>
        <w:rPr>
          <w:color w:val="000000"/>
        </w:rPr>
        <w:t>August 11</w:t>
      </w:r>
      <w:r w:rsidR="00D269D7">
        <w:rPr>
          <w:color w:val="000000"/>
        </w:rPr>
        <w:t>, 2011</w:t>
      </w:r>
    </w:p>
    <w:p w:rsidR="00D43F13" w:rsidRPr="0037320E" w:rsidRDefault="00D43F13" w:rsidP="00F41479">
      <w:pPr>
        <w:jc w:val="center"/>
        <w:rPr>
          <w:color w:val="000000"/>
        </w:rPr>
      </w:pPr>
    </w:p>
    <w:p w:rsidR="00D43F13" w:rsidRPr="0037320E" w:rsidRDefault="00D43F13" w:rsidP="00F41479">
      <w:pPr>
        <w:jc w:val="center"/>
        <w:rPr>
          <w:color w:val="000000"/>
        </w:rPr>
      </w:pPr>
      <w:r w:rsidRPr="0037320E">
        <w:rPr>
          <w:color w:val="000000"/>
        </w:rPr>
        <w:t>Contact Person</w:t>
      </w:r>
      <w:r w:rsidR="0063138F">
        <w:rPr>
          <w:color w:val="000000"/>
        </w:rPr>
        <w:t>s</w:t>
      </w:r>
      <w:r w:rsidRPr="0037320E">
        <w:rPr>
          <w:color w:val="000000"/>
        </w:rPr>
        <w:t>:</w:t>
      </w:r>
    </w:p>
    <w:p w:rsidR="0063138F" w:rsidRPr="0063138F" w:rsidRDefault="0063138F" w:rsidP="0063138F">
      <w:pPr>
        <w:pStyle w:val="Cov-Address"/>
        <w:jc w:val="center"/>
        <w:rPr>
          <w:rFonts w:ascii="Times New Roman" w:hAnsi="Times New Roman"/>
        </w:rPr>
      </w:pPr>
      <w:r w:rsidRPr="0063138F">
        <w:rPr>
          <w:rFonts w:ascii="Times New Roman" w:hAnsi="Times New Roman"/>
        </w:rPr>
        <w:t>Behnoosh Momin, MS, MPH</w:t>
      </w:r>
    </w:p>
    <w:p w:rsidR="0063138F" w:rsidRPr="0063138F" w:rsidRDefault="0028117A" w:rsidP="0063138F">
      <w:pPr>
        <w:pStyle w:val="Cov-Address"/>
        <w:jc w:val="center"/>
        <w:rPr>
          <w:rFonts w:ascii="Times New Roman" w:hAnsi="Times New Roman"/>
        </w:rPr>
      </w:pPr>
      <w:r>
        <w:rPr>
          <w:rFonts w:ascii="Times New Roman" w:hAnsi="Times New Roman"/>
        </w:rPr>
        <w:t>Project Director</w:t>
      </w:r>
    </w:p>
    <w:p w:rsidR="0063138F" w:rsidRPr="0063138F" w:rsidRDefault="0063138F" w:rsidP="0063138F">
      <w:pPr>
        <w:pStyle w:val="Cov-Address"/>
        <w:jc w:val="center"/>
        <w:rPr>
          <w:rFonts w:ascii="Times New Roman" w:hAnsi="Times New Roman"/>
        </w:rPr>
      </w:pPr>
      <w:r w:rsidRPr="0063138F">
        <w:rPr>
          <w:rFonts w:ascii="Times New Roman" w:hAnsi="Times New Roman"/>
        </w:rPr>
        <w:t>Scientific and Clinical Translation Team</w:t>
      </w:r>
    </w:p>
    <w:p w:rsidR="0063138F" w:rsidRPr="0063138F" w:rsidRDefault="0063138F" w:rsidP="0063138F">
      <w:pPr>
        <w:pStyle w:val="Cov-Address"/>
        <w:jc w:val="center"/>
        <w:rPr>
          <w:rFonts w:ascii="Times New Roman" w:hAnsi="Times New Roman"/>
        </w:rPr>
      </w:pPr>
      <w:r w:rsidRPr="0063138F">
        <w:rPr>
          <w:rFonts w:ascii="Times New Roman" w:hAnsi="Times New Roman"/>
        </w:rPr>
        <w:t>Comprehensive Cancer Control</w:t>
      </w:r>
    </w:p>
    <w:p w:rsidR="0063138F" w:rsidRDefault="0063138F" w:rsidP="0063138F">
      <w:pPr>
        <w:pStyle w:val="Cov-Address"/>
        <w:jc w:val="center"/>
        <w:rPr>
          <w:rFonts w:ascii="Times New Roman" w:hAnsi="Times New Roman"/>
        </w:rPr>
      </w:pPr>
      <w:r w:rsidRPr="0063138F">
        <w:rPr>
          <w:rFonts w:ascii="Times New Roman" w:hAnsi="Times New Roman"/>
        </w:rPr>
        <w:t>Centers for Disease Control and Prevention</w:t>
      </w:r>
    </w:p>
    <w:p w:rsidR="0063138F" w:rsidRPr="0063138F" w:rsidRDefault="0063138F" w:rsidP="0063138F">
      <w:pPr>
        <w:pStyle w:val="Cov-Address"/>
        <w:jc w:val="center"/>
        <w:rPr>
          <w:rFonts w:ascii="Times New Roman" w:hAnsi="Times New Roman"/>
        </w:rPr>
      </w:pPr>
      <w:r w:rsidRPr="0063138F">
        <w:rPr>
          <w:rFonts w:ascii="Times New Roman" w:hAnsi="Times New Roman"/>
        </w:rPr>
        <w:t>4770 Buford Highway</w:t>
      </w:r>
      <w:r w:rsidR="00EC746D">
        <w:rPr>
          <w:rFonts w:ascii="Times New Roman" w:hAnsi="Times New Roman"/>
        </w:rPr>
        <w:t>, NE, MS K-57</w:t>
      </w:r>
    </w:p>
    <w:p w:rsidR="0063138F" w:rsidRPr="0063138F" w:rsidRDefault="0063138F" w:rsidP="0063138F">
      <w:pPr>
        <w:pStyle w:val="Cov-Address"/>
        <w:jc w:val="center"/>
        <w:rPr>
          <w:rFonts w:ascii="Times New Roman" w:hAnsi="Times New Roman"/>
        </w:rPr>
      </w:pPr>
      <w:r w:rsidRPr="0063138F">
        <w:rPr>
          <w:rFonts w:ascii="Times New Roman" w:hAnsi="Times New Roman"/>
        </w:rPr>
        <w:t>Atlanta, GA 30341-3717</w:t>
      </w:r>
    </w:p>
    <w:p w:rsidR="0063138F" w:rsidRPr="0063138F" w:rsidRDefault="0063138F" w:rsidP="0063138F">
      <w:pPr>
        <w:pStyle w:val="Cov-Address"/>
        <w:jc w:val="center"/>
        <w:rPr>
          <w:rFonts w:ascii="Times New Roman" w:hAnsi="Times New Roman"/>
        </w:rPr>
      </w:pPr>
      <w:r>
        <w:rPr>
          <w:rFonts w:ascii="Times New Roman" w:hAnsi="Times New Roman"/>
        </w:rPr>
        <w:t>Phone: (770) 488-3112</w:t>
      </w:r>
    </w:p>
    <w:p w:rsidR="0063138F" w:rsidRPr="0063138F" w:rsidRDefault="0063138F" w:rsidP="0063138F">
      <w:pPr>
        <w:pStyle w:val="Cov-Address"/>
        <w:jc w:val="center"/>
        <w:rPr>
          <w:rFonts w:ascii="Times New Roman" w:hAnsi="Times New Roman"/>
        </w:rPr>
      </w:pPr>
      <w:r w:rsidRPr="0063138F">
        <w:rPr>
          <w:rFonts w:ascii="Times New Roman" w:hAnsi="Times New Roman"/>
        </w:rPr>
        <w:t>Fax: (770) 488-4335</w:t>
      </w:r>
    </w:p>
    <w:p w:rsidR="0063138F" w:rsidRPr="0063138F" w:rsidRDefault="0063138F" w:rsidP="0063138F">
      <w:pPr>
        <w:pStyle w:val="Cov-Address"/>
        <w:jc w:val="center"/>
        <w:rPr>
          <w:rFonts w:ascii="Times New Roman" w:hAnsi="Times New Roman"/>
        </w:rPr>
      </w:pPr>
      <w:r w:rsidRPr="0063138F">
        <w:rPr>
          <w:rFonts w:ascii="Times New Roman" w:hAnsi="Times New Roman"/>
        </w:rPr>
        <w:t xml:space="preserve">E-mail: </w:t>
      </w:r>
      <w:r>
        <w:rPr>
          <w:rFonts w:ascii="Times New Roman" w:hAnsi="Times New Roman"/>
        </w:rPr>
        <w:t>FQV</w:t>
      </w:r>
      <w:r w:rsidRPr="0063138F">
        <w:rPr>
          <w:rFonts w:ascii="Times New Roman" w:hAnsi="Times New Roman"/>
        </w:rPr>
        <w:t>6@cdc.gov</w:t>
      </w:r>
    </w:p>
    <w:p w:rsidR="0063138F" w:rsidRPr="0063138F" w:rsidRDefault="0063138F" w:rsidP="0063138F">
      <w:pPr>
        <w:pStyle w:val="Cov-Address"/>
        <w:jc w:val="center"/>
        <w:rPr>
          <w:rFonts w:ascii="Times New Roman" w:hAnsi="Times New Roman"/>
        </w:rPr>
      </w:pPr>
    </w:p>
    <w:p w:rsidR="0063138F" w:rsidRPr="0063138F" w:rsidRDefault="0063138F" w:rsidP="0063138F">
      <w:pPr>
        <w:pStyle w:val="Cov-Address"/>
        <w:jc w:val="center"/>
        <w:rPr>
          <w:rFonts w:ascii="Times New Roman" w:hAnsi="Times New Roman"/>
        </w:rPr>
      </w:pPr>
      <w:r w:rsidRPr="0063138F">
        <w:rPr>
          <w:rFonts w:ascii="Times New Roman" w:hAnsi="Times New Roman"/>
        </w:rPr>
        <w:t>Susan Henderson, MD, MPH</w:t>
      </w:r>
    </w:p>
    <w:p w:rsidR="0063138F" w:rsidRPr="0063138F" w:rsidRDefault="00E46A00" w:rsidP="0063138F">
      <w:pPr>
        <w:pStyle w:val="Cov-Address"/>
        <w:jc w:val="center"/>
        <w:rPr>
          <w:rFonts w:ascii="Times New Roman" w:hAnsi="Times New Roman"/>
        </w:rPr>
      </w:pPr>
      <w:r>
        <w:rPr>
          <w:rFonts w:ascii="Times New Roman" w:hAnsi="Times New Roman"/>
        </w:rPr>
        <w:t xml:space="preserve">Technical </w:t>
      </w:r>
      <w:r w:rsidR="0028117A">
        <w:rPr>
          <w:rFonts w:ascii="Times New Roman" w:hAnsi="Times New Roman"/>
        </w:rPr>
        <w:t>Monitor</w:t>
      </w:r>
    </w:p>
    <w:p w:rsidR="0063138F" w:rsidRPr="0063138F" w:rsidRDefault="0063138F" w:rsidP="0063138F">
      <w:pPr>
        <w:pStyle w:val="Cov-Address"/>
        <w:jc w:val="center"/>
        <w:rPr>
          <w:rFonts w:ascii="Times New Roman" w:hAnsi="Times New Roman"/>
        </w:rPr>
      </w:pPr>
      <w:r w:rsidRPr="0063138F">
        <w:rPr>
          <w:rFonts w:ascii="Times New Roman" w:hAnsi="Times New Roman"/>
        </w:rPr>
        <w:t>Centers for Disease Control and Prevention</w:t>
      </w:r>
    </w:p>
    <w:p w:rsidR="0063138F" w:rsidRPr="0063138F" w:rsidRDefault="0063138F" w:rsidP="0063138F">
      <w:pPr>
        <w:pStyle w:val="Cov-Address"/>
        <w:jc w:val="center"/>
        <w:rPr>
          <w:rFonts w:ascii="Times New Roman" w:hAnsi="Times New Roman"/>
        </w:rPr>
      </w:pPr>
      <w:r w:rsidRPr="0063138F">
        <w:rPr>
          <w:rFonts w:ascii="Times New Roman" w:hAnsi="Times New Roman"/>
        </w:rPr>
        <w:t>Division of Cancer Prevention and Control</w:t>
      </w:r>
    </w:p>
    <w:p w:rsidR="0063138F" w:rsidRPr="0063138F" w:rsidRDefault="0063138F" w:rsidP="0063138F">
      <w:pPr>
        <w:pStyle w:val="Cov-Address"/>
        <w:jc w:val="center"/>
        <w:rPr>
          <w:rFonts w:ascii="Times New Roman" w:hAnsi="Times New Roman"/>
        </w:rPr>
      </w:pPr>
      <w:r w:rsidRPr="0063138F">
        <w:rPr>
          <w:rFonts w:ascii="Times New Roman" w:hAnsi="Times New Roman"/>
        </w:rPr>
        <w:t>4770 Buford Highway, NE, MS K-57</w:t>
      </w:r>
    </w:p>
    <w:p w:rsidR="0063138F" w:rsidRPr="0063138F" w:rsidRDefault="0063138F" w:rsidP="0063138F">
      <w:pPr>
        <w:pStyle w:val="Cov-Address"/>
        <w:jc w:val="center"/>
        <w:rPr>
          <w:rFonts w:ascii="Times New Roman" w:hAnsi="Times New Roman"/>
        </w:rPr>
      </w:pPr>
      <w:r w:rsidRPr="0063138F">
        <w:rPr>
          <w:rFonts w:ascii="Times New Roman" w:hAnsi="Times New Roman"/>
        </w:rPr>
        <w:t>Atlanta, GA 30341-3717</w:t>
      </w:r>
    </w:p>
    <w:p w:rsidR="0063138F" w:rsidRPr="0063138F" w:rsidRDefault="0063138F" w:rsidP="0063138F">
      <w:pPr>
        <w:pStyle w:val="Cov-Address"/>
        <w:jc w:val="center"/>
        <w:rPr>
          <w:rFonts w:ascii="Times New Roman" w:hAnsi="Times New Roman"/>
        </w:rPr>
      </w:pPr>
      <w:r w:rsidRPr="0063138F">
        <w:rPr>
          <w:rFonts w:ascii="Times New Roman" w:hAnsi="Times New Roman"/>
        </w:rPr>
        <w:t>Phone: (770) 488-3111</w:t>
      </w:r>
    </w:p>
    <w:p w:rsidR="0063138F" w:rsidRPr="0063138F" w:rsidRDefault="0063138F" w:rsidP="0063138F">
      <w:pPr>
        <w:pStyle w:val="Cov-Address"/>
        <w:jc w:val="center"/>
        <w:rPr>
          <w:rFonts w:ascii="Times New Roman" w:hAnsi="Times New Roman"/>
        </w:rPr>
      </w:pPr>
      <w:r w:rsidRPr="0063138F">
        <w:rPr>
          <w:rFonts w:ascii="Times New Roman" w:hAnsi="Times New Roman"/>
        </w:rPr>
        <w:t>Fax: (770) 488-4335</w:t>
      </w:r>
    </w:p>
    <w:p w:rsidR="0063138F" w:rsidRPr="0063138F" w:rsidRDefault="0063138F" w:rsidP="0063138F">
      <w:pPr>
        <w:pStyle w:val="Cov-Address"/>
        <w:jc w:val="center"/>
        <w:rPr>
          <w:rFonts w:ascii="Times New Roman" w:hAnsi="Times New Roman"/>
        </w:rPr>
      </w:pPr>
      <w:r w:rsidRPr="0063138F">
        <w:rPr>
          <w:rFonts w:ascii="Times New Roman" w:hAnsi="Times New Roman"/>
        </w:rPr>
        <w:t>E-mail: IRV5@cdc.gov</w:t>
      </w:r>
    </w:p>
    <w:p w:rsidR="00D6798C" w:rsidRPr="0037320E" w:rsidRDefault="00D6798C" w:rsidP="00F41479">
      <w:pPr>
        <w:jc w:val="center"/>
        <w:rPr>
          <w:color w:val="000000"/>
        </w:rPr>
      </w:pPr>
    </w:p>
    <w:p w:rsidR="00D43F13" w:rsidRPr="0037320E" w:rsidRDefault="00D43F13" w:rsidP="00832BA3">
      <w:pPr>
        <w:rPr>
          <w:color w:val="000000"/>
        </w:rPr>
      </w:pPr>
    </w:p>
    <w:p w:rsidR="00D43F13" w:rsidRPr="0037320E" w:rsidRDefault="00D43F13" w:rsidP="00832BA3">
      <w:pPr>
        <w:rPr>
          <w:color w:val="000000"/>
        </w:rPr>
      </w:pPr>
    </w:p>
    <w:p w:rsidR="00A14087" w:rsidRPr="0037320E" w:rsidRDefault="00A14087" w:rsidP="00832BA3">
      <w:pPr>
        <w:rPr>
          <w:b/>
          <w:bCs/>
          <w:caps/>
          <w:color w:val="000000"/>
        </w:rPr>
        <w:sectPr w:rsidR="00A14087" w:rsidRPr="0037320E" w:rsidSect="00782650">
          <w:headerReference w:type="default" r:id="rId9"/>
          <w:footerReference w:type="even" r:id="rId10"/>
          <w:pgSz w:w="12240" w:h="15840"/>
          <w:pgMar w:top="1440" w:right="1440" w:bottom="1440" w:left="1440" w:header="720" w:footer="720" w:gutter="0"/>
          <w:cols w:space="720"/>
          <w:docGrid w:linePitch="360"/>
        </w:sectPr>
      </w:pPr>
    </w:p>
    <w:p w:rsidR="00C65FD6" w:rsidRPr="0037320E" w:rsidRDefault="00C65FD6" w:rsidP="00F72F56">
      <w:pPr>
        <w:pStyle w:val="TOC0"/>
      </w:pPr>
      <w:r w:rsidRPr="0037320E">
        <w:rPr>
          <w:bCs/>
        </w:rPr>
        <w:lastRenderedPageBreak/>
        <w:t>TABLE OF CONTENTS</w:t>
      </w:r>
    </w:p>
    <w:p w:rsidR="00C65FD6" w:rsidRPr="0037320E" w:rsidRDefault="00AC6ACE" w:rsidP="00AC6ACE">
      <w:pPr>
        <w:tabs>
          <w:tab w:val="right" w:pos="9360"/>
        </w:tabs>
        <w:rPr>
          <w:color w:val="000000"/>
        </w:rPr>
      </w:pPr>
      <w:r w:rsidRPr="0037320E">
        <w:rPr>
          <w:b/>
          <w:color w:val="000000"/>
        </w:rPr>
        <w:t>Section</w:t>
      </w:r>
      <w:r w:rsidRPr="0037320E">
        <w:rPr>
          <w:color w:val="000000"/>
        </w:rPr>
        <w:tab/>
      </w:r>
      <w:r w:rsidRPr="0037320E">
        <w:rPr>
          <w:b/>
          <w:color w:val="000000"/>
        </w:rPr>
        <w:t>Page</w:t>
      </w:r>
    </w:p>
    <w:p w:rsidR="0048474B" w:rsidRDefault="00D565A0">
      <w:pPr>
        <w:pStyle w:val="TOC1"/>
        <w:tabs>
          <w:tab w:val="left" w:pos="1350"/>
        </w:tabs>
        <w:rPr>
          <w:rFonts w:asciiTheme="minorHAnsi" w:eastAsiaTheme="minorEastAsia" w:hAnsiTheme="minorHAnsi" w:cstheme="minorBidi"/>
          <w:sz w:val="22"/>
          <w:szCs w:val="22"/>
        </w:rPr>
      </w:pPr>
      <w:r w:rsidRPr="00D565A0">
        <w:rPr>
          <w:b/>
          <w:bCs/>
          <w:caps/>
          <w:color w:val="000000"/>
        </w:rPr>
        <w:fldChar w:fldCharType="begin"/>
      </w:r>
      <w:r w:rsidR="00512F04">
        <w:rPr>
          <w:b/>
          <w:bCs/>
          <w:caps/>
          <w:color w:val="000000"/>
        </w:rPr>
        <w:instrText xml:space="preserve"> TOC \o "1-3" \h \z \u </w:instrText>
      </w:r>
      <w:r w:rsidRPr="00D565A0">
        <w:rPr>
          <w:b/>
          <w:bCs/>
          <w:caps/>
          <w:color w:val="000000"/>
        </w:rPr>
        <w:fldChar w:fldCharType="separate"/>
      </w:r>
      <w:hyperlink w:anchor="_Toc292714077" w:history="1">
        <w:r w:rsidR="0048474B" w:rsidRPr="0002253C">
          <w:rPr>
            <w:rStyle w:val="Hyperlink"/>
          </w:rPr>
          <w:t>B.</w:t>
        </w:r>
        <w:r w:rsidR="0048474B">
          <w:rPr>
            <w:rFonts w:asciiTheme="minorHAnsi" w:eastAsiaTheme="minorEastAsia" w:hAnsiTheme="minorHAnsi" w:cstheme="minorBidi"/>
            <w:sz w:val="22"/>
            <w:szCs w:val="22"/>
          </w:rPr>
          <w:tab/>
        </w:r>
        <w:r w:rsidR="0048474B" w:rsidRPr="0002253C">
          <w:rPr>
            <w:rStyle w:val="Hyperlink"/>
          </w:rPr>
          <w:t>Collection of Information Employing Statistical Methods</w:t>
        </w:r>
        <w:r w:rsidR="0048474B">
          <w:rPr>
            <w:webHidden/>
          </w:rPr>
          <w:tab/>
        </w:r>
        <w:r>
          <w:rPr>
            <w:webHidden/>
          </w:rPr>
          <w:fldChar w:fldCharType="begin"/>
        </w:r>
        <w:r w:rsidR="0048474B">
          <w:rPr>
            <w:webHidden/>
          </w:rPr>
          <w:instrText xml:space="preserve"> PAGEREF _Toc292714077 \h </w:instrText>
        </w:r>
        <w:r>
          <w:rPr>
            <w:webHidden/>
          </w:rPr>
        </w:r>
        <w:r>
          <w:rPr>
            <w:webHidden/>
          </w:rPr>
          <w:fldChar w:fldCharType="separate"/>
        </w:r>
        <w:r w:rsidR="00866127">
          <w:rPr>
            <w:webHidden/>
          </w:rPr>
          <w:t>1</w:t>
        </w:r>
        <w:r>
          <w:rPr>
            <w:webHidden/>
          </w:rPr>
          <w:fldChar w:fldCharType="end"/>
        </w:r>
      </w:hyperlink>
    </w:p>
    <w:p w:rsidR="0048474B" w:rsidRDefault="00D565A0">
      <w:pPr>
        <w:pStyle w:val="TOC2"/>
        <w:tabs>
          <w:tab w:val="left" w:pos="1350"/>
        </w:tabs>
        <w:rPr>
          <w:rFonts w:asciiTheme="minorHAnsi" w:eastAsiaTheme="minorEastAsia" w:hAnsiTheme="minorHAnsi" w:cstheme="minorBidi"/>
          <w:sz w:val="22"/>
          <w:szCs w:val="22"/>
        </w:rPr>
      </w:pPr>
      <w:hyperlink w:anchor="_Toc292714078" w:history="1">
        <w:r w:rsidR="0048474B" w:rsidRPr="0002253C">
          <w:rPr>
            <w:rStyle w:val="Hyperlink"/>
          </w:rPr>
          <w:t>B.1</w:t>
        </w:r>
        <w:r w:rsidR="0048474B">
          <w:rPr>
            <w:rFonts w:asciiTheme="minorHAnsi" w:eastAsiaTheme="minorEastAsia" w:hAnsiTheme="minorHAnsi" w:cstheme="minorBidi"/>
            <w:sz w:val="22"/>
            <w:szCs w:val="22"/>
          </w:rPr>
          <w:tab/>
        </w:r>
        <w:r w:rsidR="0048474B" w:rsidRPr="0002253C">
          <w:rPr>
            <w:rStyle w:val="Hyperlink"/>
          </w:rPr>
          <w:t>Respondent Universe and Sampling Methods</w:t>
        </w:r>
        <w:r w:rsidR="0048474B">
          <w:rPr>
            <w:webHidden/>
          </w:rPr>
          <w:tab/>
        </w:r>
        <w:r>
          <w:rPr>
            <w:webHidden/>
          </w:rPr>
          <w:fldChar w:fldCharType="begin"/>
        </w:r>
        <w:r w:rsidR="0048474B">
          <w:rPr>
            <w:webHidden/>
          </w:rPr>
          <w:instrText xml:space="preserve"> PAGEREF _Toc292714078 \h </w:instrText>
        </w:r>
        <w:r>
          <w:rPr>
            <w:webHidden/>
          </w:rPr>
        </w:r>
        <w:r>
          <w:rPr>
            <w:webHidden/>
          </w:rPr>
          <w:fldChar w:fldCharType="separate"/>
        </w:r>
        <w:r w:rsidR="00866127">
          <w:rPr>
            <w:webHidden/>
          </w:rPr>
          <w:t>1</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79" w:history="1">
        <w:r w:rsidR="0048474B" w:rsidRPr="0002253C">
          <w:rPr>
            <w:rStyle w:val="Hyperlink"/>
          </w:rPr>
          <w:t>Quitline Promotional Activities Component</w:t>
        </w:r>
        <w:r w:rsidR="0048474B">
          <w:rPr>
            <w:webHidden/>
          </w:rPr>
          <w:tab/>
        </w:r>
        <w:r>
          <w:rPr>
            <w:webHidden/>
          </w:rPr>
          <w:fldChar w:fldCharType="begin"/>
        </w:r>
        <w:r w:rsidR="0048474B">
          <w:rPr>
            <w:webHidden/>
          </w:rPr>
          <w:instrText xml:space="preserve"> PAGEREF _Toc292714079 \h </w:instrText>
        </w:r>
        <w:r>
          <w:rPr>
            <w:webHidden/>
          </w:rPr>
        </w:r>
        <w:r>
          <w:rPr>
            <w:webHidden/>
          </w:rPr>
          <w:fldChar w:fldCharType="separate"/>
        </w:r>
        <w:r w:rsidR="00866127">
          <w:rPr>
            <w:webHidden/>
          </w:rPr>
          <w:t>1</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80" w:history="1">
        <w:r w:rsidR="0048474B" w:rsidRPr="0002253C">
          <w:rPr>
            <w:rStyle w:val="Hyperlink"/>
          </w:rPr>
          <w:t>Cessation Intervention Component</w:t>
        </w:r>
        <w:r w:rsidR="0048474B">
          <w:rPr>
            <w:webHidden/>
          </w:rPr>
          <w:tab/>
        </w:r>
        <w:r>
          <w:rPr>
            <w:webHidden/>
          </w:rPr>
          <w:fldChar w:fldCharType="begin"/>
        </w:r>
        <w:r w:rsidR="0048474B">
          <w:rPr>
            <w:webHidden/>
          </w:rPr>
          <w:instrText xml:space="preserve"> PAGEREF _Toc292714080 \h </w:instrText>
        </w:r>
        <w:r>
          <w:rPr>
            <w:webHidden/>
          </w:rPr>
        </w:r>
        <w:r>
          <w:rPr>
            <w:webHidden/>
          </w:rPr>
          <w:fldChar w:fldCharType="separate"/>
        </w:r>
        <w:r w:rsidR="00866127">
          <w:rPr>
            <w:webHidden/>
          </w:rPr>
          <w:t>1</w:t>
        </w:r>
        <w:r>
          <w:rPr>
            <w:webHidden/>
          </w:rPr>
          <w:fldChar w:fldCharType="end"/>
        </w:r>
      </w:hyperlink>
    </w:p>
    <w:p w:rsidR="0048474B" w:rsidRDefault="00D565A0">
      <w:pPr>
        <w:pStyle w:val="TOC2"/>
        <w:tabs>
          <w:tab w:val="left" w:pos="1350"/>
        </w:tabs>
        <w:rPr>
          <w:rFonts w:asciiTheme="minorHAnsi" w:eastAsiaTheme="minorEastAsia" w:hAnsiTheme="minorHAnsi" w:cstheme="minorBidi"/>
          <w:sz w:val="22"/>
          <w:szCs w:val="22"/>
        </w:rPr>
      </w:pPr>
      <w:hyperlink w:anchor="_Toc292714081" w:history="1">
        <w:r w:rsidR="0048474B" w:rsidRPr="0002253C">
          <w:rPr>
            <w:rStyle w:val="Hyperlink"/>
          </w:rPr>
          <w:t>B.2</w:t>
        </w:r>
        <w:r w:rsidR="0048474B">
          <w:rPr>
            <w:rFonts w:asciiTheme="minorHAnsi" w:eastAsiaTheme="minorEastAsia" w:hAnsiTheme="minorHAnsi" w:cstheme="minorBidi"/>
            <w:sz w:val="22"/>
            <w:szCs w:val="22"/>
          </w:rPr>
          <w:tab/>
        </w:r>
        <w:r w:rsidR="0048474B" w:rsidRPr="0002253C">
          <w:rPr>
            <w:rStyle w:val="Hyperlink"/>
          </w:rPr>
          <w:t>Procedures for the Collection of Information</w:t>
        </w:r>
        <w:r w:rsidR="0048474B">
          <w:rPr>
            <w:webHidden/>
          </w:rPr>
          <w:tab/>
        </w:r>
        <w:r>
          <w:rPr>
            <w:webHidden/>
          </w:rPr>
          <w:fldChar w:fldCharType="begin"/>
        </w:r>
        <w:r w:rsidR="0048474B">
          <w:rPr>
            <w:webHidden/>
          </w:rPr>
          <w:instrText xml:space="preserve"> PAGEREF _Toc292714081 \h </w:instrText>
        </w:r>
        <w:r>
          <w:rPr>
            <w:webHidden/>
          </w:rPr>
        </w:r>
        <w:r>
          <w:rPr>
            <w:webHidden/>
          </w:rPr>
          <w:fldChar w:fldCharType="separate"/>
        </w:r>
        <w:r w:rsidR="00866127">
          <w:rPr>
            <w:webHidden/>
          </w:rPr>
          <w:t>2</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82" w:history="1">
        <w:r w:rsidR="0048474B" w:rsidRPr="0002253C">
          <w:rPr>
            <w:rStyle w:val="Hyperlink"/>
          </w:rPr>
          <w:t>Quitline Promotional Activities Component</w:t>
        </w:r>
        <w:r w:rsidR="0048474B">
          <w:rPr>
            <w:webHidden/>
          </w:rPr>
          <w:tab/>
        </w:r>
        <w:r>
          <w:rPr>
            <w:webHidden/>
          </w:rPr>
          <w:fldChar w:fldCharType="begin"/>
        </w:r>
        <w:r w:rsidR="0048474B">
          <w:rPr>
            <w:webHidden/>
          </w:rPr>
          <w:instrText xml:space="preserve"> PAGEREF _Toc292714082 \h </w:instrText>
        </w:r>
        <w:r>
          <w:rPr>
            <w:webHidden/>
          </w:rPr>
        </w:r>
        <w:r>
          <w:rPr>
            <w:webHidden/>
          </w:rPr>
          <w:fldChar w:fldCharType="separate"/>
        </w:r>
        <w:r w:rsidR="00866127">
          <w:rPr>
            <w:webHidden/>
          </w:rPr>
          <w:t>2</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83" w:history="1">
        <w:r w:rsidR="0048474B" w:rsidRPr="0002253C">
          <w:rPr>
            <w:rStyle w:val="Hyperlink"/>
          </w:rPr>
          <w:t>Cessation Intervention Component</w:t>
        </w:r>
        <w:r w:rsidR="0048474B">
          <w:rPr>
            <w:webHidden/>
          </w:rPr>
          <w:tab/>
        </w:r>
        <w:r>
          <w:rPr>
            <w:webHidden/>
          </w:rPr>
          <w:fldChar w:fldCharType="begin"/>
        </w:r>
        <w:r w:rsidR="0048474B">
          <w:rPr>
            <w:webHidden/>
          </w:rPr>
          <w:instrText xml:space="preserve"> PAGEREF _Toc292714083 \h </w:instrText>
        </w:r>
        <w:r>
          <w:rPr>
            <w:webHidden/>
          </w:rPr>
        </w:r>
        <w:r>
          <w:rPr>
            <w:webHidden/>
          </w:rPr>
          <w:fldChar w:fldCharType="separate"/>
        </w:r>
        <w:r w:rsidR="00866127">
          <w:rPr>
            <w:webHidden/>
          </w:rPr>
          <w:t>4</w:t>
        </w:r>
        <w:r>
          <w:rPr>
            <w:webHidden/>
          </w:rPr>
          <w:fldChar w:fldCharType="end"/>
        </w:r>
      </w:hyperlink>
    </w:p>
    <w:p w:rsidR="0048474B" w:rsidRDefault="00D565A0">
      <w:pPr>
        <w:pStyle w:val="TOC2"/>
        <w:tabs>
          <w:tab w:val="left" w:pos="1350"/>
        </w:tabs>
        <w:rPr>
          <w:rFonts w:asciiTheme="minorHAnsi" w:eastAsiaTheme="minorEastAsia" w:hAnsiTheme="minorHAnsi" w:cstheme="minorBidi"/>
          <w:sz w:val="22"/>
          <w:szCs w:val="22"/>
        </w:rPr>
      </w:pPr>
      <w:hyperlink w:anchor="_Toc292714084" w:history="1">
        <w:r w:rsidR="0048474B" w:rsidRPr="0002253C">
          <w:rPr>
            <w:rStyle w:val="Hyperlink"/>
          </w:rPr>
          <w:t>B.3</w:t>
        </w:r>
        <w:r w:rsidR="0048474B">
          <w:rPr>
            <w:rFonts w:asciiTheme="minorHAnsi" w:eastAsiaTheme="minorEastAsia" w:hAnsiTheme="minorHAnsi" w:cstheme="minorBidi"/>
            <w:sz w:val="22"/>
            <w:szCs w:val="22"/>
          </w:rPr>
          <w:tab/>
        </w:r>
        <w:r w:rsidR="0048474B" w:rsidRPr="0002253C">
          <w:rPr>
            <w:rStyle w:val="Hyperlink"/>
          </w:rPr>
          <w:t>Methods to Maximize Response Rates and Deal with Nonresponse</w:t>
        </w:r>
        <w:r w:rsidR="0048474B">
          <w:rPr>
            <w:webHidden/>
          </w:rPr>
          <w:tab/>
        </w:r>
        <w:r>
          <w:rPr>
            <w:webHidden/>
          </w:rPr>
          <w:fldChar w:fldCharType="begin"/>
        </w:r>
        <w:r w:rsidR="0048474B">
          <w:rPr>
            <w:webHidden/>
          </w:rPr>
          <w:instrText xml:space="preserve"> PAGEREF _Toc292714084 \h </w:instrText>
        </w:r>
        <w:r>
          <w:rPr>
            <w:webHidden/>
          </w:rPr>
        </w:r>
        <w:r>
          <w:rPr>
            <w:webHidden/>
          </w:rPr>
          <w:fldChar w:fldCharType="separate"/>
        </w:r>
        <w:r w:rsidR="00866127">
          <w:rPr>
            <w:webHidden/>
          </w:rPr>
          <w:t>7</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85" w:history="1">
        <w:r w:rsidR="0048474B" w:rsidRPr="0002253C">
          <w:rPr>
            <w:rStyle w:val="Hyperlink"/>
          </w:rPr>
          <w:t>Quitline Promotional Activities Component</w:t>
        </w:r>
        <w:r w:rsidR="0048474B">
          <w:rPr>
            <w:webHidden/>
          </w:rPr>
          <w:tab/>
        </w:r>
        <w:r>
          <w:rPr>
            <w:webHidden/>
          </w:rPr>
          <w:fldChar w:fldCharType="begin"/>
        </w:r>
        <w:r w:rsidR="0048474B">
          <w:rPr>
            <w:webHidden/>
          </w:rPr>
          <w:instrText xml:space="preserve"> PAGEREF _Toc292714085 \h </w:instrText>
        </w:r>
        <w:r>
          <w:rPr>
            <w:webHidden/>
          </w:rPr>
        </w:r>
        <w:r>
          <w:rPr>
            <w:webHidden/>
          </w:rPr>
          <w:fldChar w:fldCharType="separate"/>
        </w:r>
        <w:r w:rsidR="00866127">
          <w:rPr>
            <w:webHidden/>
          </w:rPr>
          <w:t>7</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86" w:history="1">
        <w:r w:rsidR="0048474B" w:rsidRPr="0002253C">
          <w:rPr>
            <w:rStyle w:val="Hyperlink"/>
          </w:rPr>
          <w:t>Cessation Intervention Component</w:t>
        </w:r>
        <w:r w:rsidR="0048474B">
          <w:rPr>
            <w:webHidden/>
          </w:rPr>
          <w:tab/>
        </w:r>
        <w:r>
          <w:rPr>
            <w:webHidden/>
          </w:rPr>
          <w:fldChar w:fldCharType="begin"/>
        </w:r>
        <w:r w:rsidR="0048474B">
          <w:rPr>
            <w:webHidden/>
          </w:rPr>
          <w:instrText xml:space="preserve"> PAGEREF _Toc292714086 \h </w:instrText>
        </w:r>
        <w:r>
          <w:rPr>
            <w:webHidden/>
          </w:rPr>
        </w:r>
        <w:r>
          <w:rPr>
            <w:webHidden/>
          </w:rPr>
          <w:fldChar w:fldCharType="separate"/>
        </w:r>
        <w:r w:rsidR="00866127">
          <w:rPr>
            <w:webHidden/>
          </w:rPr>
          <w:t>8</w:t>
        </w:r>
        <w:r>
          <w:rPr>
            <w:webHidden/>
          </w:rPr>
          <w:fldChar w:fldCharType="end"/>
        </w:r>
      </w:hyperlink>
    </w:p>
    <w:p w:rsidR="0048474B" w:rsidRDefault="00D565A0">
      <w:pPr>
        <w:pStyle w:val="TOC2"/>
        <w:tabs>
          <w:tab w:val="left" w:pos="1350"/>
        </w:tabs>
        <w:rPr>
          <w:rFonts w:asciiTheme="minorHAnsi" w:eastAsiaTheme="minorEastAsia" w:hAnsiTheme="minorHAnsi" w:cstheme="minorBidi"/>
          <w:sz w:val="22"/>
          <w:szCs w:val="22"/>
        </w:rPr>
      </w:pPr>
      <w:hyperlink w:anchor="_Toc292714087" w:history="1">
        <w:r w:rsidR="0048474B" w:rsidRPr="0002253C">
          <w:rPr>
            <w:rStyle w:val="Hyperlink"/>
          </w:rPr>
          <w:t>B.4</w:t>
        </w:r>
        <w:r w:rsidR="0048474B">
          <w:rPr>
            <w:rFonts w:asciiTheme="minorHAnsi" w:eastAsiaTheme="minorEastAsia" w:hAnsiTheme="minorHAnsi" w:cstheme="minorBidi"/>
            <w:sz w:val="22"/>
            <w:szCs w:val="22"/>
          </w:rPr>
          <w:tab/>
        </w:r>
        <w:r w:rsidR="0048474B" w:rsidRPr="0002253C">
          <w:rPr>
            <w:rStyle w:val="Hyperlink"/>
          </w:rPr>
          <w:t>Test of Procedures or Methods to Be Undertaken</w:t>
        </w:r>
        <w:r w:rsidR="0048474B">
          <w:rPr>
            <w:webHidden/>
          </w:rPr>
          <w:tab/>
        </w:r>
        <w:r>
          <w:rPr>
            <w:webHidden/>
          </w:rPr>
          <w:fldChar w:fldCharType="begin"/>
        </w:r>
        <w:r w:rsidR="0048474B">
          <w:rPr>
            <w:webHidden/>
          </w:rPr>
          <w:instrText xml:space="preserve"> PAGEREF _Toc292714087 \h </w:instrText>
        </w:r>
        <w:r>
          <w:rPr>
            <w:webHidden/>
          </w:rPr>
        </w:r>
        <w:r>
          <w:rPr>
            <w:webHidden/>
          </w:rPr>
          <w:fldChar w:fldCharType="separate"/>
        </w:r>
        <w:r w:rsidR="00866127">
          <w:rPr>
            <w:webHidden/>
          </w:rPr>
          <w:t>9</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88" w:history="1">
        <w:r w:rsidR="0048474B" w:rsidRPr="0002253C">
          <w:rPr>
            <w:rStyle w:val="Hyperlink"/>
          </w:rPr>
          <w:t>Quitline Promotional Activities Component</w:t>
        </w:r>
        <w:r w:rsidR="0048474B">
          <w:rPr>
            <w:webHidden/>
          </w:rPr>
          <w:tab/>
        </w:r>
        <w:r>
          <w:rPr>
            <w:webHidden/>
          </w:rPr>
          <w:fldChar w:fldCharType="begin"/>
        </w:r>
        <w:r w:rsidR="0048474B">
          <w:rPr>
            <w:webHidden/>
          </w:rPr>
          <w:instrText xml:space="preserve"> PAGEREF _Toc292714088 \h </w:instrText>
        </w:r>
        <w:r>
          <w:rPr>
            <w:webHidden/>
          </w:rPr>
        </w:r>
        <w:r>
          <w:rPr>
            <w:webHidden/>
          </w:rPr>
          <w:fldChar w:fldCharType="separate"/>
        </w:r>
        <w:r w:rsidR="00866127">
          <w:rPr>
            <w:webHidden/>
          </w:rPr>
          <w:t>9</w:t>
        </w:r>
        <w:r>
          <w:rPr>
            <w:webHidden/>
          </w:rPr>
          <w:fldChar w:fldCharType="end"/>
        </w:r>
      </w:hyperlink>
    </w:p>
    <w:p w:rsidR="0048474B" w:rsidRDefault="00D565A0">
      <w:pPr>
        <w:pStyle w:val="TOC3"/>
        <w:rPr>
          <w:rFonts w:asciiTheme="minorHAnsi" w:eastAsiaTheme="minorEastAsia" w:hAnsiTheme="minorHAnsi" w:cstheme="minorBidi"/>
          <w:sz w:val="22"/>
          <w:szCs w:val="22"/>
        </w:rPr>
      </w:pPr>
      <w:hyperlink w:anchor="_Toc292714089" w:history="1">
        <w:r w:rsidR="0048474B" w:rsidRPr="0002253C">
          <w:rPr>
            <w:rStyle w:val="Hyperlink"/>
          </w:rPr>
          <w:t>Cessation Intervention Component</w:t>
        </w:r>
        <w:r w:rsidR="0048474B">
          <w:rPr>
            <w:webHidden/>
          </w:rPr>
          <w:tab/>
        </w:r>
        <w:r>
          <w:rPr>
            <w:webHidden/>
          </w:rPr>
          <w:fldChar w:fldCharType="begin"/>
        </w:r>
        <w:r w:rsidR="0048474B">
          <w:rPr>
            <w:webHidden/>
          </w:rPr>
          <w:instrText xml:space="preserve"> PAGEREF _Toc292714089 \h </w:instrText>
        </w:r>
        <w:r>
          <w:rPr>
            <w:webHidden/>
          </w:rPr>
        </w:r>
        <w:r>
          <w:rPr>
            <w:webHidden/>
          </w:rPr>
          <w:fldChar w:fldCharType="separate"/>
        </w:r>
        <w:r w:rsidR="00866127">
          <w:rPr>
            <w:webHidden/>
          </w:rPr>
          <w:t>10</w:t>
        </w:r>
        <w:r>
          <w:rPr>
            <w:webHidden/>
          </w:rPr>
          <w:fldChar w:fldCharType="end"/>
        </w:r>
      </w:hyperlink>
    </w:p>
    <w:p w:rsidR="0048474B" w:rsidRDefault="00D565A0">
      <w:pPr>
        <w:pStyle w:val="TOC2"/>
        <w:tabs>
          <w:tab w:val="left" w:pos="1350"/>
        </w:tabs>
        <w:rPr>
          <w:rFonts w:asciiTheme="minorHAnsi" w:eastAsiaTheme="minorEastAsia" w:hAnsiTheme="minorHAnsi" w:cstheme="minorBidi"/>
          <w:sz w:val="22"/>
          <w:szCs w:val="22"/>
        </w:rPr>
      </w:pPr>
      <w:hyperlink w:anchor="_Toc292714090" w:history="1">
        <w:r w:rsidR="0048474B" w:rsidRPr="0002253C">
          <w:rPr>
            <w:rStyle w:val="Hyperlink"/>
          </w:rPr>
          <w:t>B.5</w:t>
        </w:r>
        <w:r w:rsidR="0048474B">
          <w:rPr>
            <w:rFonts w:asciiTheme="minorHAnsi" w:eastAsiaTheme="minorEastAsia" w:hAnsiTheme="minorHAnsi" w:cstheme="minorBidi"/>
            <w:sz w:val="22"/>
            <w:szCs w:val="22"/>
          </w:rPr>
          <w:tab/>
        </w:r>
        <w:r w:rsidR="0048474B" w:rsidRPr="0002253C">
          <w:rPr>
            <w:rStyle w:val="Hyperlink"/>
          </w:rPr>
          <w:t>Individuals Consulted on Statistical Aspects and Individuals Collecting and/or Analyzing Data</w:t>
        </w:r>
        <w:r w:rsidR="0048474B">
          <w:rPr>
            <w:webHidden/>
          </w:rPr>
          <w:tab/>
        </w:r>
        <w:r>
          <w:rPr>
            <w:webHidden/>
          </w:rPr>
          <w:fldChar w:fldCharType="begin"/>
        </w:r>
        <w:r w:rsidR="0048474B">
          <w:rPr>
            <w:webHidden/>
          </w:rPr>
          <w:instrText xml:space="preserve"> PAGEREF _Toc292714090 \h </w:instrText>
        </w:r>
        <w:r>
          <w:rPr>
            <w:webHidden/>
          </w:rPr>
        </w:r>
        <w:r>
          <w:rPr>
            <w:webHidden/>
          </w:rPr>
          <w:fldChar w:fldCharType="separate"/>
        </w:r>
        <w:r w:rsidR="00866127">
          <w:rPr>
            <w:webHidden/>
          </w:rPr>
          <w:t>10</w:t>
        </w:r>
        <w:r>
          <w:rPr>
            <w:webHidden/>
          </w:rPr>
          <w:fldChar w:fldCharType="end"/>
        </w:r>
      </w:hyperlink>
    </w:p>
    <w:p w:rsidR="00F72F56" w:rsidRDefault="00D565A0" w:rsidP="00A935D1">
      <w:pPr>
        <w:rPr>
          <w:noProof/>
        </w:rPr>
      </w:pPr>
      <w:r>
        <w:rPr>
          <w:noProof/>
        </w:rPr>
        <w:fldChar w:fldCharType="end"/>
      </w:r>
      <w:bookmarkStart w:id="1" w:name="_Toc79980788"/>
    </w:p>
    <w:p w:rsidR="00A935D1" w:rsidRPr="00A935D1" w:rsidRDefault="00A935D1" w:rsidP="00A935D1"/>
    <w:p w:rsidR="00F72F56" w:rsidRDefault="00B23A53" w:rsidP="00F72F56">
      <w:pPr>
        <w:pStyle w:val="TOC0"/>
        <w:rPr>
          <w:noProof/>
        </w:rPr>
      </w:pPr>
      <w:r>
        <w:rPr>
          <w:noProof/>
        </w:rPr>
        <w:br w:type="page"/>
      </w:r>
      <w:r w:rsidR="00F72F56">
        <w:rPr>
          <w:noProof/>
        </w:rPr>
        <w:lastRenderedPageBreak/>
        <w:t>Exhibits</w:t>
      </w:r>
    </w:p>
    <w:p w:rsidR="00A935D1" w:rsidRPr="0037320E" w:rsidRDefault="00A935D1"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rsidR="0048474B" w:rsidRDefault="00D565A0">
      <w:pPr>
        <w:pStyle w:val="TOC5"/>
        <w:rPr>
          <w:rFonts w:asciiTheme="minorHAnsi" w:eastAsiaTheme="minorEastAsia" w:hAnsiTheme="minorHAnsi" w:cstheme="minorBidi"/>
          <w:sz w:val="22"/>
          <w:szCs w:val="22"/>
        </w:rPr>
      </w:pPr>
      <w:r w:rsidRPr="00D565A0">
        <w:fldChar w:fldCharType="begin"/>
      </w:r>
      <w:r w:rsidR="00F72F56">
        <w:instrText xml:space="preserve"> TOC \t "Figure Title,5" </w:instrText>
      </w:r>
      <w:r w:rsidRPr="00D565A0">
        <w:fldChar w:fldCharType="separate"/>
      </w:r>
      <w:r w:rsidR="0048474B">
        <w:t>Exhibit 1. Metrics and Data Sources for the Quitline Promotional Activities Component</w:t>
      </w:r>
      <w:r w:rsidR="0048474B">
        <w:tab/>
      </w:r>
      <w:r>
        <w:fldChar w:fldCharType="begin"/>
      </w:r>
      <w:r w:rsidR="0048474B">
        <w:instrText xml:space="preserve"> PAGEREF _Toc292714091 \h </w:instrText>
      </w:r>
      <w:r>
        <w:fldChar w:fldCharType="separate"/>
      </w:r>
      <w:r w:rsidR="00866127">
        <w:t>3</w:t>
      </w:r>
      <w:r>
        <w:fldChar w:fldCharType="end"/>
      </w:r>
    </w:p>
    <w:p w:rsidR="0048474B" w:rsidRDefault="0048474B">
      <w:pPr>
        <w:pStyle w:val="TOC5"/>
        <w:rPr>
          <w:rFonts w:asciiTheme="minorHAnsi" w:eastAsiaTheme="minorEastAsia" w:hAnsiTheme="minorHAnsi" w:cstheme="minorBidi"/>
          <w:sz w:val="22"/>
          <w:szCs w:val="22"/>
        </w:rPr>
      </w:pPr>
      <w:r>
        <w:t>Exhibit 2. Cessation Intervention Component: Proposed Seven-Month Follow-Up Survey Data Collection Flow</w:t>
      </w:r>
      <w:r>
        <w:tab/>
      </w:r>
      <w:r w:rsidR="00D565A0">
        <w:fldChar w:fldCharType="begin"/>
      </w:r>
      <w:r>
        <w:instrText xml:space="preserve"> PAGEREF _Toc292714092 \h </w:instrText>
      </w:r>
      <w:r w:rsidR="00D565A0">
        <w:fldChar w:fldCharType="separate"/>
      </w:r>
      <w:r w:rsidR="00866127">
        <w:t>7</w:t>
      </w:r>
      <w:r w:rsidR="00D565A0">
        <w:fldChar w:fldCharType="end"/>
      </w:r>
    </w:p>
    <w:p w:rsidR="00451757" w:rsidRPr="00F72F56" w:rsidRDefault="00D565A0" w:rsidP="00451757">
      <w:pPr>
        <w:rPr>
          <w:noProof/>
        </w:rPr>
      </w:pPr>
      <w:r>
        <w:rPr>
          <w:noProof/>
        </w:rPr>
        <w:fldChar w:fldCharType="end"/>
      </w:r>
    </w:p>
    <w:p w:rsidR="00F72F56" w:rsidRDefault="00F72F56" w:rsidP="00F72F56">
      <w:pPr>
        <w:rPr>
          <w:noProof/>
        </w:rPr>
      </w:pPr>
    </w:p>
    <w:p w:rsidR="00D269D7" w:rsidRPr="00D269D7" w:rsidRDefault="00D269D7" w:rsidP="00D269D7">
      <w:pPr>
        <w:pStyle w:val="TOC0"/>
        <w:rPr>
          <w:noProof/>
        </w:rPr>
      </w:pPr>
      <w:r w:rsidRPr="00D269D7">
        <w:rPr>
          <w:noProof/>
        </w:rPr>
        <w:t>LIST OF APPENDICES</w:t>
      </w:r>
    </w:p>
    <w:p w:rsidR="00D269D7" w:rsidRPr="00D269D7" w:rsidRDefault="00D269D7" w:rsidP="00D269D7">
      <w:pPr>
        <w:pStyle w:val="Heading1"/>
        <w:rPr>
          <w:rFonts w:ascii="Times New Roman" w:hAnsi="Times New Roman"/>
          <w:b w:val="0"/>
          <w:color w:val="000000"/>
        </w:rPr>
      </w:pPr>
      <w:proofErr w:type="gramStart"/>
      <w:r>
        <w:rPr>
          <w:rFonts w:ascii="Times New Roman" w:hAnsi="Times New Roman"/>
          <w:b w:val="0"/>
          <w:caps w:val="0"/>
          <w:color w:val="000000"/>
        </w:rPr>
        <w:t>Appendix 1a.</w:t>
      </w:r>
      <w:proofErr w:type="gramEnd"/>
      <w:r>
        <w:rPr>
          <w:rFonts w:ascii="Times New Roman" w:hAnsi="Times New Roman"/>
          <w:b w:val="0"/>
          <w:caps w:val="0"/>
          <w:color w:val="000000"/>
        </w:rPr>
        <w:t xml:space="preserve"> A</w:t>
      </w:r>
      <w:r w:rsidRPr="00D269D7">
        <w:rPr>
          <w:rFonts w:ascii="Times New Roman" w:hAnsi="Times New Roman"/>
          <w:b w:val="0"/>
          <w:caps w:val="0"/>
          <w:color w:val="000000"/>
        </w:rPr>
        <w:t xml:space="preserve">uthorizing legislation: </w:t>
      </w:r>
      <w:r>
        <w:rPr>
          <w:rFonts w:ascii="Times New Roman" w:hAnsi="Times New Roman"/>
          <w:b w:val="0"/>
          <w:caps w:val="0"/>
          <w:color w:val="000000"/>
        </w:rPr>
        <w:t>PHSA</w:t>
      </w:r>
    </w:p>
    <w:p w:rsidR="00D269D7" w:rsidRPr="00D269D7" w:rsidRDefault="00D269D7" w:rsidP="00D269D7">
      <w:pPr>
        <w:pStyle w:val="Heading1"/>
        <w:rPr>
          <w:rFonts w:ascii="Times New Roman" w:hAnsi="Times New Roman"/>
          <w:b w:val="0"/>
          <w:color w:val="000000"/>
        </w:rPr>
      </w:pPr>
      <w:proofErr w:type="gramStart"/>
      <w:r>
        <w:rPr>
          <w:rFonts w:ascii="Times New Roman" w:hAnsi="Times New Roman"/>
          <w:b w:val="0"/>
          <w:caps w:val="0"/>
          <w:color w:val="000000"/>
        </w:rPr>
        <w:t>Appendix 1b</w:t>
      </w:r>
      <w:r w:rsidR="008E3D3F">
        <w:rPr>
          <w:rFonts w:ascii="Times New Roman" w:hAnsi="Times New Roman"/>
          <w:b w:val="0"/>
          <w:caps w:val="0"/>
          <w:color w:val="000000"/>
        </w:rPr>
        <w:t>.</w:t>
      </w:r>
      <w:proofErr w:type="gramEnd"/>
      <w:r>
        <w:rPr>
          <w:rFonts w:ascii="Times New Roman" w:hAnsi="Times New Roman"/>
          <w:b w:val="0"/>
          <w:caps w:val="0"/>
          <w:color w:val="000000"/>
        </w:rPr>
        <w:t xml:space="preserve"> American Recovery and R</w:t>
      </w:r>
      <w:r w:rsidRPr="00D269D7">
        <w:rPr>
          <w:rFonts w:ascii="Times New Roman" w:hAnsi="Times New Roman"/>
          <w:b w:val="0"/>
          <w:caps w:val="0"/>
          <w:color w:val="000000"/>
        </w:rPr>
        <w:t>ein</w:t>
      </w:r>
      <w:r>
        <w:rPr>
          <w:rFonts w:ascii="Times New Roman" w:hAnsi="Times New Roman"/>
          <w:b w:val="0"/>
          <w:caps w:val="0"/>
          <w:color w:val="000000"/>
        </w:rPr>
        <w:t>vestment A</w:t>
      </w:r>
      <w:r w:rsidRPr="00D269D7">
        <w:rPr>
          <w:rFonts w:ascii="Times New Roman" w:hAnsi="Times New Roman"/>
          <w:b w:val="0"/>
          <w:caps w:val="0"/>
          <w:color w:val="000000"/>
        </w:rPr>
        <w:t>ct of 2009</w:t>
      </w:r>
    </w:p>
    <w:p w:rsidR="005516D0" w:rsidRDefault="00D269D7" w:rsidP="00D269D7">
      <w:pPr>
        <w:pStyle w:val="Heading1"/>
        <w:rPr>
          <w:rFonts w:ascii="Times New Roman" w:hAnsi="Times New Roman"/>
          <w:b w:val="0"/>
          <w:caps w:val="0"/>
          <w:color w:val="000000"/>
        </w:rPr>
      </w:pPr>
      <w:proofErr w:type="gramStart"/>
      <w:r>
        <w:rPr>
          <w:rFonts w:ascii="Times New Roman" w:hAnsi="Times New Roman"/>
          <w:b w:val="0"/>
          <w:caps w:val="0"/>
          <w:color w:val="000000"/>
        </w:rPr>
        <w:t>A</w:t>
      </w:r>
      <w:r w:rsidRPr="00D269D7">
        <w:rPr>
          <w:rFonts w:ascii="Times New Roman" w:hAnsi="Times New Roman"/>
          <w:b w:val="0"/>
          <w:caps w:val="0"/>
          <w:color w:val="000000"/>
        </w:rPr>
        <w:t>ppendix 2</w:t>
      </w:r>
      <w:r w:rsidR="005516D0">
        <w:rPr>
          <w:rFonts w:ascii="Times New Roman" w:hAnsi="Times New Roman"/>
          <w:b w:val="0"/>
          <w:caps w:val="0"/>
          <w:color w:val="000000"/>
        </w:rPr>
        <w:t>a</w:t>
      </w:r>
      <w:r w:rsidRPr="00D269D7">
        <w:rPr>
          <w:rFonts w:ascii="Times New Roman" w:hAnsi="Times New Roman"/>
          <w:b w:val="0"/>
          <w:caps w:val="0"/>
          <w:color w:val="000000"/>
        </w:rPr>
        <w:t>.</w:t>
      </w:r>
      <w:proofErr w:type="gramEnd"/>
      <w:r w:rsidRPr="00D269D7">
        <w:rPr>
          <w:rFonts w:ascii="Times New Roman" w:hAnsi="Times New Roman"/>
          <w:b w:val="0"/>
          <w:caps w:val="0"/>
          <w:color w:val="000000"/>
        </w:rPr>
        <w:t xml:space="preserve"> </w:t>
      </w:r>
      <w:r w:rsidR="0084464B" w:rsidRPr="0084464B">
        <w:rPr>
          <w:rFonts w:ascii="Times New Roman" w:hAnsi="Times New Roman"/>
          <w:b w:val="0"/>
          <w:i/>
          <w:caps w:val="0"/>
          <w:color w:val="000000"/>
        </w:rPr>
        <w:t>Federal Register</w:t>
      </w:r>
      <w:r w:rsidRPr="00D269D7">
        <w:rPr>
          <w:rFonts w:ascii="Times New Roman" w:hAnsi="Times New Roman"/>
          <w:b w:val="0"/>
          <w:caps w:val="0"/>
          <w:color w:val="000000"/>
        </w:rPr>
        <w:t xml:space="preserve"> </w:t>
      </w:r>
      <w:r w:rsidR="005516D0">
        <w:rPr>
          <w:rFonts w:ascii="Times New Roman" w:hAnsi="Times New Roman"/>
          <w:b w:val="0"/>
          <w:caps w:val="0"/>
          <w:color w:val="000000"/>
        </w:rPr>
        <w:t>N</w:t>
      </w:r>
      <w:r w:rsidRPr="00D269D7">
        <w:rPr>
          <w:rFonts w:ascii="Times New Roman" w:hAnsi="Times New Roman"/>
          <w:b w:val="0"/>
          <w:caps w:val="0"/>
          <w:color w:val="000000"/>
        </w:rPr>
        <w:t>otice</w:t>
      </w:r>
    </w:p>
    <w:p w:rsidR="00D269D7" w:rsidRPr="00D269D7" w:rsidRDefault="005516D0" w:rsidP="00D269D7">
      <w:pPr>
        <w:pStyle w:val="Heading1"/>
        <w:rPr>
          <w:rFonts w:ascii="Times New Roman" w:hAnsi="Times New Roman"/>
          <w:b w:val="0"/>
          <w:color w:val="000000"/>
        </w:rPr>
      </w:pPr>
      <w:proofErr w:type="gramStart"/>
      <w:r>
        <w:rPr>
          <w:rFonts w:ascii="Times New Roman" w:hAnsi="Times New Roman"/>
          <w:b w:val="0"/>
          <w:caps w:val="0"/>
          <w:color w:val="000000"/>
        </w:rPr>
        <w:t>Appendix 2b.</w:t>
      </w:r>
      <w:proofErr w:type="gramEnd"/>
      <w:r>
        <w:rPr>
          <w:rFonts w:ascii="Times New Roman" w:hAnsi="Times New Roman"/>
          <w:b w:val="0"/>
          <w:caps w:val="0"/>
          <w:color w:val="000000"/>
        </w:rPr>
        <w:t xml:space="preserve"> Summary of Public Comments and CDC Response</w:t>
      </w:r>
      <w:r w:rsidR="00D269D7" w:rsidRPr="00D269D7">
        <w:rPr>
          <w:rFonts w:ascii="Times New Roman" w:hAnsi="Times New Roman"/>
          <w:b w:val="0"/>
          <w:caps w:val="0"/>
          <w:color w:val="000000"/>
        </w:rPr>
        <w:t xml:space="preserve"> </w:t>
      </w:r>
    </w:p>
    <w:p w:rsidR="00D269D7" w:rsidRPr="00D269D7" w:rsidRDefault="00D269D7" w:rsidP="00D269D7">
      <w:pPr>
        <w:pStyle w:val="Heading1"/>
        <w:rPr>
          <w:rFonts w:ascii="Times New Roman" w:hAnsi="Times New Roman"/>
          <w:b w:val="0"/>
          <w:color w:val="000000"/>
        </w:rPr>
      </w:pPr>
      <w:proofErr w:type="gramStart"/>
      <w:r>
        <w:rPr>
          <w:rFonts w:ascii="Times New Roman" w:hAnsi="Times New Roman"/>
          <w:b w:val="0"/>
          <w:caps w:val="0"/>
          <w:color w:val="000000"/>
        </w:rPr>
        <w:t>Appendix 3.</w:t>
      </w:r>
      <w:proofErr w:type="gramEnd"/>
      <w:r>
        <w:rPr>
          <w:rFonts w:ascii="Times New Roman" w:hAnsi="Times New Roman"/>
          <w:b w:val="0"/>
          <w:caps w:val="0"/>
          <w:color w:val="000000"/>
        </w:rPr>
        <w:t xml:space="preserve"> S</w:t>
      </w:r>
      <w:r w:rsidRPr="00D269D7">
        <w:rPr>
          <w:rFonts w:ascii="Times New Roman" w:hAnsi="Times New Roman"/>
          <w:b w:val="0"/>
          <w:caps w:val="0"/>
          <w:color w:val="000000"/>
        </w:rPr>
        <w:t xml:space="preserve">tudy flowchart </w:t>
      </w:r>
    </w:p>
    <w:p w:rsidR="00D269D7" w:rsidRPr="00D269D7" w:rsidRDefault="00D269D7" w:rsidP="00D269D7">
      <w:pPr>
        <w:pStyle w:val="Heading1"/>
        <w:rPr>
          <w:rFonts w:ascii="Times New Roman" w:hAnsi="Times New Roman"/>
          <w:b w:val="0"/>
          <w:color w:val="000000"/>
        </w:rPr>
      </w:pPr>
      <w:proofErr w:type="gramStart"/>
      <w:r>
        <w:rPr>
          <w:rFonts w:ascii="Times New Roman" w:hAnsi="Times New Roman"/>
          <w:b w:val="0"/>
          <w:caps w:val="0"/>
          <w:color w:val="000000"/>
        </w:rPr>
        <w:t>Appendix 4.</w:t>
      </w:r>
      <w:proofErr w:type="gramEnd"/>
      <w:r>
        <w:rPr>
          <w:rFonts w:ascii="Times New Roman" w:hAnsi="Times New Roman"/>
          <w:b w:val="0"/>
          <w:caps w:val="0"/>
          <w:color w:val="000000"/>
        </w:rPr>
        <w:t xml:space="preserve"> P</w:t>
      </w:r>
      <w:r w:rsidRPr="00D269D7">
        <w:rPr>
          <w:rFonts w:ascii="Times New Roman" w:hAnsi="Times New Roman"/>
          <w:b w:val="0"/>
          <w:caps w:val="0"/>
          <w:color w:val="000000"/>
        </w:rPr>
        <w:t>romotion study data collection table</w:t>
      </w:r>
    </w:p>
    <w:p w:rsidR="005516D0" w:rsidRDefault="005516D0" w:rsidP="005516D0">
      <w:pPr>
        <w:pStyle w:val="TOC4"/>
        <w:ind w:left="1440" w:hanging="1440"/>
      </w:pPr>
      <w:r>
        <w:t xml:space="preserve">Appendix 5a. </w:t>
      </w:r>
      <w:r w:rsidRPr="00CF0AC8">
        <w:t>Intake Survey</w:t>
      </w:r>
      <w:r>
        <w:t xml:space="preserve"> Data for Quitline Clients</w:t>
      </w:r>
    </w:p>
    <w:p w:rsidR="005516D0" w:rsidRPr="008631C8" w:rsidRDefault="005516D0" w:rsidP="005516D0">
      <w:pPr>
        <w:pStyle w:val="TOC4"/>
        <w:ind w:left="1440" w:hanging="1440"/>
      </w:pPr>
      <w:r>
        <w:t>Appendix 5b. Intake Survey Data for Web-based Service Clients</w:t>
      </w:r>
    </w:p>
    <w:p w:rsidR="005516D0" w:rsidRDefault="005516D0" w:rsidP="003E0596">
      <w:pPr>
        <w:pStyle w:val="TOC4"/>
        <w:ind w:left="1440" w:hanging="1440"/>
      </w:pPr>
      <w:r>
        <w:t xml:space="preserve">Appendix 6a. </w:t>
      </w:r>
      <w:r w:rsidRPr="00CF0AC8">
        <w:t>Follow-up Survey</w:t>
      </w:r>
      <w:r>
        <w:t xml:space="preserve"> Data for Quitline Clients</w:t>
      </w:r>
    </w:p>
    <w:p w:rsidR="000760B3" w:rsidRDefault="005516D0">
      <w:pPr>
        <w:pStyle w:val="TOC4"/>
        <w:ind w:left="1440" w:hanging="1440"/>
        <w:rPr>
          <w:b/>
          <w:caps/>
        </w:rPr>
      </w:pPr>
      <w:r>
        <w:t>Appendix 6b. Follow-up Survey Data for Web-based Service Clients</w:t>
      </w:r>
    </w:p>
    <w:p w:rsidR="00D269D7" w:rsidRPr="00D269D7" w:rsidRDefault="00D269D7" w:rsidP="00D269D7">
      <w:pPr>
        <w:pStyle w:val="Heading1"/>
        <w:rPr>
          <w:rFonts w:ascii="Times New Roman" w:hAnsi="Times New Roman"/>
          <w:b w:val="0"/>
          <w:color w:val="000000"/>
        </w:rPr>
      </w:pPr>
      <w:proofErr w:type="gramStart"/>
      <w:r>
        <w:rPr>
          <w:rFonts w:ascii="Times New Roman" w:hAnsi="Times New Roman"/>
          <w:b w:val="0"/>
          <w:caps w:val="0"/>
          <w:color w:val="000000"/>
        </w:rPr>
        <w:t>Appendix 7.</w:t>
      </w:r>
      <w:proofErr w:type="gramEnd"/>
      <w:r>
        <w:rPr>
          <w:rFonts w:ascii="Times New Roman" w:hAnsi="Times New Roman"/>
          <w:b w:val="0"/>
          <w:caps w:val="0"/>
          <w:color w:val="000000"/>
        </w:rPr>
        <w:t xml:space="preserve"> F</w:t>
      </w:r>
      <w:r w:rsidRPr="00D269D7">
        <w:rPr>
          <w:rFonts w:ascii="Times New Roman" w:hAnsi="Times New Roman"/>
          <w:b w:val="0"/>
          <w:caps w:val="0"/>
          <w:color w:val="000000"/>
        </w:rPr>
        <w:t>ollow-up data collection consent form</w:t>
      </w:r>
    </w:p>
    <w:p w:rsidR="00D269D7" w:rsidRPr="00D269D7" w:rsidRDefault="00D269D7" w:rsidP="00D269D7">
      <w:pPr>
        <w:pStyle w:val="Heading1"/>
        <w:rPr>
          <w:rFonts w:ascii="Times New Roman" w:hAnsi="Times New Roman"/>
          <w:b w:val="0"/>
          <w:color w:val="000000"/>
        </w:rPr>
      </w:pPr>
      <w:proofErr w:type="gramStart"/>
      <w:r>
        <w:rPr>
          <w:rFonts w:ascii="Times New Roman" w:hAnsi="Times New Roman"/>
          <w:b w:val="0"/>
          <w:caps w:val="0"/>
          <w:color w:val="000000"/>
        </w:rPr>
        <w:t>A</w:t>
      </w:r>
      <w:r w:rsidRPr="00D269D7">
        <w:rPr>
          <w:rFonts w:ascii="Times New Roman" w:hAnsi="Times New Roman"/>
          <w:b w:val="0"/>
          <w:caps w:val="0"/>
          <w:color w:val="000000"/>
        </w:rPr>
        <w:t>ppendix 8.</w:t>
      </w:r>
      <w:proofErr w:type="gramEnd"/>
      <w:r>
        <w:rPr>
          <w:rFonts w:ascii="Times New Roman" w:hAnsi="Times New Roman"/>
          <w:b w:val="0"/>
          <w:caps w:val="0"/>
          <w:color w:val="000000"/>
        </w:rPr>
        <w:t xml:space="preserve"> L</w:t>
      </w:r>
      <w:r w:rsidRPr="00D269D7">
        <w:rPr>
          <w:rFonts w:ascii="Times New Roman" w:hAnsi="Times New Roman"/>
          <w:b w:val="0"/>
          <w:caps w:val="0"/>
          <w:color w:val="000000"/>
        </w:rPr>
        <w:t>ead letter for follow-up data collection</w:t>
      </w:r>
    </w:p>
    <w:p w:rsidR="00D269D7" w:rsidRPr="00D269D7" w:rsidRDefault="00D269D7" w:rsidP="00D269D7">
      <w:pPr>
        <w:pStyle w:val="Heading1"/>
        <w:rPr>
          <w:rFonts w:ascii="Times New Roman" w:hAnsi="Times New Roman"/>
          <w:b w:val="0"/>
          <w:color w:val="000000"/>
        </w:rPr>
      </w:pPr>
      <w:proofErr w:type="gramStart"/>
      <w:r>
        <w:rPr>
          <w:rFonts w:ascii="Times New Roman" w:hAnsi="Times New Roman"/>
          <w:b w:val="0"/>
          <w:caps w:val="0"/>
          <w:color w:val="000000"/>
        </w:rPr>
        <w:t>Appendix 9.</w:t>
      </w:r>
      <w:proofErr w:type="gramEnd"/>
      <w:r>
        <w:rPr>
          <w:rFonts w:ascii="Times New Roman" w:hAnsi="Times New Roman"/>
          <w:b w:val="0"/>
          <w:caps w:val="0"/>
          <w:color w:val="000000"/>
        </w:rPr>
        <w:t xml:space="preserve"> L</w:t>
      </w:r>
      <w:r w:rsidRPr="00D269D7">
        <w:rPr>
          <w:rFonts w:ascii="Times New Roman" w:hAnsi="Times New Roman"/>
          <w:b w:val="0"/>
          <w:caps w:val="0"/>
          <w:color w:val="000000"/>
        </w:rPr>
        <w:t xml:space="preserve">ist of </w:t>
      </w:r>
      <w:r w:rsidR="005516D0">
        <w:rPr>
          <w:rFonts w:ascii="Times New Roman" w:hAnsi="Times New Roman"/>
          <w:b w:val="0"/>
          <w:caps w:val="0"/>
          <w:color w:val="000000"/>
        </w:rPr>
        <w:t xml:space="preserve">proposed </w:t>
      </w:r>
      <w:r w:rsidRPr="00D269D7">
        <w:rPr>
          <w:rFonts w:ascii="Times New Roman" w:hAnsi="Times New Roman"/>
          <w:b w:val="0"/>
          <w:caps w:val="0"/>
          <w:color w:val="000000"/>
        </w:rPr>
        <w:t>participating states for cessation component</w:t>
      </w:r>
    </w:p>
    <w:p w:rsidR="00792A03" w:rsidRDefault="00D269D7" w:rsidP="00792A03">
      <w:pPr>
        <w:pStyle w:val="Heading1"/>
        <w:rPr>
          <w:rFonts w:ascii="Times New Roman" w:hAnsi="Times New Roman"/>
          <w:b w:val="0"/>
          <w:caps w:val="0"/>
          <w:color w:val="000000"/>
        </w:rPr>
      </w:pPr>
      <w:proofErr w:type="gramStart"/>
      <w:r>
        <w:rPr>
          <w:rFonts w:ascii="Times New Roman" w:hAnsi="Times New Roman"/>
          <w:b w:val="0"/>
          <w:caps w:val="0"/>
          <w:color w:val="000000"/>
        </w:rPr>
        <w:t>Appendix 10.</w:t>
      </w:r>
      <w:proofErr w:type="gramEnd"/>
      <w:r>
        <w:rPr>
          <w:rFonts w:ascii="Times New Roman" w:hAnsi="Times New Roman"/>
          <w:b w:val="0"/>
          <w:caps w:val="0"/>
          <w:color w:val="000000"/>
        </w:rPr>
        <w:t xml:space="preserve"> R</w:t>
      </w:r>
      <w:r w:rsidRPr="00D269D7">
        <w:rPr>
          <w:rFonts w:ascii="Times New Roman" w:hAnsi="Times New Roman"/>
          <w:b w:val="0"/>
          <w:caps w:val="0"/>
          <w:color w:val="000000"/>
        </w:rPr>
        <w:t>eferences</w:t>
      </w:r>
    </w:p>
    <w:p w:rsidR="00792A03" w:rsidRDefault="00792A03" w:rsidP="00792A03">
      <w:proofErr w:type="gramStart"/>
      <w:r>
        <w:t>Appendix 11.</w:t>
      </w:r>
      <w:proofErr w:type="gramEnd"/>
      <w:r>
        <w:t xml:space="preserve"> IRB documentation</w:t>
      </w:r>
    </w:p>
    <w:p w:rsidR="00792A03" w:rsidRDefault="00792A03" w:rsidP="00792A03"/>
    <w:p w:rsidR="00792A03" w:rsidRPr="00792A03" w:rsidRDefault="00792A03" w:rsidP="00792A03">
      <w:pPr>
        <w:sectPr w:rsidR="00792A03" w:rsidRPr="00792A03" w:rsidSect="00CB0350">
          <w:footerReference w:type="default" r:id="rId11"/>
          <w:pgSz w:w="12240" w:h="15840"/>
          <w:pgMar w:top="1440" w:right="1440" w:bottom="1440" w:left="1440" w:header="720" w:footer="720" w:gutter="0"/>
          <w:pgNumType w:fmt="lowerRoman" w:start="3"/>
          <w:cols w:space="720"/>
        </w:sectPr>
      </w:pPr>
    </w:p>
    <w:p w:rsidR="00495ADF" w:rsidRDefault="006E2440" w:rsidP="009D0976">
      <w:pPr>
        <w:pStyle w:val="Heading1"/>
      </w:pPr>
      <w:bookmarkStart w:id="2" w:name="_Toc8007688"/>
      <w:bookmarkStart w:id="3" w:name="_Toc88033485"/>
      <w:bookmarkStart w:id="4" w:name="_Toc292708827"/>
      <w:bookmarkStart w:id="5" w:name="_Toc292714077"/>
      <w:bookmarkEnd w:id="1"/>
      <w:r>
        <w:lastRenderedPageBreak/>
        <w:t>B.</w:t>
      </w:r>
      <w:r>
        <w:tab/>
      </w:r>
      <w:r w:rsidR="00495ADF">
        <w:t>Collection of Information Employing Statistical Methods</w:t>
      </w:r>
      <w:bookmarkEnd w:id="2"/>
      <w:bookmarkEnd w:id="3"/>
      <w:bookmarkEnd w:id="4"/>
      <w:bookmarkEnd w:id="5"/>
    </w:p>
    <w:p w:rsidR="00592720" w:rsidRPr="009D0976" w:rsidRDefault="00592720" w:rsidP="009D0976">
      <w:pPr>
        <w:pStyle w:val="Heading2"/>
      </w:pPr>
      <w:bookmarkStart w:id="6" w:name="_Toc143058454"/>
      <w:bookmarkStart w:id="7" w:name="_Toc146088453"/>
      <w:bookmarkStart w:id="8" w:name="_Toc260212709"/>
      <w:bookmarkStart w:id="9" w:name="_Toc292708828"/>
      <w:bookmarkStart w:id="10" w:name="_Toc292714078"/>
      <w:r>
        <w:t>B.</w:t>
      </w:r>
      <w:r w:rsidRPr="00250BEB">
        <w:t>1</w:t>
      </w:r>
      <w:r w:rsidRPr="00250BEB">
        <w:tab/>
        <w:t>Respondent Universe and Sampling Method</w:t>
      </w:r>
      <w:bookmarkEnd w:id="6"/>
      <w:bookmarkEnd w:id="7"/>
      <w:bookmarkEnd w:id="8"/>
      <w:r>
        <w:t>s</w:t>
      </w:r>
      <w:bookmarkEnd w:id="9"/>
      <w:bookmarkEnd w:id="10"/>
    </w:p>
    <w:p w:rsidR="00592720" w:rsidRDefault="00592720" w:rsidP="009D0976">
      <w:pPr>
        <w:pStyle w:val="Heading3"/>
      </w:pPr>
      <w:bookmarkStart w:id="11" w:name="_Toc292708829"/>
      <w:bookmarkStart w:id="12" w:name="_Toc292714079"/>
      <w:r w:rsidRPr="001A2BCF">
        <w:t xml:space="preserve">Quitline Promotional Activities </w:t>
      </w:r>
      <w:r w:rsidR="00147108">
        <w:t>Component</w:t>
      </w:r>
      <w:bookmarkEnd w:id="11"/>
      <w:bookmarkEnd w:id="12"/>
    </w:p>
    <w:p w:rsidR="00592720" w:rsidRDefault="00592720" w:rsidP="00076767">
      <w:pPr>
        <w:pStyle w:val="bodytext0"/>
      </w:pPr>
      <w:r>
        <w:t xml:space="preserve">The </w:t>
      </w:r>
      <w:r w:rsidR="0062779E">
        <w:t>Centers for Disease Control and Prevention (</w:t>
      </w:r>
      <w:r>
        <w:t>CDC</w:t>
      </w:r>
      <w:r w:rsidR="0062779E">
        <w:t>)</w:t>
      </w:r>
      <w:r>
        <w:t xml:space="preserve"> and RTI will </w:t>
      </w:r>
      <w:r w:rsidR="00D269D7">
        <w:t>ask</w:t>
      </w:r>
      <w:r>
        <w:t xml:space="preserve"> up to 50 state T</w:t>
      </w:r>
      <w:r w:rsidR="00A909FF">
        <w:t>obacco Control Programs (TCPs)</w:t>
      </w:r>
      <w:r>
        <w:t xml:space="preserve"> to participate in the Quitline Promotional Activities </w:t>
      </w:r>
      <w:r w:rsidR="00A909FF">
        <w:t>C</w:t>
      </w:r>
      <w:r w:rsidR="00147108">
        <w:t>omponent</w:t>
      </w:r>
      <w:r>
        <w:t>.</w:t>
      </w:r>
      <w:r w:rsidR="00F51AAD">
        <w:t xml:space="preserve"> </w:t>
      </w:r>
      <w:r>
        <w:t xml:space="preserve">To conduct this </w:t>
      </w:r>
      <w:r w:rsidR="00147108">
        <w:t>component</w:t>
      </w:r>
      <w:r w:rsidR="00A909FF">
        <w:t>,</w:t>
      </w:r>
      <w:r>
        <w:t xml:space="preserve"> </w:t>
      </w:r>
      <w:r w:rsidR="00C56175">
        <w:t xml:space="preserve">investigators </w:t>
      </w:r>
      <w:r>
        <w:t>will compile existing data from each TCP to create a comprehensive dataset.</w:t>
      </w:r>
      <w:r w:rsidR="00F51AAD">
        <w:t xml:space="preserve"> </w:t>
      </w:r>
      <w:r>
        <w:t>All data will be obtained from TCP staff, their contractors (including media vendors and service providers), and the National Quitline Data Warehouse (NQDW),</w:t>
      </w:r>
      <w:r w:rsidRPr="00424340">
        <w:rPr>
          <w:bCs/>
        </w:rPr>
        <w:t xml:space="preserve"> </w:t>
      </w:r>
      <w:r w:rsidRPr="00CB5096">
        <w:rPr>
          <w:bCs/>
        </w:rPr>
        <w:t>a CDC-sponsored repository of quitline data from all 50 states</w:t>
      </w:r>
      <w:r>
        <w:t>.</w:t>
      </w:r>
      <w:r w:rsidR="00F51AAD">
        <w:t xml:space="preserve"> </w:t>
      </w:r>
      <w:r>
        <w:t>New, original data will not be co</w:t>
      </w:r>
      <w:r w:rsidR="00076767">
        <w:t xml:space="preserve">llected as part of this study. </w:t>
      </w:r>
    </w:p>
    <w:p w:rsidR="00592720" w:rsidRDefault="00592720" w:rsidP="009D0976">
      <w:pPr>
        <w:pStyle w:val="Heading3"/>
      </w:pPr>
      <w:bookmarkStart w:id="13" w:name="_Toc292708830"/>
      <w:bookmarkStart w:id="14" w:name="_Toc292714080"/>
      <w:r>
        <w:t xml:space="preserve">Cessation Intervention </w:t>
      </w:r>
      <w:r w:rsidR="00147108">
        <w:t>Component</w:t>
      </w:r>
      <w:bookmarkEnd w:id="13"/>
      <w:bookmarkEnd w:id="14"/>
    </w:p>
    <w:p w:rsidR="00592720" w:rsidRPr="001A21D0" w:rsidRDefault="00C56175" w:rsidP="00076FFE">
      <w:pPr>
        <w:pStyle w:val="bodytext0"/>
      </w:pPr>
      <w:r>
        <w:rPr>
          <w:lang w:val="en-CA"/>
        </w:rPr>
        <w:t>I</w:t>
      </w:r>
      <w:proofErr w:type="spellStart"/>
      <w:r>
        <w:t>nvestigators</w:t>
      </w:r>
      <w:proofErr w:type="spellEnd"/>
      <w:r>
        <w:t xml:space="preserve"> </w:t>
      </w:r>
      <w:r w:rsidR="00014D16">
        <w:t>will collect information from a</w:t>
      </w:r>
      <w:r w:rsidR="00592720" w:rsidRPr="001A21D0">
        <w:t xml:space="preserve"> total sample of 8,000 smokers who enroll in either quitline or </w:t>
      </w:r>
      <w:r w:rsidR="0062779E">
        <w:t>W</w:t>
      </w:r>
      <w:r w:rsidR="00592720" w:rsidRPr="001A21D0">
        <w:t>eb-based cessation services across</w:t>
      </w:r>
      <w:r w:rsidR="0002156A">
        <w:t xml:space="preserve"> approximately</w:t>
      </w:r>
      <w:r w:rsidR="00592720" w:rsidRPr="001A21D0">
        <w:t xml:space="preserve"> four states </w:t>
      </w:r>
      <w:r w:rsidR="00930B6C">
        <w:t xml:space="preserve">for up to </w:t>
      </w:r>
      <w:r w:rsidR="00B51231">
        <w:t>a 24</w:t>
      </w:r>
      <w:r w:rsidR="00792A03">
        <w:t xml:space="preserve"> </w:t>
      </w:r>
      <w:r w:rsidR="00592720" w:rsidRPr="001A21D0">
        <w:t>month period</w:t>
      </w:r>
      <w:r w:rsidR="0002156A">
        <w:t xml:space="preserve"> (dependent upon how quickly participant recruitment and follow-up takes place).</w:t>
      </w:r>
      <w:r w:rsidR="00F51AAD">
        <w:t xml:space="preserve"> </w:t>
      </w:r>
      <w:r w:rsidR="0002156A">
        <w:t xml:space="preserve">Although the primary consideration in this study is sample size, a secondary goal of the study is to maximize the variety of states while </w:t>
      </w:r>
      <w:r w:rsidR="00517FFB">
        <w:t>obtaining sufficient comparison information in each state</w:t>
      </w:r>
      <w:r w:rsidR="0002156A">
        <w:t>. Discussions with states with both a C</w:t>
      </w:r>
      <w:r w:rsidR="00A909FF">
        <w:t>omprehensive Cancer Control (CCC)</w:t>
      </w:r>
      <w:r w:rsidR="0002156A">
        <w:t xml:space="preserve"> program and a TCP have indicated approximately four states have programs that woul</w:t>
      </w:r>
      <w:r w:rsidR="00D269D7">
        <w:t xml:space="preserve">d meet the eligibility criteria </w:t>
      </w:r>
      <w:r w:rsidR="007B6FE4">
        <w:t xml:space="preserve">and who wish to participate </w:t>
      </w:r>
      <w:r w:rsidR="00D269D7">
        <w:t xml:space="preserve">(see </w:t>
      </w:r>
      <w:r w:rsidR="00D269D7" w:rsidRPr="00D269D7">
        <w:rPr>
          <w:b/>
        </w:rPr>
        <w:t>Appendix 9</w:t>
      </w:r>
      <w:r w:rsidR="00D269D7">
        <w:t>).</w:t>
      </w:r>
    </w:p>
    <w:p w:rsidR="007F3449" w:rsidRPr="007F3449" w:rsidRDefault="007F3449" w:rsidP="00D444C4">
      <w:pPr>
        <w:pStyle w:val="bodytext0"/>
        <w:rPr>
          <w:b/>
        </w:rPr>
      </w:pPr>
      <w:r>
        <w:rPr>
          <w:b/>
        </w:rPr>
        <w:t xml:space="preserve">Sample Size and Statistical </w:t>
      </w:r>
      <w:r w:rsidR="00C97B73" w:rsidRPr="00C97B73">
        <w:rPr>
          <w:b/>
        </w:rPr>
        <w:t>Power</w:t>
      </w:r>
    </w:p>
    <w:p w:rsidR="0048474B" w:rsidRDefault="003B205A" w:rsidP="0053050F">
      <w:pPr>
        <w:pStyle w:val="bodytext0"/>
      </w:pPr>
      <w:r>
        <w:t xml:space="preserve">Investigators used power and sample size calculations based on criteria published by </w:t>
      </w:r>
      <w:proofErr w:type="spellStart"/>
      <w:r>
        <w:t>Rosner</w:t>
      </w:r>
      <w:proofErr w:type="spellEnd"/>
      <w:r>
        <w:t xml:space="preserve"> (</w:t>
      </w:r>
      <w:proofErr w:type="spellStart"/>
      <w:r>
        <w:t>Rosner</w:t>
      </w:r>
      <w:proofErr w:type="spellEnd"/>
      <w:r>
        <w:t>, 1995). Calculations assumed an alpha of 0.05, power of 0.80, equal sample sizes, and a</w:t>
      </w:r>
      <w:r w:rsidR="00F05F53">
        <w:t>n</w:t>
      </w:r>
      <w:r>
        <w:t xml:space="preserve"> oversample</w:t>
      </w:r>
      <w:r w:rsidR="00F05F53">
        <w:t xml:space="preserve"> of 50% anticipating an approximate participation rate of 50%. This oversampling percentage is </w:t>
      </w:r>
      <w:r w:rsidR="003036B2">
        <w:t xml:space="preserve">conservative and approximate as loss to follow up rates varied greatly among previous </w:t>
      </w:r>
      <w:r w:rsidR="0048474B">
        <w:t xml:space="preserve">phone-based cessation </w:t>
      </w:r>
      <w:r w:rsidR="003036B2">
        <w:t>studies from 4% (Katz et al. 2004) to 55% (Rabius et al., 2004; McAlister et al., 2004) as reported in Stead et al. 2006</w:t>
      </w:r>
      <w:r w:rsidR="00F05F53">
        <w:t xml:space="preserve">. </w:t>
      </w:r>
      <w:r>
        <w:t xml:space="preserve">Both An et al. and </w:t>
      </w:r>
      <w:proofErr w:type="spellStart"/>
      <w:r>
        <w:t>Zbikowski</w:t>
      </w:r>
      <w:proofErr w:type="spellEnd"/>
      <w:r>
        <w:t xml:space="preserve"> et al. have reported quitline / Web-based quit rates of 29.3%</w:t>
      </w:r>
      <w:r w:rsidR="00733F91">
        <w:t xml:space="preserve"> </w:t>
      </w:r>
      <w:r>
        <w:t>/</w:t>
      </w:r>
      <w:r w:rsidR="00733F91">
        <w:t xml:space="preserve"> </w:t>
      </w:r>
      <w:r>
        <w:t>12.5% and 18%</w:t>
      </w:r>
      <w:r w:rsidR="00733F91">
        <w:t xml:space="preserve"> </w:t>
      </w:r>
      <w:r>
        <w:t>/</w:t>
      </w:r>
      <w:r w:rsidR="00733F91">
        <w:t xml:space="preserve"> </w:t>
      </w:r>
      <w:r>
        <w:t>7% for each modality respectively</w:t>
      </w:r>
      <w:r w:rsidR="00F05F53">
        <w:t xml:space="preserve"> (An et al.</w:t>
      </w:r>
      <w:r w:rsidR="00733F91">
        <w:t>,</w:t>
      </w:r>
      <w:r w:rsidR="00F05F53">
        <w:t xml:space="preserve"> 2010; </w:t>
      </w:r>
      <w:proofErr w:type="spellStart"/>
      <w:r w:rsidR="00F05F53">
        <w:rPr>
          <w:szCs w:val="22"/>
        </w:rPr>
        <w:t>Zbikowski</w:t>
      </w:r>
      <w:proofErr w:type="spellEnd"/>
      <w:r w:rsidR="00F05F53">
        <w:rPr>
          <w:szCs w:val="22"/>
        </w:rPr>
        <w:t xml:space="preserve"> et al., 2008)</w:t>
      </w:r>
      <w:r w:rsidR="00F05F53">
        <w:t>.</w:t>
      </w:r>
      <w:r>
        <w:t xml:space="preserve"> </w:t>
      </w:r>
      <w:r w:rsidR="003036B2">
        <w:t xml:space="preserve">Given these rates, investigators sought to have sufficient sample size to determine at least a 3.0 % difference </w:t>
      </w:r>
      <w:r w:rsidR="003036B2">
        <w:lastRenderedPageBreak/>
        <w:t xml:space="preserve">between quitline and </w:t>
      </w:r>
      <w:r w:rsidR="008E3D3F">
        <w:t>W</w:t>
      </w:r>
      <w:r w:rsidR="003036B2">
        <w:t xml:space="preserve">eb-based success rates. </w:t>
      </w:r>
      <w:r w:rsidR="00D41ECD">
        <w:t xml:space="preserve">Although this degree of difference is less than that seen in the </w:t>
      </w:r>
      <w:proofErr w:type="spellStart"/>
      <w:r w:rsidR="00D41ECD">
        <w:t>An</w:t>
      </w:r>
      <w:proofErr w:type="spellEnd"/>
      <w:r w:rsidR="00D41ECD">
        <w:t xml:space="preserve"> and </w:t>
      </w:r>
      <w:proofErr w:type="spellStart"/>
      <w:r w:rsidR="00D41ECD">
        <w:t>Zbikowski</w:t>
      </w:r>
      <w:proofErr w:type="spellEnd"/>
      <w:r w:rsidR="00D41ECD">
        <w:t xml:space="preserve"> studies</w:t>
      </w:r>
      <w:r w:rsidR="00C56175">
        <w:t xml:space="preserve"> (16.8% and 11% respectively)</w:t>
      </w:r>
      <w:r w:rsidR="00D41ECD">
        <w:t xml:space="preserve">, </w:t>
      </w:r>
      <w:r w:rsidR="0048474B">
        <w:t>requiring</w:t>
      </w:r>
      <w:r w:rsidR="00401513">
        <w:t xml:space="preserve"> a larger sample size </w:t>
      </w:r>
      <w:r w:rsidR="00D41ECD">
        <w:t>will allow investigators to undertake stratified and multivariate modeling practices that would otherwise have insufficient power at smaller sample sizes. Investigators calculated an estimated sample size of 4,000 participants in each modality</w:t>
      </w:r>
      <w:r w:rsidR="00D41ECD" w:rsidRPr="00D41ECD">
        <w:t xml:space="preserve"> </w:t>
      </w:r>
      <w:r w:rsidR="00D41ECD">
        <w:t xml:space="preserve">using these criteria and assumptions. </w:t>
      </w:r>
    </w:p>
    <w:p w:rsidR="00592720" w:rsidRDefault="00F51AAD" w:rsidP="00792A03">
      <w:pPr>
        <w:pStyle w:val="bodytext0"/>
        <w:rPr>
          <w:rFonts w:ascii="TimesNewRomanPSMT" w:hAnsi="TimesNewRomanPSMT" w:cs="TimesNewRomanPSMT"/>
          <w:sz w:val="22"/>
          <w:szCs w:val="22"/>
        </w:rPr>
      </w:pPr>
      <w:r>
        <w:t>The</w:t>
      </w:r>
      <w:r w:rsidR="00592720">
        <w:t xml:space="preserve"> sample will be drawn from smokers who complete the intake questionnaire for either the quitline or </w:t>
      </w:r>
      <w:r w:rsidR="00D444C4">
        <w:t>W</w:t>
      </w:r>
      <w:r w:rsidR="00592720">
        <w:t>eb-based intervention offered in each state.</w:t>
      </w:r>
      <w:r>
        <w:t xml:space="preserve"> </w:t>
      </w:r>
      <w:r w:rsidR="007E3554">
        <w:t>T</w:t>
      </w:r>
      <w:r w:rsidR="00592720">
        <w:t xml:space="preserve">he </w:t>
      </w:r>
      <w:r w:rsidR="007E3554">
        <w:t xml:space="preserve">number </w:t>
      </w:r>
      <w:r w:rsidR="001B5BA8">
        <w:t xml:space="preserve">of </w:t>
      </w:r>
      <w:r w:rsidR="007B6FE4">
        <w:t>clients of quitline</w:t>
      </w:r>
      <w:r w:rsidR="008E3D3F">
        <w:t xml:space="preserve"> and W</w:t>
      </w:r>
      <w:r w:rsidR="00B93BC6">
        <w:t>eb-based services within</w:t>
      </w:r>
      <w:r w:rsidR="004F6D9E">
        <w:t xml:space="preserve"> </w:t>
      </w:r>
      <w:r w:rsidR="001B5BA8">
        <w:t xml:space="preserve">each state </w:t>
      </w:r>
      <w:r w:rsidR="007E3554">
        <w:t xml:space="preserve">will determine whether a census </w:t>
      </w:r>
      <w:r w:rsidR="004C3D72">
        <w:t xml:space="preserve">(all participants) </w:t>
      </w:r>
      <w:r w:rsidR="007E3554">
        <w:t xml:space="preserve">or random sample method will be used to identify </w:t>
      </w:r>
      <w:r w:rsidR="00D41ECD">
        <w:t>sufficient numbers of</w:t>
      </w:r>
      <w:r w:rsidR="007E3554">
        <w:t xml:space="preserve"> participants</w:t>
      </w:r>
      <w:r w:rsidR="001B5BA8">
        <w:t xml:space="preserve"> from each state</w:t>
      </w:r>
      <w:r w:rsidR="007E3554">
        <w:t xml:space="preserve"> to obtain a sufficient sample size. </w:t>
      </w:r>
      <w:r w:rsidR="004C3D72">
        <w:t xml:space="preserve">Census methods will be used when the number of study participants in a state is expected to approximate the state’s </w:t>
      </w:r>
      <w:r w:rsidR="00E86C10">
        <w:t>quitline call</w:t>
      </w:r>
      <w:r w:rsidR="004F6D9E">
        <w:t xml:space="preserve"> </w:t>
      </w:r>
      <w:r w:rsidR="004C3D72">
        <w:t>volume</w:t>
      </w:r>
      <w:r w:rsidR="00014D16">
        <w:t xml:space="preserve"> </w:t>
      </w:r>
      <w:r w:rsidR="008E3D3F">
        <w:t>and/or registrations for W</w:t>
      </w:r>
      <w:r w:rsidR="00B93BC6">
        <w:t xml:space="preserve">eb-based services </w:t>
      </w:r>
      <w:r w:rsidR="00014D16">
        <w:t>during the study time period</w:t>
      </w:r>
      <w:r w:rsidR="004C3D72">
        <w:t xml:space="preserve">. Random sample methods will be used when the state’s </w:t>
      </w:r>
      <w:r w:rsidR="00E86C10">
        <w:t>quitline call</w:t>
      </w:r>
      <w:r w:rsidR="004C3D72">
        <w:t xml:space="preserve"> volume</w:t>
      </w:r>
      <w:r w:rsidR="008E3D3F">
        <w:t xml:space="preserve"> and/or registrations for W</w:t>
      </w:r>
      <w:r w:rsidR="00B93BC6">
        <w:t>eb-based services</w:t>
      </w:r>
      <w:r w:rsidR="004C3D72">
        <w:t xml:space="preserve"> </w:t>
      </w:r>
      <w:r w:rsidR="00014D16">
        <w:t xml:space="preserve">during the study time period </w:t>
      </w:r>
      <w:r w:rsidR="004C3D72">
        <w:t xml:space="preserve">exceeds the requisite number of study participants. </w:t>
      </w:r>
      <w:r w:rsidR="00592720" w:rsidRPr="001A21D0">
        <w:t>If participation rates are lower than expected for a state</w:t>
      </w:r>
      <w:r w:rsidR="004C3D72">
        <w:t>,</w:t>
      </w:r>
      <w:r w:rsidR="00592720" w:rsidRPr="001A21D0">
        <w:t xml:space="preserve"> </w:t>
      </w:r>
      <w:r w:rsidR="00D41ECD">
        <w:t>investigators will</w:t>
      </w:r>
      <w:r w:rsidR="007E3554">
        <w:t xml:space="preserve"> determine the best method of </w:t>
      </w:r>
      <w:r w:rsidR="00592720" w:rsidRPr="001A21D0">
        <w:t>increas</w:t>
      </w:r>
      <w:r w:rsidR="007E3554">
        <w:t>ing</w:t>
      </w:r>
      <w:r w:rsidR="00592720" w:rsidRPr="001A21D0">
        <w:t xml:space="preserve"> the sample size in other states to </w:t>
      </w:r>
      <w:r w:rsidR="00014D16">
        <w:t>meet</w:t>
      </w:r>
      <w:r w:rsidR="00014D16" w:rsidRPr="001A21D0">
        <w:t xml:space="preserve"> </w:t>
      </w:r>
      <w:r w:rsidR="00592720" w:rsidRPr="001A21D0">
        <w:t xml:space="preserve">the </w:t>
      </w:r>
      <w:r w:rsidR="00014D16">
        <w:t>total</w:t>
      </w:r>
      <w:r w:rsidR="00014D16" w:rsidRPr="001A21D0">
        <w:t xml:space="preserve"> </w:t>
      </w:r>
      <w:r w:rsidR="00592720" w:rsidRPr="001A21D0">
        <w:t>sample requirements.</w:t>
      </w:r>
      <w:r>
        <w:t xml:space="preserve"> </w:t>
      </w:r>
      <w:r w:rsidR="004C3D72">
        <w:t>As one main goal of the study is to describe differences in user populations between the modalities</w:t>
      </w:r>
      <w:r w:rsidR="001B5BA8">
        <w:t>,</w:t>
      </w:r>
      <w:r w:rsidR="004C3D72">
        <w:t xml:space="preserve"> no efforts beyond the usual TCP-initiated recruitment methods will be made to influence participation in either arm. The multi-modal follow-up strategy of o</w:t>
      </w:r>
      <w:r w:rsidR="00592720" w:rsidRPr="001A21D0">
        <w:t>ffering a Web</w:t>
      </w:r>
      <w:r w:rsidR="0079182C">
        <w:t>-</w:t>
      </w:r>
      <w:r w:rsidR="00792A03">
        <w:t xml:space="preserve">based or telephone </w:t>
      </w:r>
      <w:r w:rsidR="00592720" w:rsidRPr="001A21D0">
        <w:t xml:space="preserve">follow-up survey should increase the likelihood of achieving the target response rate of 80% </w:t>
      </w:r>
      <w:r w:rsidR="00014D16">
        <w:t>while decreasing intrusion on participant’s privacy</w:t>
      </w:r>
      <w:r w:rsidR="00592720" w:rsidRPr="001A21D0">
        <w:t xml:space="preserve">. </w:t>
      </w:r>
    </w:p>
    <w:p w:rsidR="00592720" w:rsidRDefault="00592720" w:rsidP="00076767">
      <w:pPr>
        <w:pStyle w:val="Heading2"/>
      </w:pPr>
      <w:bookmarkStart w:id="15" w:name="_Toc260212710"/>
      <w:bookmarkStart w:id="16" w:name="_Toc292708831"/>
      <w:bookmarkStart w:id="17" w:name="_Toc292714081"/>
      <w:r>
        <w:t>B.</w:t>
      </w:r>
      <w:r w:rsidRPr="00250BEB">
        <w:t>2</w:t>
      </w:r>
      <w:r w:rsidRPr="00250BEB">
        <w:tab/>
        <w:t>Procedures for the Collection of Information</w:t>
      </w:r>
      <w:bookmarkEnd w:id="15"/>
      <w:bookmarkEnd w:id="16"/>
      <w:bookmarkEnd w:id="17"/>
    </w:p>
    <w:p w:rsidR="00592720" w:rsidRDefault="00592720" w:rsidP="009D0976">
      <w:pPr>
        <w:pStyle w:val="Heading3"/>
      </w:pPr>
      <w:bookmarkStart w:id="18" w:name="_Toc292708832"/>
      <w:bookmarkStart w:id="19" w:name="_Toc292714082"/>
      <w:r>
        <w:t xml:space="preserve">Quitline Promotional Activities </w:t>
      </w:r>
      <w:r w:rsidR="00147108">
        <w:t>Component</w:t>
      </w:r>
      <w:bookmarkEnd w:id="18"/>
      <w:bookmarkEnd w:id="19"/>
    </w:p>
    <w:p w:rsidR="00592720" w:rsidRDefault="00C56175" w:rsidP="00D444C4">
      <w:pPr>
        <w:pStyle w:val="bodytext0"/>
      </w:pPr>
      <w:r>
        <w:rPr>
          <w:rFonts w:eastAsia="MS Mincho"/>
        </w:rPr>
        <w:t>Investigators</w:t>
      </w:r>
      <w:r w:rsidRPr="003F022D">
        <w:rPr>
          <w:rFonts w:eastAsia="MS Mincho"/>
        </w:rPr>
        <w:t xml:space="preserve"> </w:t>
      </w:r>
      <w:r w:rsidR="00592720" w:rsidRPr="003F022D">
        <w:rPr>
          <w:rFonts w:eastAsia="MS Mincho"/>
        </w:rPr>
        <w:t>will monitor, describe, and report on ongoing activities from all participating states to promote the</w:t>
      </w:r>
      <w:r w:rsidR="00592720">
        <w:rPr>
          <w:rFonts w:eastAsia="MS Mincho"/>
        </w:rPr>
        <w:t>ir</w:t>
      </w:r>
      <w:r w:rsidR="00592720" w:rsidRPr="003F022D">
        <w:rPr>
          <w:rFonts w:eastAsia="MS Mincho"/>
        </w:rPr>
        <w:t xml:space="preserve"> quitline </w:t>
      </w:r>
      <w:r w:rsidR="00592720">
        <w:rPr>
          <w:rFonts w:eastAsia="MS Mincho"/>
        </w:rPr>
        <w:t>for up to</w:t>
      </w:r>
      <w:r w:rsidR="00592720" w:rsidRPr="003F022D">
        <w:rPr>
          <w:rFonts w:eastAsia="MS Mincho"/>
        </w:rPr>
        <w:t xml:space="preserve"> a 24</w:t>
      </w:r>
      <w:r w:rsidR="00D444C4">
        <w:rPr>
          <w:rFonts w:eastAsia="MS Mincho"/>
        </w:rPr>
        <w:t>-</w:t>
      </w:r>
      <w:r w:rsidR="00592720" w:rsidRPr="003F022D">
        <w:rPr>
          <w:rFonts w:eastAsia="MS Mincho"/>
        </w:rPr>
        <w:t>month study period.</w:t>
      </w:r>
      <w:r w:rsidR="00F51AAD">
        <w:rPr>
          <w:rFonts w:eastAsia="MS Mincho"/>
        </w:rPr>
        <w:t xml:space="preserve"> </w:t>
      </w:r>
      <w:r w:rsidR="00592720">
        <w:t>D</w:t>
      </w:r>
      <w:r w:rsidR="00592720" w:rsidRPr="003F022D">
        <w:t xml:space="preserve">ata on the type and timing of promotional activities occurring during </w:t>
      </w:r>
      <w:r w:rsidR="00592720">
        <w:t>the study period will</w:t>
      </w:r>
      <w:r w:rsidR="00592720" w:rsidRPr="003F022D">
        <w:t xml:space="preserve"> be gathered from p</w:t>
      </w:r>
      <w:r w:rsidR="00B45BA4">
        <w:t>articipating states as feasible</w:t>
      </w:r>
      <w:r w:rsidR="00F51AAD">
        <w:t xml:space="preserve"> </w:t>
      </w:r>
      <w:r w:rsidR="00B45BA4">
        <w:t>(s</w:t>
      </w:r>
      <w:r w:rsidR="00EA7EF0">
        <w:t xml:space="preserve">ee </w:t>
      </w:r>
      <w:r w:rsidR="00EA7EF0" w:rsidRPr="00B45BA4">
        <w:rPr>
          <w:b/>
        </w:rPr>
        <w:t>Appendix 4</w:t>
      </w:r>
      <w:r w:rsidR="00EA7EF0">
        <w:t>)</w:t>
      </w:r>
      <w:r w:rsidR="00B45BA4">
        <w:t>.</w:t>
      </w:r>
      <w:r w:rsidR="00EA7EF0">
        <w:t xml:space="preserve"> </w:t>
      </w:r>
      <w:r w:rsidR="00592720">
        <w:t>The impact of promotional activities will be measured by the associated quitline call</w:t>
      </w:r>
      <w:r w:rsidR="00592720" w:rsidRPr="003F022D">
        <w:t xml:space="preserve"> volume</w:t>
      </w:r>
      <w:r w:rsidR="00592720">
        <w:t xml:space="preserve"> data.</w:t>
      </w:r>
      <w:r w:rsidR="00F51AAD">
        <w:t xml:space="preserve"> </w:t>
      </w:r>
      <w:r w:rsidR="00592720">
        <w:t>Call volume</w:t>
      </w:r>
      <w:r w:rsidR="00592720" w:rsidRPr="003F022D">
        <w:t xml:space="preserve"> will be summarized for the entire length of data collection for each state as they join the project for up to 24 months</w:t>
      </w:r>
      <w:r w:rsidR="00B45BA4">
        <w:t xml:space="preserve"> (see </w:t>
      </w:r>
      <w:r w:rsidR="00B45BA4" w:rsidRPr="00B45BA4">
        <w:rPr>
          <w:b/>
        </w:rPr>
        <w:lastRenderedPageBreak/>
        <w:t>Appendix 3</w:t>
      </w:r>
      <w:r w:rsidR="005516D0">
        <w:t xml:space="preserve"> for an overview of study design and data sources</w:t>
      </w:r>
      <w:r w:rsidR="00B45BA4">
        <w:t>)</w:t>
      </w:r>
      <w:r w:rsidR="00592720" w:rsidRPr="003F022D">
        <w:t>.</w:t>
      </w:r>
      <w:r w:rsidR="00F51AAD">
        <w:t xml:space="preserve"> </w:t>
      </w:r>
      <w:r w:rsidR="00592720">
        <w:t xml:space="preserve">No new, original data collection will be conducted as part of the Quitline Promotional Activities </w:t>
      </w:r>
      <w:r w:rsidR="00147108">
        <w:t>component</w:t>
      </w:r>
      <w:r w:rsidR="00592720">
        <w:t>.</w:t>
      </w:r>
      <w:r w:rsidR="00F51AAD">
        <w:t xml:space="preserve"> </w:t>
      </w:r>
    </w:p>
    <w:p w:rsidR="00592720" w:rsidRDefault="00592720" w:rsidP="00076FFE">
      <w:pPr>
        <w:pStyle w:val="bodytext0"/>
      </w:pPr>
      <w:r>
        <w:t>Promotional activities may include traditional efforts (</w:t>
      </w:r>
      <w:r w:rsidR="00B45BA4">
        <w:t>e.g.</w:t>
      </w:r>
      <w:r w:rsidR="00076767">
        <w:t xml:space="preserve">, </w:t>
      </w:r>
      <w:r>
        <w:t xml:space="preserve">paid television, radio, </w:t>
      </w:r>
      <w:proofErr w:type="gramStart"/>
      <w:r>
        <w:t>print</w:t>
      </w:r>
      <w:proofErr w:type="gramEnd"/>
      <w:r>
        <w:t>) or new, innovative efforts (</w:t>
      </w:r>
      <w:r w:rsidR="00B45BA4">
        <w:t>e.g.</w:t>
      </w:r>
      <w:r w:rsidR="00076767">
        <w:t xml:space="preserve">, </w:t>
      </w:r>
      <w:r>
        <w:t xml:space="preserve">online banner ads, search engine ads, social media, </w:t>
      </w:r>
      <w:r w:rsidR="007B6FE4">
        <w:t>w</w:t>
      </w:r>
      <w:r>
        <w:t>ebsites).</w:t>
      </w:r>
      <w:r w:rsidR="00F51AAD">
        <w:t xml:space="preserve"> </w:t>
      </w:r>
      <w:r>
        <w:t xml:space="preserve">Each of these promotional activities will be coded by </w:t>
      </w:r>
      <w:r w:rsidR="00C56175">
        <w:t xml:space="preserve">investigators </w:t>
      </w:r>
      <w:r>
        <w:t>to identify activities as traditional versus innovative</w:t>
      </w:r>
      <w:r w:rsidR="00D444C4">
        <w:t xml:space="preserve"> and </w:t>
      </w:r>
      <w:r>
        <w:t>for other qualitative characteristics such as type of message, theme, and target audience.</w:t>
      </w:r>
      <w:r w:rsidR="00F51AAD">
        <w:t xml:space="preserve"> </w:t>
      </w:r>
      <w:r w:rsidR="00D444C4">
        <w:t>D</w:t>
      </w:r>
      <w:r>
        <w:t xml:space="preserve">ifferent metrics </w:t>
      </w:r>
      <w:r w:rsidR="00D444C4">
        <w:t xml:space="preserve">are </w:t>
      </w:r>
      <w:r>
        <w:t>associated with the various promotional activities implemented by the TCPs.</w:t>
      </w:r>
      <w:r w:rsidR="00F51AAD">
        <w:t xml:space="preserve"> </w:t>
      </w:r>
      <w:r>
        <w:t xml:space="preserve">For instance, level of exposure of television advertising is typically measured by </w:t>
      </w:r>
      <w:r w:rsidR="00014D16">
        <w:t>G</w:t>
      </w:r>
      <w:r>
        <w:t xml:space="preserve">ross </w:t>
      </w:r>
      <w:r w:rsidR="00014D16">
        <w:t>R</w:t>
      </w:r>
      <w:r>
        <w:t xml:space="preserve">ating Points (GRPs), whereas exposure associated with online banner ads is measured by </w:t>
      </w:r>
      <w:r w:rsidR="00014D16">
        <w:t>C</w:t>
      </w:r>
      <w:r>
        <w:t>lick-</w:t>
      </w:r>
      <w:r w:rsidR="00014D16">
        <w:t>T</w:t>
      </w:r>
      <w:r w:rsidR="00076FFE">
        <w:t>hrough</w:t>
      </w:r>
      <w:r>
        <w:t xml:space="preserve"> </w:t>
      </w:r>
      <w:r w:rsidR="00014D16">
        <w:t>R</w:t>
      </w:r>
      <w:r>
        <w:t>ates (CTRs).</w:t>
      </w:r>
      <w:r w:rsidR="00F51AAD">
        <w:t xml:space="preserve"> </w:t>
      </w:r>
      <w:r>
        <w:t xml:space="preserve">Traffic to state </w:t>
      </w:r>
      <w:r w:rsidR="007B6FE4">
        <w:t>w</w:t>
      </w:r>
      <w:r>
        <w:t>ebsites that promote the quitlines will be monitored using the states</w:t>
      </w:r>
      <w:r w:rsidR="00F51AAD">
        <w:t>’</w:t>
      </w:r>
      <w:r>
        <w:t xml:space="preserve"> preferred </w:t>
      </w:r>
      <w:r w:rsidR="00D444C4">
        <w:t>W</w:t>
      </w:r>
      <w:r w:rsidR="007B6FE4">
        <w:t>eb-</w:t>
      </w:r>
      <w:r>
        <w:t>analytics platform.</w:t>
      </w:r>
      <w:r w:rsidR="00F51AAD">
        <w:t xml:space="preserve"> </w:t>
      </w:r>
      <w:r>
        <w:t xml:space="preserve">If the state does not currently monitor </w:t>
      </w:r>
      <w:r w:rsidR="00D444C4">
        <w:t>W</w:t>
      </w:r>
      <w:r>
        <w:t>eb traffic</w:t>
      </w:r>
      <w:r w:rsidR="007B6FE4">
        <w:t>,</w:t>
      </w:r>
      <w:r>
        <w:t xml:space="preserve"> </w:t>
      </w:r>
      <w:r w:rsidR="00C56175">
        <w:t xml:space="preserve">investigators </w:t>
      </w:r>
      <w:r>
        <w:t xml:space="preserve">will assist the TCP in linking Google Analytics (a free </w:t>
      </w:r>
      <w:r w:rsidR="00D444C4">
        <w:t>W</w:t>
      </w:r>
      <w:r w:rsidR="007B6FE4">
        <w:t>eb-</w:t>
      </w:r>
      <w:r>
        <w:t>analytic tool) to their site.</w:t>
      </w:r>
      <w:r w:rsidR="00F51AAD">
        <w:t xml:space="preserve"> </w:t>
      </w:r>
    </w:p>
    <w:p w:rsidR="00592720" w:rsidRDefault="00592720" w:rsidP="00D444C4">
      <w:pPr>
        <w:pStyle w:val="bodytext0"/>
      </w:pPr>
      <w:r>
        <w:t>Media purchase and placement data are typically monitored by TCP staff and/or their media vendors.</w:t>
      </w:r>
      <w:r w:rsidR="00F51AAD">
        <w:t xml:space="preserve"> </w:t>
      </w:r>
      <w:r w:rsidR="00C56175">
        <w:t xml:space="preserve">Investigators </w:t>
      </w:r>
      <w:r>
        <w:t>will work with TCPs and/or their media vendors to ensure that the most appropriate metrics are obtained.</w:t>
      </w:r>
      <w:r w:rsidR="00F51AAD">
        <w:t xml:space="preserve"> </w:t>
      </w:r>
      <w:r>
        <w:t xml:space="preserve">In addition, </w:t>
      </w:r>
      <w:r w:rsidR="00C56175">
        <w:t xml:space="preserve">investigators </w:t>
      </w:r>
      <w:r w:rsidRPr="003A0F62">
        <w:t xml:space="preserve">will work with each state to customize </w:t>
      </w:r>
      <w:r>
        <w:t>the most efficient mechanism and timeline for sharing all promotional activity data (</w:t>
      </w:r>
      <w:r w:rsidR="00D444C4">
        <w:t>e.g.</w:t>
      </w:r>
      <w:r>
        <w:t xml:space="preserve"> quarterly automated </w:t>
      </w:r>
      <w:r w:rsidR="00D444C4">
        <w:t>W</w:t>
      </w:r>
      <w:r>
        <w:t>eb traffic reports).</w:t>
      </w:r>
      <w:r w:rsidR="00D05152">
        <w:t xml:space="preserve"> </w:t>
      </w:r>
      <w:r w:rsidR="007B6FE4">
        <w:t>Monthly call volume will be obtained from TCPs and d</w:t>
      </w:r>
      <w:r>
        <w:t>e-identified quitline data will be obtained from the NQDW (</w:t>
      </w:r>
      <w:r w:rsidRPr="003D0A33">
        <w:t xml:space="preserve">OMB </w:t>
      </w:r>
      <w:r w:rsidR="005516D0">
        <w:t>c</w:t>
      </w:r>
      <w:r w:rsidRPr="003D0A33">
        <w:t xml:space="preserve">ontrol </w:t>
      </w:r>
      <w:r w:rsidR="005516D0">
        <w:t>n</w:t>
      </w:r>
      <w:r w:rsidRPr="003D0A33">
        <w:t>o</w:t>
      </w:r>
      <w:r w:rsidR="005516D0">
        <w:t>.</w:t>
      </w:r>
      <w:r w:rsidRPr="003D0A33">
        <w:t xml:space="preserve"> 0920-0856</w:t>
      </w:r>
      <w:r w:rsidR="00B45BA4">
        <w:t>, exp</w:t>
      </w:r>
      <w:r w:rsidR="005516D0">
        <w:t>.</w:t>
      </w:r>
      <w:r w:rsidR="00B45BA4">
        <w:t xml:space="preserve"> 7/31/2011</w:t>
      </w:r>
      <w:r>
        <w:t>)</w:t>
      </w:r>
      <w:r w:rsidR="00250EB1">
        <w:t xml:space="preserve">. </w:t>
      </w:r>
      <w:r w:rsidR="00D05152">
        <w:t xml:space="preserve">By relying on automated reports of existing data, it is expected that this project will </w:t>
      </w:r>
      <w:r w:rsidR="007B6FE4">
        <w:t xml:space="preserve">create a </w:t>
      </w:r>
      <w:r w:rsidR="00D05152">
        <w:t>minimal response burden on the TCP staff.</w:t>
      </w:r>
      <w:r w:rsidR="00640847">
        <w:t xml:space="preserve"> </w:t>
      </w:r>
      <w:r w:rsidR="00640847" w:rsidRPr="00CF1100">
        <w:rPr>
          <w:lang w:val="en-CA"/>
        </w:rPr>
        <w:t xml:space="preserve">All data sharing procedures will be designed to maintain the privacy of the participants and quality of the dataset while </w:t>
      </w:r>
      <w:r w:rsidR="00640847">
        <w:rPr>
          <w:lang w:val="en-CA"/>
        </w:rPr>
        <w:t xml:space="preserve">minimizing </w:t>
      </w:r>
      <w:r w:rsidR="00640847" w:rsidRPr="00CF1100">
        <w:rPr>
          <w:lang w:val="en-CA"/>
        </w:rPr>
        <w:t>burden to the TCPs</w:t>
      </w:r>
      <w:r w:rsidR="00580B99">
        <w:rPr>
          <w:lang w:val="en-CA"/>
        </w:rPr>
        <w:t xml:space="preserve"> and </w:t>
      </w:r>
      <w:r w:rsidR="00640847" w:rsidRPr="00CF1100">
        <w:rPr>
          <w:lang w:val="en-CA"/>
        </w:rPr>
        <w:t>their service providers</w:t>
      </w:r>
      <w:r w:rsidR="00B9365F">
        <w:t>.</w:t>
      </w:r>
      <w:r w:rsidR="00640847">
        <w:t xml:space="preserve"> </w:t>
      </w:r>
    </w:p>
    <w:p w:rsidR="00592720" w:rsidRDefault="00592720" w:rsidP="00076767">
      <w:pPr>
        <w:pStyle w:val="bodytext0"/>
      </w:pPr>
      <w:r>
        <w:t xml:space="preserve">The requested metrics and their associated data sources are listed in </w:t>
      </w:r>
      <w:r w:rsidRPr="009D0976">
        <w:rPr>
          <w:b/>
          <w:i/>
        </w:rPr>
        <w:t xml:space="preserve">Exhibit </w:t>
      </w:r>
      <w:r w:rsidR="000B3057">
        <w:rPr>
          <w:b/>
          <w:i/>
        </w:rPr>
        <w:t>1</w:t>
      </w:r>
      <w:r w:rsidR="005516D0">
        <w:t xml:space="preserve"> (see also </w:t>
      </w:r>
      <w:r w:rsidR="0084464B" w:rsidRPr="0084464B">
        <w:rPr>
          <w:b/>
        </w:rPr>
        <w:t>Appendix 3</w:t>
      </w:r>
      <w:r w:rsidR="005516D0">
        <w:t>).</w:t>
      </w:r>
    </w:p>
    <w:p w:rsidR="00592720" w:rsidRPr="00C92AA4" w:rsidRDefault="00592720" w:rsidP="00B23A53">
      <w:pPr>
        <w:pStyle w:val="FigureTitle"/>
      </w:pPr>
      <w:bookmarkStart w:id="20" w:name="_Toc292714091"/>
      <w:proofErr w:type="gramStart"/>
      <w:r>
        <w:t xml:space="preserve">Exhibit </w:t>
      </w:r>
      <w:r w:rsidR="000B3057">
        <w:t>1</w:t>
      </w:r>
      <w:r w:rsidRPr="00C92AA4">
        <w:t>.</w:t>
      </w:r>
      <w:proofErr w:type="gramEnd"/>
      <w:r w:rsidR="002E5EBD">
        <w:t xml:space="preserve"> </w:t>
      </w:r>
      <w:r>
        <w:t xml:space="preserve">Metrics and Data Sources for the Quitline Promotional Activities </w:t>
      </w:r>
      <w:r w:rsidR="00147108">
        <w:t>Component</w:t>
      </w:r>
      <w:bookmarkEnd w:id="20"/>
      <w:r w:rsidRPr="00C92AA4">
        <w:t xml:space="preserve"> </w:t>
      </w:r>
    </w:p>
    <w:tbl>
      <w:tblPr>
        <w:tblW w:w="0" w:type="auto"/>
        <w:tblBorders>
          <w:top w:val="single" w:sz="12" w:space="0" w:color="000000"/>
          <w:bottom w:val="single" w:sz="12" w:space="0" w:color="000000"/>
          <w:insideH w:val="single" w:sz="6" w:space="0" w:color="000000"/>
        </w:tblBorders>
        <w:tblLook w:val="00A0"/>
      </w:tblPr>
      <w:tblGrid>
        <w:gridCol w:w="2085"/>
        <w:gridCol w:w="4053"/>
        <w:gridCol w:w="3330"/>
      </w:tblGrid>
      <w:tr w:rsidR="00592720" w:rsidRPr="00B273A9" w:rsidTr="00B273A9">
        <w:trPr>
          <w:trHeight w:val="20"/>
        </w:trPr>
        <w:tc>
          <w:tcPr>
            <w:tcW w:w="2085" w:type="dxa"/>
            <w:tcBorders>
              <w:bottom w:val="single" w:sz="12" w:space="0" w:color="000000"/>
            </w:tcBorders>
            <w:shd w:val="clear" w:color="auto" w:fill="auto"/>
          </w:tcPr>
          <w:p w:rsidR="00592720" w:rsidRPr="00B273A9" w:rsidRDefault="00592720" w:rsidP="00E5440F">
            <w:pPr>
              <w:pStyle w:val="Tabletext"/>
              <w:rPr>
                <w:b/>
                <w:bCs w:val="0"/>
                <w:color w:val="000000"/>
              </w:rPr>
            </w:pPr>
            <w:r w:rsidRPr="00B273A9">
              <w:rPr>
                <w:b/>
                <w:bCs w:val="0"/>
                <w:color w:val="000000"/>
              </w:rPr>
              <w:t>State Level Data Requests</w:t>
            </w:r>
          </w:p>
        </w:tc>
        <w:tc>
          <w:tcPr>
            <w:tcW w:w="4053" w:type="dxa"/>
            <w:tcBorders>
              <w:bottom w:val="single" w:sz="12" w:space="0" w:color="000000"/>
            </w:tcBorders>
            <w:shd w:val="clear" w:color="auto" w:fill="auto"/>
          </w:tcPr>
          <w:p w:rsidR="00592720" w:rsidRPr="00B273A9" w:rsidRDefault="00D9062D" w:rsidP="009D0976">
            <w:pPr>
              <w:pStyle w:val="Tabletext"/>
              <w:rPr>
                <w:b/>
                <w:bCs w:val="0"/>
                <w:color w:val="000000"/>
              </w:rPr>
            </w:pPr>
            <w:r>
              <w:rPr>
                <w:b/>
                <w:bCs w:val="0"/>
                <w:color w:val="000000"/>
              </w:rPr>
              <w:t xml:space="preserve">Examples of </w:t>
            </w:r>
            <w:r w:rsidR="00592720" w:rsidRPr="00B273A9">
              <w:rPr>
                <w:b/>
                <w:bCs w:val="0"/>
                <w:color w:val="000000"/>
              </w:rPr>
              <w:t>Metrics</w:t>
            </w:r>
            <w:r w:rsidR="009D0976" w:rsidRPr="00B273A9">
              <w:rPr>
                <w:b/>
                <w:bCs w:val="0"/>
                <w:color w:val="000000"/>
              </w:rPr>
              <w:br/>
            </w:r>
            <w:r w:rsidR="00592720" w:rsidRPr="00B273A9">
              <w:rPr>
                <w:b/>
                <w:bCs w:val="0"/>
                <w:color w:val="000000"/>
              </w:rPr>
              <w:t>(from a 12-24 month period)</w:t>
            </w:r>
          </w:p>
        </w:tc>
        <w:tc>
          <w:tcPr>
            <w:tcW w:w="3330" w:type="dxa"/>
            <w:tcBorders>
              <w:bottom w:val="single" w:sz="12" w:space="0" w:color="000000"/>
            </w:tcBorders>
            <w:shd w:val="clear" w:color="auto" w:fill="auto"/>
            <w:vAlign w:val="bottom"/>
          </w:tcPr>
          <w:p w:rsidR="00592720" w:rsidRPr="00B273A9" w:rsidRDefault="00592720" w:rsidP="009D0976">
            <w:pPr>
              <w:pStyle w:val="Tabletext"/>
              <w:rPr>
                <w:b/>
                <w:bCs w:val="0"/>
                <w:color w:val="000000"/>
              </w:rPr>
            </w:pPr>
            <w:r w:rsidRPr="00B273A9">
              <w:rPr>
                <w:b/>
                <w:bCs w:val="0"/>
                <w:color w:val="000000"/>
              </w:rPr>
              <w:t>Sources of Data</w:t>
            </w:r>
          </w:p>
        </w:tc>
      </w:tr>
      <w:tr w:rsidR="00592720" w:rsidRPr="00B273A9" w:rsidTr="00B273A9">
        <w:trPr>
          <w:trHeight w:val="20"/>
        </w:trPr>
        <w:tc>
          <w:tcPr>
            <w:tcW w:w="2085" w:type="dxa"/>
            <w:shd w:val="clear" w:color="auto" w:fill="auto"/>
          </w:tcPr>
          <w:p w:rsidR="00592720" w:rsidRPr="00B273A9" w:rsidRDefault="00592720" w:rsidP="00E5440F">
            <w:pPr>
              <w:pStyle w:val="Tabletext"/>
              <w:rPr>
                <w:i/>
                <w:color w:val="000000"/>
              </w:rPr>
            </w:pPr>
            <w:r w:rsidRPr="00B273A9">
              <w:rPr>
                <w:i/>
                <w:color w:val="000000"/>
              </w:rPr>
              <w:t>QuitLine</w:t>
            </w:r>
          </w:p>
        </w:tc>
        <w:tc>
          <w:tcPr>
            <w:tcW w:w="4053" w:type="dxa"/>
            <w:shd w:val="clear" w:color="auto" w:fill="auto"/>
          </w:tcPr>
          <w:p w:rsidR="00592720" w:rsidRPr="00B273A9" w:rsidRDefault="00592720" w:rsidP="00E5440F">
            <w:pPr>
              <w:pStyle w:val="Tabletext"/>
              <w:rPr>
                <w:color w:val="000000"/>
              </w:rPr>
            </w:pPr>
            <w:r w:rsidRPr="00B273A9">
              <w:rPr>
                <w:color w:val="000000"/>
              </w:rPr>
              <w:t xml:space="preserve">Weekly </w:t>
            </w:r>
            <w:r w:rsidR="00D304F1">
              <w:rPr>
                <w:color w:val="000000"/>
              </w:rPr>
              <w:t>c</w:t>
            </w:r>
            <w:r w:rsidRPr="00B273A9">
              <w:rPr>
                <w:color w:val="000000"/>
              </w:rPr>
              <w:t xml:space="preserve">all </w:t>
            </w:r>
            <w:r w:rsidR="00D304F1">
              <w:rPr>
                <w:color w:val="000000"/>
              </w:rPr>
              <w:t>v</w:t>
            </w:r>
            <w:r w:rsidRPr="00B273A9">
              <w:rPr>
                <w:color w:val="000000"/>
              </w:rPr>
              <w:t xml:space="preserve">olume, </w:t>
            </w:r>
            <w:r w:rsidR="00D304F1">
              <w:rPr>
                <w:color w:val="000000"/>
              </w:rPr>
              <w:t>d</w:t>
            </w:r>
            <w:r w:rsidRPr="00B273A9">
              <w:rPr>
                <w:color w:val="000000"/>
              </w:rPr>
              <w:t>emographics, self-reported source of referral, confirmed awareness of promotion activities</w:t>
            </w:r>
          </w:p>
        </w:tc>
        <w:tc>
          <w:tcPr>
            <w:tcW w:w="3330" w:type="dxa"/>
            <w:shd w:val="clear" w:color="auto" w:fill="auto"/>
          </w:tcPr>
          <w:p w:rsidR="00592720" w:rsidRPr="00B273A9" w:rsidRDefault="007B6FE4" w:rsidP="00E5440F">
            <w:pPr>
              <w:pStyle w:val="Tabletext"/>
              <w:rPr>
                <w:color w:val="000000"/>
              </w:rPr>
            </w:pPr>
            <w:r>
              <w:rPr>
                <w:color w:val="000000"/>
              </w:rPr>
              <w:t xml:space="preserve">TCP and </w:t>
            </w:r>
            <w:r w:rsidR="00592720" w:rsidRPr="00B273A9">
              <w:rPr>
                <w:color w:val="000000"/>
              </w:rPr>
              <w:t>National Quitline Data Warehouse (NQDW)</w:t>
            </w:r>
          </w:p>
          <w:p w:rsidR="00592720" w:rsidRPr="00B273A9" w:rsidRDefault="00592720" w:rsidP="00E5440F">
            <w:pPr>
              <w:pStyle w:val="Tabletext"/>
              <w:rPr>
                <w:color w:val="000000"/>
              </w:rPr>
            </w:pPr>
          </w:p>
        </w:tc>
      </w:tr>
      <w:tr w:rsidR="00592720" w:rsidRPr="00B273A9" w:rsidTr="00B273A9">
        <w:trPr>
          <w:trHeight w:val="20"/>
        </w:trPr>
        <w:tc>
          <w:tcPr>
            <w:tcW w:w="2085" w:type="dxa"/>
            <w:shd w:val="clear" w:color="auto" w:fill="auto"/>
          </w:tcPr>
          <w:p w:rsidR="00592720" w:rsidRPr="00B273A9" w:rsidRDefault="00592720" w:rsidP="00E5440F">
            <w:pPr>
              <w:pStyle w:val="Tabletext"/>
              <w:rPr>
                <w:i/>
                <w:color w:val="000000"/>
              </w:rPr>
            </w:pPr>
            <w:r w:rsidRPr="00B273A9">
              <w:rPr>
                <w:i/>
                <w:color w:val="000000"/>
              </w:rPr>
              <w:lastRenderedPageBreak/>
              <w:t>Promotional Activities</w:t>
            </w:r>
          </w:p>
        </w:tc>
        <w:tc>
          <w:tcPr>
            <w:tcW w:w="4053" w:type="dxa"/>
            <w:shd w:val="clear" w:color="auto" w:fill="auto"/>
          </w:tcPr>
          <w:p w:rsidR="00592720" w:rsidRPr="00B273A9" w:rsidRDefault="00592720" w:rsidP="00E5440F">
            <w:pPr>
              <w:pStyle w:val="Tabletext"/>
              <w:rPr>
                <w:color w:val="000000"/>
              </w:rPr>
            </w:pPr>
            <w:r w:rsidRPr="00B273A9">
              <w:rPr>
                <w:color w:val="000000"/>
              </w:rPr>
              <w:t xml:space="preserve">Media </w:t>
            </w:r>
            <w:r w:rsidR="00D304F1">
              <w:rPr>
                <w:color w:val="000000"/>
              </w:rPr>
              <w:t>p</w:t>
            </w:r>
            <w:r w:rsidRPr="00B273A9">
              <w:rPr>
                <w:color w:val="000000"/>
              </w:rPr>
              <w:t xml:space="preserve">lacement </w:t>
            </w:r>
            <w:r w:rsidR="00D304F1">
              <w:rPr>
                <w:color w:val="000000"/>
              </w:rPr>
              <w:t>d</w:t>
            </w:r>
            <w:r w:rsidRPr="00B273A9">
              <w:rPr>
                <w:color w:val="000000"/>
              </w:rPr>
              <w:t>ata (</w:t>
            </w:r>
            <w:r w:rsidR="00B45BA4">
              <w:rPr>
                <w:color w:val="000000"/>
              </w:rPr>
              <w:t>e.g.</w:t>
            </w:r>
            <w:r w:rsidR="00076767" w:rsidRPr="00B273A9">
              <w:rPr>
                <w:color w:val="000000"/>
              </w:rPr>
              <w:t xml:space="preserve">, </w:t>
            </w:r>
            <w:r w:rsidRPr="00B273A9">
              <w:rPr>
                <w:color w:val="000000"/>
              </w:rPr>
              <w:t>Type of media, theme/content/message, target audience, GRPs, impressions, click-thru-rates, cost</w:t>
            </w:r>
            <w:r w:rsidR="00D304F1">
              <w:rPr>
                <w:color w:val="000000"/>
              </w:rPr>
              <w:t>)</w:t>
            </w:r>
          </w:p>
        </w:tc>
        <w:tc>
          <w:tcPr>
            <w:tcW w:w="3330" w:type="dxa"/>
            <w:shd w:val="clear" w:color="auto" w:fill="auto"/>
          </w:tcPr>
          <w:p w:rsidR="00592720" w:rsidRPr="00B273A9" w:rsidRDefault="00592720" w:rsidP="00D444C4">
            <w:pPr>
              <w:pStyle w:val="Tabletext"/>
              <w:rPr>
                <w:color w:val="000000"/>
              </w:rPr>
            </w:pPr>
            <w:r w:rsidRPr="00B273A9">
              <w:rPr>
                <w:color w:val="000000"/>
              </w:rPr>
              <w:t>Program manager/</w:t>
            </w:r>
            <w:r w:rsidR="00D444C4">
              <w:rPr>
                <w:color w:val="000000"/>
              </w:rPr>
              <w:t>m</w:t>
            </w:r>
            <w:r w:rsidRPr="00B273A9">
              <w:rPr>
                <w:color w:val="000000"/>
              </w:rPr>
              <w:t xml:space="preserve">edia </w:t>
            </w:r>
            <w:r w:rsidR="00D444C4">
              <w:rPr>
                <w:color w:val="000000"/>
              </w:rPr>
              <w:t>c</w:t>
            </w:r>
            <w:r w:rsidRPr="00B273A9">
              <w:rPr>
                <w:color w:val="000000"/>
              </w:rPr>
              <w:t>ontractor</w:t>
            </w:r>
          </w:p>
        </w:tc>
      </w:tr>
      <w:tr w:rsidR="00592720" w:rsidRPr="00B273A9" w:rsidTr="00B273A9">
        <w:trPr>
          <w:trHeight w:val="20"/>
        </w:trPr>
        <w:tc>
          <w:tcPr>
            <w:tcW w:w="2085" w:type="dxa"/>
            <w:shd w:val="clear" w:color="auto" w:fill="auto"/>
          </w:tcPr>
          <w:p w:rsidR="00592720" w:rsidRPr="00B273A9" w:rsidRDefault="00592720" w:rsidP="00E5440F">
            <w:pPr>
              <w:pStyle w:val="Tabletext"/>
              <w:rPr>
                <w:i/>
                <w:color w:val="000000"/>
              </w:rPr>
            </w:pPr>
            <w:r w:rsidRPr="00B273A9">
              <w:rPr>
                <w:i/>
                <w:color w:val="000000"/>
              </w:rPr>
              <w:t>Analytics for</w:t>
            </w:r>
            <w:r w:rsidR="009D0976" w:rsidRPr="00B273A9">
              <w:rPr>
                <w:i/>
                <w:color w:val="000000"/>
              </w:rPr>
              <w:t xml:space="preserve"> </w:t>
            </w:r>
            <w:r w:rsidRPr="00B273A9">
              <w:rPr>
                <w:i/>
                <w:color w:val="000000"/>
              </w:rPr>
              <w:t>Web</w:t>
            </w:r>
            <w:r w:rsidR="00D444C4">
              <w:rPr>
                <w:i/>
                <w:color w:val="000000"/>
              </w:rPr>
              <w:t xml:space="preserve"> </w:t>
            </w:r>
            <w:r w:rsidRPr="00B273A9">
              <w:rPr>
                <w:i/>
                <w:color w:val="000000"/>
              </w:rPr>
              <w:t>site/Mobile Phone Applications</w:t>
            </w:r>
          </w:p>
          <w:p w:rsidR="00592720" w:rsidRPr="00B273A9" w:rsidRDefault="00592720" w:rsidP="00E5440F">
            <w:pPr>
              <w:pStyle w:val="Tabletext"/>
              <w:rPr>
                <w:i/>
                <w:color w:val="000000"/>
              </w:rPr>
            </w:pPr>
          </w:p>
        </w:tc>
        <w:tc>
          <w:tcPr>
            <w:tcW w:w="4053" w:type="dxa"/>
            <w:shd w:val="clear" w:color="auto" w:fill="auto"/>
          </w:tcPr>
          <w:p w:rsidR="00592720" w:rsidRPr="00B273A9" w:rsidRDefault="00592720" w:rsidP="00E5440F">
            <w:pPr>
              <w:pStyle w:val="Tabletext"/>
              <w:rPr>
                <w:color w:val="000000"/>
              </w:rPr>
            </w:pPr>
            <w:r w:rsidRPr="00B273A9">
              <w:rPr>
                <w:color w:val="000000"/>
              </w:rPr>
              <w:t xml:space="preserve">Aggregate level weekly </w:t>
            </w:r>
            <w:r w:rsidR="008E3D3F">
              <w:rPr>
                <w:color w:val="000000"/>
              </w:rPr>
              <w:t>W</w:t>
            </w:r>
            <w:r w:rsidRPr="00B273A9">
              <w:rPr>
                <w:color w:val="000000"/>
              </w:rPr>
              <w:t>eb traffic – visits, unique visitors, average time spent on site, geographic region of visitors</w:t>
            </w:r>
          </w:p>
          <w:p w:rsidR="00592720" w:rsidRPr="00B273A9" w:rsidRDefault="00592720" w:rsidP="00E5440F">
            <w:pPr>
              <w:pStyle w:val="Tabletext"/>
              <w:rPr>
                <w:color w:val="000000"/>
              </w:rPr>
            </w:pPr>
            <w:r w:rsidRPr="00B273A9">
              <w:rPr>
                <w:color w:val="000000"/>
              </w:rPr>
              <w:t xml:space="preserve"> </w:t>
            </w:r>
          </w:p>
        </w:tc>
        <w:tc>
          <w:tcPr>
            <w:tcW w:w="3330" w:type="dxa"/>
            <w:shd w:val="clear" w:color="auto" w:fill="auto"/>
          </w:tcPr>
          <w:p w:rsidR="00592720" w:rsidRPr="00B273A9" w:rsidRDefault="00592720" w:rsidP="00D444C4">
            <w:pPr>
              <w:pStyle w:val="Tabletext"/>
              <w:rPr>
                <w:color w:val="000000"/>
              </w:rPr>
            </w:pPr>
            <w:r w:rsidRPr="00B273A9">
              <w:rPr>
                <w:color w:val="000000"/>
              </w:rPr>
              <w:t xml:space="preserve">Google Analytics or other </w:t>
            </w:r>
            <w:r w:rsidR="00D444C4">
              <w:rPr>
                <w:color w:val="000000"/>
              </w:rPr>
              <w:t>W</w:t>
            </w:r>
            <w:r w:rsidRPr="00B273A9">
              <w:rPr>
                <w:color w:val="000000"/>
              </w:rPr>
              <w:t>eb analytic platform</w:t>
            </w:r>
          </w:p>
          <w:p w:rsidR="00592720" w:rsidRPr="00B273A9" w:rsidRDefault="00592720" w:rsidP="00E5440F">
            <w:pPr>
              <w:pStyle w:val="Tabletext"/>
              <w:rPr>
                <w:color w:val="000000"/>
              </w:rPr>
            </w:pPr>
          </w:p>
          <w:p w:rsidR="00592720" w:rsidRPr="00B273A9" w:rsidRDefault="00592720" w:rsidP="00E5440F">
            <w:pPr>
              <w:pStyle w:val="Tabletext"/>
              <w:rPr>
                <w:color w:val="000000"/>
              </w:rPr>
            </w:pPr>
            <w:r w:rsidRPr="00B273A9">
              <w:rPr>
                <w:color w:val="000000"/>
              </w:rPr>
              <w:t>(If available)</w:t>
            </w:r>
          </w:p>
          <w:p w:rsidR="00592720" w:rsidRPr="00B273A9" w:rsidRDefault="00592720" w:rsidP="00E5440F">
            <w:pPr>
              <w:pStyle w:val="Tabletext"/>
              <w:rPr>
                <w:b/>
                <w:color w:val="000000"/>
              </w:rPr>
            </w:pPr>
            <w:r w:rsidRPr="00B273A9">
              <w:rPr>
                <w:color w:val="000000"/>
              </w:rPr>
              <w:t>Web</w:t>
            </w:r>
            <w:r w:rsidR="00D444C4">
              <w:rPr>
                <w:color w:val="000000"/>
              </w:rPr>
              <w:t xml:space="preserve"> </w:t>
            </w:r>
            <w:r w:rsidRPr="00B273A9">
              <w:rPr>
                <w:color w:val="000000"/>
              </w:rPr>
              <w:t>site database of registered users</w:t>
            </w:r>
          </w:p>
        </w:tc>
      </w:tr>
      <w:tr w:rsidR="00592720" w:rsidRPr="00B273A9" w:rsidTr="00B273A9">
        <w:trPr>
          <w:trHeight w:val="20"/>
        </w:trPr>
        <w:tc>
          <w:tcPr>
            <w:tcW w:w="2085" w:type="dxa"/>
            <w:shd w:val="clear" w:color="auto" w:fill="auto"/>
          </w:tcPr>
          <w:p w:rsidR="00592720" w:rsidRPr="00B273A9" w:rsidRDefault="00592720" w:rsidP="00E5440F">
            <w:pPr>
              <w:pStyle w:val="Tabletext"/>
              <w:rPr>
                <w:color w:val="000000"/>
              </w:rPr>
            </w:pPr>
            <w:r w:rsidRPr="00B273A9">
              <w:rPr>
                <w:i/>
                <w:color w:val="000000"/>
              </w:rPr>
              <w:t>Social Media Tracking</w:t>
            </w:r>
          </w:p>
        </w:tc>
        <w:tc>
          <w:tcPr>
            <w:tcW w:w="4053" w:type="dxa"/>
            <w:shd w:val="clear" w:color="auto" w:fill="auto"/>
          </w:tcPr>
          <w:p w:rsidR="00592720" w:rsidRPr="00B273A9" w:rsidRDefault="00592720" w:rsidP="00E5440F">
            <w:pPr>
              <w:pStyle w:val="Tabletext"/>
              <w:rPr>
                <w:color w:val="000000"/>
              </w:rPr>
            </w:pPr>
            <w:r w:rsidRPr="00B273A9">
              <w:rPr>
                <w:color w:val="000000"/>
              </w:rPr>
              <w:t>Activity on social media platforms such as YouTube, Facebook, Twitter</w:t>
            </w:r>
          </w:p>
        </w:tc>
        <w:tc>
          <w:tcPr>
            <w:tcW w:w="3330" w:type="dxa"/>
            <w:shd w:val="clear" w:color="auto" w:fill="auto"/>
          </w:tcPr>
          <w:p w:rsidR="00592720" w:rsidRPr="00B273A9" w:rsidRDefault="00592720" w:rsidP="00D444C4">
            <w:pPr>
              <w:pStyle w:val="Tabletext"/>
              <w:rPr>
                <w:color w:val="000000"/>
              </w:rPr>
            </w:pPr>
            <w:r w:rsidRPr="00B273A9">
              <w:rPr>
                <w:color w:val="000000"/>
              </w:rPr>
              <w:t>Free public programs (</w:t>
            </w:r>
            <w:r w:rsidR="00B45BA4">
              <w:rPr>
                <w:color w:val="000000"/>
              </w:rPr>
              <w:t>e.g.</w:t>
            </w:r>
            <w:r w:rsidR="00076767" w:rsidRPr="00B273A9">
              <w:rPr>
                <w:color w:val="000000"/>
              </w:rPr>
              <w:t xml:space="preserve">, </w:t>
            </w:r>
            <w:r w:rsidRPr="00B273A9">
              <w:rPr>
                <w:color w:val="000000"/>
              </w:rPr>
              <w:t>Facebook Insight, Twitter</w:t>
            </w:r>
            <w:r w:rsidR="00B45BA4">
              <w:rPr>
                <w:color w:val="000000"/>
              </w:rPr>
              <w:t>)</w:t>
            </w:r>
          </w:p>
        </w:tc>
      </w:tr>
    </w:tbl>
    <w:p w:rsidR="00592720" w:rsidRDefault="00592720" w:rsidP="009D0976">
      <w:pPr>
        <w:pStyle w:val="Heading3"/>
      </w:pPr>
      <w:bookmarkStart w:id="21" w:name="_Toc292708833"/>
      <w:bookmarkStart w:id="22" w:name="_Toc292714083"/>
      <w:r>
        <w:t xml:space="preserve">Cessation Intervention </w:t>
      </w:r>
      <w:r w:rsidR="00147108">
        <w:t>Component</w:t>
      </w:r>
      <w:bookmarkEnd w:id="21"/>
      <w:bookmarkEnd w:id="22"/>
    </w:p>
    <w:p w:rsidR="00E32F5E" w:rsidRDefault="00E32F5E" w:rsidP="00E32F5E">
      <w:pPr>
        <w:pStyle w:val="bodytext0"/>
        <w:rPr>
          <w:lang w:val="en-CA"/>
        </w:rPr>
      </w:pPr>
      <w:r>
        <w:t xml:space="preserve">Investigators aim to obtain information from approximately 8,000 participants </w:t>
      </w:r>
      <w:r w:rsidRPr="00CF1100" w:rsidDel="009965FC">
        <w:t xml:space="preserve">(4,000 </w:t>
      </w:r>
      <w:r w:rsidDel="009965FC">
        <w:t>“W</w:t>
      </w:r>
      <w:r w:rsidRPr="00CF1100" w:rsidDel="009965FC">
        <w:t>eb</w:t>
      </w:r>
      <w:r w:rsidR="002E5EBD">
        <w:t>-</w:t>
      </w:r>
      <w:r w:rsidRPr="00CF1100" w:rsidDel="009965FC">
        <w:t>only</w:t>
      </w:r>
      <w:r w:rsidDel="009965FC">
        <w:t>”</w:t>
      </w:r>
      <w:r w:rsidRPr="00CF1100" w:rsidDel="009965FC">
        <w:t xml:space="preserve"> and 4,000 </w:t>
      </w:r>
      <w:r w:rsidDel="009965FC">
        <w:t>“</w:t>
      </w:r>
      <w:r w:rsidRPr="00CF1100" w:rsidDel="009965FC">
        <w:t>phone</w:t>
      </w:r>
      <w:r w:rsidR="002E5EBD">
        <w:t>-</w:t>
      </w:r>
      <w:r w:rsidRPr="00CF1100" w:rsidDel="009965FC">
        <w:t>only</w:t>
      </w:r>
      <w:r>
        <w:t>”</w:t>
      </w:r>
      <w:r w:rsidRPr="00CF1100" w:rsidDel="009965FC">
        <w:t xml:space="preserve"> participants)</w:t>
      </w:r>
      <w:r>
        <w:t xml:space="preserve"> in approximately </w:t>
      </w:r>
      <w:r w:rsidR="005516D0">
        <w:t>four</w:t>
      </w:r>
      <w:r>
        <w:t xml:space="preserve"> states. To be eligible for participation state TCPs must offer both </w:t>
      </w:r>
      <w:r w:rsidR="002E5EBD">
        <w:t>W</w:t>
      </w:r>
      <w:r w:rsidRPr="00CF1100">
        <w:t>eb</w:t>
      </w:r>
      <w:r>
        <w:t>-based and</w:t>
      </w:r>
      <w:r w:rsidRPr="00CF1100">
        <w:t xml:space="preserve"> </w:t>
      </w:r>
      <w:r>
        <w:t xml:space="preserve">traditional telephone-based </w:t>
      </w:r>
      <w:r w:rsidRPr="00CF1100">
        <w:t>cessation services</w:t>
      </w:r>
      <w:r>
        <w:t xml:space="preserve"> so that a comparison may be made. </w:t>
      </w:r>
      <w:r w:rsidRPr="00CF1100">
        <w:rPr>
          <w:lang w:val="en-CA"/>
        </w:rPr>
        <w:t>Intake (baseline)</w:t>
      </w:r>
      <w:r w:rsidR="00D05152">
        <w:rPr>
          <w:lang w:val="en-CA"/>
        </w:rPr>
        <w:t>,</w:t>
      </w:r>
      <w:r w:rsidRPr="00CF1100">
        <w:rPr>
          <w:lang w:val="en-CA"/>
        </w:rPr>
        <w:t xml:space="preserve"> follow-up</w:t>
      </w:r>
      <w:r w:rsidR="00D05152">
        <w:rPr>
          <w:lang w:val="en-CA"/>
        </w:rPr>
        <w:t xml:space="preserve">, and </w:t>
      </w:r>
      <w:r w:rsidRPr="00CF1100">
        <w:rPr>
          <w:lang w:val="en-CA"/>
        </w:rPr>
        <w:t xml:space="preserve">service utilization data will be used to </w:t>
      </w:r>
      <w:r>
        <w:rPr>
          <w:lang w:val="en-CA"/>
        </w:rPr>
        <w:t>characterize</w:t>
      </w:r>
      <w:r w:rsidRPr="00CF1100">
        <w:rPr>
          <w:lang w:val="en-CA"/>
        </w:rPr>
        <w:t xml:space="preserve"> users of each intervention</w:t>
      </w:r>
      <w:r>
        <w:rPr>
          <w:lang w:val="en-CA"/>
        </w:rPr>
        <w:t xml:space="preserve"> modality</w:t>
      </w:r>
      <w:r w:rsidRPr="00CF1100">
        <w:rPr>
          <w:lang w:val="en-CA"/>
        </w:rPr>
        <w:t xml:space="preserve"> </w:t>
      </w:r>
      <w:r>
        <w:rPr>
          <w:lang w:val="en-CA"/>
        </w:rPr>
        <w:t xml:space="preserve">and </w:t>
      </w:r>
      <w:r w:rsidRPr="00CF1100">
        <w:rPr>
          <w:lang w:val="en-CA"/>
        </w:rPr>
        <w:t>to assess the comparative effectiveness of the interventions</w:t>
      </w:r>
      <w:r>
        <w:rPr>
          <w:lang w:val="en-CA"/>
        </w:rPr>
        <w:t xml:space="preserve">. </w:t>
      </w:r>
      <w:r w:rsidRPr="00CF1100">
        <w:rPr>
          <w:lang w:val="en-CA"/>
        </w:rPr>
        <w:t xml:space="preserve">Intake data and service utilization data are </w:t>
      </w:r>
      <w:r>
        <w:rPr>
          <w:lang w:val="en-CA"/>
        </w:rPr>
        <w:t>already being collected</w:t>
      </w:r>
      <w:r w:rsidRPr="00CF1100">
        <w:rPr>
          <w:lang w:val="en-CA"/>
        </w:rPr>
        <w:t xml:space="preserve"> by the quitline or </w:t>
      </w:r>
      <w:r>
        <w:rPr>
          <w:lang w:val="en-CA"/>
        </w:rPr>
        <w:t>W</w:t>
      </w:r>
      <w:r w:rsidRPr="00CF1100">
        <w:rPr>
          <w:lang w:val="en-CA"/>
        </w:rPr>
        <w:t>eb service providers using protocols established between each state and its service provider.</w:t>
      </w:r>
      <w:r>
        <w:rPr>
          <w:lang w:val="en-CA"/>
        </w:rPr>
        <w:t xml:space="preserve"> </w:t>
      </w:r>
      <w:r w:rsidR="00C56175">
        <w:t xml:space="preserve">Investigators </w:t>
      </w:r>
      <w:r>
        <w:rPr>
          <w:lang w:val="en-CA"/>
        </w:rPr>
        <w:t>will work closely with the</w:t>
      </w:r>
      <w:r w:rsidR="00FF4613">
        <w:rPr>
          <w:lang w:val="en-CA"/>
        </w:rPr>
        <w:t xml:space="preserve"> TCPs</w:t>
      </w:r>
      <w:r>
        <w:rPr>
          <w:lang w:val="en-CA"/>
        </w:rPr>
        <w:t xml:space="preserve"> to </w:t>
      </w:r>
      <w:r w:rsidRPr="00CF1100">
        <w:rPr>
          <w:lang w:val="en-CA"/>
        </w:rPr>
        <w:t>develop acceptable informed consent procedures and establish seamless data transfer schedules</w:t>
      </w:r>
      <w:r>
        <w:rPr>
          <w:lang w:val="en-CA"/>
        </w:rPr>
        <w:t xml:space="preserve"> to </w:t>
      </w:r>
      <w:r w:rsidR="00FD1187">
        <w:rPr>
          <w:lang w:val="en-CA"/>
        </w:rPr>
        <w:t xml:space="preserve">obtain intake data from the quitline </w:t>
      </w:r>
      <w:r w:rsidR="002E5EBD">
        <w:rPr>
          <w:lang w:val="en-CA"/>
        </w:rPr>
        <w:t xml:space="preserve">and Web-based program users </w:t>
      </w:r>
      <w:r w:rsidR="004B1AE8">
        <w:rPr>
          <w:lang w:val="en-CA"/>
        </w:rPr>
        <w:t xml:space="preserve">collected by </w:t>
      </w:r>
      <w:r w:rsidR="00FD1187">
        <w:rPr>
          <w:lang w:val="en-CA"/>
        </w:rPr>
        <w:t xml:space="preserve">the TCP or </w:t>
      </w:r>
      <w:r w:rsidR="004B1AE8">
        <w:rPr>
          <w:lang w:val="en-CA"/>
        </w:rPr>
        <w:t xml:space="preserve">their contracting </w:t>
      </w:r>
      <w:r w:rsidR="00FD1187">
        <w:rPr>
          <w:lang w:val="en-CA"/>
        </w:rPr>
        <w:t>service provider.</w:t>
      </w:r>
      <w:r w:rsidR="00D304F1">
        <w:rPr>
          <w:lang w:val="en-CA"/>
        </w:rPr>
        <w:t xml:space="preserve"> </w:t>
      </w:r>
    </w:p>
    <w:p w:rsidR="00E32F5E" w:rsidRPr="005241E2" w:rsidRDefault="00D304F1" w:rsidP="00E32F5E">
      <w:pPr>
        <w:pStyle w:val="bodytext0"/>
      </w:pPr>
      <w:r>
        <w:rPr>
          <w:lang w:val="en-CA"/>
        </w:rPr>
        <w:t>When possible,</w:t>
      </w:r>
      <w:r w:rsidR="00E32F5E">
        <w:rPr>
          <w:lang w:val="en-CA"/>
        </w:rPr>
        <w:t xml:space="preserve"> </w:t>
      </w:r>
      <w:r>
        <w:rPr>
          <w:lang w:val="en-CA"/>
        </w:rPr>
        <w:t xml:space="preserve">7-month </w:t>
      </w:r>
      <w:r w:rsidR="00E32F5E">
        <w:rPr>
          <w:lang w:val="en-CA"/>
        </w:rPr>
        <w:t xml:space="preserve">follow-up information </w:t>
      </w:r>
      <w:r>
        <w:rPr>
          <w:lang w:val="en-CA"/>
        </w:rPr>
        <w:t>regarding</w:t>
      </w:r>
      <w:r w:rsidR="00E32F5E">
        <w:rPr>
          <w:lang w:val="en-CA"/>
        </w:rPr>
        <w:t xml:space="preserve"> participation in cessation programs and </w:t>
      </w:r>
      <w:r w:rsidR="00FD1187">
        <w:rPr>
          <w:lang w:val="en-CA"/>
        </w:rPr>
        <w:t xml:space="preserve">current smoking </w:t>
      </w:r>
      <w:r w:rsidR="00E32F5E">
        <w:rPr>
          <w:lang w:val="en-CA"/>
        </w:rPr>
        <w:t xml:space="preserve">status will be collected directly from state TCPs through </w:t>
      </w:r>
      <w:r>
        <w:rPr>
          <w:lang w:val="en-CA"/>
        </w:rPr>
        <w:t>previously</w:t>
      </w:r>
      <w:r w:rsidR="00E32F5E">
        <w:rPr>
          <w:lang w:val="en-CA"/>
        </w:rPr>
        <w:t xml:space="preserve"> established databases. Unfortunately this information is not always collected </w:t>
      </w:r>
      <w:r w:rsidR="00B45BA4">
        <w:rPr>
          <w:lang w:val="en-CA"/>
        </w:rPr>
        <w:t xml:space="preserve">for each individual </w:t>
      </w:r>
      <w:r w:rsidR="00561E6D">
        <w:rPr>
          <w:lang w:val="en-CA"/>
        </w:rPr>
        <w:t xml:space="preserve">by all TCPs, as is required to meet the goals of the study, </w:t>
      </w:r>
      <w:r w:rsidR="00E32F5E">
        <w:rPr>
          <w:lang w:val="en-CA"/>
        </w:rPr>
        <w:t xml:space="preserve">and it may be necessary for </w:t>
      </w:r>
      <w:r w:rsidR="00C56175">
        <w:t xml:space="preserve">investigators </w:t>
      </w:r>
      <w:r w:rsidR="00E32F5E">
        <w:rPr>
          <w:lang w:val="en-CA"/>
        </w:rPr>
        <w:t xml:space="preserve">to </w:t>
      </w:r>
      <w:r w:rsidR="00561E6D">
        <w:rPr>
          <w:lang w:val="en-CA"/>
        </w:rPr>
        <w:t>supplement</w:t>
      </w:r>
      <w:r w:rsidR="00E32F5E">
        <w:rPr>
          <w:lang w:val="en-CA"/>
        </w:rPr>
        <w:t xml:space="preserve"> this effort. As such, it will be necessary for </w:t>
      </w:r>
      <w:r w:rsidR="00C56175">
        <w:t xml:space="preserve">investigators </w:t>
      </w:r>
      <w:r w:rsidR="00E32F5E">
        <w:rPr>
          <w:lang w:val="en-CA"/>
        </w:rPr>
        <w:t xml:space="preserve">to collect and store – as well as ultimately destroy when done using – personally identifiable information. </w:t>
      </w:r>
      <w:r>
        <w:rPr>
          <w:lang w:val="en-CA"/>
        </w:rPr>
        <w:t>Identifiable information</w:t>
      </w:r>
      <w:r w:rsidR="00E32F5E" w:rsidRPr="00CF1100">
        <w:rPr>
          <w:lang w:val="en-CA"/>
        </w:rPr>
        <w:t xml:space="preserve"> such as names, addresses, telephon</w:t>
      </w:r>
      <w:r>
        <w:rPr>
          <w:lang w:val="en-CA"/>
        </w:rPr>
        <w:t>e numbers, and e-mail addresses</w:t>
      </w:r>
      <w:r w:rsidR="00E32F5E" w:rsidRPr="00CF1100">
        <w:rPr>
          <w:lang w:val="en-CA"/>
        </w:rPr>
        <w:t xml:space="preserve"> </w:t>
      </w:r>
      <w:r w:rsidR="00E32F5E">
        <w:rPr>
          <w:lang w:val="en-CA"/>
        </w:rPr>
        <w:t>that</w:t>
      </w:r>
      <w:r w:rsidR="00E32F5E" w:rsidRPr="00CF1100">
        <w:rPr>
          <w:lang w:val="en-CA"/>
        </w:rPr>
        <w:t xml:space="preserve"> is needed to locate participants for the follow-up data collection will be stored in separate encrypted files</w:t>
      </w:r>
      <w:r w:rsidR="003E39DA">
        <w:rPr>
          <w:lang w:val="en-CA"/>
        </w:rPr>
        <w:t xml:space="preserve"> as noted below</w:t>
      </w:r>
      <w:r w:rsidR="00E32F5E" w:rsidRPr="00CF1100">
        <w:rPr>
          <w:lang w:val="en-CA"/>
        </w:rPr>
        <w:t>.</w:t>
      </w:r>
      <w:r w:rsidR="00E32F5E">
        <w:rPr>
          <w:lang w:val="en-CA"/>
        </w:rPr>
        <w:t xml:space="preserve"> With consent, follow-up data obtained by </w:t>
      </w:r>
      <w:r w:rsidR="00C56175">
        <w:t xml:space="preserve">investigators </w:t>
      </w:r>
      <w:r w:rsidR="00E32F5E">
        <w:rPr>
          <w:lang w:val="en-CA"/>
        </w:rPr>
        <w:t>will be shared with the respondent’s respective state TCP</w:t>
      </w:r>
      <w:r w:rsidR="00250EB1">
        <w:rPr>
          <w:lang w:val="en-CA"/>
        </w:rPr>
        <w:t xml:space="preserve">. </w:t>
      </w:r>
      <w:r w:rsidR="00E32F5E" w:rsidRPr="00CF1100">
        <w:rPr>
          <w:lang w:val="en-CA"/>
        </w:rPr>
        <w:t xml:space="preserve">All data sharing procedures will be designed </w:t>
      </w:r>
      <w:r w:rsidR="00E32F5E" w:rsidRPr="00CF1100">
        <w:rPr>
          <w:lang w:val="en-CA"/>
        </w:rPr>
        <w:lastRenderedPageBreak/>
        <w:t xml:space="preserve">to maintain the privacy of the participants and quality of the dataset while </w:t>
      </w:r>
      <w:r w:rsidR="00E32F5E">
        <w:rPr>
          <w:lang w:val="en-CA"/>
        </w:rPr>
        <w:t xml:space="preserve">minimizing </w:t>
      </w:r>
      <w:r w:rsidR="00E32F5E" w:rsidRPr="00CF1100">
        <w:rPr>
          <w:lang w:val="en-CA"/>
        </w:rPr>
        <w:t>burden to the TCPs</w:t>
      </w:r>
      <w:r w:rsidR="00E32F5E">
        <w:rPr>
          <w:lang w:val="en-CA"/>
        </w:rPr>
        <w:t xml:space="preserve">, </w:t>
      </w:r>
      <w:r w:rsidR="00E32F5E" w:rsidRPr="00CF1100">
        <w:rPr>
          <w:lang w:val="en-CA"/>
        </w:rPr>
        <w:t>their service providers</w:t>
      </w:r>
      <w:r w:rsidR="00E32F5E">
        <w:t>, and their clients</w:t>
      </w:r>
      <w:r w:rsidR="00E32F5E" w:rsidRPr="00CF1100">
        <w:rPr>
          <w:lang w:val="en-CA"/>
        </w:rPr>
        <w:t>.</w:t>
      </w:r>
      <w:r w:rsidR="00E32F5E">
        <w:rPr>
          <w:lang w:val="en-CA"/>
        </w:rPr>
        <w:t xml:space="preserve"> </w:t>
      </w:r>
    </w:p>
    <w:p w:rsidR="00E32F5E" w:rsidRPr="005516D0" w:rsidRDefault="0084464B" w:rsidP="00E32F5E">
      <w:pPr>
        <w:pStyle w:val="Heading5"/>
        <w:rPr>
          <w:rFonts w:ascii="Times New Roman" w:hAnsi="Times New Roman" w:cs="Times New Roman"/>
          <w:sz w:val="24"/>
          <w:szCs w:val="24"/>
        </w:rPr>
      </w:pPr>
      <w:r w:rsidRPr="0084464B">
        <w:rPr>
          <w:rFonts w:ascii="Times New Roman" w:hAnsi="Times New Roman" w:cs="Times New Roman"/>
          <w:sz w:val="24"/>
          <w:szCs w:val="24"/>
        </w:rPr>
        <w:t>Intake Questionnaires</w:t>
      </w:r>
    </w:p>
    <w:p w:rsidR="00E32F5E" w:rsidRPr="00CF1100" w:rsidRDefault="00E32F5E" w:rsidP="00E32F5E">
      <w:pPr>
        <w:pStyle w:val="bodytext0"/>
        <w:rPr>
          <w:lang w:val="en-CA"/>
        </w:rPr>
      </w:pPr>
      <w:r w:rsidRPr="00CF1100">
        <w:rPr>
          <w:lang w:val="en-CA"/>
        </w:rPr>
        <w:t xml:space="preserve">For participants </w:t>
      </w:r>
      <w:r>
        <w:rPr>
          <w:lang w:val="en-CA"/>
        </w:rPr>
        <w:t xml:space="preserve">who solely engage </w:t>
      </w:r>
      <w:r w:rsidRPr="00CF1100">
        <w:rPr>
          <w:lang w:val="en-CA"/>
        </w:rPr>
        <w:t xml:space="preserve">in </w:t>
      </w:r>
      <w:r>
        <w:rPr>
          <w:lang w:val="en-CA"/>
        </w:rPr>
        <w:t>telephone-based</w:t>
      </w:r>
      <w:r w:rsidR="00D304F1">
        <w:rPr>
          <w:lang w:val="en-CA"/>
        </w:rPr>
        <w:t xml:space="preserve"> counselling</w:t>
      </w:r>
      <w:r w:rsidR="00580B99">
        <w:rPr>
          <w:lang w:val="en-CA"/>
        </w:rPr>
        <w:t xml:space="preserve"> (</w:t>
      </w:r>
      <w:r w:rsidR="005516D0">
        <w:rPr>
          <w:lang w:val="en-CA"/>
        </w:rPr>
        <w:t>i.e.,</w:t>
      </w:r>
      <w:r w:rsidR="00580B99">
        <w:rPr>
          <w:lang w:val="en-CA"/>
        </w:rPr>
        <w:t xml:space="preserve"> </w:t>
      </w:r>
      <w:r w:rsidRPr="00CF1100">
        <w:rPr>
          <w:lang w:val="en-CA"/>
        </w:rPr>
        <w:t xml:space="preserve">the </w:t>
      </w:r>
      <w:r>
        <w:rPr>
          <w:lang w:val="en-CA"/>
        </w:rPr>
        <w:t>“</w:t>
      </w:r>
      <w:r w:rsidRPr="00CF1100">
        <w:rPr>
          <w:lang w:val="en-CA"/>
        </w:rPr>
        <w:t>phone</w:t>
      </w:r>
      <w:r w:rsidR="002E5EBD">
        <w:rPr>
          <w:lang w:val="en-CA"/>
        </w:rPr>
        <w:t>-</w:t>
      </w:r>
      <w:r w:rsidRPr="00CF1100">
        <w:rPr>
          <w:lang w:val="en-CA"/>
        </w:rPr>
        <w:t>only</w:t>
      </w:r>
      <w:r>
        <w:rPr>
          <w:lang w:val="en-CA"/>
        </w:rPr>
        <w:t>”</w:t>
      </w:r>
      <w:r w:rsidRPr="00CF1100">
        <w:rPr>
          <w:lang w:val="en-CA"/>
        </w:rPr>
        <w:t xml:space="preserve"> sample</w:t>
      </w:r>
      <w:r w:rsidR="00580B99">
        <w:rPr>
          <w:lang w:val="en-CA"/>
        </w:rPr>
        <w:t>)</w:t>
      </w:r>
      <w:r w:rsidRPr="00CF1100">
        <w:rPr>
          <w:lang w:val="en-CA"/>
        </w:rPr>
        <w:t xml:space="preserve"> the </w:t>
      </w:r>
      <w:r>
        <w:rPr>
          <w:lang w:val="en-CA"/>
        </w:rPr>
        <w:t xml:space="preserve">standardized </w:t>
      </w:r>
      <w:r w:rsidRPr="00CF1100">
        <w:rPr>
          <w:lang w:val="en-CA"/>
        </w:rPr>
        <w:t xml:space="preserve">intake questionnaire will be collected primarily by </w:t>
      </w:r>
      <w:r>
        <w:rPr>
          <w:lang w:val="en-CA"/>
        </w:rPr>
        <w:t>c</w:t>
      </w:r>
      <w:r w:rsidRPr="00CF1100">
        <w:rPr>
          <w:lang w:val="en-CA"/>
        </w:rPr>
        <w:t>omputer</w:t>
      </w:r>
      <w:r>
        <w:rPr>
          <w:lang w:val="en-CA"/>
        </w:rPr>
        <w:t>-a</w:t>
      </w:r>
      <w:r w:rsidRPr="00CF1100">
        <w:rPr>
          <w:lang w:val="en-CA"/>
        </w:rPr>
        <w:t xml:space="preserve">ssisted </w:t>
      </w:r>
      <w:r>
        <w:rPr>
          <w:lang w:val="en-CA"/>
        </w:rPr>
        <w:t>t</w:t>
      </w:r>
      <w:r w:rsidRPr="00CF1100">
        <w:rPr>
          <w:lang w:val="en-CA"/>
        </w:rPr>
        <w:t xml:space="preserve">elephone </w:t>
      </w:r>
      <w:r>
        <w:rPr>
          <w:lang w:val="en-CA"/>
        </w:rPr>
        <w:t>i</w:t>
      </w:r>
      <w:r w:rsidRPr="00CF1100">
        <w:rPr>
          <w:lang w:val="en-CA"/>
        </w:rPr>
        <w:t>nterviews (CATI)</w:t>
      </w:r>
      <w:r w:rsidR="00D304F1">
        <w:rPr>
          <w:lang w:val="en-CA"/>
        </w:rPr>
        <w:t xml:space="preserve">. </w:t>
      </w:r>
      <w:r w:rsidR="0062348A">
        <w:rPr>
          <w:lang w:val="en-CA"/>
        </w:rPr>
        <w:t xml:space="preserve">CATI systems provide a script to interviewers </w:t>
      </w:r>
      <w:r w:rsidR="000946D8">
        <w:rPr>
          <w:lang w:val="en-CA"/>
        </w:rPr>
        <w:t xml:space="preserve">and a data entry interface </w:t>
      </w:r>
      <w:r w:rsidR="0062348A">
        <w:rPr>
          <w:lang w:val="en-CA"/>
        </w:rPr>
        <w:t>to help improve quality assurance of the data collection and reduce interviewer and respondent burden</w:t>
      </w:r>
      <w:r w:rsidR="00AA2337">
        <w:rPr>
          <w:lang w:val="en-CA"/>
        </w:rPr>
        <w:t xml:space="preserve"> (Groves, 2009)</w:t>
      </w:r>
      <w:r w:rsidR="00250EB1">
        <w:rPr>
          <w:lang w:val="en-CA"/>
        </w:rPr>
        <w:t xml:space="preserve">. </w:t>
      </w:r>
      <w:r w:rsidR="00D304F1">
        <w:rPr>
          <w:lang w:val="en-CA"/>
        </w:rPr>
        <w:t>P</w:t>
      </w:r>
      <w:r w:rsidRPr="00CF1100">
        <w:rPr>
          <w:lang w:val="en-CA"/>
        </w:rPr>
        <w:t xml:space="preserve">articipants </w:t>
      </w:r>
      <w:r>
        <w:rPr>
          <w:lang w:val="en-CA"/>
        </w:rPr>
        <w:t>who solely engage in the W</w:t>
      </w:r>
      <w:r w:rsidRPr="00CF1100">
        <w:rPr>
          <w:lang w:val="en-CA"/>
        </w:rPr>
        <w:t>eb-b</w:t>
      </w:r>
      <w:r w:rsidR="00B9365F">
        <w:rPr>
          <w:lang w:val="en-CA"/>
        </w:rPr>
        <w:t>ased smoking cessation program</w:t>
      </w:r>
      <w:r w:rsidR="00D304F1">
        <w:rPr>
          <w:lang w:val="en-CA"/>
        </w:rPr>
        <w:t xml:space="preserve"> </w:t>
      </w:r>
      <w:r w:rsidR="00B9365F">
        <w:rPr>
          <w:lang w:val="en-CA"/>
        </w:rPr>
        <w:t>(</w:t>
      </w:r>
      <w:r w:rsidRPr="00CF1100">
        <w:rPr>
          <w:lang w:val="en-CA"/>
        </w:rPr>
        <w:t xml:space="preserve">the </w:t>
      </w:r>
      <w:r>
        <w:rPr>
          <w:lang w:val="en-CA"/>
        </w:rPr>
        <w:t>“W</w:t>
      </w:r>
      <w:r w:rsidRPr="00CF1100">
        <w:rPr>
          <w:lang w:val="en-CA"/>
        </w:rPr>
        <w:t>eb</w:t>
      </w:r>
      <w:r w:rsidR="00E732AE">
        <w:rPr>
          <w:lang w:val="en-CA"/>
        </w:rPr>
        <w:t>-</w:t>
      </w:r>
      <w:r w:rsidRPr="00CF1100">
        <w:rPr>
          <w:lang w:val="en-CA"/>
        </w:rPr>
        <w:t>only</w:t>
      </w:r>
      <w:r>
        <w:rPr>
          <w:lang w:val="en-CA"/>
        </w:rPr>
        <w:t>”</w:t>
      </w:r>
      <w:r w:rsidR="00D304F1">
        <w:rPr>
          <w:lang w:val="en-CA"/>
        </w:rPr>
        <w:t xml:space="preserve"> sample</w:t>
      </w:r>
      <w:r w:rsidR="00B9365F">
        <w:rPr>
          <w:lang w:val="en-CA"/>
        </w:rPr>
        <w:t>)</w:t>
      </w:r>
      <w:r w:rsidRPr="00CF1100">
        <w:rPr>
          <w:lang w:val="en-CA"/>
        </w:rPr>
        <w:t xml:space="preserve"> will complete a</w:t>
      </w:r>
      <w:r>
        <w:rPr>
          <w:lang w:val="en-CA"/>
        </w:rPr>
        <w:t xml:space="preserve"> standardized</w:t>
      </w:r>
      <w:r w:rsidRPr="00CF1100">
        <w:rPr>
          <w:lang w:val="en-CA"/>
        </w:rPr>
        <w:t xml:space="preserve"> online survey as part </w:t>
      </w:r>
      <w:r w:rsidR="00E86C10">
        <w:rPr>
          <w:lang w:val="en-CA"/>
        </w:rPr>
        <w:t>of</w:t>
      </w:r>
      <w:r w:rsidR="00580B99">
        <w:rPr>
          <w:lang w:val="en-CA"/>
        </w:rPr>
        <w:t xml:space="preserve"> </w:t>
      </w:r>
      <w:r w:rsidRPr="00CF1100">
        <w:rPr>
          <w:lang w:val="en-CA"/>
        </w:rPr>
        <w:t>the registration process.</w:t>
      </w:r>
      <w:r>
        <w:rPr>
          <w:lang w:val="en-CA"/>
        </w:rPr>
        <w:t xml:space="preserve"> </w:t>
      </w:r>
      <w:r w:rsidRPr="00CF1100">
        <w:rPr>
          <w:lang w:val="en-CA"/>
        </w:rPr>
        <w:t xml:space="preserve">All state quitlines include a standardized set of items, known as the </w:t>
      </w:r>
      <w:r>
        <w:rPr>
          <w:lang w:val="en-CA"/>
        </w:rPr>
        <w:t xml:space="preserve">North American Quitline Consortium’s (NAQC’s) </w:t>
      </w:r>
      <w:r w:rsidRPr="00CF1100">
        <w:rPr>
          <w:lang w:val="en-CA"/>
        </w:rPr>
        <w:t>Minimum Data Set (MDS)</w:t>
      </w:r>
      <w:r>
        <w:rPr>
          <w:lang w:val="en-CA"/>
        </w:rPr>
        <w:t>,</w:t>
      </w:r>
      <w:r w:rsidR="00561E6D">
        <w:rPr>
          <w:lang w:val="en-CA"/>
        </w:rPr>
        <w:t xml:space="preserve"> in their questionnaires </w:t>
      </w:r>
      <w:r w:rsidRPr="00CF1100">
        <w:t>(NAQC, 2009</w:t>
      </w:r>
      <w:r>
        <w:t>a</w:t>
      </w:r>
      <w:r w:rsidRPr="00014D16">
        <w:t>)</w:t>
      </w:r>
      <w:r w:rsidRPr="00014D16">
        <w:rPr>
          <w:lang w:val="en-CA"/>
        </w:rPr>
        <w:t xml:space="preserve">. </w:t>
      </w:r>
      <w:r w:rsidRPr="00CF1100">
        <w:rPr>
          <w:lang w:val="en-CA"/>
        </w:rPr>
        <w:t>The intake questionnaires collect data related to demographics, current tobacco use, intention to quit, and experiences with smoking cessation.</w:t>
      </w:r>
      <w:r>
        <w:rPr>
          <w:lang w:val="en-CA"/>
        </w:rPr>
        <w:t xml:space="preserve"> </w:t>
      </w:r>
      <w:r w:rsidRPr="00CF1100">
        <w:rPr>
          <w:lang w:val="en-CA"/>
        </w:rPr>
        <w:t>These topics are generally accepted as minimally sensitive information</w:t>
      </w:r>
      <w:r w:rsidR="00FF4613">
        <w:rPr>
          <w:rStyle w:val="CommentReference"/>
        </w:rPr>
        <w:t xml:space="preserve">, </w:t>
      </w:r>
      <w:r w:rsidR="00FF4613">
        <w:rPr>
          <w:rStyle w:val="CommentReference"/>
          <w:sz w:val="24"/>
          <w:szCs w:val="24"/>
        </w:rPr>
        <w:t>a</w:t>
      </w:r>
      <w:r>
        <w:rPr>
          <w:lang w:val="en-CA"/>
        </w:rPr>
        <w:t xml:space="preserve">s </w:t>
      </w:r>
      <w:r w:rsidR="00FF4613">
        <w:rPr>
          <w:lang w:val="en-CA"/>
        </w:rPr>
        <w:t>recommended by the MDS</w:t>
      </w:r>
      <w:r w:rsidR="00D304F1">
        <w:t xml:space="preserve">. </w:t>
      </w:r>
      <w:r w:rsidRPr="00CF1100">
        <w:rPr>
          <w:lang w:val="en-CA"/>
        </w:rPr>
        <w:t xml:space="preserve">While the intake measures included on </w:t>
      </w:r>
      <w:r>
        <w:rPr>
          <w:lang w:val="en-CA"/>
        </w:rPr>
        <w:t>W</w:t>
      </w:r>
      <w:r w:rsidRPr="00CF1100">
        <w:rPr>
          <w:lang w:val="en-CA"/>
        </w:rPr>
        <w:t>eb-based programs have not been as f</w:t>
      </w:r>
      <w:r w:rsidR="00D304F1">
        <w:rPr>
          <w:lang w:val="en-CA"/>
        </w:rPr>
        <w:t>ormally standardized as the MDS</w:t>
      </w:r>
      <w:r w:rsidR="00580B99">
        <w:rPr>
          <w:lang w:val="en-CA"/>
        </w:rPr>
        <w:t>,</w:t>
      </w:r>
      <w:r w:rsidRPr="00CF1100">
        <w:rPr>
          <w:lang w:val="en-CA"/>
        </w:rPr>
        <w:t xml:space="preserve"> most of the intake questionnaires include a series of comparable, commonly used survey items formatted specifically for online data collection.</w:t>
      </w:r>
      <w:r>
        <w:rPr>
          <w:lang w:val="en-CA"/>
        </w:rPr>
        <w:t xml:space="preserve"> </w:t>
      </w:r>
      <w:r w:rsidR="00FF4613">
        <w:rPr>
          <w:lang w:val="en-CA"/>
        </w:rPr>
        <w:t xml:space="preserve">MDS intake items </w:t>
      </w:r>
      <w:r>
        <w:rPr>
          <w:lang w:val="en-CA"/>
        </w:rPr>
        <w:t>are</w:t>
      </w:r>
      <w:r w:rsidRPr="00CF1100">
        <w:rPr>
          <w:lang w:val="en-CA"/>
        </w:rPr>
        <w:t xml:space="preserve"> included </w:t>
      </w:r>
      <w:r w:rsidRPr="0048474B">
        <w:rPr>
          <w:lang w:val="en-CA"/>
        </w:rPr>
        <w:t xml:space="preserve">in </w:t>
      </w:r>
      <w:r w:rsidR="00B713F1" w:rsidRPr="00561E6D">
        <w:rPr>
          <w:b/>
          <w:lang w:val="en-CA"/>
        </w:rPr>
        <w:t xml:space="preserve">Appendix </w:t>
      </w:r>
      <w:r w:rsidR="0048474B" w:rsidRPr="00561E6D">
        <w:rPr>
          <w:b/>
          <w:lang w:val="en-CA"/>
        </w:rPr>
        <w:t>5</w:t>
      </w:r>
      <w:r w:rsidR="00AA129C">
        <w:rPr>
          <w:b/>
          <w:lang w:val="en-CA"/>
        </w:rPr>
        <w:t>a</w:t>
      </w:r>
      <w:r w:rsidR="00F2305F" w:rsidRPr="0048474B">
        <w:rPr>
          <w:lang w:val="en-CA"/>
        </w:rPr>
        <w:t>.</w:t>
      </w:r>
      <w:r>
        <w:rPr>
          <w:lang w:val="en-CA"/>
        </w:rPr>
        <w:t xml:space="preserve"> </w:t>
      </w:r>
    </w:p>
    <w:p w:rsidR="00E32F5E" w:rsidRPr="005516D0" w:rsidRDefault="0084464B" w:rsidP="00E32F5E">
      <w:pPr>
        <w:pStyle w:val="Heading5"/>
        <w:rPr>
          <w:rFonts w:ascii="Times New Roman" w:hAnsi="Times New Roman" w:cs="Times New Roman"/>
          <w:sz w:val="24"/>
          <w:szCs w:val="24"/>
          <w:lang w:val="en-CA"/>
        </w:rPr>
      </w:pPr>
      <w:r w:rsidRPr="0084464B">
        <w:rPr>
          <w:rFonts w:ascii="Times New Roman" w:hAnsi="Times New Roman" w:cs="Times New Roman"/>
          <w:sz w:val="24"/>
          <w:szCs w:val="24"/>
          <w:lang w:val="en-CA"/>
        </w:rPr>
        <w:t>Service Utilization Data</w:t>
      </w:r>
    </w:p>
    <w:p w:rsidR="00E32F5E" w:rsidRPr="00CF1100" w:rsidRDefault="00E32F5E" w:rsidP="00E32F5E">
      <w:pPr>
        <w:pStyle w:val="bodytext0"/>
        <w:rPr>
          <w:lang w:val="en-CA"/>
        </w:rPr>
      </w:pPr>
      <w:r w:rsidRPr="00CF1100">
        <w:rPr>
          <w:lang w:val="en-CA"/>
        </w:rPr>
        <w:t>Utilization data (e.g.</w:t>
      </w:r>
      <w:r>
        <w:rPr>
          <w:lang w:val="en-CA"/>
        </w:rPr>
        <w:t>,</w:t>
      </w:r>
      <w:r w:rsidRPr="00CF1100">
        <w:rPr>
          <w:lang w:val="en-CA"/>
        </w:rPr>
        <w:t xml:space="preserve"> number of calls to the quitline, length of calls, log-ins to the </w:t>
      </w:r>
      <w:r>
        <w:rPr>
          <w:lang w:val="en-CA"/>
        </w:rPr>
        <w:t>W</w:t>
      </w:r>
      <w:r w:rsidRPr="00CF1100">
        <w:rPr>
          <w:lang w:val="en-CA"/>
        </w:rPr>
        <w:t>eb)</w:t>
      </w:r>
      <w:proofErr w:type="gramStart"/>
      <w:r>
        <w:rPr>
          <w:lang w:val="en-CA"/>
        </w:rPr>
        <w:t>,</w:t>
      </w:r>
      <w:proofErr w:type="gramEnd"/>
      <w:r w:rsidRPr="00CF1100">
        <w:rPr>
          <w:lang w:val="en-CA"/>
        </w:rPr>
        <w:t xml:space="preserve"> metrics regularly collected by these programs, will be obtained from the quitline and </w:t>
      </w:r>
      <w:r>
        <w:rPr>
          <w:lang w:val="en-CA"/>
        </w:rPr>
        <w:t>W</w:t>
      </w:r>
      <w:r w:rsidRPr="00CF1100">
        <w:rPr>
          <w:lang w:val="en-CA"/>
        </w:rPr>
        <w:t>eb service providers.</w:t>
      </w:r>
      <w:r>
        <w:rPr>
          <w:lang w:val="en-CA"/>
        </w:rPr>
        <w:t xml:space="preserve"> </w:t>
      </w:r>
      <w:r w:rsidRPr="00CF1100">
        <w:rPr>
          <w:lang w:val="en-CA"/>
        </w:rPr>
        <w:t>These measures will be included in the intake questionnaire data files</w:t>
      </w:r>
      <w:r>
        <w:rPr>
          <w:lang w:val="en-CA"/>
        </w:rPr>
        <w:t>,</w:t>
      </w:r>
      <w:r w:rsidRPr="00CF1100">
        <w:rPr>
          <w:lang w:val="en-CA"/>
        </w:rPr>
        <w:t xml:space="preserve"> or they will be stored in separate files linked by a participant ID number</w:t>
      </w:r>
      <w:r>
        <w:rPr>
          <w:lang w:val="en-CA"/>
        </w:rPr>
        <w:t xml:space="preserve"> created and maintained throughout the data collection phase to ensure these repeated observations are linked to the individual</w:t>
      </w:r>
      <w:r w:rsidRPr="00CF1100">
        <w:rPr>
          <w:lang w:val="en-CA"/>
        </w:rPr>
        <w:t>.</w:t>
      </w:r>
      <w:r>
        <w:rPr>
          <w:lang w:val="en-CA"/>
        </w:rPr>
        <w:t xml:space="preserve"> </w:t>
      </w:r>
    </w:p>
    <w:p w:rsidR="00E32F5E" w:rsidRPr="005516D0" w:rsidRDefault="0084464B" w:rsidP="00E32F5E">
      <w:pPr>
        <w:pStyle w:val="Heading5"/>
        <w:rPr>
          <w:rFonts w:ascii="Times New Roman" w:hAnsi="Times New Roman" w:cs="Times New Roman"/>
          <w:lang w:val="en-CA"/>
        </w:rPr>
      </w:pPr>
      <w:r w:rsidRPr="0084464B">
        <w:rPr>
          <w:rFonts w:ascii="Times New Roman" w:hAnsi="Times New Roman" w:cs="Times New Roman"/>
          <w:lang w:val="en-CA"/>
        </w:rPr>
        <w:t>Seven-Month Follow-up Questionnaire</w:t>
      </w:r>
    </w:p>
    <w:p w:rsidR="00FD1187" w:rsidRDefault="00E32F5E" w:rsidP="00FD1187">
      <w:pPr>
        <w:spacing w:before="100" w:beforeAutospacing="1" w:after="100" w:afterAutospacing="1" w:line="360" w:lineRule="auto"/>
        <w:rPr>
          <w:lang w:val="en-CA"/>
        </w:rPr>
      </w:pPr>
      <w:r>
        <w:rPr>
          <w:lang w:val="en-CA"/>
        </w:rPr>
        <w:t>Where available</w:t>
      </w:r>
      <w:r w:rsidR="00D304F1">
        <w:rPr>
          <w:lang w:val="en-CA"/>
        </w:rPr>
        <w:t>,</w:t>
      </w:r>
      <w:r>
        <w:rPr>
          <w:lang w:val="en-CA"/>
        </w:rPr>
        <w:t xml:space="preserve"> </w:t>
      </w:r>
      <w:r w:rsidR="00C56175">
        <w:t xml:space="preserve">investigators </w:t>
      </w:r>
      <w:r>
        <w:rPr>
          <w:lang w:val="en-CA"/>
        </w:rPr>
        <w:t>will work with TCPs to collect already-existing 7-month follow-up data that is concordant with study goals and timelines. Should this information not be available</w:t>
      </w:r>
      <w:r w:rsidR="00580B99">
        <w:rPr>
          <w:lang w:val="en-CA"/>
        </w:rPr>
        <w:t>,</w:t>
      </w:r>
      <w:r>
        <w:rPr>
          <w:lang w:val="en-CA"/>
        </w:rPr>
        <w:t xml:space="preserve"> </w:t>
      </w:r>
      <w:r w:rsidR="00C56175">
        <w:t xml:space="preserve">investigators </w:t>
      </w:r>
      <w:r w:rsidRPr="00CF1100">
        <w:rPr>
          <w:lang w:val="en-CA"/>
        </w:rPr>
        <w:t xml:space="preserve">will </w:t>
      </w:r>
      <w:r>
        <w:rPr>
          <w:lang w:val="en-CA"/>
        </w:rPr>
        <w:t xml:space="preserve">need to </w:t>
      </w:r>
      <w:r w:rsidRPr="00CF1100">
        <w:rPr>
          <w:lang w:val="en-CA"/>
        </w:rPr>
        <w:t xml:space="preserve">conduct </w:t>
      </w:r>
      <w:r>
        <w:rPr>
          <w:lang w:val="en-CA"/>
        </w:rPr>
        <w:t>the</w:t>
      </w:r>
      <w:r w:rsidRPr="00CF1100">
        <w:rPr>
          <w:lang w:val="en-CA"/>
        </w:rPr>
        <w:t xml:space="preserve"> data collection for the 7-month follow-up questionnaire</w:t>
      </w:r>
      <w:r>
        <w:rPr>
          <w:lang w:val="en-CA"/>
        </w:rPr>
        <w:t xml:space="preserve"> and </w:t>
      </w:r>
      <w:r w:rsidRPr="00B713F1">
        <w:rPr>
          <w:lang w:val="en-CA"/>
        </w:rPr>
        <w:t xml:space="preserve">coordinate with TCPs and their service providers to replace or supplement </w:t>
      </w:r>
      <w:r w:rsidRPr="00B713F1">
        <w:rPr>
          <w:lang w:val="en-CA"/>
        </w:rPr>
        <w:lastRenderedPageBreak/>
        <w:t xml:space="preserve">their normal 7-month follow-up efforts </w:t>
      </w:r>
      <w:r w:rsidR="0048474B">
        <w:rPr>
          <w:lang w:val="en-CA"/>
        </w:rPr>
        <w:t xml:space="preserve">(see </w:t>
      </w:r>
      <w:r w:rsidR="0084464B" w:rsidRPr="0084464B">
        <w:rPr>
          <w:b/>
          <w:lang w:val="en-CA"/>
        </w:rPr>
        <w:t>Appendix 6</w:t>
      </w:r>
      <w:r w:rsidR="00027031">
        <w:rPr>
          <w:b/>
          <w:lang w:val="en-CA"/>
        </w:rPr>
        <w:t>a and 6b</w:t>
      </w:r>
      <w:r w:rsidR="00F2305F" w:rsidRPr="00F2305F">
        <w:rPr>
          <w:lang w:val="en-CA"/>
        </w:rPr>
        <w:t xml:space="preserve"> for the </w:t>
      </w:r>
      <w:r w:rsidR="0048474B">
        <w:rPr>
          <w:lang w:val="en-CA"/>
        </w:rPr>
        <w:t xml:space="preserve">follow-up </w:t>
      </w:r>
      <w:r w:rsidR="00F2305F" w:rsidRPr="00F2305F">
        <w:rPr>
          <w:lang w:val="en-CA"/>
        </w:rPr>
        <w:t>survey instrument</w:t>
      </w:r>
      <w:r w:rsidR="00027031">
        <w:rPr>
          <w:lang w:val="en-CA"/>
        </w:rPr>
        <w:t xml:space="preserve">s for </w:t>
      </w:r>
      <w:r w:rsidR="00AA129C">
        <w:rPr>
          <w:lang w:val="en-CA"/>
        </w:rPr>
        <w:t>quitline</w:t>
      </w:r>
      <w:r w:rsidR="00027031">
        <w:rPr>
          <w:lang w:val="en-CA"/>
        </w:rPr>
        <w:t xml:space="preserve"> and Web-based clients, respectively</w:t>
      </w:r>
      <w:r w:rsidR="00F2305F" w:rsidRPr="00F2305F">
        <w:rPr>
          <w:lang w:val="en-CA"/>
        </w:rPr>
        <w:t>)</w:t>
      </w:r>
      <w:r w:rsidRPr="00B713F1">
        <w:rPr>
          <w:lang w:val="en-CA"/>
        </w:rPr>
        <w:t>. This</w:t>
      </w:r>
      <w:r w:rsidRPr="00CF1100">
        <w:rPr>
          <w:lang w:val="en-CA"/>
        </w:rPr>
        <w:t xml:space="preserve"> will be the only new, original data collection obtained in this study.</w:t>
      </w:r>
      <w:r>
        <w:rPr>
          <w:lang w:val="en-CA"/>
        </w:rPr>
        <w:t xml:space="preserve"> This approach will minimize the burden of data collection on individuals, TCPs, and </w:t>
      </w:r>
      <w:r w:rsidR="00C56175">
        <w:t xml:space="preserve">investigators </w:t>
      </w:r>
      <w:r>
        <w:rPr>
          <w:lang w:val="en-CA"/>
        </w:rPr>
        <w:t>while also ensuring sufficient information to addres</w:t>
      </w:r>
      <w:r w:rsidR="00250EB1">
        <w:rPr>
          <w:lang w:val="en-CA"/>
        </w:rPr>
        <w:t xml:space="preserve">s study questions is obtained. </w:t>
      </w:r>
    </w:p>
    <w:p w:rsidR="00FD1187" w:rsidRDefault="00C56175" w:rsidP="00FD1187">
      <w:pPr>
        <w:spacing w:before="100" w:beforeAutospacing="1" w:after="100" w:afterAutospacing="1" w:line="360" w:lineRule="auto"/>
        <w:ind w:firstLine="720"/>
      </w:pPr>
      <w:r>
        <w:rPr>
          <w:lang w:val="en-CA"/>
        </w:rPr>
        <w:t xml:space="preserve">CDC and its contractor, </w:t>
      </w:r>
      <w:r w:rsidR="00E32F5E" w:rsidRPr="00CF1100">
        <w:rPr>
          <w:lang w:val="en-CA"/>
        </w:rPr>
        <w:t>RTI ha</w:t>
      </w:r>
      <w:r>
        <w:rPr>
          <w:lang w:val="en-CA"/>
        </w:rPr>
        <w:t>ve</w:t>
      </w:r>
      <w:r w:rsidR="00E32F5E" w:rsidRPr="00CF1100">
        <w:rPr>
          <w:lang w:val="en-CA"/>
        </w:rPr>
        <w:t xml:space="preserve"> extensive experience in data collection and ha</w:t>
      </w:r>
      <w:r>
        <w:rPr>
          <w:lang w:val="en-CA"/>
        </w:rPr>
        <w:t>ve</w:t>
      </w:r>
      <w:r w:rsidR="00E32F5E" w:rsidRPr="00CF1100">
        <w:rPr>
          <w:lang w:val="en-CA"/>
        </w:rPr>
        <w:t xml:space="preserve"> safeguards in place to maintain the privacy of all collected data.</w:t>
      </w:r>
      <w:r w:rsidR="00FD1187" w:rsidRPr="00FD1187">
        <w:t xml:space="preserve"> </w:t>
      </w:r>
      <w:r w:rsidR="005516D0">
        <w:t>The informed consent process will describe privacy safeguards to respondents.</w:t>
      </w:r>
      <w:r w:rsidR="00FD1187">
        <w:t xml:space="preserve"> The primary data file with respondent’s answers will not include names, phone numbers, addresses or other identifying information that could be associated with respondents. All respondents will be assigned a unique study identification number, which will be the only means to distinguish respondents in the primary data file.</w:t>
      </w:r>
    </w:p>
    <w:p w:rsidR="00FD1187" w:rsidRDefault="00FD1187" w:rsidP="00FD1187">
      <w:pPr>
        <w:spacing w:before="100" w:beforeAutospacing="1" w:after="100" w:afterAutospacing="1" w:line="360" w:lineRule="auto"/>
        <w:ind w:firstLine="720"/>
      </w:pPr>
      <w:r>
        <w:t xml:space="preserve">Names, addresses, </w:t>
      </w:r>
      <w:r w:rsidR="00E732AE">
        <w:t xml:space="preserve">email addresses, </w:t>
      </w:r>
      <w:r>
        <w:t xml:space="preserve">or phone numbers associated with respondents will only be used to </w:t>
      </w:r>
      <w:r w:rsidR="00E732AE">
        <w:t xml:space="preserve">contact respondents for the follow-up survey or </w:t>
      </w:r>
      <w:r>
        <w:t>send incentive payments to respondents who agree to provide this information. This contact information will be maintained in a separate data file from the primary data f</w:t>
      </w:r>
      <w:r w:rsidR="00AA129C">
        <w:t>ile</w:t>
      </w:r>
      <w:r>
        <w:t xml:space="preserve"> so that respondents’ answers cannot be matched to identifying information. Access to identifying information will only be granted to project staff </w:t>
      </w:r>
      <w:proofErr w:type="gramStart"/>
      <w:r>
        <w:t>who</w:t>
      </w:r>
      <w:proofErr w:type="gramEnd"/>
      <w:r>
        <w:t xml:space="preserve"> will be required to use this information to fulfill the study protocol.</w:t>
      </w:r>
    </w:p>
    <w:p w:rsidR="00E32F5E" w:rsidRPr="00FD1187" w:rsidRDefault="00FD1187" w:rsidP="00FD1187">
      <w:pPr>
        <w:spacing w:before="100" w:beforeAutospacing="1" w:after="100" w:afterAutospacing="1" w:line="360" w:lineRule="auto"/>
        <w:ind w:firstLine="720"/>
      </w:pPr>
      <w:r>
        <w:t xml:space="preserve">All data will be stored on a secure RTI network server which can only be accessed by authorized project staff. No hard copy forms with respondent information will be generated. Files that include identifying information will be password-protected so that only appropriate members of the project team can access these data. All identifying information will be destroyed at the conclusion of the project. </w:t>
      </w:r>
      <w:r w:rsidR="00E32F5E" w:rsidRPr="00CF1100">
        <w:rPr>
          <w:lang w:val="en-CA"/>
        </w:rPr>
        <w:t xml:space="preserve">In addition, </w:t>
      </w:r>
      <w:r w:rsidR="00C56175">
        <w:t xml:space="preserve">investigators </w:t>
      </w:r>
      <w:r w:rsidR="00E32F5E" w:rsidRPr="00CF1100">
        <w:rPr>
          <w:lang w:val="en-CA"/>
        </w:rPr>
        <w:t>will follow protocols laid out by the National Center for Health Statistics regarding the minimum cell sizes for reporting findings</w:t>
      </w:r>
      <w:r>
        <w:rPr>
          <w:lang w:val="en-CA"/>
        </w:rPr>
        <w:t xml:space="preserve"> to protect identifying participants</w:t>
      </w:r>
      <w:r w:rsidR="00250EB1">
        <w:rPr>
          <w:lang w:val="en-CA"/>
        </w:rPr>
        <w:t xml:space="preserve"> due to small subsample sizes.</w:t>
      </w:r>
      <w:r w:rsidR="00E32F5E">
        <w:rPr>
          <w:lang w:val="en-CA"/>
        </w:rPr>
        <w:t xml:space="preserve"> </w:t>
      </w:r>
    </w:p>
    <w:p w:rsidR="00E32F5E" w:rsidRPr="00CF1100" w:rsidRDefault="00E32F5E" w:rsidP="00E32F5E">
      <w:pPr>
        <w:pStyle w:val="bodytext0"/>
        <w:rPr>
          <w:lang w:val="en-CA"/>
        </w:rPr>
      </w:pPr>
      <w:r>
        <w:t>Should data collection be necessary f</w:t>
      </w:r>
      <w:r w:rsidR="00D304F1">
        <w:t>or the follow-up survey</w:t>
      </w:r>
      <w:r w:rsidR="00AA129C">
        <w:t>,</w:t>
      </w:r>
      <w:r w:rsidRPr="00CF1100">
        <w:t xml:space="preserve"> </w:t>
      </w:r>
      <w:r w:rsidR="00C56175">
        <w:t xml:space="preserve">investigators </w:t>
      </w:r>
      <w:r w:rsidRPr="00CF1100">
        <w:t>ha</w:t>
      </w:r>
      <w:r w:rsidR="00C56175">
        <w:t>ve</w:t>
      </w:r>
      <w:r w:rsidRPr="00CF1100">
        <w:t xml:space="preserve"> built mail, e-mail, and telephone prompting steps into the approach to </w:t>
      </w:r>
      <w:r w:rsidR="00D304F1">
        <w:t>maximize</w:t>
      </w:r>
      <w:r w:rsidRPr="00CF1100">
        <w:t xml:space="preserve"> response rates. </w:t>
      </w:r>
      <w:r>
        <w:t xml:space="preserve">In states that are not collecting follow-up information it will be requisite that </w:t>
      </w:r>
      <w:r w:rsidR="00C56175">
        <w:t xml:space="preserve">investigators </w:t>
      </w:r>
      <w:r>
        <w:t xml:space="preserve">work with the TCP and vendor to ensure participants recruited during intake are willing and prepared </w:t>
      </w:r>
      <w:r>
        <w:lastRenderedPageBreak/>
        <w:t xml:space="preserve">to participate in follow-up activities. </w:t>
      </w:r>
      <w:r w:rsidRPr="00CF1100">
        <w:t>A dual-purpose Web-based CATI system for the follow-up survey will allow respondents the option to participate by either Web or telephone. To maximize the advantages of the Web survey</w:t>
      </w:r>
      <w:r>
        <w:t xml:space="preserve"> and reduce burden on respondents</w:t>
      </w:r>
      <w:r w:rsidRPr="00CF1100">
        <w:t xml:space="preserve">, the Web version of the questionnaire will be released to respondents </w:t>
      </w:r>
      <w:r w:rsidR="002E76A6">
        <w:t>two</w:t>
      </w:r>
      <w:r w:rsidRPr="00CF1100">
        <w:t xml:space="preserve"> weeks before initiating any telephone attempts. This less expensive</w:t>
      </w:r>
      <w:r>
        <w:t xml:space="preserve">, </w:t>
      </w:r>
      <w:r w:rsidR="00D304F1">
        <w:t xml:space="preserve">less </w:t>
      </w:r>
      <w:r>
        <w:t xml:space="preserve">intrusive, and </w:t>
      </w:r>
      <w:r w:rsidR="00D304F1">
        <w:t xml:space="preserve">less </w:t>
      </w:r>
      <w:r>
        <w:t>burdensome to the individual data collection method</w:t>
      </w:r>
      <w:r w:rsidRPr="00CF1100">
        <w:t xml:space="preserve"> can be used during the first </w:t>
      </w:r>
      <w:r w:rsidR="002E76A6">
        <w:t>two</w:t>
      </w:r>
      <w:r w:rsidRPr="00CF1100">
        <w:t xml:space="preserve"> weeks of each sample release to collect data from cooperative individuals. Offering a Web-based version of the follow-up survey should increase the likelihood of achieving the target response rate by providing a data collection mode that matches the preferences of quitline users who enrolled via the Internet. In general, using multiple survey modes in a sequential manner, like </w:t>
      </w:r>
      <w:r w:rsidR="00AA129C">
        <w:t>investigators</w:t>
      </w:r>
      <w:r w:rsidRPr="00CF1100">
        <w:t xml:space="preserve"> propose, can both control costs and reduce nonresponse error (Biemer and Lyberg, 2003; Groves et al., 2009).</w:t>
      </w:r>
    </w:p>
    <w:p w:rsidR="004B1AE8" w:rsidRDefault="00592720" w:rsidP="004B1AE8">
      <w:pPr>
        <w:pStyle w:val="bodytext0"/>
        <w:rPr>
          <w:rFonts w:ascii="TimesNewRomanPSMT" w:hAnsi="TimesNewRomanPSMT" w:cs="TimesNewRomanPSMT"/>
        </w:rPr>
      </w:pPr>
      <w:r w:rsidRPr="000B3057">
        <w:rPr>
          <w:b/>
          <w:bCs/>
          <w:i/>
          <w:iCs/>
        </w:rPr>
        <w:t xml:space="preserve">Exhibit </w:t>
      </w:r>
      <w:r w:rsidR="00024B93">
        <w:rPr>
          <w:b/>
          <w:bCs/>
          <w:i/>
          <w:iCs/>
        </w:rPr>
        <w:t>2</w:t>
      </w:r>
      <w:r>
        <w:rPr>
          <w:b/>
          <w:bCs/>
          <w:i/>
          <w:iCs/>
        </w:rPr>
        <w:t xml:space="preserve"> </w:t>
      </w:r>
      <w:r>
        <w:rPr>
          <w:rFonts w:ascii="TimesNewRomanPSMT" w:hAnsi="TimesNewRomanPSMT" w:cs="TimesNewRomanPSMT"/>
        </w:rPr>
        <w:t xml:space="preserve">provides an overview of </w:t>
      </w:r>
      <w:r w:rsidR="00A95965">
        <w:rPr>
          <w:rFonts w:ascii="TimesNewRomanPSMT" w:hAnsi="TimesNewRomanPSMT" w:cs="TimesNewRomanPSMT"/>
        </w:rPr>
        <w:t xml:space="preserve">data collection for </w:t>
      </w:r>
      <w:r>
        <w:rPr>
          <w:rFonts w:ascii="TimesNewRomanPSMT" w:hAnsi="TimesNewRomanPSMT" w:cs="TimesNewRomanPSMT"/>
        </w:rPr>
        <w:t xml:space="preserve">the Web and </w:t>
      </w:r>
      <w:bookmarkStart w:id="23" w:name="_Toc146088174"/>
      <w:bookmarkStart w:id="24" w:name="_Toc146089482"/>
      <w:bookmarkStart w:id="25" w:name="_Toc260212692"/>
      <w:r w:rsidR="00A95965">
        <w:rPr>
          <w:rFonts w:ascii="TimesNewRomanPSMT" w:hAnsi="TimesNewRomanPSMT" w:cs="TimesNewRomanPSMT"/>
        </w:rPr>
        <w:t>telephone follow-up survey</w:t>
      </w:r>
      <w:r>
        <w:rPr>
          <w:rFonts w:ascii="TimesNewRomanPSMT" w:hAnsi="TimesNewRomanPSMT" w:cs="TimesNewRomanPSMT"/>
        </w:rPr>
        <w:t>.</w:t>
      </w:r>
    </w:p>
    <w:p w:rsidR="00592720" w:rsidRPr="00C92AA4" w:rsidRDefault="00592720" w:rsidP="00A95965">
      <w:pPr>
        <w:pStyle w:val="FigureTitle"/>
      </w:pPr>
      <w:bookmarkStart w:id="26" w:name="_Toc292714092"/>
      <w:proofErr w:type="gramStart"/>
      <w:r>
        <w:t xml:space="preserve">Exhibit </w:t>
      </w:r>
      <w:r w:rsidR="000B3057">
        <w:t>2</w:t>
      </w:r>
      <w:r w:rsidRPr="00C92AA4">
        <w:t>.</w:t>
      </w:r>
      <w:proofErr w:type="gramEnd"/>
      <w:r w:rsidR="00035A1F">
        <w:t xml:space="preserve"> </w:t>
      </w:r>
      <w:bookmarkEnd w:id="23"/>
      <w:bookmarkEnd w:id="24"/>
      <w:bookmarkEnd w:id="25"/>
      <w:r>
        <w:t xml:space="preserve">Cessation Intervention </w:t>
      </w:r>
      <w:r w:rsidR="00147108">
        <w:t>Component</w:t>
      </w:r>
      <w:r>
        <w:t>:</w:t>
      </w:r>
      <w:r w:rsidR="00F51AAD">
        <w:t xml:space="preserve"> </w:t>
      </w:r>
      <w:r w:rsidRPr="00C92AA4">
        <w:t>Proposed Seven-Month Follow-Up Survey Data Collection Flow</w:t>
      </w:r>
      <w:bookmarkEnd w:id="26"/>
      <w:r w:rsidRPr="00C92AA4">
        <w:t xml:space="preserve"> </w:t>
      </w:r>
    </w:p>
    <w:tbl>
      <w:tblPr>
        <w:tblW w:w="0" w:type="auto"/>
        <w:tblBorders>
          <w:top w:val="single" w:sz="12" w:space="0" w:color="000000"/>
          <w:bottom w:val="single" w:sz="12" w:space="0" w:color="000000"/>
          <w:insideH w:val="single" w:sz="6" w:space="0" w:color="000000"/>
        </w:tblBorders>
        <w:tblLook w:val="04A0"/>
      </w:tblPr>
      <w:tblGrid>
        <w:gridCol w:w="1908"/>
        <w:gridCol w:w="3960"/>
        <w:gridCol w:w="2970"/>
      </w:tblGrid>
      <w:tr w:rsidR="00592720" w:rsidRPr="00B273A9" w:rsidTr="00B273A9">
        <w:tc>
          <w:tcPr>
            <w:tcW w:w="1908" w:type="dxa"/>
            <w:tcBorders>
              <w:bottom w:val="single" w:sz="12" w:space="0" w:color="000000"/>
            </w:tcBorders>
            <w:shd w:val="clear" w:color="auto" w:fill="auto"/>
            <w:vAlign w:val="bottom"/>
          </w:tcPr>
          <w:p w:rsidR="00592720" w:rsidRPr="00B273A9" w:rsidRDefault="00592720" w:rsidP="009D0976">
            <w:pPr>
              <w:pStyle w:val="Tabletext"/>
              <w:rPr>
                <w:b/>
                <w:bCs w:val="0"/>
                <w:color w:val="000000"/>
              </w:rPr>
            </w:pPr>
            <w:r w:rsidRPr="00B273A9">
              <w:rPr>
                <w:b/>
                <w:bCs w:val="0"/>
                <w:color w:val="000000"/>
              </w:rPr>
              <w:t>Data Collection Phase</w:t>
            </w:r>
          </w:p>
        </w:tc>
        <w:tc>
          <w:tcPr>
            <w:tcW w:w="3960" w:type="dxa"/>
            <w:tcBorders>
              <w:bottom w:val="single" w:sz="12" w:space="0" w:color="000000"/>
            </w:tcBorders>
            <w:shd w:val="clear" w:color="auto" w:fill="auto"/>
            <w:vAlign w:val="bottom"/>
          </w:tcPr>
          <w:p w:rsidR="00592720" w:rsidRPr="00B273A9" w:rsidRDefault="00592720" w:rsidP="009D0976">
            <w:pPr>
              <w:pStyle w:val="Tabletext"/>
              <w:rPr>
                <w:b/>
                <w:bCs w:val="0"/>
                <w:color w:val="000000"/>
              </w:rPr>
            </w:pPr>
            <w:r w:rsidRPr="00B273A9">
              <w:rPr>
                <w:b/>
                <w:bCs w:val="0"/>
                <w:color w:val="000000"/>
              </w:rPr>
              <w:t>Data Collection Stage</w:t>
            </w:r>
          </w:p>
        </w:tc>
        <w:tc>
          <w:tcPr>
            <w:tcW w:w="2970" w:type="dxa"/>
            <w:tcBorders>
              <w:bottom w:val="single" w:sz="12" w:space="0" w:color="000000"/>
            </w:tcBorders>
            <w:shd w:val="clear" w:color="auto" w:fill="auto"/>
            <w:vAlign w:val="bottom"/>
          </w:tcPr>
          <w:p w:rsidR="00592720" w:rsidRPr="00B273A9" w:rsidRDefault="00592720" w:rsidP="009D0976">
            <w:pPr>
              <w:pStyle w:val="Tabletext"/>
              <w:rPr>
                <w:b/>
                <w:bCs w:val="0"/>
                <w:color w:val="000000"/>
              </w:rPr>
            </w:pPr>
            <w:r w:rsidRPr="00B273A9">
              <w:rPr>
                <w:b/>
                <w:bCs w:val="0"/>
                <w:color w:val="000000"/>
              </w:rPr>
              <w:t>Projected Maximum Number of Cases</w:t>
            </w:r>
          </w:p>
        </w:tc>
      </w:tr>
      <w:tr w:rsidR="00592720" w:rsidRPr="009D0976" w:rsidTr="00B273A9">
        <w:tc>
          <w:tcPr>
            <w:tcW w:w="1908" w:type="dxa"/>
            <w:vMerge w:val="restart"/>
            <w:shd w:val="clear" w:color="auto" w:fill="auto"/>
          </w:tcPr>
          <w:p w:rsidR="00592720" w:rsidRPr="00B273A9" w:rsidRDefault="00592720" w:rsidP="009D0976">
            <w:pPr>
              <w:pStyle w:val="Tabletext"/>
            </w:pPr>
            <w:r w:rsidRPr="00B273A9">
              <w:t>Phase 1</w:t>
            </w:r>
          </w:p>
        </w:tc>
        <w:tc>
          <w:tcPr>
            <w:tcW w:w="3960" w:type="dxa"/>
            <w:shd w:val="clear" w:color="auto" w:fill="auto"/>
          </w:tcPr>
          <w:p w:rsidR="00592720" w:rsidRPr="00B273A9" w:rsidRDefault="00592720" w:rsidP="009D0976">
            <w:pPr>
              <w:pStyle w:val="Tabletext"/>
            </w:pPr>
            <w:r w:rsidRPr="00B273A9">
              <w:t>Mail lead letter</w:t>
            </w:r>
          </w:p>
        </w:tc>
        <w:tc>
          <w:tcPr>
            <w:tcW w:w="2970" w:type="dxa"/>
            <w:shd w:val="clear" w:color="auto" w:fill="auto"/>
          </w:tcPr>
          <w:p w:rsidR="00592720" w:rsidRPr="00B273A9" w:rsidRDefault="00592720" w:rsidP="009D0976">
            <w:pPr>
              <w:pStyle w:val="Tabletext"/>
            </w:pPr>
            <w:r w:rsidRPr="00B273A9">
              <w:t>16,000</w:t>
            </w:r>
          </w:p>
        </w:tc>
      </w:tr>
      <w:tr w:rsidR="00592720" w:rsidRPr="009D0976" w:rsidTr="00B273A9">
        <w:tc>
          <w:tcPr>
            <w:tcW w:w="1908" w:type="dxa"/>
            <w:vMerge/>
            <w:shd w:val="clear" w:color="auto" w:fill="auto"/>
          </w:tcPr>
          <w:p w:rsidR="00592720" w:rsidRPr="00B273A9" w:rsidRDefault="00592720" w:rsidP="009D0976">
            <w:pPr>
              <w:pStyle w:val="Tabletext"/>
            </w:pPr>
          </w:p>
        </w:tc>
        <w:tc>
          <w:tcPr>
            <w:tcW w:w="3960" w:type="dxa"/>
            <w:shd w:val="clear" w:color="auto" w:fill="auto"/>
          </w:tcPr>
          <w:p w:rsidR="00592720" w:rsidRPr="00B273A9" w:rsidRDefault="00237701" w:rsidP="009D0976">
            <w:pPr>
              <w:pStyle w:val="Tabletext"/>
            </w:pPr>
            <w:r>
              <w:t>Early 2-</w:t>
            </w:r>
            <w:r w:rsidR="00592720" w:rsidRPr="00B273A9">
              <w:t>week response period for Internet self-administration only</w:t>
            </w:r>
          </w:p>
        </w:tc>
        <w:tc>
          <w:tcPr>
            <w:tcW w:w="2970" w:type="dxa"/>
            <w:shd w:val="clear" w:color="auto" w:fill="auto"/>
          </w:tcPr>
          <w:p w:rsidR="00592720" w:rsidRPr="00B273A9" w:rsidRDefault="00592720" w:rsidP="009D0976">
            <w:pPr>
              <w:pStyle w:val="Tabletext"/>
            </w:pPr>
            <w:r w:rsidRPr="00B273A9">
              <w:t>1,120</w:t>
            </w:r>
          </w:p>
        </w:tc>
      </w:tr>
      <w:tr w:rsidR="00592720" w:rsidRPr="009D0976" w:rsidTr="00B273A9">
        <w:tc>
          <w:tcPr>
            <w:tcW w:w="1908" w:type="dxa"/>
            <w:vMerge w:val="restart"/>
            <w:shd w:val="clear" w:color="auto" w:fill="auto"/>
          </w:tcPr>
          <w:p w:rsidR="00592720" w:rsidRPr="00B273A9" w:rsidRDefault="00592720" w:rsidP="009D0976">
            <w:pPr>
              <w:pStyle w:val="Tabletext"/>
            </w:pPr>
            <w:r w:rsidRPr="00B273A9">
              <w:t>Phase 2</w:t>
            </w:r>
          </w:p>
        </w:tc>
        <w:tc>
          <w:tcPr>
            <w:tcW w:w="3960" w:type="dxa"/>
            <w:shd w:val="clear" w:color="auto" w:fill="auto"/>
          </w:tcPr>
          <w:p w:rsidR="00592720" w:rsidRPr="00B273A9" w:rsidRDefault="00592720" w:rsidP="009D0976">
            <w:pPr>
              <w:pStyle w:val="Tabletext"/>
            </w:pPr>
            <w:r w:rsidRPr="00B273A9">
              <w:t>Reminder mailing</w:t>
            </w:r>
          </w:p>
        </w:tc>
        <w:tc>
          <w:tcPr>
            <w:tcW w:w="2970" w:type="dxa"/>
            <w:shd w:val="clear" w:color="auto" w:fill="auto"/>
          </w:tcPr>
          <w:p w:rsidR="00592720" w:rsidRPr="00B273A9" w:rsidRDefault="00592720" w:rsidP="009D0976">
            <w:pPr>
              <w:pStyle w:val="Tabletext"/>
            </w:pPr>
            <w:r w:rsidRPr="00B273A9">
              <w:t>14,880</w:t>
            </w:r>
          </w:p>
        </w:tc>
      </w:tr>
      <w:tr w:rsidR="00592720" w:rsidRPr="009D0976" w:rsidTr="00B273A9">
        <w:tc>
          <w:tcPr>
            <w:tcW w:w="1908" w:type="dxa"/>
            <w:vMerge/>
            <w:shd w:val="clear" w:color="auto" w:fill="auto"/>
          </w:tcPr>
          <w:p w:rsidR="00592720" w:rsidRPr="00B273A9" w:rsidRDefault="00592720" w:rsidP="009D0976">
            <w:pPr>
              <w:pStyle w:val="Tabletext"/>
            </w:pPr>
          </w:p>
        </w:tc>
        <w:tc>
          <w:tcPr>
            <w:tcW w:w="3960" w:type="dxa"/>
            <w:shd w:val="clear" w:color="auto" w:fill="auto"/>
          </w:tcPr>
          <w:p w:rsidR="00592720" w:rsidRPr="00B273A9" w:rsidRDefault="00592720" w:rsidP="009D0976">
            <w:pPr>
              <w:pStyle w:val="Tabletext"/>
            </w:pPr>
            <w:r w:rsidRPr="00B273A9">
              <w:t>Telephone self-administration</w:t>
            </w:r>
          </w:p>
        </w:tc>
        <w:tc>
          <w:tcPr>
            <w:tcW w:w="2970" w:type="dxa"/>
            <w:shd w:val="clear" w:color="auto" w:fill="auto"/>
          </w:tcPr>
          <w:p w:rsidR="00592720" w:rsidRPr="00B273A9" w:rsidRDefault="00592720" w:rsidP="009D0976">
            <w:pPr>
              <w:pStyle w:val="Tabletext"/>
            </w:pPr>
            <w:r w:rsidRPr="00B273A9">
              <w:t>5,600</w:t>
            </w:r>
          </w:p>
        </w:tc>
      </w:tr>
      <w:tr w:rsidR="00592720" w:rsidRPr="009D0976" w:rsidTr="00B273A9">
        <w:tc>
          <w:tcPr>
            <w:tcW w:w="1908" w:type="dxa"/>
            <w:vMerge/>
            <w:shd w:val="clear" w:color="auto" w:fill="auto"/>
          </w:tcPr>
          <w:p w:rsidR="00592720" w:rsidRPr="00B273A9" w:rsidRDefault="00592720" w:rsidP="009D0976">
            <w:pPr>
              <w:pStyle w:val="Tabletext"/>
            </w:pPr>
          </w:p>
        </w:tc>
        <w:tc>
          <w:tcPr>
            <w:tcW w:w="3960" w:type="dxa"/>
            <w:shd w:val="clear" w:color="auto" w:fill="auto"/>
          </w:tcPr>
          <w:p w:rsidR="00592720" w:rsidRPr="00B273A9" w:rsidRDefault="00592720" w:rsidP="009D0976">
            <w:pPr>
              <w:pStyle w:val="Tabletext"/>
            </w:pPr>
            <w:r w:rsidRPr="00B273A9">
              <w:t>Internet self-administration completed</w:t>
            </w:r>
          </w:p>
        </w:tc>
        <w:tc>
          <w:tcPr>
            <w:tcW w:w="2970" w:type="dxa"/>
            <w:shd w:val="clear" w:color="auto" w:fill="auto"/>
          </w:tcPr>
          <w:p w:rsidR="00592720" w:rsidRPr="00B273A9" w:rsidRDefault="00592720" w:rsidP="009D0976">
            <w:pPr>
              <w:pStyle w:val="Tabletext"/>
            </w:pPr>
            <w:r w:rsidRPr="00B273A9">
              <w:t>2,400</w:t>
            </w:r>
          </w:p>
        </w:tc>
      </w:tr>
      <w:tr w:rsidR="00592720" w:rsidRPr="009D0976" w:rsidTr="00B273A9">
        <w:tc>
          <w:tcPr>
            <w:tcW w:w="5868" w:type="dxa"/>
            <w:gridSpan w:val="2"/>
            <w:shd w:val="clear" w:color="auto" w:fill="auto"/>
          </w:tcPr>
          <w:p w:rsidR="00592720" w:rsidRPr="00B273A9" w:rsidRDefault="00592720" w:rsidP="009D0976">
            <w:pPr>
              <w:pStyle w:val="Tabletext"/>
            </w:pPr>
            <w:r w:rsidRPr="00B273A9">
              <w:t>Total Interviews Completed</w:t>
            </w:r>
          </w:p>
        </w:tc>
        <w:tc>
          <w:tcPr>
            <w:tcW w:w="2970" w:type="dxa"/>
            <w:shd w:val="clear" w:color="auto" w:fill="auto"/>
          </w:tcPr>
          <w:p w:rsidR="00592720" w:rsidRPr="00B273A9" w:rsidRDefault="00592720" w:rsidP="009D0976">
            <w:pPr>
              <w:pStyle w:val="Tabletext"/>
            </w:pPr>
            <w:r w:rsidRPr="00B273A9">
              <w:t>8,000</w:t>
            </w:r>
          </w:p>
        </w:tc>
      </w:tr>
    </w:tbl>
    <w:p w:rsidR="00592720" w:rsidRPr="00250BEB" w:rsidRDefault="00592720" w:rsidP="00E5440F">
      <w:pPr>
        <w:pStyle w:val="exhibitsource"/>
      </w:pPr>
    </w:p>
    <w:p w:rsidR="00592720" w:rsidRDefault="00592720" w:rsidP="00E5440F">
      <w:pPr>
        <w:pStyle w:val="Heading2"/>
      </w:pPr>
      <w:bookmarkStart w:id="27" w:name="_Toc143058455"/>
      <w:bookmarkStart w:id="28" w:name="_Toc146088455"/>
      <w:bookmarkStart w:id="29" w:name="_Toc260212711"/>
      <w:bookmarkStart w:id="30" w:name="_Toc292708834"/>
      <w:bookmarkStart w:id="31" w:name="_Toc292714084"/>
      <w:bookmarkStart w:id="32" w:name="_Toc140311826"/>
      <w:bookmarkStart w:id="33" w:name="_Toc140368511"/>
      <w:r>
        <w:t>B.</w:t>
      </w:r>
      <w:r w:rsidRPr="00250BEB">
        <w:t>3</w:t>
      </w:r>
      <w:r w:rsidRPr="00250BEB">
        <w:tab/>
        <w:t>Methods to Maximize Response Rates and Deal with Nonresponse</w:t>
      </w:r>
      <w:bookmarkEnd w:id="27"/>
      <w:bookmarkEnd w:id="28"/>
      <w:bookmarkEnd w:id="29"/>
      <w:bookmarkEnd w:id="30"/>
      <w:bookmarkEnd w:id="31"/>
      <w:r w:rsidRPr="00250BEB">
        <w:t xml:space="preserve"> </w:t>
      </w:r>
    </w:p>
    <w:p w:rsidR="00592720" w:rsidRPr="00BF6736" w:rsidRDefault="00592720" w:rsidP="009D0976">
      <w:pPr>
        <w:pStyle w:val="Heading3"/>
      </w:pPr>
      <w:bookmarkStart w:id="34" w:name="_Toc292708835"/>
      <w:bookmarkStart w:id="35" w:name="_Toc292714085"/>
      <w:r>
        <w:t xml:space="preserve">Quitline </w:t>
      </w:r>
      <w:r w:rsidRPr="003A0F62">
        <w:t>Promotion</w:t>
      </w:r>
      <w:r>
        <w:t>al Activities</w:t>
      </w:r>
      <w:r w:rsidRPr="003A0F62">
        <w:t xml:space="preserve"> </w:t>
      </w:r>
      <w:r w:rsidR="00147108">
        <w:t>Component</w:t>
      </w:r>
      <w:bookmarkEnd w:id="34"/>
      <w:bookmarkEnd w:id="35"/>
    </w:p>
    <w:p w:rsidR="00592720" w:rsidRDefault="00AA129C" w:rsidP="00076FFE">
      <w:pPr>
        <w:pStyle w:val="bodytext0"/>
        <w:rPr>
          <w:bCs/>
        </w:rPr>
      </w:pPr>
      <w:r>
        <w:t>Investigators</w:t>
      </w:r>
      <w:r w:rsidR="00C56175">
        <w:t xml:space="preserve"> will </w:t>
      </w:r>
      <w:r w:rsidR="00592720" w:rsidRPr="003A0F62">
        <w:t>determine the appropriate avenues for inviting states to participate</w:t>
      </w:r>
      <w:r w:rsidR="00592720">
        <w:t xml:space="preserve"> in the </w:t>
      </w:r>
      <w:r w:rsidR="00076FFE">
        <w:t xml:space="preserve">Quitline Promotional Activities </w:t>
      </w:r>
      <w:r w:rsidR="00C01B23">
        <w:t>C</w:t>
      </w:r>
      <w:r w:rsidR="00147108">
        <w:t>omponent</w:t>
      </w:r>
      <w:r w:rsidR="00592720" w:rsidRPr="003A0F62">
        <w:t>.</w:t>
      </w:r>
      <w:r w:rsidR="00F51AAD">
        <w:t xml:space="preserve"> </w:t>
      </w:r>
      <w:r w:rsidR="00C56175">
        <w:t xml:space="preserve">Investigators will </w:t>
      </w:r>
      <w:r w:rsidR="00592720" w:rsidRPr="003A0F62">
        <w:t xml:space="preserve">present the study on at least one monthly CDC call held with state </w:t>
      </w:r>
      <w:r w:rsidR="00076FFE">
        <w:t>CCC</w:t>
      </w:r>
      <w:r w:rsidR="00592720">
        <w:t xml:space="preserve"> and TCP</w:t>
      </w:r>
      <w:r w:rsidR="00592720" w:rsidRPr="003A0F62">
        <w:t xml:space="preserve"> staff.</w:t>
      </w:r>
      <w:r w:rsidR="00F51AAD">
        <w:t xml:space="preserve"> </w:t>
      </w:r>
      <w:r w:rsidR="00592720" w:rsidRPr="003A0F62">
        <w:t xml:space="preserve">In advance of the call </w:t>
      </w:r>
      <w:r w:rsidR="00C56175">
        <w:t xml:space="preserve">investigators </w:t>
      </w:r>
      <w:r w:rsidR="00592720" w:rsidRPr="003A0F62">
        <w:rPr>
          <w:bCs/>
        </w:rPr>
        <w:t>will circulate a document outlining expectations of the states and benefits of participation.</w:t>
      </w:r>
      <w:r w:rsidR="00F51AAD">
        <w:rPr>
          <w:bCs/>
        </w:rPr>
        <w:t xml:space="preserve"> </w:t>
      </w:r>
      <w:r w:rsidR="00592720" w:rsidRPr="003A0F62">
        <w:rPr>
          <w:bCs/>
        </w:rPr>
        <w:t xml:space="preserve">By providing comprehensive </w:t>
      </w:r>
      <w:r w:rsidR="00592720">
        <w:rPr>
          <w:bCs/>
        </w:rPr>
        <w:t>descriptions of the study and expectations for data sharing procedures</w:t>
      </w:r>
      <w:r w:rsidR="00FD1187">
        <w:rPr>
          <w:bCs/>
        </w:rPr>
        <w:t xml:space="preserve"> </w:t>
      </w:r>
      <w:r w:rsidR="00FD1187">
        <w:rPr>
          <w:bCs/>
        </w:rPr>
        <w:lastRenderedPageBreak/>
        <w:t>it is hoped that states will be willing to participate due to the importance of the study and low burden on TCP staff</w:t>
      </w:r>
      <w:r w:rsidR="00250EB1">
        <w:rPr>
          <w:bCs/>
        </w:rPr>
        <w:t xml:space="preserve">. </w:t>
      </w:r>
      <w:r w:rsidR="00592720">
        <w:rPr>
          <w:bCs/>
        </w:rPr>
        <w:t>To maximize the number of states who agree to participate</w:t>
      </w:r>
      <w:r w:rsidR="00930B6C">
        <w:rPr>
          <w:bCs/>
        </w:rPr>
        <w:t>,</w:t>
      </w:r>
      <w:r w:rsidR="00592720">
        <w:rPr>
          <w:bCs/>
        </w:rPr>
        <w:t xml:space="preserve"> </w:t>
      </w:r>
      <w:r w:rsidR="00C56175">
        <w:t xml:space="preserve">investigators </w:t>
      </w:r>
      <w:r w:rsidR="00592720">
        <w:rPr>
          <w:bCs/>
        </w:rPr>
        <w:t>ha</w:t>
      </w:r>
      <w:r w:rsidR="00C56175">
        <w:rPr>
          <w:bCs/>
        </w:rPr>
        <w:t>ve</w:t>
      </w:r>
      <w:r w:rsidR="00592720">
        <w:rPr>
          <w:bCs/>
        </w:rPr>
        <w:t xml:space="preserve"> created ways to ensure an appropriate and mutually beneficial project, including</w:t>
      </w:r>
      <w:r w:rsidR="00237701">
        <w:rPr>
          <w:bCs/>
        </w:rPr>
        <w:t xml:space="preserve"> the following</w:t>
      </w:r>
      <w:r w:rsidR="00592720">
        <w:rPr>
          <w:bCs/>
        </w:rPr>
        <w:t>:</w:t>
      </w:r>
    </w:p>
    <w:p w:rsidR="00592720" w:rsidRDefault="00592720" w:rsidP="00CB04AD">
      <w:pPr>
        <w:pStyle w:val="bullets"/>
        <w:ind w:left="1080"/>
        <w:rPr>
          <w:bCs/>
        </w:rPr>
      </w:pPr>
      <w:r w:rsidRPr="003A0F62">
        <w:t>Working with states to ensure a feasible and comfortable level of participation. If a TCP is willing or able to share only certain pieces of information or data</w:t>
      </w:r>
      <w:r w:rsidR="00151250">
        <w:t>,</w:t>
      </w:r>
      <w:r w:rsidRPr="003A0F62">
        <w:t xml:space="preserve"> </w:t>
      </w:r>
      <w:r w:rsidR="00C56175">
        <w:t xml:space="preserve">investigators </w:t>
      </w:r>
      <w:r w:rsidRPr="003A0F62">
        <w:t>will work with the program to customize the level of collaboration.</w:t>
      </w:r>
      <w:r w:rsidR="00F51AAD">
        <w:t xml:space="preserve"> </w:t>
      </w:r>
    </w:p>
    <w:p w:rsidR="00592720" w:rsidRDefault="00592720" w:rsidP="00CB04AD">
      <w:pPr>
        <w:pStyle w:val="bullets"/>
        <w:ind w:left="1080"/>
        <w:rPr>
          <w:bCs/>
        </w:rPr>
      </w:pPr>
      <w:r w:rsidRPr="003A0F62">
        <w:t>Limiting any time burden or financial costs on the TCPs and their vendors as much as possible</w:t>
      </w:r>
      <w:r>
        <w:t xml:space="preserve"> by creating mechanisms for automated reports</w:t>
      </w:r>
      <w:r w:rsidRPr="003A0F62">
        <w:t xml:space="preserve">. </w:t>
      </w:r>
      <w:r w:rsidR="00C56175">
        <w:t xml:space="preserve">Investigators </w:t>
      </w:r>
      <w:r w:rsidRPr="003A0F62">
        <w:rPr>
          <w:bCs/>
        </w:rPr>
        <w:t xml:space="preserve">will incur any additional costs </w:t>
      </w:r>
      <w:r w:rsidR="002E76A6">
        <w:rPr>
          <w:bCs/>
        </w:rPr>
        <w:t>that</w:t>
      </w:r>
      <w:r w:rsidRPr="003A0F62">
        <w:rPr>
          <w:bCs/>
        </w:rPr>
        <w:t xml:space="preserve"> may arise from </w:t>
      </w:r>
      <w:r w:rsidR="001656F2">
        <w:rPr>
          <w:bCs/>
        </w:rPr>
        <w:t>obtaining</w:t>
      </w:r>
      <w:r w:rsidR="001656F2" w:rsidRPr="008E3861">
        <w:rPr>
          <w:bCs/>
        </w:rPr>
        <w:t xml:space="preserve"> </w:t>
      </w:r>
      <w:r w:rsidR="002E76A6">
        <w:rPr>
          <w:bCs/>
        </w:rPr>
        <w:t>media placement</w:t>
      </w:r>
      <w:r w:rsidRPr="008E3861">
        <w:rPr>
          <w:bCs/>
        </w:rPr>
        <w:t xml:space="preserve"> </w:t>
      </w:r>
      <w:r w:rsidR="002E76A6">
        <w:rPr>
          <w:bCs/>
        </w:rPr>
        <w:t xml:space="preserve">and service utilization </w:t>
      </w:r>
      <w:r w:rsidRPr="008E3861">
        <w:rPr>
          <w:bCs/>
        </w:rPr>
        <w:t xml:space="preserve">data from </w:t>
      </w:r>
      <w:r w:rsidR="002E76A6" w:rsidRPr="008E3861">
        <w:rPr>
          <w:bCs/>
        </w:rPr>
        <w:t>the</w:t>
      </w:r>
      <w:r w:rsidR="002E76A6">
        <w:rPr>
          <w:bCs/>
        </w:rPr>
        <w:t xml:space="preserve"> media vendors and service providers</w:t>
      </w:r>
      <w:r w:rsidRPr="008E3861">
        <w:rPr>
          <w:bCs/>
        </w:rPr>
        <w:t>.</w:t>
      </w:r>
      <w:r w:rsidR="00F51AAD">
        <w:rPr>
          <w:bCs/>
        </w:rPr>
        <w:t xml:space="preserve"> </w:t>
      </w:r>
    </w:p>
    <w:p w:rsidR="00592720" w:rsidRDefault="00592720" w:rsidP="00CB04AD">
      <w:pPr>
        <w:pStyle w:val="bullets"/>
        <w:ind w:left="1080"/>
        <w:rPr>
          <w:bCs/>
        </w:rPr>
      </w:pPr>
      <w:r w:rsidRPr="003A0F62">
        <w:t xml:space="preserve">Creating a customized quarterly report </w:t>
      </w:r>
      <w:r w:rsidR="00237701">
        <w:t>that</w:t>
      </w:r>
      <w:r w:rsidR="00237701" w:rsidRPr="003A0F62">
        <w:t xml:space="preserve"> </w:t>
      </w:r>
      <w:r w:rsidRPr="003A0F62">
        <w:t xml:space="preserve">summarizes the information gathered by </w:t>
      </w:r>
      <w:r w:rsidR="00C56175">
        <w:t xml:space="preserve">investigators </w:t>
      </w:r>
      <w:r w:rsidRPr="003A0F62">
        <w:t>specifically for each state</w:t>
      </w:r>
      <w:r w:rsidR="001656F2">
        <w:t xml:space="preserve"> </w:t>
      </w:r>
      <w:r w:rsidRPr="003A0F62">
        <w:t>with a benchmark metric comparing the state</w:t>
      </w:r>
      <w:r w:rsidR="00237701">
        <w:t>’</w:t>
      </w:r>
      <w:r w:rsidRPr="003A0F62">
        <w:t>s activity with an aggregate measure of all the other participating states.</w:t>
      </w:r>
    </w:p>
    <w:p w:rsidR="00592720" w:rsidRDefault="00592720" w:rsidP="00CB04AD">
      <w:pPr>
        <w:pStyle w:val="bullets"/>
        <w:ind w:left="1080"/>
      </w:pPr>
      <w:r w:rsidRPr="003A0F62">
        <w:t>Offering technical assistance in setting up analytic platforms or accessing other free resources that may help states monitor their promotional activities.</w:t>
      </w:r>
      <w:r w:rsidR="00F51AAD">
        <w:t xml:space="preserve"> </w:t>
      </w:r>
    </w:p>
    <w:p w:rsidR="00592720" w:rsidRDefault="00592720" w:rsidP="00237701">
      <w:pPr>
        <w:pStyle w:val="bodytext0"/>
      </w:pPr>
      <w:r w:rsidRPr="003A0F62">
        <w:t xml:space="preserve">All quitline call volume and </w:t>
      </w:r>
      <w:r w:rsidR="00237701">
        <w:t>W</w:t>
      </w:r>
      <w:r w:rsidRPr="003A0F62">
        <w:t>eb</w:t>
      </w:r>
      <w:r w:rsidR="001656F2">
        <w:t>-</w:t>
      </w:r>
      <w:r w:rsidRPr="003A0F62">
        <w:t>traffic data will be obtained from existing data sources.</w:t>
      </w:r>
      <w:r w:rsidR="00F51AAD">
        <w:t xml:space="preserve"> </w:t>
      </w:r>
      <w:r w:rsidRPr="003A0F62">
        <w:t>F</w:t>
      </w:r>
      <w:r w:rsidRPr="00CB5096">
        <w:t xml:space="preserve">or instance, call volume </w:t>
      </w:r>
      <w:r w:rsidR="007B6FE4">
        <w:t xml:space="preserve">from TCPs </w:t>
      </w:r>
      <w:r w:rsidRPr="00CB5096">
        <w:t xml:space="preserve">and </w:t>
      </w:r>
      <w:r w:rsidR="007B6FE4">
        <w:t xml:space="preserve">de-identified </w:t>
      </w:r>
      <w:r w:rsidRPr="00CB5096">
        <w:t xml:space="preserve">demographic quitline data will be obtained from the </w:t>
      </w:r>
      <w:r>
        <w:t xml:space="preserve">NQDW </w:t>
      </w:r>
      <w:r w:rsidRPr="00CB5096">
        <w:t>(</w:t>
      </w:r>
      <w:r w:rsidRPr="003D0A33">
        <w:t>OMB Control No: 0920-0856</w:t>
      </w:r>
      <w:r>
        <w:rPr>
          <w:rFonts w:ascii="Arial" w:hAnsi="Arial" w:cs="Arial"/>
          <w:sz w:val="18"/>
          <w:szCs w:val="18"/>
        </w:rPr>
        <w:t>)</w:t>
      </w:r>
      <w:r w:rsidRPr="00CB5096">
        <w:t xml:space="preserve">; therefore, </w:t>
      </w:r>
      <w:r>
        <w:t xml:space="preserve">maximizing </w:t>
      </w:r>
      <w:r w:rsidRPr="00CB5096">
        <w:t xml:space="preserve">response rates related to these existing data will not </w:t>
      </w:r>
      <w:r>
        <w:t>be of concern to this study.</w:t>
      </w:r>
      <w:r w:rsidR="00F51AAD">
        <w:t xml:space="preserve"> </w:t>
      </w:r>
    </w:p>
    <w:p w:rsidR="00592720" w:rsidRDefault="00592720" w:rsidP="009D0976">
      <w:pPr>
        <w:pStyle w:val="Heading3"/>
      </w:pPr>
      <w:bookmarkStart w:id="36" w:name="_Toc292708836"/>
      <w:bookmarkStart w:id="37" w:name="_Toc292714086"/>
      <w:r>
        <w:t xml:space="preserve">Cessation Intervention </w:t>
      </w:r>
      <w:r w:rsidR="00147108">
        <w:t>Component</w:t>
      </w:r>
      <w:bookmarkEnd w:id="36"/>
      <w:bookmarkEnd w:id="37"/>
    </w:p>
    <w:p w:rsidR="00592720" w:rsidRDefault="00592720" w:rsidP="00E5440F">
      <w:pPr>
        <w:pStyle w:val="bodytext0"/>
      </w:pPr>
      <w:r w:rsidRPr="00250BEB">
        <w:t>The following procedures will be used to maximize cooperation and to achieve the desired high response rates</w:t>
      </w:r>
      <w:r>
        <w:t xml:space="preserve"> within the Cessation Intervention </w:t>
      </w:r>
      <w:r w:rsidR="00147108">
        <w:t>component</w:t>
      </w:r>
      <w:r w:rsidRPr="00250BEB">
        <w:t>:</w:t>
      </w:r>
      <w:bookmarkEnd w:id="32"/>
      <w:bookmarkEnd w:id="33"/>
    </w:p>
    <w:p w:rsidR="00592720" w:rsidRPr="00250BEB" w:rsidRDefault="00592720" w:rsidP="00CB04AD">
      <w:pPr>
        <w:pStyle w:val="bullets"/>
        <w:ind w:left="1080"/>
        <w:rPr>
          <w:b/>
          <w:bCs/>
        </w:rPr>
      </w:pPr>
      <w:r w:rsidRPr="00250BEB">
        <w:t>Participants will be offered</w:t>
      </w:r>
      <w:r>
        <w:t xml:space="preserve"> </w:t>
      </w:r>
      <w:r w:rsidRPr="00250BEB">
        <w:t>$40 monetary honoraria for completi</w:t>
      </w:r>
      <w:r w:rsidR="00CB04AD">
        <w:t>ng</w:t>
      </w:r>
      <w:r w:rsidRPr="00250BEB">
        <w:t xml:space="preserve"> the </w:t>
      </w:r>
      <w:r w:rsidR="00FF4613">
        <w:t xml:space="preserve">follow-up </w:t>
      </w:r>
      <w:r w:rsidRPr="00250BEB">
        <w:t>survey</w:t>
      </w:r>
      <w:r w:rsidR="00FF4613">
        <w:t>, only</w:t>
      </w:r>
      <w:r w:rsidRPr="00250BEB">
        <w:t>.</w:t>
      </w:r>
      <w:r>
        <w:t xml:space="preserve"> </w:t>
      </w:r>
      <w:bookmarkStart w:id="38" w:name="_Toc146088176"/>
      <w:r w:rsidR="007908DB">
        <w:t>(see A.9.2 for more information)</w:t>
      </w:r>
    </w:p>
    <w:bookmarkEnd w:id="38"/>
    <w:p w:rsidR="00592720" w:rsidRDefault="00592720" w:rsidP="00CB04AD">
      <w:pPr>
        <w:pStyle w:val="bullets"/>
        <w:ind w:left="1080"/>
      </w:pPr>
      <w:r>
        <w:t xml:space="preserve">A dual-purpose Web-based CATI </w:t>
      </w:r>
      <w:r w:rsidR="00F51AAD">
        <w:t>system</w:t>
      </w:r>
      <w:r>
        <w:t xml:space="preserve"> will be developed for the follow-up survey.</w:t>
      </w:r>
      <w:r w:rsidR="00F51AAD">
        <w:t xml:space="preserve"> </w:t>
      </w:r>
      <w:r>
        <w:t>This system will allow respondents the option to complete the follow-up survey by either Web or telephone.</w:t>
      </w:r>
      <w:r w:rsidR="00F51AAD">
        <w:t xml:space="preserve"> </w:t>
      </w:r>
      <w:r>
        <w:t xml:space="preserve">The multiple survey modes will be used in a sequential </w:t>
      </w:r>
      <w:r>
        <w:lastRenderedPageBreak/>
        <w:t xml:space="preserve">manner </w:t>
      </w:r>
      <w:r w:rsidR="001656F2">
        <w:t xml:space="preserve">where </w:t>
      </w:r>
      <w:r>
        <w:t xml:space="preserve">the Web version will be released </w:t>
      </w:r>
      <w:r w:rsidR="002E76A6">
        <w:t>two</w:t>
      </w:r>
      <w:r>
        <w:t xml:space="preserve"> weeks before </w:t>
      </w:r>
      <w:r w:rsidR="007908DB">
        <w:t xml:space="preserve">undertaking </w:t>
      </w:r>
      <w:r>
        <w:t xml:space="preserve">any </w:t>
      </w:r>
      <w:r w:rsidR="007908DB">
        <w:t xml:space="preserve">attempts to contact individuals by </w:t>
      </w:r>
      <w:r>
        <w:t>telephone.</w:t>
      </w:r>
      <w:r w:rsidR="00F51AAD">
        <w:t xml:space="preserve"> </w:t>
      </w:r>
      <w:r>
        <w:t>Multimodal strategies for data collection have been found to increase response rates.</w:t>
      </w:r>
      <w:r w:rsidR="00F51AAD">
        <w:t xml:space="preserve"> </w:t>
      </w:r>
      <w:r>
        <w:t>Offering a Web-based version of the follow-up survey should increase the likelihood of achieving the target response rate by providing a data collection mode that matches the preferences of quitline users who enrolled via the Internet</w:t>
      </w:r>
      <w:r w:rsidR="00250EB1">
        <w:t xml:space="preserve">. </w:t>
      </w:r>
      <w:r w:rsidR="002E76A6">
        <w:t xml:space="preserve">In addition, a </w:t>
      </w:r>
      <w:r w:rsidR="008E3D3F">
        <w:t>W</w:t>
      </w:r>
      <w:r w:rsidR="002E76A6">
        <w:t>eb-based survey can facilitate</w:t>
      </w:r>
      <w:r>
        <w:t xml:space="preserve"> reaching participants who are hard to contact via the telephone.</w:t>
      </w:r>
    </w:p>
    <w:p w:rsidR="00592720" w:rsidRPr="00360EF4" w:rsidRDefault="007908DB" w:rsidP="00CB04AD">
      <w:pPr>
        <w:pStyle w:val="bullets"/>
        <w:ind w:left="1080"/>
      </w:pPr>
      <w:r>
        <w:t xml:space="preserve">Six trained </w:t>
      </w:r>
      <w:r w:rsidRPr="00360EF4">
        <w:t xml:space="preserve">RTI staff </w:t>
      </w:r>
      <w:r w:rsidR="001656F2" w:rsidRPr="00360EF4">
        <w:t>a</w:t>
      </w:r>
      <w:r w:rsidR="001656F2">
        <w:t>t the RTI</w:t>
      </w:r>
      <w:r w:rsidR="001656F2" w:rsidRPr="00360EF4">
        <w:t xml:space="preserve"> Help Desk </w:t>
      </w:r>
      <w:r>
        <w:t xml:space="preserve">will provide assistance to participants using the self-administered follow-up survey </w:t>
      </w:r>
      <w:r w:rsidRPr="00360EF4">
        <w:t xml:space="preserve">once the Web </w:t>
      </w:r>
      <w:r>
        <w:t xml:space="preserve">follow-up </w:t>
      </w:r>
      <w:r w:rsidRPr="00360EF4">
        <w:t>option is released</w:t>
      </w:r>
      <w:r>
        <w:t>.</w:t>
      </w:r>
      <w:r w:rsidR="00F51AAD">
        <w:t xml:space="preserve"> </w:t>
      </w:r>
      <w:r w:rsidR="00592720" w:rsidRPr="00360EF4">
        <w:t>The Help Desk will operate the same hours as RTI</w:t>
      </w:r>
      <w:r w:rsidR="00F51AAD">
        <w:t>’</w:t>
      </w:r>
      <w:r w:rsidR="00592720" w:rsidRPr="00360EF4">
        <w:t>s Call Center</w:t>
      </w:r>
      <w:r w:rsidR="00592720">
        <w:t xml:space="preserve"> </w:t>
      </w:r>
      <w:r w:rsidR="00592720" w:rsidRPr="00360EF4">
        <w:t>(8:30 a.m. to midnight EST</w:t>
      </w:r>
      <w:r w:rsidR="00CB04AD">
        <w:t>,</w:t>
      </w:r>
      <w:r w:rsidR="00592720" w:rsidRPr="00360EF4">
        <w:t xml:space="preserve"> Monday through Friday; 8 hours each on Saturdays and Sundays). These</w:t>
      </w:r>
      <w:r w:rsidR="00592720">
        <w:t xml:space="preserve"> </w:t>
      </w:r>
      <w:r w:rsidR="00592720" w:rsidRPr="00360EF4">
        <w:t>hours may be adjusted during data collection if it is determined that extended hours would be beneficial to</w:t>
      </w:r>
      <w:r w:rsidR="00592720">
        <w:t xml:space="preserve"> </w:t>
      </w:r>
      <w:r w:rsidR="001656F2">
        <w:t>study participants</w:t>
      </w:r>
      <w:r w:rsidR="00592720">
        <w:t>.</w:t>
      </w:r>
      <w:r w:rsidR="00F51AAD">
        <w:t xml:space="preserve"> </w:t>
      </w:r>
      <w:r w:rsidR="00592720">
        <w:t>This coverage will allow for the immediate resolution of most requests for assistance.</w:t>
      </w:r>
      <w:r w:rsidR="00F51AAD">
        <w:t xml:space="preserve"> </w:t>
      </w:r>
    </w:p>
    <w:p w:rsidR="00592720" w:rsidRDefault="00592720" w:rsidP="00CB04AD">
      <w:pPr>
        <w:pStyle w:val="bullets"/>
        <w:ind w:left="1080"/>
      </w:pPr>
      <w:r w:rsidRPr="00360EF4">
        <w:t>Telephone interviewers will be trained intensively on active listening techniques so that they can directly address any concerns expressed by sample members.</w:t>
      </w:r>
    </w:p>
    <w:p w:rsidR="007908DB" w:rsidRDefault="00592720" w:rsidP="00CB04AD">
      <w:pPr>
        <w:pStyle w:val="bullets"/>
        <w:ind w:left="1080"/>
      </w:pPr>
      <w:r>
        <w:t xml:space="preserve">Participants </w:t>
      </w:r>
      <w:r w:rsidR="007908DB">
        <w:t>who do not</w:t>
      </w:r>
      <w:r w:rsidR="001656F2">
        <w:t xml:space="preserve"> respond to the W</w:t>
      </w:r>
      <w:r w:rsidR="007908DB">
        <w:t xml:space="preserve">eb-based follow-up survey </w:t>
      </w:r>
      <w:r>
        <w:t>will be contacted</w:t>
      </w:r>
      <w:r w:rsidRPr="00197A47">
        <w:t xml:space="preserve"> throu</w:t>
      </w:r>
      <w:r>
        <w:t>gh mailings and telephone</w:t>
      </w:r>
      <w:r w:rsidR="007908DB">
        <w:t>.</w:t>
      </w:r>
    </w:p>
    <w:p w:rsidR="00512AAC" w:rsidRDefault="007908DB">
      <w:pPr>
        <w:pStyle w:val="bullets"/>
        <w:numPr>
          <w:ilvl w:val="0"/>
          <w:numId w:val="0"/>
        </w:numPr>
        <w:ind w:left="720" w:firstLine="360"/>
      </w:pPr>
      <w:r>
        <w:t xml:space="preserve">Given previous experience investigators </w:t>
      </w:r>
      <w:r w:rsidR="00592720">
        <w:t>anticipate</w:t>
      </w:r>
      <w:r w:rsidR="00592720" w:rsidRPr="00197A47">
        <w:t xml:space="preserve"> that up to 10</w:t>
      </w:r>
      <w:r w:rsidR="00592720">
        <w:t>% of individuals will not</w:t>
      </w:r>
      <w:r w:rsidR="00592720" w:rsidRPr="00197A47">
        <w:t xml:space="preserve"> be reached via their contact information</w:t>
      </w:r>
      <w:r w:rsidR="001656F2">
        <w:t>. This may</w:t>
      </w:r>
      <w:r w:rsidR="00592720" w:rsidRPr="00197A47">
        <w:t xml:space="preserve"> either </w:t>
      </w:r>
      <w:r w:rsidR="001656F2">
        <w:t xml:space="preserve">be </w:t>
      </w:r>
      <w:r w:rsidR="00592720" w:rsidRPr="00197A47">
        <w:t xml:space="preserve">due to errors in </w:t>
      </w:r>
      <w:r w:rsidR="001656F2">
        <w:t xml:space="preserve">contact </w:t>
      </w:r>
      <w:r w:rsidR="00592720" w:rsidRPr="00197A47">
        <w:t>information or recent changes such as moving to a new home or changing phone service. For these cases</w:t>
      </w:r>
      <w:r w:rsidR="001656F2">
        <w:t>,</w:t>
      </w:r>
      <w:r w:rsidR="00592720" w:rsidRPr="00197A47">
        <w:t xml:space="preserve"> RTI</w:t>
      </w:r>
      <w:r w:rsidR="00F51AAD">
        <w:t>’</w:t>
      </w:r>
      <w:r w:rsidR="00592720" w:rsidRPr="00197A47">
        <w:t xml:space="preserve">s </w:t>
      </w:r>
      <w:r w:rsidR="0016597D">
        <w:t xml:space="preserve">tracing staff </w:t>
      </w:r>
      <w:r w:rsidR="00592720" w:rsidRPr="00197A47">
        <w:t xml:space="preserve">will </w:t>
      </w:r>
      <w:r>
        <w:t>work</w:t>
      </w:r>
      <w:r w:rsidR="00592720" w:rsidRPr="00197A47">
        <w:t xml:space="preserve"> to identify updated contact </w:t>
      </w:r>
      <w:r>
        <w:t xml:space="preserve">information, </w:t>
      </w:r>
      <w:r w:rsidRPr="00197A47">
        <w:t>especially current telephone numbers</w:t>
      </w:r>
      <w:r w:rsidR="00592720" w:rsidRPr="00197A47">
        <w:t xml:space="preserve">. </w:t>
      </w:r>
      <w:r w:rsidR="0016597D">
        <w:t>Th</w:t>
      </w:r>
      <w:r w:rsidR="00E732AE">
        <w:t>i</w:t>
      </w:r>
      <w:r w:rsidR="0016597D">
        <w:t>s</w:t>
      </w:r>
      <w:r w:rsidR="00592720" w:rsidRPr="00197A47">
        <w:t xml:space="preserve"> staff </w:t>
      </w:r>
      <w:r w:rsidR="0016597D">
        <w:t>ha</w:t>
      </w:r>
      <w:r w:rsidR="00E732AE">
        <w:t>s</w:t>
      </w:r>
      <w:r w:rsidR="0016597D">
        <w:t xml:space="preserve"> experience</w:t>
      </w:r>
      <w:r w:rsidR="00592720" w:rsidRPr="00197A47">
        <w:t xml:space="preserve"> at interactively using available databases to recover accurate contact information for individuals.</w:t>
      </w:r>
    </w:p>
    <w:p w:rsidR="00592720" w:rsidRDefault="00592720" w:rsidP="00E5440F">
      <w:pPr>
        <w:pStyle w:val="Heading2"/>
      </w:pPr>
      <w:bookmarkStart w:id="39" w:name="_Toc143058456"/>
      <w:bookmarkStart w:id="40" w:name="_Toc146088456"/>
      <w:bookmarkStart w:id="41" w:name="_Toc260212712"/>
      <w:bookmarkStart w:id="42" w:name="_Toc292708837"/>
      <w:bookmarkStart w:id="43" w:name="_Toc292714087"/>
      <w:r>
        <w:t>B.</w:t>
      </w:r>
      <w:r w:rsidRPr="00250BEB">
        <w:t>4</w:t>
      </w:r>
      <w:r w:rsidRPr="00250BEB">
        <w:tab/>
        <w:t>Test of Procedures or Methods to Be Undertaken</w:t>
      </w:r>
      <w:bookmarkEnd w:id="39"/>
      <w:bookmarkEnd w:id="40"/>
      <w:bookmarkEnd w:id="41"/>
      <w:bookmarkEnd w:id="42"/>
      <w:bookmarkEnd w:id="43"/>
    </w:p>
    <w:p w:rsidR="00592720" w:rsidRDefault="00592720" w:rsidP="009D0976">
      <w:pPr>
        <w:pStyle w:val="Heading3"/>
      </w:pPr>
      <w:bookmarkStart w:id="44" w:name="_Toc292708838"/>
      <w:bookmarkStart w:id="45" w:name="_Toc292714088"/>
      <w:r>
        <w:t xml:space="preserve">Quitline Promotional Activities </w:t>
      </w:r>
      <w:r w:rsidR="00147108">
        <w:t>Component</w:t>
      </w:r>
      <w:bookmarkEnd w:id="44"/>
      <w:bookmarkEnd w:id="45"/>
    </w:p>
    <w:p w:rsidR="00592720" w:rsidRDefault="00592720" w:rsidP="00E5440F">
      <w:pPr>
        <w:pStyle w:val="bodytext0"/>
      </w:pPr>
      <w:r>
        <w:t xml:space="preserve">The Quitline Promotional Activities </w:t>
      </w:r>
      <w:r w:rsidR="001656F2">
        <w:t>C</w:t>
      </w:r>
      <w:r w:rsidR="00147108">
        <w:t>omponent</w:t>
      </w:r>
      <w:r>
        <w:t xml:space="preserve"> will not collect any new, original data.</w:t>
      </w:r>
      <w:r w:rsidR="00F51AAD">
        <w:t xml:space="preserve"> </w:t>
      </w:r>
      <w:r>
        <w:t>Data will be extracted from already existing resources; therefore, it will not be necessary to test any study protocols or data collection instruments.</w:t>
      </w:r>
      <w:r w:rsidR="00F51AAD">
        <w:t xml:space="preserve"> </w:t>
      </w:r>
    </w:p>
    <w:p w:rsidR="00592720" w:rsidRDefault="00592720" w:rsidP="009D0976">
      <w:pPr>
        <w:pStyle w:val="Heading3"/>
      </w:pPr>
      <w:bookmarkStart w:id="46" w:name="_Toc292708839"/>
      <w:bookmarkStart w:id="47" w:name="_Toc292714089"/>
      <w:r>
        <w:lastRenderedPageBreak/>
        <w:t xml:space="preserve">Cessation Intervention </w:t>
      </w:r>
      <w:r w:rsidR="00147108">
        <w:t>Component</w:t>
      </w:r>
      <w:bookmarkEnd w:id="46"/>
      <w:bookmarkEnd w:id="47"/>
    </w:p>
    <w:p w:rsidR="00592720" w:rsidRDefault="00592720" w:rsidP="00CB04AD">
      <w:pPr>
        <w:pStyle w:val="bodytext0"/>
      </w:pPr>
      <w:r>
        <w:t>The 7-month follow-up questionnaire is primarily based on the NAQC MDS</w:t>
      </w:r>
      <w:r w:rsidR="00250EB1">
        <w:t xml:space="preserve">. </w:t>
      </w:r>
      <w:r w:rsidR="000946D8">
        <w:t>The MDS items have been previously approved by the OMB as part of the NQDW (</w:t>
      </w:r>
      <w:r w:rsidR="000946D8" w:rsidRPr="003D0A33">
        <w:t>OMB Control No: 0920-0856</w:t>
      </w:r>
      <w:r w:rsidR="003E1A8D">
        <w:t>)</w:t>
      </w:r>
      <w:r w:rsidR="00250EB1">
        <w:rPr>
          <w:rStyle w:val="CommentReference"/>
        </w:rPr>
        <w:t xml:space="preserve">. </w:t>
      </w:r>
      <w:r>
        <w:t xml:space="preserve">These items are commonly used in the tobacco control research field; therefore, </w:t>
      </w:r>
      <w:r w:rsidR="00C56175">
        <w:t xml:space="preserve">investigators </w:t>
      </w:r>
      <w:r>
        <w:t>will only conduct additional cognitive testing of new survey items.</w:t>
      </w:r>
      <w:r w:rsidR="00F51AAD">
        <w:t xml:space="preserve"> </w:t>
      </w:r>
      <w:r>
        <w:t>New items will be tested among a small sample of less than nine smokers who have previou</w:t>
      </w:r>
      <w:r w:rsidR="00E5440F">
        <w:t>sly used quitline services.</w:t>
      </w:r>
      <w:r w:rsidR="00F51AAD">
        <w:t xml:space="preserve"> </w:t>
      </w:r>
    </w:p>
    <w:p w:rsidR="00592720" w:rsidRPr="00360EF4" w:rsidRDefault="00592720" w:rsidP="00CB04AD">
      <w:pPr>
        <w:pStyle w:val="bodytext0"/>
      </w:pPr>
      <w:r>
        <w:t xml:space="preserve">Before data collection for the follow-up questionnaire has begun, the dual-purpose Web-based CATI system will be tested </w:t>
      </w:r>
      <w:r w:rsidR="0019517D">
        <w:t xml:space="preserve">by programmers and staff </w:t>
      </w:r>
      <w:r>
        <w:t>to ensure that survey programming and logic are functional and appropriate.</w:t>
      </w:r>
      <w:r w:rsidR="00F51AAD">
        <w:t xml:space="preserve"> </w:t>
      </w:r>
      <w:r>
        <w:t>In addition, the survey will be tested to ensure high levels of usability for participants who opt to complete the self-administered Web version of the survey.</w:t>
      </w:r>
      <w:r w:rsidR="00F51AAD">
        <w:t xml:space="preserve"> </w:t>
      </w:r>
      <w:r w:rsidR="00C56175">
        <w:t xml:space="preserve">Investigators </w:t>
      </w:r>
      <w:r>
        <w:t>will implement a training program for new and experienced telephone interviewers.</w:t>
      </w:r>
      <w:r w:rsidR="00F51AAD">
        <w:t xml:space="preserve"> </w:t>
      </w:r>
      <w:r>
        <w:t>During this training, interviewers will be given the opportunity to practice the interview and time the length of the survey.</w:t>
      </w:r>
      <w:r w:rsidR="00F51AAD">
        <w:t xml:space="preserve"> </w:t>
      </w:r>
    </w:p>
    <w:p w:rsidR="00592720" w:rsidRDefault="00592720" w:rsidP="00E5440F">
      <w:pPr>
        <w:pStyle w:val="Heading2"/>
      </w:pPr>
      <w:bookmarkStart w:id="48" w:name="_Toc143058457"/>
      <w:bookmarkStart w:id="49" w:name="_Toc146088457"/>
      <w:bookmarkStart w:id="50" w:name="_Toc260212713"/>
      <w:bookmarkStart w:id="51" w:name="_Toc292708840"/>
      <w:bookmarkStart w:id="52" w:name="_Toc292714090"/>
      <w:r>
        <w:t>B.</w:t>
      </w:r>
      <w:r w:rsidRPr="00250BEB">
        <w:t>5</w:t>
      </w:r>
      <w:r w:rsidRPr="00250BEB">
        <w:tab/>
        <w:t>Individuals Consulted on Statistical Aspects and Individuals Collecting and/or Analyzing Data</w:t>
      </w:r>
      <w:bookmarkEnd w:id="48"/>
      <w:bookmarkEnd w:id="49"/>
      <w:bookmarkEnd w:id="50"/>
      <w:bookmarkEnd w:id="51"/>
      <w:bookmarkEnd w:id="52"/>
    </w:p>
    <w:tbl>
      <w:tblPr>
        <w:tblW w:w="0" w:type="auto"/>
        <w:tblLook w:val="0000"/>
      </w:tblPr>
      <w:tblGrid>
        <w:gridCol w:w="3192"/>
        <w:gridCol w:w="3192"/>
        <w:gridCol w:w="3192"/>
      </w:tblGrid>
      <w:tr w:rsidR="00E5440F">
        <w:tc>
          <w:tcPr>
            <w:tcW w:w="3192" w:type="dxa"/>
          </w:tcPr>
          <w:p w:rsidR="00A123D8" w:rsidRPr="00E5440F" w:rsidRDefault="00A123D8" w:rsidP="00A123D8">
            <w:pPr>
              <w:rPr>
                <w:u w:val="single"/>
              </w:rPr>
            </w:pPr>
            <w:r w:rsidRPr="00E5440F">
              <w:rPr>
                <w:u w:val="single"/>
              </w:rPr>
              <w:t>Data Collection</w:t>
            </w:r>
          </w:p>
          <w:p w:rsidR="00A123D8" w:rsidRPr="00E5440F" w:rsidRDefault="00A123D8" w:rsidP="00A123D8">
            <w:pPr>
              <w:pStyle w:val="BodyTextIndent"/>
              <w:rPr>
                <w:b w:val="0"/>
              </w:rPr>
            </w:pPr>
            <w:r>
              <w:rPr>
                <w:b w:val="0"/>
                <w:iCs/>
                <w:szCs w:val="22"/>
              </w:rPr>
              <w:t>Jennifer Keeney</w:t>
            </w:r>
            <w:r w:rsidRPr="00E5440F">
              <w:rPr>
                <w:b w:val="0"/>
                <w:iCs/>
                <w:szCs w:val="22"/>
              </w:rPr>
              <w:t xml:space="preserve">, </w:t>
            </w:r>
            <w:r w:rsidRPr="00E5440F">
              <w:rPr>
                <w:b w:val="0"/>
                <w:szCs w:val="22"/>
              </w:rPr>
              <w:t>MA</w:t>
            </w:r>
          </w:p>
          <w:p w:rsidR="00A123D8" w:rsidRPr="00E5440F" w:rsidRDefault="00A123D8" w:rsidP="00A123D8">
            <w:pPr>
              <w:pStyle w:val="BodyTextIndent"/>
              <w:rPr>
                <w:b w:val="0"/>
              </w:rPr>
            </w:pPr>
            <w:r w:rsidRPr="00E5440F">
              <w:rPr>
                <w:b w:val="0"/>
              </w:rPr>
              <w:t>RTI International</w:t>
            </w:r>
          </w:p>
          <w:p w:rsidR="00A123D8" w:rsidRPr="00E5440F" w:rsidRDefault="00A123D8" w:rsidP="00A123D8">
            <w:pPr>
              <w:pStyle w:val="BodyTextIndent"/>
              <w:rPr>
                <w:b w:val="0"/>
              </w:rPr>
            </w:pPr>
            <w:r w:rsidRPr="00E5440F">
              <w:rPr>
                <w:b w:val="0"/>
              </w:rPr>
              <w:t>3040 Cornwallis Road</w:t>
            </w:r>
          </w:p>
          <w:p w:rsidR="00A123D8" w:rsidRPr="00A123D8" w:rsidRDefault="00A123D8" w:rsidP="00A123D8">
            <w:pPr>
              <w:pStyle w:val="BodyTextIndent"/>
              <w:rPr>
                <w:b w:val="0"/>
              </w:rPr>
            </w:pPr>
            <w:r w:rsidRPr="00A123D8">
              <w:rPr>
                <w:b w:val="0"/>
              </w:rPr>
              <w:t>Research Triangle Park, NC 27709</w:t>
            </w:r>
          </w:p>
          <w:p w:rsidR="00A123D8" w:rsidRPr="00A123D8" w:rsidRDefault="00A123D8" w:rsidP="00A123D8">
            <w:pPr>
              <w:pStyle w:val="Style1"/>
              <w:rPr>
                <w:b/>
                <w:sz w:val="24"/>
              </w:rPr>
            </w:pPr>
            <w:r w:rsidRPr="00A123D8">
              <w:rPr>
                <w:sz w:val="24"/>
              </w:rPr>
              <w:t>919-316-3525</w:t>
            </w:r>
          </w:p>
          <w:p w:rsidR="00A123D8" w:rsidRPr="00E5440F" w:rsidRDefault="00D565A0" w:rsidP="00A123D8">
            <w:pPr>
              <w:pStyle w:val="BodyTextIndent"/>
              <w:rPr>
                <w:b w:val="0"/>
              </w:rPr>
            </w:pPr>
            <w:hyperlink r:id="rId12" w:history="1">
              <w:r w:rsidR="00A123D8" w:rsidRPr="00E5440F">
                <w:rPr>
                  <w:rStyle w:val="Hyperlink"/>
                  <w:b w:val="0"/>
                </w:rPr>
                <w:t>jwallin@rti.org</w:t>
              </w:r>
            </w:hyperlink>
          </w:p>
          <w:p w:rsidR="00E5440F" w:rsidRDefault="00E5440F" w:rsidP="00A123D8">
            <w:pPr>
              <w:pStyle w:val="BodyTextIndent"/>
              <w:rPr>
                <w:b w:val="0"/>
                <w:iCs/>
                <w:szCs w:val="22"/>
              </w:rPr>
            </w:pPr>
          </w:p>
          <w:p w:rsidR="00A123D8" w:rsidRPr="00E5440F" w:rsidRDefault="00A123D8" w:rsidP="00A123D8">
            <w:pPr>
              <w:pStyle w:val="BodyTextIndent"/>
              <w:ind w:left="0" w:firstLine="0"/>
              <w:rPr>
                <w:b w:val="0"/>
                <w:u w:val="single"/>
              </w:rPr>
            </w:pPr>
            <w:r w:rsidRPr="00E5440F">
              <w:rPr>
                <w:b w:val="0"/>
                <w:u w:val="single"/>
              </w:rPr>
              <w:t>Survey Development</w:t>
            </w:r>
          </w:p>
          <w:p w:rsidR="00A123D8" w:rsidRPr="00E5440F" w:rsidRDefault="00A123D8" w:rsidP="00A123D8">
            <w:pPr>
              <w:pStyle w:val="BodyTextIndent"/>
              <w:rPr>
                <w:b w:val="0"/>
              </w:rPr>
            </w:pPr>
            <w:r w:rsidRPr="00E5440F">
              <w:rPr>
                <w:b w:val="0"/>
              </w:rPr>
              <w:t>Vance Rabius, PhD</w:t>
            </w:r>
          </w:p>
          <w:p w:rsidR="00A123D8" w:rsidRDefault="00A123D8" w:rsidP="00A123D8">
            <w:pPr>
              <w:pStyle w:val="BodyTextIndent"/>
              <w:rPr>
                <w:b w:val="0"/>
              </w:rPr>
            </w:pPr>
            <w:r w:rsidRPr="00E5440F">
              <w:rPr>
                <w:b w:val="0"/>
              </w:rPr>
              <w:t xml:space="preserve">The University of Texas </w:t>
            </w:r>
          </w:p>
          <w:p w:rsidR="00A123D8" w:rsidRPr="00E5440F" w:rsidRDefault="00A123D8" w:rsidP="00A123D8">
            <w:pPr>
              <w:pStyle w:val="BodyTextIndent"/>
              <w:rPr>
                <w:b w:val="0"/>
              </w:rPr>
            </w:pPr>
            <w:r w:rsidRPr="00E5440F">
              <w:rPr>
                <w:b w:val="0"/>
              </w:rPr>
              <w:t>MD Anderson Cancer Center</w:t>
            </w:r>
          </w:p>
          <w:p w:rsidR="00A123D8" w:rsidRPr="00E5440F" w:rsidRDefault="00A123D8" w:rsidP="00A123D8">
            <w:pPr>
              <w:pStyle w:val="BodyTextIndent"/>
              <w:rPr>
                <w:b w:val="0"/>
              </w:rPr>
            </w:pPr>
            <w:r w:rsidRPr="00E5440F">
              <w:rPr>
                <w:b w:val="0"/>
              </w:rPr>
              <w:t>Unit 1330</w:t>
            </w:r>
          </w:p>
          <w:p w:rsidR="00A123D8" w:rsidRPr="00E5440F" w:rsidRDefault="00A123D8" w:rsidP="00A123D8">
            <w:pPr>
              <w:pStyle w:val="BodyTextIndent"/>
              <w:rPr>
                <w:b w:val="0"/>
              </w:rPr>
            </w:pPr>
            <w:r w:rsidRPr="00E5440F">
              <w:rPr>
                <w:b w:val="0"/>
              </w:rPr>
              <w:t>P.O. Box 301439</w:t>
            </w:r>
          </w:p>
          <w:p w:rsidR="00A123D8" w:rsidRPr="00E5440F" w:rsidRDefault="00A123D8" w:rsidP="00A123D8">
            <w:pPr>
              <w:pStyle w:val="BodyTextIndent"/>
              <w:rPr>
                <w:b w:val="0"/>
              </w:rPr>
            </w:pPr>
            <w:r w:rsidRPr="00E5440F">
              <w:rPr>
                <w:b w:val="0"/>
              </w:rPr>
              <w:t>Houston, TX 77230-1439</w:t>
            </w:r>
          </w:p>
          <w:p w:rsidR="00A123D8" w:rsidRPr="00E5440F" w:rsidRDefault="00A123D8" w:rsidP="00A123D8">
            <w:pPr>
              <w:pStyle w:val="BodyTextIndent"/>
              <w:rPr>
                <w:b w:val="0"/>
              </w:rPr>
            </w:pPr>
            <w:r w:rsidRPr="00E5440F">
              <w:rPr>
                <w:b w:val="0"/>
              </w:rPr>
              <w:t>713-745-4474</w:t>
            </w:r>
          </w:p>
          <w:p w:rsidR="00A123D8" w:rsidRPr="00E5440F" w:rsidRDefault="00D565A0" w:rsidP="00A123D8">
            <w:pPr>
              <w:pStyle w:val="BodyTextIndent"/>
              <w:rPr>
                <w:b w:val="0"/>
              </w:rPr>
            </w:pPr>
            <w:hyperlink r:id="rId13" w:history="1">
              <w:r w:rsidR="00A123D8" w:rsidRPr="00E5440F">
                <w:rPr>
                  <w:rStyle w:val="Hyperlink"/>
                  <w:b w:val="0"/>
                </w:rPr>
                <w:t>varabius@mdanderson.org</w:t>
              </w:r>
            </w:hyperlink>
          </w:p>
          <w:p w:rsidR="00A123D8" w:rsidRDefault="00A123D8" w:rsidP="00A123D8">
            <w:pPr>
              <w:pStyle w:val="BodyTextIndent"/>
              <w:rPr>
                <w:b w:val="0"/>
                <w:iCs/>
                <w:szCs w:val="22"/>
              </w:rPr>
            </w:pPr>
          </w:p>
        </w:tc>
        <w:tc>
          <w:tcPr>
            <w:tcW w:w="3192" w:type="dxa"/>
          </w:tcPr>
          <w:p w:rsidR="00E5440F" w:rsidRPr="00E5440F" w:rsidRDefault="00E5440F" w:rsidP="00E5440F">
            <w:pPr>
              <w:pStyle w:val="BodyTextIndent"/>
              <w:rPr>
                <w:b w:val="0"/>
                <w:u w:val="single"/>
              </w:rPr>
            </w:pPr>
            <w:r w:rsidRPr="00E5440F">
              <w:rPr>
                <w:b w:val="0"/>
                <w:u w:val="single"/>
              </w:rPr>
              <w:t>Data Analysis</w:t>
            </w:r>
          </w:p>
          <w:p w:rsidR="00076FFE" w:rsidRDefault="00E5440F" w:rsidP="00076FFE">
            <w:pPr>
              <w:pStyle w:val="BodyTextIndent"/>
              <w:rPr>
                <w:b w:val="0"/>
              </w:rPr>
            </w:pPr>
            <w:r w:rsidRPr="00E5440F">
              <w:rPr>
                <w:b w:val="0"/>
              </w:rPr>
              <w:t>Nathan Mann</w:t>
            </w:r>
            <w:r w:rsidR="00076FFE">
              <w:rPr>
                <w:b w:val="0"/>
              </w:rPr>
              <w:t>, BA</w:t>
            </w:r>
          </w:p>
          <w:p w:rsidR="00E5440F" w:rsidRPr="00E5440F" w:rsidRDefault="00E5440F" w:rsidP="00076FFE">
            <w:pPr>
              <w:pStyle w:val="BodyTextIndent"/>
              <w:rPr>
                <w:b w:val="0"/>
              </w:rPr>
            </w:pPr>
            <w:r w:rsidRPr="00E5440F">
              <w:rPr>
                <w:b w:val="0"/>
              </w:rPr>
              <w:t>RTI International</w:t>
            </w:r>
          </w:p>
          <w:p w:rsidR="00E5440F" w:rsidRPr="00E5440F" w:rsidRDefault="00E5440F" w:rsidP="00E5440F">
            <w:pPr>
              <w:pStyle w:val="BodyTextIndent"/>
              <w:rPr>
                <w:b w:val="0"/>
              </w:rPr>
            </w:pPr>
            <w:r w:rsidRPr="00E5440F">
              <w:rPr>
                <w:b w:val="0"/>
              </w:rPr>
              <w:t>3040 Cornwallis Road</w:t>
            </w:r>
          </w:p>
          <w:p w:rsidR="00E5440F" w:rsidRPr="00A123D8" w:rsidRDefault="00E5440F" w:rsidP="00E5440F">
            <w:pPr>
              <w:pStyle w:val="BodyTextIndent"/>
              <w:rPr>
                <w:b w:val="0"/>
              </w:rPr>
            </w:pPr>
            <w:r w:rsidRPr="00E5440F">
              <w:rPr>
                <w:b w:val="0"/>
              </w:rPr>
              <w:t xml:space="preserve">Research Triangle Park, NC </w:t>
            </w:r>
            <w:r w:rsidRPr="00A123D8">
              <w:rPr>
                <w:b w:val="0"/>
              </w:rPr>
              <w:t>27709</w:t>
            </w:r>
          </w:p>
          <w:p w:rsidR="00A123D8" w:rsidRPr="00A123D8" w:rsidRDefault="00A123D8" w:rsidP="00A123D8">
            <w:pPr>
              <w:pStyle w:val="Style1"/>
              <w:rPr>
                <w:sz w:val="24"/>
              </w:rPr>
            </w:pPr>
            <w:r w:rsidRPr="00A123D8">
              <w:rPr>
                <w:sz w:val="24"/>
              </w:rPr>
              <w:t>919-485-5584</w:t>
            </w:r>
          </w:p>
          <w:p w:rsidR="00E5440F" w:rsidRDefault="00D565A0" w:rsidP="00E5440F">
            <w:pPr>
              <w:pStyle w:val="BodyTextIndent"/>
              <w:rPr>
                <w:b w:val="0"/>
              </w:rPr>
            </w:pPr>
            <w:hyperlink r:id="rId14" w:history="1">
              <w:r w:rsidR="00E5440F" w:rsidRPr="00E5440F">
                <w:rPr>
                  <w:rStyle w:val="Hyperlink"/>
                  <w:b w:val="0"/>
                </w:rPr>
                <w:t>nmann@rti.org</w:t>
              </w:r>
            </w:hyperlink>
          </w:p>
          <w:p w:rsidR="00A123D8" w:rsidRDefault="00A123D8" w:rsidP="00E5440F">
            <w:pPr>
              <w:pStyle w:val="BodyTextIndent"/>
              <w:rPr>
                <w:b w:val="0"/>
              </w:rPr>
            </w:pPr>
          </w:p>
          <w:p w:rsidR="00A123D8" w:rsidRPr="00E5440F" w:rsidRDefault="00A123D8" w:rsidP="00A123D8">
            <w:pPr>
              <w:pStyle w:val="BodyTextIndent"/>
              <w:rPr>
                <w:b w:val="0"/>
                <w:u w:val="single"/>
              </w:rPr>
            </w:pPr>
            <w:r w:rsidRPr="00E5440F">
              <w:rPr>
                <w:b w:val="0"/>
                <w:u w:val="single"/>
              </w:rPr>
              <w:t>Data Analysis</w:t>
            </w:r>
          </w:p>
          <w:p w:rsidR="00A123D8" w:rsidRDefault="00A123D8" w:rsidP="00E5440F">
            <w:pPr>
              <w:pStyle w:val="BodyTextIndent"/>
              <w:rPr>
                <w:b w:val="0"/>
              </w:rPr>
            </w:pPr>
            <w:r>
              <w:rPr>
                <w:b w:val="0"/>
              </w:rPr>
              <w:t>Burton Levine, MS</w:t>
            </w:r>
          </w:p>
          <w:p w:rsidR="00A123D8" w:rsidRPr="00E5440F" w:rsidRDefault="00A123D8" w:rsidP="00A123D8">
            <w:pPr>
              <w:pStyle w:val="BodyTextIndent"/>
              <w:rPr>
                <w:b w:val="0"/>
              </w:rPr>
            </w:pPr>
            <w:r w:rsidRPr="00E5440F">
              <w:rPr>
                <w:b w:val="0"/>
              </w:rPr>
              <w:t>RTI International</w:t>
            </w:r>
          </w:p>
          <w:p w:rsidR="00A123D8" w:rsidRPr="00E5440F" w:rsidRDefault="00A123D8" w:rsidP="00A123D8">
            <w:pPr>
              <w:pStyle w:val="BodyTextIndent"/>
              <w:rPr>
                <w:b w:val="0"/>
              </w:rPr>
            </w:pPr>
            <w:r w:rsidRPr="00E5440F">
              <w:rPr>
                <w:b w:val="0"/>
              </w:rPr>
              <w:t>3040 Cornwallis Road</w:t>
            </w:r>
          </w:p>
          <w:p w:rsidR="00A123D8" w:rsidRPr="00A123D8" w:rsidRDefault="00A123D8" w:rsidP="00A123D8">
            <w:pPr>
              <w:pStyle w:val="BodyTextIndent"/>
              <w:rPr>
                <w:b w:val="0"/>
              </w:rPr>
            </w:pPr>
            <w:r w:rsidRPr="00E5440F">
              <w:rPr>
                <w:b w:val="0"/>
              </w:rPr>
              <w:t xml:space="preserve">Research Triangle Park, NC </w:t>
            </w:r>
            <w:r w:rsidRPr="00A123D8">
              <w:rPr>
                <w:b w:val="0"/>
              </w:rPr>
              <w:t>27709</w:t>
            </w:r>
          </w:p>
          <w:p w:rsidR="00A123D8" w:rsidRDefault="00A123D8" w:rsidP="00E5440F">
            <w:pPr>
              <w:pStyle w:val="BodyTextIndent"/>
              <w:rPr>
                <w:b w:val="0"/>
              </w:rPr>
            </w:pPr>
            <w:r w:rsidRPr="00A123D8">
              <w:rPr>
                <w:b w:val="0"/>
              </w:rPr>
              <w:t>919-541-1252</w:t>
            </w:r>
          </w:p>
          <w:p w:rsidR="00A123D8" w:rsidRPr="00A123D8" w:rsidRDefault="00D565A0" w:rsidP="00A123D8">
            <w:pPr>
              <w:pStyle w:val="BodyTextIndent"/>
              <w:rPr>
                <w:b w:val="0"/>
              </w:rPr>
            </w:pPr>
            <w:hyperlink r:id="rId15" w:history="1">
              <w:r w:rsidR="00A123D8" w:rsidRPr="00E54787">
                <w:rPr>
                  <w:rStyle w:val="Hyperlink"/>
                  <w:b w:val="0"/>
                </w:rPr>
                <w:t>blevine@rti.org</w:t>
              </w:r>
            </w:hyperlink>
          </w:p>
          <w:p w:rsidR="00A123D8" w:rsidRDefault="00A123D8" w:rsidP="00E5440F">
            <w:pPr>
              <w:pStyle w:val="BodyTextIndent"/>
              <w:rPr>
                <w:b w:val="0"/>
              </w:rPr>
            </w:pPr>
          </w:p>
          <w:p w:rsidR="00E5440F" w:rsidRDefault="00E5440F" w:rsidP="00A123D8">
            <w:pPr>
              <w:pStyle w:val="BodyTextIndent"/>
              <w:rPr>
                <w:b w:val="0"/>
                <w:iCs/>
                <w:szCs w:val="22"/>
              </w:rPr>
            </w:pPr>
          </w:p>
        </w:tc>
        <w:tc>
          <w:tcPr>
            <w:tcW w:w="3192" w:type="dxa"/>
          </w:tcPr>
          <w:p w:rsidR="00A123D8" w:rsidRDefault="00A123D8" w:rsidP="00E5440F">
            <w:pPr>
              <w:pStyle w:val="BodyTextIndent"/>
              <w:rPr>
                <w:b w:val="0"/>
                <w:u w:val="single"/>
              </w:rPr>
            </w:pPr>
          </w:p>
          <w:p w:rsidR="00A123D8" w:rsidRDefault="00A123D8" w:rsidP="00E5440F">
            <w:pPr>
              <w:pStyle w:val="BodyTextIndent"/>
              <w:rPr>
                <w:b w:val="0"/>
                <w:u w:val="single"/>
              </w:rPr>
            </w:pPr>
          </w:p>
          <w:p w:rsidR="00E5440F" w:rsidRDefault="00E5440F" w:rsidP="00A123D8">
            <w:pPr>
              <w:pStyle w:val="BodyTextIndent"/>
              <w:rPr>
                <w:b w:val="0"/>
                <w:iCs/>
                <w:szCs w:val="22"/>
              </w:rPr>
            </w:pPr>
          </w:p>
        </w:tc>
      </w:tr>
    </w:tbl>
    <w:p w:rsidR="00DC3E18" w:rsidRDefault="00DC3E18" w:rsidP="00DC3E18"/>
    <w:sectPr w:rsidR="00DC3E18" w:rsidSect="00E67EB8">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FE4" w:rsidRDefault="007B6FE4">
      <w:r>
        <w:separator/>
      </w:r>
    </w:p>
  </w:endnote>
  <w:endnote w:type="continuationSeparator" w:id="0">
    <w:p w:rsidR="007B6FE4" w:rsidRDefault="007B6F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s Gothic">
    <w:altName w:val="News Gothic"/>
    <w:panose1 w:val="00000000000000000000"/>
    <w:charset w:val="00"/>
    <w:family w:val="swiss"/>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E4" w:rsidRDefault="00D565A0" w:rsidP="00FA7085">
    <w:pPr>
      <w:pStyle w:val="Footer"/>
      <w:framePr w:wrap="around" w:vAnchor="text" w:hAnchor="margin" w:xAlign="center" w:y="1"/>
      <w:rPr>
        <w:rStyle w:val="PageNumber"/>
      </w:rPr>
    </w:pPr>
    <w:r>
      <w:rPr>
        <w:rStyle w:val="PageNumber"/>
      </w:rPr>
      <w:fldChar w:fldCharType="begin"/>
    </w:r>
    <w:r w:rsidR="007B6FE4">
      <w:rPr>
        <w:rStyle w:val="PageNumber"/>
      </w:rPr>
      <w:instrText xml:space="preserve">PAGE  </w:instrText>
    </w:r>
    <w:r>
      <w:rPr>
        <w:rStyle w:val="PageNumber"/>
      </w:rPr>
      <w:fldChar w:fldCharType="separate"/>
    </w:r>
    <w:r w:rsidR="007B6FE4">
      <w:rPr>
        <w:rStyle w:val="PageNumber"/>
        <w:noProof/>
      </w:rPr>
      <w:t>1</w:t>
    </w:r>
    <w:r>
      <w:rPr>
        <w:rStyle w:val="PageNumber"/>
      </w:rPr>
      <w:fldChar w:fldCharType="end"/>
    </w:r>
  </w:p>
  <w:p w:rsidR="007B6FE4" w:rsidRDefault="007B6F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E4" w:rsidRDefault="00D565A0">
    <w:pPr>
      <w:pStyle w:val="Footer"/>
      <w:jc w:val="center"/>
    </w:pPr>
    <w:r>
      <w:rPr>
        <w:rStyle w:val="PageNumber"/>
      </w:rPr>
      <w:fldChar w:fldCharType="begin"/>
    </w:r>
    <w:r w:rsidR="007B6FE4">
      <w:rPr>
        <w:rStyle w:val="PageNumber"/>
      </w:rPr>
      <w:instrText xml:space="preserve"> PAGE </w:instrText>
    </w:r>
    <w:r>
      <w:rPr>
        <w:rStyle w:val="PageNumber"/>
      </w:rPr>
      <w:fldChar w:fldCharType="separate"/>
    </w:r>
    <w:r w:rsidR="00EB1CD2">
      <w:rPr>
        <w:rStyle w:val="PageNumber"/>
        <w:noProof/>
      </w:rPr>
      <w:t>iii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E4" w:rsidRDefault="007B6FE4" w:rsidP="00906F6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FE4" w:rsidRDefault="007B6FE4">
      <w:r>
        <w:separator/>
      </w:r>
    </w:p>
  </w:footnote>
  <w:footnote w:type="continuationSeparator" w:id="0">
    <w:p w:rsidR="007B6FE4" w:rsidRDefault="007B6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E4" w:rsidRDefault="007B6FE4" w:rsidP="004647A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22F6"/>
    <w:multiLevelType w:val="hybridMultilevel"/>
    <w:tmpl w:val="2B4EB7FC"/>
    <w:lvl w:ilvl="0" w:tplc="D946116E">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B95768"/>
    <w:multiLevelType w:val="hybridMultilevel"/>
    <w:tmpl w:val="E3B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1B36227C"/>
    <w:multiLevelType w:val="hybridMultilevel"/>
    <w:tmpl w:val="2B5275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F4B2E"/>
    <w:multiLevelType w:val="hybridMultilevel"/>
    <w:tmpl w:val="C2DC2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DA5D02"/>
    <w:multiLevelType w:val="hybridMultilevel"/>
    <w:tmpl w:val="667C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94970"/>
    <w:multiLevelType w:val="hybridMultilevel"/>
    <w:tmpl w:val="2C08B07C"/>
    <w:lvl w:ilvl="0" w:tplc="5A2A8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222DDC"/>
    <w:multiLevelType w:val="hybridMultilevel"/>
    <w:tmpl w:val="11DA5E00"/>
    <w:lvl w:ilvl="0" w:tplc="B1EC28A8">
      <w:start w:val="2"/>
      <w:numFmt w:val="upperLetter"/>
      <w:lvlText w:val="%1."/>
      <w:lvlJc w:val="left"/>
      <w:pPr>
        <w:tabs>
          <w:tab w:val="num" w:pos="1080"/>
        </w:tabs>
        <w:ind w:left="1080" w:hanging="360"/>
      </w:pPr>
      <w:rPr>
        <w:rFonts w:cs="Times New Roman" w:hint="default"/>
        <w:b w:val="0"/>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37120E1"/>
    <w:multiLevelType w:val="hybridMultilevel"/>
    <w:tmpl w:val="F4CCDC42"/>
    <w:lvl w:ilvl="0" w:tplc="977276F6">
      <w:start w:val="1"/>
      <w:numFmt w:val="bullet"/>
      <w:lvlText w:val=""/>
      <w:lvlJc w:val="left"/>
      <w:pPr>
        <w:tabs>
          <w:tab w:val="num" w:pos="2160"/>
        </w:tabs>
        <w:ind w:left="2160" w:hanging="360"/>
      </w:pPr>
      <w:rPr>
        <w:rFonts w:ascii="Symbol" w:hAnsi="Symbol" w:hint="default"/>
        <w:color w:val="336699"/>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9">
    <w:nsid w:val="45D6687D"/>
    <w:multiLevelType w:val="hybridMultilevel"/>
    <w:tmpl w:val="747E8ACE"/>
    <w:lvl w:ilvl="0" w:tplc="5DB67862">
      <w:start w:val="1"/>
      <w:numFmt w:val="decimal"/>
      <w:lvlText w:val="%1."/>
      <w:lvlJc w:val="left"/>
      <w:pPr>
        <w:tabs>
          <w:tab w:val="num" w:pos="420"/>
        </w:tabs>
        <w:ind w:left="420" w:hanging="360"/>
      </w:pPr>
      <w:rPr>
        <w:rFonts w:cs="Times New Roman" w:hint="default"/>
      </w:rPr>
    </w:lvl>
    <w:lvl w:ilvl="1" w:tplc="04090003" w:tentative="1">
      <w:start w:val="1"/>
      <w:numFmt w:val="lowerLetter"/>
      <w:lvlText w:val="%2."/>
      <w:lvlJc w:val="left"/>
      <w:pPr>
        <w:tabs>
          <w:tab w:val="num" w:pos="1140"/>
        </w:tabs>
        <w:ind w:left="1140" w:hanging="360"/>
      </w:pPr>
      <w:rPr>
        <w:rFonts w:cs="Times New Roman"/>
      </w:rPr>
    </w:lvl>
    <w:lvl w:ilvl="2" w:tplc="04090005" w:tentative="1">
      <w:start w:val="1"/>
      <w:numFmt w:val="lowerRoman"/>
      <w:lvlText w:val="%3."/>
      <w:lvlJc w:val="right"/>
      <w:pPr>
        <w:tabs>
          <w:tab w:val="num" w:pos="1860"/>
        </w:tabs>
        <w:ind w:left="1860" w:hanging="180"/>
      </w:pPr>
      <w:rPr>
        <w:rFonts w:cs="Times New Roman"/>
      </w:rPr>
    </w:lvl>
    <w:lvl w:ilvl="3" w:tplc="04090001" w:tentative="1">
      <w:start w:val="1"/>
      <w:numFmt w:val="decimal"/>
      <w:lvlText w:val="%4."/>
      <w:lvlJc w:val="left"/>
      <w:pPr>
        <w:tabs>
          <w:tab w:val="num" w:pos="2580"/>
        </w:tabs>
        <w:ind w:left="2580" w:hanging="360"/>
      </w:pPr>
      <w:rPr>
        <w:rFonts w:cs="Times New Roman"/>
      </w:rPr>
    </w:lvl>
    <w:lvl w:ilvl="4" w:tplc="04090003" w:tentative="1">
      <w:start w:val="1"/>
      <w:numFmt w:val="lowerLetter"/>
      <w:lvlText w:val="%5."/>
      <w:lvlJc w:val="left"/>
      <w:pPr>
        <w:tabs>
          <w:tab w:val="num" w:pos="3300"/>
        </w:tabs>
        <w:ind w:left="3300" w:hanging="360"/>
      </w:pPr>
      <w:rPr>
        <w:rFonts w:cs="Times New Roman"/>
      </w:rPr>
    </w:lvl>
    <w:lvl w:ilvl="5" w:tplc="04090005" w:tentative="1">
      <w:start w:val="1"/>
      <w:numFmt w:val="lowerRoman"/>
      <w:lvlText w:val="%6."/>
      <w:lvlJc w:val="right"/>
      <w:pPr>
        <w:tabs>
          <w:tab w:val="num" w:pos="4020"/>
        </w:tabs>
        <w:ind w:left="4020" w:hanging="180"/>
      </w:pPr>
      <w:rPr>
        <w:rFonts w:cs="Times New Roman"/>
      </w:rPr>
    </w:lvl>
    <w:lvl w:ilvl="6" w:tplc="04090001" w:tentative="1">
      <w:start w:val="1"/>
      <w:numFmt w:val="decimal"/>
      <w:lvlText w:val="%7."/>
      <w:lvlJc w:val="left"/>
      <w:pPr>
        <w:tabs>
          <w:tab w:val="num" w:pos="4740"/>
        </w:tabs>
        <w:ind w:left="4740" w:hanging="360"/>
      </w:pPr>
      <w:rPr>
        <w:rFonts w:cs="Times New Roman"/>
      </w:rPr>
    </w:lvl>
    <w:lvl w:ilvl="7" w:tplc="04090003" w:tentative="1">
      <w:start w:val="1"/>
      <w:numFmt w:val="lowerLetter"/>
      <w:lvlText w:val="%8."/>
      <w:lvlJc w:val="left"/>
      <w:pPr>
        <w:tabs>
          <w:tab w:val="num" w:pos="5460"/>
        </w:tabs>
        <w:ind w:left="5460" w:hanging="360"/>
      </w:pPr>
      <w:rPr>
        <w:rFonts w:cs="Times New Roman"/>
      </w:rPr>
    </w:lvl>
    <w:lvl w:ilvl="8" w:tplc="04090005" w:tentative="1">
      <w:start w:val="1"/>
      <w:numFmt w:val="lowerRoman"/>
      <w:lvlText w:val="%9."/>
      <w:lvlJc w:val="right"/>
      <w:pPr>
        <w:tabs>
          <w:tab w:val="num" w:pos="6180"/>
        </w:tabs>
        <w:ind w:left="6180" w:hanging="180"/>
      </w:pPr>
      <w:rPr>
        <w:rFonts w:cs="Times New Roman"/>
      </w:rPr>
    </w:lvl>
  </w:abstractNum>
  <w:abstractNum w:abstractNumId="10">
    <w:nsid w:val="4A183553"/>
    <w:multiLevelType w:val="hybridMultilevel"/>
    <w:tmpl w:val="8CB690B6"/>
    <w:lvl w:ilvl="0" w:tplc="4A32E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425877"/>
    <w:multiLevelType w:val="hybridMultilevel"/>
    <w:tmpl w:val="D88CEA80"/>
    <w:lvl w:ilvl="0" w:tplc="D2C69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619300E6"/>
    <w:multiLevelType w:val="hybridMultilevel"/>
    <w:tmpl w:val="793EAA92"/>
    <w:lvl w:ilvl="0" w:tplc="FFFFFFFF">
      <w:start w:val="1"/>
      <w:numFmt w:val="decimal"/>
      <w:lvlText w:val="%1."/>
      <w:lvlJc w:val="left"/>
      <w:pPr>
        <w:tabs>
          <w:tab w:val="num" w:pos="720"/>
        </w:tabs>
        <w:ind w:left="72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63CA112A"/>
    <w:multiLevelType w:val="hybridMultilevel"/>
    <w:tmpl w:val="1F2C667A"/>
    <w:lvl w:ilvl="0" w:tplc="20F4ADDC">
      <w:start w:val="1"/>
      <w:numFmt w:val="bullet"/>
      <w:lvlText w:val=""/>
      <w:lvlJc w:val="left"/>
      <w:pPr>
        <w:ind w:left="576"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2"/>
  </w:num>
  <w:num w:numId="3">
    <w:abstractNumId w:val="9"/>
  </w:num>
  <w:num w:numId="4">
    <w:abstractNumId w:val="8"/>
  </w:num>
  <w:num w:numId="5">
    <w:abstractNumId w:val="14"/>
  </w:num>
  <w:num w:numId="6">
    <w:abstractNumId w:val="13"/>
  </w:num>
  <w:num w:numId="7">
    <w:abstractNumId w:val="7"/>
  </w:num>
  <w:num w:numId="8">
    <w:abstractNumId w:val="4"/>
  </w:num>
  <w:num w:numId="9">
    <w:abstractNumId w:val="1"/>
  </w:num>
  <w:num w:numId="10">
    <w:abstractNumId w:val="6"/>
  </w:num>
  <w:num w:numId="11">
    <w:abstractNumId w:val="5"/>
  </w:num>
  <w:num w:numId="12">
    <w:abstractNumId w:val="10"/>
  </w:num>
  <w:num w:numId="13">
    <w:abstractNumId w:val="11"/>
  </w:num>
  <w:num w:numId="14">
    <w:abstractNumId w:val="3"/>
  </w:num>
  <w:num w:numId="1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8"/>
  <w:stylePaneSortMethod w:val="0000"/>
  <w:defaultTabStop w:val="720"/>
  <w:noPunctuationKerning/>
  <w:characterSpacingControl w:val="doNotCompress"/>
  <w:footnotePr>
    <w:footnote w:id="-1"/>
    <w:footnote w:id="0"/>
  </w:footnotePr>
  <w:endnotePr>
    <w:endnote w:id="-1"/>
    <w:endnote w:id="0"/>
  </w:endnotePr>
  <w:compat/>
  <w:rsids>
    <w:rsidRoot w:val="00D46A91"/>
    <w:rsid w:val="00006AB2"/>
    <w:rsid w:val="000073D2"/>
    <w:rsid w:val="00010285"/>
    <w:rsid w:val="00013098"/>
    <w:rsid w:val="00014D16"/>
    <w:rsid w:val="00016E5D"/>
    <w:rsid w:val="0001715E"/>
    <w:rsid w:val="0002156A"/>
    <w:rsid w:val="00021B81"/>
    <w:rsid w:val="00024B93"/>
    <w:rsid w:val="00027031"/>
    <w:rsid w:val="00033676"/>
    <w:rsid w:val="00035A1F"/>
    <w:rsid w:val="0005173B"/>
    <w:rsid w:val="00053D33"/>
    <w:rsid w:val="00055BD4"/>
    <w:rsid w:val="00055F70"/>
    <w:rsid w:val="00056850"/>
    <w:rsid w:val="000571FD"/>
    <w:rsid w:val="0006128E"/>
    <w:rsid w:val="00064C30"/>
    <w:rsid w:val="00072C63"/>
    <w:rsid w:val="000760B3"/>
    <w:rsid w:val="00076442"/>
    <w:rsid w:val="00076767"/>
    <w:rsid w:val="00076FFE"/>
    <w:rsid w:val="000822C0"/>
    <w:rsid w:val="000946D8"/>
    <w:rsid w:val="00095B10"/>
    <w:rsid w:val="000965F4"/>
    <w:rsid w:val="000A1BC4"/>
    <w:rsid w:val="000A3D71"/>
    <w:rsid w:val="000A4B65"/>
    <w:rsid w:val="000A609C"/>
    <w:rsid w:val="000B3057"/>
    <w:rsid w:val="000B5B19"/>
    <w:rsid w:val="000C0BF4"/>
    <w:rsid w:val="000C4899"/>
    <w:rsid w:val="000E395A"/>
    <w:rsid w:val="000E6546"/>
    <w:rsid w:val="000F3D28"/>
    <w:rsid w:val="00110E0C"/>
    <w:rsid w:val="00112C2B"/>
    <w:rsid w:val="0011387B"/>
    <w:rsid w:val="0011486A"/>
    <w:rsid w:val="00114F27"/>
    <w:rsid w:val="001166A1"/>
    <w:rsid w:val="001302E1"/>
    <w:rsid w:val="00137B11"/>
    <w:rsid w:val="00147108"/>
    <w:rsid w:val="00151250"/>
    <w:rsid w:val="00151395"/>
    <w:rsid w:val="00152DFC"/>
    <w:rsid w:val="00155573"/>
    <w:rsid w:val="00160304"/>
    <w:rsid w:val="00162E9D"/>
    <w:rsid w:val="001656F2"/>
    <w:rsid w:val="0016597D"/>
    <w:rsid w:val="0017124A"/>
    <w:rsid w:val="00171303"/>
    <w:rsid w:val="001718A8"/>
    <w:rsid w:val="00175EE3"/>
    <w:rsid w:val="00180162"/>
    <w:rsid w:val="00182ED7"/>
    <w:rsid w:val="001832DE"/>
    <w:rsid w:val="0018563E"/>
    <w:rsid w:val="00194A21"/>
    <w:rsid w:val="0019517D"/>
    <w:rsid w:val="00196926"/>
    <w:rsid w:val="001A1A89"/>
    <w:rsid w:val="001A27C5"/>
    <w:rsid w:val="001B189B"/>
    <w:rsid w:val="001B2F93"/>
    <w:rsid w:val="001B5BA8"/>
    <w:rsid w:val="001B6122"/>
    <w:rsid w:val="001B78C1"/>
    <w:rsid w:val="001C2ECE"/>
    <w:rsid w:val="001C39AB"/>
    <w:rsid w:val="001C4E6E"/>
    <w:rsid w:val="001D33C9"/>
    <w:rsid w:val="001D3F98"/>
    <w:rsid w:val="001D5EC8"/>
    <w:rsid w:val="001D6DC5"/>
    <w:rsid w:val="001E2185"/>
    <w:rsid w:val="001E2C0E"/>
    <w:rsid w:val="001E63EF"/>
    <w:rsid w:val="001E736B"/>
    <w:rsid w:val="001F0C81"/>
    <w:rsid w:val="00202241"/>
    <w:rsid w:val="0020700B"/>
    <w:rsid w:val="0020761A"/>
    <w:rsid w:val="00207E8F"/>
    <w:rsid w:val="00211B2E"/>
    <w:rsid w:val="00213567"/>
    <w:rsid w:val="00215CB2"/>
    <w:rsid w:val="002179E0"/>
    <w:rsid w:val="00221D72"/>
    <w:rsid w:val="00223327"/>
    <w:rsid w:val="00223CDD"/>
    <w:rsid w:val="002338BE"/>
    <w:rsid w:val="00236BC0"/>
    <w:rsid w:val="00237321"/>
    <w:rsid w:val="00237701"/>
    <w:rsid w:val="002407E0"/>
    <w:rsid w:val="00242D2C"/>
    <w:rsid w:val="00246CCD"/>
    <w:rsid w:val="00250EB1"/>
    <w:rsid w:val="0025209F"/>
    <w:rsid w:val="00260C05"/>
    <w:rsid w:val="002677ED"/>
    <w:rsid w:val="00272383"/>
    <w:rsid w:val="00274C42"/>
    <w:rsid w:val="002766BD"/>
    <w:rsid w:val="00276B56"/>
    <w:rsid w:val="00276F38"/>
    <w:rsid w:val="002772A2"/>
    <w:rsid w:val="0028117A"/>
    <w:rsid w:val="0028668D"/>
    <w:rsid w:val="0029307A"/>
    <w:rsid w:val="002A1235"/>
    <w:rsid w:val="002A38E7"/>
    <w:rsid w:val="002B3BC8"/>
    <w:rsid w:val="002B6505"/>
    <w:rsid w:val="002B6ED6"/>
    <w:rsid w:val="002C3412"/>
    <w:rsid w:val="002C60A4"/>
    <w:rsid w:val="002C66D1"/>
    <w:rsid w:val="002C78C3"/>
    <w:rsid w:val="002E39B8"/>
    <w:rsid w:val="002E5EBD"/>
    <w:rsid w:val="002E76A6"/>
    <w:rsid w:val="002F13DB"/>
    <w:rsid w:val="002F289E"/>
    <w:rsid w:val="002F3B3B"/>
    <w:rsid w:val="002F48EC"/>
    <w:rsid w:val="002F6523"/>
    <w:rsid w:val="00302FC2"/>
    <w:rsid w:val="003036B2"/>
    <w:rsid w:val="00304A58"/>
    <w:rsid w:val="00305805"/>
    <w:rsid w:val="00325801"/>
    <w:rsid w:val="003270D3"/>
    <w:rsid w:val="00327FF0"/>
    <w:rsid w:val="00331E3B"/>
    <w:rsid w:val="00334B7A"/>
    <w:rsid w:val="003378A5"/>
    <w:rsid w:val="00343192"/>
    <w:rsid w:val="00347889"/>
    <w:rsid w:val="003506F4"/>
    <w:rsid w:val="0035129B"/>
    <w:rsid w:val="00353921"/>
    <w:rsid w:val="00353D07"/>
    <w:rsid w:val="003540A9"/>
    <w:rsid w:val="00354255"/>
    <w:rsid w:val="00354793"/>
    <w:rsid w:val="0035742F"/>
    <w:rsid w:val="0035760A"/>
    <w:rsid w:val="00357746"/>
    <w:rsid w:val="00357AF0"/>
    <w:rsid w:val="00357B6F"/>
    <w:rsid w:val="0037320E"/>
    <w:rsid w:val="003804D4"/>
    <w:rsid w:val="003B205A"/>
    <w:rsid w:val="003B4C9B"/>
    <w:rsid w:val="003D5F0F"/>
    <w:rsid w:val="003D6EC3"/>
    <w:rsid w:val="003E0596"/>
    <w:rsid w:val="003E0A59"/>
    <w:rsid w:val="003E1A8D"/>
    <w:rsid w:val="003E39DA"/>
    <w:rsid w:val="003E5576"/>
    <w:rsid w:val="003F02AD"/>
    <w:rsid w:val="003F264C"/>
    <w:rsid w:val="003F54D7"/>
    <w:rsid w:val="00400488"/>
    <w:rsid w:val="004010C2"/>
    <w:rsid w:val="00401513"/>
    <w:rsid w:val="00402BAD"/>
    <w:rsid w:val="004059D1"/>
    <w:rsid w:val="0041691A"/>
    <w:rsid w:val="00423334"/>
    <w:rsid w:val="00427554"/>
    <w:rsid w:val="004316FE"/>
    <w:rsid w:val="00434BC5"/>
    <w:rsid w:val="00434DFE"/>
    <w:rsid w:val="00435E00"/>
    <w:rsid w:val="004503A3"/>
    <w:rsid w:val="00451757"/>
    <w:rsid w:val="00453377"/>
    <w:rsid w:val="0045406A"/>
    <w:rsid w:val="00463AEE"/>
    <w:rsid w:val="00463DD1"/>
    <w:rsid w:val="004647AD"/>
    <w:rsid w:val="004661CD"/>
    <w:rsid w:val="00466CA9"/>
    <w:rsid w:val="0047358D"/>
    <w:rsid w:val="00475CDB"/>
    <w:rsid w:val="00475E78"/>
    <w:rsid w:val="0047674A"/>
    <w:rsid w:val="004767F2"/>
    <w:rsid w:val="0048430B"/>
    <w:rsid w:val="0048474B"/>
    <w:rsid w:val="004920B6"/>
    <w:rsid w:val="00492F67"/>
    <w:rsid w:val="00495ADF"/>
    <w:rsid w:val="004A2778"/>
    <w:rsid w:val="004B1AE8"/>
    <w:rsid w:val="004B394C"/>
    <w:rsid w:val="004B3E35"/>
    <w:rsid w:val="004B62E4"/>
    <w:rsid w:val="004C06DC"/>
    <w:rsid w:val="004C0743"/>
    <w:rsid w:val="004C0E0E"/>
    <w:rsid w:val="004C3D72"/>
    <w:rsid w:val="004C439D"/>
    <w:rsid w:val="004C56A3"/>
    <w:rsid w:val="004D0161"/>
    <w:rsid w:val="004D3C37"/>
    <w:rsid w:val="004D56D6"/>
    <w:rsid w:val="004D6CF6"/>
    <w:rsid w:val="004E0E8D"/>
    <w:rsid w:val="004E330F"/>
    <w:rsid w:val="004E5C7B"/>
    <w:rsid w:val="004E5D2F"/>
    <w:rsid w:val="004E66DD"/>
    <w:rsid w:val="004E7EEF"/>
    <w:rsid w:val="004F167F"/>
    <w:rsid w:val="004F5A5E"/>
    <w:rsid w:val="004F6D9E"/>
    <w:rsid w:val="004F7197"/>
    <w:rsid w:val="0050115D"/>
    <w:rsid w:val="00504DCF"/>
    <w:rsid w:val="005052A4"/>
    <w:rsid w:val="00511375"/>
    <w:rsid w:val="0051213C"/>
    <w:rsid w:val="00512AAC"/>
    <w:rsid w:val="00512F04"/>
    <w:rsid w:val="00513E02"/>
    <w:rsid w:val="0051577F"/>
    <w:rsid w:val="00516D68"/>
    <w:rsid w:val="00517264"/>
    <w:rsid w:val="0051762A"/>
    <w:rsid w:val="00517FFB"/>
    <w:rsid w:val="005217EF"/>
    <w:rsid w:val="0053050F"/>
    <w:rsid w:val="00531587"/>
    <w:rsid w:val="00534341"/>
    <w:rsid w:val="00534DAB"/>
    <w:rsid w:val="00536740"/>
    <w:rsid w:val="005375D0"/>
    <w:rsid w:val="00540E39"/>
    <w:rsid w:val="00541CA2"/>
    <w:rsid w:val="00542461"/>
    <w:rsid w:val="005453DD"/>
    <w:rsid w:val="00546209"/>
    <w:rsid w:val="005516D0"/>
    <w:rsid w:val="00551F4D"/>
    <w:rsid w:val="005565F3"/>
    <w:rsid w:val="00557329"/>
    <w:rsid w:val="0055752E"/>
    <w:rsid w:val="00560B5E"/>
    <w:rsid w:val="00561E6D"/>
    <w:rsid w:val="00564B60"/>
    <w:rsid w:val="005749DD"/>
    <w:rsid w:val="0057707D"/>
    <w:rsid w:val="00580B99"/>
    <w:rsid w:val="0058360B"/>
    <w:rsid w:val="005909A3"/>
    <w:rsid w:val="00590C43"/>
    <w:rsid w:val="0059246C"/>
    <w:rsid w:val="00592720"/>
    <w:rsid w:val="00593639"/>
    <w:rsid w:val="0059719C"/>
    <w:rsid w:val="005A5E4A"/>
    <w:rsid w:val="005A7F97"/>
    <w:rsid w:val="005B21C5"/>
    <w:rsid w:val="005B2C7E"/>
    <w:rsid w:val="005B4154"/>
    <w:rsid w:val="005C255F"/>
    <w:rsid w:val="005C7BB4"/>
    <w:rsid w:val="005D7D2F"/>
    <w:rsid w:val="005E1462"/>
    <w:rsid w:val="005E217C"/>
    <w:rsid w:val="005E62F2"/>
    <w:rsid w:val="005F006A"/>
    <w:rsid w:val="005F3E92"/>
    <w:rsid w:val="006040A6"/>
    <w:rsid w:val="006048A8"/>
    <w:rsid w:val="00604C05"/>
    <w:rsid w:val="00605B8B"/>
    <w:rsid w:val="00613A18"/>
    <w:rsid w:val="00614FA3"/>
    <w:rsid w:val="00622A6F"/>
    <w:rsid w:val="0062348A"/>
    <w:rsid w:val="006269EB"/>
    <w:rsid w:val="00626DBA"/>
    <w:rsid w:val="00626E3F"/>
    <w:rsid w:val="0062779E"/>
    <w:rsid w:val="0063138F"/>
    <w:rsid w:val="00632AAE"/>
    <w:rsid w:val="00635CB0"/>
    <w:rsid w:val="00640847"/>
    <w:rsid w:val="00657935"/>
    <w:rsid w:val="0065799B"/>
    <w:rsid w:val="00662BD9"/>
    <w:rsid w:val="00663D09"/>
    <w:rsid w:val="006713F3"/>
    <w:rsid w:val="00671A7D"/>
    <w:rsid w:val="006763FF"/>
    <w:rsid w:val="006937C8"/>
    <w:rsid w:val="006A10BF"/>
    <w:rsid w:val="006A2387"/>
    <w:rsid w:val="006A30ED"/>
    <w:rsid w:val="006A46BB"/>
    <w:rsid w:val="006A604F"/>
    <w:rsid w:val="006B14CF"/>
    <w:rsid w:val="006B3CB0"/>
    <w:rsid w:val="006B43C6"/>
    <w:rsid w:val="006B4955"/>
    <w:rsid w:val="006D3678"/>
    <w:rsid w:val="006D4600"/>
    <w:rsid w:val="006E102A"/>
    <w:rsid w:val="006E2440"/>
    <w:rsid w:val="006E5049"/>
    <w:rsid w:val="006F4360"/>
    <w:rsid w:val="00706496"/>
    <w:rsid w:val="00706653"/>
    <w:rsid w:val="00707527"/>
    <w:rsid w:val="00707F96"/>
    <w:rsid w:val="00712259"/>
    <w:rsid w:val="0071443E"/>
    <w:rsid w:val="00717571"/>
    <w:rsid w:val="00720E5F"/>
    <w:rsid w:val="00722078"/>
    <w:rsid w:val="00726255"/>
    <w:rsid w:val="00733F91"/>
    <w:rsid w:val="00736695"/>
    <w:rsid w:val="00737857"/>
    <w:rsid w:val="007440B2"/>
    <w:rsid w:val="007473F8"/>
    <w:rsid w:val="00747F72"/>
    <w:rsid w:val="0075331E"/>
    <w:rsid w:val="00754198"/>
    <w:rsid w:val="00755297"/>
    <w:rsid w:val="0076082D"/>
    <w:rsid w:val="0076448A"/>
    <w:rsid w:val="00764529"/>
    <w:rsid w:val="00773689"/>
    <w:rsid w:val="0077591C"/>
    <w:rsid w:val="00782650"/>
    <w:rsid w:val="007838EC"/>
    <w:rsid w:val="00786C85"/>
    <w:rsid w:val="00787D03"/>
    <w:rsid w:val="007908DB"/>
    <w:rsid w:val="0079182C"/>
    <w:rsid w:val="00792A03"/>
    <w:rsid w:val="007B18BA"/>
    <w:rsid w:val="007B5258"/>
    <w:rsid w:val="007B6FE4"/>
    <w:rsid w:val="007C1C47"/>
    <w:rsid w:val="007C3C05"/>
    <w:rsid w:val="007C47F1"/>
    <w:rsid w:val="007C4A4E"/>
    <w:rsid w:val="007C5DCF"/>
    <w:rsid w:val="007C7074"/>
    <w:rsid w:val="007D3125"/>
    <w:rsid w:val="007E15BB"/>
    <w:rsid w:val="007E16F1"/>
    <w:rsid w:val="007E3554"/>
    <w:rsid w:val="007E4A5C"/>
    <w:rsid w:val="007E6753"/>
    <w:rsid w:val="007E6CAE"/>
    <w:rsid w:val="007F0B28"/>
    <w:rsid w:val="007F0B3C"/>
    <w:rsid w:val="007F293F"/>
    <w:rsid w:val="007F3449"/>
    <w:rsid w:val="007F50C9"/>
    <w:rsid w:val="007F576C"/>
    <w:rsid w:val="007F7D99"/>
    <w:rsid w:val="00804E98"/>
    <w:rsid w:val="00807E0E"/>
    <w:rsid w:val="00810192"/>
    <w:rsid w:val="00815F84"/>
    <w:rsid w:val="0081656F"/>
    <w:rsid w:val="008241F7"/>
    <w:rsid w:val="00832BA3"/>
    <w:rsid w:val="00833B35"/>
    <w:rsid w:val="008357CC"/>
    <w:rsid w:val="00835984"/>
    <w:rsid w:val="008423C2"/>
    <w:rsid w:val="0084464B"/>
    <w:rsid w:val="00847929"/>
    <w:rsid w:val="008567E6"/>
    <w:rsid w:val="00856CF5"/>
    <w:rsid w:val="0086043F"/>
    <w:rsid w:val="00866127"/>
    <w:rsid w:val="00870307"/>
    <w:rsid w:val="00870515"/>
    <w:rsid w:val="0087321B"/>
    <w:rsid w:val="0087417D"/>
    <w:rsid w:val="008762A3"/>
    <w:rsid w:val="008807B7"/>
    <w:rsid w:val="008808FA"/>
    <w:rsid w:val="008815DF"/>
    <w:rsid w:val="008A0231"/>
    <w:rsid w:val="008A0A0F"/>
    <w:rsid w:val="008A3CF6"/>
    <w:rsid w:val="008A4C91"/>
    <w:rsid w:val="008B2C5D"/>
    <w:rsid w:val="008B3BC8"/>
    <w:rsid w:val="008B61A1"/>
    <w:rsid w:val="008B79CD"/>
    <w:rsid w:val="008C3FC1"/>
    <w:rsid w:val="008C68D7"/>
    <w:rsid w:val="008D0635"/>
    <w:rsid w:val="008D1165"/>
    <w:rsid w:val="008D1F49"/>
    <w:rsid w:val="008D43BE"/>
    <w:rsid w:val="008D5BD8"/>
    <w:rsid w:val="008E0EF2"/>
    <w:rsid w:val="008E3D3F"/>
    <w:rsid w:val="008E59B4"/>
    <w:rsid w:val="008E79A6"/>
    <w:rsid w:val="008E7D6E"/>
    <w:rsid w:val="008F5037"/>
    <w:rsid w:val="008F55FE"/>
    <w:rsid w:val="00900586"/>
    <w:rsid w:val="009057A7"/>
    <w:rsid w:val="00905AB2"/>
    <w:rsid w:val="00906F6F"/>
    <w:rsid w:val="009164CC"/>
    <w:rsid w:val="0092164B"/>
    <w:rsid w:val="0092193B"/>
    <w:rsid w:val="00921AEB"/>
    <w:rsid w:val="00924407"/>
    <w:rsid w:val="00926D45"/>
    <w:rsid w:val="00930B6C"/>
    <w:rsid w:val="00932612"/>
    <w:rsid w:val="00932B36"/>
    <w:rsid w:val="00937302"/>
    <w:rsid w:val="00944BB4"/>
    <w:rsid w:val="00945874"/>
    <w:rsid w:val="00945C31"/>
    <w:rsid w:val="00946D72"/>
    <w:rsid w:val="00947647"/>
    <w:rsid w:val="00947A84"/>
    <w:rsid w:val="009742A5"/>
    <w:rsid w:val="009752B7"/>
    <w:rsid w:val="00975B68"/>
    <w:rsid w:val="00981374"/>
    <w:rsid w:val="00981F2C"/>
    <w:rsid w:val="00983EB9"/>
    <w:rsid w:val="009875AE"/>
    <w:rsid w:val="00987BF5"/>
    <w:rsid w:val="009930E8"/>
    <w:rsid w:val="00996480"/>
    <w:rsid w:val="00997B58"/>
    <w:rsid w:val="009A230F"/>
    <w:rsid w:val="009A41A4"/>
    <w:rsid w:val="009A5D09"/>
    <w:rsid w:val="009A6FCA"/>
    <w:rsid w:val="009A703B"/>
    <w:rsid w:val="009A7DB5"/>
    <w:rsid w:val="009B1628"/>
    <w:rsid w:val="009B5473"/>
    <w:rsid w:val="009B6672"/>
    <w:rsid w:val="009B66BB"/>
    <w:rsid w:val="009C12EC"/>
    <w:rsid w:val="009C4DF6"/>
    <w:rsid w:val="009C6EA2"/>
    <w:rsid w:val="009D0976"/>
    <w:rsid w:val="009D0E6A"/>
    <w:rsid w:val="009D5F40"/>
    <w:rsid w:val="009E0FB3"/>
    <w:rsid w:val="009E4DC5"/>
    <w:rsid w:val="009F1792"/>
    <w:rsid w:val="009F448A"/>
    <w:rsid w:val="009F6C56"/>
    <w:rsid w:val="00A00226"/>
    <w:rsid w:val="00A00CAE"/>
    <w:rsid w:val="00A11547"/>
    <w:rsid w:val="00A123D8"/>
    <w:rsid w:val="00A14087"/>
    <w:rsid w:val="00A15F7A"/>
    <w:rsid w:val="00A234D4"/>
    <w:rsid w:val="00A24170"/>
    <w:rsid w:val="00A32B08"/>
    <w:rsid w:val="00A40208"/>
    <w:rsid w:val="00A45B43"/>
    <w:rsid w:val="00A4616C"/>
    <w:rsid w:val="00A47C1A"/>
    <w:rsid w:val="00A531F7"/>
    <w:rsid w:val="00A53954"/>
    <w:rsid w:val="00A54C94"/>
    <w:rsid w:val="00A60158"/>
    <w:rsid w:val="00A65419"/>
    <w:rsid w:val="00A861AA"/>
    <w:rsid w:val="00A86AB6"/>
    <w:rsid w:val="00A909FF"/>
    <w:rsid w:val="00A935D1"/>
    <w:rsid w:val="00A95965"/>
    <w:rsid w:val="00A95E62"/>
    <w:rsid w:val="00AA129C"/>
    <w:rsid w:val="00AA2337"/>
    <w:rsid w:val="00AA295A"/>
    <w:rsid w:val="00AA573E"/>
    <w:rsid w:val="00AA6473"/>
    <w:rsid w:val="00AA77BD"/>
    <w:rsid w:val="00AB26EE"/>
    <w:rsid w:val="00AB4C03"/>
    <w:rsid w:val="00AB6D73"/>
    <w:rsid w:val="00AC6ACE"/>
    <w:rsid w:val="00AE5483"/>
    <w:rsid w:val="00AE5658"/>
    <w:rsid w:val="00AE6202"/>
    <w:rsid w:val="00AF04BC"/>
    <w:rsid w:val="00AF1349"/>
    <w:rsid w:val="00AF376C"/>
    <w:rsid w:val="00B10B13"/>
    <w:rsid w:val="00B14DA8"/>
    <w:rsid w:val="00B20569"/>
    <w:rsid w:val="00B231F5"/>
    <w:rsid w:val="00B234E3"/>
    <w:rsid w:val="00B23A53"/>
    <w:rsid w:val="00B26EC9"/>
    <w:rsid w:val="00B273A9"/>
    <w:rsid w:val="00B35D40"/>
    <w:rsid w:val="00B37A70"/>
    <w:rsid w:val="00B432D0"/>
    <w:rsid w:val="00B4410E"/>
    <w:rsid w:val="00B45BA4"/>
    <w:rsid w:val="00B51231"/>
    <w:rsid w:val="00B53E72"/>
    <w:rsid w:val="00B62458"/>
    <w:rsid w:val="00B656D0"/>
    <w:rsid w:val="00B65CBF"/>
    <w:rsid w:val="00B713F1"/>
    <w:rsid w:val="00B76002"/>
    <w:rsid w:val="00B769F2"/>
    <w:rsid w:val="00B77A91"/>
    <w:rsid w:val="00B80442"/>
    <w:rsid w:val="00B8430F"/>
    <w:rsid w:val="00B854D4"/>
    <w:rsid w:val="00B9365F"/>
    <w:rsid w:val="00B93BC6"/>
    <w:rsid w:val="00BA2BD7"/>
    <w:rsid w:val="00BA52EC"/>
    <w:rsid w:val="00BA7663"/>
    <w:rsid w:val="00BB7CFA"/>
    <w:rsid w:val="00BC27F0"/>
    <w:rsid w:val="00BC378F"/>
    <w:rsid w:val="00BD60B3"/>
    <w:rsid w:val="00BE11F9"/>
    <w:rsid w:val="00BE2D02"/>
    <w:rsid w:val="00BE4187"/>
    <w:rsid w:val="00BE4639"/>
    <w:rsid w:val="00BE46B7"/>
    <w:rsid w:val="00C01B23"/>
    <w:rsid w:val="00C056FE"/>
    <w:rsid w:val="00C13A64"/>
    <w:rsid w:val="00C149ED"/>
    <w:rsid w:val="00C14ABD"/>
    <w:rsid w:val="00C156AA"/>
    <w:rsid w:val="00C162E9"/>
    <w:rsid w:val="00C207AD"/>
    <w:rsid w:val="00C27787"/>
    <w:rsid w:val="00C32C39"/>
    <w:rsid w:val="00C377AD"/>
    <w:rsid w:val="00C40D2F"/>
    <w:rsid w:val="00C54030"/>
    <w:rsid w:val="00C56175"/>
    <w:rsid w:val="00C56316"/>
    <w:rsid w:val="00C57DB3"/>
    <w:rsid w:val="00C57DF3"/>
    <w:rsid w:val="00C606F0"/>
    <w:rsid w:val="00C623CC"/>
    <w:rsid w:val="00C62587"/>
    <w:rsid w:val="00C62900"/>
    <w:rsid w:val="00C62B41"/>
    <w:rsid w:val="00C65FD6"/>
    <w:rsid w:val="00C74528"/>
    <w:rsid w:val="00C764DD"/>
    <w:rsid w:val="00C77A49"/>
    <w:rsid w:val="00C81A36"/>
    <w:rsid w:val="00C844D6"/>
    <w:rsid w:val="00C93F07"/>
    <w:rsid w:val="00C97B73"/>
    <w:rsid w:val="00CA1153"/>
    <w:rsid w:val="00CA4F62"/>
    <w:rsid w:val="00CA6A7F"/>
    <w:rsid w:val="00CB0350"/>
    <w:rsid w:val="00CB04AD"/>
    <w:rsid w:val="00CB6FA9"/>
    <w:rsid w:val="00CC12D9"/>
    <w:rsid w:val="00CC2139"/>
    <w:rsid w:val="00CC5CCB"/>
    <w:rsid w:val="00CD0CA0"/>
    <w:rsid w:val="00CD2712"/>
    <w:rsid w:val="00CD3575"/>
    <w:rsid w:val="00CD5B39"/>
    <w:rsid w:val="00CD6A6D"/>
    <w:rsid w:val="00CE2674"/>
    <w:rsid w:val="00CF1AF2"/>
    <w:rsid w:val="00CF22F5"/>
    <w:rsid w:val="00CF62F2"/>
    <w:rsid w:val="00D03C09"/>
    <w:rsid w:val="00D05152"/>
    <w:rsid w:val="00D07908"/>
    <w:rsid w:val="00D1572C"/>
    <w:rsid w:val="00D226B5"/>
    <w:rsid w:val="00D25F39"/>
    <w:rsid w:val="00D269D7"/>
    <w:rsid w:val="00D304F1"/>
    <w:rsid w:val="00D32145"/>
    <w:rsid w:val="00D34BB1"/>
    <w:rsid w:val="00D34D18"/>
    <w:rsid w:val="00D358C3"/>
    <w:rsid w:val="00D41ECD"/>
    <w:rsid w:val="00D428B5"/>
    <w:rsid w:val="00D43F13"/>
    <w:rsid w:val="00D444C4"/>
    <w:rsid w:val="00D4534A"/>
    <w:rsid w:val="00D46A91"/>
    <w:rsid w:val="00D46D1A"/>
    <w:rsid w:val="00D47208"/>
    <w:rsid w:val="00D557BC"/>
    <w:rsid w:val="00D565A0"/>
    <w:rsid w:val="00D6798C"/>
    <w:rsid w:val="00D70A49"/>
    <w:rsid w:val="00D70C31"/>
    <w:rsid w:val="00D70D55"/>
    <w:rsid w:val="00D718F3"/>
    <w:rsid w:val="00D7688C"/>
    <w:rsid w:val="00D820DC"/>
    <w:rsid w:val="00D853EC"/>
    <w:rsid w:val="00D901E3"/>
    <w:rsid w:val="00D9062D"/>
    <w:rsid w:val="00D924E3"/>
    <w:rsid w:val="00D946CC"/>
    <w:rsid w:val="00D957BB"/>
    <w:rsid w:val="00D96218"/>
    <w:rsid w:val="00D97D66"/>
    <w:rsid w:val="00DA0C0D"/>
    <w:rsid w:val="00DA6F9F"/>
    <w:rsid w:val="00DB5E1A"/>
    <w:rsid w:val="00DC304E"/>
    <w:rsid w:val="00DC3E18"/>
    <w:rsid w:val="00DC69D5"/>
    <w:rsid w:val="00DC7757"/>
    <w:rsid w:val="00DD248A"/>
    <w:rsid w:val="00DD549C"/>
    <w:rsid w:val="00DE0FD5"/>
    <w:rsid w:val="00DE2328"/>
    <w:rsid w:val="00DE445B"/>
    <w:rsid w:val="00DE5245"/>
    <w:rsid w:val="00DF110D"/>
    <w:rsid w:val="00DF693C"/>
    <w:rsid w:val="00E04585"/>
    <w:rsid w:val="00E07659"/>
    <w:rsid w:val="00E1300D"/>
    <w:rsid w:val="00E31AC5"/>
    <w:rsid w:val="00E32F5E"/>
    <w:rsid w:val="00E41945"/>
    <w:rsid w:val="00E46A00"/>
    <w:rsid w:val="00E5341B"/>
    <w:rsid w:val="00E5440F"/>
    <w:rsid w:val="00E54E11"/>
    <w:rsid w:val="00E62A23"/>
    <w:rsid w:val="00E63647"/>
    <w:rsid w:val="00E65D46"/>
    <w:rsid w:val="00E666E3"/>
    <w:rsid w:val="00E66F29"/>
    <w:rsid w:val="00E67EB8"/>
    <w:rsid w:val="00E717B2"/>
    <w:rsid w:val="00E719CF"/>
    <w:rsid w:val="00E732AE"/>
    <w:rsid w:val="00E736A7"/>
    <w:rsid w:val="00E81C80"/>
    <w:rsid w:val="00E8217C"/>
    <w:rsid w:val="00E82257"/>
    <w:rsid w:val="00E86C10"/>
    <w:rsid w:val="00E90293"/>
    <w:rsid w:val="00E92991"/>
    <w:rsid w:val="00E93544"/>
    <w:rsid w:val="00E96025"/>
    <w:rsid w:val="00E97BAB"/>
    <w:rsid w:val="00EA6BB6"/>
    <w:rsid w:val="00EA7EF0"/>
    <w:rsid w:val="00EB1CD2"/>
    <w:rsid w:val="00EB4CBA"/>
    <w:rsid w:val="00EC13CD"/>
    <w:rsid w:val="00EC2E8F"/>
    <w:rsid w:val="00EC4C91"/>
    <w:rsid w:val="00EC746D"/>
    <w:rsid w:val="00ED16CD"/>
    <w:rsid w:val="00ED3073"/>
    <w:rsid w:val="00ED69DB"/>
    <w:rsid w:val="00EE3E63"/>
    <w:rsid w:val="00EE42E3"/>
    <w:rsid w:val="00EE7763"/>
    <w:rsid w:val="00EF2984"/>
    <w:rsid w:val="00EF3F85"/>
    <w:rsid w:val="00F05F53"/>
    <w:rsid w:val="00F07D6D"/>
    <w:rsid w:val="00F11F1A"/>
    <w:rsid w:val="00F13997"/>
    <w:rsid w:val="00F177AE"/>
    <w:rsid w:val="00F17889"/>
    <w:rsid w:val="00F17979"/>
    <w:rsid w:val="00F20A34"/>
    <w:rsid w:val="00F22932"/>
    <w:rsid w:val="00F2305F"/>
    <w:rsid w:val="00F26C05"/>
    <w:rsid w:val="00F30967"/>
    <w:rsid w:val="00F322F3"/>
    <w:rsid w:val="00F34137"/>
    <w:rsid w:val="00F35E39"/>
    <w:rsid w:val="00F41479"/>
    <w:rsid w:val="00F430D3"/>
    <w:rsid w:val="00F47939"/>
    <w:rsid w:val="00F512D4"/>
    <w:rsid w:val="00F51AAD"/>
    <w:rsid w:val="00F553C3"/>
    <w:rsid w:val="00F563BE"/>
    <w:rsid w:val="00F57CB6"/>
    <w:rsid w:val="00F66166"/>
    <w:rsid w:val="00F6655A"/>
    <w:rsid w:val="00F67967"/>
    <w:rsid w:val="00F72F56"/>
    <w:rsid w:val="00F742FA"/>
    <w:rsid w:val="00F76775"/>
    <w:rsid w:val="00F77DF8"/>
    <w:rsid w:val="00F82D5A"/>
    <w:rsid w:val="00F84D13"/>
    <w:rsid w:val="00F86544"/>
    <w:rsid w:val="00F87497"/>
    <w:rsid w:val="00F97687"/>
    <w:rsid w:val="00FA525B"/>
    <w:rsid w:val="00FA7085"/>
    <w:rsid w:val="00FB2926"/>
    <w:rsid w:val="00FB2E0C"/>
    <w:rsid w:val="00FC28BA"/>
    <w:rsid w:val="00FD0707"/>
    <w:rsid w:val="00FD1187"/>
    <w:rsid w:val="00FD4747"/>
    <w:rsid w:val="00FD7883"/>
    <w:rsid w:val="00FE13DC"/>
    <w:rsid w:val="00FE3C52"/>
    <w:rsid w:val="00FE75FE"/>
    <w:rsid w:val="00FF1003"/>
    <w:rsid w:val="00FF2982"/>
    <w:rsid w:val="00FF2F60"/>
    <w:rsid w:val="00FF423C"/>
    <w:rsid w:val="00FF44CE"/>
    <w:rsid w:val="00FF4613"/>
    <w:rsid w:val="00FF72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767"/>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9D0976"/>
    <w:pPr>
      <w:keepNext/>
      <w:spacing w:before="240" w:after="120"/>
      <w:ind w:left="907" w:hanging="907"/>
      <w:outlineLvl w:val="2"/>
    </w:pPr>
    <w:rPr>
      <w:rFonts w:cs="Arial"/>
      <w:b/>
      <w:bCs/>
      <w:i/>
      <w:iCs/>
      <w:szCs w:val="22"/>
      <w:lang w:val="en-CA"/>
    </w:rPr>
  </w:style>
  <w:style w:type="paragraph" w:styleId="Heading4">
    <w:name w:val="heading 4"/>
    <w:basedOn w:val="Normal"/>
    <w:next w:val="Normal"/>
    <w:qFormat/>
    <w:rsid w:val="0048430B"/>
    <w:pPr>
      <w:keepNext/>
      <w:spacing w:before="120" w:after="240"/>
      <w:ind w:left="-86"/>
      <w:outlineLvl w:val="3"/>
    </w:pPr>
    <w:rPr>
      <w:rFonts w:cs="Arial"/>
      <w:b/>
      <w:bCs/>
      <w:szCs w:val="22"/>
      <w:u w:val="single"/>
    </w:rPr>
  </w:style>
  <w:style w:type="paragraph" w:styleId="Heading5">
    <w:name w:val="heading 5"/>
    <w:basedOn w:val="Normal"/>
    <w:next w:val="Normal"/>
    <w:qFormat/>
    <w:rsid w:val="00592720"/>
    <w:pPr>
      <w:keepNext/>
      <w:widowControl w:val="0"/>
      <w:spacing w:before="120" w:after="12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E5440F"/>
    <w:pPr>
      <w:numPr>
        <w:numId w:val="15"/>
      </w:numPr>
      <w:spacing w:after="120" w:line="360" w:lineRule="auto"/>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7F0B28"/>
    <w:rPr>
      <w:rFonts w:ascii="Times New Roman Bold" w:hAnsi="Times New Roman Bold"/>
      <w:b/>
      <w:bCs/>
      <w:caps/>
      <w:sz w:val="24"/>
      <w:szCs w:val="24"/>
    </w:rPr>
  </w:style>
  <w:style w:type="character" w:customStyle="1" w:styleId="Heading2Char">
    <w:name w:val="Heading 2 Char"/>
    <w:basedOn w:val="DefaultParagraphFont"/>
    <w:link w:val="Heading2"/>
    <w:locked/>
    <w:rsid w:val="007F0B28"/>
    <w:rPr>
      <w:rFonts w:cs="Arial"/>
      <w:b/>
      <w:bCs/>
      <w:iCs/>
      <w:sz w:val="24"/>
      <w:szCs w:val="28"/>
    </w:rPr>
  </w:style>
  <w:style w:type="paragraph" w:styleId="BodyTextIndent">
    <w:name w:val="Body Text Indent"/>
    <w:basedOn w:val="Normal"/>
    <w:link w:val="BodyTextIndentChar"/>
    <w:uiPriority w:val="99"/>
    <w:rsid w:val="007F0B28"/>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7F0B28"/>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7F0B28"/>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7F0B28"/>
  </w:style>
  <w:style w:type="paragraph" w:styleId="BodyText">
    <w:name w:val="Body Text"/>
    <w:basedOn w:val="Normal"/>
    <w:link w:val="BodyTextChar"/>
    <w:uiPriority w:val="99"/>
    <w:rsid w:val="007F0B28"/>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7F0B28"/>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7F0B28"/>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7F0B28"/>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Cover-Title">
    <w:name w:val="Cover-Title"/>
    <w:basedOn w:val="Normal"/>
    <w:qFormat/>
    <w:rsid w:val="007F0B28"/>
    <w:rPr>
      <w:rFonts w:ascii="Arial" w:hAnsi="Arial" w:cs="Arial"/>
      <w:b/>
      <w:bCs/>
      <w:color w:val="000000"/>
      <w:spacing w:val="-6"/>
      <w:sz w:val="60"/>
      <w:szCs w:val="60"/>
    </w:rPr>
  </w:style>
  <w:style w:type="paragraph" w:customStyle="1" w:styleId="aboxtxt">
    <w:name w:val="abox_txt"/>
    <w:qFormat/>
    <w:rsid w:val="007F0B28"/>
    <w:pPr>
      <w:framePr w:hSpace="144" w:wrap="around" w:vAnchor="text" w:hAnchor="text" w:xAlign="right" w:y="1"/>
      <w:spacing w:before="20" w:after="20"/>
      <w:suppressOverlap/>
    </w:pPr>
    <w:rPr>
      <w:rFonts w:ascii="Arial" w:hAnsi="Arial"/>
      <w:sz w:val="18"/>
    </w:rPr>
  </w:style>
  <w:style w:type="paragraph" w:customStyle="1" w:styleId="aboxhdg">
    <w:name w:val="abox_hdg"/>
    <w:qFormat/>
    <w:rsid w:val="007F0B28"/>
    <w:pPr>
      <w:framePr w:hSpace="144" w:wrap="around" w:vAnchor="text" w:hAnchor="text" w:xAlign="right" w:y="1"/>
      <w:spacing w:before="60" w:after="40"/>
      <w:suppressOverlap/>
      <w:jc w:val="center"/>
    </w:pPr>
    <w:rPr>
      <w:rFonts w:ascii="Arial" w:hAnsi="Arial"/>
      <w:b/>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bodytextpsg">
    <w:name w:val="body text_psg"/>
    <w:basedOn w:val="Normal"/>
    <w:link w:val="bodytextpsgCharChar"/>
    <w:rsid w:val="007F0B28"/>
    <w:pPr>
      <w:spacing w:after="240"/>
      <w:ind w:firstLine="720"/>
    </w:pPr>
    <w:rPr>
      <w:sz w:val="22"/>
      <w:szCs w:val="20"/>
    </w:rPr>
  </w:style>
  <w:style w:type="character" w:customStyle="1" w:styleId="bodytextpsgCharChar">
    <w:name w:val="body text_psg Char Char"/>
    <w:basedOn w:val="DefaultParagraphFont"/>
    <w:link w:val="bodytextpsg"/>
    <w:rsid w:val="007F0B28"/>
    <w:rPr>
      <w:sz w:val="22"/>
    </w:rPr>
  </w:style>
  <w:style w:type="paragraph" w:styleId="ListParagraph">
    <w:name w:val="List Paragraph"/>
    <w:basedOn w:val="Normal"/>
    <w:uiPriority w:val="99"/>
    <w:qFormat/>
    <w:rsid w:val="007F0B28"/>
    <w:pPr>
      <w:ind w:left="720"/>
      <w:contextualSpacing/>
    </w:pPr>
  </w:style>
  <w:style w:type="character" w:styleId="CommentReference">
    <w:name w:val="annotation reference"/>
    <w:basedOn w:val="DefaultParagraphFont"/>
    <w:rsid w:val="007F0B28"/>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7F0B28"/>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7F0B28"/>
  </w:style>
  <w:style w:type="paragraph" w:styleId="CommentSubject">
    <w:name w:val="annotation subject"/>
    <w:basedOn w:val="CommentText"/>
    <w:next w:val="CommentText"/>
    <w:link w:val="CommentSubjectChar"/>
    <w:rsid w:val="007F0B28"/>
    <w:rPr>
      <w:b/>
      <w:bCs/>
    </w:rPr>
  </w:style>
  <w:style w:type="character" w:customStyle="1" w:styleId="CommentSubjectChar">
    <w:name w:val="Comment Subject Char"/>
    <w:basedOn w:val="CommentTextChar"/>
    <w:link w:val="CommentSubject"/>
    <w:rsid w:val="007F0B28"/>
    <w:rPr>
      <w:b/>
      <w:bCs/>
    </w:rPr>
  </w:style>
  <w:style w:type="paragraph" w:customStyle="1" w:styleId="Bulletblank">
    <w:name w:val="Bullet_blank"/>
    <w:basedOn w:val="bullets"/>
    <w:qFormat/>
    <w:rsid w:val="007F0B28"/>
  </w:style>
  <w:style w:type="paragraph" w:customStyle="1" w:styleId="FootnoteText1">
    <w:name w:val="Footnote Text1"/>
    <w:rsid w:val="007F0B28"/>
    <w:pPr>
      <w:autoSpaceDE w:val="0"/>
      <w:autoSpaceDN w:val="0"/>
      <w:adjustRightInd w:val="0"/>
    </w:pPr>
  </w:style>
  <w:style w:type="paragraph" w:customStyle="1" w:styleId="bulletslast">
    <w:name w:val="bullets_last"/>
    <w:basedOn w:val="bullets"/>
    <w:qFormat/>
    <w:rsid w:val="007F0B28"/>
    <w:pPr>
      <w:spacing w:after="240" w:line="240" w:lineRule="auto"/>
    </w:pPr>
    <w:rPr>
      <w:color w:val="auto"/>
      <w:sz w:val="22"/>
      <w:szCs w:val="20"/>
    </w:rPr>
  </w:style>
  <w:style w:type="character" w:customStyle="1" w:styleId="apple-style-span">
    <w:name w:val="apple-style-span"/>
    <w:basedOn w:val="DefaultParagraphFont"/>
    <w:rsid w:val="007F0B28"/>
  </w:style>
  <w:style w:type="character" w:customStyle="1" w:styleId="apple-converted-space">
    <w:name w:val="apple-converted-space"/>
    <w:basedOn w:val="DefaultParagraphFont"/>
    <w:rsid w:val="007F0B28"/>
  </w:style>
  <w:style w:type="paragraph" w:customStyle="1" w:styleId="Default">
    <w:name w:val="Default"/>
    <w:rsid w:val="007F0B28"/>
    <w:pPr>
      <w:autoSpaceDE w:val="0"/>
      <w:autoSpaceDN w:val="0"/>
      <w:adjustRightInd w:val="0"/>
    </w:pPr>
    <w:rPr>
      <w:rFonts w:ascii="News Gothic" w:hAnsi="News Gothic" w:cs="News Gothic"/>
      <w:color w:val="000000"/>
      <w:sz w:val="24"/>
      <w:szCs w:val="24"/>
    </w:rPr>
  </w:style>
  <w:style w:type="character" w:customStyle="1" w:styleId="A6">
    <w:name w:val="A6"/>
    <w:uiPriority w:val="99"/>
    <w:rsid w:val="007F0B28"/>
    <w:rPr>
      <w:rFonts w:cs="Minion"/>
      <w:color w:val="000000"/>
      <w:sz w:val="11"/>
      <w:szCs w:val="11"/>
    </w:rPr>
  </w:style>
  <w:style w:type="character" w:styleId="FollowedHyperlink">
    <w:name w:val="FollowedHyperlink"/>
    <w:basedOn w:val="DefaultParagraphFont"/>
    <w:rsid w:val="007F0B28"/>
    <w:rPr>
      <w:color w:val="800080"/>
      <w:u w:val="single"/>
    </w:rPr>
  </w:style>
  <w:style w:type="character" w:customStyle="1" w:styleId="Footer1">
    <w:name w:val="Footer1"/>
    <w:basedOn w:val="DefaultParagraphFont"/>
    <w:rsid w:val="007F0B28"/>
  </w:style>
  <w:style w:type="paragraph" w:customStyle="1" w:styleId="ExhibitTitle">
    <w:name w:val="Exhibit Title"/>
    <w:basedOn w:val="FigureTitle"/>
    <w:qFormat/>
    <w:rsid w:val="00592720"/>
    <w:pPr>
      <w:spacing w:line="360" w:lineRule="auto"/>
      <w:contextualSpacing/>
    </w:pPr>
    <w:rPr>
      <w:snapToGrid w:val="0"/>
      <w:sz w:val="22"/>
      <w:szCs w:val="22"/>
    </w:rPr>
  </w:style>
  <w:style w:type="paragraph" w:customStyle="1" w:styleId="Style1">
    <w:name w:val="Style1"/>
    <w:basedOn w:val="Normal"/>
    <w:qFormat/>
    <w:rsid w:val="00592720"/>
    <w:rPr>
      <w:bCs/>
      <w:sz w:val="20"/>
    </w:rPr>
  </w:style>
  <w:style w:type="paragraph" w:customStyle="1" w:styleId="Tabletext">
    <w:name w:val="Table text"/>
    <w:basedOn w:val="Normal"/>
    <w:qFormat/>
    <w:rsid w:val="009D0976"/>
    <w:pPr>
      <w:autoSpaceDE w:val="0"/>
      <w:autoSpaceDN w:val="0"/>
      <w:spacing w:before="80" w:after="80"/>
      <w:contextualSpacing/>
    </w:pPr>
    <w:rPr>
      <w:bCs/>
      <w:sz w:val="22"/>
      <w:szCs w:val="22"/>
    </w:rPr>
  </w:style>
  <w:style w:type="paragraph" w:customStyle="1" w:styleId="bulletsblank">
    <w:name w:val="bullets blank"/>
    <w:basedOn w:val="bodytext0"/>
    <w:qFormat/>
    <w:rsid w:val="00076767"/>
    <w:pPr>
      <w:ind w:left="1350" w:hanging="630"/>
      <w:contextualSpacing/>
    </w:pPr>
    <w:rPr>
      <w:szCs w:val="22"/>
    </w:rPr>
  </w:style>
  <w:style w:type="table" w:styleId="TableList3">
    <w:name w:val="Table List 3"/>
    <w:basedOn w:val="TableNormal"/>
    <w:rsid w:val="00E5440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ppHeadingSub1">
    <w:name w:val="App Heading Sub1"/>
    <w:basedOn w:val="Normal"/>
    <w:qFormat/>
    <w:rsid w:val="002C66D1"/>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 w:type="paragraph" w:styleId="Revision">
    <w:name w:val="Revision"/>
    <w:hidden/>
    <w:uiPriority w:val="99"/>
    <w:semiHidden/>
    <w:rsid w:val="009930E8"/>
    <w:rPr>
      <w:sz w:val="24"/>
      <w:szCs w:val="24"/>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0">
    <w:name w:val="body text"/>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EmailStyle80">
    <w:name w:val="EmailStyle801"/>
    <w:aliases w:val="EmailStyle801"/>
    <w:basedOn w:val="DefaultParagraphFont"/>
    <w:semiHidden/>
    <w:personal/>
    <w:personalReply/>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basedOn w:val="DefaultParagraphFont"/>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760293313">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218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rabius@mdanderson.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wallin@rt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blevine@rti.org"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nman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E8D8E-A947-48A5-85DA-F7F80F8CDA8C}">
  <ds:schemaRefs>
    <ds:schemaRef ds:uri="http://schemas.openxmlformats.org/officeDocument/2006/bibliography"/>
  </ds:schemaRefs>
</ds:datastoreItem>
</file>

<file path=customXml/itemProps2.xml><?xml version="1.0" encoding="utf-8"?>
<ds:datastoreItem xmlns:ds="http://schemas.openxmlformats.org/officeDocument/2006/customXml" ds:itemID="{67E9033C-16BB-453B-873B-2E8C108F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3746</Words>
  <Characters>23024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26717</CharactersWithSpaces>
  <SharedDoc>false</SharedDoc>
  <HLinks>
    <vt:vector size="420" baseType="variant">
      <vt:variant>
        <vt:i4>2031682</vt:i4>
      </vt:variant>
      <vt:variant>
        <vt:i4>410</vt:i4>
      </vt:variant>
      <vt:variant>
        <vt:i4>0</vt:i4>
      </vt:variant>
      <vt:variant>
        <vt:i4>5</vt:i4>
      </vt:variant>
      <vt:variant>
        <vt:lpwstr>http://www.ncbi.nlm.nih.gov/pubmed?term=%22Abrams%20DB%22%5BAuthor%5D</vt:lpwstr>
      </vt:variant>
      <vt:variant>
        <vt:lpwstr/>
      </vt:variant>
      <vt:variant>
        <vt:i4>3801198</vt:i4>
      </vt:variant>
      <vt:variant>
        <vt:i4>407</vt:i4>
      </vt:variant>
      <vt:variant>
        <vt:i4>0</vt:i4>
      </vt:variant>
      <vt:variant>
        <vt:i4>5</vt:i4>
      </vt:variant>
      <vt:variant>
        <vt:lpwstr>http://www.ncbi.nlm.nih.gov/pubmed?term=%22Papandonatos%20G%22%5BAuthor%5D</vt:lpwstr>
      </vt:variant>
      <vt:variant>
        <vt:lpwstr/>
      </vt:variant>
      <vt:variant>
        <vt:i4>6357040</vt:i4>
      </vt:variant>
      <vt:variant>
        <vt:i4>404</vt:i4>
      </vt:variant>
      <vt:variant>
        <vt:i4>0</vt:i4>
      </vt:variant>
      <vt:variant>
        <vt:i4>5</vt:i4>
      </vt:variant>
      <vt:variant>
        <vt:lpwstr>http://www.ncbi.nlm.nih.gov/pubmed?term=%22Bock%20BC%22%5BAuthor%5D</vt:lpwstr>
      </vt:variant>
      <vt:variant>
        <vt:lpwstr/>
      </vt:variant>
      <vt:variant>
        <vt:i4>524352</vt:i4>
      </vt:variant>
      <vt:variant>
        <vt:i4>401</vt:i4>
      </vt:variant>
      <vt:variant>
        <vt:i4>0</vt:i4>
      </vt:variant>
      <vt:variant>
        <vt:i4>5</vt:i4>
      </vt:variant>
      <vt:variant>
        <vt:lpwstr>http://www.ncbi.nlm.nih.gov/pubmed?term=%22Graham%20AL%22%5BAuthor%5D</vt:lpwstr>
      </vt:variant>
      <vt:variant>
        <vt:lpwstr/>
      </vt:variant>
      <vt:variant>
        <vt:i4>6881333</vt:i4>
      </vt:variant>
      <vt:variant>
        <vt:i4>398</vt:i4>
      </vt:variant>
      <vt:variant>
        <vt:i4>0</vt:i4>
      </vt:variant>
      <vt:variant>
        <vt:i4>5</vt:i4>
      </vt:variant>
      <vt:variant>
        <vt:lpwstr>http://www.ncbi.nlm.nih.gov/pubmed?term=%22Cobb%20NK%22%5BAuthor%5D</vt:lpwstr>
      </vt:variant>
      <vt:variant>
        <vt:lpwstr/>
      </vt:variant>
      <vt:variant>
        <vt:i4>7995478</vt:i4>
      </vt:variant>
      <vt:variant>
        <vt:i4>395</vt:i4>
      </vt:variant>
      <vt:variant>
        <vt:i4>0</vt:i4>
      </vt:variant>
      <vt:variant>
        <vt:i4>5</vt:i4>
      </vt:variant>
      <vt:variant>
        <vt:lpwstr>mailto:blevine@rti.org</vt:lpwstr>
      </vt:variant>
      <vt:variant>
        <vt:lpwstr/>
      </vt:variant>
      <vt:variant>
        <vt:i4>1048609</vt:i4>
      </vt:variant>
      <vt:variant>
        <vt:i4>392</vt:i4>
      </vt:variant>
      <vt:variant>
        <vt:i4>0</vt:i4>
      </vt:variant>
      <vt:variant>
        <vt:i4>5</vt:i4>
      </vt:variant>
      <vt:variant>
        <vt:lpwstr>mailto:nmann@rti.org</vt:lpwstr>
      </vt:variant>
      <vt:variant>
        <vt:lpwstr/>
      </vt:variant>
      <vt:variant>
        <vt:i4>4915321</vt:i4>
      </vt:variant>
      <vt:variant>
        <vt:i4>389</vt:i4>
      </vt:variant>
      <vt:variant>
        <vt:i4>0</vt:i4>
      </vt:variant>
      <vt:variant>
        <vt:i4>5</vt:i4>
      </vt:variant>
      <vt:variant>
        <vt:lpwstr>mailto:varabius@mdanderson.org</vt:lpwstr>
      </vt:variant>
      <vt:variant>
        <vt:lpwstr/>
      </vt:variant>
      <vt:variant>
        <vt:i4>7864400</vt:i4>
      </vt:variant>
      <vt:variant>
        <vt:i4>386</vt:i4>
      </vt:variant>
      <vt:variant>
        <vt:i4>0</vt:i4>
      </vt:variant>
      <vt:variant>
        <vt:i4>5</vt:i4>
      </vt:variant>
      <vt:variant>
        <vt:lpwstr>mailto:jwallin@rti.org</vt:lpwstr>
      </vt:variant>
      <vt:variant>
        <vt:lpwstr/>
      </vt:variant>
      <vt:variant>
        <vt:i4>7995457</vt:i4>
      </vt:variant>
      <vt:variant>
        <vt:i4>383</vt:i4>
      </vt:variant>
      <vt:variant>
        <vt:i4>0</vt:i4>
      </vt:variant>
      <vt:variant>
        <vt:i4>5</vt:i4>
      </vt:variant>
      <vt:variant>
        <vt:lpwstr>mailto:mcf@rti.org</vt:lpwstr>
      </vt:variant>
      <vt:variant>
        <vt:lpwstr/>
      </vt:variant>
      <vt:variant>
        <vt:i4>131128</vt:i4>
      </vt:variant>
      <vt:variant>
        <vt:i4>380</vt:i4>
      </vt:variant>
      <vt:variant>
        <vt:i4>0</vt:i4>
      </vt:variant>
      <vt:variant>
        <vt:i4>5</vt:i4>
      </vt:variant>
      <vt:variant>
        <vt:lpwstr>mailto:akim@rti.org</vt:lpwstr>
      </vt:variant>
      <vt:variant>
        <vt:lpwstr/>
      </vt:variant>
      <vt:variant>
        <vt:i4>4915321</vt:i4>
      </vt:variant>
      <vt:variant>
        <vt:i4>377</vt:i4>
      </vt:variant>
      <vt:variant>
        <vt:i4>0</vt:i4>
      </vt:variant>
      <vt:variant>
        <vt:i4>5</vt:i4>
      </vt:variant>
      <vt:variant>
        <vt:lpwstr>mailto:varabius@mdanderson.org</vt:lpwstr>
      </vt:variant>
      <vt:variant>
        <vt:lpwstr/>
      </vt:variant>
      <vt:variant>
        <vt:i4>1048609</vt:i4>
      </vt:variant>
      <vt:variant>
        <vt:i4>374</vt:i4>
      </vt:variant>
      <vt:variant>
        <vt:i4>0</vt:i4>
      </vt:variant>
      <vt:variant>
        <vt:i4>5</vt:i4>
      </vt:variant>
      <vt:variant>
        <vt:lpwstr>mailto:nmann@rti.org</vt:lpwstr>
      </vt:variant>
      <vt:variant>
        <vt:lpwstr/>
      </vt:variant>
      <vt:variant>
        <vt:i4>6881353</vt:i4>
      </vt:variant>
      <vt:variant>
        <vt:i4>371</vt:i4>
      </vt:variant>
      <vt:variant>
        <vt:i4>0</vt:i4>
      </vt:variant>
      <vt:variant>
        <vt:i4>5</vt:i4>
      </vt:variant>
      <vt:variant>
        <vt:lpwstr>mailto:jkeeney@rti.org</vt:lpwstr>
      </vt:variant>
      <vt:variant>
        <vt:lpwstr/>
      </vt:variant>
      <vt:variant>
        <vt:i4>1572917</vt:i4>
      </vt:variant>
      <vt:variant>
        <vt:i4>334</vt:i4>
      </vt:variant>
      <vt:variant>
        <vt:i4>0</vt:i4>
      </vt:variant>
      <vt:variant>
        <vt:i4>5</vt:i4>
      </vt:variant>
      <vt:variant>
        <vt:lpwstr/>
      </vt:variant>
      <vt:variant>
        <vt:lpwstr>_Toc287600013</vt:lpwstr>
      </vt:variant>
      <vt:variant>
        <vt:i4>1572917</vt:i4>
      </vt:variant>
      <vt:variant>
        <vt:i4>328</vt:i4>
      </vt:variant>
      <vt:variant>
        <vt:i4>0</vt:i4>
      </vt:variant>
      <vt:variant>
        <vt:i4>5</vt:i4>
      </vt:variant>
      <vt:variant>
        <vt:lpwstr/>
      </vt:variant>
      <vt:variant>
        <vt:lpwstr>_Toc287600012</vt:lpwstr>
      </vt:variant>
      <vt:variant>
        <vt:i4>1572917</vt:i4>
      </vt:variant>
      <vt:variant>
        <vt:i4>322</vt:i4>
      </vt:variant>
      <vt:variant>
        <vt:i4>0</vt:i4>
      </vt:variant>
      <vt:variant>
        <vt:i4>5</vt:i4>
      </vt:variant>
      <vt:variant>
        <vt:lpwstr/>
      </vt:variant>
      <vt:variant>
        <vt:lpwstr>_Toc287600011</vt:lpwstr>
      </vt:variant>
      <vt:variant>
        <vt:i4>1572917</vt:i4>
      </vt:variant>
      <vt:variant>
        <vt:i4>316</vt:i4>
      </vt:variant>
      <vt:variant>
        <vt:i4>0</vt:i4>
      </vt:variant>
      <vt:variant>
        <vt:i4>5</vt:i4>
      </vt:variant>
      <vt:variant>
        <vt:lpwstr/>
      </vt:variant>
      <vt:variant>
        <vt:lpwstr>_Toc287600010</vt:lpwstr>
      </vt:variant>
      <vt:variant>
        <vt:i4>1638453</vt:i4>
      </vt:variant>
      <vt:variant>
        <vt:i4>310</vt:i4>
      </vt:variant>
      <vt:variant>
        <vt:i4>0</vt:i4>
      </vt:variant>
      <vt:variant>
        <vt:i4>5</vt:i4>
      </vt:variant>
      <vt:variant>
        <vt:lpwstr/>
      </vt:variant>
      <vt:variant>
        <vt:lpwstr>_Toc287600009</vt:lpwstr>
      </vt:variant>
      <vt:variant>
        <vt:i4>1638453</vt:i4>
      </vt:variant>
      <vt:variant>
        <vt:i4>304</vt:i4>
      </vt:variant>
      <vt:variant>
        <vt:i4>0</vt:i4>
      </vt:variant>
      <vt:variant>
        <vt:i4>5</vt:i4>
      </vt:variant>
      <vt:variant>
        <vt:lpwstr/>
      </vt:variant>
      <vt:variant>
        <vt:lpwstr>_Toc287600008</vt:lpwstr>
      </vt:variant>
      <vt:variant>
        <vt:i4>1638453</vt:i4>
      </vt:variant>
      <vt:variant>
        <vt:i4>298</vt:i4>
      </vt:variant>
      <vt:variant>
        <vt:i4>0</vt:i4>
      </vt:variant>
      <vt:variant>
        <vt:i4>5</vt:i4>
      </vt:variant>
      <vt:variant>
        <vt:lpwstr/>
      </vt:variant>
      <vt:variant>
        <vt:lpwstr>_Toc287600007</vt:lpwstr>
      </vt:variant>
      <vt:variant>
        <vt:i4>1638453</vt:i4>
      </vt:variant>
      <vt:variant>
        <vt:i4>292</vt:i4>
      </vt:variant>
      <vt:variant>
        <vt:i4>0</vt:i4>
      </vt:variant>
      <vt:variant>
        <vt:i4>5</vt:i4>
      </vt:variant>
      <vt:variant>
        <vt:lpwstr/>
      </vt:variant>
      <vt:variant>
        <vt:lpwstr>_Toc287600006</vt:lpwstr>
      </vt:variant>
      <vt:variant>
        <vt:i4>1638453</vt:i4>
      </vt:variant>
      <vt:variant>
        <vt:i4>286</vt:i4>
      </vt:variant>
      <vt:variant>
        <vt:i4>0</vt:i4>
      </vt:variant>
      <vt:variant>
        <vt:i4>5</vt:i4>
      </vt:variant>
      <vt:variant>
        <vt:lpwstr/>
      </vt:variant>
      <vt:variant>
        <vt:lpwstr>_Toc287600005</vt:lpwstr>
      </vt:variant>
      <vt:variant>
        <vt:i4>1638453</vt:i4>
      </vt:variant>
      <vt:variant>
        <vt:i4>280</vt:i4>
      </vt:variant>
      <vt:variant>
        <vt:i4>0</vt:i4>
      </vt:variant>
      <vt:variant>
        <vt:i4>5</vt:i4>
      </vt:variant>
      <vt:variant>
        <vt:lpwstr/>
      </vt:variant>
      <vt:variant>
        <vt:lpwstr>_Toc287600004</vt:lpwstr>
      </vt:variant>
      <vt:variant>
        <vt:i4>1638453</vt:i4>
      </vt:variant>
      <vt:variant>
        <vt:i4>274</vt:i4>
      </vt:variant>
      <vt:variant>
        <vt:i4>0</vt:i4>
      </vt:variant>
      <vt:variant>
        <vt:i4>5</vt:i4>
      </vt:variant>
      <vt:variant>
        <vt:lpwstr/>
      </vt:variant>
      <vt:variant>
        <vt:lpwstr>_Toc287600003</vt:lpwstr>
      </vt:variant>
      <vt:variant>
        <vt:i4>1638453</vt:i4>
      </vt:variant>
      <vt:variant>
        <vt:i4>268</vt:i4>
      </vt:variant>
      <vt:variant>
        <vt:i4>0</vt:i4>
      </vt:variant>
      <vt:variant>
        <vt:i4>5</vt:i4>
      </vt:variant>
      <vt:variant>
        <vt:lpwstr/>
      </vt:variant>
      <vt:variant>
        <vt:lpwstr>_Toc287600002</vt:lpwstr>
      </vt:variant>
      <vt:variant>
        <vt:i4>1638453</vt:i4>
      </vt:variant>
      <vt:variant>
        <vt:i4>262</vt:i4>
      </vt:variant>
      <vt:variant>
        <vt:i4>0</vt:i4>
      </vt:variant>
      <vt:variant>
        <vt:i4>5</vt:i4>
      </vt:variant>
      <vt:variant>
        <vt:lpwstr/>
      </vt:variant>
      <vt:variant>
        <vt:lpwstr>_Toc287600001</vt:lpwstr>
      </vt:variant>
      <vt:variant>
        <vt:i4>1638453</vt:i4>
      </vt:variant>
      <vt:variant>
        <vt:i4>256</vt:i4>
      </vt:variant>
      <vt:variant>
        <vt:i4>0</vt:i4>
      </vt:variant>
      <vt:variant>
        <vt:i4>5</vt:i4>
      </vt:variant>
      <vt:variant>
        <vt:lpwstr/>
      </vt:variant>
      <vt:variant>
        <vt:lpwstr>_Toc287600000</vt:lpwstr>
      </vt:variant>
      <vt:variant>
        <vt:i4>1703989</vt:i4>
      </vt:variant>
      <vt:variant>
        <vt:i4>250</vt:i4>
      </vt:variant>
      <vt:variant>
        <vt:i4>0</vt:i4>
      </vt:variant>
      <vt:variant>
        <vt:i4>5</vt:i4>
      </vt:variant>
      <vt:variant>
        <vt:lpwstr/>
      </vt:variant>
      <vt:variant>
        <vt:lpwstr>_Toc287599999</vt:lpwstr>
      </vt:variant>
      <vt:variant>
        <vt:i4>1703989</vt:i4>
      </vt:variant>
      <vt:variant>
        <vt:i4>244</vt:i4>
      </vt:variant>
      <vt:variant>
        <vt:i4>0</vt:i4>
      </vt:variant>
      <vt:variant>
        <vt:i4>5</vt:i4>
      </vt:variant>
      <vt:variant>
        <vt:lpwstr/>
      </vt:variant>
      <vt:variant>
        <vt:lpwstr>_Toc287599998</vt:lpwstr>
      </vt:variant>
      <vt:variant>
        <vt:i4>1703989</vt:i4>
      </vt:variant>
      <vt:variant>
        <vt:i4>238</vt:i4>
      </vt:variant>
      <vt:variant>
        <vt:i4>0</vt:i4>
      </vt:variant>
      <vt:variant>
        <vt:i4>5</vt:i4>
      </vt:variant>
      <vt:variant>
        <vt:lpwstr/>
      </vt:variant>
      <vt:variant>
        <vt:lpwstr>_Toc287599997</vt:lpwstr>
      </vt:variant>
      <vt:variant>
        <vt:i4>1703989</vt:i4>
      </vt:variant>
      <vt:variant>
        <vt:i4>232</vt:i4>
      </vt:variant>
      <vt:variant>
        <vt:i4>0</vt:i4>
      </vt:variant>
      <vt:variant>
        <vt:i4>5</vt:i4>
      </vt:variant>
      <vt:variant>
        <vt:lpwstr/>
      </vt:variant>
      <vt:variant>
        <vt:lpwstr>_Toc287599996</vt:lpwstr>
      </vt:variant>
      <vt:variant>
        <vt:i4>1703989</vt:i4>
      </vt:variant>
      <vt:variant>
        <vt:i4>226</vt:i4>
      </vt:variant>
      <vt:variant>
        <vt:i4>0</vt:i4>
      </vt:variant>
      <vt:variant>
        <vt:i4>5</vt:i4>
      </vt:variant>
      <vt:variant>
        <vt:lpwstr/>
      </vt:variant>
      <vt:variant>
        <vt:lpwstr>_Toc287599995</vt:lpwstr>
      </vt:variant>
      <vt:variant>
        <vt:i4>1703989</vt:i4>
      </vt:variant>
      <vt:variant>
        <vt:i4>220</vt:i4>
      </vt:variant>
      <vt:variant>
        <vt:i4>0</vt:i4>
      </vt:variant>
      <vt:variant>
        <vt:i4>5</vt:i4>
      </vt:variant>
      <vt:variant>
        <vt:lpwstr/>
      </vt:variant>
      <vt:variant>
        <vt:lpwstr>_Toc287599994</vt:lpwstr>
      </vt:variant>
      <vt:variant>
        <vt:i4>1703989</vt:i4>
      </vt:variant>
      <vt:variant>
        <vt:i4>214</vt:i4>
      </vt:variant>
      <vt:variant>
        <vt:i4>0</vt:i4>
      </vt:variant>
      <vt:variant>
        <vt:i4>5</vt:i4>
      </vt:variant>
      <vt:variant>
        <vt:lpwstr/>
      </vt:variant>
      <vt:variant>
        <vt:lpwstr>_Toc287599993</vt:lpwstr>
      </vt:variant>
      <vt:variant>
        <vt:i4>1703989</vt:i4>
      </vt:variant>
      <vt:variant>
        <vt:i4>208</vt:i4>
      </vt:variant>
      <vt:variant>
        <vt:i4>0</vt:i4>
      </vt:variant>
      <vt:variant>
        <vt:i4>5</vt:i4>
      </vt:variant>
      <vt:variant>
        <vt:lpwstr/>
      </vt:variant>
      <vt:variant>
        <vt:lpwstr>_Toc287599992</vt:lpwstr>
      </vt:variant>
      <vt:variant>
        <vt:i4>1703989</vt:i4>
      </vt:variant>
      <vt:variant>
        <vt:i4>202</vt:i4>
      </vt:variant>
      <vt:variant>
        <vt:i4>0</vt:i4>
      </vt:variant>
      <vt:variant>
        <vt:i4>5</vt:i4>
      </vt:variant>
      <vt:variant>
        <vt:lpwstr/>
      </vt:variant>
      <vt:variant>
        <vt:lpwstr>_Toc287599991</vt:lpwstr>
      </vt:variant>
      <vt:variant>
        <vt:i4>1703989</vt:i4>
      </vt:variant>
      <vt:variant>
        <vt:i4>196</vt:i4>
      </vt:variant>
      <vt:variant>
        <vt:i4>0</vt:i4>
      </vt:variant>
      <vt:variant>
        <vt:i4>5</vt:i4>
      </vt:variant>
      <vt:variant>
        <vt:lpwstr/>
      </vt:variant>
      <vt:variant>
        <vt:lpwstr>_Toc287599990</vt:lpwstr>
      </vt:variant>
      <vt:variant>
        <vt:i4>1769525</vt:i4>
      </vt:variant>
      <vt:variant>
        <vt:i4>190</vt:i4>
      </vt:variant>
      <vt:variant>
        <vt:i4>0</vt:i4>
      </vt:variant>
      <vt:variant>
        <vt:i4>5</vt:i4>
      </vt:variant>
      <vt:variant>
        <vt:lpwstr/>
      </vt:variant>
      <vt:variant>
        <vt:lpwstr>_Toc287599989</vt:lpwstr>
      </vt:variant>
      <vt:variant>
        <vt:i4>1769525</vt:i4>
      </vt:variant>
      <vt:variant>
        <vt:i4>184</vt:i4>
      </vt:variant>
      <vt:variant>
        <vt:i4>0</vt:i4>
      </vt:variant>
      <vt:variant>
        <vt:i4>5</vt:i4>
      </vt:variant>
      <vt:variant>
        <vt:lpwstr/>
      </vt:variant>
      <vt:variant>
        <vt:lpwstr>_Toc287599988</vt:lpwstr>
      </vt:variant>
      <vt:variant>
        <vt:i4>1769525</vt:i4>
      </vt:variant>
      <vt:variant>
        <vt:i4>178</vt:i4>
      </vt:variant>
      <vt:variant>
        <vt:i4>0</vt:i4>
      </vt:variant>
      <vt:variant>
        <vt:i4>5</vt:i4>
      </vt:variant>
      <vt:variant>
        <vt:lpwstr/>
      </vt:variant>
      <vt:variant>
        <vt:lpwstr>_Toc287599987</vt:lpwstr>
      </vt:variant>
      <vt:variant>
        <vt:i4>1769525</vt:i4>
      </vt:variant>
      <vt:variant>
        <vt:i4>172</vt:i4>
      </vt:variant>
      <vt:variant>
        <vt:i4>0</vt:i4>
      </vt:variant>
      <vt:variant>
        <vt:i4>5</vt:i4>
      </vt:variant>
      <vt:variant>
        <vt:lpwstr/>
      </vt:variant>
      <vt:variant>
        <vt:lpwstr>_Toc287599986</vt:lpwstr>
      </vt:variant>
      <vt:variant>
        <vt:i4>1769525</vt:i4>
      </vt:variant>
      <vt:variant>
        <vt:i4>166</vt:i4>
      </vt:variant>
      <vt:variant>
        <vt:i4>0</vt:i4>
      </vt:variant>
      <vt:variant>
        <vt:i4>5</vt:i4>
      </vt:variant>
      <vt:variant>
        <vt:lpwstr/>
      </vt:variant>
      <vt:variant>
        <vt:lpwstr>_Toc287599985</vt:lpwstr>
      </vt:variant>
      <vt:variant>
        <vt:i4>1769525</vt:i4>
      </vt:variant>
      <vt:variant>
        <vt:i4>160</vt:i4>
      </vt:variant>
      <vt:variant>
        <vt:i4>0</vt:i4>
      </vt:variant>
      <vt:variant>
        <vt:i4>5</vt:i4>
      </vt:variant>
      <vt:variant>
        <vt:lpwstr/>
      </vt:variant>
      <vt:variant>
        <vt:lpwstr>_Toc287599984</vt:lpwstr>
      </vt:variant>
      <vt:variant>
        <vt:i4>1769525</vt:i4>
      </vt:variant>
      <vt:variant>
        <vt:i4>154</vt:i4>
      </vt:variant>
      <vt:variant>
        <vt:i4>0</vt:i4>
      </vt:variant>
      <vt:variant>
        <vt:i4>5</vt:i4>
      </vt:variant>
      <vt:variant>
        <vt:lpwstr/>
      </vt:variant>
      <vt:variant>
        <vt:lpwstr>_Toc287599983</vt:lpwstr>
      </vt:variant>
      <vt:variant>
        <vt:i4>1769525</vt:i4>
      </vt:variant>
      <vt:variant>
        <vt:i4>148</vt:i4>
      </vt:variant>
      <vt:variant>
        <vt:i4>0</vt:i4>
      </vt:variant>
      <vt:variant>
        <vt:i4>5</vt:i4>
      </vt:variant>
      <vt:variant>
        <vt:lpwstr/>
      </vt:variant>
      <vt:variant>
        <vt:lpwstr>_Toc287599982</vt:lpwstr>
      </vt:variant>
      <vt:variant>
        <vt:i4>1769525</vt:i4>
      </vt:variant>
      <vt:variant>
        <vt:i4>142</vt:i4>
      </vt:variant>
      <vt:variant>
        <vt:i4>0</vt:i4>
      </vt:variant>
      <vt:variant>
        <vt:i4>5</vt:i4>
      </vt:variant>
      <vt:variant>
        <vt:lpwstr/>
      </vt:variant>
      <vt:variant>
        <vt:lpwstr>_Toc287599981</vt:lpwstr>
      </vt:variant>
      <vt:variant>
        <vt:i4>1769525</vt:i4>
      </vt:variant>
      <vt:variant>
        <vt:i4>136</vt:i4>
      </vt:variant>
      <vt:variant>
        <vt:i4>0</vt:i4>
      </vt:variant>
      <vt:variant>
        <vt:i4>5</vt:i4>
      </vt:variant>
      <vt:variant>
        <vt:lpwstr/>
      </vt:variant>
      <vt:variant>
        <vt:lpwstr>_Toc287599980</vt:lpwstr>
      </vt:variant>
      <vt:variant>
        <vt:i4>1310773</vt:i4>
      </vt:variant>
      <vt:variant>
        <vt:i4>130</vt:i4>
      </vt:variant>
      <vt:variant>
        <vt:i4>0</vt:i4>
      </vt:variant>
      <vt:variant>
        <vt:i4>5</vt:i4>
      </vt:variant>
      <vt:variant>
        <vt:lpwstr/>
      </vt:variant>
      <vt:variant>
        <vt:lpwstr>_Toc287599979</vt:lpwstr>
      </vt:variant>
      <vt:variant>
        <vt:i4>1310773</vt:i4>
      </vt:variant>
      <vt:variant>
        <vt:i4>124</vt:i4>
      </vt:variant>
      <vt:variant>
        <vt:i4>0</vt:i4>
      </vt:variant>
      <vt:variant>
        <vt:i4>5</vt:i4>
      </vt:variant>
      <vt:variant>
        <vt:lpwstr/>
      </vt:variant>
      <vt:variant>
        <vt:lpwstr>_Toc287599978</vt:lpwstr>
      </vt:variant>
      <vt:variant>
        <vt:i4>1310773</vt:i4>
      </vt:variant>
      <vt:variant>
        <vt:i4>118</vt:i4>
      </vt:variant>
      <vt:variant>
        <vt:i4>0</vt:i4>
      </vt:variant>
      <vt:variant>
        <vt:i4>5</vt:i4>
      </vt:variant>
      <vt:variant>
        <vt:lpwstr/>
      </vt:variant>
      <vt:variant>
        <vt:lpwstr>_Toc287599977</vt:lpwstr>
      </vt:variant>
      <vt:variant>
        <vt:i4>1310773</vt:i4>
      </vt:variant>
      <vt:variant>
        <vt:i4>112</vt:i4>
      </vt:variant>
      <vt:variant>
        <vt:i4>0</vt:i4>
      </vt:variant>
      <vt:variant>
        <vt:i4>5</vt:i4>
      </vt:variant>
      <vt:variant>
        <vt:lpwstr/>
      </vt:variant>
      <vt:variant>
        <vt:lpwstr>_Toc287599976</vt:lpwstr>
      </vt:variant>
      <vt:variant>
        <vt:i4>1310773</vt:i4>
      </vt:variant>
      <vt:variant>
        <vt:i4>106</vt:i4>
      </vt:variant>
      <vt:variant>
        <vt:i4>0</vt:i4>
      </vt:variant>
      <vt:variant>
        <vt:i4>5</vt:i4>
      </vt:variant>
      <vt:variant>
        <vt:lpwstr/>
      </vt:variant>
      <vt:variant>
        <vt:lpwstr>_Toc287599975</vt:lpwstr>
      </vt:variant>
      <vt:variant>
        <vt:i4>1310773</vt:i4>
      </vt:variant>
      <vt:variant>
        <vt:i4>100</vt:i4>
      </vt:variant>
      <vt:variant>
        <vt:i4>0</vt:i4>
      </vt:variant>
      <vt:variant>
        <vt:i4>5</vt:i4>
      </vt:variant>
      <vt:variant>
        <vt:lpwstr/>
      </vt:variant>
      <vt:variant>
        <vt:lpwstr>_Toc287599974</vt:lpwstr>
      </vt:variant>
      <vt:variant>
        <vt:i4>1310773</vt:i4>
      </vt:variant>
      <vt:variant>
        <vt:i4>94</vt:i4>
      </vt:variant>
      <vt:variant>
        <vt:i4>0</vt:i4>
      </vt:variant>
      <vt:variant>
        <vt:i4>5</vt:i4>
      </vt:variant>
      <vt:variant>
        <vt:lpwstr/>
      </vt:variant>
      <vt:variant>
        <vt:lpwstr>_Toc287599973</vt:lpwstr>
      </vt:variant>
      <vt:variant>
        <vt:i4>1310773</vt:i4>
      </vt:variant>
      <vt:variant>
        <vt:i4>88</vt:i4>
      </vt:variant>
      <vt:variant>
        <vt:i4>0</vt:i4>
      </vt:variant>
      <vt:variant>
        <vt:i4>5</vt:i4>
      </vt:variant>
      <vt:variant>
        <vt:lpwstr/>
      </vt:variant>
      <vt:variant>
        <vt:lpwstr>_Toc287599972</vt:lpwstr>
      </vt:variant>
      <vt:variant>
        <vt:i4>1310773</vt:i4>
      </vt:variant>
      <vt:variant>
        <vt:i4>82</vt:i4>
      </vt:variant>
      <vt:variant>
        <vt:i4>0</vt:i4>
      </vt:variant>
      <vt:variant>
        <vt:i4>5</vt:i4>
      </vt:variant>
      <vt:variant>
        <vt:lpwstr/>
      </vt:variant>
      <vt:variant>
        <vt:lpwstr>_Toc287599971</vt:lpwstr>
      </vt:variant>
      <vt:variant>
        <vt:i4>1310773</vt:i4>
      </vt:variant>
      <vt:variant>
        <vt:i4>76</vt:i4>
      </vt:variant>
      <vt:variant>
        <vt:i4>0</vt:i4>
      </vt:variant>
      <vt:variant>
        <vt:i4>5</vt:i4>
      </vt:variant>
      <vt:variant>
        <vt:lpwstr/>
      </vt:variant>
      <vt:variant>
        <vt:lpwstr>_Toc287599970</vt:lpwstr>
      </vt:variant>
      <vt:variant>
        <vt:i4>1376309</vt:i4>
      </vt:variant>
      <vt:variant>
        <vt:i4>70</vt:i4>
      </vt:variant>
      <vt:variant>
        <vt:i4>0</vt:i4>
      </vt:variant>
      <vt:variant>
        <vt:i4>5</vt:i4>
      </vt:variant>
      <vt:variant>
        <vt:lpwstr/>
      </vt:variant>
      <vt:variant>
        <vt:lpwstr>_Toc287599969</vt:lpwstr>
      </vt:variant>
      <vt:variant>
        <vt:i4>1376309</vt:i4>
      </vt:variant>
      <vt:variant>
        <vt:i4>64</vt:i4>
      </vt:variant>
      <vt:variant>
        <vt:i4>0</vt:i4>
      </vt:variant>
      <vt:variant>
        <vt:i4>5</vt:i4>
      </vt:variant>
      <vt:variant>
        <vt:lpwstr/>
      </vt:variant>
      <vt:variant>
        <vt:lpwstr>_Toc287599968</vt:lpwstr>
      </vt:variant>
      <vt:variant>
        <vt:i4>1376309</vt:i4>
      </vt:variant>
      <vt:variant>
        <vt:i4>58</vt:i4>
      </vt:variant>
      <vt:variant>
        <vt:i4>0</vt:i4>
      </vt:variant>
      <vt:variant>
        <vt:i4>5</vt:i4>
      </vt:variant>
      <vt:variant>
        <vt:lpwstr/>
      </vt:variant>
      <vt:variant>
        <vt:lpwstr>_Toc287599967</vt:lpwstr>
      </vt:variant>
      <vt:variant>
        <vt:i4>1376309</vt:i4>
      </vt:variant>
      <vt:variant>
        <vt:i4>52</vt:i4>
      </vt:variant>
      <vt:variant>
        <vt:i4>0</vt:i4>
      </vt:variant>
      <vt:variant>
        <vt:i4>5</vt:i4>
      </vt:variant>
      <vt:variant>
        <vt:lpwstr/>
      </vt:variant>
      <vt:variant>
        <vt:lpwstr>_Toc287599966</vt:lpwstr>
      </vt:variant>
      <vt:variant>
        <vt:i4>1376309</vt:i4>
      </vt:variant>
      <vt:variant>
        <vt:i4>46</vt:i4>
      </vt:variant>
      <vt:variant>
        <vt:i4>0</vt:i4>
      </vt:variant>
      <vt:variant>
        <vt:i4>5</vt:i4>
      </vt:variant>
      <vt:variant>
        <vt:lpwstr/>
      </vt:variant>
      <vt:variant>
        <vt:lpwstr>_Toc287599965</vt:lpwstr>
      </vt:variant>
      <vt:variant>
        <vt:i4>1376309</vt:i4>
      </vt:variant>
      <vt:variant>
        <vt:i4>40</vt:i4>
      </vt:variant>
      <vt:variant>
        <vt:i4>0</vt:i4>
      </vt:variant>
      <vt:variant>
        <vt:i4>5</vt:i4>
      </vt:variant>
      <vt:variant>
        <vt:lpwstr/>
      </vt:variant>
      <vt:variant>
        <vt:lpwstr>_Toc287599964</vt:lpwstr>
      </vt:variant>
      <vt:variant>
        <vt:i4>1376309</vt:i4>
      </vt:variant>
      <vt:variant>
        <vt:i4>34</vt:i4>
      </vt:variant>
      <vt:variant>
        <vt:i4>0</vt:i4>
      </vt:variant>
      <vt:variant>
        <vt:i4>5</vt:i4>
      </vt:variant>
      <vt:variant>
        <vt:lpwstr/>
      </vt:variant>
      <vt:variant>
        <vt:lpwstr>_Toc287599963</vt:lpwstr>
      </vt:variant>
      <vt:variant>
        <vt:i4>1376309</vt:i4>
      </vt:variant>
      <vt:variant>
        <vt:i4>28</vt:i4>
      </vt:variant>
      <vt:variant>
        <vt:i4>0</vt:i4>
      </vt:variant>
      <vt:variant>
        <vt:i4>5</vt:i4>
      </vt:variant>
      <vt:variant>
        <vt:lpwstr/>
      </vt:variant>
      <vt:variant>
        <vt:lpwstr>_Toc287599962</vt:lpwstr>
      </vt:variant>
      <vt:variant>
        <vt:i4>1376309</vt:i4>
      </vt:variant>
      <vt:variant>
        <vt:i4>22</vt:i4>
      </vt:variant>
      <vt:variant>
        <vt:i4>0</vt:i4>
      </vt:variant>
      <vt:variant>
        <vt:i4>5</vt:i4>
      </vt:variant>
      <vt:variant>
        <vt:lpwstr/>
      </vt:variant>
      <vt:variant>
        <vt:lpwstr>_Toc287599961</vt:lpwstr>
      </vt:variant>
      <vt:variant>
        <vt:i4>1376309</vt:i4>
      </vt:variant>
      <vt:variant>
        <vt:i4>16</vt:i4>
      </vt:variant>
      <vt:variant>
        <vt:i4>0</vt:i4>
      </vt:variant>
      <vt:variant>
        <vt:i4>5</vt:i4>
      </vt:variant>
      <vt:variant>
        <vt:lpwstr/>
      </vt:variant>
      <vt:variant>
        <vt:lpwstr>_Toc287599960</vt:lpwstr>
      </vt:variant>
      <vt:variant>
        <vt:i4>1441845</vt:i4>
      </vt:variant>
      <vt:variant>
        <vt:i4>10</vt:i4>
      </vt:variant>
      <vt:variant>
        <vt:i4>0</vt:i4>
      </vt:variant>
      <vt:variant>
        <vt:i4>5</vt:i4>
      </vt:variant>
      <vt:variant>
        <vt:lpwstr/>
      </vt:variant>
      <vt:variant>
        <vt:lpwstr>_Toc287599959</vt:lpwstr>
      </vt:variant>
      <vt:variant>
        <vt:i4>1441845</vt:i4>
      </vt:variant>
      <vt:variant>
        <vt:i4>4</vt:i4>
      </vt:variant>
      <vt:variant>
        <vt:i4>0</vt:i4>
      </vt:variant>
      <vt:variant>
        <vt:i4>5</vt:i4>
      </vt:variant>
      <vt:variant>
        <vt:lpwstr/>
      </vt:variant>
      <vt:variant>
        <vt:lpwstr>_Toc287599958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Loraine Monroe</dc:creator>
  <cp:lastModifiedBy>hhagood</cp:lastModifiedBy>
  <cp:revision>2</cp:revision>
  <cp:lastPrinted>2011-06-30T19:02:00Z</cp:lastPrinted>
  <dcterms:created xsi:type="dcterms:W3CDTF">2011-08-11T20:27:00Z</dcterms:created>
  <dcterms:modified xsi:type="dcterms:W3CDTF">2011-08-11T20:27:00Z</dcterms:modified>
</cp:coreProperties>
</file>