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CE" w:rsidRPr="0037320E" w:rsidRDefault="00AC6ACE" w:rsidP="00423334">
      <w:pPr>
        <w:jc w:val="center"/>
        <w:rPr>
          <w:b/>
          <w:color w:val="000000"/>
        </w:rPr>
      </w:pPr>
      <w:bookmarkStart w:id="0" w:name="_Toc67387400"/>
    </w:p>
    <w:p w:rsidR="00AC6ACE" w:rsidRPr="0037320E" w:rsidRDefault="00AC6ACE" w:rsidP="00423334">
      <w:pPr>
        <w:jc w:val="center"/>
        <w:rPr>
          <w:b/>
          <w:color w:val="000000"/>
        </w:rPr>
      </w:pPr>
    </w:p>
    <w:p w:rsidR="00AC6ACE" w:rsidRPr="0037320E" w:rsidRDefault="00AC6ACE" w:rsidP="00423334">
      <w:pPr>
        <w:jc w:val="center"/>
        <w:rPr>
          <w:b/>
          <w:color w:val="000000"/>
        </w:rPr>
      </w:pPr>
    </w:p>
    <w:p w:rsidR="005B4008" w:rsidRDefault="00D43F13" w:rsidP="00423334">
      <w:pPr>
        <w:jc w:val="center"/>
        <w:rPr>
          <w:b/>
          <w:color w:val="000000"/>
          <w:sz w:val="28"/>
          <w:szCs w:val="28"/>
        </w:rPr>
      </w:pPr>
      <w:r w:rsidRPr="0037320E">
        <w:rPr>
          <w:b/>
          <w:color w:val="000000"/>
          <w:sz w:val="28"/>
          <w:szCs w:val="28"/>
        </w:rPr>
        <w:t>Supporting Statement</w:t>
      </w:r>
      <w:bookmarkEnd w:id="0"/>
      <w:r w:rsidR="005B4008">
        <w:rPr>
          <w:b/>
          <w:color w:val="000000"/>
          <w:sz w:val="28"/>
          <w:szCs w:val="28"/>
        </w:rPr>
        <w:t xml:space="preserve"> </w:t>
      </w:r>
      <w:r w:rsidR="00EC094C">
        <w:rPr>
          <w:b/>
          <w:color w:val="000000"/>
          <w:sz w:val="28"/>
          <w:szCs w:val="28"/>
        </w:rPr>
        <w:t>Part A</w:t>
      </w:r>
      <w:r w:rsidR="005B4008">
        <w:rPr>
          <w:b/>
          <w:color w:val="000000"/>
          <w:sz w:val="28"/>
          <w:szCs w:val="28"/>
        </w:rPr>
        <w:t>:</w:t>
      </w:r>
    </w:p>
    <w:p w:rsidR="005B4008" w:rsidRDefault="005B4008" w:rsidP="00423334">
      <w:pPr>
        <w:jc w:val="center"/>
        <w:rPr>
          <w:b/>
          <w:color w:val="000000"/>
          <w:sz w:val="28"/>
          <w:szCs w:val="28"/>
        </w:rPr>
      </w:pPr>
    </w:p>
    <w:p w:rsidR="00EC094C" w:rsidRDefault="00EC094C" w:rsidP="00423334">
      <w:pPr>
        <w:jc w:val="center"/>
        <w:rPr>
          <w:b/>
          <w:color w:val="000000"/>
          <w:sz w:val="28"/>
          <w:szCs w:val="28"/>
        </w:rPr>
      </w:pPr>
      <w:r>
        <w:rPr>
          <w:b/>
          <w:color w:val="000000"/>
          <w:sz w:val="28"/>
          <w:szCs w:val="28"/>
        </w:rPr>
        <w:t>Justification</w:t>
      </w:r>
    </w:p>
    <w:p w:rsidR="00EC094C" w:rsidRPr="0037320E" w:rsidRDefault="00EC094C" w:rsidP="00423334">
      <w:pPr>
        <w:jc w:val="center"/>
        <w:rPr>
          <w:b/>
          <w:color w:val="000000"/>
          <w:sz w:val="28"/>
          <w:szCs w:val="28"/>
        </w:rPr>
      </w:pPr>
    </w:p>
    <w:p w:rsidR="00D43F13" w:rsidRPr="009D0976" w:rsidRDefault="009D0976" w:rsidP="00F41479">
      <w:pPr>
        <w:jc w:val="center"/>
        <w:rPr>
          <w:b/>
          <w:color w:val="000000"/>
          <w:sz w:val="28"/>
          <w:szCs w:val="28"/>
        </w:rPr>
      </w:pPr>
      <w:r w:rsidRPr="009D0976">
        <w:rPr>
          <w:b/>
          <w:sz w:val="28"/>
          <w:szCs w:val="28"/>
        </w:rPr>
        <w:t>Comparing the Effectiveness of Traditional Evidence-Based Tobacco Cessation Interventions to Newer and Innovative Interventions Used by Comprehensive Cancer Control Programs</w:t>
      </w:r>
    </w:p>
    <w:p w:rsidR="00162E9D" w:rsidRPr="0037320E" w:rsidRDefault="00162E9D" w:rsidP="00F41479">
      <w:pPr>
        <w:jc w:val="center"/>
        <w:rPr>
          <w:color w:val="000000"/>
        </w:rPr>
      </w:pPr>
    </w:p>
    <w:p w:rsidR="005C0D9C" w:rsidRDefault="005C0D9C" w:rsidP="00F41479">
      <w:pPr>
        <w:jc w:val="center"/>
        <w:rPr>
          <w:color w:val="000000"/>
        </w:rPr>
      </w:pPr>
    </w:p>
    <w:p w:rsidR="005C0D9C" w:rsidRDefault="005C0D9C" w:rsidP="00F41479">
      <w:pPr>
        <w:jc w:val="center"/>
        <w:rPr>
          <w:color w:val="000000"/>
        </w:rPr>
      </w:pPr>
    </w:p>
    <w:p w:rsidR="005C0D9C" w:rsidRDefault="005C0D9C" w:rsidP="00F41479">
      <w:pPr>
        <w:jc w:val="center"/>
        <w:rPr>
          <w:color w:val="000000"/>
        </w:rPr>
      </w:pPr>
    </w:p>
    <w:p w:rsidR="00162E9D" w:rsidRPr="0037320E" w:rsidRDefault="0003510A" w:rsidP="00F41479">
      <w:pPr>
        <w:jc w:val="center"/>
        <w:rPr>
          <w:color w:val="000000"/>
        </w:rPr>
      </w:pPr>
      <w:r>
        <w:rPr>
          <w:color w:val="000000"/>
        </w:rPr>
        <w:t>August 11</w:t>
      </w:r>
      <w:r w:rsidR="00A03789">
        <w:rPr>
          <w:color w:val="000000"/>
        </w:rPr>
        <w:t>, 2011</w:t>
      </w:r>
    </w:p>
    <w:p w:rsidR="00D43F13" w:rsidRPr="0037320E" w:rsidRDefault="00D43F13" w:rsidP="00F41479">
      <w:pPr>
        <w:jc w:val="center"/>
        <w:rPr>
          <w:color w:val="000000"/>
        </w:rPr>
      </w:pPr>
    </w:p>
    <w:p w:rsidR="005C0D9C" w:rsidRDefault="005C0D9C" w:rsidP="00F41479">
      <w:pPr>
        <w:jc w:val="center"/>
        <w:rPr>
          <w:color w:val="000000"/>
        </w:rPr>
      </w:pPr>
    </w:p>
    <w:p w:rsidR="005C0D9C" w:rsidRDefault="005C0D9C" w:rsidP="00F41479">
      <w:pPr>
        <w:jc w:val="center"/>
        <w:rPr>
          <w:color w:val="000000"/>
        </w:rPr>
      </w:pPr>
    </w:p>
    <w:p w:rsidR="005C0D9C" w:rsidRDefault="005C0D9C" w:rsidP="00F41479">
      <w:pPr>
        <w:jc w:val="center"/>
        <w:rPr>
          <w:color w:val="000000"/>
        </w:rPr>
      </w:pPr>
    </w:p>
    <w:p w:rsidR="005C0D9C" w:rsidRDefault="005C0D9C" w:rsidP="00F41479">
      <w:pPr>
        <w:jc w:val="center"/>
        <w:rPr>
          <w:color w:val="000000"/>
        </w:rPr>
      </w:pPr>
    </w:p>
    <w:p w:rsidR="00D43F13" w:rsidRPr="0037320E" w:rsidRDefault="00D43F13" w:rsidP="00F41479">
      <w:pPr>
        <w:jc w:val="center"/>
        <w:rPr>
          <w:color w:val="000000"/>
        </w:rPr>
      </w:pPr>
      <w:r w:rsidRPr="0037320E">
        <w:rPr>
          <w:color w:val="000000"/>
        </w:rPr>
        <w:t>Contact Person</w:t>
      </w:r>
      <w:r w:rsidR="0063138F">
        <w:rPr>
          <w:color w:val="000000"/>
        </w:rPr>
        <w:t>s</w:t>
      </w:r>
      <w:r w:rsidRPr="0037320E">
        <w:rPr>
          <w:color w:val="000000"/>
        </w:rPr>
        <w:t>:</w:t>
      </w:r>
    </w:p>
    <w:p w:rsidR="0063138F" w:rsidRPr="0063138F" w:rsidRDefault="0063138F" w:rsidP="0063138F">
      <w:pPr>
        <w:pStyle w:val="Cov-Address"/>
        <w:jc w:val="center"/>
        <w:rPr>
          <w:rFonts w:ascii="Times New Roman" w:hAnsi="Times New Roman"/>
        </w:rPr>
      </w:pPr>
      <w:r w:rsidRPr="0063138F">
        <w:rPr>
          <w:rFonts w:ascii="Times New Roman" w:hAnsi="Times New Roman"/>
        </w:rPr>
        <w:t>Behnoosh Momin, MS, MPH</w:t>
      </w:r>
    </w:p>
    <w:p w:rsidR="0063138F" w:rsidRPr="0063138F" w:rsidRDefault="00703C72" w:rsidP="0063138F">
      <w:pPr>
        <w:pStyle w:val="Cov-Address"/>
        <w:jc w:val="center"/>
        <w:rPr>
          <w:rFonts w:ascii="Times New Roman" w:hAnsi="Times New Roman"/>
        </w:rPr>
      </w:pPr>
      <w:r>
        <w:rPr>
          <w:rFonts w:ascii="Times New Roman" w:hAnsi="Times New Roman"/>
        </w:rPr>
        <w:t>Project Director</w:t>
      </w:r>
    </w:p>
    <w:p w:rsidR="0063138F" w:rsidRPr="0063138F" w:rsidRDefault="0063138F" w:rsidP="0063138F">
      <w:pPr>
        <w:pStyle w:val="Cov-Address"/>
        <w:jc w:val="center"/>
        <w:rPr>
          <w:rFonts w:ascii="Times New Roman" w:hAnsi="Times New Roman"/>
        </w:rPr>
      </w:pPr>
      <w:r w:rsidRPr="0063138F">
        <w:rPr>
          <w:rFonts w:ascii="Times New Roman" w:hAnsi="Times New Roman"/>
        </w:rPr>
        <w:t>Scientific and Clinical Translation Team</w:t>
      </w:r>
    </w:p>
    <w:p w:rsidR="0063138F" w:rsidRPr="0063138F" w:rsidRDefault="0063138F" w:rsidP="0063138F">
      <w:pPr>
        <w:pStyle w:val="Cov-Address"/>
        <w:jc w:val="center"/>
        <w:rPr>
          <w:rFonts w:ascii="Times New Roman" w:hAnsi="Times New Roman"/>
        </w:rPr>
      </w:pPr>
      <w:r w:rsidRPr="0063138F">
        <w:rPr>
          <w:rFonts w:ascii="Times New Roman" w:hAnsi="Times New Roman"/>
        </w:rPr>
        <w:t>Comprehensive Cancer Control</w:t>
      </w:r>
    </w:p>
    <w:p w:rsidR="0063138F" w:rsidRDefault="0063138F" w:rsidP="0063138F">
      <w:pPr>
        <w:pStyle w:val="Cov-Address"/>
        <w:jc w:val="center"/>
        <w:rPr>
          <w:rFonts w:ascii="Times New Roman" w:hAnsi="Times New Roman"/>
        </w:rPr>
      </w:pPr>
      <w:r w:rsidRPr="0063138F">
        <w:rPr>
          <w:rFonts w:ascii="Times New Roman" w:hAnsi="Times New Roman"/>
        </w:rPr>
        <w:t>Centers for Disease Control and Prevention</w:t>
      </w:r>
    </w:p>
    <w:p w:rsidR="0063138F" w:rsidRPr="0063138F" w:rsidRDefault="0063138F" w:rsidP="0063138F">
      <w:pPr>
        <w:pStyle w:val="Cov-Address"/>
        <w:jc w:val="center"/>
        <w:rPr>
          <w:rFonts w:ascii="Times New Roman" w:hAnsi="Times New Roman"/>
        </w:rPr>
      </w:pPr>
      <w:r w:rsidRPr="0063138F">
        <w:rPr>
          <w:rFonts w:ascii="Times New Roman" w:hAnsi="Times New Roman"/>
        </w:rPr>
        <w:t>4770 Buford Highway</w:t>
      </w:r>
      <w:r w:rsidR="00DB520D">
        <w:rPr>
          <w:rFonts w:ascii="Times New Roman" w:hAnsi="Times New Roman"/>
        </w:rPr>
        <w:t>, NE, MS K-57</w:t>
      </w:r>
    </w:p>
    <w:p w:rsidR="0063138F" w:rsidRPr="0063138F" w:rsidRDefault="0063138F" w:rsidP="0063138F">
      <w:pPr>
        <w:pStyle w:val="Cov-Address"/>
        <w:jc w:val="center"/>
        <w:rPr>
          <w:rFonts w:ascii="Times New Roman" w:hAnsi="Times New Roman"/>
        </w:rPr>
      </w:pPr>
      <w:r w:rsidRPr="0063138F">
        <w:rPr>
          <w:rFonts w:ascii="Times New Roman" w:hAnsi="Times New Roman"/>
        </w:rPr>
        <w:t>Atlanta, GA 30341-3717</w:t>
      </w:r>
    </w:p>
    <w:p w:rsidR="0063138F" w:rsidRPr="0063138F" w:rsidRDefault="0063138F" w:rsidP="0063138F">
      <w:pPr>
        <w:pStyle w:val="Cov-Address"/>
        <w:jc w:val="center"/>
        <w:rPr>
          <w:rFonts w:ascii="Times New Roman" w:hAnsi="Times New Roman"/>
        </w:rPr>
      </w:pPr>
      <w:r>
        <w:rPr>
          <w:rFonts w:ascii="Times New Roman" w:hAnsi="Times New Roman"/>
        </w:rPr>
        <w:t>Phone: (770) 488-3112</w:t>
      </w:r>
    </w:p>
    <w:p w:rsidR="0063138F" w:rsidRPr="0063138F" w:rsidRDefault="0063138F" w:rsidP="0063138F">
      <w:pPr>
        <w:pStyle w:val="Cov-Address"/>
        <w:jc w:val="center"/>
        <w:rPr>
          <w:rFonts w:ascii="Times New Roman" w:hAnsi="Times New Roman"/>
        </w:rPr>
      </w:pPr>
      <w:r w:rsidRPr="0063138F">
        <w:rPr>
          <w:rFonts w:ascii="Times New Roman" w:hAnsi="Times New Roman"/>
        </w:rPr>
        <w:t>Fax: (770) 488-4335</w:t>
      </w:r>
    </w:p>
    <w:p w:rsidR="0063138F" w:rsidRPr="0063138F" w:rsidRDefault="0063138F" w:rsidP="0063138F">
      <w:pPr>
        <w:pStyle w:val="Cov-Address"/>
        <w:jc w:val="center"/>
        <w:rPr>
          <w:rFonts w:ascii="Times New Roman" w:hAnsi="Times New Roman"/>
        </w:rPr>
      </w:pPr>
      <w:r w:rsidRPr="0063138F">
        <w:rPr>
          <w:rFonts w:ascii="Times New Roman" w:hAnsi="Times New Roman"/>
        </w:rPr>
        <w:t xml:space="preserve">E-mail: </w:t>
      </w:r>
      <w:r>
        <w:rPr>
          <w:rFonts w:ascii="Times New Roman" w:hAnsi="Times New Roman"/>
        </w:rPr>
        <w:t>FQV</w:t>
      </w:r>
      <w:r w:rsidRPr="0063138F">
        <w:rPr>
          <w:rFonts w:ascii="Times New Roman" w:hAnsi="Times New Roman"/>
        </w:rPr>
        <w:t>6@cdc.gov</w:t>
      </w:r>
    </w:p>
    <w:p w:rsidR="0063138F" w:rsidRPr="0063138F" w:rsidRDefault="0063138F" w:rsidP="0063138F">
      <w:pPr>
        <w:pStyle w:val="Cov-Address"/>
        <w:jc w:val="center"/>
        <w:rPr>
          <w:rFonts w:ascii="Times New Roman" w:hAnsi="Times New Roman"/>
        </w:rPr>
      </w:pPr>
    </w:p>
    <w:p w:rsidR="0063138F" w:rsidRPr="0063138F" w:rsidRDefault="0063138F" w:rsidP="0063138F">
      <w:pPr>
        <w:pStyle w:val="Cov-Address"/>
        <w:jc w:val="center"/>
        <w:rPr>
          <w:rFonts w:ascii="Times New Roman" w:hAnsi="Times New Roman"/>
        </w:rPr>
      </w:pPr>
      <w:r w:rsidRPr="0063138F">
        <w:rPr>
          <w:rFonts w:ascii="Times New Roman" w:hAnsi="Times New Roman"/>
        </w:rPr>
        <w:t>Susan Henderson, MD, MPH</w:t>
      </w:r>
    </w:p>
    <w:p w:rsidR="0063138F" w:rsidRPr="0063138F" w:rsidRDefault="00703C72" w:rsidP="0063138F">
      <w:pPr>
        <w:pStyle w:val="Cov-Address"/>
        <w:jc w:val="center"/>
        <w:rPr>
          <w:rFonts w:ascii="Times New Roman" w:hAnsi="Times New Roman"/>
        </w:rPr>
      </w:pPr>
      <w:r>
        <w:rPr>
          <w:rFonts w:ascii="Times New Roman" w:hAnsi="Times New Roman"/>
        </w:rPr>
        <w:t>Technical Monitor</w:t>
      </w:r>
    </w:p>
    <w:p w:rsidR="0063138F" w:rsidRPr="0063138F" w:rsidRDefault="0063138F" w:rsidP="0063138F">
      <w:pPr>
        <w:pStyle w:val="Cov-Address"/>
        <w:jc w:val="center"/>
        <w:rPr>
          <w:rFonts w:ascii="Times New Roman" w:hAnsi="Times New Roman"/>
        </w:rPr>
      </w:pPr>
      <w:r w:rsidRPr="0063138F">
        <w:rPr>
          <w:rFonts w:ascii="Times New Roman" w:hAnsi="Times New Roman"/>
        </w:rPr>
        <w:t>Centers for Disease Control and Prevention</w:t>
      </w:r>
    </w:p>
    <w:p w:rsidR="0063138F" w:rsidRPr="0063138F" w:rsidRDefault="0063138F" w:rsidP="0063138F">
      <w:pPr>
        <w:pStyle w:val="Cov-Address"/>
        <w:jc w:val="center"/>
        <w:rPr>
          <w:rFonts w:ascii="Times New Roman" w:hAnsi="Times New Roman"/>
        </w:rPr>
      </w:pPr>
      <w:r w:rsidRPr="0063138F">
        <w:rPr>
          <w:rFonts w:ascii="Times New Roman" w:hAnsi="Times New Roman"/>
        </w:rPr>
        <w:t>Division of Cancer Prevention and Control</w:t>
      </w:r>
    </w:p>
    <w:p w:rsidR="0063138F" w:rsidRPr="0063138F" w:rsidRDefault="0063138F" w:rsidP="0063138F">
      <w:pPr>
        <w:pStyle w:val="Cov-Address"/>
        <w:jc w:val="center"/>
        <w:rPr>
          <w:rFonts w:ascii="Times New Roman" w:hAnsi="Times New Roman"/>
        </w:rPr>
      </w:pPr>
      <w:r w:rsidRPr="0063138F">
        <w:rPr>
          <w:rFonts w:ascii="Times New Roman" w:hAnsi="Times New Roman"/>
        </w:rPr>
        <w:t>4770 Buford Highway, NE, MS K-57</w:t>
      </w:r>
    </w:p>
    <w:p w:rsidR="0063138F" w:rsidRPr="0063138F" w:rsidRDefault="0063138F" w:rsidP="0063138F">
      <w:pPr>
        <w:pStyle w:val="Cov-Address"/>
        <w:jc w:val="center"/>
        <w:rPr>
          <w:rFonts w:ascii="Times New Roman" w:hAnsi="Times New Roman"/>
        </w:rPr>
      </w:pPr>
      <w:r w:rsidRPr="0063138F">
        <w:rPr>
          <w:rFonts w:ascii="Times New Roman" w:hAnsi="Times New Roman"/>
        </w:rPr>
        <w:t>Atlanta, GA 30341-3717</w:t>
      </w:r>
    </w:p>
    <w:p w:rsidR="0063138F" w:rsidRPr="0063138F" w:rsidRDefault="0063138F" w:rsidP="0063138F">
      <w:pPr>
        <w:pStyle w:val="Cov-Address"/>
        <w:jc w:val="center"/>
        <w:rPr>
          <w:rFonts w:ascii="Times New Roman" w:hAnsi="Times New Roman"/>
        </w:rPr>
      </w:pPr>
      <w:r w:rsidRPr="0063138F">
        <w:rPr>
          <w:rFonts w:ascii="Times New Roman" w:hAnsi="Times New Roman"/>
        </w:rPr>
        <w:t>Phone: (770) 488-3111</w:t>
      </w:r>
    </w:p>
    <w:p w:rsidR="0063138F" w:rsidRPr="0063138F" w:rsidRDefault="0063138F" w:rsidP="0063138F">
      <w:pPr>
        <w:pStyle w:val="Cov-Address"/>
        <w:jc w:val="center"/>
        <w:rPr>
          <w:rFonts w:ascii="Times New Roman" w:hAnsi="Times New Roman"/>
        </w:rPr>
      </w:pPr>
      <w:r w:rsidRPr="0063138F">
        <w:rPr>
          <w:rFonts w:ascii="Times New Roman" w:hAnsi="Times New Roman"/>
        </w:rPr>
        <w:t>Fax: (770) 488-4335</w:t>
      </w:r>
    </w:p>
    <w:p w:rsidR="0063138F" w:rsidRPr="0063138F" w:rsidRDefault="0063138F" w:rsidP="0063138F">
      <w:pPr>
        <w:pStyle w:val="Cov-Address"/>
        <w:jc w:val="center"/>
        <w:rPr>
          <w:rFonts w:ascii="Times New Roman" w:hAnsi="Times New Roman"/>
        </w:rPr>
      </w:pPr>
      <w:r w:rsidRPr="0063138F">
        <w:rPr>
          <w:rFonts w:ascii="Times New Roman" w:hAnsi="Times New Roman"/>
        </w:rPr>
        <w:t>E-mail: IRV5@cdc.gov</w:t>
      </w:r>
    </w:p>
    <w:p w:rsidR="00D6798C" w:rsidRPr="0037320E" w:rsidRDefault="00D6798C" w:rsidP="00F41479">
      <w:pPr>
        <w:jc w:val="center"/>
        <w:rPr>
          <w:color w:val="000000"/>
        </w:rPr>
      </w:pPr>
    </w:p>
    <w:p w:rsidR="00D43F13" w:rsidRPr="0037320E" w:rsidRDefault="00D43F13" w:rsidP="00832BA3">
      <w:pPr>
        <w:rPr>
          <w:color w:val="000000"/>
        </w:rPr>
      </w:pPr>
    </w:p>
    <w:p w:rsidR="00D43F13" w:rsidRPr="0037320E" w:rsidRDefault="00D43F13" w:rsidP="00832BA3">
      <w:pPr>
        <w:rPr>
          <w:color w:val="000000"/>
        </w:rPr>
      </w:pPr>
    </w:p>
    <w:p w:rsidR="00A14087" w:rsidRPr="0037320E" w:rsidRDefault="00A14087" w:rsidP="00832BA3">
      <w:pPr>
        <w:rPr>
          <w:b/>
          <w:bCs/>
          <w:caps/>
          <w:color w:val="000000"/>
        </w:rPr>
        <w:sectPr w:rsidR="00A14087" w:rsidRPr="0037320E" w:rsidSect="00782650">
          <w:headerReference w:type="default" r:id="rId9"/>
          <w:footerReference w:type="even" r:id="rId10"/>
          <w:pgSz w:w="12240" w:h="15840"/>
          <w:pgMar w:top="1440" w:right="1440" w:bottom="1440" w:left="1440" w:header="720" w:footer="720" w:gutter="0"/>
          <w:cols w:space="720"/>
          <w:docGrid w:linePitch="360"/>
        </w:sectPr>
      </w:pPr>
    </w:p>
    <w:p w:rsidR="00C65FD6" w:rsidRPr="0037320E" w:rsidRDefault="00C65FD6" w:rsidP="00F72F56">
      <w:pPr>
        <w:pStyle w:val="TOC0"/>
      </w:pPr>
      <w:r w:rsidRPr="0037320E">
        <w:rPr>
          <w:bCs/>
        </w:rPr>
        <w:lastRenderedPageBreak/>
        <w:t>TABLE OF CONTENTS</w:t>
      </w:r>
    </w:p>
    <w:p w:rsidR="00C65FD6" w:rsidRPr="0037320E" w:rsidRDefault="00AC6ACE" w:rsidP="00AC6ACE">
      <w:pPr>
        <w:tabs>
          <w:tab w:val="right" w:pos="9360"/>
        </w:tabs>
        <w:rPr>
          <w:color w:val="000000"/>
        </w:rPr>
      </w:pPr>
      <w:r w:rsidRPr="0037320E">
        <w:rPr>
          <w:b/>
          <w:color w:val="000000"/>
        </w:rPr>
        <w:t>Section</w:t>
      </w:r>
      <w:r w:rsidRPr="0037320E">
        <w:rPr>
          <w:color w:val="000000"/>
        </w:rPr>
        <w:tab/>
      </w:r>
      <w:r w:rsidRPr="0037320E">
        <w:rPr>
          <w:b/>
          <w:color w:val="000000"/>
        </w:rPr>
        <w:t>Page</w:t>
      </w:r>
    </w:p>
    <w:p w:rsidR="001D089D" w:rsidRDefault="005D0094">
      <w:pPr>
        <w:pStyle w:val="TOC1"/>
        <w:tabs>
          <w:tab w:val="left" w:pos="1350"/>
        </w:tabs>
        <w:rPr>
          <w:rFonts w:asciiTheme="minorHAnsi" w:eastAsiaTheme="minorEastAsia" w:hAnsiTheme="minorHAnsi" w:cstheme="minorBidi"/>
          <w:sz w:val="22"/>
          <w:szCs w:val="22"/>
        </w:rPr>
      </w:pPr>
      <w:r w:rsidRPr="005D0094">
        <w:rPr>
          <w:b/>
          <w:bCs/>
          <w:caps/>
          <w:color w:val="000000"/>
        </w:rPr>
        <w:fldChar w:fldCharType="begin"/>
      </w:r>
      <w:r w:rsidR="00512F04">
        <w:rPr>
          <w:b/>
          <w:bCs/>
          <w:caps/>
          <w:color w:val="000000"/>
        </w:rPr>
        <w:instrText xml:space="preserve"> TOC \o "1-3" \h \z \u </w:instrText>
      </w:r>
      <w:r w:rsidRPr="005D0094">
        <w:rPr>
          <w:b/>
          <w:bCs/>
          <w:caps/>
          <w:color w:val="000000"/>
        </w:rPr>
        <w:fldChar w:fldCharType="separate"/>
      </w:r>
      <w:hyperlink w:anchor="_Toc297131673" w:history="1">
        <w:r w:rsidR="001D089D" w:rsidRPr="00CE566B">
          <w:rPr>
            <w:rStyle w:val="Hyperlink"/>
          </w:rPr>
          <w:t>A.</w:t>
        </w:r>
        <w:r w:rsidR="001D089D">
          <w:rPr>
            <w:rFonts w:asciiTheme="minorHAnsi" w:eastAsiaTheme="minorEastAsia" w:hAnsiTheme="minorHAnsi" w:cstheme="minorBidi"/>
            <w:sz w:val="22"/>
            <w:szCs w:val="22"/>
          </w:rPr>
          <w:tab/>
        </w:r>
        <w:r w:rsidR="001D089D" w:rsidRPr="00CE566B">
          <w:rPr>
            <w:rStyle w:val="Hyperlink"/>
          </w:rPr>
          <w:t>Justification</w:t>
        </w:r>
        <w:r w:rsidR="001D089D">
          <w:rPr>
            <w:webHidden/>
          </w:rPr>
          <w:tab/>
        </w:r>
        <w:r>
          <w:rPr>
            <w:webHidden/>
          </w:rPr>
          <w:fldChar w:fldCharType="begin"/>
        </w:r>
        <w:r w:rsidR="001D089D">
          <w:rPr>
            <w:webHidden/>
          </w:rPr>
          <w:instrText xml:space="preserve"> PAGEREF _Toc297131673 \h </w:instrText>
        </w:r>
        <w:r>
          <w:rPr>
            <w:webHidden/>
          </w:rPr>
        </w:r>
        <w:r>
          <w:rPr>
            <w:webHidden/>
          </w:rPr>
          <w:fldChar w:fldCharType="separate"/>
        </w:r>
        <w:r w:rsidR="002E48B2">
          <w:rPr>
            <w:webHidden/>
          </w:rPr>
          <w:t>1</w:t>
        </w:r>
        <w:r>
          <w:rPr>
            <w:webHidden/>
          </w:rPr>
          <w:fldChar w:fldCharType="end"/>
        </w:r>
      </w:hyperlink>
    </w:p>
    <w:p w:rsidR="001D089D" w:rsidRDefault="005D0094">
      <w:pPr>
        <w:pStyle w:val="TOC2"/>
        <w:tabs>
          <w:tab w:val="left" w:pos="2340"/>
        </w:tabs>
        <w:rPr>
          <w:rFonts w:asciiTheme="minorHAnsi" w:eastAsiaTheme="minorEastAsia" w:hAnsiTheme="minorHAnsi" w:cstheme="minorBidi"/>
          <w:sz w:val="22"/>
          <w:szCs w:val="22"/>
        </w:rPr>
      </w:pPr>
      <w:hyperlink w:anchor="_Toc297131674" w:history="1">
        <w:r w:rsidR="001D089D" w:rsidRPr="00CE566B">
          <w:rPr>
            <w:rStyle w:val="Hyperlink"/>
          </w:rPr>
          <w:t>A.1.</w:t>
        </w:r>
        <w:r w:rsidR="001D089D">
          <w:rPr>
            <w:rFonts w:asciiTheme="minorHAnsi" w:eastAsiaTheme="minorEastAsia" w:hAnsiTheme="minorHAnsi" w:cstheme="minorBidi"/>
            <w:sz w:val="22"/>
            <w:szCs w:val="22"/>
          </w:rPr>
          <w:tab/>
        </w:r>
        <w:r w:rsidR="001D089D" w:rsidRPr="00CE566B">
          <w:rPr>
            <w:rStyle w:val="Hyperlink"/>
          </w:rPr>
          <w:t>Circumstances Making the Collection of Information Necessary</w:t>
        </w:r>
        <w:r w:rsidR="001D089D">
          <w:rPr>
            <w:webHidden/>
          </w:rPr>
          <w:tab/>
        </w:r>
        <w:r>
          <w:rPr>
            <w:webHidden/>
          </w:rPr>
          <w:fldChar w:fldCharType="begin"/>
        </w:r>
        <w:r w:rsidR="001D089D">
          <w:rPr>
            <w:webHidden/>
          </w:rPr>
          <w:instrText xml:space="preserve"> PAGEREF _Toc297131674 \h </w:instrText>
        </w:r>
        <w:r>
          <w:rPr>
            <w:webHidden/>
          </w:rPr>
        </w:r>
        <w:r>
          <w:rPr>
            <w:webHidden/>
          </w:rPr>
          <w:fldChar w:fldCharType="separate"/>
        </w:r>
        <w:r w:rsidR="002E48B2">
          <w:rPr>
            <w:webHidden/>
          </w:rPr>
          <w:t>1</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75" w:history="1">
        <w:r w:rsidR="001D089D" w:rsidRPr="00CE566B">
          <w:rPr>
            <w:rStyle w:val="Hyperlink"/>
          </w:rPr>
          <w:t>Background</w:t>
        </w:r>
        <w:r w:rsidR="001D089D">
          <w:rPr>
            <w:webHidden/>
          </w:rPr>
          <w:tab/>
        </w:r>
        <w:r>
          <w:rPr>
            <w:webHidden/>
          </w:rPr>
          <w:fldChar w:fldCharType="begin"/>
        </w:r>
        <w:r w:rsidR="001D089D">
          <w:rPr>
            <w:webHidden/>
          </w:rPr>
          <w:instrText xml:space="preserve"> PAGEREF _Toc297131675 \h </w:instrText>
        </w:r>
        <w:r>
          <w:rPr>
            <w:webHidden/>
          </w:rPr>
        </w:r>
        <w:r>
          <w:rPr>
            <w:webHidden/>
          </w:rPr>
          <w:fldChar w:fldCharType="separate"/>
        </w:r>
        <w:r w:rsidR="002E48B2">
          <w:rPr>
            <w:webHidden/>
          </w:rPr>
          <w:t>1</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76" w:history="1">
        <w:r w:rsidR="001D089D" w:rsidRPr="00CE566B">
          <w:rPr>
            <w:rStyle w:val="Hyperlink"/>
          </w:rPr>
          <w:t>Identification of Website(s) and Website Content Directed at Children Under 13 Years of Age</w:t>
        </w:r>
        <w:r w:rsidR="001D089D">
          <w:rPr>
            <w:webHidden/>
          </w:rPr>
          <w:tab/>
        </w:r>
        <w:r>
          <w:rPr>
            <w:webHidden/>
          </w:rPr>
          <w:fldChar w:fldCharType="begin"/>
        </w:r>
        <w:r w:rsidR="001D089D">
          <w:rPr>
            <w:webHidden/>
          </w:rPr>
          <w:instrText xml:space="preserve"> PAGEREF _Toc297131676 \h </w:instrText>
        </w:r>
        <w:r>
          <w:rPr>
            <w:webHidden/>
          </w:rPr>
        </w:r>
        <w:r>
          <w:rPr>
            <w:webHidden/>
          </w:rPr>
          <w:fldChar w:fldCharType="separate"/>
        </w:r>
        <w:r w:rsidR="002E48B2">
          <w:rPr>
            <w:webHidden/>
          </w:rPr>
          <w:t>10</w:t>
        </w:r>
        <w:r>
          <w:rPr>
            <w:webHidden/>
          </w:rPr>
          <w:fldChar w:fldCharType="end"/>
        </w:r>
      </w:hyperlink>
    </w:p>
    <w:p w:rsidR="001D089D" w:rsidRDefault="005D0094">
      <w:pPr>
        <w:pStyle w:val="TOC2"/>
        <w:tabs>
          <w:tab w:val="left" w:pos="1350"/>
        </w:tabs>
        <w:rPr>
          <w:rFonts w:asciiTheme="minorHAnsi" w:eastAsiaTheme="minorEastAsia" w:hAnsiTheme="minorHAnsi" w:cstheme="minorBidi"/>
          <w:sz w:val="22"/>
          <w:szCs w:val="22"/>
        </w:rPr>
      </w:pPr>
      <w:hyperlink w:anchor="_Toc297131677" w:history="1">
        <w:r w:rsidR="001D089D" w:rsidRPr="00CE566B">
          <w:rPr>
            <w:rStyle w:val="Hyperlink"/>
          </w:rPr>
          <w:t>A.2</w:t>
        </w:r>
        <w:r w:rsidR="001D089D">
          <w:rPr>
            <w:rFonts w:asciiTheme="minorHAnsi" w:eastAsiaTheme="minorEastAsia" w:hAnsiTheme="minorHAnsi" w:cstheme="minorBidi"/>
            <w:sz w:val="22"/>
            <w:szCs w:val="22"/>
          </w:rPr>
          <w:tab/>
        </w:r>
        <w:r w:rsidR="001D089D" w:rsidRPr="00CE566B">
          <w:rPr>
            <w:rStyle w:val="Hyperlink"/>
          </w:rPr>
          <w:t>Purpose and Use of the Information Collection</w:t>
        </w:r>
        <w:r w:rsidR="001D089D">
          <w:rPr>
            <w:webHidden/>
          </w:rPr>
          <w:tab/>
        </w:r>
        <w:r>
          <w:rPr>
            <w:webHidden/>
          </w:rPr>
          <w:fldChar w:fldCharType="begin"/>
        </w:r>
        <w:r w:rsidR="001D089D">
          <w:rPr>
            <w:webHidden/>
          </w:rPr>
          <w:instrText xml:space="preserve"> PAGEREF _Toc297131677 \h </w:instrText>
        </w:r>
        <w:r>
          <w:rPr>
            <w:webHidden/>
          </w:rPr>
        </w:r>
        <w:r>
          <w:rPr>
            <w:webHidden/>
          </w:rPr>
          <w:fldChar w:fldCharType="separate"/>
        </w:r>
        <w:r w:rsidR="002E48B2">
          <w:rPr>
            <w:webHidden/>
          </w:rPr>
          <w:t>10</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78" w:history="1">
        <w:r w:rsidR="001D089D" w:rsidRPr="00CE566B">
          <w:rPr>
            <w:rStyle w:val="Hyperlink"/>
          </w:rPr>
          <w:t>Quitline Promotional Activities Component</w:t>
        </w:r>
        <w:r w:rsidR="001D089D">
          <w:rPr>
            <w:webHidden/>
          </w:rPr>
          <w:tab/>
        </w:r>
        <w:r>
          <w:rPr>
            <w:webHidden/>
          </w:rPr>
          <w:fldChar w:fldCharType="begin"/>
        </w:r>
        <w:r w:rsidR="001D089D">
          <w:rPr>
            <w:webHidden/>
          </w:rPr>
          <w:instrText xml:space="preserve"> PAGEREF _Toc297131678 \h </w:instrText>
        </w:r>
        <w:r>
          <w:rPr>
            <w:webHidden/>
          </w:rPr>
        </w:r>
        <w:r>
          <w:rPr>
            <w:webHidden/>
          </w:rPr>
          <w:fldChar w:fldCharType="separate"/>
        </w:r>
        <w:r w:rsidR="002E48B2">
          <w:rPr>
            <w:webHidden/>
          </w:rPr>
          <w:t>10</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79" w:history="1">
        <w:r w:rsidR="001D089D" w:rsidRPr="00CE566B">
          <w:rPr>
            <w:rStyle w:val="Hyperlink"/>
          </w:rPr>
          <w:t>Cessation Intervention Component</w:t>
        </w:r>
        <w:r w:rsidR="001D089D">
          <w:rPr>
            <w:webHidden/>
          </w:rPr>
          <w:tab/>
        </w:r>
        <w:r>
          <w:rPr>
            <w:webHidden/>
          </w:rPr>
          <w:fldChar w:fldCharType="begin"/>
        </w:r>
        <w:r w:rsidR="001D089D">
          <w:rPr>
            <w:webHidden/>
          </w:rPr>
          <w:instrText xml:space="preserve"> PAGEREF _Toc297131679 \h </w:instrText>
        </w:r>
        <w:r>
          <w:rPr>
            <w:webHidden/>
          </w:rPr>
        </w:r>
        <w:r>
          <w:rPr>
            <w:webHidden/>
          </w:rPr>
          <w:fldChar w:fldCharType="separate"/>
        </w:r>
        <w:r w:rsidR="002E48B2">
          <w:rPr>
            <w:webHidden/>
          </w:rPr>
          <w:t>11</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80" w:history="1">
        <w:r w:rsidR="001D089D" w:rsidRPr="00CE566B">
          <w:rPr>
            <w:rStyle w:val="Hyperlink"/>
          </w:rPr>
          <w:t>Privacy Impact Assessment Information</w:t>
        </w:r>
        <w:r w:rsidR="001D089D">
          <w:rPr>
            <w:webHidden/>
          </w:rPr>
          <w:tab/>
        </w:r>
        <w:r>
          <w:rPr>
            <w:webHidden/>
          </w:rPr>
          <w:fldChar w:fldCharType="begin"/>
        </w:r>
        <w:r w:rsidR="001D089D">
          <w:rPr>
            <w:webHidden/>
          </w:rPr>
          <w:instrText xml:space="preserve"> PAGEREF _Toc297131680 \h </w:instrText>
        </w:r>
        <w:r>
          <w:rPr>
            <w:webHidden/>
          </w:rPr>
        </w:r>
        <w:r>
          <w:rPr>
            <w:webHidden/>
          </w:rPr>
          <w:fldChar w:fldCharType="separate"/>
        </w:r>
        <w:r w:rsidR="002E48B2">
          <w:rPr>
            <w:webHidden/>
          </w:rPr>
          <w:t>11</w:t>
        </w:r>
        <w:r>
          <w:rPr>
            <w:webHidden/>
          </w:rPr>
          <w:fldChar w:fldCharType="end"/>
        </w:r>
      </w:hyperlink>
    </w:p>
    <w:p w:rsidR="001D089D" w:rsidRDefault="005D0094">
      <w:pPr>
        <w:pStyle w:val="TOC2"/>
        <w:tabs>
          <w:tab w:val="left" w:pos="1350"/>
        </w:tabs>
        <w:rPr>
          <w:rFonts w:asciiTheme="minorHAnsi" w:eastAsiaTheme="minorEastAsia" w:hAnsiTheme="minorHAnsi" w:cstheme="minorBidi"/>
          <w:sz w:val="22"/>
          <w:szCs w:val="22"/>
        </w:rPr>
      </w:pPr>
      <w:hyperlink w:anchor="_Toc297131681" w:history="1">
        <w:r w:rsidR="001D089D" w:rsidRPr="00CE566B">
          <w:rPr>
            <w:rStyle w:val="Hyperlink"/>
          </w:rPr>
          <w:t>A.3</w:t>
        </w:r>
        <w:r w:rsidR="001D089D">
          <w:rPr>
            <w:rFonts w:asciiTheme="minorHAnsi" w:eastAsiaTheme="minorEastAsia" w:hAnsiTheme="minorHAnsi" w:cstheme="minorBidi"/>
            <w:sz w:val="22"/>
            <w:szCs w:val="22"/>
          </w:rPr>
          <w:tab/>
        </w:r>
        <w:r w:rsidR="001D089D" w:rsidRPr="00CE566B">
          <w:rPr>
            <w:rStyle w:val="Hyperlink"/>
          </w:rPr>
          <w:t>Use of Improved Information Technology and Burden Reduction</w:t>
        </w:r>
        <w:r w:rsidR="001D089D">
          <w:rPr>
            <w:webHidden/>
          </w:rPr>
          <w:tab/>
        </w:r>
        <w:r>
          <w:rPr>
            <w:webHidden/>
          </w:rPr>
          <w:fldChar w:fldCharType="begin"/>
        </w:r>
        <w:r w:rsidR="001D089D">
          <w:rPr>
            <w:webHidden/>
          </w:rPr>
          <w:instrText xml:space="preserve"> PAGEREF _Toc297131681 \h </w:instrText>
        </w:r>
        <w:r>
          <w:rPr>
            <w:webHidden/>
          </w:rPr>
        </w:r>
        <w:r>
          <w:rPr>
            <w:webHidden/>
          </w:rPr>
          <w:fldChar w:fldCharType="separate"/>
        </w:r>
        <w:r w:rsidR="002E48B2">
          <w:rPr>
            <w:webHidden/>
          </w:rPr>
          <w:t>12</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82" w:history="1">
        <w:r w:rsidR="001D089D" w:rsidRPr="00CE566B">
          <w:rPr>
            <w:rStyle w:val="Hyperlink"/>
          </w:rPr>
          <w:t>Quitline Promotional Activities Component</w:t>
        </w:r>
        <w:r w:rsidR="001D089D">
          <w:rPr>
            <w:webHidden/>
          </w:rPr>
          <w:tab/>
        </w:r>
        <w:r>
          <w:rPr>
            <w:webHidden/>
          </w:rPr>
          <w:fldChar w:fldCharType="begin"/>
        </w:r>
        <w:r w:rsidR="001D089D">
          <w:rPr>
            <w:webHidden/>
          </w:rPr>
          <w:instrText xml:space="preserve"> PAGEREF _Toc297131682 \h </w:instrText>
        </w:r>
        <w:r>
          <w:rPr>
            <w:webHidden/>
          </w:rPr>
        </w:r>
        <w:r>
          <w:rPr>
            <w:webHidden/>
          </w:rPr>
          <w:fldChar w:fldCharType="separate"/>
        </w:r>
        <w:r w:rsidR="002E48B2">
          <w:rPr>
            <w:webHidden/>
          </w:rPr>
          <w:t>12</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83" w:history="1">
        <w:r w:rsidR="001D089D" w:rsidRPr="00CE566B">
          <w:rPr>
            <w:rStyle w:val="Hyperlink"/>
          </w:rPr>
          <w:t>Cessation Intervention Component</w:t>
        </w:r>
        <w:r w:rsidR="001D089D">
          <w:rPr>
            <w:webHidden/>
          </w:rPr>
          <w:tab/>
        </w:r>
        <w:r>
          <w:rPr>
            <w:webHidden/>
          </w:rPr>
          <w:fldChar w:fldCharType="begin"/>
        </w:r>
        <w:r w:rsidR="001D089D">
          <w:rPr>
            <w:webHidden/>
          </w:rPr>
          <w:instrText xml:space="preserve"> PAGEREF _Toc297131683 \h </w:instrText>
        </w:r>
        <w:r>
          <w:rPr>
            <w:webHidden/>
          </w:rPr>
        </w:r>
        <w:r>
          <w:rPr>
            <w:webHidden/>
          </w:rPr>
          <w:fldChar w:fldCharType="separate"/>
        </w:r>
        <w:r w:rsidR="002E48B2">
          <w:rPr>
            <w:webHidden/>
          </w:rPr>
          <w:t>13</w:t>
        </w:r>
        <w:r>
          <w:rPr>
            <w:webHidden/>
          </w:rPr>
          <w:fldChar w:fldCharType="end"/>
        </w:r>
      </w:hyperlink>
    </w:p>
    <w:p w:rsidR="001D089D" w:rsidRDefault="005D0094">
      <w:pPr>
        <w:pStyle w:val="TOC2"/>
        <w:tabs>
          <w:tab w:val="left" w:pos="1350"/>
        </w:tabs>
        <w:rPr>
          <w:rFonts w:asciiTheme="minorHAnsi" w:eastAsiaTheme="minorEastAsia" w:hAnsiTheme="minorHAnsi" w:cstheme="minorBidi"/>
          <w:sz w:val="22"/>
          <w:szCs w:val="22"/>
        </w:rPr>
      </w:pPr>
      <w:hyperlink w:anchor="_Toc297131684" w:history="1">
        <w:r w:rsidR="001D089D" w:rsidRPr="00CE566B">
          <w:rPr>
            <w:rStyle w:val="Hyperlink"/>
          </w:rPr>
          <w:t>A.4</w:t>
        </w:r>
        <w:r w:rsidR="001D089D">
          <w:rPr>
            <w:rFonts w:asciiTheme="minorHAnsi" w:eastAsiaTheme="minorEastAsia" w:hAnsiTheme="minorHAnsi" w:cstheme="minorBidi"/>
            <w:sz w:val="22"/>
            <w:szCs w:val="22"/>
          </w:rPr>
          <w:tab/>
        </w:r>
        <w:r w:rsidR="001D089D" w:rsidRPr="00CE566B">
          <w:rPr>
            <w:rStyle w:val="Hyperlink"/>
          </w:rPr>
          <w:t>Efforts to Identify Duplication and Use of Similar Information</w:t>
        </w:r>
        <w:r w:rsidR="001D089D">
          <w:rPr>
            <w:webHidden/>
          </w:rPr>
          <w:tab/>
        </w:r>
        <w:r>
          <w:rPr>
            <w:webHidden/>
          </w:rPr>
          <w:fldChar w:fldCharType="begin"/>
        </w:r>
        <w:r w:rsidR="001D089D">
          <w:rPr>
            <w:webHidden/>
          </w:rPr>
          <w:instrText xml:space="preserve"> PAGEREF _Toc297131684 \h </w:instrText>
        </w:r>
        <w:r>
          <w:rPr>
            <w:webHidden/>
          </w:rPr>
        </w:r>
        <w:r>
          <w:rPr>
            <w:webHidden/>
          </w:rPr>
          <w:fldChar w:fldCharType="separate"/>
        </w:r>
        <w:r w:rsidR="002E48B2">
          <w:rPr>
            <w:webHidden/>
          </w:rPr>
          <w:t>13</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85" w:history="1">
        <w:r w:rsidR="001D089D" w:rsidRPr="00CE566B">
          <w:rPr>
            <w:rStyle w:val="Hyperlink"/>
          </w:rPr>
          <w:t>Quitline Promotional Activities Component</w:t>
        </w:r>
        <w:r w:rsidR="001D089D">
          <w:rPr>
            <w:webHidden/>
          </w:rPr>
          <w:tab/>
        </w:r>
        <w:r>
          <w:rPr>
            <w:webHidden/>
          </w:rPr>
          <w:fldChar w:fldCharType="begin"/>
        </w:r>
        <w:r w:rsidR="001D089D">
          <w:rPr>
            <w:webHidden/>
          </w:rPr>
          <w:instrText xml:space="preserve"> PAGEREF _Toc297131685 \h </w:instrText>
        </w:r>
        <w:r>
          <w:rPr>
            <w:webHidden/>
          </w:rPr>
        </w:r>
        <w:r>
          <w:rPr>
            <w:webHidden/>
          </w:rPr>
          <w:fldChar w:fldCharType="separate"/>
        </w:r>
        <w:r w:rsidR="002E48B2">
          <w:rPr>
            <w:webHidden/>
          </w:rPr>
          <w:t>13</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86" w:history="1">
        <w:r w:rsidR="001D089D" w:rsidRPr="00CE566B">
          <w:rPr>
            <w:rStyle w:val="Hyperlink"/>
          </w:rPr>
          <w:t>Cessation Intervention Component</w:t>
        </w:r>
        <w:r w:rsidR="001D089D">
          <w:rPr>
            <w:webHidden/>
          </w:rPr>
          <w:tab/>
        </w:r>
        <w:r>
          <w:rPr>
            <w:webHidden/>
          </w:rPr>
          <w:fldChar w:fldCharType="begin"/>
        </w:r>
        <w:r w:rsidR="001D089D">
          <w:rPr>
            <w:webHidden/>
          </w:rPr>
          <w:instrText xml:space="preserve"> PAGEREF _Toc297131686 \h </w:instrText>
        </w:r>
        <w:r>
          <w:rPr>
            <w:webHidden/>
          </w:rPr>
        </w:r>
        <w:r>
          <w:rPr>
            <w:webHidden/>
          </w:rPr>
          <w:fldChar w:fldCharType="separate"/>
        </w:r>
        <w:r w:rsidR="002E48B2">
          <w:rPr>
            <w:webHidden/>
          </w:rPr>
          <w:t>14</w:t>
        </w:r>
        <w:r>
          <w:rPr>
            <w:webHidden/>
          </w:rPr>
          <w:fldChar w:fldCharType="end"/>
        </w:r>
      </w:hyperlink>
    </w:p>
    <w:p w:rsidR="001D089D" w:rsidRDefault="005D0094">
      <w:pPr>
        <w:pStyle w:val="TOC2"/>
        <w:tabs>
          <w:tab w:val="left" w:pos="1350"/>
        </w:tabs>
        <w:rPr>
          <w:rFonts w:asciiTheme="minorHAnsi" w:eastAsiaTheme="minorEastAsia" w:hAnsiTheme="minorHAnsi" w:cstheme="minorBidi"/>
          <w:sz w:val="22"/>
          <w:szCs w:val="22"/>
        </w:rPr>
      </w:pPr>
      <w:hyperlink w:anchor="_Toc297131687" w:history="1">
        <w:r w:rsidR="001D089D" w:rsidRPr="00CE566B">
          <w:rPr>
            <w:rStyle w:val="Hyperlink"/>
          </w:rPr>
          <w:t>A.5</w:t>
        </w:r>
        <w:r w:rsidR="001D089D">
          <w:rPr>
            <w:rFonts w:asciiTheme="minorHAnsi" w:eastAsiaTheme="minorEastAsia" w:hAnsiTheme="minorHAnsi" w:cstheme="minorBidi"/>
            <w:sz w:val="22"/>
            <w:szCs w:val="22"/>
          </w:rPr>
          <w:tab/>
        </w:r>
        <w:r w:rsidR="001D089D" w:rsidRPr="00CE566B">
          <w:rPr>
            <w:rStyle w:val="Hyperlink"/>
          </w:rPr>
          <w:t>Impact on Small Businesses or Other Small Entities</w:t>
        </w:r>
        <w:r w:rsidR="001D089D">
          <w:rPr>
            <w:webHidden/>
          </w:rPr>
          <w:tab/>
        </w:r>
        <w:r>
          <w:rPr>
            <w:webHidden/>
          </w:rPr>
          <w:fldChar w:fldCharType="begin"/>
        </w:r>
        <w:r w:rsidR="001D089D">
          <w:rPr>
            <w:webHidden/>
          </w:rPr>
          <w:instrText xml:space="preserve"> PAGEREF _Toc297131687 \h </w:instrText>
        </w:r>
        <w:r>
          <w:rPr>
            <w:webHidden/>
          </w:rPr>
        </w:r>
        <w:r>
          <w:rPr>
            <w:webHidden/>
          </w:rPr>
          <w:fldChar w:fldCharType="separate"/>
        </w:r>
        <w:r w:rsidR="002E48B2">
          <w:rPr>
            <w:webHidden/>
          </w:rPr>
          <w:t>14</w:t>
        </w:r>
        <w:r>
          <w:rPr>
            <w:webHidden/>
          </w:rPr>
          <w:fldChar w:fldCharType="end"/>
        </w:r>
      </w:hyperlink>
    </w:p>
    <w:p w:rsidR="001D089D" w:rsidRDefault="005D0094">
      <w:pPr>
        <w:pStyle w:val="TOC2"/>
        <w:tabs>
          <w:tab w:val="left" w:pos="1350"/>
        </w:tabs>
        <w:rPr>
          <w:rFonts w:asciiTheme="minorHAnsi" w:eastAsiaTheme="minorEastAsia" w:hAnsiTheme="minorHAnsi" w:cstheme="minorBidi"/>
          <w:sz w:val="22"/>
          <w:szCs w:val="22"/>
        </w:rPr>
      </w:pPr>
      <w:hyperlink w:anchor="_Toc297131688" w:history="1">
        <w:r w:rsidR="001D089D" w:rsidRPr="00CE566B">
          <w:rPr>
            <w:rStyle w:val="Hyperlink"/>
          </w:rPr>
          <w:t>A.6</w:t>
        </w:r>
        <w:r w:rsidR="001D089D">
          <w:rPr>
            <w:rFonts w:asciiTheme="minorHAnsi" w:eastAsiaTheme="minorEastAsia" w:hAnsiTheme="minorHAnsi" w:cstheme="minorBidi"/>
            <w:sz w:val="22"/>
            <w:szCs w:val="22"/>
          </w:rPr>
          <w:tab/>
        </w:r>
        <w:r w:rsidR="001D089D" w:rsidRPr="00CE566B">
          <w:rPr>
            <w:rStyle w:val="Hyperlink"/>
          </w:rPr>
          <w:t>Consequences of Collecting the Information Less Frequently</w:t>
        </w:r>
        <w:r w:rsidR="001D089D">
          <w:rPr>
            <w:webHidden/>
          </w:rPr>
          <w:tab/>
        </w:r>
        <w:r>
          <w:rPr>
            <w:webHidden/>
          </w:rPr>
          <w:fldChar w:fldCharType="begin"/>
        </w:r>
        <w:r w:rsidR="001D089D">
          <w:rPr>
            <w:webHidden/>
          </w:rPr>
          <w:instrText xml:space="preserve"> PAGEREF _Toc297131688 \h </w:instrText>
        </w:r>
        <w:r>
          <w:rPr>
            <w:webHidden/>
          </w:rPr>
        </w:r>
        <w:r>
          <w:rPr>
            <w:webHidden/>
          </w:rPr>
          <w:fldChar w:fldCharType="separate"/>
        </w:r>
        <w:r w:rsidR="002E48B2">
          <w:rPr>
            <w:webHidden/>
          </w:rPr>
          <w:t>14</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89" w:history="1">
        <w:r w:rsidR="001D089D" w:rsidRPr="00CE566B">
          <w:rPr>
            <w:rStyle w:val="Hyperlink"/>
          </w:rPr>
          <w:t>Quitline Promotional Activities Component</w:t>
        </w:r>
        <w:r w:rsidR="001D089D">
          <w:rPr>
            <w:webHidden/>
          </w:rPr>
          <w:tab/>
        </w:r>
        <w:r>
          <w:rPr>
            <w:webHidden/>
          </w:rPr>
          <w:fldChar w:fldCharType="begin"/>
        </w:r>
        <w:r w:rsidR="001D089D">
          <w:rPr>
            <w:webHidden/>
          </w:rPr>
          <w:instrText xml:space="preserve"> PAGEREF _Toc297131689 \h </w:instrText>
        </w:r>
        <w:r>
          <w:rPr>
            <w:webHidden/>
          </w:rPr>
        </w:r>
        <w:r>
          <w:rPr>
            <w:webHidden/>
          </w:rPr>
          <w:fldChar w:fldCharType="separate"/>
        </w:r>
        <w:r w:rsidR="002E48B2">
          <w:rPr>
            <w:webHidden/>
          </w:rPr>
          <w:t>14</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90" w:history="1">
        <w:r w:rsidR="001D089D" w:rsidRPr="00CE566B">
          <w:rPr>
            <w:rStyle w:val="Hyperlink"/>
          </w:rPr>
          <w:t>Cessation Intervention Component</w:t>
        </w:r>
        <w:r w:rsidR="001D089D">
          <w:rPr>
            <w:webHidden/>
          </w:rPr>
          <w:tab/>
        </w:r>
        <w:r>
          <w:rPr>
            <w:webHidden/>
          </w:rPr>
          <w:fldChar w:fldCharType="begin"/>
        </w:r>
        <w:r w:rsidR="001D089D">
          <w:rPr>
            <w:webHidden/>
          </w:rPr>
          <w:instrText xml:space="preserve"> PAGEREF _Toc297131690 \h </w:instrText>
        </w:r>
        <w:r>
          <w:rPr>
            <w:webHidden/>
          </w:rPr>
        </w:r>
        <w:r>
          <w:rPr>
            <w:webHidden/>
          </w:rPr>
          <w:fldChar w:fldCharType="separate"/>
        </w:r>
        <w:r w:rsidR="002E48B2">
          <w:rPr>
            <w:webHidden/>
          </w:rPr>
          <w:t>15</w:t>
        </w:r>
        <w:r>
          <w:rPr>
            <w:webHidden/>
          </w:rPr>
          <w:fldChar w:fldCharType="end"/>
        </w:r>
      </w:hyperlink>
    </w:p>
    <w:p w:rsidR="001D089D" w:rsidRDefault="005D0094">
      <w:pPr>
        <w:pStyle w:val="TOC2"/>
        <w:tabs>
          <w:tab w:val="left" w:pos="1350"/>
        </w:tabs>
        <w:rPr>
          <w:rFonts w:asciiTheme="minorHAnsi" w:eastAsiaTheme="minorEastAsia" w:hAnsiTheme="minorHAnsi" w:cstheme="minorBidi"/>
          <w:sz w:val="22"/>
          <w:szCs w:val="22"/>
        </w:rPr>
      </w:pPr>
      <w:hyperlink w:anchor="_Toc297131691" w:history="1">
        <w:r w:rsidR="001D089D" w:rsidRPr="00CE566B">
          <w:rPr>
            <w:rStyle w:val="Hyperlink"/>
          </w:rPr>
          <w:t>A.7</w:t>
        </w:r>
        <w:r w:rsidR="001D089D">
          <w:rPr>
            <w:rFonts w:asciiTheme="minorHAnsi" w:eastAsiaTheme="minorEastAsia" w:hAnsiTheme="minorHAnsi" w:cstheme="minorBidi"/>
            <w:sz w:val="22"/>
            <w:szCs w:val="22"/>
          </w:rPr>
          <w:tab/>
        </w:r>
        <w:r w:rsidR="001D089D" w:rsidRPr="00CE566B">
          <w:rPr>
            <w:rStyle w:val="Hyperlink"/>
          </w:rPr>
          <w:t>Special Circumstances Relating to the Guidelines of 5 CFR 1320.5</w:t>
        </w:r>
        <w:r w:rsidR="001D089D">
          <w:rPr>
            <w:webHidden/>
          </w:rPr>
          <w:tab/>
        </w:r>
        <w:r>
          <w:rPr>
            <w:webHidden/>
          </w:rPr>
          <w:fldChar w:fldCharType="begin"/>
        </w:r>
        <w:r w:rsidR="001D089D">
          <w:rPr>
            <w:webHidden/>
          </w:rPr>
          <w:instrText xml:space="preserve"> PAGEREF _Toc297131691 \h </w:instrText>
        </w:r>
        <w:r>
          <w:rPr>
            <w:webHidden/>
          </w:rPr>
        </w:r>
        <w:r>
          <w:rPr>
            <w:webHidden/>
          </w:rPr>
          <w:fldChar w:fldCharType="separate"/>
        </w:r>
        <w:r w:rsidR="002E48B2">
          <w:rPr>
            <w:webHidden/>
          </w:rPr>
          <w:t>15</w:t>
        </w:r>
        <w:r>
          <w:rPr>
            <w:webHidden/>
          </w:rPr>
          <w:fldChar w:fldCharType="end"/>
        </w:r>
      </w:hyperlink>
    </w:p>
    <w:p w:rsidR="001D089D" w:rsidRDefault="005D0094">
      <w:pPr>
        <w:pStyle w:val="TOC2"/>
        <w:tabs>
          <w:tab w:val="left" w:pos="1350"/>
        </w:tabs>
        <w:rPr>
          <w:rFonts w:asciiTheme="minorHAnsi" w:eastAsiaTheme="minorEastAsia" w:hAnsiTheme="minorHAnsi" w:cstheme="minorBidi"/>
          <w:sz w:val="22"/>
          <w:szCs w:val="22"/>
        </w:rPr>
      </w:pPr>
      <w:hyperlink w:anchor="_Toc297131692" w:history="1">
        <w:r w:rsidR="001D089D" w:rsidRPr="00CE566B">
          <w:rPr>
            <w:rStyle w:val="Hyperlink"/>
          </w:rPr>
          <w:t>A.8</w:t>
        </w:r>
        <w:r w:rsidR="001D089D">
          <w:rPr>
            <w:rFonts w:asciiTheme="minorHAnsi" w:eastAsiaTheme="minorEastAsia" w:hAnsiTheme="minorHAnsi" w:cstheme="minorBidi"/>
            <w:sz w:val="22"/>
            <w:szCs w:val="22"/>
          </w:rPr>
          <w:tab/>
        </w:r>
        <w:r w:rsidR="001D089D" w:rsidRPr="00CE566B">
          <w:rPr>
            <w:rStyle w:val="Hyperlink"/>
          </w:rPr>
          <w:t xml:space="preserve">Comments in Response to the </w:t>
        </w:r>
        <w:r w:rsidR="001D089D" w:rsidRPr="00CE566B">
          <w:rPr>
            <w:rStyle w:val="Hyperlink"/>
            <w:i/>
          </w:rPr>
          <w:t>Federal Register</w:t>
        </w:r>
        <w:r w:rsidR="001D089D" w:rsidRPr="00CE566B">
          <w:rPr>
            <w:rStyle w:val="Hyperlink"/>
          </w:rPr>
          <w:t xml:space="preserve"> Notice and Efforts to Consult Outside the Agency</w:t>
        </w:r>
        <w:r w:rsidR="001D089D">
          <w:rPr>
            <w:webHidden/>
          </w:rPr>
          <w:tab/>
        </w:r>
        <w:r>
          <w:rPr>
            <w:webHidden/>
          </w:rPr>
          <w:fldChar w:fldCharType="begin"/>
        </w:r>
        <w:r w:rsidR="001D089D">
          <w:rPr>
            <w:webHidden/>
          </w:rPr>
          <w:instrText xml:space="preserve"> PAGEREF _Toc297131692 \h </w:instrText>
        </w:r>
        <w:r>
          <w:rPr>
            <w:webHidden/>
          </w:rPr>
        </w:r>
        <w:r>
          <w:rPr>
            <w:webHidden/>
          </w:rPr>
          <w:fldChar w:fldCharType="separate"/>
        </w:r>
        <w:r w:rsidR="002E48B2">
          <w:rPr>
            <w:webHidden/>
          </w:rPr>
          <w:t>15</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93" w:history="1">
        <w:r w:rsidR="001D089D" w:rsidRPr="00CE566B">
          <w:rPr>
            <w:rStyle w:val="Hyperlink"/>
          </w:rPr>
          <w:t>Federal Register Announcement</w:t>
        </w:r>
        <w:r w:rsidR="001D089D">
          <w:rPr>
            <w:webHidden/>
          </w:rPr>
          <w:tab/>
        </w:r>
        <w:r>
          <w:rPr>
            <w:webHidden/>
          </w:rPr>
          <w:fldChar w:fldCharType="begin"/>
        </w:r>
        <w:r w:rsidR="001D089D">
          <w:rPr>
            <w:webHidden/>
          </w:rPr>
          <w:instrText xml:space="preserve"> PAGEREF _Toc297131693 \h </w:instrText>
        </w:r>
        <w:r>
          <w:rPr>
            <w:webHidden/>
          </w:rPr>
        </w:r>
        <w:r>
          <w:rPr>
            <w:webHidden/>
          </w:rPr>
          <w:fldChar w:fldCharType="separate"/>
        </w:r>
        <w:r w:rsidR="002E48B2">
          <w:rPr>
            <w:webHidden/>
          </w:rPr>
          <w:t>15</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94" w:history="1">
        <w:r w:rsidR="001D089D" w:rsidRPr="00CE566B">
          <w:rPr>
            <w:rStyle w:val="Hyperlink"/>
          </w:rPr>
          <w:t>Consultations</w:t>
        </w:r>
        <w:r w:rsidR="001D089D">
          <w:rPr>
            <w:webHidden/>
          </w:rPr>
          <w:tab/>
        </w:r>
        <w:r>
          <w:rPr>
            <w:webHidden/>
          </w:rPr>
          <w:fldChar w:fldCharType="begin"/>
        </w:r>
        <w:r w:rsidR="001D089D">
          <w:rPr>
            <w:webHidden/>
          </w:rPr>
          <w:instrText xml:space="preserve"> PAGEREF _Toc297131694 \h </w:instrText>
        </w:r>
        <w:r>
          <w:rPr>
            <w:webHidden/>
          </w:rPr>
        </w:r>
        <w:r>
          <w:rPr>
            <w:webHidden/>
          </w:rPr>
          <w:fldChar w:fldCharType="separate"/>
        </w:r>
        <w:r w:rsidR="002E48B2">
          <w:rPr>
            <w:webHidden/>
          </w:rPr>
          <w:t>15</w:t>
        </w:r>
        <w:r>
          <w:rPr>
            <w:webHidden/>
          </w:rPr>
          <w:fldChar w:fldCharType="end"/>
        </w:r>
      </w:hyperlink>
    </w:p>
    <w:p w:rsidR="001D089D" w:rsidRDefault="005D0094">
      <w:pPr>
        <w:pStyle w:val="TOC2"/>
        <w:tabs>
          <w:tab w:val="left" w:pos="1350"/>
        </w:tabs>
        <w:rPr>
          <w:rFonts w:asciiTheme="minorHAnsi" w:eastAsiaTheme="minorEastAsia" w:hAnsiTheme="minorHAnsi" w:cstheme="minorBidi"/>
          <w:sz w:val="22"/>
          <w:szCs w:val="22"/>
        </w:rPr>
      </w:pPr>
      <w:hyperlink w:anchor="_Toc297131695" w:history="1">
        <w:r w:rsidR="001D089D" w:rsidRPr="00CE566B">
          <w:rPr>
            <w:rStyle w:val="Hyperlink"/>
          </w:rPr>
          <w:t>A.9</w:t>
        </w:r>
        <w:r w:rsidR="001D089D">
          <w:rPr>
            <w:rFonts w:asciiTheme="minorHAnsi" w:eastAsiaTheme="minorEastAsia" w:hAnsiTheme="minorHAnsi" w:cstheme="minorBidi"/>
            <w:sz w:val="22"/>
            <w:szCs w:val="22"/>
          </w:rPr>
          <w:tab/>
        </w:r>
        <w:r w:rsidR="001D089D" w:rsidRPr="00CE566B">
          <w:rPr>
            <w:rStyle w:val="Hyperlink"/>
          </w:rPr>
          <w:t>Explanation of Any Payment or Gift to Respondents</w:t>
        </w:r>
        <w:r w:rsidR="001D089D">
          <w:rPr>
            <w:webHidden/>
          </w:rPr>
          <w:tab/>
        </w:r>
        <w:r>
          <w:rPr>
            <w:webHidden/>
          </w:rPr>
          <w:fldChar w:fldCharType="begin"/>
        </w:r>
        <w:r w:rsidR="001D089D">
          <w:rPr>
            <w:webHidden/>
          </w:rPr>
          <w:instrText xml:space="preserve"> PAGEREF _Toc297131695 \h </w:instrText>
        </w:r>
        <w:r>
          <w:rPr>
            <w:webHidden/>
          </w:rPr>
        </w:r>
        <w:r>
          <w:rPr>
            <w:webHidden/>
          </w:rPr>
          <w:fldChar w:fldCharType="separate"/>
        </w:r>
        <w:r w:rsidR="002E48B2">
          <w:rPr>
            <w:webHidden/>
          </w:rPr>
          <w:t>16</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96" w:history="1">
        <w:r w:rsidR="001D089D" w:rsidRPr="00CE566B">
          <w:rPr>
            <w:rStyle w:val="Hyperlink"/>
          </w:rPr>
          <w:t>Quitline Promotional Activities Component</w:t>
        </w:r>
        <w:r w:rsidR="001D089D">
          <w:rPr>
            <w:webHidden/>
          </w:rPr>
          <w:tab/>
        </w:r>
        <w:r>
          <w:rPr>
            <w:webHidden/>
          </w:rPr>
          <w:fldChar w:fldCharType="begin"/>
        </w:r>
        <w:r w:rsidR="001D089D">
          <w:rPr>
            <w:webHidden/>
          </w:rPr>
          <w:instrText xml:space="preserve"> PAGEREF _Toc297131696 \h </w:instrText>
        </w:r>
        <w:r>
          <w:rPr>
            <w:webHidden/>
          </w:rPr>
        </w:r>
        <w:r>
          <w:rPr>
            <w:webHidden/>
          </w:rPr>
          <w:fldChar w:fldCharType="separate"/>
        </w:r>
        <w:r w:rsidR="002E48B2">
          <w:rPr>
            <w:webHidden/>
          </w:rPr>
          <w:t>16</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697" w:history="1">
        <w:r w:rsidR="001D089D" w:rsidRPr="00CE566B">
          <w:rPr>
            <w:rStyle w:val="Hyperlink"/>
          </w:rPr>
          <w:t>Cessation Intervention Component</w:t>
        </w:r>
        <w:r w:rsidR="001D089D">
          <w:rPr>
            <w:webHidden/>
          </w:rPr>
          <w:tab/>
        </w:r>
        <w:r>
          <w:rPr>
            <w:webHidden/>
          </w:rPr>
          <w:fldChar w:fldCharType="begin"/>
        </w:r>
        <w:r w:rsidR="001D089D">
          <w:rPr>
            <w:webHidden/>
          </w:rPr>
          <w:instrText xml:space="preserve"> PAGEREF _Toc297131697 \h </w:instrText>
        </w:r>
        <w:r>
          <w:rPr>
            <w:webHidden/>
          </w:rPr>
        </w:r>
        <w:r>
          <w:rPr>
            <w:webHidden/>
          </w:rPr>
          <w:fldChar w:fldCharType="separate"/>
        </w:r>
        <w:r w:rsidR="002E48B2">
          <w:rPr>
            <w:webHidden/>
          </w:rPr>
          <w:t>16</w:t>
        </w:r>
        <w:r>
          <w:rPr>
            <w:webHidden/>
          </w:rPr>
          <w:fldChar w:fldCharType="end"/>
        </w:r>
      </w:hyperlink>
    </w:p>
    <w:p w:rsidR="001D089D" w:rsidRDefault="005D0094">
      <w:pPr>
        <w:pStyle w:val="TOC2"/>
        <w:tabs>
          <w:tab w:val="left" w:pos="2340"/>
        </w:tabs>
        <w:rPr>
          <w:rFonts w:asciiTheme="minorHAnsi" w:eastAsiaTheme="minorEastAsia" w:hAnsiTheme="minorHAnsi" w:cstheme="minorBidi"/>
          <w:sz w:val="22"/>
          <w:szCs w:val="22"/>
        </w:rPr>
      </w:pPr>
      <w:hyperlink w:anchor="_Toc297131698" w:history="1">
        <w:r w:rsidR="001D089D" w:rsidRPr="00CE566B">
          <w:rPr>
            <w:rStyle w:val="Hyperlink"/>
          </w:rPr>
          <w:t>A.10</w:t>
        </w:r>
        <w:r w:rsidR="001D089D">
          <w:rPr>
            <w:rFonts w:asciiTheme="minorHAnsi" w:eastAsiaTheme="minorEastAsia" w:hAnsiTheme="minorHAnsi" w:cstheme="minorBidi"/>
            <w:sz w:val="22"/>
            <w:szCs w:val="22"/>
          </w:rPr>
          <w:tab/>
        </w:r>
        <w:r w:rsidR="001D089D" w:rsidRPr="00CE566B">
          <w:rPr>
            <w:rStyle w:val="Hyperlink"/>
          </w:rPr>
          <w:t>Assurance of Confidentiality Provided to Respondents</w:t>
        </w:r>
        <w:r w:rsidR="001D089D">
          <w:rPr>
            <w:webHidden/>
          </w:rPr>
          <w:tab/>
        </w:r>
        <w:r>
          <w:rPr>
            <w:webHidden/>
          </w:rPr>
          <w:fldChar w:fldCharType="begin"/>
        </w:r>
        <w:r w:rsidR="001D089D">
          <w:rPr>
            <w:webHidden/>
          </w:rPr>
          <w:instrText xml:space="preserve"> PAGEREF _Toc297131698 \h </w:instrText>
        </w:r>
        <w:r>
          <w:rPr>
            <w:webHidden/>
          </w:rPr>
        </w:r>
        <w:r>
          <w:rPr>
            <w:webHidden/>
          </w:rPr>
          <w:fldChar w:fldCharType="separate"/>
        </w:r>
        <w:r w:rsidR="002E48B2">
          <w:rPr>
            <w:webHidden/>
          </w:rPr>
          <w:t>17</w:t>
        </w:r>
        <w:r>
          <w:rPr>
            <w:webHidden/>
          </w:rPr>
          <w:fldChar w:fldCharType="end"/>
        </w:r>
      </w:hyperlink>
    </w:p>
    <w:p w:rsidR="001D089D" w:rsidRDefault="005D0094" w:rsidP="003C6DD4">
      <w:pPr>
        <w:pStyle w:val="TOC3"/>
        <w:rPr>
          <w:rFonts w:asciiTheme="minorHAnsi" w:eastAsiaTheme="minorEastAsia" w:hAnsiTheme="minorHAnsi" w:cstheme="minorBidi"/>
          <w:sz w:val="22"/>
          <w:szCs w:val="22"/>
        </w:rPr>
      </w:pPr>
      <w:hyperlink w:anchor="_Toc297131699" w:history="1">
        <w:r w:rsidR="001D089D" w:rsidRPr="00CE566B">
          <w:rPr>
            <w:rStyle w:val="Hyperlink"/>
          </w:rPr>
          <w:t>Privacy Impact Assessment Information</w:t>
        </w:r>
        <w:r w:rsidR="001D089D">
          <w:rPr>
            <w:webHidden/>
          </w:rPr>
          <w:tab/>
        </w:r>
        <w:r>
          <w:rPr>
            <w:webHidden/>
          </w:rPr>
          <w:fldChar w:fldCharType="begin"/>
        </w:r>
        <w:r w:rsidR="001D089D">
          <w:rPr>
            <w:webHidden/>
          </w:rPr>
          <w:instrText xml:space="preserve"> PAGEREF _Toc297131699 \h </w:instrText>
        </w:r>
        <w:r>
          <w:rPr>
            <w:webHidden/>
          </w:rPr>
        </w:r>
        <w:r>
          <w:rPr>
            <w:webHidden/>
          </w:rPr>
          <w:fldChar w:fldCharType="separate"/>
        </w:r>
        <w:r w:rsidR="002E48B2">
          <w:rPr>
            <w:webHidden/>
          </w:rPr>
          <w:t>17</w:t>
        </w:r>
        <w:r>
          <w:rPr>
            <w:webHidden/>
          </w:rPr>
          <w:fldChar w:fldCharType="end"/>
        </w:r>
      </w:hyperlink>
    </w:p>
    <w:p w:rsidR="001D089D" w:rsidRDefault="005D0094">
      <w:pPr>
        <w:pStyle w:val="TOC2"/>
        <w:tabs>
          <w:tab w:val="left" w:pos="2340"/>
        </w:tabs>
        <w:rPr>
          <w:rFonts w:asciiTheme="minorHAnsi" w:eastAsiaTheme="minorEastAsia" w:hAnsiTheme="minorHAnsi" w:cstheme="minorBidi"/>
          <w:sz w:val="22"/>
          <w:szCs w:val="22"/>
        </w:rPr>
      </w:pPr>
      <w:hyperlink w:anchor="_Toc297131703" w:history="1">
        <w:r w:rsidR="001D089D" w:rsidRPr="00CE566B">
          <w:rPr>
            <w:rStyle w:val="Hyperlink"/>
          </w:rPr>
          <w:t>A.11</w:t>
        </w:r>
        <w:r w:rsidR="001D089D">
          <w:rPr>
            <w:rFonts w:asciiTheme="minorHAnsi" w:eastAsiaTheme="minorEastAsia" w:hAnsiTheme="minorHAnsi" w:cstheme="minorBidi"/>
            <w:sz w:val="22"/>
            <w:szCs w:val="22"/>
          </w:rPr>
          <w:tab/>
        </w:r>
        <w:r w:rsidR="001D089D" w:rsidRPr="00CE566B">
          <w:rPr>
            <w:rStyle w:val="Hyperlink"/>
          </w:rPr>
          <w:t>Justification for Sensitive Questions</w:t>
        </w:r>
        <w:r w:rsidR="001D089D">
          <w:rPr>
            <w:webHidden/>
          </w:rPr>
          <w:tab/>
        </w:r>
        <w:r>
          <w:rPr>
            <w:webHidden/>
          </w:rPr>
          <w:fldChar w:fldCharType="begin"/>
        </w:r>
        <w:r w:rsidR="001D089D">
          <w:rPr>
            <w:webHidden/>
          </w:rPr>
          <w:instrText xml:space="preserve"> PAGEREF _Toc297131703 \h </w:instrText>
        </w:r>
        <w:r>
          <w:rPr>
            <w:webHidden/>
          </w:rPr>
        </w:r>
        <w:r>
          <w:rPr>
            <w:webHidden/>
          </w:rPr>
          <w:fldChar w:fldCharType="separate"/>
        </w:r>
        <w:r w:rsidR="002E48B2">
          <w:rPr>
            <w:webHidden/>
          </w:rPr>
          <w:t>19</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704" w:history="1">
        <w:r w:rsidR="001D089D" w:rsidRPr="00CE566B">
          <w:rPr>
            <w:rStyle w:val="Hyperlink"/>
          </w:rPr>
          <w:t>Quitline Promotional Activities Component</w:t>
        </w:r>
        <w:r w:rsidR="001D089D">
          <w:rPr>
            <w:webHidden/>
          </w:rPr>
          <w:tab/>
        </w:r>
        <w:r>
          <w:rPr>
            <w:webHidden/>
          </w:rPr>
          <w:fldChar w:fldCharType="begin"/>
        </w:r>
        <w:r w:rsidR="001D089D">
          <w:rPr>
            <w:webHidden/>
          </w:rPr>
          <w:instrText xml:space="preserve"> PAGEREF _Toc297131704 \h </w:instrText>
        </w:r>
        <w:r>
          <w:rPr>
            <w:webHidden/>
          </w:rPr>
        </w:r>
        <w:r>
          <w:rPr>
            <w:webHidden/>
          </w:rPr>
          <w:fldChar w:fldCharType="separate"/>
        </w:r>
        <w:r w:rsidR="002E48B2">
          <w:rPr>
            <w:webHidden/>
          </w:rPr>
          <w:t>19</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705" w:history="1">
        <w:r w:rsidR="001D089D" w:rsidRPr="00CE566B">
          <w:rPr>
            <w:rStyle w:val="Hyperlink"/>
          </w:rPr>
          <w:t>Cessation Intervention Component</w:t>
        </w:r>
        <w:r w:rsidR="001D089D">
          <w:rPr>
            <w:webHidden/>
          </w:rPr>
          <w:tab/>
        </w:r>
        <w:r>
          <w:rPr>
            <w:webHidden/>
          </w:rPr>
          <w:fldChar w:fldCharType="begin"/>
        </w:r>
        <w:r w:rsidR="001D089D">
          <w:rPr>
            <w:webHidden/>
          </w:rPr>
          <w:instrText xml:space="preserve"> PAGEREF _Toc297131705 \h </w:instrText>
        </w:r>
        <w:r>
          <w:rPr>
            <w:webHidden/>
          </w:rPr>
        </w:r>
        <w:r>
          <w:rPr>
            <w:webHidden/>
          </w:rPr>
          <w:fldChar w:fldCharType="separate"/>
        </w:r>
        <w:r w:rsidR="002E48B2">
          <w:rPr>
            <w:webHidden/>
          </w:rPr>
          <w:t>19</w:t>
        </w:r>
        <w:r>
          <w:rPr>
            <w:webHidden/>
          </w:rPr>
          <w:fldChar w:fldCharType="end"/>
        </w:r>
      </w:hyperlink>
    </w:p>
    <w:p w:rsidR="001D089D" w:rsidRDefault="005D0094">
      <w:pPr>
        <w:pStyle w:val="TOC2"/>
        <w:tabs>
          <w:tab w:val="left" w:pos="2340"/>
        </w:tabs>
        <w:rPr>
          <w:rFonts w:asciiTheme="minorHAnsi" w:eastAsiaTheme="minorEastAsia" w:hAnsiTheme="minorHAnsi" w:cstheme="minorBidi"/>
          <w:sz w:val="22"/>
          <w:szCs w:val="22"/>
        </w:rPr>
      </w:pPr>
      <w:hyperlink w:anchor="_Toc297131706" w:history="1">
        <w:r w:rsidR="001D089D" w:rsidRPr="00CE566B">
          <w:rPr>
            <w:rStyle w:val="Hyperlink"/>
          </w:rPr>
          <w:t>A.12</w:t>
        </w:r>
        <w:r w:rsidR="001D089D">
          <w:rPr>
            <w:rFonts w:asciiTheme="minorHAnsi" w:eastAsiaTheme="minorEastAsia" w:hAnsiTheme="minorHAnsi" w:cstheme="minorBidi"/>
            <w:sz w:val="22"/>
            <w:szCs w:val="22"/>
          </w:rPr>
          <w:tab/>
        </w:r>
        <w:r w:rsidR="001D089D" w:rsidRPr="00CE566B">
          <w:rPr>
            <w:rStyle w:val="Hyperlink"/>
          </w:rPr>
          <w:t>Estimates of Burden Hours and Costs</w:t>
        </w:r>
        <w:r w:rsidR="001D089D">
          <w:rPr>
            <w:webHidden/>
          </w:rPr>
          <w:tab/>
        </w:r>
        <w:r>
          <w:rPr>
            <w:webHidden/>
          </w:rPr>
          <w:fldChar w:fldCharType="begin"/>
        </w:r>
        <w:r w:rsidR="001D089D">
          <w:rPr>
            <w:webHidden/>
          </w:rPr>
          <w:instrText xml:space="preserve"> PAGEREF _Toc297131706 \h </w:instrText>
        </w:r>
        <w:r>
          <w:rPr>
            <w:webHidden/>
          </w:rPr>
        </w:r>
        <w:r>
          <w:rPr>
            <w:webHidden/>
          </w:rPr>
          <w:fldChar w:fldCharType="separate"/>
        </w:r>
        <w:r w:rsidR="002E48B2">
          <w:rPr>
            <w:webHidden/>
          </w:rPr>
          <w:t>20</w:t>
        </w:r>
        <w:r>
          <w:rPr>
            <w:webHidden/>
          </w:rPr>
          <w:fldChar w:fldCharType="end"/>
        </w:r>
      </w:hyperlink>
    </w:p>
    <w:p w:rsidR="001D089D" w:rsidRDefault="005D0094">
      <w:pPr>
        <w:pStyle w:val="TOC2"/>
        <w:tabs>
          <w:tab w:val="left" w:pos="2340"/>
        </w:tabs>
        <w:rPr>
          <w:rFonts w:asciiTheme="minorHAnsi" w:eastAsiaTheme="minorEastAsia" w:hAnsiTheme="minorHAnsi" w:cstheme="minorBidi"/>
          <w:sz w:val="22"/>
          <w:szCs w:val="22"/>
        </w:rPr>
      </w:pPr>
      <w:hyperlink w:anchor="_Toc297131709" w:history="1">
        <w:r w:rsidR="001D089D" w:rsidRPr="00CE566B">
          <w:rPr>
            <w:rStyle w:val="Hyperlink"/>
          </w:rPr>
          <w:t>A.13</w:t>
        </w:r>
        <w:r w:rsidR="001D089D">
          <w:rPr>
            <w:rFonts w:asciiTheme="minorHAnsi" w:eastAsiaTheme="minorEastAsia" w:hAnsiTheme="minorHAnsi" w:cstheme="minorBidi"/>
            <w:sz w:val="22"/>
            <w:szCs w:val="22"/>
          </w:rPr>
          <w:tab/>
        </w:r>
        <w:r w:rsidR="001D089D" w:rsidRPr="00CE566B">
          <w:rPr>
            <w:rStyle w:val="Hyperlink"/>
          </w:rPr>
          <w:t>Estimates of Other Total Annual Cost Burden to Respondents and Record Keepers</w:t>
        </w:r>
        <w:r w:rsidR="001D089D">
          <w:rPr>
            <w:webHidden/>
          </w:rPr>
          <w:tab/>
        </w:r>
        <w:r>
          <w:rPr>
            <w:webHidden/>
          </w:rPr>
          <w:fldChar w:fldCharType="begin"/>
        </w:r>
        <w:r w:rsidR="001D089D">
          <w:rPr>
            <w:webHidden/>
          </w:rPr>
          <w:instrText xml:space="preserve"> PAGEREF _Toc297131709 \h </w:instrText>
        </w:r>
        <w:r>
          <w:rPr>
            <w:webHidden/>
          </w:rPr>
        </w:r>
        <w:r>
          <w:rPr>
            <w:webHidden/>
          </w:rPr>
          <w:fldChar w:fldCharType="separate"/>
        </w:r>
        <w:r w:rsidR="002E48B2">
          <w:rPr>
            <w:webHidden/>
          </w:rPr>
          <w:t>22</w:t>
        </w:r>
        <w:r>
          <w:rPr>
            <w:webHidden/>
          </w:rPr>
          <w:fldChar w:fldCharType="end"/>
        </w:r>
      </w:hyperlink>
    </w:p>
    <w:p w:rsidR="001D089D" w:rsidRDefault="005D0094">
      <w:pPr>
        <w:pStyle w:val="TOC2"/>
        <w:tabs>
          <w:tab w:val="left" w:pos="2340"/>
        </w:tabs>
        <w:rPr>
          <w:rFonts w:asciiTheme="minorHAnsi" w:eastAsiaTheme="minorEastAsia" w:hAnsiTheme="minorHAnsi" w:cstheme="minorBidi"/>
          <w:sz w:val="22"/>
          <w:szCs w:val="22"/>
        </w:rPr>
      </w:pPr>
      <w:hyperlink w:anchor="_Toc297131710" w:history="1">
        <w:r w:rsidR="001D089D" w:rsidRPr="00CE566B">
          <w:rPr>
            <w:rStyle w:val="Hyperlink"/>
          </w:rPr>
          <w:t>A.14</w:t>
        </w:r>
        <w:r w:rsidR="001D089D">
          <w:rPr>
            <w:rFonts w:asciiTheme="minorHAnsi" w:eastAsiaTheme="minorEastAsia" w:hAnsiTheme="minorHAnsi" w:cstheme="minorBidi"/>
            <w:sz w:val="22"/>
            <w:szCs w:val="22"/>
          </w:rPr>
          <w:tab/>
        </w:r>
        <w:r w:rsidR="001D089D" w:rsidRPr="00CE566B">
          <w:rPr>
            <w:rStyle w:val="Hyperlink"/>
          </w:rPr>
          <w:t>Annualized Cost to the Federal Government</w:t>
        </w:r>
        <w:r w:rsidR="001D089D">
          <w:rPr>
            <w:webHidden/>
          </w:rPr>
          <w:tab/>
        </w:r>
        <w:r>
          <w:rPr>
            <w:webHidden/>
          </w:rPr>
          <w:fldChar w:fldCharType="begin"/>
        </w:r>
        <w:r w:rsidR="001D089D">
          <w:rPr>
            <w:webHidden/>
          </w:rPr>
          <w:instrText xml:space="preserve"> PAGEREF _Toc297131710 \h </w:instrText>
        </w:r>
        <w:r>
          <w:rPr>
            <w:webHidden/>
          </w:rPr>
        </w:r>
        <w:r>
          <w:rPr>
            <w:webHidden/>
          </w:rPr>
          <w:fldChar w:fldCharType="separate"/>
        </w:r>
        <w:r w:rsidR="002E48B2">
          <w:rPr>
            <w:webHidden/>
          </w:rPr>
          <w:t>23</w:t>
        </w:r>
        <w:r>
          <w:rPr>
            <w:webHidden/>
          </w:rPr>
          <w:fldChar w:fldCharType="end"/>
        </w:r>
      </w:hyperlink>
    </w:p>
    <w:p w:rsidR="001D089D" w:rsidRDefault="005D0094">
      <w:pPr>
        <w:pStyle w:val="TOC2"/>
        <w:tabs>
          <w:tab w:val="left" w:pos="2340"/>
        </w:tabs>
        <w:rPr>
          <w:rFonts w:asciiTheme="minorHAnsi" w:eastAsiaTheme="minorEastAsia" w:hAnsiTheme="minorHAnsi" w:cstheme="minorBidi"/>
          <w:sz w:val="22"/>
          <w:szCs w:val="22"/>
        </w:rPr>
      </w:pPr>
      <w:hyperlink w:anchor="_Toc297131712" w:history="1">
        <w:r w:rsidR="001D089D" w:rsidRPr="00CE566B">
          <w:rPr>
            <w:rStyle w:val="Hyperlink"/>
          </w:rPr>
          <w:t>A.15</w:t>
        </w:r>
        <w:r w:rsidR="001D089D">
          <w:rPr>
            <w:rFonts w:asciiTheme="minorHAnsi" w:eastAsiaTheme="minorEastAsia" w:hAnsiTheme="minorHAnsi" w:cstheme="minorBidi"/>
            <w:sz w:val="22"/>
            <w:szCs w:val="22"/>
          </w:rPr>
          <w:tab/>
        </w:r>
        <w:r w:rsidR="001D089D" w:rsidRPr="00CE566B">
          <w:rPr>
            <w:rStyle w:val="Hyperlink"/>
          </w:rPr>
          <w:t>Explanation for Program Changes or Adjustments</w:t>
        </w:r>
        <w:r w:rsidR="001D089D">
          <w:rPr>
            <w:webHidden/>
          </w:rPr>
          <w:tab/>
        </w:r>
        <w:r>
          <w:rPr>
            <w:webHidden/>
          </w:rPr>
          <w:fldChar w:fldCharType="begin"/>
        </w:r>
        <w:r w:rsidR="001D089D">
          <w:rPr>
            <w:webHidden/>
          </w:rPr>
          <w:instrText xml:space="preserve"> PAGEREF _Toc297131712 \h </w:instrText>
        </w:r>
        <w:r>
          <w:rPr>
            <w:webHidden/>
          </w:rPr>
        </w:r>
        <w:r>
          <w:rPr>
            <w:webHidden/>
          </w:rPr>
          <w:fldChar w:fldCharType="separate"/>
        </w:r>
        <w:r w:rsidR="002E48B2">
          <w:rPr>
            <w:webHidden/>
          </w:rPr>
          <w:t>24</w:t>
        </w:r>
        <w:r>
          <w:rPr>
            <w:webHidden/>
          </w:rPr>
          <w:fldChar w:fldCharType="end"/>
        </w:r>
      </w:hyperlink>
    </w:p>
    <w:p w:rsidR="001D089D" w:rsidRDefault="005D0094">
      <w:pPr>
        <w:pStyle w:val="TOC2"/>
        <w:tabs>
          <w:tab w:val="left" w:pos="2340"/>
        </w:tabs>
        <w:rPr>
          <w:rFonts w:asciiTheme="minorHAnsi" w:eastAsiaTheme="minorEastAsia" w:hAnsiTheme="minorHAnsi" w:cstheme="minorBidi"/>
          <w:sz w:val="22"/>
          <w:szCs w:val="22"/>
        </w:rPr>
      </w:pPr>
      <w:hyperlink w:anchor="_Toc297131713" w:history="1">
        <w:r w:rsidR="001D089D" w:rsidRPr="00CE566B">
          <w:rPr>
            <w:rStyle w:val="Hyperlink"/>
          </w:rPr>
          <w:t>A.16</w:t>
        </w:r>
        <w:r w:rsidR="001D089D">
          <w:rPr>
            <w:rFonts w:asciiTheme="minorHAnsi" w:eastAsiaTheme="minorEastAsia" w:hAnsiTheme="minorHAnsi" w:cstheme="minorBidi"/>
            <w:sz w:val="22"/>
            <w:szCs w:val="22"/>
          </w:rPr>
          <w:tab/>
        </w:r>
        <w:r w:rsidR="001D089D" w:rsidRPr="00CE566B">
          <w:rPr>
            <w:rStyle w:val="Hyperlink"/>
          </w:rPr>
          <w:t>Plans for Tabulation and Publication and Project Time Schedule</w:t>
        </w:r>
        <w:r w:rsidR="001D089D">
          <w:rPr>
            <w:webHidden/>
          </w:rPr>
          <w:tab/>
        </w:r>
        <w:r>
          <w:rPr>
            <w:webHidden/>
          </w:rPr>
          <w:fldChar w:fldCharType="begin"/>
        </w:r>
        <w:r w:rsidR="001D089D">
          <w:rPr>
            <w:webHidden/>
          </w:rPr>
          <w:instrText xml:space="preserve"> PAGEREF _Toc297131713 \h </w:instrText>
        </w:r>
        <w:r>
          <w:rPr>
            <w:webHidden/>
          </w:rPr>
        </w:r>
        <w:r>
          <w:rPr>
            <w:webHidden/>
          </w:rPr>
          <w:fldChar w:fldCharType="separate"/>
        </w:r>
        <w:r w:rsidR="002E48B2">
          <w:rPr>
            <w:webHidden/>
          </w:rPr>
          <w:t>24</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714" w:history="1">
        <w:r w:rsidR="001D089D" w:rsidRPr="00CE566B">
          <w:rPr>
            <w:rStyle w:val="Hyperlink"/>
          </w:rPr>
          <w:t>Tabulation Plans</w:t>
        </w:r>
        <w:r w:rsidR="001D089D">
          <w:rPr>
            <w:webHidden/>
          </w:rPr>
          <w:tab/>
        </w:r>
        <w:r>
          <w:rPr>
            <w:webHidden/>
          </w:rPr>
          <w:fldChar w:fldCharType="begin"/>
        </w:r>
        <w:r w:rsidR="001D089D">
          <w:rPr>
            <w:webHidden/>
          </w:rPr>
          <w:instrText xml:space="preserve"> PAGEREF _Toc297131714 \h </w:instrText>
        </w:r>
        <w:r>
          <w:rPr>
            <w:webHidden/>
          </w:rPr>
        </w:r>
        <w:r>
          <w:rPr>
            <w:webHidden/>
          </w:rPr>
          <w:fldChar w:fldCharType="separate"/>
        </w:r>
        <w:r w:rsidR="002E48B2">
          <w:rPr>
            <w:webHidden/>
          </w:rPr>
          <w:t>24</w:t>
        </w:r>
        <w:r>
          <w:rPr>
            <w:webHidden/>
          </w:rPr>
          <w:fldChar w:fldCharType="end"/>
        </w:r>
      </w:hyperlink>
    </w:p>
    <w:p w:rsidR="001D089D" w:rsidRDefault="005D0094">
      <w:pPr>
        <w:pStyle w:val="TOC3"/>
        <w:rPr>
          <w:rFonts w:asciiTheme="minorHAnsi" w:eastAsiaTheme="minorEastAsia" w:hAnsiTheme="minorHAnsi" w:cstheme="minorBidi"/>
          <w:sz w:val="22"/>
          <w:szCs w:val="22"/>
        </w:rPr>
      </w:pPr>
      <w:hyperlink w:anchor="_Toc297131715" w:history="1">
        <w:r w:rsidR="001D089D" w:rsidRPr="00CE566B">
          <w:rPr>
            <w:rStyle w:val="Hyperlink"/>
          </w:rPr>
          <w:t>Publication Plans</w:t>
        </w:r>
        <w:r w:rsidR="001D089D">
          <w:rPr>
            <w:webHidden/>
          </w:rPr>
          <w:tab/>
        </w:r>
        <w:r>
          <w:rPr>
            <w:webHidden/>
          </w:rPr>
          <w:fldChar w:fldCharType="begin"/>
        </w:r>
        <w:r w:rsidR="001D089D">
          <w:rPr>
            <w:webHidden/>
          </w:rPr>
          <w:instrText xml:space="preserve"> PAGEREF _Toc297131715 \h </w:instrText>
        </w:r>
        <w:r>
          <w:rPr>
            <w:webHidden/>
          </w:rPr>
        </w:r>
        <w:r>
          <w:rPr>
            <w:webHidden/>
          </w:rPr>
          <w:fldChar w:fldCharType="separate"/>
        </w:r>
        <w:r w:rsidR="002E48B2">
          <w:rPr>
            <w:webHidden/>
          </w:rPr>
          <w:t>25</w:t>
        </w:r>
        <w:r>
          <w:rPr>
            <w:webHidden/>
          </w:rPr>
          <w:fldChar w:fldCharType="end"/>
        </w:r>
      </w:hyperlink>
    </w:p>
    <w:p w:rsidR="001D089D" w:rsidRDefault="005D0094">
      <w:pPr>
        <w:pStyle w:val="TOC2"/>
        <w:tabs>
          <w:tab w:val="left" w:pos="2340"/>
        </w:tabs>
        <w:rPr>
          <w:rFonts w:asciiTheme="minorHAnsi" w:eastAsiaTheme="minorEastAsia" w:hAnsiTheme="minorHAnsi" w:cstheme="minorBidi"/>
          <w:sz w:val="22"/>
          <w:szCs w:val="22"/>
        </w:rPr>
      </w:pPr>
      <w:hyperlink w:anchor="_Toc297131717" w:history="1">
        <w:r w:rsidR="001D089D" w:rsidRPr="00CE566B">
          <w:rPr>
            <w:rStyle w:val="Hyperlink"/>
          </w:rPr>
          <w:t>A.17</w:t>
        </w:r>
        <w:r w:rsidR="001D089D">
          <w:rPr>
            <w:rFonts w:asciiTheme="minorHAnsi" w:eastAsiaTheme="minorEastAsia" w:hAnsiTheme="minorHAnsi" w:cstheme="minorBidi"/>
            <w:sz w:val="22"/>
            <w:szCs w:val="22"/>
          </w:rPr>
          <w:tab/>
        </w:r>
        <w:r w:rsidR="001D089D" w:rsidRPr="00CE566B">
          <w:rPr>
            <w:rStyle w:val="Hyperlink"/>
          </w:rPr>
          <w:t>Reason(s) Display of OMB Expiration Date is Inappropriate</w:t>
        </w:r>
        <w:r w:rsidR="001D089D">
          <w:rPr>
            <w:webHidden/>
          </w:rPr>
          <w:tab/>
        </w:r>
        <w:r>
          <w:rPr>
            <w:webHidden/>
          </w:rPr>
          <w:fldChar w:fldCharType="begin"/>
        </w:r>
        <w:r w:rsidR="001D089D">
          <w:rPr>
            <w:webHidden/>
          </w:rPr>
          <w:instrText xml:space="preserve"> PAGEREF _Toc297131717 \h </w:instrText>
        </w:r>
        <w:r>
          <w:rPr>
            <w:webHidden/>
          </w:rPr>
        </w:r>
        <w:r>
          <w:rPr>
            <w:webHidden/>
          </w:rPr>
          <w:fldChar w:fldCharType="separate"/>
        </w:r>
        <w:r w:rsidR="002E48B2">
          <w:rPr>
            <w:webHidden/>
          </w:rPr>
          <w:t>26</w:t>
        </w:r>
        <w:r>
          <w:rPr>
            <w:webHidden/>
          </w:rPr>
          <w:fldChar w:fldCharType="end"/>
        </w:r>
      </w:hyperlink>
    </w:p>
    <w:p w:rsidR="001D089D" w:rsidRDefault="005D0094">
      <w:pPr>
        <w:pStyle w:val="TOC2"/>
        <w:tabs>
          <w:tab w:val="left" w:pos="2340"/>
        </w:tabs>
        <w:rPr>
          <w:rFonts w:asciiTheme="minorHAnsi" w:eastAsiaTheme="minorEastAsia" w:hAnsiTheme="minorHAnsi" w:cstheme="minorBidi"/>
          <w:sz w:val="22"/>
          <w:szCs w:val="22"/>
        </w:rPr>
      </w:pPr>
      <w:hyperlink w:anchor="_Toc297131718" w:history="1">
        <w:r w:rsidR="001D089D" w:rsidRPr="00CE566B">
          <w:rPr>
            <w:rStyle w:val="Hyperlink"/>
          </w:rPr>
          <w:t>A.18</w:t>
        </w:r>
        <w:r w:rsidR="001D089D">
          <w:rPr>
            <w:rFonts w:asciiTheme="minorHAnsi" w:eastAsiaTheme="minorEastAsia" w:hAnsiTheme="minorHAnsi" w:cstheme="minorBidi"/>
            <w:sz w:val="22"/>
            <w:szCs w:val="22"/>
          </w:rPr>
          <w:tab/>
        </w:r>
        <w:r w:rsidR="001D089D" w:rsidRPr="00CE566B">
          <w:rPr>
            <w:rStyle w:val="Hyperlink"/>
          </w:rPr>
          <w:t>Exceptions to Certification for Paperwork Reduction Act Submissions</w:t>
        </w:r>
        <w:r w:rsidR="001D089D">
          <w:rPr>
            <w:webHidden/>
          </w:rPr>
          <w:tab/>
        </w:r>
        <w:r>
          <w:rPr>
            <w:webHidden/>
          </w:rPr>
          <w:fldChar w:fldCharType="begin"/>
        </w:r>
        <w:r w:rsidR="001D089D">
          <w:rPr>
            <w:webHidden/>
          </w:rPr>
          <w:instrText xml:space="preserve"> PAGEREF _Toc297131718 \h </w:instrText>
        </w:r>
        <w:r>
          <w:rPr>
            <w:webHidden/>
          </w:rPr>
        </w:r>
        <w:r>
          <w:rPr>
            <w:webHidden/>
          </w:rPr>
          <w:fldChar w:fldCharType="separate"/>
        </w:r>
        <w:r w:rsidR="002E48B2">
          <w:rPr>
            <w:webHidden/>
          </w:rPr>
          <w:t>26</w:t>
        </w:r>
        <w:r>
          <w:rPr>
            <w:webHidden/>
          </w:rPr>
          <w:fldChar w:fldCharType="end"/>
        </w:r>
      </w:hyperlink>
    </w:p>
    <w:p w:rsidR="00F72F56" w:rsidRDefault="005D0094" w:rsidP="00A935D1">
      <w:pPr>
        <w:rPr>
          <w:noProof/>
        </w:rPr>
      </w:pPr>
      <w:r>
        <w:rPr>
          <w:noProof/>
        </w:rPr>
        <w:fldChar w:fldCharType="end"/>
      </w:r>
      <w:bookmarkStart w:id="1" w:name="_Toc79980788"/>
    </w:p>
    <w:p w:rsidR="00A935D1" w:rsidRPr="00A935D1" w:rsidRDefault="00A935D1" w:rsidP="00A935D1"/>
    <w:p w:rsidR="00F72F56" w:rsidRDefault="00B23A53" w:rsidP="00F72F56">
      <w:pPr>
        <w:pStyle w:val="TOC0"/>
        <w:rPr>
          <w:noProof/>
        </w:rPr>
      </w:pPr>
      <w:r>
        <w:rPr>
          <w:noProof/>
        </w:rPr>
        <w:br w:type="page"/>
      </w:r>
      <w:r w:rsidR="00F72F56">
        <w:rPr>
          <w:noProof/>
        </w:rPr>
        <w:lastRenderedPageBreak/>
        <w:t>Exhibits</w:t>
      </w:r>
    </w:p>
    <w:p w:rsidR="00A935D1" w:rsidRPr="0037320E" w:rsidRDefault="00A935D1" w:rsidP="00A935D1">
      <w:pPr>
        <w:tabs>
          <w:tab w:val="right" w:pos="9360"/>
        </w:tabs>
        <w:spacing w:before="120" w:after="240"/>
        <w:rPr>
          <w:color w:val="000000"/>
        </w:rPr>
      </w:pPr>
      <w:r>
        <w:rPr>
          <w:b/>
          <w:color w:val="000000"/>
        </w:rPr>
        <w:t>Number</w:t>
      </w:r>
      <w:r w:rsidRPr="0037320E">
        <w:rPr>
          <w:color w:val="000000"/>
        </w:rPr>
        <w:tab/>
      </w:r>
      <w:r w:rsidRPr="0037320E">
        <w:rPr>
          <w:b/>
          <w:color w:val="000000"/>
        </w:rPr>
        <w:t>Page</w:t>
      </w:r>
    </w:p>
    <w:p w:rsidR="00A2043A" w:rsidRDefault="005D0094">
      <w:pPr>
        <w:pStyle w:val="TOC5"/>
        <w:rPr>
          <w:rFonts w:asciiTheme="minorHAnsi" w:eastAsiaTheme="minorEastAsia" w:hAnsiTheme="minorHAnsi" w:cstheme="minorBidi"/>
          <w:sz w:val="22"/>
          <w:szCs w:val="22"/>
        </w:rPr>
      </w:pPr>
      <w:r w:rsidRPr="005D0094">
        <w:fldChar w:fldCharType="begin"/>
      </w:r>
      <w:r w:rsidR="00F72F56">
        <w:instrText xml:space="preserve"> TOC \t "Figure Title,5" </w:instrText>
      </w:r>
      <w:r w:rsidRPr="005D0094">
        <w:fldChar w:fldCharType="separate"/>
      </w:r>
      <w:r w:rsidR="00A2043A">
        <w:t>Exhibit 1. Key Evaluation Questions—Promotional Activities Component</w:t>
      </w:r>
      <w:r w:rsidR="00A2043A">
        <w:tab/>
      </w:r>
      <w:r>
        <w:fldChar w:fldCharType="begin"/>
      </w:r>
      <w:r w:rsidR="00A2043A">
        <w:instrText xml:space="preserve"> PAGEREF _Toc297130638 \h </w:instrText>
      </w:r>
      <w:r>
        <w:fldChar w:fldCharType="separate"/>
      </w:r>
      <w:r w:rsidR="002E48B2">
        <w:t>4</w:t>
      </w:r>
      <w:r>
        <w:fldChar w:fldCharType="end"/>
      </w:r>
    </w:p>
    <w:p w:rsidR="00A2043A" w:rsidRDefault="00A2043A">
      <w:pPr>
        <w:pStyle w:val="TOC5"/>
        <w:rPr>
          <w:rFonts w:asciiTheme="minorHAnsi" w:eastAsiaTheme="minorEastAsia" w:hAnsiTheme="minorHAnsi" w:cstheme="minorBidi"/>
          <w:sz w:val="22"/>
          <w:szCs w:val="22"/>
        </w:rPr>
      </w:pPr>
      <w:r>
        <w:t>Exhibit 2. Key Evaluation Questions—Cessation Intervention Component</w:t>
      </w:r>
      <w:r>
        <w:tab/>
      </w:r>
      <w:r w:rsidR="005D0094">
        <w:fldChar w:fldCharType="begin"/>
      </w:r>
      <w:r>
        <w:instrText xml:space="preserve"> PAGEREF _Toc297130639 \h </w:instrText>
      </w:r>
      <w:r w:rsidR="005D0094">
        <w:fldChar w:fldCharType="separate"/>
      </w:r>
      <w:r w:rsidR="002E48B2">
        <w:t>4</w:t>
      </w:r>
      <w:r w:rsidR="005D0094">
        <w:fldChar w:fldCharType="end"/>
      </w:r>
    </w:p>
    <w:p w:rsidR="00A2043A" w:rsidRDefault="00A2043A">
      <w:pPr>
        <w:pStyle w:val="TOC5"/>
        <w:rPr>
          <w:rFonts w:asciiTheme="minorHAnsi" w:eastAsiaTheme="minorEastAsia" w:hAnsiTheme="minorHAnsi" w:cstheme="minorBidi"/>
          <w:sz w:val="22"/>
          <w:szCs w:val="22"/>
        </w:rPr>
      </w:pPr>
      <w:r>
        <w:t>Exhibit 3. Evaluation Consultants</w:t>
      </w:r>
      <w:r>
        <w:tab/>
      </w:r>
      <w:r w:rsidR="005D0094">
        <w:fldChar w:fldCharType="begin"/>
      </w:r>
      <w:r>
        <w:instrText xml:space="preserve"> PAGEREF _Toc297130640 \h </w:instrText>
      </w:r>
      <w:r w:rsidR="005D0094">
        <w:fldChar w:fldCharType="separate"/>
      </w:r>
      <w:r w:rsidR="002E48B2">
        <w:t>16</w:t>
      </w:r>
      <w:r w:rsidR="005D0094">
        <w:fldChar w:fldCharType="end"/>
      </w:r>
    </w:p>
    <w:p w:rsidR="00F72F56" w:rsidRDefault="005D0094" w:rsidP="00F72F56">
      <w:pPr>
        <w:rPr>
          <w:noProof/>
        </w:rPr>
      </w:pPr>
      <w:r>
        <w:rPr>
          <w:noProof/>
        </w:rPr>
        <w:fldChar w:fldCharType="end"/>
      </w:r>
    </w:p>
    <w:p w:rsidR="00451757" w:rsidRPr="00CB0350" w:rsidRDefault="00451757" w:rsidP="00451757">
      <w:pPr>
        <w:pStyle w:val="TOC0"/>
      </w:pPr>
      <w:r w:rsidRPr="00CB0350">
        <w:t xml:space="preserve">LIST OF </w:t>
      </w:r>
      <w:r w:rsidR="0036764B">
        <w:t>APPENDIces</w:t>
      </w:r>
    </w:p>
    <w:p w:rsidR="00AF14FC" w:rsidRPr="00AF14FC" w:rsidRDefault="00AF14FC" w:rsidP="00AF14FC">
      <w:pPr>
        <w:pStyle w:val="TOC4"/>
        <w:ind w:left="1440" w:hanging="1440"/>
      </w:pPr>
      <w:r w:rsidRPr="00AF14FC">
        <w:t>Appendix 1a. Authorizing Legislation: PHSA</w:t>
      </w:r>
    </w:p>
    <w:p w:rsidR="00AF14FC" w:rsidRPr="00AF14FC" w:rsidRDefault="009F6B39" w:rsidP="00AF14FC">
      <w:pPr>
        <w:pStyle w:val="TOC4"/>
        <w:ind w:left="1440" w:hanging="1440"/>
      </w:pPr>
      <w:r>
        <w:t>Appendix 1b.</w:t>
      </w:r>
      <w:r w:rsidR="00AF14FC" w:rsidRPr="00AF14FC">
        <w:t xml:space="preserve"> American Recovery and Reinvestment Act of 2009</w:t>
      </w:r>
    </w:p>
    <w:p w:rsidR="00755E07" w:rsidRDefault="0036764B" w:rsidP="00592720">
      <w:pPr>
        <w:pStyle w:val="TOC4"/>
        <w:ind w:left="1440" w:hanging="1440"/>
      </w:pPr>
      <w:r>
        <w:t>Appendix</w:t>
      </w:r>
      <w:r w:rsidR="007F0B28">
        <w:t xml:space="preserve"> </w:t>
      </w:r>
      <w:r w:rsidR="008631C8">
        <w:t>2</w:t>
      </w:r>
      <w:r w:rsidR="00755E07">
        <w:t>a</w:t>
      </w:r>
      <w:r w:rsidR="007F0B28">
        <w:t xml:space="preserve">. </w:t>
      </w:r>
      <w:r w:rsidR="00DC6FE1" w:rsidRPr="00B1683C">
        <w:rPr>
          <w:i/>
        </w:rPr>
        <w:t>Federal Register</w:t>
      </w:r>
      <w:r w:rsidR="00DC6FE1">
        <w:t xml:space="preserve"> Notice</w:t>
      </w:r>
    </w:p>
    <w:p w:rsidR="007F0B28" w:rsidRPr="00C56EAB" w:rsidRDefault="009F6B39" w:rsidP="00592720">
      <w:pPr>
        <w:pStyle w:val="TOC4"/>
        <w:ind w:left="1440" w:hanging="1440"/>
      </w:pPr>
      <w:r>
        <w:t xml:space="preserve">Appendix 2b. </w:t>
      </w:r>
      <w:r w:rsidR="00755E07">
        <w:t>Summary of Public Comments and CDC Response</w:t>
      </w:r>
      <w:r w:rsidR="00DC6FE1">
        <w:t xml:space="preserve"> </w:t>
      </w:r>
    </w:p>
    <w:p w:rsidR="007F0B28" w:rsidRDefault="0036764B" w:rsidP="00592720">
      <w:pPr>
        <w:pStyle w:val="TOC4"/>
        <w:ind w:left="1440" w:hanging="1440"/>
      </w:pPr>
      <w:r>
        <w:t>Appendix</w:t>
      </w:r>
      <w:r w:rsidR="007F0B28">
        <w:t xml:space="preserve"> </w:t>
      </w:r>
      <w:r w:rsidR="008631C8">
        <w:t>3</w:t>
      </w:r>
      <w:r w:rsidR="007F0B28">
        <w:t xml:space="preserve">. </w:t>
      </w:r>
      <w:r w:rsidR="00CF0AC8">
        <w:t>Study F</w:t>
      </w:r>
      <w:r w:rsidR="00DC6FE1">
        <w:t xml:space="preserve">lowchart </w:t>
      </w:r>
    </w:p>
    <w:p w:rsidR="008D0B16" w:rsidRDefault="0036764B">
      <w:pPr>
        <w:pStyle w:val="TOC4"/>
        <w:ind w:left="0" w:firstLine="0"/>
      </w:pPr>
      <w:r>
        <w:t>Appendix</w:t>
      </w:r>
      <w:r w:rsidR="007F0B28">
        <w:t xml:space="preserve"> </w:t>
      </w:r>
      <w:r w:rsidR="008631C8">
        <w:t>4</w:t>
      </w:r>
      <w:r w:rsidR="007F0B28">
        <w:t xml:space="preserve">. </w:t>
      </w:r>
      <w:r w:rsidR="00CF0AC8" w:rsidRPr="00CF0AC8">
        <w:t>Promotion Study Data Collection Table</w:t>
      </w:r>
    </w:p>
    <w:p w:rsidR="007D2303" w:rsidRDefault="008631C8" w:rsidP="008631C8">
      <w:pPr>
        <w:pStyle w:val="TOC4"/>
        <w:ind w:left="1440" w:hanging="1440"/>
      </w:pPr>
      <w:r>
        <w:t>Appendix 5</w:t>
      </w:r>
      <w:r w:rsidR="007D2303">
        <w:t>a</w:t>
      </w:r>
      <w:r>
        <w:t xml:space="preserve">. </w:t>
      </w:r>
      <w:r w:rsidR="00CF0AC8" w:rsidRPr="00CF0AC8">
        <w:t>Intake Survey</w:t>
      </w:r>
      <w:r w:rsidR="007D2303">
        <w:t xml:space="preserve"> Data for Quitline Clients</w:t>
      </w:r>
    </w:p>
    <w:p w:rsidR="008631C8" w:rsidRPr="008631C8" w:rsidRDefault="007D2303" w:rsidP="008631C8">
      <w:pPr>
        <w:pStyle w:val="TOC4"/>
        <w:ind w:left="1440" w:hanging="1440"/>
      </w:pPr>
      <w:r>
        <w:t>Appendix 5b. Intake Survey Data for Web-based Service Clients</w:t>
      </w:r>
    </w:p>
    <w:p w:rsidR="007D2303" w:rsidRDefault="00F25510" w:rsidP="00801ED8">
      <w:pPr>
        <w:pStyle w:val="TOC4"/>
        <w:ind w:left="1440" w:hanging="1440"/>
      </w:pPr>
      <w:r>
        <w:t xml:space="preserve">Appendix </w:t>
      </w:r>
      <w:r w:rsidR="008631C8">
        <w:t>6</w:t>
      </w:r>
      <w:r w:rsidR="007D2303">
        <w:t>a</w:t>
      </w:r>
      <w:r>
        <w:t xml:space="preserve">. </w:t>
      </w:r>
      <w:r w:rsidR="00CF0AC8" w:rsidRPr="00CF0AC8">
        <w:t>Follow-up Survey</w:t>
      </w:r>
      <w:r w:rsidR="007D2303">
        <w:t xml:space="preserve"> Data for Quitline Clients</w:t>
      </w:r>
    </w:p>
    <w:p w:rsidR="007F0B28" w:rsidRDefault="007D2303" w:rsidP="00592720">
      <w:pPr>
        <w:pStyle w:val="TOC4"/>
        <w:ind w:left="1440" w:hanging="1440"/>
      </w:pPr>
      <w:r>
        <w:t>Appendix 6b. Follow-up Survey Data for Web-based Service Clients</w:t>
      </w:r>
    </w:p>
    <w:p w:rsidR="00CF0AC8" w:rsidRDefault="00CF0AC8" w:rsidP="00CF0AC8">
      <w:pPr>
        <w:pStyle w:val="TOC4"/>
        <w:ind w:left="1440" w:hanging="1440"/>
      </w:pPr>
      <w:r>
        <w:t>Appendix 7. Follow-up Data Collection Consent Form</w:t>
      </w:r>
    </w:p>
    <w:p w:rsidR="00CF0AC8" w:rsidRDefault="00CF0AC8" w:rsidP="00CF0AC8">
      <w:pPr>
        <w:pStyle w:val="TOC4"/>
        <w:ind w:left="1440" w:hanging="1440"/>
      </w:pPr>
      <w:r>
        <w:t>Appendix 8. Lead Letter for Follow-up Data C</w:t>
      </w:r>
      <w:r w:rsidRPr="00CF0AC8">
        <w:t>ollection</w:t>
      </w:r>
    </w:p>
    <w:p w:rsidR="00513AF1" w:rsidRPr="00513AF1" w:rsidRDefault="00513AF1" w:rsidP="00513AF1">
      <w:pPr>
        <w:pStyle w:val="TOC4"/>
        <w:ind w:left="1440" w:hanging="1440"/>
      </w:pPr>
      <w:r w:rsidRPr="00513AF1">
        <w:t xml:space="preserve">Appendix 9. List of </w:t>
      </w:r>
      <w:r w:rsidR="007D2303">
        <w:t>Proposed P</w:t>
      </w:r>
      <w:r w:rsidRPr="00513AF1">
        <w:t xml:space="preserve">articipating </w:t>
      </w:r>
      <w:r w:rsidR="007D2303">
        <w:t>S</w:t>
      </w:r>
      <w:r w:rsidRPr="00513AF1">
        <w:t xml:space="preserve">tates for </w:t>
      </w:r>
      <w:r w:rsidR="007D2303">
        <w:t>C</w:t>
      </w:r>
      <w:r w:rsidRPr="00513AF1">
        <w:t xml:space="preserve">essation </w:t>
      </w:r>
      <w:r w:rsidR="007D2303">
        <w:t>C</w:t>
      </w:r>
      <w:r w:rsidRPr="00513AF1">
        <w:t>omponent</w:t>
      </w:r>
    </w:p>
    <w:p w:rsidR="00451757" w:rsidRPr="00F72F56" w:rsidRDefault="00513AF1" w:rsidP="001D089D">
      <w:pPr>
        <w:pStyle w:val="TOC4"/>
        <w:ind w:left="1440" w:hanging="1440"/>
      </w:pPr>
      <w:r w:rsidRPr="00513AF1">
        <w:t>Appendix 10. References</w:t>
      </w:r>
    </w:p>
    <w:p w:rsidR="00F72F56" w:rsidRDefault="00006439" w:rsidP="00F72F56">
      <w:pPr>
        <w:rPr>
          <w:noProof/>
        </w:rPr>
      </w:pPr>
      <w:r>
        <w:rPr>
          <w:noProof/>
        </w:rPr>
        <w:t>Appendix 11. IRB Documentation</w:t>
      </w:r>
    </w:p>
    <w:p w:rsidR="00F72F56" w:rsidRDefault="00F72F56" w:rsidP="00932612">
      <w:pPr>
        <w:pStyle w:val="Heading1"/>
        <w:rPr>
          <w:color w:val="000000"/>
        </w:rPr>
        <w:sectPr w:rsidR="00F72F56" w:rsidSect="00CB0350">
          <w:footerReference w:type="default" r:id="rId11"/>
          <w:pgSz w:w="12240" w:h="15840"/>
          <w:pgMar w:top="1440" w:right="1440" w:bottom="1440" w:left="1440" w:header="720" w:footer="720" w:gutter="0"/>
          <w:pgNumType w:fmt="lowerRoman" w:start="3"/>
          <w:cols w:space="720"/>
        </w:sectPr>
      </w:pPr>
    </w:p>
    <w:p w:rsidR="00682231" w:rsidRPr="00CB2320" w:rsidRDefault="00682231" w:rsidP="00682231">
      <w:pPr>
        <w:rPr>
          <w:b/>
        </w:rPr>
      </w:pPr>
      <w:bookmarkStart w:id="2" w:name="_Toc99430975"/>
      <w:bookmarkStart w:id="3" w:name="_Toc143058435"/>
      <w:bookmarkStart w:id="4" w:name="_Toc146088433"/>
      <w:bookmarkStart w:id="5" w:name="_Toc260215283"/>
      <w:bookmarkStart w:id="6" w:name="_Toc8007688"/>
      <w:bookmarkStart w:id="7" w:name="_Toc88033485"/>
      <w:bookmarkEnd w:id="1"/>
      <w:r w:rsidRPr="00CB2320">
        <w:rPr>
          <w:b/>
        </w:rPr>
        <w:lastRenderedPageBreak/>
        <w:t>Abstract</w:t>
      </w:r>
    </w:p>
    <w:p w:rsidR="00682231" w:rsidRPr="00CB2320" w:rsidRDefault="00682231" w:rsidP="00682231">
      <w:pPr>
        <w:rPr>
          <w:b/>
        </w:rPr>
      </w:pPr>
    </w:p>
    <w:p w:rsidR="00216A5E" w:rsidRPr="00216A5E" w:rsidRDefault="00216A5E" w:rsidP="00560D87">
      <w:pPr>
        <w:spacing w:line="360" w:lineRule="auto"/>
        <w:ind w:firstLine="720"/>
      </w:pPr>
      <w:r w:rsidRPr="00216A5E">
        <w:t xml:space="preserve">The Centers for Disease Control and Prevention (CDC) requests OMB approval to collect information for </w:t>
      </w:r>
      <w:r w:rsidR="00E72C61">
        <w:t xml:space="preserve">the project entitled </w:t>
      </w:r>
      <w:r w:rsidR="00682231" w:rsidRPr="00B54ADB">
        <w:t>Comparing the Effectiveness of Traditional Evidence-Based Tobacco Cessation Interventions to Newer and Innovative Interventions Used by Comprehensive Cancer Control Programs</w:t>
      </w:r>
      <w:r w:rsidR="00B23C0C">
        <w:t>.</w:t>
      </w:r>
      <w:r w:rsidR="00682231">
        <w:t xml:space="preserve"> </w:t>
      </w:r>
      <w:r w:rsidRPr="00216A5E">
        <w:t>This is a new Information Collection Request</w:t>
      </w:r>
      <w:r w:rsidR="000A72CE">
        <w:t xml:space="preserve"> that</w:t>
      </w:r>
      <w:r w:rsidR="005C0D9C">
        <w:t xml:space="preserve"> </w:t>
      </w:r>
      <w:r w:rsidR="00695CBA">
        <w:t>will</w:t>
      </w:r>
      <w:r w:rsidR="0091577D">
        <w:t xml:space="preserve"> </w:t>
      </w:r>
      <w:r w:rsidRPr="00CB2320">
        <w:t xml:space="preserve">allow CDC to obtain </w:t>
      </w:r>
      <w:r>
        <w:t xml:space="preserve">and disseminate </w:t>
      </w:r>
      <w:r w:rsidRPr="00CB2320">
        <w:t xml:space="preserve">information on current </w:t>
      </w:r>
      <w:r>
        <w:t xml:space="preserve">promotion activities related to tobacco control that are undertaken throughout the United States. This project will also describe the </w:t>
      </w:r>
      <w:r w:rsidR="00BC7D8D">
        <w:t>client</w:t>
      </w:r>
      <w:r>
        <w:t xml:space="preserve"> population and compare the effectiveness of telephone versus Web-based tobacco cessation interventions. </w:t>
      </w:r>
      <w:r w:rsidR="005C0D9C">
        <w:t>Information will be collected over a 24-month period. Clearance</w:t>
      </w:r>
      <w:r w:rsidR="005C0D9C" w:rsidRPr="00CB2320">
        <w:t xml:space="preserve"> </w:t>
      </w:r>
      <w:r w:rsidRPr="00CB2320">
        <w:t xml:space="preserve">is requested for </w:t>
      </w:r>
      <w:r w:rsidR="005C0D9C">
        <w:t>two and one-half</w:t>
      </w:r>
      <w:r w:rsidR="005C0D9C" w:rsidRPr="00CB2320">
        <w:t xml:space="preserve"> </w:t>
      </w:r>
      <w:r w:rsidRPr="00CB2320">
        <w:t>years</w:t>
      </w:r>
      <w:r w:rsidR="005C0D9C">
        <w:t xml:space="preserve"> to provide flexibility in start and end dates for data collection</w:t>
      </w:r>
      <w:r w:rsidRPr="00CB2320">
        <w:t>.</w:t>
      </w:r>
    </w:p>
    <w:p w:rsidR="00682231" w:rsidRDefault="00216A5E" w:rsidP="00560D87">
      <w:pPr>
        <w:spacing w:line="360" w:lineRule="auto"/>
        <w:ind w:firstLine="720"/>
      </w:pPr>
      <w:r w:rsidRPr="00216A5E">
        <w:t xml:space="preserve">The </w:t>
      </w:r>
      <w:r w:rsidR="00560D87" w:rsidRPr="00216A5E">
        <w:t>promotion/cessation component</w:t>
      </w:r>
      <w:r w:rsidR="00560D87">
        <w:t>s</w:t>
      </w:r>
      <w:r w:rsidR="00560D87" w:rsidRPr="00216A5E">
        <w:t xml:space="preserve"> </w:t>
      </w:r>
      <w:r w:rsidR="00560D87">
        <w:t>are</w:t>
      </w:r>
      <w:r w:rsidRPr="00216A5E">
        <w:t xml:space="preserve"> </w:t>
      </w:r>
      <w:r w:rsidR="00560D87">
        <w:t xml:space="preserve">part </w:t>
      </w:r>
      <w:r w:rsidRPr="00216A5E">
        <w:t xml:space="preserve">of a larger Comparative Effectiveness Research </w:t>
      </w:r>
      <w:r w:rsidR="00560D87">
        <w:t xml:space="preserve">(CER) study that also includes </w:t>
      </w:r>
      <w:r w:rsidR="00560D87" w:rsidRPr="00682231">
        <w:t>a companion study titled “Study of Comprehensive Cancer Control and Tobacco Control Program Partnerships.”</w:t>
      </w:r>
      <w:r w:rsidR="00BC7D8D">
        <w:t xml:space="preserve"> </w:t>
      </w:r>
      <w:r w:rsidRPr="00216A5E">
        <w:t xml:space="preserve">The </w:t>
      </w:r>
      <w:r w:rsidR="00560D87">
        <w:t>partnership</w:t>
      </w:r>
      <w:r w:rsidRPr="00216A5E">
        <w:t xml:space="preserve"> study </w:t>
      </w:r>
      <w:r w:rsidR="00BC7D8D">
        <w:t>has been</w:t>
      </w:r>
      <w:r w:rsidRPr="00216A5E">
        <w:t xml:space="preserve"> described in a separate Information Collection Request.</w:t>
      </w:r>
    </w:p>
    <w:p w:rsidR="00BC7D8D" w:rsidRDefault="00BC7D8D" w:rsidP="00560D87">
      <w:pPr>
        <w:spacing w:line="360" w:lineRule="auto"/>
        <w:ind w:firstLine="720"/>
      </w:pPr>
    </w:p>
    <w:p w:rsidR="007F0B28" w:rsidRPr="00CF1100" w:rsidRDefault="007F0B28" w:rsidP="009D0976">
      <w:pPr>
        <w:pStyle w:val="Heading1"/>
      </w:pPr>
      <w:bookmarkStart w:id="8" w:name="_Toc296586357"/>
      <w:bookmarkStart w:id="9" w:name="_Toc297131673"/>
      <w:r w:rsidRPr="00CF1100">
        <w:t>A.</w:t>
      </w:r>
      <w:r w:rsidRPr="00CF1100">
        <w:tab/>
        <w:t>Justification</w:t>
      </w:r>
      <w:bookmarkEnd w:id="2"/>
      <w:bookmarkEnd w:id="3"/>
      <w:bookmarkEnd w:id="4"/>
      <w:bookmarkEnd w:id="5"/>
      <w:bookmarkEnd w:id="8"/>
      <w:bookmarkEnd w:id="9"/>
    </w:p>
    <w:p w:rsidR="007F0B28" w:rsidRPr="00CF1100" w:rsidRDefault="007F0B28" w:rsidP="009D0976">
      <w:pPr>
        <w:pStyle w:val="Heading2"/>
      </w:pPr>
      <w:bookmarkStart w:id="10" w:name="_Toc99430976"/>
      <w:bookmarkStart w:id="11" w:name="_Toc143058436"/>
      <w:bookmarkStart w:id="12" w:name="_Toc146088434"/>
      <w:bookmarkStart w:id="13" w:name="_Toc260215284"/>
      <w:bookmarkStart w:id="14" w:name="_Toc296586358"/>
      <w:bookmarkStart w:id="15" w:name="_Toc297131674"/>
      <w:r w:rsidRPr="00CF1100">
        <w:t>A.1.</w:t>
      </w:r>
      <w:r w:rsidRPr="00CF1100">
        <w:tab/>
        <w:t>Circumstances Making the Collection of Information Necessary</w:t>
      </w:r>
      <w:bookmarkEnd w:id="10"/>
      <w:bookmarkEnd w:id="11"/>
      <w:bookmarkEnd w:id="12"/>
      <w:bookmarkEnd w:id="13"/>
      <w:bookmarkEnd w:id="14"/>
      <w:bookmarkEnd w:id="15"/>
      <w:r w:rsidRPr="00CF1100">
        <w:t xml:space="preserve"> </w:t>
      </w:r>
    </w:p>
    <w:p w:rsidR="007F0B28" w:rsidRPr="009D0976" w:rsidRDefault="007F0B28" w:rsidP="009D0976">
      <w:pPr>
        <w:pStyle w:val="Heading3"/>
      </w:pPr>
      <w:bookmarkStart w:id="16" w:name="_Toc260215285"/>
      <w:bookmarkStart w:id="17" w:name="_Toc296586359"/>
      <w:bookmarkStart w:id="18" w:name="_Toc297131675"/>
      <w:r w:rsidRPr="00CF1100">
        <w:t>Background</w:t>
      </w:r>
      <w:bookmarkEnd w:id="16"/>
      <w:bookmarkEnd w:id="17"/>
      <w:bookmarkEnd w:id="18"/>
    </w:p>
    <w:p w:rsidR="00422959" w:rsidRDefault="00631010" w:rsidP="00513AF1">
      <w:pPr>
        <w:pStyle w:val="bodytext0"/>
      </w:pPr>
      <w:r>
        <w:t>This is a new Information Collection Request</w:t>
      </w:r>
      <w:r w:rsidR="00216A5E">
        <w:t xml:space="preserve">. </w:t>
      </w:r>
      <w:r w:rsidR="00216A5E" w:rsidRPr="00216A5E">
        <w:t>The Centers for Chronic Disease Prevention and Health Promotion (NCCDPHP), Centers for Disease Control and Prevention (CDC), requests approval from the Office of Management and Budget (OMB) to collect information</w:t>
      </w:r>
      <w:r w:rsidR="00216A5E">
        <w:t xml:space="preserve"> </w:t>
      </w:r>
      <w:r>
        <w:t xml:space="preserve">to </w:t>
      </w:r>
      <w:r w:rsidR="00E57108">
        <w:t>address an important gap in the evidence bas</w:t>
      </w:r>
      <w:r w:rsidR="00135C0F">
        <w:t>e</w:t>
      </w:r>
      <w:r w:rsidR="00E57108">
        <w:t xml:space="preserve"> for administrative, policy, and funding decisions regarding </w:t>
      </w:r>
      <w:r>
        <w:t>the effectiveness of traditional versus innovative cessation activities undertaken by state-based Tobacco Control Program</w:t>
      </w:r>
      <w:r w:rsidR="00135C0F">
        <w:t>s</w:t>
      </w:r>
      <w:r>
        <w:t xml:space="preserve"> (TCP</w:t>
      </w:r>
      <w:r w:rsidR="00135C0F">
        <w:t>s</w:t>
      </w:r>
      <w:r>
        <w:t xml:space="preserve">) </w:t>
      </w:r>
      <w:r w:rsidR="00E57108">
        <w:t>throughout the United States</w:t>
      </w:r>
      <w:r w:rsidR="00422959">
        <w:t xml:space="preserve">. </w:t>
      </w:r>
      <w:r w:rsidR="00216A5E" w:rsidRPr="00216A5E">
        <w:t xml:space="preserve">CDC’s authority to conduct the study is established by Section 301 of the Public Health Service Act (see </w:t>
      </w:r>
      <w:r w:rsidR="00216A5E" w:rsidRPr="00216A5E">
        <w:rPr>
          <w:b/>
        </w:rPr>
        <w:t>Appendix 1a</w:t>
      </w:r>
      <w:r w:rsidR="00216A5E" w:rsidRPr="00216A5E">
        <w:t>)</w:t>
      </w:r>
      <w:r w:rsidR="000A72CE">
        <w:t xml:space="preserve">. </w:t>
      </w:r>
      <w:r w:rsidR="00216A5E">
        <w:t xml:space="preserve">These activities </w:t>
      </w:r>
      <w:r w:rsidR="00216A5E" w:rsidRPr="00216A5E">
        <w:t xml:space="preserve">are funded by the American Recovery and Reinvestment Act </w:t>
      </w:r>
      <w:r w:rsidR="00216A5E">
        <w:t xml:space="preserve">(ARRA) </w:t>
      </w:r>
      <w:r w:rsidR="00216A5E" w:rsidRPr="00216A5E">
        <w:t xml:space="preserve">of 2009 (see </w:t>
      </w:r>
      <w:r w:rsidR="00216A5E" w:rsidRPr="00216A5E">
        <w:rPr>
          <w:b/>
        </w:rPr>
        <w:t>Appendix 1b</w:t>
      </w:r>
      <w:r w:rsidR="00216A5E" w:rsidRPr="00216A5E">
        <w:t>)</w:t>
      </w:r>
      <w:r w:rsidR="005C0D9C">
        <w:t>, which</w:t>
      </w:r>
      <w:r w:rsidR="00422959">
        <w:t xml:space="preserve"> provided $1.1 billion for comparative effectiveness research (CER). The Act allocated nearly $400 million to the Department of Health and Human Services (HHS)</w:t>
      </w:r>
      <w:r w:rsidR="000A72CE">
        <w:t xml:space="preserve">. </w:t>
      </w:r>
      <w:r w:rsidR="00422959">
        <w:t xml:space="preserve">HHS’s overall goal for the investment in CER is to promote high quality care through availability of information that helps clinicians and patients match the best </w:t>
      </w:r>
      <w:r w:rsidR="00422959">
        <w:lastRenderedPageBreak/>
        <w:t>science to individual needs and preferences</w:t>
      </w:r>
      <w:r w:rsidR="000A72CE">
        <w:t xml:space="preserve">. </w:t>
      </w:r>
      <w:r w:rsidR="00422959">
        <w:t>CER</w:t>
      </w:r>
      <w:r w:rsidR="00513AF1">
        <w:t xml:space="preserve"> </w:t>
      </w:r>
      <w:r w:rsidR="00422959">
        <w:t>is the synthesis of research comparing the benefits and harms of different interventions to prevent, diagnose, treat and monitor health con</w:t>
      </w:r>
      <w:r w:rsidR="00C80E30">
        <w:t>ditions in real-world settings.</w:t>
      </w:r>
      <w:r w:rsidR="00422959">
        <w:t xml:space="preserve"> The purpose</w:t>
      </w:r>
      <w:r w:rsidR="00C80E30">
        <w:t xml:space="preserve"> of </w:t>
      </w:r>
      <w:r w:rsidR="00A31430">
        <w:t>CER</w:t>
      </w:r>
      <w:r w:rsidR="00C80E30">
        <w:t xml:space="preserve"> is to improve </w:t>
      </w:r>
      <w:r w:rsidR="00422959">
        <w:t>health outcomes by developing and disseminating evidence based information to patients, and other decision makers</w:t>
      </w:r>
      <w:r w:rsidR="005C0D9C">
        <w:t>,</w:t>
      </w:r>
      <w:r w:rsidR="00422959">
        <w:t xml:space="preserve"> about which interventions are most effective</w:t>
      </w:r>
      <w:r w:rsidR="000A72CE">
        <w:t xml:space="preserve">. </w:t>
      </w:r>
    </w:p>
    <w:p w:rsidR="00422959" w:rsidRDefault="00513AF1" w:rsidP="00B769F2">
      <w:pPr>
        <w:pStyle w:val="bodytext0"/>
      </w:pPr>
      <w:r>
        <w:t>The</w:t>
      </w:r>
      <w:r w:rsidR="00422959">
        <w:t xml:space="preserve"> </w:t>
      </w:r>
      <w:r>
        <w:t xml:space="preserve">study’s promotion component </w:t>
      </w:r>
      <w:r w:rsidR="00422959">
        <w:t>compare</w:t>
      </w:r>
      <w:r>
        <w:t>s</w:t>
      </w:r>
      <w:r w:rsidR="00422959">
        <w:t xml:space="preserve"> the effectiveness of traditional versus innovative interventions </w:t>
      </w:r>
      <w:r w:rsidR="00E44F40">
        <w:t xml:space="preserve">used </w:t>
      </w:r>
      <w:r w:rsidR="00422959">
        <w:t xml:space="preserve">in </w:t>
      </w:r>
      <w:r w:rsidR="00E44F40">
        <w:t xml:space="preserve">promoting the use of tobacco </w:t>
      </w:r>
      <w:proofErr w:type="spellStart"/>
      <w:r w:rsidR="00E44F40">
        <w:t>quitlines</w:t>
      </w:r>
      <w:proofErr w:type="spellEnd"/>
      <w:r w:rsidR="00E44F40">
        <w:t xml:space="preserve"> </w:t>
      </w:r>
      <w:r w:rsidR="005C0D9C">
        <w:t xml:space="preserve">(QL) </w:t>
      </w:r>
      <w:r w:rsidR="00E44F40">
        <w:t xml:space="preserve">and will </w:t>
      </w:r>
      <w:r w:rsidR="00422959">
        <w:t>determin</w:t>
      </w:r>
      <w:r w:rsidR="00E44F40">
        <w:t>e</w:t>
      </w:r>
      <w:r>
        <w:t xml:space="preserve"> which</w:t>
      </w:r>
      <w:r w:rsidR="00422959">
        <w:t xml:space="preserve"> t</w:t>
      </w:r>
      <w:r w:rsidR="00E44F40">
        <w:t xml:space="preserve">ypes </w:t>
      </w:r>
      <w:r w:rsidR="00422959">
        <w:t xml:space="preserve">of interventions result in higher </w:t>
      </w:r>
      <w:r w:rsidR="00E44F40">
        <w:t xml:space="preserve">quitline </w:t>
      </w:r>
      <w:r w:rsidR="00422959">
        <w:t>enrollment</w:t>
      </w:r>
      <w:r w:rsidR="00E44F40">
        <w:t>s.</w:t>
      </w:r>
      <w:r>
        <w:t xml:space="preserve"> The study’s cessation component </w:t>
      </w:r>
      <w:r w:rsidR="00D97206">
        <w:t>examine</w:t>
      </w:r>
      <w:r w:rsidR="00E44F40">
        <w:t>s</w:t>
      </w:r>
      <w:r w:rsidR="00D97206">
        <w:t xml:space="preserve"> </w:t>
      </w:r>
      <w:r w:rsidR="009F2303">
        <w:t xml:space="preserve">the comparative effectiveness of </w:t>
      </w:r>
      <w:r w:rsidR="00D97206">
        <w:t xml:space="preserve">innovative </w:t>
      </w:r>
      <w:r w:rsidR="00504B73">
        <w:t>W</w:t>
      </w:r>
      <w:r w:rsidR="009F2303">
        <w:t xml:space="preserve">eb-based </w:t>
      </w:r>
      <w:r w:rsidR="00D97206">
        <w:t xml:space="preserve">interventions </w:t>
      </w:r>
      <w:r w:rsidR="009F2303">
        <w:t>and traditional teleph</w:t>
      </w:r>
      <w:r w:rsidR="00904523">
        <w:t>onic cessation interventions in</w:t>
      </w:r>
      <w:r w:rsidR="00D97206">
        <w:t xml:space="preserve"> increas</w:t>
      </w:r>
      <w:r w:rsidR="009F2303">
        <w:t>ing</w:t>
      </w:r>
      <w:r w:rsidR="00D97206">
        <w:t xml:space="preserve"> </w:t>
      </w:r>
      <w:r w:rsidR="00E44F40">
        <w:t>tobacco cessation</w:t>
      </w:r>
      <w:r w:rsidR="000A72CE">
        <w:t xml:space="preserve">. </w:t>
      </w:r>
    </w:p>
    <w:p w:rsidR="00FF2F60" w:rsidRDefault="00135C0F" w:rsidP="00B769F2">
      <w:pPr>
        <w:pStyle w:val="bodytext0"/>
      </w:pPr>
      <w:r>
        <w:t xml:space="preserve">State TCPs have attempted to improve the promotion </w:t>
      </w:r>
      <w:r w:rsidR="00645280">
        <w:t xml:space="preserve">of </w:t>
      </w:r>
      <w:r>
        <w:t>smoki</w:t>
      </w:r>
      <w:r w:rsidR="00645280">
        <w:t>ng cessation services by shifting some of their advertising focus f</w:t>
      </w:r>
      <w:r w:rsidR="00560D87">
        <w:t>rom traditional paid media (e.g.</w:t>
      </w:r>
      <w:r w:rsidR="005C0D9C">
        <w:t>,</w:t>
      </w:r>
      <w:r w:rsidR="00645280">
        <w:t xml:space="preserve"> television, radio, print) to new, innov</w:t>
      </w:r>
      <w:r w:rsidR="00560D87">
        <w:t>ative forms of advertising (e.g.</w:t>
      </w:r>
      <w:r w:rsidR="005C0D9C">
        <w:t>,</w:t>
      </w:r>
      <w:r w:rsidR="00645280">
        <w:t xml:space="preserve"> online banner ads, social media, etc.)</w:t>
      </w:r>
      <w:r w:rsidR="00A3338A">
        <w:t xml:space="preserve">. </w:t>
      </w:r>
      <w:r w:rsidR="00645280">
        <w:t xml:space="preserve">In addition, TCPs have also expanded services </w:t>
      </w:r>
      <w:r>
        <w:t>from traditional telephone-based counseling (aka “</w:t>
      </w:r>
      <w:proofErr w:type="spellStart"/>
      <w:r>
        <w:t>quitlines</w:t>
      </w:r>
      <w:proofErr w:type="spellEnd"/>
      <w:r>
        <w:t xml:space="preserve">”) into Web-based cessation intervention programs. </w:t>
      </w:r>
      <w:r w:rsidR="00E57108">
        <w:t>Understanding the effect of promotional activities on service usage and the comparative effectivenes</w:t>
      </w:r>
      <w:r>
        <w:t>s of</w:t>
      </w:r>
      <w:r w:rsidR="00645280">
        <w:t xml:space="preserve"> population</w:t>
      </w:r>
      <w:r w:rsidR="000D183C">
        <w:t>-</w:t>
      </w:r>
      <w:r w:rsidR="00645280">
        <w:t>based</w:t>
      </w:r>
      <w:r>
        <w:t xml:space="preserve"> smoking</w:t>
      </w:r>
      <w:r w:rsidR="00E57108">
        <w:t xml:space="preserve"> cessation activities across multiple states is essential to </w:t>
      </w:r>
      <w:r w:rsidR="00560D87">
        <w:t>establish</w:t>
      </w:r>
      <w:r w:rsidR="005C0D9C">
        <w:t>ing</w:t>
      </w:r>
      <w:r w:rsidR="00E57108">
        <w:t xml:space="preserve"> an evidence base t</w:t>
      </w:r>
      <w:r w:rsidR="005C0D9C">
        <w:t>hat can be used to</w:t>
      </w:r>
      <w:r w:rsidR="00E57108">
        <w:t xml:space="preserve"> inform decisions m</w:t>
      </w:r>
      <w:r>
        <w:t>a</w:t>
      </w:r>
      <w:r w:rsidR="00E57108">
        <w:t>de by TCPs, policy makers, and CDC</w:t>
      </w:r>
      <w:r w:rsidR="00645280">
        <w:t>.</w:t>
      </w:r>
    </w:p>
    <w:p w:rsidR="00C65DD6" w:rsidRDefault="00E420C4" w:rsidP="00631010">
      <w:pPr>
        <w:pStyle w:val="bodytext0"/>
      </w:pPr>
      <w:r w:rsidRPr="00E420C4">
        <w:rPr>
          <w:szCs w:val="24"/>
        </w:rPr>
        <w:t xml:space="preserve"> </w:t>
      </w:r>
      <w:r w:rsidR="00695CBA">
        <w:rPr>
          <w:szCs w:val="24"/>
        </w:rPr>
        <w:t xml:space="preserve">Tobacco </w:t>
      </w:r>
      <w:proofErr w:type="spellStart"/>
      <w:r w:rsidR="00695CBA">
        <w:t>q</w:t>
      </w:r>
      <w:r w:rsidRPr="00E420C4">
        <w:t>uitlines</w:t>
      </w:r>
      <w:proofErr w:type="spellEnd"/>
      <w:r w:rsidRPr="00E420C4">
        <w:t xml:space="preserve"> are effective, population-based interventions that increase successful quitting (Task Force on Community Preventive Services, 2001). The </w:t>
      </w:r>
      <w:r w:rsidRPr="00E420C4">
        <w:rPr>
          <w:i/>
        </w:rPr>
        <w:t>U.S. Public Health Services Clinical Practice Guideline: Treating Tobacco Use and Dependence – 2008 Update</w:t>
      </w:r>
      <w:r w:rsidRPr="00E420C4">
        <w:t>,</w:t>
      </w:r>
      <w:r w:rsidRPr="00E420C4">
        <w:rPr>
          <w:i/>
        </w:rPr>
        <w:t xml:space="preserve"> </w:t>
      </w:r>
      <w:r w:rsidRPr="00E420C4">
        <w:t>identified quitline counseling (telephone counseling that includes counselor-initiated calls or proactive counseling) as an evidence-based treatment that increased the odds of abstinence by approximately 60% (Fiore</w:t>
      </w:r>
      <w:r w:rsidR="006B6428" w:rsidRPr="00CF1100">
        <w:t xml:space="preserve"> et al., 2008; </w:t>
      </w:r>
      <w:proofErr w:type="spellStart"/>
      <w:r w:rsidRPr="00E420C4">
        <w:t>Ossip</w:t>
      </w:r>
      <w:proofErr w:type="spellEnd"/>
      <w:r w:rsidRPr="00E420C4">
        <w:t>-Klein &amp; McIntosh, 2003).</w:t>
      </w:r>
      <w:r w:rsidR="00A2043A">
        <w:t xml:space="preserve"> </w:t>
      </w:r>
      <w:r w:rsidR="00C65DD6">
        <w:t>A</w:t>
      </w:r>
      <w:r w:rsidR="00C65DD6" w:rsidRPr="00CF1100">
        <w:t xml:space="preserve">lthough all states currently </w:t>
      </w:r>
      <w:r w:rsidR="00C65DD6">
        <w:t>provide a quitline</w:t>
      </w:r>
      <w:r w:rsidR="00F941B1">
        <w:t>,</w:t>
      </w:r>
      <w:r w:rsidR="00C65DD6">
        <w:t xml:space="preserve"> </w:t>
      </w:r>
      <w:r w:rsidR="00C65DD6" w:rsidRPr="00CF1100">
        <w:t xml:space="preserve">only </w:t>
      </w:r>
      <w:r w:rsidR="00CF0AC8">
        <w:t xml:space="preserve">0.05% to </w:t>
      </w:r>
      <w:r w:rsidR="00C65DD6" w:rsidRPr="00CF1100">
        <w:t>7</w:t>
      </w:r>
      <w:r w:rsidR="00CF0AC8">
        <w:t>.25</w:t>
      </w:r>
      <w:r w:rsidR="00C65DD6" w:rsidRPr="00CF1100">
        <w:t xml:space="preserve">% of adult smokers </w:t>
      </w:r>
      <w:r w:rsidR="005C08A8">
        <w:t xml:space="preserve">in the United States </w:t>
      </w:r>
      <w:r w:rsidR="00C65DD6" w:rsidRPr="00CF1100">
        <w:t>receive</w:t>
      </w:r>
      <w:r w:rsidR="00135C0F">
        <w:t xml:space="preserve"> smoking</w:t>
      </w:r>
      <w:r w:rsidR="00C65DD6" w:rsidRPr="00CF1100">
        <w:t xml:space="preserve"> cessation services via state </w:t>
      </w:r>
      <w:proofErr w:type="spellStart"/>
      <w:r w:rsidR="00C65DD6" w:rsidRPr="00CF1100">
        <w:t>quitlines</w:t>
      </w:r>
      <w:proofErr w:type="spellEnd"/>
      <w:r w:rsidR="00C65DD6" w:rsidRPr="00CF1100">
        <w:t xml:space="preserve"> each year (Fiore et al., 2008</w:t>
      </w:r>
      <w:r w:rsidR="00CF0AC8">
        <w:t>; Saul et al., 2011</w:t>
      </w:r>
      <w:r w:rsidR="00C65DD6" w:rsidRPr="00CF1100">
        <w:t>).</w:t>
      </w:r>
      <w:r w:rsidR="00C65DD6">
        <w:t xml:space="preserve"> </w:t>
      </w:r>
      <w:r w:rsidRPr="00E420C4">
        <w:t xml:space="preserve">According to CDC’s Best Practices for Comprehensive Tobacco Control, approximately 6 to 8 percent of tobacco users potentially can be reached by </w:t>
      </w:r>
      <w:proofErr w:type="spellStart"/>
      <w:r w:rsidRPr="005D0F00">
        <w:t>quitlines</w:t>
      </w:r>
      <w:proofErr w:type="spellEnd"/>
      <w:r w:rsidRPr="005D0F00">
        <w:t xml:space="preserve"> (CDC, 200</w:t>
      </w:r>
      <w:r w:rsidR="005D0F00" w:rsidRPr="005D0F00">
        <w:t>7</w:t>
      </w:r>
      <w:r w:rsidRPr="005D0F00">
        <w:t>); however</w:t>
      </w:r>
      <w:r w:rsidRPr="00E420C4">
        <w:t xml:space="preserve">, primarily due to lack of resources, overall, only 1 to 2 percent of tobacco users are currently using </w:t>
      </w:r>
      <w:proofErr w:type="spellStart"/>
      <w:r w:rsidRPr="00E420C4">
        <w:t>quitlines</w:t>
      </w:r>
      <w:proofErr w:type="spellEnd"/>
      <w:r w:rsidRPr="00E420C4">
        <w:t>. </w:t>
      </w:r>
      <w:r w:rsidR="00C65DD6">
        <w:t>S</w:t>
      </w:r>
      <w:r w:rsidR="00C65DD6" w:rsidRPr="00CF1100">
        <w:t xml:space="preserve">tudies have shown that mass media has been the most important and consistent </w:t>
      </w:r>
      <w:r w:rsidR="00C65DD6" w:rsidRPr="00CF1100">
        <w:lastRenderedPageBreak/>
        <w:t xml:space="preserve">driver of call volume to </w:t>
      </w:r>
      <w:proofErr w:type="spellStart"/>
      <w:r w:rsidR="00C65DD6" w:rsidRPr="00CF1100">
        <w:t>quitlines</w:t>
      </w:r>
      <w:proofErr w:type="spellEnd"/>
      <w:r w:rsidR="00C65DD6">
        <w:t xml:space="preserve"> in some localities </w:t>
      </w:r>
      <w:r w:rsidR="00C65DD6" w:rsidRPr="00CF1100">
        <w:t xml:space="preserve">(Cowling et al., 2010; Zhu et al., 2000). Sustaining a high level of </w:t>
      </w:r>
      <w:r w:rsidR="00C65DD6">
        <w:t>promotion</w:t>
      </w:r>
      <w:r w:rsidR="00C65DD6" w:rsidRPr="00CF1100">
        <w:t xml:space="preserve"> through traditional mass media (e.g., television, radio, print) is resource intensive and many states have had limited budgets for tobacco control and/or media promotions. </w:t>
      </w:r>
      <w:r w:rsidR="00C65DD6">
        <w:t>To date there are no comprehensive studies that indicate what TCP promotional strategies exist throughout the US, what population is impacted by these strategies, and how they affect cessation program usage.</w:t>
      </w:r>
    </w:p>
    <w:p w:rsidR="00D662CD" w:rsidRDefault="006B6428" w:rsidP="00F55F24">
      <w:pPr>
        <w:pStyle w:val="bodytext0"/>
      </w:pPr>
      <w:r>
        <w:t xml:space="preserve">As an emerging modality of smoking cessation services, </w:t>
      </w:r>
      <w:r w:rsidR="00504B73">
        <w:t>W</w:t>
      </w:r>
      <w:r>
        <w:t>eb-based programs have a more limited evidence base as compared to telephonic counseling interventions</w:t>
      </w:r>
      <w:r w:rsidR="00A3338A">
        <w:t xml:space="preserve">. </w:t>
      </w:r>
      <w:r>
        <w:t xml:space="preserve">However, </w:t>
      </w:r>
      <w:r w:rsidR="00C65DD6">
        <w:t>s</w:t>
      </w:r>
      <w:r w:rsidR="00631010" w:rsidRPr="00CF1100">
        <w:t xml:space="preserve">everal randomized </w:t>
      </w:r>
      <w:r w:rsidR="00C65DD6">
        <w:t>trials of individually tailored</w:t>
      </w:r>
      <w:r w:rsidR="00631010" w:rsidRPr="00CF1100">
        <w:t xml:space="preserve"> Web-based smoking cessation programs have reported quit rates of 7% to 26% at 6 months (Cobb et al., 2005; Pike et al., 2007; Rabius et al., 2008; Saul et al., 2007; Walters et al., 2006). Studies of Web-based cessation programs consistently show a dose-response relationship such that greater </w:t>
      </w:r>
      <w:r w:rsidR="00B13D88">
        <w:t>w</w:t>
      </w:r>
      <w:r w:rsidR="00A3338A">
        <w:t>ebsite</w:t>
      </w:r>
      <w:r w:rsidR="00631010" w:rsidRPr="00CF1100">
        <w:t xml:space="preserve"> utilization (</w:t>
      </w:r>
      <w:r w:rsidR="00560D87">
        <w:t>e.g.</w:t>
      </w:r>
      <w:r w:rsidR="00631010" w:rsidRPr="00CF1100">
        <w:t>, number of log</w:t>
      </w:r>
      <w:r w:rsidR="00E57108">
        <w:t>-</w:t>
      </w:r>
      <w:r w:rsidR="00C65DD6">
        <w:t>ins and</w:t>
      </w:r>
      <w:r w:rsidR="00631010" w:rsidRPr="00CF1100">
        <w:t xml:space="preserve"> features used) is linked to improved cessation outcomes (</w:t>
      </w:r>
      <w:proofErr w:type="spellStart"/>
      <w:r w:rsidR="00631010" w:rsidRPr="00CF1100">
        <w:t>Ette</w:t>
      </w:r>
      <w:proofErr w:type="spellEnd"/>
      <w:r w:rsidR="00631010" w:rsidRPr="00CF1100">
        <w:t xml:space="preserve">, 2005; Graham et al., 2006; </w:t>
      </w:r>
      <w:proofErr w:type="spellStart"/>
      <w:r w:rsidR="00631010" w:rsidRPr="00CF1100">
        <w:t>Japuntich</w:t>
      </w:r>
      <w:proofErr w:type="spellEnd"/>
      <w:r w:rsidR="00631010" w:rsidRPr="00CF1100">
        <w:t xml:space="preserve"> et al., 2006; Rabius et al., 2008). </w:t>
      </w:r>
      <w:r w:rsidR="001D5EE8">
        <w:t>As of March 2011, 45 TCPs have smoking cessation websites and 25 offer interactive counseling online. (</w:t>
      </w:r>
      <w:hyperlink r:id="rId12" w:history="1">
        <w:r w:rsidR="001D5EE8" w:rsidRPr="001D5EE8">
          <w:rPr>
            <w:rStyle w:val="Hyperlink"/>
          </w:rPr>
          <w:t>http://map.naquitline.org/reports/web/</w:t>
        </w:r>
      </w:hyperlink>
      <w:r w:rsidR="001D5EE8">
        <w:t>)</w:t>
      </w:r>
      <w:r w:rsidR="001D5EE8" w:rsidRPr="001D5EE8">
        <w:t xml:space="preserve"> </w:t>
      </w:r>
    </w:p>
    <w:p w:rsidR="00C65DD6" w:rsidRPr="00F55F24" w:rsidRDefault="00631010" w:rsidP="00F55F24">
      <w:pPr>
        <w:pStyle w:val="bodytext0"/>
      </w:pPr>
      <w:r w:rsidRPr="00CF1100">
        <w:t xml:space="preserve">Despite the promise </w:t>
      </w:r>
      <w:r w:rsidR="001B1716">
        <w:t xml:space="preserve">and availability </w:t>
      </w:r>
      <w:r w:rsidRPr="00CF1100">
        <w:t>of Web-based cessation programs, most users engage only minimally</w:t>
      </w:r>
      <w:r w:rsidR="001945BD">
        <w:t>. A recent randomized trial of several cessation sites indicated</w:t>
      </w:r>
      <w:r w:rsidR="002A2556">
        <w:t xml:space="preserve"> that the majority of participants</w:t>
      </w:r>
      <w:r w:rsidR="001945BD">
        <w:t xml:space="preserve"> did not visit t</w:t>
      </w:r>
      <w:r w:rsidR="002A2556">
        <w:t>he sites more than two times</w:t>
      </w:r>
      <w:r w:rsidR="001945BD">
        <w:t xml:space="preserve"> and less than 13% of participants visited the site more than five times</w:t>
      </w:r>
      <w:r w:rsidRPr="00CF1100">
        <w:t xml:space="preserve"> (Rabius et al., 2008).</w:t>
      </w:r>
      <w:r w:rsidR="00C65DD6">
        <w:t xml:space="preserve"> </w:t>
      </w:r>
      <w:r w:rsidR="00E57108">
        <w:t>Two recent studies comparing the relative effectiveness of these two interventions have shown promise in clarifying the impact of each intervention</w:t>
      </w:r>
      <w:r w:rsidR="00560D87">
        <w:t>,</w:t>
      </w:r>
      <w:r w:rsidR="00E57108">
        <w:t xml:space="preserve"> but one only compared usage in a proactive </w:t>
      </w:r>
      <w:r w:rsidR="00A814A7">
        <w:t xml:space="preserve">smoking </w:t>
      </w:r>
      <w:r w:rsidR="00E57108">
        <w:t xml:space="preserve">cessation program </w:t>
      </w:r>
      <w:r w:rsidR="00E420C4">
        <w:t xml:space="preserve">where participants were actively recruited and followed-up with personalized counseling </w:t>
      </w:r>
      <w:r w:rsidR="00E57108">
        <w:t>(</w:t>
      </w:r>
      <w:proofErr w:type="spellStart"/>
      <w:r w:rsidR="00E57108" w:rsidRPr="00101538">
        <w:rPr>
          <w:szCs w:val="22"/>
        </w:rPr>
        <w:t>Zbikowski</w:t>
      </w:r>
      <w:proofErr w:type="spellEnd"/>
      <w:r w:rsidR="00E57108">
        <w:rPr>
          <w:szCs w:val="22"/>
        </w:rPr>
        <w:t xml:space="preserve"> et al., 2008)</w:t>
      </w:r>
      <w:r w:rsidR="00560D87">
        <w:rPr>
          <w:szCs w:val="22"/>
        </w:rPr>
        <w:t>,</w:t>
      </w:r>
      <w:r w:rsidR="00E57108">
        <w:rPr>
          <w:szCs w:val="22"/>
        </w:rPr>
        <w:t xml:space="preserve"> and one focused solely on </w:t>
      </w:r>
      <w:r w:rsidR="00A42024">
        <w:rPr>
          <w:szCs w:val="22"/>
        </w:rPr>
        <w:t>one</w:t>
      </w:r>
      <w:r w:rsidR="00E57108">
        <w:rPr>
          <w:szCs w:val="22"/>
        </w:rPr>
        <w:t xml:space="preserve"> state</w:t>
      </w:r>
      <w:r w:rsidR="00C65DD6">
        <w:t xml:space="preserve"> (An et al., 2010). </w:t>
      </w:r>
      <w:r w:rsidR="00F55F24">
        <w:t>These studies highlight</w:t>
      </w:r>
      <w:r w:rsidR="00C65DD6">
        <w:t xml:space="preserve"> a clear gap in </w:t>
      </w:r>
      <w:r w:rsidR="009F2303">
        <w:t xml:space="preserve">the </w:t>
      </w:r>
      <w:r w:rsidR="00C65DD6">
        <w:t xml:space="preserve">understanding </w:t>
      </w:r>
      <w:r w:rsidR="00560D87">
        <w:t xml:space="preserve">of </w:t>
      </w:r>
      <w:r w:rsidR="00C65DD6">
        <w:t xml:space="preserve">how </w:t>
      </w:r>
      <w:r w:rsidR="00F55F24">
        <w:t xml:space="preserve">telephone-based cessation programs compare </w:t>
      </w:r>
      <w:r w:rsidR="005C0D9C">
        <w:t xml:space="preserve">to </w:t>
      </w:r>
      <w:r w:rsidR="00695CBA">
        <w:t xml:space="preserve">typical </w:t>
      </w:r>
      <w:r w:rsidR="005C0D9C">
        <w:t xml:space="preserve">Web-based </w:t>
      </w:r>
      <w:r w:rsidR="005C0D9C" w:rsidRPr="00F55F24">
        <w:t>programs</w:t>
      </w:r>
      <w:r w:rsidR="005C0D9C">
        <w:t xml:space="preserve"> </w:t>
      </w:r>
      <w:r w:rsidR="00F55F24">
        <w:t>in regard to user population, effectiveness, and impact</w:t>
      </w:r>
      <w:r w:rsidR="00F55F24" w:rsidRPr="00F55F24">
        <w:t>.</w:t>
      </w:r>
    </w:p>
    <w:p w:rsidR="00AB4C03" w:rsidRDefault="00625CC2" w:rsidP="00B769F2">
      <w:pPr>
        <w:pStyle w:val="bodytext0"/>
      </w:pPr>
      <w:r>
        <w:t>This study will focus on s</w:t>
      </w:r>
      <w:r w:rsidR="00E95A45" w:rsidRPr="00E95A45">
        <w:t xml:space="preserve">tate TCPs </w:t>
      </w:r>
      <w:r w:rsidR="00F55F24">
        <w:t xml:space="preserve">and their user populations </w:t>
      </w:r>
      <w:r w:rsidR="00E95A45" w:rsidRPr="00E95A45">
        <w:t>with two primary aims: (1)</w:t>
      </w:r>
      <w:r w:rsidR="006D08F5" w:rsidRPr="006D08F5">
        <w:t xml:space="preserve"> </w:t>
      </w:r>
      <w:r>
        <w:t xml:space="preserve">The </w:t>
      </w:r>
      <w:r w:rsidR="00602F2F" w:rsidRPr="00F55F24">
        <w:t xml:space="preserve">Quitline Promotional Activities Component </w:t>
      </w:r>
      <w:r>
        <w:t>will examine</w:t>
      </w:r>
      <w:r w:rsidR="00E95A45" w:rsidRPr="00E95A45">
        <w:t xml:space="preserve"> the impact of traditional (</w:t>
      </w:r>
      <w:r w:rsidR="00560D87">
        <w:t>e.g.</w:t>
      </w:r>
      <w:r w:rsidR="00E95A45" w:rsidRPr="00E95A45">
        <w:t>, television, radio, and print) activities compared with new, innovative efforts (e.g., online</w:t>
      </w:r>
      <w:r w:rsidR="007F0B28">
        <w:t xml:space="preserve"> banner ads, social media, mobile phone applications) in </w:t>
      </w:r>
      <w:r w:rsidR="007F0B28">
        <w:rPr>
          <w:rFonts w:ascii="TimesNewRomanPSMT" w:hAnsi="TimesNewRomanPSMT" w:cs="TimesNewRomanPSMT"/>
          <w:szCs w:val="22"/>
        </w:rPr>
        <w:t xml:space="preserve">increasing calls to state </w:t>
      </w:r>
      <w:proofErr w:type="spellStart"/>
      <w:r w:rsidR="007F0B28">
        <w:rPr>
          <w:rFonts w:ascii="TimesNewRomanPSMT" w:hAnsi="TimesNewRomanPSMT" w:cs="TimesNewRomanPSMT"/>
          <w:szCs w:val="22"/>
        </w:rPr>
        <w:t>quitlines</w:t>
      </w:r>
      <w:proofErr w:type="spellEnd"/>
      <w:r w:rsidR="007F0B28">
        <w:rPr>
          <w:rFonts w:ascii="TimesNewRomanPSMT" w:hAnsi="TimesNewRomanPSMT" w:cs="TimesNewRomanPSMT"/>
          <w:szCs w:val="22"/>
        </w:rPr>
        <w:t xml:space="preserve"> among targeted </w:t>
      </w:r>
      <w:r w:rsidR="007F0B28">
        <w:rPr>
          <w:rFonts w:ascii="TimesNewRomanPSMT" w:hAnsi="TimesNewRomanPSMT" w:cs="TimesNewRomanPSMT"/>
          <w:szCs w:val="22"/>
        </w:rPr>
        <w:lastRenderedPageBreak/>
        <w:t>populations</w:t>
      </w:r>
      <w:r w:rsidR="00AB4C03">
        <w:rPr>
          <w:rFonts w:ascii="TimesNewRomanPSMT" w:hAnsi="TimesNewRomanPSMT" w:cs="TimesNewRomanPSMT"/>
          <w:szCs w:val="22"/>
        </w:rPr>
        <w:t>;</w:t>
      </w:r>
      <w:r w:rsidR="007F0B28">
        <w:rPr>
          <w:rFonts w:ascii="TimesNewRomanPSMT" w:hAnsi="TimesNewRomanPSMT" w:cs="TimesNewRomanPSMT"/>
          <w:szCs w:val="22"/>
        </w:rPr>
        <w:t xml:space="preserve"> and (2) </w:t>
      </w:r>
      <w:r w:rsidR="00602F2F">
        <w:t>the Cessation Intervention Component</w:t>
      </w:r>
      <w:r>
        <w:rPr>
          <w:rFonts w:ascii="TimesNewRomanPSMT" w:hAnsi="TimesNewRomanPSMT" w:cs="TimesNewRomanPSMT"/>
          <w:szCs w:val="22"/>
        </w:rPr>
        <w:t xml:space="preserve"> will seek</w:t>
      </w:r>
      <w:r w:rsidR="00602F2F">
        <w:rPr>
          <w:rFonts w:ascii="TimesNewRomanPSMT" w:hAnsi="TimesNewRomanPSMT" w:cs="TimesNewRomanPSMT"/>
          <w:szCs w:val="22"/>
        </w:rPr>
        <w:t xml:space="preserve"> </w:t>
      </w:r>
      <w:r w:rsidR="007F0B28">
        <w:rPr>
          <w:rFonts w:ascii="TimesNewRomanPSMT" w:hAnsi="TimesNewRomanPSMT" w:cs="TimesNewRomanPSMT"/>
          <w:szCs w:val="22"/>
        </w:rPr>
        <w:t>to describe</w:t>
      </w:r>
      <w:r w:rsidR="007F0B28">
        <w:rPr>
          <w:szCs w:val="22"/>
        </w:rPr>
        <w:t xml:space="preserve"> the characteristics</w:t>
      </w:r>
      <w:r w:rsidR="00AA6473">
        <w:rPr>
          <w:szCs w:val="22"/>
        </w:rPr>
        <w:t>,</w:t>
      </w:r>
      <w:r w:rsidR="007F0B28">
        <w:rPr>
          <w:szCs w:val="22"/>
        </w:rPr>
        <w:t xml:space="preserve"> utilization patterns</w:t>
      </w:r>
      <w:r w:rsidR="00C52110">
        <w:rPr>
          <w:szCs w:val="22"/>
        </w:rPr>
        <w:t>,</w:t>
      </w:r>
      <w:r w:rsidR="007F0B28">
        <w:rPr>
          <w:szCs w:val="22"/>
        </w:rPr>
        <w:t xml:space="preserve"> </w:t>
      </w:r>
      <w:r w:rsidR="00AA6473">
        <w:rPr>
          <w:szCs w:val="22"/>
        </w:rPr>
        <w:t xml:space="preserve">and </w:t>
      </w:r>
      <w:r w:rsidR="00C52110">
        <w:rPr>
          <w:szCs w:val="22"/>
        </w:rPr>
        <w:t xml:space="preserve">cessation </w:t>
      </w:r>
      <w:r w:rsidR="000073D2">
        <w:rPr>
          <w:szCs w:val="22"/>
        </w:rPr>
        <w:t>success</w:t>
      </w:r>
      <w:r w:rsidR="00AA6473">
        <w:rPr>
          <w:szCs w:val="22"/>
        </w:rPr>
        <w:t xml:space="preserve"> </w:t>
      </w:r>
      <w:r w:rsidR="007F0B28">
        <w:rPr>
          <w:szCs w:val="22"/>
        </w:rPr>
        <w:t xml:space="preserve">of smokers who enroll in </w:t>
      </w:r>
      <w:r w:rsidR="00F55F24" w:rsidRPr="00CF1100">
        <w:rPr>
          <w:szCs w:val="22"/>
        </w:rPr>
        <w:t>telephone</w:t>
      </w:r>
      <w:r w:rsidR="00F55F24" w:rsidRPr="00CF1100" w:rsidDel="00AA6473">
        <w:rPr>
          <w:szCs w:val="22"/>
        </w:rPr>
        <w:t xml:space="preserve"> </w:t>
      </w:r>
      <w:r w:rsidR="006D08F5">
        <w:rPr>
          <w:szCs w:val="22"/>
        </w:rPr>
        <w:t>smoking</w:t>
      </w:r>
      <w:r w:rsidR="00F55F24">
        <w:rPr>
          <w:szCs w:val="22"/>
        </w:rPr>
        <w:t xml:space="preserve"> cessation </w:t>
      </w:r>
      <w:r w:rsidR="00F55F24" w:rsidRPr="00CF1100">
        <w:rPr>
          <w:szCs w:val="22"/>
        </w:rPr>
        <w:t>program</w:t>
      </w:r>
      <w:r w:rsidR="00F55F24">
        <w:rPr>
          <w:szCs w:val="22"/>
        </w:rPr>
        <w:t>s</w:t>
      </w:r>
      <w:r w:rsidR="00F55F24" w:rsidRPr="00CF1100">
        <w:rPr>
          <w:szCs w:val="22"/>
        </w:rPr>
        <w:t xml:space="preserve"> </w:t>
      </w:r>
      <w:r w:rsidR="00F55F24">
        <w:rPr>
          <w:szCs w:val="22"/>
        </w:rPr>
        <w:t xml:space="preserve">versus </w:t>
      </w:r>
      <w:r w:rsidR="008E3638">
        <w:rPr>
          <w:szCs w:val="22"/>
        </w:rPr>
        <w:t>Web</w:t>
      </w:r>
      <w:r w:rsidR="00F14AB4">
        <w:rPr>
          <w:szCs w:val="22"/>
        </w:rPr>
        <w:t>-based</w:t>
      </w:r>
      <w:r w:rsidR="00F55F24">
        <w:rPr>
          <w:szCs w:val="22"/>
        </w:rPr>
        <w:t xml:space="preserve"> programs</w:t>
      </w:r>
      <w:r w:rsidR="000073D2">
        <w:rPr>
          <w:szCs w:val="22"/>
        </w:rPr>
        <w:t>.</w:t>
      </w:r>
      <w:r w:rsidR="00602F2F">
        <w:t xml:space="preserve"> </w:t>
      </w:r>
      <w:r>
        <w:t xml:space="preserve">Due to low percentages of users </w:t>
      </w:r>
      <w:r w:rsidR="00560D87">
        <w:t xml:space="preserve">who </w:t>
      </w:r>
      <w:r>
        <w:t>seek help quitting other tobacco products this study will focus on smokers only</w:t>
      </w:r>
      <w:r w:rsidR="00A3338A">
        <w:t xml:space="preserve">. </w:t>
      </w:r>
      <w:r w:rsidR="00486F3C">
        <w:t>Key research goals for each component are presented in Exhibits</w:t>
      </w:r>
      <w:r>
        <w:t xml:space="preserve"> </w:t>
      </w:r>
      <w:r w:rsidR="00486F3C">
        <w:t>1 and 2.</w:t>
      </w:r>
    </w:p>
    <w:p w:rsidR="00486F3C" w:rsidRPr="00CF1100" w:rsidRDefault="00486F3C" w:rsidP="00486F3C">
      <w:pPr>
        <w:pStyle w:val="FigureTitle"/>
      </w:pPr>
      <w:bookmarkStart w:id="19" w:name="_Toc296586406"/>
      <w:bookmarkStart w:id="20" w:name="_Toc297130638"/>
      <w:proofErr w:type="gramStart"/>
      <w:r>
        <w:t xml:space="preserve">Exhibit </w:t>
      </w:r>
      <w:r w:rsidRPr="00CF1100">
        <w:t>1.</w:t>
      </w:r>
      <w:proofErr w:type="gramEnd"/>
      <w:r w:rsidRPr="00CF1100">
        <w:t xml:space="preserve"> Key Evaluation Questions</w:t>
      </w:r>
      <w:r>
        <w:t>—Promotional Activities Component</w:t>
      </w:r>
      <w:bookmarkEnd w:id="19"/>
      <w:bookmarkEnd w:id="20"/>
    </w:p>
    <w:tbl>
      <w:tblPr>
        <w:tblW w:w="8888" w:type="dxa"/>
        <w:tblInd w:w="108" w:type="dxa"/>
        <w:tblBorders>
          <w:top w:val="single" w:sz="12" w:space="0" w:color="000000"/>
          <w:left w:val="single" w:sz="12" w:space="0" w:color="000000"/>
          <w:bottom w:val="single" w:sz="12" w:space="0" w:color="000000"/>
          <w:right w:val="single" w:sz="12" w:space="0" w:color="000000"/>
        </w:tblBorders>
        <w:tblLayout w:type="fixed"/>
        <w:tblCellMar>
          <w:top w:w="58" w:type="dxa"/>
          <w:left w:w="86" w:type="dxa"/>
          <w:bottom w:w="58" w:type="dxa"/>
          <w:right w:w="86" w:type="dxa"/>
        </w:tblCellMar>
        <w:tblLook w:val="01E0"/>
      </w:tblPr>
      <w:tblGrid>
        <w:gridCol w:w="8888"/>
      </w:tblGrid>
      <w:tr w:rsidR="00486F3C" w:rsidRPr="00CF1100" w:rsidTr="00602F2F">
        <w:trPr>
          <w:cantSplit/>
        </w:trPr>
        <w:tc>
          <w:tcPr>
            <w:tcW w:w="8888" w:type="dxa"/>
          </w:tcPr>
          <w:p w:rsidR="00973DC2" w:rsidRDefault="00486F3C" w:rsidP="00602F2F">
            <w:pPr>
              <w:autoSpaceDE w:val="0"/>
              <w:autoSpaceDN w:val="0"/>
              <w:adjustRightInd w:val="0"/>
              <w:spacing w:line="360" w:lineRule="auto"/>
              <w:ind w:left="342" w:hanging="342"/>
              <w:rPr>
                <w:rFonts w:ascii="TimesNewRomanPSMT" w:hAnsi="TimesNewRomanPSMT" w:cs="TimesNewRomanPSMT"/>
                <w:sz w:val="22"/>
                <w:szCs w:val="22"/>
              </w:rPr>
            </w:pPr>
            <w:r>
              <w:rPr>
                <w:noProof/>
                <w:sz w:val="22"/>
                <w:szCs w:val="22"/>
              </w:rPr>
              <w:t>1</w:t>
            </w:r>
            <w:r>
              <w:rPr>
                <w:sz w:val="22"/>
              </w:rPr>
              <w:t>.</w:t>
            </w:r>
            <w:r w:rsidR="00695CBA">
              <w:rPr>
                <w:sz w:val="22"/>
              </w:rPr>
              <w:t xml:space="preserve"> </w:t>
            </w:r>
            <w:r>
              <w:rPr>
                <w:rFonts w:ascii="TimesNewRomanPSMT" w:hAnsi="TimesNewRomanPSMT" w:cs="TimesNewRomanPSMT"/>
                <w:sz w:val="22"/>
                <w:szCs w:val="22"/>
              </w:rPr>
              <w:t xml:space="preserve">What innovative promotional and educational activities are states implementing for </w:t>
            </w:r>
            <w:r w:rsidR="00695CBA">
              <w:rPr>
                <w:rFonts w:ascii="TimesNewRomanPSMT" w:hAnsi="TimesNewRomanPSMT" w:cs="TimesNewRomanPSMT"/>
                <w:sz w:val="22"/>
                <w:szCs w:val="22"/>
              </w:rPr>
              <w:t xml:space="preserve">the quitline, </w:t>
            </w:r>
            <w:r>
              <w:rPr>
                <w:rFonts w:ascii="TimesNewRomanPSMT" w:hAnsi="TimesNewRomanPSMT" w:cs="TimesNewRomanPSMT"/>
                <w:sz w:val="22"/>
                <w:szCs w:val="22"/>
              </w:rPr>
              <w:t>cessation</w:t>
            </w:r>
            <w:r w:rsidR="00B77A96">
              <w:rPr>
                <w:rFonts w:ascii="TimesNewRomanPSMT" w:hAnsi="TimesNewRomanPSMT" w:cs="TimesNewRomanPSMT"/>
                <w:sz w:val="22"/>
                <w:szCs w:val="22"/>
              </w:rPr>
              <w:t>, and related-cessation interventions</w:t>
            </w:r>
            <w:r>
              <w:rPr>
                <w:rFonts w:ascii="TimesNewRomanPSMT" w:hAnsi="TimesNewRomanPSMT" w:cs="TimesNewRomanPSMT"/>
                <w:sz w:val="22"/>
                <w:szCs w:val="22"/>
              </w:rPr>
              <w:t>?</w:t>
            </w:r>
            <w:r w:rsidR="00973DC2">
              <w:rPr>
                <w:rFonts w:ascii="TimesNewRomanPSMT" w:hAnsi="TimesNewRomanPSMT" w:cs="TimesNewRomanPSMT"/>
                <w:sz w:val="22"/>
                <w:szCs w:val="22"/>
              </w:rPr>
              <w:t xml:space="preserve"> </w:t>
            </w:r>
          </w:p>
          <w:p w:rsidR="00412128" w:rsidRDefault="00973DC2" w:rsidP="00B77A96">
            <w:pPr>
              <w:autoSpaceDE w:val="0"/>
              <w:autoSpaceDN w:val="0"/>
              <w:adjustRightInd w:val="0"/>
              <w:spacing w:line="360" w:lineRule="auto"/>
              <w:ind w:left="342" w:hanging="342"/>
              <w:rPr>
                <w:rFonts w:ascii="TimesNewRomanPSMT" w:hAnsi="TimesNewRomanPSMT" w:cs="TimesNewRomanPSMT"/>
                <w:sz w:val="22"/>
                <w:szCs w:val="22"/>
              </w:rPr>
            </w:pPr>
            <w:r>
              <w:rPr>
                <w:rFonts w:ascii="TimesNewRomanPSMT" w:hAnsi="TimesNewRomanPSMT" w:cs="TimesNewRomanPSMT"/>
                <w:sz w:val="22"/>
                <w:szCs w:val="22"/>
              </w:rPr>
              <w:t>2</w:t>
            </w:r>
            <w:r w:rsidR="000A72CE">
              <w:rPr>
                <w:rFonts w:ascii="TimesNewRomanPSMT" w:hAnsi="TimesNewRomanPSMT" w:cs="TimesNewRomanPSMT"/>
                <w:sz w:val="22"/>
                <w:szCs w:val="22"/>
              </w:rPr>
              <w:t xml:space="preserve">. </w:t>
            </w:r>
            <w:r>
              <w:rPr>
                <w:rFonts w:ascii="TimesNewRomanPSMT" w:hAnsi="TimesNewRomanPSMT" w:cs="TimesNewRomanPSMT"/>
                <w:sz w:val="22"/>
                <w:szCs w:val="22"/>
              </w:rPr>
              <w:t xml:space="preserve">Who is exposed to states’ online promotional ads? </w:t>
            </w:r>
            <w:r w:rsidR="00412128">
              <w:rPr>
                <w:rFonts w:ascii="TimesNewRomanPSMT" w:hAnsi="TimesNewRomanPSMT" w:cs="TimesNewRomanPSMT"/>
                <w:sz w:val="22"/>
                <w:szCs w:val="22"/>
              </w:rPr>
              <w:t>How do audiences reached via innovative media platforms compare with audiences reached via traditional media platforms?</w:t>
            </w:r>
          </w:p>
          <w:p w:rsidR="00486F3C" w:rsidRDefault="00412128" w:rsidP="00602F2F">
            <w:pPr>
              <w:autoSpaceDE w:val="0"/>
              <w:autoSpaceDN w:val="0"/>
              <w:adjustRightInd w:val="0"/>
              <w:spacing w:line="360" w:lineRule="auto"/>
              <w:ind w:left="342" w:hanging="342"/>
              <w:rPr>
                <w:rFonts w:ascii="TimesNewRomanPSMT" w:hAnsi="TimesNewRomanPSMT" w:cs="TimesNewRomanPSMT"/>
                <w:sz w:val="22"/>
                <w:szCs w:val="22"/>
              </w:rPr>
            </w:pPr>
            <w:r>
              <w:rPr>
                <w:rFonts w:ascii="TimesNewRomanPSMT" w:hAnsi="TimesNewRomanPSMT" w:cs="TimesNewRomanPSMT"/>
                <w:sz w:val="22"/>
                <w:szCs w:val="22"/>
              </w:rPr>
              <w:t>3</w:t>
            </w:r>
            <w:r w:rsidR="000A72CE">
              <w:rPr>
                <w:rFonts w:ascii="TimesNewRomanPSMT" w:hAnsi="TimesNewRomanPSMT" w:cs="TimesNewRomanPSMT"/>
                <w:sz w:val="22"/>
                <w:szCs w:val="22"/>
              </w:rPr>
              <w:t xml:space="preserve">. </w:t>
            </w:r>
            <w:r>
              <w:rPr>
                <w:rFonts w:ascii="TimesNewRomanPSMT" w:hAnsi="TimesNewRomanPSMT" w:cs="TimesNewRomanPSMT"/>
                <w:sz w:val="22"/>
                <w:szCs w:val="22"/>
              </w:rPr>
              <w:t>I</w:t>
            </w:r>
            <w:r w:rsidR="00973DC2">
              <w:rPr>
                <w:rFonts w:ascii="TimesNewRomanPSMT" w:hAnsi="TimesNewRomanPSMT" w:cs="TimesNewRomanPSMT"/>
                <w:sz w:val="22"/>
                <w:szCs w:val="22"/>
              </w:rPr>
              <w:t xml:space="preserve">s exposure to </w:t>
            </w:r>
            <w:r>
              <w:rPr>
                <w:rFonts w:ascii="TimesNewRomanPSMT" w:hAnsi="TimesNewRomanPSMT" w:cs="TimesNewRomanPSMT"/>
                <w:sz w:val="22"/>
                <w:szCs w:val="22"/>
              </w:rPr>
              <w:t xml:space="preserve">promotional </w:t>
            </w:r>
            <w:r w:rsidR="00973DC2">
              <w:rPr>
                <w:rFonts w:ascii="TimesNewRomanPSMT" w:hAnsi="TimesNewRomanPSMT" w:cs="TimesNewRomanPSMT"/>
                <w:sz w:val="22"/>
                <w:szCs w:val="22"/>
              </w:rPr>
              <w:t>ads associated with quitline awareness and cessation-seeking behavior</w:t>
            </w:r>
            <w:r w:rsidR="00B77A96">
              <w:rPr>
                <w:rFonts w:ascii="TimesNewRomanPSMT" w:hAnsi="TimesNewRomanPSMT" w:cs="TimesNewRomanPSMT"/>
                <w:sz w:val="22"/>
                <w:szCs w:val="22"/>
              </w:rPr>
              <w:t xml:space="preserve"> as assessed by reach and utilization of states’ quitline</w:t>
            </w:r>
            <w:r w:rsidR="005A2509">
              <w:rPr>
                <w:rFonts w:ascii="TimesNewRomanPSMT" w:hAnsi="TimesNewRomanPSMT" w:cs="TimesNewRomanPSMT"/>
                <w:sz w:val="22"/>
                <w:szCs w:val="22"/>
              </w:rPr>
              <w:t>?</w:t>
            </w:r>
          </w:p>
          <w:p w:rsidR="00486F3C" w:rsidRPr="00BF4CEC" w:rsidRDefault="00486F3C" w:rsidP="009E1A11">
            <w:pPr>
              <w:autoSpaceDE w:val="0"/>
              <w:autoSpaceDN w:val="0"/>
              <w:adjustRightInd w:val="0"/>
              <w:spacing w:line="360" w:lineRule="auto"/>
              <w:ind w:left="342" w:hanging="342"/>
              <w:rPr>
                <w:noProof/>
                <w:sz w:val="22"/>
                <w:szCs w:val="22"/>
              </w:rPr>
            </w:pPr>
            <w:r>
              <w:rPr>
                <w:rFonts w:ascii="TimesNewRomanPSMT" w:hAnsi="TimesNewRomanPSMT" w:cs="TimesNewRomanPSMT"/>
                <w:sz w:val="22"/>
                <w:szCs w:val="22"/>
              </w:rPr>
              <w:tab/>
            </w:r>
          </w:p>
        </w:tc>
      </w:tr>
    </w:tbl>
    <w:p w:rsidR="00135C0F" w:rsidRDefault="00135C0F">
      <w:pPr>
        <w:pStyle w:val="bodytext0"/>
        <w:ind w:firstLine="0"/>
      </w:pPr>
    </w:p>
    <w:p w:rsidR="00486F3C" w:rsidRPr="00CF1100" w:rsidRDefault="00486F3C" w:rsidP="00486F3C">
      <w:pPr>
        <w:pStyle w:val="FigureTitle"/>
      </w:pPr>
      <w:bookmarkStart w:id="21" w:name="_Toc296586407"/>
      <w:bookmarkStart w:id="22" w:name="_Toc297130639"/>
      <w:proofErr w:type="gramStart"/>
      <w:r w:rsidRPr="00CF1100">
        <w:t xml:space="preserve">Exhibit </w:t>
      </w:r>
      <w:r>
        <w:t>2</w:t>
      </w:r>
      <w:r w:rsidRPr="00CF1100">
        <w:t>.</w:t>
      </w:r>
      <w:proofErr w:type="gramEnd"/>
      <w:r w:rsidRPr="00CF1100">
        <w:t xml:space="preserve"> Key Evaluation Questions</w:t>
      </w:r>
      <w:r>
        <w:t>—Cessation Intervention Component</w:t>
      </w:r>
      <w:bookmarkEnd w:id="21"/>
      <w:bookmarkEnd w:id="22"/>
    </w:p>
    <w:tbl>
      <w:tblPr>
        <w:tblW w:w="8798" w:type="dxa"/>
        <w:tblInd w:w="108" w:type="dxa"/>
        <w:tblBorders>
          <w:top w:val="single" w:sz="12" w:space="0" w:color="000000"/>
          <w:left w:val="single" w:sz="12" w:space="0" w:color="000000"/>
          <w:bottom w:val="single" w:sz="12" w:space="0" w:color="000000"/>
          <w:right w:val="single" w:sz="12" w:space="0" w:color="000000"/>
        </w:tblBorders>
        <w:tblLayout w:type="fixed"/>
        <w:tblCellMar>
          <w:top w:w="58" w:type="dxa"/>
          <w:left w:w="86" w:type="dxa"/>
          <w:bottom w:w="58" w:type="dxa"/>
          <w:right w:w="86" w:type="dxa"/>
        </w:tblCellMar>
        <w:tblLook w:val="01E0"/>
      </w:tblPr>
      <w:tblGrid>
        <w:gridCol w:w="8798"/>
      </w:tblGrid>
      <w:tr w:rsidR="00486F3C" w:rsidRPr="00CF1100" w:rsidTr="00602F2F">
        <w:trPr>
          <w:cantSplit/>
        </w:trPr>
        <w:tc>
          <w:tcPr>
            <w:tcW w:w="8798" w:type="dxa"/>
          </w:tcPr>
          <w:p w:rsidR="00486F3C" w:rsidRPr="00CF1100" w:rsidRDefault="00486F3C" w:rsidP="00602F2F">
            <w:pPr>
              <w:numPr>
                <w:ilvl w:val="0"/>
                <w:numId w:val="6"/>
              </w:numPr>
              <w:tabs>
                <w:tab w:val="clear" w:pos="720"/>
                <w:tab w:val="num" w:pos="342"/>
              </w:tabs>
              <w:autoSpaceDE w:val="0"/>
              <w:autoSpaceDN w:val="0"/>
              <w:adjustRightInd w:val="0"/>
              <w:spacing w:before="40" w:after="40" w:line="360" w:lineRule="auto"/>
              <w:ind w:left="342"/>
              <w:contextualSpacing/>
              <w:rPr>
                <w:noProof/>
                <w:sz w:val="22"/>
                <w:szCs w:val="22"/>
              </w:rPr>
            </w:pPr>
            <w:r w:rsidRPr="00CF1100">
              <w:rPr>
                <w:noProof/>
                <w:sz w:val="22"/>
                <w:szCs w:val="22"/>
              </w:rPr>
              <w:t xml:space="preserve">Do demographic characteristics of participants who enroll in </w:t>
            </w:r>
            <w:r>
              <w:rPr>
                <w:noProof/>
                <w:sz w:val="22"/>
                <w:szCs w:val="22"/>
              </w:rPr>
              <w:t>telephone-based</w:t>
            </w:r>
            <w:r w:rsidRPr="00CF1100">
              <w:rPr>
                <w:noProof/>
                <w:sz w:val="22"/>
                <w:szCs w:val="22"/>
              </w:rPr>
              <w:t xml:space="preserve"> counseling differ from those </w:t>
            </w:r>
            <w:r>
              <w:rPr>
                <w:noProof/>
                <w:sz w:val="22"/>
                <w:szCs w:val="22"/>
              </w:rPr>
              <w:t xml:space="preserve">of </w:t>
            </w:r>
            <w:r w:rsidRPr="00CF1100">
              <w:rPr>
                <w:noProof/>
                <w:sz w:val="22"/>
                <w:szCs w:val="22"/>
              </w:rPr>
              <w:t xml:space="preserve">participants who enroll in a </w:t>
            </w:r>
            <w:r>
              <w:rPr>
                <w:noProof/>
                <w:sz w:val="22"/>
                <w:szCs w:val="22"/>
              </w:rPr>
              <w:t>Web-based</w:t>
            </w:r>
            <w:r w:rsidRPr="00CF1100">
              <w:rPr>
                <w:noProof/>
                <w:sz w:val="22"/>
                <w:szCs w:val="22"/>
              </w:rPr>
              <w:t xml:space="preserve"> cessation program?</w:t>
            </w:r>
          </w:p>
          <w:p w:rsidR="00486F3C" w:rsidRPr="00CF1100" w:rsidRDefault="00486F3C" w:rsidP="00602F2F">
            <w:pPr>
              <w:numPr>
                <w:ilvl w:val="0"/>
                <w:numId w:val="6"/>
              </w:numPr>
              <w:tabs>
                <w:tab w:val="clear" w:pos="720"/>
                <w:tab w:val="num" w:pos="342"/>
              </w:tabs>
              <w:autoSpaceDE w:val="0"/>
              <w:autoSpaceDN w:val="0"/>
              <w:adjustRightInd w:val="0"/>
              <w:spacing w:before="40" w:after="40" w:line="360" w:lineRule="auto"/>
              <w:ind w:left="342"/>
              <w:contextualSpacing/>
              <w:rPr>
                <w:noProof/>
                <w:sz w:val="22"/>
                <w:szCs w:val="22"/>
              </w:rPr>
            </w:pPr>
            <w:r w:rsidRPr="00CF1100">
              <w:rPr>
                <w:noProof/>
                <w:sz w:val="22"/>
                <w:szCs w:val="22"/>
              </w:rPr>
              <w:t xml:space="preserve">Do baseline smoking and quitting behaviors </w:t>
            </w:r>
            <w:r>
              <w:rPr>
                <w:noProof/>
                <w:sz w:val="22"/>
                <w:szCs w:val="22"/>
              </w:rPr>
              <w:t>of</w:t>
            </w:r>
            <w:r w:rsidRPr="00CF1100">
              <w:rPr>
                <w:noProof/>
                <w:sz w:val="22"/>
                <w:szCs w:val="22"/>
              </w:rPr>
              <w:t xml:space="preserve"> participants who enroll in </w:t>
            </w:r>
            <w:r>
              <w:rPr>
                <w:noProof/>
                <w:sz w:val="22"/>
                <w:szCs w:val="22"/>
              </w:rPr>
              <w:t>telephone-based</w:t>
            </w:r>
            <w:r w:rsidRPr="00CF1100">
              <w:rPr>
                <w:noProof/>
                <w:sz w:val="22"/>
                <w:szCs w:val="22"/>
              </w:rPr>
              <w:t xml:space="preserve"> counseling </w:t>
            </w:r>
            <w:r>
              <w:rPr>
                <w:noProof/>
                <w:sz w:val="22"/>
                <w:szCs w:val="22"/>
              </w:rPr>
              <w:t xml:space="preserve">differ from </w:t>
            </w:r>
            <w:r w:rsidRPr="00CF1100">
              <w:rPr>
                <w:noProof/>
                <w:sz w:val="22"/>
                <w:szCs w:val="22"/>
              </w:rPr>
              <w:t xml:space="preserve">those </w:t>
            </w:r>
            <w:r>
              <w:rPr>
                <w:noProof/>
                <w:sz w:val="22"/>
                <w:szCs w:val="22"/>
              </w:rPr>
              <w:t xml:space="preserve">of participants </w:t>
            </w:r>
            <w:r w:rsidRPr="00CF1100">
              <w:rPr>
                <w:noProof/>
                <w:sz w:val="22"/>
                <w:szCs w:val="22"/>
              </w:rPr>
              <w:t xml:space="preserve">who enroll in a </w:t>
            </w:r>
            <w:r>
              <w:rPr>
                <w:noProof/>
                <w:sz w:val="22"/>
                <w:szCs w:val="22"/>
              </w:rPr>
              <w:t>Web-based</w:t>
            </w:r>
            <w:r w:rsidRPr="00CF1100">
              <w:rPr>
                <w:noProof/>
                <w:sz w:val="22"/>
                <w:szCs w:val="22"/>
              </w:rPr>
              <w:t xml:space="preserve"> cessation program?</w:t>
            </w:r>
          </w:p>
          <w:p w:rsidR="00486F3C" w:rsidRPr="00CF1100" w:rsidRDefault="00486F3C" w:rsidP="00602F2F">
            <w:pPr>
              <w:numPr>
                <w:ilvl w:val="0"/>
                <w:numId w:val="6"/>
              </w:numPr>
              <w:tabs>
                <w:tab w:val="clear" w:pos="720"/>
                <w:tab w:val="num" w:pos="342"/>
              </w:tabs>
              <w:autoSpaceDE w:val="0"/>
              <w:autoSpaceDN w:val="0"/>
              <w:adjustRightInd w:val="0"/>
              <w:spacing w:before="40" w:after="40" w:line="360" w:lineRule="auto"/>
              <w:ind w:left="342"/>
              <w:contextualSpacing/>
              <w:rPr>
                <w:noProof/>
                <w:sz w:val="22"/>
                <w:szCs w:val="22"/>
              </w:rPr>
            </w:pPr>
            <w:r w:rsidRPr="00CF1100">
              <w:rPr>
                <w:noProof/>
                <w:sz w:val="22"/>
                <w:szCs w:val="22"/>
              </w:rPr>
              <w:t>What are the predictors of successful quitting (</w:t>
            </w:r>
            <w:r w:rsidR="00560D87">
              <w:rPr>
                <w:noProof/>
                <w:sz w:val="22"/>
                <w:szCs w:val="22"/>
              </w:rPr>
              <w:t>e.g.</w:t>
            </w:r>
            <w:r>
              <w:rPr>
                <w:noProof/>
                <w:sz w:val="22"/>
                <w:szCs w:val="22"/>
              </w:rPr>
              <w:t xml:space="preserve">, </w:t>
            </w:r>
            <w:r w:rsidRPr="00CF1100">
              <w:rPr>
                <w:noProof/>
                <w:sz w:val="22"/>
                <w:szCs w:val="22"/>
              </w:rPr>
              <w:t>30</w:t>
            </w:r>
            <w:r>
              <w:rPr>
                <w:noProof/>
                <w:sz w:val="22"/>
                <w:szCs w:val="22"/>
              </w:rPr>
              <w:t>-</w:t>
            </w:r>
            <w:r w:rsidRPr="00CF1100">
              <w:rPr>
                <w:noProof/>
                <w:sz w:val="22"/>
                <w:szCs w:val="22"/>
              </w:rPr>
              <w:t>day point prevalence abstinence rates) for each intervention?</w:t>
            </w:r>
          </w:p>
          <w:p w:rsidR="00486F3C" w:rsidRPr="00CF1100" w:rsidRDefault="00486F3C" w:rsidP="00602F2F">
            <w:pPr>
              <w:numPr>
                <w:ilvl w:val="0"/>
                <w:numId w:val="6"/>
              </w:numPr>
              <w:tabs>
                <w:tab w:val="clear" w:pos="720"/>
                <w:tab w:val="num" w:pos="342"/>
              </w:tabs>
              <w:autoSpaceDE w:val="0"/>
              <w:autoSpaceDN w:val="0"/>
              <w:adjustRightInd w:val="0"/>
              <w:spacing w:before="40" w:after="40" w:line="360" w:lineRule="auto"/>
              <w:ind w:left="342"/>
              <w:contextualSpacing/>
              <w:rPr>
                <w:b/>
                <w:noProof/>
                <w:sz w:val="22"/>
                <w:szCs w:val="22"/>
              </w:rPr>
            </w:pPr>
            <w:r w:rsidRPr="00CF1100">
              <w:rPr>
                <w:noProof/>
                <w:sz w:val="22"/>
                <w:szCs w:val="22"/>
              </w:rPr>
              <w:t xml:space="preserve">Does quitting success differ significantly among participants who enroll in </w:t>
            </w:r>
            <w:r>
              <w:rPr>
                <w:noProof/>
                <w:sz w:val="22"/>
                <w:szCs w:val="22"/>
              </w:rPr>
              <w:t>telephone-based</w:t>
            </w:r>
            <w:r w:rsidRPr="00CF1100">
              <w:rPr>
                <w:noProof/>
                <w:sz w:val="22"/>
                <w:szCs w:val="22"/>
              </w:rPr>
              <w:t xml:space="preserve"> counseling as compared to those who enroll in a </w:t>
            </w:r>
            <w:r>
              <w:rPr>
                <w:noProof/>
                <w:sz w:val="22"/>
                <w:szCs w:val="22"/>
              </w:rPr>
              <w:t>Web-based</w:t>
            </w:r>
            <w:r w:rsidRPr="00CF1100">
              <w:rPr>
                <w:noProof/>
                <w:sz w:val="22"/>
                <w:szCs w:val="22"/>
              </w:rPr>
              <w:t xml:space="preserve"> cessation program?</w:t>
            </w:r>
          </w:p>
        </w:tc>
      </w:tr>
    </w:tbl>
    <w:p w:rsidR="00135C0F" w:rsidRDefault="00135C0F">
      <w:pPr>
        <w:pStyle w:val="bodytext0"/>
        <w:ind w:firstLine="0"/>
      </w:pPr>
    </w:p>
    <w:p w:rsidR="00560D87" w:rsidRDefault="00560D87" w:rsidP="00560D87">
      <w:pPr>
        <w:pStyle w:val="bodytext0"/>
      </w:pPr>
      <w:r w:rsidRPr="00CB2320">
        <w:t xml:space="preserve">The </w:t>
      </w:r>
      <w:r>
        <w:t>promotion and cessation</w:t>
      </w:r>
      <w:r w:rsidRPr="00CB2320">
        <w:t xml:space="preserve"> component</w:t>
      </w:r>
      <w:r>
        <w:t xml:space="preserve">s </w:t>
      </w:r>
      <w:r w:rsidRPr="00682231">
        <w:t>complement and extend the usefulness of results to be obtained in a companion study titled “Study of Comprehensive Cancer Control and Tobacco Control Program Partnerships.”</w:t>
      </w:r>
      <w:r>
        <w:t xml:space="preserve"> See </w:t>
      </w:r>
      <w:r w:rsidRPr="00D662CD">
        <w:rPr>
          <w:b/>
        </w:rPr>
        <w:t>Appendix 3</w:t>
      </w:r>
      <w:r>
        <w:t xml:space="preserve"> for an overview of these studies and their components. Information will be collected for CDC by a contractor, RTI.</w:t>
      </w:r>
    </w:p>
    <w:p w:rsidR="009F2303" w:rsidRDefault="009F2303" w:rsidP="00F4631D">
      <w:pPr>
        <w:pStyle w:val="bodytext0"/>
        <w:ind w:firstLine="0"/>
        <w:rPr>
          <w:b/>
          <w:i/>
        </w:rPr>
      </w:pPr>
    </w:p>
    <w:p w:rsidR="00135C0F" w:rsidRDefault="00E95A45" w:rsidP="00F4631D">
      <w:pPr>
        <w:pStyle w:val="bodytext0"/>
        <w:ind w:firstLine="0"/>
      </w:pPr>
      <w:r w:rsidRPr="00E95A45">
        <w:rPr>
          <w:b/>
          <w:i/>
        </w:rPr>
        <w:lastRenderedPageBreak/>
        <w:t>Overview of the Data Collection System</w:t>
      </w:r>
    </w:p>
    <w:p w:rsidR="007F0B28" w:rsidRPr="009D0976" w:rsidRDefault="007F0B28" w:rsidP="00B45E77">
      <w:pPr>
        <w:pStyle w:val="Heading4"/>
        <w:ind w:left="0"/>
      </w:pPr>
      <w:r w:rsidRPr="00DE0AE6">
        <w:t xml:space="preserve">Quitline Promotional Activities </w:t>
      </w:r>
      <w:r w:rsidR="004707F3">
        <w:t>Component</w:t>
      </w:r>
    </w:p>
    <w:p w:rsidR="007F0B28" w:rsidRDefault="007F0B28" w:rsidP="0092193B">
      <w:pPr>
        <w:pStyle w:val="bodytext0"/>
        <w:rPr>
          <w:rFonts w:eastAsia="MS Mincho"/>
        </w:rPr>
      </w:pPr>
      <w:r>
        <w:t xml:space="preserve">The </w:t>
      </w:r>
      <w:r w:rsidR="00AB4C03">
        <w:t>Centers for Disease Control and Prevention (</w:t>
      </w:r>
      <w:r>
        <w:t>CDC</w:t>
      </w:r>
      <w:r w:rsidR="00AB4C03">
        <w:t>)</w:t>
      </w:r>
      <w:r>
        <w:t xml:space="preserve"> and </w:t>
      </w:r>
      <w:r w:rsidR="005C08A8">
        <w:t>its contractor</w:t>
      </w:r>
      <w:r w:rsidR="001E7FAF">
        <w:t>,</w:t>
      </w:r>
      <w:r w:rsidR="005C08A8">
        <w:t xml:space="preserve"> </w:t>
      </w:r>
      <w:r>
        <w:t>RTI</w:t>
      </w:r>
      <w:r w:rsidR="001E7FAF">
        <w:t>,</w:t>
      </w:r>
      <w:r>
        <w:t xml:space="preserve"> will recruit up to 50 state TCPs to participate in the Quitline Promotional Activities </w:t>
      </w:r>
      <w:r w:rsidR="00CC265A">
        <w:t>Component</w:t>
      </w:r>
      <w:r>
        <w:t>.</w:t>
      </w:r>
      <w:r w:rsidR="00F51AAD">
        <w:t xml:space="preserve"> </w:t>
      </w:r>
      <w:r w:rsidR="005C08A8">
        <w:rPr>
          <w:rFonts w:eastAsia="MS Mincho"/>
        </w:rPr>
        <w:t>Investigators</w:t>
      </w:r>
      <w:r w:rsidRPr="003F022D">
        <w:rPr>
          <w:rFonts w:eastAsia="MS Mincho"/>
        </w:rPr>
        <w:t xml:space="preserve"> will monitor, describe, and report ongoing activities from all participating states to promote the</w:t>
      </w:r>
      <w:r>
        <w:rPr>
          <w:rFonts w:eastAsia="MS Mincho"/>
        </w:rPr>
        <w:t>ir quitline, as well as the associated quitline call volume for the duration of the study period (up to 24 months)</w:t>
      </w:r>
      <w:r w:rsidRPr="003F022D">
        <w:rPr>
          <w:rFonts w:eastAsia="MS Mincho"/>
        </w:rPr>
        <w:t>.</w:t>
      </w:r>
      <w:r w:rsidR="00F51AAD">
        <w:rPr>
          <w:rFonts w:eastAsia="MS Mincho"/>
        </w:rPr>
        <w:t xml:space="preserve"> </w:t>
      </w:r>
      <w:r>
        <w:rPr>
          <w:rFonts w:eastAsia="MS Mincho"/>
        </w:rPr>
        <w:t xml:space="preserve">The goal of including up to 50 states is to </w:t>
      </w:r>
      <w:r w:rsidR="00E738CC">
        <w:rPr>
          <w:rFonts w:eastAsia="MS Mincho"/>
        </w:rPr>
        <w:t xml:space="preserve">get a comprehensive view </w:t>
      </w:r>
      <w:r>
        <w:rPr>
          <w:rFonts w:eastAsia="MS Mincho"/>
        </w:rPr>
        <w:t xml:space="preserve">of </w:t>
      </w:r>
      <w:r w:rsidR="00E738CC">
        <w:rPr>
          <w:rFonts w:eastAsia="MS Mincho"/>
        </w:rPr>
        <w:t>state-based TCP promotional activities</w:t>
      </w:r>
      <w:r>
        <w:rPr>
          <w:rFonts w:eastAsia="MS Mincho"/>
        </w:rPr>
        <w:t xml:space="preserve"> in terms of</w:t>
      </w:r>
      <w:r w:rsidR="000205EA">
        <w:rPr>
          <w:rFonts w:eastAsia="MS Mincho"/>
        </w:rPr>
        <w:t>:</w:t>
      </w:r>
      <w:r>
        <w:rPr>
          <w:rFonts w:eastAsia="MS Mincho"/>
        </w:rPr>
        <w:t xml:space="preserve"> </w:t>
      </w:r>
      <w:r w:rsidR="00D92F3E">
        <w:rPr>
          <w:rFonts w:eastAsia="MS Mincho"/>
        </w:rPr>
        <w:t xml:space="preserve">1) </w:t>
      </w:r>
      <w:r>
        <w:rPr>
          <w:rFonts w:eastAsia="MS Mincho"/>
        </w:rPr>
        <w:t>level of advertising</w:t>
      </w:r>
      <w:r w:rsidR="00695CBA">
        <w:rPr>
          <w:rFonts w:eastAsia="MS Mincho"/>
        </w:rPr>
        <w:t>,</w:t>
      </w:r>
      <w:r w:rsidR="00D92F3E">
        <w:rPr>
          <w:rFonts w:eastAsia="MS Mincho"/>
        </w:rPr>
        <w:t xml:space="preserve"> 2) </w:t>
      </w:r>
      <w:r>
        <w:rPr>
          <w:rFonts w:eastAsia="MS Mincho"/>
        </w:rPr>
        <w:t>types of advertising used</w:t>
      </w:r>
      <w:r w:rsidR="00695CBA">
        <w:rPr>
          <w:rFonts w:eastAsia="MS Mincho"/>
        </w:rPr>
        <w:t>,</w:t>
      </w:r>
      <w:r w:rsidR="00504B73">
        <w:rPr>
          <w:rFonts w:eastAsia="MS Mincho"/>
        </w:rPr>
        <w:t xml:space="preserve"> and</w:t>
      </w:r>
      <w:r>
        <w:rPr>
          <w:rFonts w:eastAsia="MS Mincho"/>
        </w:rPr>
        <w:t xml:space="preserve"> </w:t>
      </w:r>
      <w:r w:rsidR="00D92F3E">
        <w:rPr>
          <w:rFonts w:eastAsia="MS Mincho"/>
        </w:rPr>
        <w:t xml:space="preserve">3) </w:t>
      </w:r>
      <w:r>
        <w:rPr>
          <w:rFonts w:eastAsia="MS Mincho"/>
        </w:rPr>
        <w:t>other contextual factors such as tobacco control policies.</w:t>
      </w:r>
    </w:p>
    <w:p w:rsidR="0048430B" w:rsidRDefault="007F0B28" w:rsidP="00B45E77">
      <w:pPr>
        <w:pStyle w:val="bodytext0"/>
      </w:pPr>
      <w:r>
        <w:t>Media purchase and placement data</w:t>
      </w:r>
      <w:r w:rsidR="002B3730">
        <w:t>,</w:t>
      </w:r>
      <w:r>
        <w:t xml:space="preserve"> </w:t>
      </w:r>
      <w:r w:rsidR="00E738CC">
        <w:t xml:space="preserve">as well as </w:t>
      </w:r>
      <w:r>
        <w:t>quitline call volume data</w:t>
      </w:r>
      <w:r w:rsidR="002B3730">
        <w:t>,</w:t>
      </w:r>
      <w:r>
        <w:t xml:space="preserve"> are typically monitored by TCP staff and/or their contractors (</w:t>
      </w:r>
      <w:r w:rsidR="00560D87">
        <w:t>e.g.</w:t>
      </w:r>
      <w:r w:rsidR="00076767">
        <w:t xml:space="preserve">, </w:t>
      </w:r>
      <w:r>
        <w:t>media vendors and service providers</w:t>
      </w:r>
      <w:r w:rsidR="00AB4C03">
        <w:t>)</w:t>
      </w:r>
      <w:r>
        <w:t xml:space="preserve"> as part of their regular monitoring and evaluation activities.</w:t>
      </w:r>
      <w:r w:rsidR="00F51AAD">
        <w:t xml:space="preserve"> </w:t>
      </w:r>
      <w:r w:rsidR="004F5C8C">
        <w:t>If states are not currently monitor</w:t>
      </w:r>
      <w:r w:rsidR="00405731">
        <w:t>ing</w:t>
      </w:r>
      <w:r w:rsidR="004F5C8C">
        <w:t xml:space="preserve"> online activity, </w:t>
      </w:r>
      <w:r w:rsidR="005C08A8">
        <w:t>investigators</w:t>
      </w:r>
      <w:r w:rsidR="004F5C8C">
        <w:t xml:space="preserve"> will assist the TCP in linking free analytic tools that can measure the reach and utilization of </w:t>
      </w:r>
      <w:r w:rsidR="00702D6B">
        <w:t>w</w:t>
      </w:r>
      <w:r w:rsidR="00A3338A">
        <w:t>ebsite</w:t>
      </w:r>
      <w:r w:rsidR="004F5C8C">
        <w:t>s and social media</w:t>
      </w:r>
      <w:r w:rsidR="00695CBA">
        <w:t xml:space="preserve"> without collecting personally-identifiable information</w:t>
      </w:r>
      <w:r w:rsidR="00A3338A">
        <w:t xml:space="preserve">. </w:t>
      </w:r>
      <w:r>
        <w:t xml:space="preserve">In addition, </w:t>
      </w:r>
      <w:r w:rsidR="005C08A8">
        <w:t>investigators</w:t>
      </w:r>
      <w:r w:rsidRPr="003A0F62">
        <w:t xml:space="preserve"> will work with each individual state to customize </w:t>
      </w:r>
      <w:r>
        <w:t>the most efficient mechanism and timeline for sharing al</w:t>
      </w:r>
      <w:r w:rsidR="00592720">
        <w:t>l promotional activity data (</w:t>
      </w:r>
      <w:r w:rsidR="0048430B">
        <w:t>e.g.</w:t>
      </w:r>
      <w:r w:rsidR="00592720">
        <w:t>,</w:t>
      </w:r>
      <w:r>
        <w:t xml:space="preserve"> quarterly automated </w:t>
      </w:r>
      <w:r w:rsidR="00504B73">
        <w:t>W</w:t>
      </w:r>
      <w:r>
        <w:t>eb traffic reports)</w:t>
      </w:r>
      <w:r w:rsidR="00342CD5">
        <w:t xml:space="preserve"> – thus creating minimal burden on the TCP staff</w:t>
      </w:r>
      <w:r w:rsidR="00E803BE">
        <w:t xml:space="preserve"> </w:t>
      </w:r>
      <w:r w:rsidR="00D662CD">
        <w:t>(s</w:t>
      </w:r>
      <w:r w:rsidR="00CF0AC8">
        <w:t xml:space="preserve">ee </w:t>
      </w:r>
      <w:r w:rsidR="00CF0AC8" w:rsidRPr="00D662CD">
        <w:rPr>
          <w:b/>
        </w:rPr>
        <w:t>Appendix 4</w:t>
      </w:r>
      <w:r w:rsidR="001627D9">
        <w:rPr>
          <w:b/>
        </w:rPr>
        <w:t>)</w:t>
      </w:r>
      <w:r w:rsidR="00E803BE">
        <w:rPr>
          <w:b/>
        </w:rPr>
        <w:t>.</w:t>
      </w:r>
      <w:r w:rsidR="00CF0AC8">
        <w:t xml:space="preserve"> </w:t>
      </w:r>
      <w:r w:rsidR="00405731">
        <w:t xml:space="preserve">Information will be stored on a secure server using existing RTI protocols. </w:t>
      </w:r>
      <w:r w:rsidR="001627D9">
        <w:t xml:space="preserve">This is a </w:t>
      </w:r>
      <w:r w:rsidR="005C08A8">
        <w:t xml:space="preserve">request to </w:t>
      </w:r>
      <w:r w:rsidR="00A13ECD">
        <w:t xml:space="preserve">compile </w:t>
      </w:r>
      <w:r w:rsidR="005C08A8">
        <w:t>and analyze already-</w:t>
      </w:r>
      <w:r w:rsidR="001627D9">
        <w:t>existing data</w:t>
      </w:r>
      <w:r w:rsidR="002B3730">
        <w:t>;</w:t>
      </w:r>
      <w:r w:rsidR="001627D9">
        <w:t xml:space="preserve"> n</w:t>
      </w:r>
      <w:r>
        <w:t>o new</w:t>
      </w:r>
      <w:r w:rsidR="00E738CC">
        <w:t>/</w:t>
      </w:r>
      <w:r>
        <w:t xml:space="preserve">original data collection will be conducted as part of the Quitline Promotional Activities </w:t>
      </w:r>
      <w:r w:rsidR="00E738CC">
        <w:t>Component</w:t>
      </w:r>
      <w:r>
        <w:t>.</w:t>
      </w:r>
      <w:r w:rsidR="00F51AAD">
        <w:t xml:space="preserve"> </w:t>
      </w:r>
    </w:p>
    <w:p w:rsidR="0048430B" w:rsidRDefault="007F0B28" w:rsidP="00B45E77">
      <w:pPr>
        <w:pStyle w:val="Heading4"/>
        <w:ind w:left="0"/>
      </w:pPr>
      <w:r>
        <w:t xml:space="preserve">Cessation Intervention </w:t>
      </w:r>
      <w:r w:rsidR="00DC7BCA">
        <w:t>Component</w:t>
      </w:r>
    </w:p>
    <w:p w:rsidR="00FE6EBD" w:rsidRDefault="007F6BB5" w:rsidP="00C337FD">
      <w:pPr>
        <w:pStyle w:val="bodytext0"/>
      </w:pPr>
      <w:r>
        <w:t xml:space="preserve">The primary aim of this component is to compare the user characteristics and effectiveness of traditional telephone versus </w:t>
      </w:r>
      <w:r w:rsidR="008E3638">
        <w:t>Web</w:t>
      </w:r>
      <w:r>
        <w:t xml:space="preserve">-based cessation programs administered by TCPs. Investigators seek to recruit </w:t>
      </w:r>
      <w:r w:rsidR="003D416B">
        <w:t xml:space="preserve">a total of </w:t>
      </w:r>
      <w:r>
        <w:t xml:space="preserve">8,000 participants </w:t>
      </w:r>
      <w:r w:rsidR="00CC265A">
        <w:t>aged 18 years or</w:t>
      </w:r>
      <w:r w:rsidR="00EA028D">
        <w:t xml:space="preserve"> older</w:t>
      </w:r>
      <w:r w:rsidR="00CC265A">
        <w:t xml:space="preserve">, </w:t>
      </w:r>
      <w:r>
        <w:t>4,000 users of e</w:t>
      </w:r>
      <w:r w:rsidR="00CC265A">
        <w:t>ach modality</w:t>
      </w:r>
      <w:r w:rsidR="005149E3">
        <w:t xml:space="preserve"> (t</w:t>
      </w:r>
      <w:r w:rsidR="0034475B">
        <w:t xml:space="preserve">elephone </w:t>
      </w:r>
      <w:r w:rsidR="005149E3">
        <w:t xml:space="preserve">or </w:t>
      </w:r>
      <w:r w:rsidR="00504B73">
        <w:t>W</w:t>
      </w:r>
      <w:r w:rsidR="005149E3">
        <w:t>eb-based)</w:t>
      </w:r>
      <w:r w:rsidR="00CC265A">
        <w:t>,</w:t>
      </w:r>
      <w:r w:rsidR="00FC7ECE">
        <w:t xml:space="preserve"> in approximately 4 states. </w:t>
      </w:r>
      <w:r w:rsidR="00EA028D">
        <w:t xml:space="preserve">States eligible to participate </w:t>
      </w:r>
      <w:r w:rsidR="00513AF1">
        <w:t>are</w:t>
      </w:r>
      <w:r w:rsidR="00EA028D">
        <w:t xml:space="preserve"> required to </w:t>
      </w:r>
      <w:r w:rsidR="00EE140F">
        <w:t xml:space="preserve">currently be participating in the </w:t>
      </w:r>
      <w:r w:rsidR="001627D9">
        <w:t xml:space="preserve">National Comprehensive Cancer Control Program </w:t>
      </w:r>
      <w:r w:rsidR="008E3411">
        <w:t xml:space="preserve">(NCCCP) </w:t>
      </w:r>
      <w:r w:rsidR="00EE140F">
        <w:t xml:space="preserve">under cooperative agreement </w:t>
      </w:r>
      <w:r w:rsidR="00CC265A">
        <w:t>(</w:t>
      </w:r>
      <w:r w:rsidR="00EE140F">
        <w:t>DP07-703</w:t>
      </w:r>
      <w:r w:rsidR="00CC265A">
        <w:t>)</w:t>
      </w:r>
      <w:r w:rsidR="00EE140F">
        <w:t xml:space="preserve">, have existing relationships with the TCP in their state, have both telephone and </w:t>
      </w:r>
      <w:r w:rsidR="008E3638">
        <w:t>Web</w:t>
      </w:r>
      <w:r w:rsidR="00EE140F">
        <w:t xml:space="preserve">-based </w:t>
      </w:r>
      <w:r w:rsidR="00A814A7">
        <w:t xml:space="preserve">smoking </w:t>
      </w:r>
      <w:r w:rsidR="00EE140F">
        <w:t xml:space="preserve">cessation programs, be willing and capable of participating in the study in terms of staff capacity, and </w:t>
      </w:r>
      <w:r w:rsidR="00906B3F">
        <w:t xml:space="preserve">already be </w:t>
      </w:r>
      <w:r w:rsidR="00625CC2">
        <w:t>collecting</w:t>
      </w:r>
      <w:r w:rsidR="00C337FD">
        <w:t xml:space="preserve"> quitline</w:t>
      </w:r>
      <w:r w:rsidR="00625CC2">
        <w:t xml:space="preserve"> intake data that </w:t>
      </w:r>
      <w:r w:rsidR="006E2B27">
        <w:t xml:space="preserve">conforms to the </w:t>
      </w:r>
      <w:r w:rsidR="001627D9" w:rsidRPr="00E95A45">
        <w:rPr>
          <w:lang w:val="en-CA"/>
        </w:rPr>
        <w:t>North American Quitline Consortium</w:t>
      </w:r>
      <w:r w:rsidR="001627D9">
        <w:rPr>
          <w:lang w:val="en-CA"/>
        </w:rPr>
        <w:t xml:space="preserve"> </w:t>
      </w:r>
      <w:r w:rsidR="001627D9">
        <w:rPr>
          <w:lang w:val="en-CA"/>
        </w:rPr>
        <w:lastRenderedPageBreak/>
        <w:t xml:space="preserve">(NAQC) </w:t>
      </w:r>
      <w:r w:rsidR="000205EA">
        <w:t xml:space="preserve">Minimum Data Set (MDS) </w:t>
      </w:r>
      <w:r w:rsidR="000205EA" w:rsidRPr="001D066C">
        <w:t>requirements</w:t>
      </w:r>
      <w:r w:rsidR="001D066C" w:rsidRPr="001D066C">
        <w:t>.</w:t>
      </w:r>
      <w:r w:rsidR="00906B3F">
        <w:t xml:space="preserve"> </w:t>
      </w:r>
      <w:r w:rsidR="00C337FD">
        <w:t xml:space="preserve">All intake data will </w:t>
      </w:r>
      <w:r w:rsidR="00731592">
        <w:t xml:space="preserve">be obtained from </w:t>
      </w:r>
      <w:r w:rsidR="00C337FD">
        <w:t xml:space="preserve">existing </w:t>
      </w:r>
      <w:r w:rsidR="00731592">
        <w:t xml:space="preserve">MDS-compliant </w:t>
      </w:r>
      <w:r w:rsidR="00C337FD">
        <w:t>datasets</w:t>
      </w:r>
      <w:r w:rsidR="00BC1FAD">
        <w:t xml:space="preserve"> </w:t>
      </w:r>
      <w:r w:rsidR="00731592">
        <w:t xml:space="preserve">already being </w:t>
      </w:r>
      <w:r w:rsidR="00BC1FAD">
        <w:t>collected by states</w:t>
      </w:r>
      <w:r w:rsidR="001627D9">
        <w:t xml:space="preserve"> so</w:t>
      </w:r>
      <w:r w:rsidR="00C337FD">
        <w:t xml:space="preserve"> duplication of data collection efforts and burden on TCPs and cessation program participants will be minimized. </w:t>
      </w:r>
      <w:r w:rsidR="00731592">
        <w:t xml:space="preserve">Using information directly from </w:t>
      </w:r>
      <w:r w:rsidR="001627D9">
        <w:t>the National Quitline Data Warehouse (</w:t>
      </w:r>
      <w:r w:rsidR="00731592">
        <w:t>NQDW</w:t>
      </w:r>
      <w:r w:rsidR="001627D9">
        <w:t>)</w:t>
      </w:r>
      <w:r w:rsidR="00731592">
        <w:t xml:space="preserve"> is not </w:t>
      </w:r>
      <w:r w:rsidR="004163FA">
        <w:t>feasible because identifiers</w:t>
      </w:r>
      <w:r w:rsidR="00A47E57">
        <w:t xml:space="preserve"> necessary to complete the follow-up study are not collected by NQDW</w:t>
      </w:r>
      <w:r w:rsidR="004163FA">
        <w:t>.</w:t>
      </w:r>
      <w:r w:rsidR="0075239D">
        <w:t xml:space="preserve"> </w:t>
      </w:r>
      <w:r w:rsidR="00FC25DB">
        <w:t>Investigators</w:t>
      </w:r>
      <w:r w:rsidR="0075239D" w:rsidRPr="0075239D">
        <w:t xml:space="preserve"> examined the feasibility of using CDC’s National Quitline Data Warehouse (NQDW) for this project</w:t>
      </w:r>
      <w:r w:rsidR="000A72CE">
        <w:t xml:space="preserve">. </w:t>
      </w:r>
      <w:r w:rsidR="00FC25DB">
        <w:t>Investigators</w:t>
      </w:r>
      <w:r w:rsidR="0075239D" w:rsidRPr="0075239D">
        <w:t xml:space="preserve"> will use the </w:t>
      </w:r>
      <w:r w:rsidR="005C1F55">
        <w:t xml:space="preserve">MDS-compliant </w:t>
      </w:r>
      <w:r w:rsidR="0075239D" w:rsidRPr="0075239D">
        <w:t xml:space="preserve">intake data already being collected </w:t>
      </w:r>
      <w:r w:rsidR="005C1F55">
        <w:t xml:space="preserve">by TCPs for transmission to </w:t>
      </w:r>
      <w:r w:rsidR="0075239D" w:rsidRPr="0075239D">
        <w:t>NQDW for this project</w:t>
      </w:r>
      <w:r w:rsidR="000A72CE">
        <w:t xml:space="preserve">. </w:t>
      </w:r>
      <w:r w:rsidR="0075239D" w:rsidRPr="0075239D">
        <w:t xml:space="preserve">However, </w:t>
      </w:r>
      <w:r w:rsidR="00FC25DB">
        <w:t>investigators</w:t>
      </w:r>
      <w:r w:rsidR="0075239D" w:rsidRPr="0075239D">
        <w:t xml:space="preserve"> </w:t>
      </w:r>
      <w:r w:rsidR="00FC25DB" w:rsidRPr="0075239D">
        <w:t>cannot</w:t>
      </w:r>
      <w:r w:rsidR="0075239D" w:rsidRPr="0075239D">
        <w:t xml:space="preserve"> use </w:t>
      </w:r>
      <w:r w:rsidR="005C1F55">
        <w:t>NQDW</w:t>
      </w:r>
      <w:r w:rsidR="0075239D" w:rsidRPr="0075239D">
        <w:t xml:space="preserve"> seven-month follow-up data because only a </w:t>
      </w:r>
      <w:r w:rsidR="005C1F55">
        <w:t xml:space="preserve">select </w:t>
      </w:r>
      <w:r w:rsidR="0075239D" w:rsidRPr="0075239D">
        <w:t xml:space="preserve">sample of callers who received a service </w:t>
      </w:r>
      <w:proofErr w:type="gramStart"/>
      <w:r w:rsidR="005C1F55">
        <w:t>have</w:t>
      </w:r>
      <w:proofErr w:type="gramEnd"/>
      <w:r w:rsidR="005C1F55">
        <w:t xml:space="preserve"> follow-up information collected per year</w:t>
      </w:r>
      <w:r w:rsidR="000A72CE">
        <w:t xml:space="preserve">. </w:t>
      </w:r>
      <w:r w:rsidR="0075239D" w:rsidRPr="0075239D">
        <w:t xml:space="preserve">Therefore, it is unlikely that all of the persons selected for this study </w:t>
      </w:r>
      <w:r w:rsidR="0075239D">
        <w:t xml:space="preserve">at intake </w:t>
      </w:r>
      <w:r w:rsidR="0075239D" w:rsidRPr="0075239D">
        <w:t xml:space="preserve">would have follow-up information that would enable </w:t>
      </w:r>
      <w:r w:rsidR="005C1F55">
        <w:t>investigators</w:t>
      </w:r>
      <w:r w:rsidR="0075239D" w:rsidRPr="0075239D">
        <w:t xml:space="preserve"> </w:t>
      </w:r>
      <w:r w:rsidR="005C1F55">
        <w:t xml:space="preserve">sufficient information </w:t>
      </w:r>
      <w:r w:rsidR="0075239D" w:rsidRPr="0075239D">
        <w:t>to compare quit rates of persons participating in the telephone component to quit rates of persons participati</w:t>
      </w:r>
      <w:r w:rsidR="0075239D">
        <w:t xml:space="preserve">ng in the </w:t>
      </w:r>
      <w:r w:rsidR="005C1F55">
        <w:t>W</w:t>
      </w:r>
      <w:r w:rsidR="0075239D">
        <w:t xml:space="preserve">eb-based component. </w:t>
      </w:r>
      <w:r w:rsidR="0075239D" w:rsidRPr="0075239D">
        <w:t xml:space="preserve">Also, </w:t>
      </w:r>
      <w:r w:rsidR="005C1F55">
        <w:t>investigators</w:t>
      </w:r>
      <w:r w:rsidR="0075239D" w:rsidRPr="0075239D">
        <w:t xml:space="preserve"> </w:t>
      </w:r>
      <w:r w:rsidR="005C1F55">
        <w:t>will</w:t>
      </w:r>
      <w:r w:rsidR="0075239D" w:rsidRPr="0075239D">
        <w:t xml:space="preserve"> ask some additional questions on </w:t>
      </w:r>
      <w:r w:rsidR="005C1F55">
        <w:t>user</w:t>
      </w:r>
      <w:r w:rsidR="0075239D" w:rsidRPr="0075239D">
        <w:t xml:space="preserve"> experiences with the </w:t>
      </w:r>
      <w:r w:rsidR="005C1F55">
        <w:t>W</w:t>
      </w:r>
      <w:r w:rsidR="0075239D" w:rsidRPr="0075239D">
        <w:t xml:space="preserve">eb-based interventions as well as additional demographic information that are not </w:t>
      </w:r>
      <w:r w:rsidR="0075239D">
        <w:t>included as part of the</w:t>
      </w:r>
      <w:r w:rsidR="005C1F55">
        <w:t xml:space="preserve"> TCPs transmission to</w:t>
      </w:r>
      <w:r w:rsidR="0075239D">
        <w:t xml:space="preserve"> NQDW.</w:t>
      </w:r>
      <w:r w:rsidR="0075239D" w:rsidRPr="0075239D">
        <w:t xml:space="preserve"> In summary, this data collection will utilize </w:t>
      </w:r>
      <w:r w:rsidR="005C1F55">
        <w:t>MDS-compliant</w:t>
      </w:r>
      <w:r w:rsidR="0075239D" w:rsidRPr="0075239D">
        <w:t xml:space="preserve"> intake data</w:t>
      </w:r>
      <w:r w:rsidR="005C1F55">
        <w:t xml:space="preserve"> already being collected by TCPs</w:t>
      </w:r>
      <w:r w:rsidR="001F2157">
        <w:t xml:space="preserve"> for transmission to NQDW</w:t>
      </w:r>
      <w:r w:rsidR="0075239D" w:rsidRPr="0075239D">
        <w:t>, it will collect contact information for participants, and it will collect seven month fol</w:t>
      </w:r>
      <w:r w:rsidR="0075239D">
        <w:t>low-up data for participa</w:t>
      </w:r>
      <w:r w:rsidR="005C1F55">
        <w:t>n</w:t>
      </w:r>
      <w:r w:rsidR="0075239D">
        <w:t xml:space="preserve">ts. </w:t>
      </w:r>
      <w:r w:rsidR="001F2157">
        <w:t xml:space="preserve">Investigators will work with TCPs and NQDW to send linked intake and follow-up data to NQDW. </w:t>
      </w:r>
      <w:r w:rsidR="0075239D" w:rsidRPr="0075239D">
        <w:t>Each person in this study will receive only one intake questionnaire (a</w:t>
      </w:r>
      <w:r w:rsidR="001F2157">
        <w:t>s</w:t>
      </w:r>
      <w:r w:rsidR="0075239D" w:rsidRPr="0075239D">
        <w:t xml:space="preserve"> part of the </w:t>
      </w:r>
      <w:r w:rsidR="001F2157">
        <w:t xml:space="preserve">already existing TCP program to collect information for transmission to </w:t>
      </w:r>
      <w:r w:rsidR="0075239D" w:rsidRPr="0075239D">
        <w:t xml:space="preserve">NQDW), and one follow-up questionnaire (as part of the current study which will contain all of the </w:t>
      </w:r>
      <w:r w:rsidR="001F2157">
        <w:t xml:space="preserve">MDS-compliant </w:t>
      </w:r>
      <w:r w:rsidR="0075239D" w:rsidRPr="0075239D">
        <w:t xml:space="preserve">questions and some additional questions as described below) thereby eliminating any duplication of data collection efforts between this study and the NQDW (i.e., they will not receive a NQDW follow-up questionnaire). </w:t>
      </w:r>
    </w:p>
    <w:p w:rsidR="00FE6EBD" w:rsidRDefault="00A47E57" w:rsidP="00FE6EBD">
      <w:pPr>
        <w:pStyle w:val="bodytext0"/>
      </w:pPr>
      <w:r>
        <w:t xml:space="preserve"> </w:t>
      </w:r>
      <w:r w:rsidR="0075239D">
        <w:t>For this study</w:t>
      </w:r>
      <w:r w:rsidR="004163FA">
        <w:t xml:space="preserve">, </w:t>
      </w:r>
      <w:r w:rsidR="00DC51E1">
        <w:t>investigators</w:t>
      </w:r>
      <w:r w:rsidR="00341D6E">
        <w:t xml:space="preserve"> will </w:t>
      </w:r>
      <w:r w:rsidR="00F4631D">
        <w:t xml:space="preserve">ensure that the </w:t>
      </w:r>
      <w:r w:rsidR="00F4631D" w:rsidRPr="00E803BE">
        <w:t xml:space="preserve">TCPs </w:t>
      </w:r>
      <w:r w:rsidR="009C5D61" w:rsidRPr="00E803BE">
        <w:t xml:space="preserve">are obtaining proper </w:t>
      </w:r>
      <w:r w:rsidR="00341D6E" w:rsidRPr="00E803BE">
        <w:t>informed consent</w:t>
      </w:r>
      <w:r w:rsidR="00C337FD" w:rsidRPr="00E803BE">
        <w:t xml:space="preserve"> and follow-up contact information as part of their r</w:t>
      </w:r>
      <w:r w:rsidR="00C337FD">
        <w:t>egular intake protocol</w:t>
      </w:r>
      <w:r w:rsidR="00341D6E">
        <w:t xml:space="preserve">. </w:t>
      </w:r>
      <w:r w:rsidR="00FE6EBD">
        <w:t>The follow-up sample will be drawn from smokers who complete the intake proc</w:t>
      </w:r>
      <w:r w:rsidR="00504B73">
        <w:t>ess for either the quitline or W</w:t>
      </w:r>
      <w:r w:rsidR="00FE6EBD">
        <w:t>eb-based intervention offered in each state</w:t>
      </w:r>
      <w:r w:rsidR="000A72CE">
        <w:t xml:space="preserve">. </w:t>
      </w:r>
      <w:r w:rsidR="00DC51E1">
        <w:t>Investigators</w:t>
      </w:r>
      <w:r w:rsidR="00FE6EBD">
        <w:t xml:space="preserve"> will work with TCPs to implement a participant follow-up data collection process to meet study goals.</w:t>
      </w:r>
    </w:p>
    <w:p w:rsidR="00FE6EBD" w:rsidRDefault="00131E85" w:rsidP="00B45E77">
      <w:pPr>
        <w:pStyle w:val="bodytext0"/>
      </w:pPr>
      <w:r>
        <w:lastRenderedPageBreak/>
        <w:t xml:space="preserve">The number of clients for each modality in each state </w:t>
      </w:r>
      <w:r w:rsidR="00FE6EBD">
        <w:t xml:space="preserve">will determine whether a census (all participants) or random sample method will be used to identify sufficient numbers of participants </w:t>
      </w:r>
      <w:r w:rsidR="00504B73">
        <w:t xml:space="preserve">of </w:t>
      </w:r>
      <w:r w:rsidR="001F2157">
        <w:t xml:space="preserve">quitline </w:t>
      </w:r>
      <w:r w:rsidR="00504B73">
        <w:t>and W</w:t>
      </w:r>
      <w:r>
        <w:t xml:space="preserve">eb-based services </w:t>
      </w:r>
      <w:r w:rsidR="00FE6EBD">
        <w:t xml:space="preserve">from each state to obtain a sufficient sample size. Census methods will be used when the number of study participants </w:t>
      </w:r>
      <w:r w:rsidR="001F2157">
        <w:t>expected to be obtained from</w:t>
      </w:r>
      <w:r w:rsidR="00FE6EBD">
        <w:t xml:space="preserve"> a state is </w:t>
      </w:r>
      <w:r w:rsidR="001F2157">
        <w:t xml:space="preserve">estimated </w:t>
      </w:r>
      <w:r w:rsidR="00FE6EBD">
        <w:t xml:space="preserve">to approximate the state’s quitline call volume </w:t>
      </w:r>
      <w:r w:rsidR="00504B73">
        <w:t>and/or registrations for W</w:t>
      </w:r>
      <w:r>
        <w:t xml:space="preserve">eb-based services </w:t>
      </w:r>
      <w:r w:rsidR="00FE6EBD">
        <w:t>during the study time period. Random sample methods will be used when the state’s quitline call volume</w:t>
      </w:r>
      <w:r w:rsidR="00504B73">
        <w:t xml:space="preserve"> and/or registrations for W</w:t>
      </w:r>
      <w:r>
        <w:t>eb-based servi</w:t>
      </w:r>
      <w:r w:rsidR="00DC51E1">
        <w:t>c</w:t>
      </w:r>
      <w:r>
        <w:t>es</w:t>
      </w:r>
      <w:r w:rsidR="00FE6EBD">
        <w:t xml:space="preserve"> during the study time period exceeds the requisite number of study participants</w:t>
      </w:r>
      <w:r w:rsidR="001F2157">
        <w:t xml:space="preserve"> in that state</w:t>
      </w:r>
      <w:r w:rsidR="00FE6EBD">
        <w:t xml:space="preserve">. </w:t>
      </w:r>
      <w:r w:rsidR="00FE6EBD" w:rsidRPr="001A21D0">
        <w:t>If participation rates are lower than expected for a state</w:t>
      </w:r>
      <w:r w:rsidR="00FE6EBD">
        <w:t>,</w:t>
      </w:r>
      <w:r w:rsidR="00FE6EBD" w:rsidRPr="001A21D0">
        <w:t xml:space="preserve"> </w:t>
      </w:r>
      <w:r w:rsidR="00FE6EBD">
        <w:t xml:space="preserve">investigators will determine the best method of </w:t>
      </w:r>
      <w:r w:rsidR="00FE6EBD" w:rsidRPr="001A21D0">
        <w:t>increas</w:t>
      </w:r>
      <w:r w:rsidR="00FE6EBD">
        <w:t>ing</w:t>
      </w:r>
      <w:r w:rsidR="00FE6EBD" w:rsidRPr="001A21D0">
        <w:t xml:space="preserve"> the sample size in other states to </w:t>
      </w:r>
      <w:r w:rsidR="00FE6EBD">
        <w:t>meet</w:t>
      </w:r>
      <w:r w:rsidR="00FE6EBD" w:rsidRPr="001A21D0">
        <w:t xml:space="preserve"> the </w:t>
      </w:r>
      <w:r w:rsidR="00FE6EBD">
        <w:t>total</w:t>
      </w:r>
      <w:r w:rsidR="00FE6EBD" w:rsidRPr="001A21D0">
        <w:t xml:space="preserve"> sample requirements.</w:t>
      </w:r>
    </w:p>
    <w:p w:rsidR="00FE6EBD" w:rsidRDefault="00FE6EBD" w:rsidP="00C337FD">
      <w:pPr>
        <w:pStyle w:val="bodytext0"/>
      </w:pPr>
    </w:p>
    <w:p w:rsidR="00C337FD" w:rsidRDefault="005C08A8" w:rsidP="00C337FD">
      <w:pPr>
        <w:pStyle w:val="bodytext0"/>
      </w:pPr>
      <w:r>
        <w:t>Investigators</w:t>
      </w:r>
      <w:r w:rsidR="00E07B49">
        <w:t xml:space="preserve"> and the TCPs will collaboratively </w:t>
      </w:r>
      <w:r w:rsidR="00294BE9">
        <w:t xml:space="preserve">determine the best way to transfer data collected by </w:t>
      </w:r>
      <w:r>
        <w:t>investigators</w:t>
      </w:r>
      <w:r w:rsidR="00294BE9">
        <w:t xml:space="preserve"> to the respective TCP </w:t>
      </w:r>
      <w:r w:rsidR="001F2157">
        <w:t xml:space="preserve">and NQDW </w:t>
      </w:r>
      <w:r w:rsidR="00294BE9">
        <w:t>so the</w:t>
      </w:r>
      <w:r w:rsidR="001F2157">
        <w:t>y</w:t>
      </w:r>
      <w:r w:rsidR="00294BE9">
        <w:t xml:space="preserve"> may </w:t>
      </w:r>
      <w:r w:rsidR="001627D9">
        <w:t xml:space="preserve">also </w:t>
      </w:r>
      <w:r w:rsidR="00294BE9">
        <w:t xml:space="preserve">access it at a later date. As this study involves a follow-up component it will be requisite </w:t>
      </w:r>
      <w:r w:rsidR="001F2157">
        <w:t xml:space="preserve">that investigators work with TCPs </w:t>
      </w:r>
      <w:r w:rsidR="00294BE9">
        <w:t xml:space="preserve">to collect personally identifiable information </w:t>
      </w:r>
      <w:r w:rsidR="001F2157">
        <w:t xml:space="preserve">at intake </w:t>
      </w:r>
      <w:r w:rsidR="00294BE9">
        <w:t>to facilitate follow-up and maintain a link to intake information. This identifiable information will be collected, stored, and appropriately destroyed</w:t>
      </w:r>
      <w:r w:rsidR="006E2B27">
        <w:t xml:space="preserve"> as described in </w:t>
      </w:r>
      <w:r w:rsidR="00CF6E42">
        <w:t>Supporting Statement B</w:t>
      </w:r>
      <w:r w:rsidR="00384BDE">
        <w:t xml:space="preserve">, Section </w:t>
      </w:r>
      <w:r w:rsidR="00E95A45" w:rsidRPr="00E95A45">
        <w:t>B.</w:t>
      </w:r>
      <w:r w:rsidR="00384BDE">
        <w:t>2.</w:t>
      </w:r>
    </w:p>
    <w:p w:rsidR="007F4A51" w:rsidRPr="00E72C61" w:rsidRDefault="00DB23F9" w:rsidP="007F4A51">
      <w:pPr>
        <w:pStyle w:val="bodytext0"/>
        <w:ind w:firstLine="0"/>
      </w:pPr>
      <w:r w:rsidRPr="00E72C61">
        <w:rPr>
          <w:i/>
          <w:iCs/>
        </w:rPr>
        <w:t>Privacy Impact Assessment</w:t>
      </w:r>
    </w:p>
    <w:p w:rsidR="007F0B28" w:rsidRPr="00C337FD" w:rsidRDefault="007F0B28" w:rsidP="00C337FD">
      <w:pPr>
        <w:pStyle w:val="bodytext0"/>
        <w:ind w:firstLine="0"/>
        <w:rPr>
          <w:b/>
          <w:i/>
        </w:rPr>
      </w:pPr>
      <w:r w:rsidRPr="00C337FD">
        <w:rPr>
          <w:b/>
          <w:i/>
        </w:rPr>
        <w:t>Items of Information to be Collected</w:t>
      </w:r>
    </w:p>
    <w:p w:rsidR="007F0B28" w:rsidRPr="00B26DEF" w:rsidRDefault="007F0B28" w:rsidP="00592720">
      <w:pPr>
        <w:pStyle w:val="Heading4"/>
      </w:pPr>
      <w:r w:rsidRPr="00B26DEF">
        <w:t xml:space="preserve">Quitline Promotional Activities </w:t>
      </w:r>
      <w:r w:rsidR="001E7609">
        <w:t>Component</w:t>
      </w:r>
    </w:p>
    <w:p w:rsidR="007F0B28" w:rsidRDefault="005C08A8" w:rsidP="0077591C">
      <w:pPr>
        <w:pStyle w:val="bodytext0"/>
      </w:pPr>
      <w:r>
        <w:t>Investigators</w:t>
      </w:r>
      <w:r w:rsidR="007F0B28">
        <w:t xml:space="preserve"> will compile existing data related to quitline promotional activities and quitline call volume for the analyses necessary for the Quitline Promotional Activities </w:t>
      </w:r>
      <w:r w:rsidR="00CC265A">
        <w:t>Component</w:t>
      </w:r>
      <w:r w:rsidR="00F51AAD">
        <w:t xml:space="preserve"> </w:t>
      </w:r>
      <w:r w:rsidR="00E803BE">
        <w:t xml:space="preserve">(see </w:t>
      </w:r>
      <w:r w:rsidR="00E803BE" w:rsidRPr="00E803BE">
        <w:rPr>
          <w:b/>
        </w:rPr>
        <w:t>Appendi</w:t>
      </w:r>
      <w:r w:rsidR="00E803BE">
        <w:rPr>
          <w:b/>
        </w:rPr>
        <w:t xml:space="preserve">x </w:t>
      </w:r>
      <w:r w:rsidR="00E803BE" w:rsidRPr="00E803BE">
        <w:rPr>
          <w:b/>
        </w:rPr>
        <w:t>4</w:t>
      </w:r>
      <w:r w:rsidR="00E803BE">
        <w:t xml:space="preserve">). </w:t>
      </w:r>
      <w:r w:rsidR="007F0B28">
        <w:t>These data are typically monitored as part of the TCPs</w:t>
      </w:r>
      <w:r w:rsidR="0092193B">
        <w:t>’</w:t>
      </w:r>
      <w:r w:rsidR="007F0B28">
        <w:t xml:space="preserve"> regular evaluation efforts.</w:t>
      </w:r>
      <w:r w:rsidR="00F51AAD">
        <w:t xml:space="preserve"> </w:t>
      </w:r>
      <w:r>
        <w:t>Investigators</w:t>
      </w:r>
      <w:r w:rsidR="007F0B28">
        <w:t xml:space="preserve"> anticipat</w:t>
      </w:r>
      <w:r w:rsidR="0092193B">
        <w:t>e</w:t>
      </w:r>
      <w:r w:rsidR="007F0B28">
        <w:t xml:space="preserve"> that no sensitive data with privacy concerns will be compiled.</w:t>
      </w:r>
      <w:r w:rsidR="00F51AAD">
        <w:t xml:space="preserve"> </w:t>
      </w:r>
      <w:r>
        <w:t>Investigators</w:t>
      </w:r>
      <w:r w:rsidR="0077591C">
        <w:t xml:space="preserve"> will request t</w:t>
      </w:r>
      <w:r w:rsidR="007F0B28">
        <w:t>he following types of data from TCPs:</w:t>
      </w:r>
    </w:p>
    <w:p w:rsidR="004F5C8C" w:rsidRDefault="007F0B28" w:rsidP="004F5C8C">
      <w:pPr>
        <w:pStyle w:val="bullets"/>
      </w:pPr>
      <w:r w:rsidRPr="004F5C8C">
        <w:rPr>
          <w:b/>
          <w:bCs/>
        </w:rPr>
        <w:t xml:space="preserve">Media </w:t>
      </w:r>
      <w:r w:rsidR="004F5C8C" w:rsidRPr="004F5C8C">
        <w:rPr>
          <w:b/>
          <w:bCs/>
        </w:rPr>
        <w:t>Purchase/</w:t>
      </w:r>
      <w:r w:rsidRPr="004F5C8C">
        <w:rPr>
          <w:b/>
          <w:bCs/>
        </w:rPr>
        <w:t>Placement Data</w:t>
      </w:r>
      <w:r w:rsidR="0092193B">
        <w:t xml:space="preserve">. </w:t>
      </w:r>
      <w:r w:rsidR="005C08A8">
        <w:t>Investigators</w:t>
      </w:r>
      <w:r>
        <w:t xml:space="preserve"> will </w:t>
      </w:r>
      <w:r w:rsidR="000C7F6C">
        <w:t>compile</w:t>
      </w:r>
      <w:r>
        <w:t xml:space="preserve"> information related to the type of promotional activities implemented during the study period.</w:t>
      </w:r>
      <w:r w:rsidR="00F51AAD">
        <w:t xml:space="preserve"> </w:t>
      </w:r>
      <w:r>
        <w:t xml:space="preserve">These activities will be coded by </w:t>
      </w:r>
      <w:r w:rsidR="005C08A8">
        <w:t>investigators</w:t>
      </w:r>
      <w:r w:rsidR="004F5C8C">
        <w:t xml:space="preserve"> to identify the mode (</w:t>
      </w:r>
      <w:r w:rsidR="00560D87">
        <w:t>e.g.</w:t>
      </w:r>
      <w:r w:rsidR="004F5C8C">
        <w:t xml:space="preserve">, traditional vs. innovative) and other qualitative characteristics such as type of message, theme, and </w:t>
      </w:r>
      <w:r w:rsidR="004F5C8C">
        <w:lastRenderedPageBreak/>
        <w:t xml:space="preserve">target audience. These data will be used to compare how different types of promotional efforts impact quitline call volume in terms of overall intensity and caller characteristics. Reach and utilization measures will vary by promotional effort. For instance, level of exposure of television advertising is typically measured by gross rating points (GRPs), whereas traditional print advertising is measured in number of impressions and online banner ads is measured by Click-Through Rates (CTRs). </w:t>
      </w:r>
      <w:r w:rsidR="000C7F6C">
        <w:t xml:space="preserve">These measures are </w:t>
      </w:r>
      <w:r w:rsidR="009277A8">
        <w:t>typically summarized in a media placement report for the TCPs by their media vendor on a regular basis following the media purchase period (typically on a quarterly basis)</w:t>
      </w:r>
      <w:r w:rsidR="003B208A">
        <w:t xml:space="preserve">. </w:t>
      </w:r>
      <w:r w:rsidR="009277A8">
        <w:t>These reports can be forwarded to the investigators in their existing formats (i.e. PDF, excel, etc)</w:t>
      </w:r>
      <w:r w:rsidR="003B208A">
        <w:t xml:space="preserve">. </w:t>
      </w:r>
    </w:p>
    <w:p w:rsidR="004F5C8C" w:rsidRPr="004F5C8C" w:rsidRDefault="007F0B28" w:rsidP="004F5C8C">
      <w:pPr>
        <w:pStyle w:val="Bulletblank"/>
      </w:pPr>
      <w:r w:rsidRPr="0077591C">
        <w:rPr>
          <w:b/>
          <w:bCs/>
        </w:rPr>
        <w:t>Quitline Call Volume</w:t>
      </w:r>
      <w:r w:rsidR="004F5C8C">
        <w:rPr>
          <w:b/>
          <w:bCs/>
        </w:rPr>
        <w:t xml:space="preserve"> and Online Activity</w:t>
      </w:r>
      <w:r w:rsidR="0077591C">
        <w:t xml:space="preserve">. </w:t>
      </w:r>
      <w:r w:rsidR="0075239D">
        <w:t>Q</w:t>
      </w:r>
      <w:r>
        <w:t xml:space="preserve">uitline call volume will be obtained from the </w:t>
      </w:r>
      <w:r w:rsidR="0075239D">
        <w:t>TCPs and pre-existing, de</w:t>
      </w:r>
      <w:r w:rsidR="001B4C4D">
        <w:t>-</w:t>
      </w:r>
      <w:r w:rsidR="0075239D">
        <w:t>identified</w:t>
      </w:r>
      <w:r w:rsidR="001F442A">
        <w:t>,</w:t>
      </w:r>
      <w:r w:rsidR="0075239D">
        <w:t xml:space="preserve"> </w:t>
      </w:r>
      <w:proofErr w:type="spellStart"/>
      <w:r w:rsidR="0075239D">
        <w:t>quitline</w:t>
      </w:r>
      <w:proofErr w:type="spellEnd"/>
      <w:r w:rsidR="0075239D">
        <w:t xml:space="preserve"> </w:t>
      </w:r>
      <w:r w:rsidR="00722025">
        <w:t>intake data</w:t>
      </w:r>
      <w:r w:rsidR="001F442A">
        <w:t xml:space="preserve"> </w:t>
      </w:r>
      <w:r w:rsidR="00722025">
        <w:t xml:space="preserve">obtained from quitline users who receive services from TCPs, </w:t>
      </w:r>
      <w:r w:rsidR="0075239D">
        <w:t xml:space="preserve">will be obtained from the </w:t>
      </w:r>
      <w:r w:rsidR="005C0D9C">
        <w:t>National Quitline Data Warehouse (</w:t>
      </w:r>
      <w:r>
        <w:t>NQDW</w:t>
      </w:r>
      <w:r w:rsidR="00504B73">
        <w:t>, OMB</w:t>
      </w:r>
      <w:r w:rsidR="00CF6E42" w:rsidRPr="003D0A33">
        <w:t xml:space="preserve"> </w:t>
      </w:r>
      <w:r w:rsidR="005C0D9C">
        <w:t>c</w:t>
      </w:r>
      <w:r w:rsidR="00CF6E42" w:rsidRPr="003D0A33">
        <w:t xml:space="preserve">ontrol </w:t>
      </w:r>
      <w:r w:rsidR="005C0D9C">
        <w:t>n</w:t>
      </w:r>
      <w:r w:rsidR="00CF6E42" w:rsidRPr="003D0A33">
        <w:t>o</w:t>
      </w:r>
      <w:r w:rsidR="005C0D9C">
        <w:t>.</w:t>
      </w:r>
      <w:r w:rsidR="00CF6E42" w:rsidRPr="003D0A33">
        <w:t xml:space="preserve"> 0920-0856</w:t>
      </w:r>
      <w:r w:rsidR="005C0D9C">
        <w:t xml:space="preserve">, exp. 7/31/2012, </w:t>
      </w:r>
      <w:r w:rsidR="00E803BE">
        <w:t xml:space="preserve">see </w:t>
      </w:r>
      <w:r w:rsidR="00E803BE" w:rsidRPr="00E803BE">
        <w:rPr>
          <w:b/>
        </w:rPr>
        <w:t>Appendix 3</w:t>
      </w:r>
      <w:r w:rsidR="00E803BE">
        <w:t xml:space="preserve">). </w:t>
      </w:r>
      <w:r w:rsidR="00722025">
        <w:t>NQDW began collection of quitline intake data on Jan. 1</w:t>
      </w:r>
      <w:r w:rsidR="001B4C4D">
        <w:t>,</w:t>
      </w:r>
      <w:r w:rsidR="00722025">
        <w:t xml:space="preserve"> 2011 and OMB approval for data collection expires 7/31/2012. </w:t>
      </w:r>
      <w:r w:rsidR="00B633AB">
        <w:t xml:space="preserve">This use of pre-existing data that </w:t>
      </w:r>
      <w:r w:rsidR="004E3347">
        <w:t xml:space="preserve">is readily accessible to RTI from the </w:t>
      </w:r>
      <w:r w:rsidR="00B633AB">
        <w:t>NQDW repository</w:t>
      </w:r>
      <w:r w:rsidR="004F5C8C">
        <w:t xml:space="preserve"> </w:t>
      </w:r>
      <w:r w:rsidR="00B633AB">
        <w:t xml:space="preserve">will </w:t>
      </w:r>
      <w:r w:rsidR="001F442A">
        <w:t xml:space="preserve">eliminate the need for any </w:t>
      </w:r>
      <w:r w:rsidR="00B633AB">
        <w:t>additional original data collection and respondent burden</w:t>
      </w:r>
      <w:r w:rsidR="00A3338A">
        <w:t xml:space="preserve">. </w:t>
      </w:r>
      <w:r>
        <w:t>Measures from the NQDW will include number of calls</w:t>
      </w:r>
      <w:r w:rsidR="0075239D">
        <w:t xml:space="preserve"> per quarter and de-</w:t>
      </w:r>
      <w:r w:rsidR="001B4C4D">
        <w:t>i</w:t>
      </w:r>
      <w:r w:rsidR="0075239D">
        <w:t>dentified information including the following:</w:t>
      </w:r>
      <w:r w:rsidR="00D958DE">
        <w:t xml:space="preserve"> </w:t>
      </w:r>
      <w:r>
        <w:t xml:space="preserve">demographics and smoking </w:t>
      </w:r>
      <w:r w:rsidR="00F51AAD">
        <w:t>characteristics</w:t>
      </w:r>
      <w:r>
        <w:t xml:space="preserve"> of callers, and self-reported referral sources.</w:t>
      </w:r>
      <w:r w:rsidR="00F51AAD">
        <w:t xml:space="preserve"> </w:t>
      </w:r>
      <w:r w:rsidR="0075239D">
        <w:t xml:space="preserve">Call volume </w:t>
      </w:r>
      <w:r w:rsidR="00D958DE">
        <w:t>and self</w:t>
      </w:r>
      <w:r w:rsidR="0075239D">
        <w:t xml:space="preserve">-reported referral sources </w:t>
      </w:r>
      <w:r w:rsidR="00863CA3">
        <w:t xml:space="preserve">will be used to </w:t>
      </w:r>
      <w:r w:rsidR="0075239D">
        <w:t xml:space="preserve">estimate the </w:t>
      </w:r>
      <w:r w:rsidR="00863CA3">
        <w:t>impact of each promotional component on the study.</w:t>
      </w:r>
      <w:r w:rsidR="004F5C8C" w:rsidRPr="004F5C8C">
        <w:rPr>
          <w:b/>
          <w:bCs/>
        </w:rPr>
        <w:t xml:space="preserve"> </w:t>
      </w:r>
    </w:p>
    <w:p w:rsidR="004F5C8C" w:rsidRDefault="004F5C8C" w:rsidP="004F5C8C">
      <w:pPr>
        <w:pStyle w:val="Bulletblank"/>
        <w:numPr>
          <w:ilvl w:val="0"/>
          <w:numId w:val="0"/>
        </w:numPr>
        <w:ind w:left="1080" w:firstLine="360"/>
      </w:pPr>
      <w:r>
        <w:t xml:space="preserve">For states that support a </w:t>
      </w:r>
      <w:r w:rsidR="00B13D88">
        <w:t>w</w:t>
      </w:r>
      <w:r w:rsidR="00A3338A">
        <w:t>ebsite</w:t>
      </w:r>
      <w:r>
        <w:t xml:space="preserve"> to promote the quitline, Web analytics will be obtained to measure the reach and utilization of the site. Aggregate traffic metrics such as number of weekly visits, number of unique visitors, average time spent on site, and geographic region of visitors, can be obtained from each state’s preferred Web analytic platform, in most cases Google Analytics</w:t>
      </w:r>
      <w:r w:rsidR="00A3338A">
        <w:t xml:space="preserve">. </w:t>
      </w:r>
      <w:r>
        <w:t>Google Analytics is a free platform that relies on JavaScript code that is inserted into each webpage and first</w:t>
      </w:r>
      <w:r w:rsidR="00E803BE">
        <w:t>-</w:t>
      </w:r>
      <w:r>
        <w:t xml:space="preserve">person cookies that allows unique visitors to be anonymously tracked on a website. </w:t>
      </w:r>
      <w:r w:rsidR="009C2C95">
        <w:t xml:space="preserve">Google Analytics also allows administrators to design reports in CSV or PDF format that can be automated </w:t>
      </w:r>
      <w:r w:rsidR="00D20B3D">
        <w:t xml:space="preserve">to compile information </w:t>
      </w:r>
      <w:r w:rsidR="009C2C95">
        <w:t xml:space="preserve">at regular intervals and </w:t>
      </w:r>
      <w:r w:rsidR="00D20B3D">
        <w:t>sent</w:t>
      </w:r>
      <w:r w:rsidR="009C2C95">
        <w:t xml:space="preserve"> to the </w:t>
      </w:r>
      <w:r w:rsidR="009C2C95">
        <w:lastRenderedPageBreak/>
        <w:t>investigators</w:t>
      </w:r>
      <w:r w:rsidR="003B208A">
        <w:t xml:space="preserve">. </w:t>
      </w:r>
      <w:r w:rsidR="009C2C95">
        <w:t>Additionally, investigators can be given user access to accounts on Google Analytics to access data in these formats directly.</w:t>
      </w:r>
    </w:p>
    <w:p w:rsidR="004F5C8C" w:rsidRDefault="004F5C8C" w:rsidP="004F5C8C">
      <w:pPr>
        <w:pStyle w:val="Bulletblank"/>
        <w:numPr>
          <w:ilvl w:val="0"/>
          <w:numId w:val="0"/>
        </w:numPr>
        <w:ind w:left="1080" w:firstLine="360"/>
      </w:pPr>
      <w:r>
        <w:t>For states that utilize social media to promote the quitline, activity on the social media platforms (</w:t>
      </w:r>
      <w:r w:rsidR="00560D87">
        <w:t>e.g.</w:t>
      </w:r>
      <w:r w:rsidR="00ED696C">
        <w:t xml:space="preserve">, YouTube, Facebook, </w:t>
      </w:r>
      <w:proofErr w:type="gramStart"/>
      <w:r w:rsidR="00ED696C">
        <w:t>T</w:t>
      </w:r>
      <w:r>
        <w:t>witter</w:t>
      </w:r>
      <w:proofErr w:type="gramEnd"/>
      <w:r>
        <w:t>) will be tracked using free public programs, such as Facebook Insight</w:t>
      </w:r>
      <w:r w:rsidR="001B4C4D">
        <w:t>s</w:t>
      </w:r>
      <w:r>
        <w:t>. Facebook Insight</w:t>
      </w:r>
      <w:r w:rsidR="001B4C4D">
        <w:t>s</w:t>
      </w:r>
      <w:r>
        <w:t xml:space="preserve"> allows groups or organizations to create a user-friendly dashboard of metrics including number of posts on a wall, number of comments, and number of fans/friends for particular time periods</w:t>
      </w:r>
      <w:r w:rsidR="00A3338A">
        <w:t xml:space="preserve">. </w:t>
      </w:r>
      <w:r w:rsidR="00F40BCB">
        <w:t>States can choose to provide administrator access to these social media accounts directly to investigators to obtain the necessary metrics</w:t>
      </w:r>
      <w:r w:rsidR="003B208A">
        <w:t xml:space="preserve">. </w:t>
      </w:r>
      <w:r w:rsidR="00F40BCB">
        <w:t>Data from Facebook Insight</w:t>
      </w:r>
      <w:r w:rsidR="00ED696C">
        <w:t>s</w:t>
      </w:r>
      <w:r w:rsidR="00F40BCB">
        <w:t xml:space="preserve"> can also be quickly exported in CSV format by the TCPs and forwarded to the investigators</w:t>
      </w:r>
      <w:r w:rsidR="003B208A">
        <w:t xml:space="preserve">. </w:t>
      </w:r>
      <w:r w:rsidR="00F40BCB">
        <w:t xml:space="preserve">The majority of metrics for YouTube and Twitter can be obtained by investigators </w:t>
      </w:r>
      <w:r w:rsidR="00BB3962">
        <w:t xml:space="preserve">directly </w:t>
      </w:r>
      <w:r w:rsidR="00F40BCB">
        <w:t>by viewing the TCPs pages on these social media sites</w:t>
      </w:r>
      <w:r w:rsidR="003B208A">
        <w:t xml:space="preserve">. </w:t>
      </w:r>
    </w:p>
    <w:p w:rsidR="00625CC2" w:rsidRPr="000A3F01" w:rsidRDefault="00625CC2" w:rsidP="00625CC2">
      <w:pPr>
        <w:pStyle w:val="Bulletblank"/>
        <w:numPr>
          <w:ilvl w:val="0"/>
          <w:numId w:val="0"/>
        </w:numPr>
        <w:ind w:left="1440" w:hanging="360"/>
      </w:pPr>
    </w:p>
    <w:p w:rsidR="007F0B28" w:rsidRDefault="007F0B28" w:rsidP="00D958DE">
      <w:pPr>
        <w:pStyle w:val="Heading4"/>
      </w:pPr>
      <w:r>
        <w:t xml:space="preserve">Cessation Intervention </w:t>
      </w:r>
      <w:r w:rsidR="001E7609">
        <w:t>Component</w:t>
      </w:r>
    </w:p>
    <w:p w:rsidR="007F0B28" w:rsidRPr="00592720" w:rsidRDefault="00DB64C6" w:rsidP="0077591C">
      <w:pPr>
        <w:pStyle w:val="bodytext0"/>
      </w:pPr>
      <w:r>
        <w:t>Intake (baseline) data and 7-month follow-up data will be used to analyze the outcomes of interest</w:t>
      </w:r>
      <w:r w:rsidR="00A3338A">
        <w:t xml:space="preserve">. </w:t>
      </w:r>
      <w:r>
        <w:t xml:space="preserve">All intake measures will come from existing data </w:t>
      </w:r>
      <w:r w:rsidR="004163FA">
        <w:t>collected by TCPs</w:t>
      </w:r>
      <w:r w:rsidR="00A47E57">
        <w:t xml:space="preserve"> </w:t>
      </w:r>
      <w:r w:rsidR="004163FA">
        <w:t>from</w:t>
      </w:r>
      <w:r>
        <w:t xml:space="preserve"> </w:t>
      </w:r>
      <w:proofErr w:type="gramStart"/>
      <w:r>
        <w:t>quitline  or</w:t>
      </w:r>
      <w:proofErr w:type="gramEnd"/>
      <w:r>
        <w:t xml:space="preserve"> Web-based program users. </w:t>
      </w:r>
      <w:r w:rsidR="004F5C8C">
        <w:t>Standard MDS</w:t>
      </w:r>
      <w:r w:rsidR="007F0B28" w:rsidRPr="00CF1100">
        <w:t xml:space="preserve"> measures for the </w:t>
      </w:r>
      <w:r w:rsidR="0020700B">
        <w:t>telephon</w:t>
      </w:r>
      <w:r w:rsidR="00F14AB4">
        <w:t>e</w:t>
      </w:r>
      <w:r w:rsidR="001945BD">
        <w:t xml:space="preserve"> and similar </w:t>
      </w:r>
      <w:r w:rsidR="008E3638">
        <w:t>Web</w:t>
      </w:r>
      <w:r w:rsidR="00A3338A">
        <w:t>-</w:t>
      </w:r>
      <w:r w:rsidR="001945BD">
        <w:t>administered items will</w:t>
      </w:r>
      <w:r w:rsidR="007F0B28" w:rsidRPr="00CF1100">
        <w:t xml:space="preserve"> include</w:t>
      </w:r>
      <w:r w:rsidR="00F51AAD">
        <w:t xml:space="preserve"> </w:t>
      </w:r>
      <w:r w:rsidR="007F0B28" w:rsidRPr="00CF1100">
        <w:t>demographics</w:t>
      </w:r>
      <w:r w:rsidR="007F0B28">
        <w:t>,</w:t>
      </w:r>
      <w:r w:rsidR="007F0B28" w:rsidRPr="00CF1100">
        <w:t xml:space="preserve"> current smoking status, smoking history, current smoking behaviors, previous quit history, self-reported sou</w:t>
      </w:r>
      <w:r w:rsidR="007F0B28" w:rsidRPr="00592720">
        <w:t>rce of referral to the program, and services requested from the program.</w:t>
      </w:r>
      <w:r w:rsidR="00F51AAD">
        <w:t xml:space="preserve"> </w:t>
      </w:r>
      <w:r w:rsidR="007F0B28" w:rsidRPr="00592720">
        <w:t>These data are collected by the state</w:t>
      </w:r>
      <w:r w:rsidR="0077591C">
        <w:t>s</w:t>
      </w:r>
      <w:r w:rsidR="007F0B28" w:rsidRPr="00592720">
        <w:t xml:space="preserve"> as part of their regular </w:t>
      </w:r>
      <w:r w:rsidR="00D20B3D">
        <w:t xml:space="preserve">quitline </w:t>
      </w:r>
      <w:r w:rsidR="007F0B28" w:rsidRPr="00592720">
        <w:t>monitoring and evaluation activities; therefore, no new origina</w:t>
      </w:r>
      <w:r w:rsidR="00E803BE">
        <w:t>l intake data will be collected</w:t>
      </w:r>
      <w:r w:rsidR="00F51AAD">
        <w:t xml:space="preserve"> </w:t>
      </w:r>
      <w:r w:rsidR="00E803BE">
        <w:t xml:space="preserve">(see </w:t>
      </w:r>
      <w:r w:rsidR="00E803BE" w:rsidRPr="00E803BE">
        <w:rPr>
          <w:b/>
        </w:rPr>
        <w:t>Appendix 3</w:t>
      </w:r>
      <w:r w:rsidR="00E803BE">
        <w:t xml:space="preserve">). </w:t>
      </w:r>
      <w:r w:rsidR="00F40043">
        <w:t xml:space="preserve">These are standard </w:t>
      </w:r>
      <w:r w:rsidR="00A47E57">
        <w:t xml:space="preserve">components that meet </w:t>
      </w:r>
      <w:r w:rsidR="00A3338A">
        <w:t>MDS</w:t>
      </w:r>
      <w:r w:rsidR="00A47E57">
        <w:t xml:space="preserve"> </w:t>
      </w:r>
      <w:r w:rsidR="00504B73">
        <w:t>requirements, which</w:t>
      </w:r>
      <w:r w:rsidR="00F40043">
        <w:t xml:space="preserve"> have already been </w:t>
      </w:r>
      <w:r w:rsidR="005C0D9C">
        <w:t xml:space="preserve">approved </w:t>
      </w:r>
      <w:r w:rsidR="00F40043">
        <w:t xml:space="preserve">by OMB </w:t>
      </w:r>
      <w:r w:rsidR="005C0D9C">
        <w:t>for the NQDW</w:t>
      </w:r>
      <w:r w:rsidR="00A3338A">
        <w:t xml:space="preserve">. </w:t>
      </w:r>
    </w:p>
    <w:p w:rsidR="007F0B28" w:rsidRPr="00592720" w:rsidRDefault="00DB64C6" w:rsidP="00414608">
      <w:pPr>
        <w:pStyle w:val="bodytext0"/>
      </w:pPr>
      <w:r>
        <w:t>Follow-up information will be collected using the existing TCP format</w:t>
      </w:r>
      <w:r w:rsidR="00D20B3D">
        <w:t xml:space="preserve"> while</w:t>
      </w:r>
      <w:r>
        <w:t xml:space="preserve"> ensuring study-specific questions are included. </w:t>
      </w:r>
      <w:r w:rsidR="007F0B28" w:rsidRPr="00592720">
        <w:t>For the 7-month follow-up survey, participants will be asked about their satisfaction with the cessation intervention, current smoking status, quit attempts made since their enrollment, duration of quit (if applicable), use of nicotine replacement therapies and/or medication to help quit, use of various behavioral smoking cessation strategies, and use of technology and various forms of media</w:t>
      </w:r>
      <w:r w:rsidR="00A3338A">
        <w:t xml:space="preserve">. </w:t>
      </w:r>
      <w:r w:rsidR="00414608">
        <w:t>The majority of this instrument is consistent</w:t>
      </w:r>
      <w:r w:rsidR="001945BD">
        <w:t xml:space="preserve"> with NAQC recommendations for the MDS</w:t>
      </w:r>
      <w:r w:rsidR="00414608">
        <w:t xml:space="preserve">; however a small number of items will be added to </w:t>
      </w:r>
      <w:r w:rsidR="00414608">
        <w:lastRenderedPageBreak/>
        <w:t>further describe users in terms of their use of technology and media</w:t>
      </w:r>
      <w:r w:rsidR="00A3338A">
        <w:t xml:space="preserve">. </w:t>
      </w:r>
      <w:r w:rsidR="00D20B3D">
        <w:t xml:space="preserve">Investigators </w:t>
      </w:r>
      <w:r w:rsidR="00A76EE1">
        <w:t>will work with states to ensure that necessary contact information is collected at the time of intake</w:t>
      </w:r>
      <w:r w:rsidR="00D20B3D">
        <w:t xml:space="preserve"> so that contact can be made for follow-up</w:t>
      </w:r>
      <w:r w:rsidR="000A72CE">
        <w:t xml:space="preserve">. </w:t>
      </w:r>
      <w:r w:rsidR="00A76EE1">
        <w:t xml:space="preserve">Information </w:t>
      </w:r>
      <w:r w:rsidR="005C0D9C">
        <w:t>i</w:t>
      </w:r>
      <w:r w:rsidR="00A76EE1">
        <w:t>n Identifiable Form (IFF), including name, mailing address, phone numbers, and e-mail addresses, will be collected for the purposes of contacting participants for follow-up data collection and mailing an honorarium upon study completion</w:t>
      </w:r>
      <w:r w:rsidR="000A72CE">
        <w:t xml:space="preserve">. </w:t>
      </w:r>
    </w:p>
    <w:p w:rsidR="007F0B28" w:rsidRDefault="007F0B28" w:rsidP="00055F70">
      <w:pPr>
        <w:pStyle w:val="bodytext0"/>
      </w:pPr>
      <w:r w:rsidRPr="00592720">
        <w:t>In addition, service u</w:t>
      </w:r>
      <w:r w:rsidRPr="00CF1100">
        <w:t xml:space="preserve">tilization data will be obtained from the quitline and </w:t>
      </w:r>
      <w:r w:rsidR="00A3338A">
        <w:t>website</w:t>
      </w:r>
      <w:r w:rsidRPr="00CF1100">
        <w:t xml:space="preserve"> service provider</w:t>
      </w:r>
      <w:r>
        <w:t>s</w:t>
      </w:r>
      <w:r w:rsidRPr="00CF1100">
        <w:t>.</w:t>
      </w:r>
      <w:r w:rsidR="00F51AAD">
        <w:t xml:space="preserve"> </w:t>
      </w:r>
      <w:r w:rsidRPr="00CF1100">
        <w:t xml:space="preserve">For </w:t>
      </w:r>
      <w:r w:rsidR="00863CA3">
        <w:t>participants</w:t>
      </w:r>
      <w:r w:rsidR="00FF72A5">
        <w:t xml:space="preserve"> </w:t>
      </w:r>
      <w:r w:rsidRPr="00CF1100">
        <w:t xml:space="preserve">who </w:t>
      </w:r>
      <w:r w:rsidR="00FF72A5">
        <w:t>undergo</w:t>
      </w:r>
      <w:r w:rsidR="00FF72A5" w:rsidRPr="00CF1100">
        <w:t xml:space="preserve"> </w:t>
      </w:r>
      <w:r w:rsidR="00F14AB4">
        <w:t>telephone-based</w:t>
      </w:r>
      <w:r w:rsidRPr="00CF1100">
        <w:t xml:space="preserve"> counseling these metrics will include</w:t>
      </w:r>
      <w:r w:rsidR="00F51AAD">
        <w:t xml:space="preserve"> </w:t>
      </w:r>
      <w:r w:rsidRPr="00CF1100">
        <w:t>number and length of telephone calls, receipt of mailed materials, and services received.</w:t>
      </w:r>
      <w:r w:rsidR="00F51AAD">
        <w:t xml:space="preserve"> </w:t>
      </w:r>
      <w:r w:rsidRPr="00CF1100">
        <w:t xml:space="preserve">Among participants who use the </w:t>
      </w:r>
      <w:r w:rsidR="008E3638">
        <w:t>Web</w:t>
      </w:r>
      <w:r w:rsidR="00F14AB4">
        <w:t>-based</w:t>
      </w:r>
      <w:r w:rsidRPr="00CF1100">
        <w:t xml:space="preserve"> interventions utilization data</w:t>
      </w:r>
      <w:r>
        <w:t xml:space="preserve"> will be obtained </w:t>
      </w:r>
      <w:r w:rsidR="00055F70">
        <w:t xml:space="preserve">that </w:t>
      </w:r>
      <w:r>
        <w:t>measure</w:t>
      </w:r>
      <w:r w:rsidRPr="00CF1100">
        <w:t xml:space="preserve"> number of site log</w:t>
      </w:r>
      <w:r w:rsidR="00D20B3D">
        <w:t>-</w:t>
      </w:r>
      <w:r w:rsidRPr="00CF1100">
        <w:t>ins, time spent on the site, time spent on different features of the site, and interaction with specific site content</w:t>
      </w:r>
      <w:r w:rsidR="00E803BE">
        <w:t xml:space="preserve"> </w:t>
      </w:r>
      <w:r w:rsidR="00FF72A5">
        <w:t>(</w:t>
      </w:r>
      <w:r w:rsidR="00E803BE">
        <w:t>s</w:t>
      </w:r>
      <w:r w:rsidR="002957C1">
        <w:t xml:space="preserve">ee </w:t>
      </w:r>
      <w:r w:rsidR="00FF72A5" w:rsidRPr="00A76EE1">
        <w:rPr>
          <w:b/>
        </w:rPr>
        <w:t>Appendi</w:t>
      </w:r>
      <w:r w:rsidR="00DC6FE1" w:rsidRPr="00A76EE1">
        <w:rPr>
          <w:b/>
        </w:rPr>
        <w:t xml:space="preserve">ces </w:t>
      </w:r>
      <w:r w:rsidR="00CF0AC8" w:rsidRPr="00A76EE1">
        <w:rPr>
          <w:b/>
        </w:rPr>
        <w:t>5</w:t>
      </w:r>
      <w:r w:rsidR="00A76EE1" w:rsidRPr="00A76EE1">
        <w:rPr>
          <w:b/>
        </w:rPr>
        <w:t>–8</w:t>
      </w:r>
      <w:r w:rsidR="002957C1">
        <w:t xml:space="preserve"> for </w:t>
      </w:r>
      <w:r w:rsidR="00A76EE1">
        <w:t xml:space="preserve">consent forms and </w:t>
      </w:r>
      <w:r w:rsidR="002957C1">
        <w:t>data collection instruments to be used</w:t>
      </w:r>
      <w:r w:rsidR="00FF72A5">
        <w:t>)</w:t>
      </w:r>
      <w:r w:rsidR="00E803BE">
        <w:t>.</w:t>
      </w:r>
    </w:p>
    <w:p w:rsidR="007F0B28" w:rsidRPr="00CF1100" w:rsidRDefault="007F0B28" w:rsidP="009D0976">
      <w:pPr>
        <w:pStyle w:val="Heading3"/>
      </w:pPr>
      <w:bookmarkStart w:id="23" w:name="_Toc260215287"/>
      <w:bookmarkStart w:id="24" w:name="_Toc297131676"/>
      <w:r w:rsidRPr="00CF1100">
        <w:t>Identification of Web</w:t>
      </w:r>
      <w:r w:rsidR="00A3338A">
        <w:t>s</w:t>
      </w:r>
      <w:r w:rsidRPr="00CF1100">
        <w:t>ite(s) and Web</w:t>
      </w:r>
      <w:r w:rsidR="00A3338A">
        <w:t>s</w:t>
      </w:r>
      <w:r w:rsidRPr="00CF1100">
        <w:t>ite Content Directed at Children Under 13 Years of Age</w:t>
      </w:r>
      <w:bookmarkEnd w:id="23"/>
      <w:bookmarkEnd w:id="24"/>
      <w:r w:rsidRPr="00CF1100">
        <w:t xml:space="preserve"> </w:t>
      </w:r>
    </w:p>
    <w:p w:rsidR="007F0B28" w:rsidRPr="00CF1100" w:rsidRDefault="00FF72A5" w:rsidP="00055F70">
      <w:pPr>
        <w:pStyle w:val="bodytext0"/>
      </w:pPr>
      <w:r w:rsidRPr="00CF1100">
        <w:t xml:space="preserve">All participants in </w:t>
      </w:r>
      <w:r w:rsidR="00863CA3">
        <w:t>either</w:t>
      </w:r>
      <w:r>
        <w:t xml:space="preserve"> arm of </w:t>
      </w:r>
      <w:r w:rsidRPr="00CF1100">
        <w:t xml:space="preserve">the </w:t>
      </w:r>
      <w:r w:rsidR="00D85CCB">
        <w:t>cessation component</w:t>
      </w:r>
      <w:r w:rsidRPr="00CF1100">
        <w:t xml:space="preserve"> wi</w:t>
      </w:r>
      <w:r>
        <w:t xml:space="preserve">ll be 18 years of age or older. </w:t>
      </w:r>
      <w:r w:rsidR="007F0B28" w:rsidRPr="00CF1100">
        <w:t xml:space="preserve">None of the intervention </w:t>
      </w:r>
      <w:r w:rsidR="00A3338A">
        <w:t>website</w:t>
      </w:r>
      <w:r w:rsidR="007F0B28" w:rsidRPr="00CF1100">
        <w:t>s have content directed to children younger than age 13.</w:t>
      </w:r>
      <w:r w:rsidR="00F51AAD">
        <w:t xml:space="preserve"> </w:t>
      </w:r>
      <w:r w:rsidR="007F0B28">
        <w:t>In addition, t</w:t>
      </w:r>
      <w:r w:rsidR="007F0B28" w:rsidRPr="00CF1100">
        <w:t xml:space="preserve">he </w:t>
      </w:r>
      <w:r w:rsidR="008E3638">
        <w:t>Web</w:t>
      </w:r>
      <w:r w:rsidR="00F14AB4">
        <w:t>-based</w:t>
      </w:r>
      <w:r w:rsidR="007F0B28" w:rsidRPr="00CF1100">
        <w:t xml:space="preserve"> version of the follow-up survey will only be accessible to participants of the study.</w:t>
      </w:r>
      <w:r w:rsidR="00F51AAD">
        <w:t xml:space="preserve"> </w:t>
      </w:r>
    </w:p>
    <w:p w:rsidR="008631C8" w:rsidRDefault="007F0B28" w:rsidP="008631C8">
      <w:pPr>
        <w:pStyle w:val="Heading2"/>
      </w:pPr>
      <w:bookmarkStart w:id="25" w:name="_Toc143058437"/>
      <w:bookmarkStart w:id="26" w:name="_Toc146088435"/>
      <w:bookmarkStart w:id="27" w:name="_Toc260215288"/>
      <w:bookmarkStart w:id="28" w:name="_Toc296586361"/>
      <w:bookmarkStart w:id="29" w:name="_Toc297131677"/>
      <w:r w:rsidRPr="00CF1100">
        <w:t>A.2</w:t>
      </w:r>
      <w:r w:rsidRPr="00CF1100">
        <w:tab/>
        <w:t>Purpose and Use of the Information Collection</w:t>
      </w:r>
      <w:bookmarkEnd w:id="25"/>
      <w:bookmarkEnd w:id="26"/>
      <w:bookmarkEnd w:id="27"/>
      <w:bookmarkEnd w:id="28"/>
      <w:bookmarkEnd w:id="29"/>
      <w:r w:rsidRPr="00CF1100">
        <w:t xml:space="preserve"> </w:t>
      </w:r>
    </w:p>
    <w:p w:rsidR="001748F6" w:rsidRPr="001748F6" w:rsidRDefault="001748F6" w:rsidP="001748F6">
      <w:pPr>
        <w:spacing w:after="120" w:line="360" w:lineRule="auto"/>
        <w:ind w:firstLine="720"/>
        <w:rPr>
          <w:szCs w:val="20"/>
        </w:rPr>
      </w:pPr>
      <w:r w:rsidRPr="001748F6">
        <w:rPr>
          <w:szCs w:val="20"/>
        </w:rPr>
        <w:t>Collectively, these i</w:t>
      </w:r>
      <w:r w:rsidR="00AF6D1B">
        <w:rPr>
          <w:szCs w:val="20"/>
        </w:rPr>
        <w:t>nterventions support the smoking</w:t>
      </w:r>
      <w:r w:rsidRPr="001748F6">
        <w:rPr>
          <w:szCs w:val="20"/>
        </w:rPr>
        <w:t xml:space="preserve"> cessation goals of multiple agencies under the US Department of Health and Human Service</w:t>
      </w:r>
      <w:r>
        <w:rPr>
          <w:szCs w:val="20"/>
        </w:rPr>
        <w:t>s, including the National Instit</w:t>
      </w:r>
      <w:r w:rsidRPr="001748F6">
        <w:rPr>
          <w:szCs w:val="20"/>
        </w:rPr>
        <w:t xml:space="preserve">utes of Health </w:t>
      </w:r>
      <w:r>
        <w:rPr>
          <w:szCs w:val="20"/>
        </w:rPr>
        <w:t xml:space="preserve">and </w:t>
      </w:r>
      <w:r w:rsidRPr="001748F6">
        <w:rPr>
          <w:szCs w:val="20"/>
        </w:rPr>
        <w:t xml:space="preserve">CDC </w:t>
      </w:r>
      <w:r>
        <w:rPr>
          <w:szCs w:val="20"/>
        </w:rPr>
        <w:t xml:space="preserve">with its </w:t>
      </w:r>
      <w:r w:rsidRPr="001748F6">
        <w:rPr>
          <w:szCs w:val="20"/>
        </w:rPr>
        <w:t>Winnable Battle goal of decreasing</w:t>
      </w:r>
      <w:r w:rsidR="00AF6D1B">
        <w:rPr>
          <w:szCs w:val="20"/>
        </w:rPr>
        <w:t xml:space="preserve"> overall</w:t>
      </w:r>
      <w:r w:rsidRPr="001748F6">
        <w:rPr>
          <w:szCs w:val="20"/>
        </w:rPr>
        <w:t xml:space="preserve"> tobacco</w:t>
      </w:r>
      <w:r w:rsidR="00AF6D1B">
        <w:rPr>
          <w:szCs w:val="20"/>
        </w:rPr>
        <w:t xml:space="preserve"> use</w:t>
      </w:r>
      <w:r w:rsidRPr="001748F6">
        <w:rPr>
          <w:szCs w:val="20"/>
        </w:rPr>
        <w:t>. These interventions also address the National Comprehensive Cancer Control Program’s goal of emphasizing the primary prevention of cancer.</w:t>
      </w:r>
    </w:p>
    <w:p w:rsidR="007F0B28" w:rsidRDefault="007F0B28" w:rsidP="009D0976">
      <w:pPr>
        <w:pStyle w:val="Heading3"/>
      </w:pPr>
      <w:bookmarkStart w:id="30" w:name="_Toc296586362"/>
      <w:bookmarkStart w:id="31" w:name="_Toc297131678"/>
      <w:r w:rsidRPr="00EE0B5D">
        <w:t xml:space="preserve">Quitline Promotional Activities </w:t>
      </w:r>
      <w:r w:rsidR="001E7609">
        <w:t>Component</w:t>
      </w:r>
      <w:bookmarkEnd w:id="30"/>
      <w:bookmarkEnd w:id="31"/>
    </w:p>
    <w:p w:rsidR="007F0B28" w:rsidRDefault="007F0B28" w:rsidP="00055F70">
      <w:pPr>
        <w:pStyle w:val="bodytext0"/>
        <w:rPr>
          <w:b/>
          <w:i/>
        </w:rPr>
      </w:pPr>
      <w:r>
        <w:t xml:space="preserve">The purpose of the Quitline Promotional Activities </w:t>
      </w:r>
      <w:r w:rsidR="00652F7E">
        <w:t xml:space="preserve">component </w:t>
      </w:r>
      <w:r>
        <w:t>is to compare and contrast the impact of traditional efforts (</w:t>
      </w:r>
      <w:r w:rsidR="00560D87">
        <w:t>e.g.</w:t>
      </w:r>
      <w:r w:rsidR="00076767">
        <w:t xml:space="preserve">, </w:t>
      </w:r>
      <w:r>
        <w:t>television, radio, print advertising) versus new, innovative efforts (</w:t>
      </w:r>
      <w:r w:rsidR="00560D87">
        <w:t>e.g.</w:t>
      </w:r>
      <w:r w:rsidR="00076767">
        <w:t xml:space="preserve">, </w:t>
      </w:r>
      <w:r>
        <w:t xml:space="preserve">online banner ads, social media presence, </w:t>
      </w:r>
      <w:r w:rsidR="00756368">
        <w:t>w</w:t>
      </w:r>
      <w:r w:rsidR="00A3338A">
        <w:t>ebsite</w:t>
      </w:r>
      <w:r>
        <w:t xml:space="preserve">s, mobile phone applications) in promoting </w:t>
      </w:r>
      <w:proofErr w:type="spellStart"/>
      <w:r>
        <w:t>quitlines</w:t>
      </w:r>
      <w:proofErr w:type="spellEnd"/>
      <w:r>
        <w:t>.</w:t>
      </w:r>
      <w:r w:rsidR="00F51AAD">
        <w:t xml:space="preserve"> </w:t>
      </w:r>
      <w:r w:rsidR="00D06037">
        <w:t xml:space="preserve">This comprehensive review will provide federal, state, city, and local </w:t>
      </w:r>
      <w:r w:rsidR="00D06037">
        <w:lastRenderedPageBreak/>
        <w:t>tobacco control programs with information regarding the variety of promotional programs currently in use, their anticipated target populations, and the impact of intervention</w:t>
      </w:r>
      <w:r w:rsidR="00203EBA">
        <w:t>s</w:t>
      </w:r>
      <w:r w:rsidR="00D06037">
        <w:t xml:space="preserve"> on cessation program recruitment. </w:t>
      </w:r>
      <w:r w:rsidR="00D20B3D">
        <w:t>Investigators</w:t>
      </w:r>
      <w:r>
        <w:t xml:space="preserve"> will identify the types of promotional efforts being implemented by </w:t>
      </w:r>
      <w:r w:rsidR="00434D88">
        <w:t>TCPs;</w:t>
      </w:r>
      <w:r>
        <w:t xml:space="preserve"> assess their reach and utilization, as well as their impact on quitline call volume (</w:t>
      </w:r>
      <w:r w:rsidR="00560D87">
        <w:t>e.g.</w:t>
      </w:r>
      <w:r w:rsidR="00076767">
        <w:t xml:space="preserve">, </w:t>
      </w:r>
      <w:r>
        <w:t>intensity of call volume and caller characteristics).</w:t>
      </w:r>
    </w:p>
    <w:p w:rsidR="007F0B28" w:rsidRDefault="007F0B28" w:rsidP="009D0976">
      <w:pPr>
        <w:pStyle w:val="Heading3"/>
      </w:pPr>
      <w:bookmarkStart w:id="32" w:name="_Toc296586363"/>
      <w:bookmarkStart w:id="33" w:name="_Toc297131679"/>
      <w:r>
        <w:t xml:space="preserve">Cessation Intervention </w:t>
      </w:r>
      <w:r w:rsidR="001E7609">
        <w:t>Component</w:t>
      </w:r>
      <w:bookmarkEnd w:id="32"/>
      <w:bookmarkEnd w:id="33"/>
    </w:p>
    <w:p w:rsidR="00652F7E" w:rsidRDefault="007F0B28" w:rsidP="00A76EE1">
      <w:pPr>
        <w:pStyle w:val="bodytext0"/>
      </w:pPr>
      <w:r w:rsidRPr="00CF1100">
        <w:t>The purpose of th</w:t>
      </w:r>
      <w:r w:rsidR="001748F6">
        <w:t>e Cessation Intervention</w:t>
      </w:r>
      <w:r w:rsidRPr="00CF1100">
        <w:t xml:space="preserve"> </w:t>
      </w:r>
      <w:r w:rsidR="00863CA3">
        <w:t>component</w:t>
      </w:r>
      <w:r w:rsidR="00863CA3" w:rsidRPr="00CF1100">
        <w:t xml:space="preserve"> </w:t>
      </w:r>
      <w:r w:rsidRPr="00CF1100">
        <w:t xml:space="preserve">is to </w:t>
      </w:r>
      <w:r w:rsidR="00AF6D1B">
        <w:t xml:space="preserve">describe the utilization and </w:t>
      </w:r>
      <w:r w:rsidR="00A76EE1">
        <w:t>comparative</w:t>
      </w:r>
      <w:r w:rsidRPr="00CF1100">
        <w:t xml:space="preserve"> effectiveness of traditional </w:t>
      </w:r>
      <w:r w:rsidR="00F14AB4">
        <w:t>telephone-based</w:t>
      </w:r>
      <w:r w:rsidRPr="00CF1100">
        <w:t xml:space="preserve"> counseling to </w:t>
      </w:r>
      <w:r w:rsidR="008E3638">
        <w:t>Web</w:t>
      </w:r>
      <w:r w:rsidR="00F14AB4">
        <w:t>-based</w:t>
      </w:r>
      <w:r w:rsidRPr="00CF1100">
        <w:t xml:space="preserve"> interventions in improving smoking quit rates.</w:t>
      </w:r>
      <w:r w:rsidR="008D0B16">
        <w:t xml:space="preserve"> </w:t>
      </w:r>
      <w:r w:rsidR="00203EBA">
        <w:t>The results of this study will provide state TCPs</w:t>
      </w:r>
      <w:r w:rsidR="00756368">
        <w:t>,</w:t>
      </w:r>
      <w:r w:rsidR="00B13D88">
        <w:t xml:space="preserve"> </w:t>
      </w:r>
      <w:proofErr w:type="gramStart"/>
      <w:r w:rsidR="00756368">
        <w:t>CCCs</w:t>
      </w:r>
      <w:r w:rsidR="00203EBA">
        <w:t xml:space="preserve"> ,</w:t>
      </w:r>
      <w:proofErr w:type="gramEnd"/>
      <w:r w:rsidR="00203EBA">
        <w:t xml:space="preserve"> CDC, and other agencies with an evidence basis</w:t>
      </w:r>
      <w:r w:rsidR="00AF6D1B">
        <w:t xml:space="preserve"> to inform</w:t>
      </w:r>
      <w:r w:rsidR="00203EBA">
        <w:t xml:space="preserve"> administrative, policy, and funding decisions. This will help these programs collectively improve </w:t>
      </w:r>
      <w:r w:rsidR="00AF6D1B">
        <w:t>smoking</w:t>
      </w:r>
      <w:r w:rsidR="00203EBA">
        <w:t xml:space="preserve"> cessation rates and </w:t>
      </w:r>
      <w:r w:rsidR="00203EBA" w:rsidRPr="00CF1100">
        <w:t xml:space="preserve">reduce </w:t>
      </w:r>
      <w:r w:rsidR="00203EBA">
        <w:t>tobacco-related</w:t>
      </w:r>
      <w:r w:rsidR="00203EBA" w:rsidRPr="00CF1100">
        <w:t xml:space="preserve"> morbidity and mortality by supporting effective programs aimed at increasing smoking cessation.</w:t>
      </w:r>
      <w:r w:rsidR="00A76EE1">
        <w:t xml:space="preserve"> </w:t>
      </w:r>
      <w:r w:rsidRPr="00CF1100">
        <w:t xml:space="preserve">The primary outcome of interest </w:t>
      </w:r>
      <w:r w:rsidR="00D20B3D">
        <w:t xml:space="preserve">for this component </w:t>
      </w:r>
      <w:r w:rsidRPr="00CF1100">
        <w:t>will be 30-day point prevalence at 7-month follow-up</w:t>
      </w:r>
      <w:r w:rsidR="00C87A19">
        <w:t xml:space="preserve"> </w:t>
      </w:r>
      <w:r w:rsidR="002A2556">
        <w:t xml:space="preserve">that complies with the recommended length of follow-up for the MDS and </w:t>
      </w:r>
      <w:r w:rsidR="00756368">
        <w:t>approximate</w:t>
      </w:r>
      <w:r w:rsidR="00A76EE1">
        <w:t xml:space="preserve">s </w:t>
      </w:r>
      <w:r w:rsidR="002A2556">
        <w:t>the Society for Research on Nicotine and Tobacco (SRNT) workgroup recom</w:t>
      </w:r>
      <w:r w:rsidR="00756368">
        <w:t>m</w:t>
      </w:r>
      <w:r w:rsidR="002A2556">
        <w:t>endations (NAQC 2009b)</w:t>
      </w:r>
      <w:r w:rsidR="00D85CCB">
        <w:t>.</w:t>
      </w:r>
      <w:r w:rsidR="002A2556">
        <w:t xml:space="preserve"> </w:t>
      </w:r>
    </w:p>
    <w:p w:rsidR="007F0B28" w:rsidRDefault="005C08A8" w:rsidP="00754198">
      <w:pPr>
        <w:pStyle w:val="bodytext0"/>
      </w:pPr>
      <w:r>
        <w:t>Investigators</w:t>
      </w:r>
      <w:r w:rsidR="007F0B28" w:rsidRPr="00754198">
        <w:t xml:space="preserve"> will disseminate results through a variety of strategies, including</w:t>
      </w:r>
      <w:r w:rsidR="00754198">
        <w:t xml:space="preserve"> </w:t>
      </w:r>
      <w:r w:rsidR="007F0B28" w:rsidRPr="00754198">
        <w:t>(1) conference presentations,</w:t>
      </w:r>
      <w:r w:rsidR="00754198">
        <w:t xml:space="preserve"> </w:t>
      </w:r>
      <w:r w:rsidR="007F0B28" w:rsidRPr="00754198">
        <w:t>(2) final evaluation reports, (3) peer-reviewed journal articles, and (4) meetings with key stakeholder groups</w:t>
      </w:r>
      <w:r w:rsidR="00D85CCB">
        <w:t>.</w:t>
      </w:r>
    </w:p>
    <w:p w:rsidR="00DB23F9" w:rsidRDefault="00DB23F9" w:rsidP="00DB23F9">
      <w:pPr>
        <w:pStyle w:val="Heading3"/>
      </w:pPr>
      <w:bookmarkStart w:id="34" w:name="_Toc296586364"/>
      <w:bookmarkStart w:id="35" w:name="_Toc297131680"/>
      <w:r w:rsidRPr="00CF1100">
        <w:t>Privacy Impact Assessment</w:t>
      </w:r>
      <w:r w:rsidR="00C432D5">
        <w:t xml:space="preserve"> Information</w:t>
      </w:r>
      <w:bookmarkEnd w:id="34"/>
      <w:bookmarkEnd w:id="35"/>
    </w:p>
    <w:p w:rsidR="00DB23F9" w:rsidRDefault="00DB23F9" w:rsidP="00DB23F9">
      <w:pPr>
        <w:spacing w:after="120" w:line="360" w:lineRule="auto"/>
        <w:ind w:firstLine="720"/>
        <w:rPr>
          <w:szCs w:val="20"/>
        </w:rPr>
      </w:pPr>
      <w:r w:rsidRPr="00581392">
        <w:rPr>
          <w:szCs w:val="20"/>
        </w:rPr>
        <w:t xml:space="preserve">The proposed study components will entail collection of data from multiple sources, some of which will be individuals and will require the </w:t>
      </w:r>
      <w:r>
        <w:rPr>
          <w:szCs w:val="20"/>
        </w:rPr>
        <w:t xml:space="preserve">collection and temporary retention of individually identifiable information for the purposes of obtaining follow-up information. </w:t>
      </w:r>
      <w:r w:rsidRPr="00DA72F3">
        <w:rPr>
          <w:szCs w:val="20"/>
        </w:rPr>
        <w:t xml:space="preserve">All identifying information will be </w:t>
      </w:r>
      <w:r>
        <w:rPr>
          <w:szCs w:val="20"/>
        </w:rPr>
        <w:t>stored securely and destroyed</w:t>
      </w:r>
      <w:r w:rsidRPr="00DA72F3">
        <w:rPr>
          <w:szCs w:val="20"/>
        </w:rPr>
        <w:t xml:space="preserve"> upon completion of data collection.</w:t>
      </w:r>
    </w:p>
    <w:p w:rsidR="00DB23F9" w:rsidRPr="009D0976" w:rsidRDefault="00DB23F9" w:rsidP="00DB23F9">
      <w:pPr>
        <w:pStyle w:val="Heading4"/>
      </w:pPr>
      <w:r w:rsidRPr="00DE0AE6">
        <w:t xml:space="preserve">Quitline Promotional Activities </w:t>
      </w:r>
      <w:r>
        <w:t>Component</w:t>
      </w:r>
    </w:p>
    <w:p w:rsidR="00DB23F9" w:rsidRDefault="00DB23F9" w:rsidP="00DB23F9">
      <w:pPr>
        <w:spacing w:after="120" w:line="360" w:lineRule="auto"/>
        <w:ind w:firstLine="720"/>
        <w:rPr>
          <w:szCs w:val="20"/>
        </w:rPr>
      </w:pPr>
      <w:r>
        <w:rPr>
          <w:szCs w:val="20"/>
        </w:rPr>
        <w:t xml:space="preserve">Respondents to this component will be state TCPs and their vendors, not individuals. </w:t>
      </w:r>
      <w:r w:rsidRPr="00DA72F3">
        <w:rPr>
          <w:szCs w:val="20"/>
        </w:rPr>
        <w:t xml:space="preserve">Respondents are acting in their capacity as an employee of the </w:t>
      </w:r>
      <w:r>
        <w:rPr>
          <w:szCs w:val="20"/>
        </w:rPr>
        <w:t>TCP or vendor</w:t>
      </w:r>
      <w:r w:rsidRPr="00DA72F3">
        <w:rPr>
          <w:szCs w:val="20"/>
        </w:rPr>
        <w:t xml:space="preserve"> and they are not requested to pro</w:t>
      </w:r>
      <w:r>
        <w:rPr>
          <w:szCs w:val="20"/>
        </w:rPr>
        <w:t xml:space="preserve">vide any personal information. </w:t>
      </w:r>
      <w:r w:rsidR="005C08A8">
        <w:rPr>
          <w:szCs w:val="20"/>
        </w:rPr>
        <w:t>Investigators</w:t>
      </w:r>
      <w:r>
        <w:rPr>
          <w:szCs w:val="20"/>
        </w:rPr>
        <w:t xml:space="preserve"> will </w:t>
      </w:r>
      <w:r w:rsidRPr="00DA72F3">
        <w:rPr>
          <w:szCs w:val="20"/>
        </w:rPr>
        <w:t xml:space="preserve">collect the name and contact information of the </w:t>
      </w:r>
      <w:r>
        <w:rPr>
          <w:szCs w:val="20"/>
        </w:rPr>
        <w:t>TCP representative</w:t>
      </w:r>
      <w:r w:rsidRPr="00DA72F3">
        <w:rPr>
          <w:szCs w:val="20"/>
        </w:rPr>
        <w:t xml:space="preserve"> to w</w:t>
      </w:r>
      <w:r>
        <w:rPr>
          <w:szCs w:val="20"/>
        </w:rPr>
        <w:t xml:space="preserve">hom the survey will be mailed </w:t>
      </w:r>
      <w:r w:rsidRPr="00DA72F3">
        <w:rPr>
          <w:szCs w:val="20"/>
        </w:rPr>
        <w:t xml:space="preserve">so that </w:t>
      </w:r>
      <w:r>
        <w:rPr>
          <w:szCs w:val="20"/>
        </w:rPr>
        <w:t>RTI</w:t>
      </w:r>
      <w:r w:rsidRPr="00DA72F3">
        <w:rPr>
          <w:szCs w:val="20"/>
        </w:rPr>
        <w:t xml:space="preserve"> can follow </w:t>
      </w:r>
      <w:r w:rsidRPr="00DA72F3">
        <w:rPr>
          <w:szCs w:val="20"/>
        </w:rPr>
        <w:lastRenderedPageBreak/>
        <w:t>up with non-respondents.</w:t>
      </w:r>
      <w:r>
        <w:rPr>
          <w:szCs w:val="20"/>
        </w:rPr>
        <w:t xml:space="preserve"> This will be the only individually identifiable information collected for this study component.</w:t>
      </w:r>
    </w:p>
    <w:p w:rsidR="00DB23F9" w:rsidRDefault="00DB23F9" w:rsidP="00DB23F9">
      <w:pPr>
        <w:pStyle w:val="Heading4"/>
      </w:pPr>
      <w:r w:rsidRPr="00DA72F3">
        <w:rPr>
          <w:szCs w:val="20"/>
        </w:rPr>
        <w:t xml:space="preserve"> </w:t>
      </w:r>
      <w:r>
        <w:t>Cessation Intervention Component</w:t>
      </w:r>
    </w:p>
    <w:p w:rsidR="00DB23F9" w:rsidRPr="00B45E77" w:rsidRDefault="00DB23F9" w:rsidP="00B45E77">
      <w:pPr>
        <w:pStyle w:val="bodytext0"/>
      </w:pPr>
      <w:r>
        <w:t xml:space="preserve">Respondents to this component will be individuals participating in telephone or Web-based cessation programs. While most of the intake and </w:t>
      </w:r>
      <w:r w:rsidR="00D20B3D">
        <w:t xml:space="preserve">a random sample </w:t>
      </w:r>
      <w:r>
        <w:t xml:space="preserve">of the 7-month follow-up information needed to meet the goals of this study is already collected (and linked to each other) by state TCPs, some of the follow-up information may not be collected to the extent required to meet the study goals. In instances where follow-up information is not collected in a sufficient manner, </w:t>
      </w:r>
      <w:r w:rsidR="00DC51E1">
        <w:t>investigators</w:t>
      </w:r>
      <w:r>
        <w:t xml:space="preserve"> </w:t>
      </w:r>
      <w:r w:rsidR="00D20B3D">
        <w:t xml:space="preserve">will </w:t>
      </w:r>
      <w:r>
        <w:t xml:space="preserve">need to undertake follow-up data collection with individuals identified by their intake information. This identifiable information will be </w:t>
      </w:r>
      <w:r w:rsidR="00D20B3D">
        <w:t xml:space="preserve">securely stored and </w:t>
      </w:r>
      <w:r>
        <w:t>maintained using technical, physical, and administrative controls already in-place. During intake, potential candidates will be informed of the nature and intent of this study and administered a standard informed consent that includes their willingness to be re-contacted in 7-months to collect follow-up information. This procedure will ensure that participants are fully aware that descriptive information given in the intake will be used to guide follow-up and minimize any perceived impact on the privacy of the individual.</w:t>
      </w:r>
    </w:p>
    <w:p w:rsidR="007F0B28" w:rsidRDefault="007F0B28" w:rsidP="009D0976">
      <w:pPr>
        <w:pStyle w:val="Heading2"/>
      </w:pPr>
      <w:bookmarkStart w:id="36" w:name="_Toc143058438"/>
      <w:bookmarkStart w:id="37" w:name="_Toc146088436"/>
      <w:bookmarkStart w:id="38" w:name="_Toc260215290"/>
      <w:bookmarkStart w:id="39" w:name="_Toc296586365"/>
      <w:bookmarkStart w:id="40" w:name="_Toc297131681"/>
      <w:r w:rsidRPr="00CF1100">
        <w:t>A.3</w:t>
      </w:r>
      <w:r w:rsidRPr="00CF1100">
        <w:tab/>
        <w:t>Use of Improved Information Technology and Burden Reduction</w:t>
      </w:r>
      <w:bookmarkEnd w:id="36"/>
      <w:bookmarkEnd w:id="37"/>
      <w:bookmarkEnd w:id="38"/>
      <w:bookmarkEnd w:id="39"/>
      <w:bookmarkEnd w:id="40"/>
      <w:r w:rsidRPr="00CF1100">
        <w:t xml:space="preserve"> </w:t>
      </w:r>
    </w:p>
    <w:p w:rsidR="007F0B28" w:rsidRDefault="007F0B28" w:rsidP="009D0976">
      <w:pPr>
        <w:pStyle w:val="Heading3"/>
      </w:pPr>
      <w:bookmarkStart w:id="41" w:name="_Toc296586366"/>
      <w:bookmarkStart w:id="42" w:name="_Toc297131682"/>
      <w:r w:rsidRPr="00EE0B5D">
        <w:t xml:space="preserve">Quitline Promotional Activities </w:t>
      </w:r>
      <w:r w:rsidR="001E7609">
        <w:t>Component</w:t>
      </w:r>
      <w:bookmarkEnd w:id="41"/>
      <w:bookmarkEnd w:id="42"/>
    </w:p>
    <w:p w:rsidR="007F0B28" w:rsidRPr="00EE0B5D" w:rsidRDefault="007F0B28" w:rsidP="00B769F2">
      <w:pPr>
        <w:pStyle w:val="bodytext0"/>
      </w:pPr>
      <w:r>
        <w:t xml:space="preserve">All data for the Quitline Promotional Activities </w:t>
      </w:r>
      <w:r w:rsidR="00CC265A">
        <w:t>Component</w:t>
      </w:r>
      <w:r>
        <w:t xml:space="preserve"> will be </w:t>
      </w:r>
      <w:r w:rsidR="00BB3962">
        <w:t>compiled</w:t>
      </w:r>
      <w:r w:rsidR="00D958DE">
        <w:t xml:space="preserve"> </w:t>
      </w:r>
      <w:r>
        <w:t>from existing resources.</w:t>
      </w:r>
      <w:r w:rsidR="00F51AAD">
        <w:t xml:space="preserve"> </w:t>
      </w:r>
      <w:r w:rsidR="005C08A8">
        <w:t>Investigators</w:t>
      </w:r>
      <w:r>
        <w:t xml:space="preserve"> will work with the TCPs and/or their contractors (</w:t>
      </w:r>
      <w:r w:rsidR="00560D87">
        <w:t>e.g.</w:t>
      </w:r>
      <w:r w:rsidR="00076767">
        <w:t xml:space="preserve">, </w:t>
      </w:r>
      <w:r>
        <w:t xml:space="preserve">media vendors and service </w:t>
      </w:r>
      <w:r w:rsidR="00F51AAD">
        <w:t>providers</w:t>
      </w:r>
      <w:r>
        <w:t>) to establish the most efficient mechanisms for data sharing.</w:t>
      </w:r>
      <w:r w:rsidR="00F51AAD">
        <w:t xml:space="preserve"> </w:t>
      </w:r>
      <w:r>
        <w:t xml:space="preserve">In most cases, automated reports can be </w:t>
      </w:r>
      <w:r w:rsidR="00BB3962">
        <w:t>set up through Googl</w:t>
      </w:r>
      <w:r w:rsidR="00ED696C">
        <w:t>e Analytics (or other W</w:t>
      </w:r>
      <w:r w:rsidR="00BB3962">
        <w:t>eb analytic platform) and programmed to be e-mailed to the investigators at regular intervals</w:t>
      </w:r>
      <w:r>
        <w:t xml:space="preserve"> or TCPs will </w:t>
      </w:r>
      <w:r w:rsidR="00702D6B">
        <w:t xml:space="preserve">forward </w:t>
      </w:r>
      <w:r>
        <w:t xml:space="preserve">reports </w:t>
      </w:r>
      <w:r w:rsidR="00D85CCB">
        <w:t xml:space="preserve">to </w:t>
      </w:r>
      <w:r w:rsidR="005C08A8">
        <w:t>investigators</w:t>
      </w:r>
      <w:r w:rsidR="00D85CCB">
        <w:t xml:space="preserve"> </w:t>
      </w:r>
      <w:r>
        <w:t>that have already been compiled by their vendors as part of their contractual services.</w:t>
      </w:r>
      <w:r w:rsidR="00F51AAD">
        <w:t xml:space="preserve"> </w:t>
      </w:r>
      <w:r w:rsidR="00BB3962">
        <w:t>All reports or data files can be shared with the investigators in their current format</w:t>
      </w:r>
      <w:r w:rsidR="006E25C1">
        <w:t>,</w:t>
      </w:r>
      <w:r w:rsidR="00BB3962">
        <w:t xml:space="preserve"> typically PDF or Excel files for media plac</w:t>
      </w:r>
      <w:r w:rsidR="00ED696C">
        <w:t>ement reports or CSV files for W</w:t>
      </w:r>
      <w:r w:rsidR="00BB3962">
        <w:t>eb analytic and social media data.</w:t>
      </w:r>
      <w:r w:rsidR="00F51AAD">
        <w:t xml:space="preserve"> </w:t>
      </w:r>
    </w:p>
    <w:p w:rsidR="007F0B28" w:rsidRDefault="007F0B28" w:rsidP="009D0976">
      <w:pPr>
        <w:pStyle w:val="Heading3"/>
      </w:pPr>
      <w:bookmarkStart w:id="43" w:name="_Toc296586367"/>
      <w:bookmarkStart w:id="44" w:name="_Toc297131683"/>
      <w:r>
        <w:lastRenderedPageBreak/>
        <w:t xml:space="preserve">Cessation Intervention </w:t>
      </w:r>
      <w:r w:rsidR="001E7609">
        <w:t>Component</w:t>
      </w:r>
      <w:bookmarkEnd w:id="43"/>
      <w:bookmarkEnd w:id="44"/>
    </w:p>
    <w:p w:rsidR="00592720" w:rsidRDefault="00D96582" w:rsidP="00754198">
      <w:pPr>
        <w:pStyle w:val="bodytext0"/>
      </w:pPr>
      <w:r>
        <w:t>All intake data will be obtained from existing datasets</w:t>
      </w:r>
      <w:r w:rsidR="00A3338A">
        <w:t xml:space="preserve">. </w:t>
      </w:r>
      <w:r w:rsidR="007F0B28" w:rsidRPr="00CF1100">
        <w:t xml:space="preserve">For participants in the </w:t>
      </w:r>
      <w:r w:rsidR="00F51AAD">
        <w:t>“</w:t>
      </w:r>
      <w:r w:rsidR="007F0B28" w:rsidRPr="00CF1100">
        <w:t>phone only</w:t>
      </w:r>
      <w:r w:rsidR="00F51AAD">
        <w:t>”</w:t>
      </w:r>
      <w:r w:rsidR="007F0B28" w:rsidRPr="00CF1100">
        <w:t xml:space="preserve"> study arm, the intake questionnaire primar</w:t>
      </w:r>
      <w:r w:rsidR="007F0B28">
        <w:t xml:space="preserve">ily will be administered </w:t>
      </w:r>
      <w:r>
        <w:t xml:space="preserve">by state TCP quitline vendors </w:t>
      </w:r>
      <w:r w:rsidR="007F0B28">
        <w:t xml:space="preserve">using </w:t>
      </w:r>
      <w:r w:rsidR="002A2556">
        <w:t>Computer A</w:t>
      </w:r>
      <w:r w:rsidR="004D5E3B">
        <w:t xml:space="preserve">ssisted </w:t>
      </w:r>
      <w:r w:rsidR="002A2556">
        <w:t>Telephone I</w:t>
      </w:r>
      <w:r w:rsidR="004D5E3B">
        <w:t>nterviews (</w:t>
      </w:r>
      <w:r w:rsidR="007F0B28" w:rsidRPr="00CF1100">
        <w:t>CATI</w:t>
      </w:r>
      <w:r w:rsidR="004D5E3B">
        <w:t>)</w:t>
      </w:r>
      <w:r w:rsidR="00756368">
        <w:t>.</w:t>
      </w:r>
      <w:r w:rsidR="007F0B28" w:rsidRPr="00CF1100">
        <w:t xml:space="preserve"> </w:t>
      </w:r>
      <w:r w:rsidR="00702D6B">
        <w:t>H</w:t>
      </w:r>
      <w:r w:rsidR="007F0B28" w:rsidRPr="00CF1100">
        <w:t xml:space="preserve">owever, an increasing number of states are implementing online referral and intake data collection for their </w:t>
      </w:r>
      <w:proofErr w:type="spellStart"/>
      <w:r w:rsidR="007F0B28" w:rsidRPr="00CF1100">
        <w:t>quitlines</w:t>
      </w:r>
      <w:proofErr w:type="spellEnd"/>
      <w:r w:rsidR="002250FD">
        <w:t xml:space="preserve"> </w:t>
      </w:r>
      <w:r w:rsidR="003A3880">
        <w:t>that collect measures similar to the MDS collected via telephone (NAQC, 2011)</w:t>
      </w:r>
      <w:r w:rsidR="007F0B28" w:rsidRPr="00CF1100">
        <w:t>.</w:t>
      </w:r>
      <w:r w:rsidR="00F51AAD">
        <w:t xml:space="preserve"> </w:t>
      </w:r>
      <w:r w:rsidR="000672D2">
        <w:t xml:space="preserve">CATI and </w:t>
      </w:r>
      <w:r w:rsidR="003A3880">
        <w:t>W</w:t>
      </w:r>
      <w:r w:rsidR="000672D2">
        <w:t>eb-based data collection have been shown to improve accuracy of data collection, as well as interviewer and respondent burden</w:t>
      </w:r>
      <w:r w:rsidR="002A2556">
        <w:t xml:space="preserve"> (Groves</w:t>
      </w:r>
      <w:r w:rsidR="00FE1159">
        <w:t xml:space="preserve"> et al.</w:t>
      </w:r>
      <w:r w:rsidR="002A2556">
        <w:t>, 2009)</w:t>
      </w:r>
      <w:r w:rsidR="00A3338A">
        <w:t xml:space="preserve">. </w:t>
      </w:r>
      <w:r w:rsidR="007F0B28" w:rsidRPr="00CF1100">
        <w:t xml:space="preserve">Participants in the </w:t>
      </w:r>
      <w:r w:rsidR="00F51AAD">
        <w:t>“</w:t>
      </w:r>
      <w:r w:rsidR="00754198">
        <w:t>W</w:t>
      </w:r>
      <w:r w:rsidR="007F0B28" w:rsidRPr="00CF1100">
        <w:t>eb</w:t>
      </w:r>
      <w:r w:rsidR="00756368">
        <w:t>-</w:t>
      </w:r>
      <w:r w:rsidR="007F0B28" w:rsidRPr="00CF1100">
        <w:t>only</w:t>
      </w:r>
      <w:r w:rsidR="00F51AAD">
        <w:t>”</w:t>
      </w:r>
      <w:r w:rsidR="007F0B28" w:rsidRPr="00CF1100">
        <w:t xml:space="preserve"> study arm will complete an online intake questionnaire when they enroll in the </w:t>
      </w:r>
      <w:r w:rsidR="008E3638">
        <w:t>Web</w:t>
      </w:r>
      <w:r w:rsidR="00F14AB4">
        <w:t>-based</w:t>
      </w:r>
      <w:r w:rsidR="007F0B28" w:rsidRPr="00CF1100">
        <w:t xml:space="preserve"> intervention.</w:t>
      </w:r>
      <w:r w:rsidR="00F51AAD">
        <w:t xml:space="preserve"> </w:t>
      </w:r>
      <w:r w:rsidR="007F0B28" w:rsidRPr="00CF1100">
        <w:t xml:space="preserve">All online data collection will be self-administered on </w:t>
      </w:r>
      <w:r w:rsidR="004D5E3B">
        <w:t xml:space="preserve">the participants’ </w:t>
      </w:r>
      <w:r w:rsidR="007F0B28" w:rsidRPr="00CF1100">
        <w:t>personal computers.</w:t>
      </w:r>
      <w:r w:rsidR="00F51AAD">
        <w:t xml:space="preserve"> </w:t>
      </w:r>
    </w:p>
    <w:p w:rsidR="00203EBA" w:rsidRPr="00CF1100" w:rsidRDefault="005C08A8" w:rsidP="00203EBA">
      <w:pPr>
        <w:pStyle w:val="bodytext0"/>
      </w:pPr>
      <w:r>
        <w:t>Investigators</w:t>
      </w:r>
      <w:r w:rsidR="00862F08">
        <w:t xml:space="preserve"> will work with TCPs to determine whether already-available information will be sufficient to answer the </w:t>
      </w:r>
      <w:r w:rsidR="00436772">
        <w:t xml:space="preserve">follow-up </w:t>
      </w:r>
      <w:r w:rsidR="00862F08">
        <w:t>study question</w:t>
      </w:r>
      <w:r w:rsidR="00436772">
        <w:t>s</w:t>
      </w:r>
      <w:r w:rsidR="00862F08">
        <w:t>. If additional follow-up data needs to be collected</w:t>
      </w:r>
      <w:r w:rsidR="00F31DD9">
        <w:t xml:space="preserve"> or the </w:t>
      </w:r>
      <w:r w:rsidR="003A3880">
        <w:t>study timeline cannot accommodate the TCPs protocol for follow-up data collection,</w:t>
      </w:r>
      <w:r w:rsidR="00560046">
        <w:t xml:space="preserve"> </w:t>
      </w:r>
      <w:r>
        <w:t>investigators</w:t>
      </w:r>
      <w:r w:rsidR="00862F08">
        <w:t xml:space="preserve"> will work with TCPs to implement a pre-established follow-up procedure that minimizes burden on the TCP or its vendor and ensures smooth transfer of information between </w:t>
      </w:r>
      <w:r>
        <w:t>investigators</w:t>
      </w:r>
      <w:r w:rsidR="00862F08">
        <w:t xml:space="preserve"> and the TCP vendor. </w:t>
      </w:r>
      <w:r w:rsidR="00702D6B">
        <w:t>If needed</w:t>
      </w:r>
      <w:r w:rsidR="00504B73">
        <w:t>,</w:t>
      </w:r>
      <w:r w:rsidR="00702D6B">
        <w:t xml:space="preserve"> this follow-up procedure will</w:t>
      </w:r>
      <w:r w:rsidR="007F0B28" w:rsidRPr="00CF1100">
        <w:t xml:space="preserve"> maximize the potential for the highest follow-up survey response rates</w:t>
      </w:r>
      <w:r w:rsidR="00702D6B">
        <w:t xml:space="preserve"> by allowing </w:t>
      </w:r>
      <w:r w:rsidR="007F0B28" w:rsidRPr="00CF1100">
        <w:t>respondents the option to complete the follow-up survey by either Web or telephone.</w:t>
      </w:r>
      <w:r w:rsidR="00F51AAD">
        <w:t xml:space="preserve"> </w:t>
      </w:r>
      <w:r w:rsidR="007F0B28" w:rsidRPr="00CF1100">
        <w:t xml:space="preserve">Web surveys </w:t>
      </w:r>
      <w:r w:rsidR="00702D6B">
        <w:t xml:space="preserve">will </w:t>
      </w:r>
      <w:r w:rsidR="007F0B28" w:rsidRPr="00CF1100">
        <w:t>allow participants to complete the survey at their convenience with 24</w:t>
      </w:r>
      <w:r w:rsidR="00754198">
        <w:t>-</w:t>
      </w:r>
      <w:r w:rsidR="007F0B28" w:rsidRPr="00CF1100">
        <w:t>hour accessibility and minimize the complexity of survey instructions due to electronically</w:t>
      </w:r>
      <w:r w:rsidR="00702D6B">
        <w:t>-</w:t>
      </w:r>
      <w:r w:rsidR="007F0B28" w:rsidRPr="00CF1100">
        <w:t>programmed skip patterns.</w:t>
      </w:r>
      <w:r w:rsidR="00F51AAD">
        <w:t xml:space="preserve"> </w:t>
      </w:r>
      <w:r w:rsidR="007F0B28" w:rsidRPr="00CF1100">
        <w:t xml:space="preserve">Thus, </w:t>
      </w:r>
      <w:r w:rsidR="008E3638">
        <w:t>Web</w:t>
      </w:r>
      <w:r w:rsidR="00F14AB4">
        <w:t>-based</w:t>
      </w:r>
      <w:r w:rsidR="007F0B28" w:rsidRPr="00CF1100">
        <w:t xml:space="preserve"> data collection offers flexibility and minimizes respondent burden.</w:t>
      </w:r>
      <w:r w:rsidR="00F51AAD">
        <w:t xml:space="preserve"> </w:t>
      </w:r>
      <w:r w:rsidR="00203EBA" w:rsidRPr="00CF1100">
        <w:t>A copy of the data collection instrument</w:t>
      </w:r>
      <w:r w:rsidR="00203EBA">
        <w:t>s and consent forms are</w:t>
      </w:r>
      <w:r w:rsidR="00203EBA" w:rsidRPr="00CF1100">
        <w:t xml:space="preserve"> </w:t>
      </w:r>
      <w:r w:rsidR="00203EBA" w:rsidRPr="00F14AB4">
        <w:t xml:space="preserve">provided in </w:t>
      </w:r>
      <w:r w:rsidR="00203EBA" w:rsidRPr="002250FD">
        <w:rPr>
          <w:b/>
        </w:rPr>
        <w:t>Appendi</w:t>
      </w:r>
      <w:r w:rsidR="00801ED8">
        <w:rPr>
          <w:b/>
        </w:rPr>
        <w:t>ces 6</w:t>
      </w:r>
      <w:r w:rsidR="00015F85">
        <w:rPr>
          <w:b/>
        </w:rPr>
        <w:t>a, 6b</w:t>
      </w:r>
      <w:r w:rsidR="00801ED8">
        <w:rPr>
          <w:b/>
        </w:rPr>
        <w:t xml:space="preserve"> and 7</w:t>
      </w:r>
      <w:r w:rsidR="00203EBA" w:rsidRPr="0034467B">
        <w:t>.</w:t>
      </w:r>
    </w:p>
    <w:p w:rsidR="007F0B28" w:rsidRDefault="007F0B28" w:rsidP="009D0976">
      <w:pPr>
        <w:pStyle w:val="Heading2"/>
      </w:pPr>
      <w:bookmarkStart w:id="45" w:name="_Toc143058439"/>
      <w:bookmarkStart w:id="46" w:name="_Toc146088437"/>
      <w:bookmarkStart w:id="47" w:name="_Toc260215291"/>
      <w:bookmarkStart w:id="48" w:name="_Toc296586368"/>
      <w:bookmarkStart w:id="49" w:name="_Toc297131684"/>
      <w:r w:rsidRPr="00CF1100">
        <w:t>A.4</w:t>
      </w:r>
      <w:r w:rsidRPr="00CF1100">
        <w:tab/>
        <w:t>Efforts to Identify Duplication and Use of Similar Information</w:t>
      </w:r>
      <w:bookmarkEnd w:id="45"/>
      <w:bookmarkEnd w:id="46"/>
      <w:bookmarkEnd w:id="47"/>
      <w:bookmarkEnd w:id="48"/>
      <w:bookmarkEnd w:id="49"/>
      <w:r w:rsidRPr="00CF1100">
        <w:t xml:space="preserve"> </w:t>
      </w:r>
    </w:p>
    <w:p w:rsidR="007F0B28" w:rsidRDefault="007F0B28" w:rsidP="009D0976">
      <w:pPr>
        <w:pStyle w:val="Heading3"/>
      </w:pPr>
      <w:bookmarkStart w:id="50" w:name="_Toc296586369"/>
      <w:bookmarkStart w:id="51" w:name="_Toc297131685"/>
      <w:r w:rsidRPr="00EE0B5D">
        <w:t xml:space="preserve">Quitline Promotional Activities </w:t>
      </w:r>
      <w:r w:rsidR="001E7609">
        <w:t>Component</w:t>
      </w:r>
      <w:bookmarkEnd w:id="50"/>
      <w:bookmarkEnd w:id="51"/>
    </w:p>
    <w:p w:rsidR="007F0B28" w:rsidRPr="00EE0B5D" w:rsidRDefault="00702D6B" w:rsidP="00754198">
      <w:pPr>
        <w:pStyle w:val="bodytext0"/>
      </w:pPr>
      <w:r>
        <w:t>This study will minimize the</w:t>
      </w:r>
      <w:r w:rsidR="007F0B28">
        <w:t xml:space="preserve"> duplication of data collection efforts by </w:t>
      </w:r>
      <w:r>
        <w:t xml:space="preserve">using </w:t>
      </w:r>
      <w:r w:rsidR="007F0B28">
        <w:t>existing data for this project</w:t>
      </w:r>
      <w:r w:rsidR="005C0D9C" w:rsidRPr="005C0D9C">
        <w:t xml:space="preserve"> </w:t>
      </w:r>
      <w:r w:rsidR="005C0D9C">
        <w:t>as much as possible</w:t>
      </w:r>
      <w:r w:rsidR="007F0B28">
        <w:t>.</w:t>
      </w:r>
      <w:r w:rsidR="00F51AAD">
        <w:t xml:space="preserve"> </w:t>
      </w:r>
      <w:r w:rsidR="007F0B28">
        <w:t xml:space="preserve">No new, </w:t>
      </w:r>
      <w:r w:rsidR="002250FD">
        <w:t>primary</w:t>
      </w:r>
      <w:r w:rsidR="007F0B28">
        <w:t xml:space="preserve"> data will be collected </w:t>
      </w:r>
      <w:r w:rsidR="002250FD">
        <w:t>in this component</w:t>
      </w:r>
      <w:r w:rsidR="007F0B28">
        <w:t>.</w:t>
      </w:r>
      <w:r w:rsidR="00F51AAD">
        <w:t xml:space="preserve"> </w:t>
      </w:r>
      <w:r w:rsidR="007F0B28">
        <w:t xml:space="preserve">All call volume data will be obtained from </w:t>
      </w:r>
      <w:r w:rsidR="00722025">
        <w:t xml:space="preserve">TCPs and deidentified demographic and self-reported referral source information from </w:t>
      </w:r>
      <w:r w:rsidR="007F0B28">
        <w:t>NQDW (</w:t>
      </w:r>
      <w:r w:rsidR="007F0B28" w:rsidRPr="003D0A33">
        <w:t>OMB Control No: 0920-0856</w:t>
      </w:r>
      <w:r w:rsidR="002250FD">
        <w:t>, expires 7/31/2012</w:t>
      </w:r>
      <w:r w:rsidR="007F0B28">
        <w:t>), the CDC repository of state quitline data.</w:t>
      </w:r>
      <w:r w:rsidR="00F51AAD">
        <w:t xml:space="preserve"> </w:t>
      </w:r>
    </w:p>
    <w:p w:rsidR="007F0B28" w:rsidRDefault="007F0B28" w:rsidP="009D0976">
      <w:pPr>
        <w:pStyle w:val="Heading3"/>
      </w:pPr>
      <w:bookmarkStart w:id="52" w:name="_Toc296586370"/>
      <w:bookmarkStart w:id="53" w:name="_Toc297131686"/>
      <w:r>
        <w:lastRenderedPageBreak/>
        <w:t xml:space="preserve">Cessation Intervention </w:t>
      </w:r>
      <w:r w:rsidR="001E7609">
        <w:t>Component</w:t>
      </w:r>
      <w:bookmarkEnd w:id="52"/>
      <w:bookmarkEnd w:id="53"/>
    </w:p>
    <w:p w:rsidR="007F0B28" w:rsidRPr="00CF1100" w:rsidRDefault="007F0B28" w:rsidP="00754198">
      <w:pPr>
        <w:pStyle w:val="bodytext0"/>
      </w:pPr>
      <w:r w:rsidRPr="00CF1100">
        <w:t>In designing the proposed dat</w:t>
      </w:r>
      <w:r w:rsidR="007C50B1">
        <w:t>a collection activities</w:t>
      </w:r>
      <w:r>
        <w:t xml:space="preserve"> </w:t>
      </w:r>
      <w:r w:rsidR="00DC51E1">
        <w:t xml:space="preserve">investigators </w:t>
      </w:r>
      <w:r>
        <w:t>ha</w:t>
      </w:r>
      <w:r w:rsidR="00DC51E1">
        <w:t>ve</w:t>
      </w:r>
      <w:r w:rsidRPr="00CF1100">
        <w:t xml:space="preserve"> taken several steps to ensure that this effort does not duplicate ongoing efforts. </w:t>
      </w:r>
      <w:r w:rsidR="00DC51E1">
        <w:t>Investigators</w:t>
      </w:r>
      <w:r w:rsidRPr="00CF1100">
        <w:t xml:space="preserve"> will reduce the amount of new</w:t>
      </w:r>
      <w:r w:rsidR="007C50B1">
        <w:t xml:space="preserve"> or</w:t>
      </w:r>
      <w:r w:rsidRPr="00CF1100">
        <w:t xml:space="preserve"> original data collection by using</w:t>
      </w:r>
      <w:r w:rsidR="003A3880">
        <w:t xml:space="preserve"> MDS-compliant</w:t>
      </w:r>
      <w:r w:rsidRPr="00CF1100">
        <w:t xml:space="preserve"> intake data that </w:t>
      </w:r>
      <w:r w:rsidR="00754198">
        <w:t>are</w:t>
      </w:r>
      <w:r w:rsidR="00754198" w:rsidRPr="00CF1100">
        <w:t xml:space="preserve"> </w:t>
      </w:r>
      <w:r w:rsidRPr="00CF1100">
        <w:t xml:space="preserve">already collected by the state </w:t>
      </w:r>
      <w:r>
        <w:t>programs.</w:t>
      </w:r>
      <w:r w:rsidR="00F51AAD">
        <w:t xml:space="preserve"> </w:t>
      </w:r>
      <w:r w:rsidR="00D96582">
        <w:t>In addition, intake data for the Web-based program users will be obtained f</w:t>
      </w:r>
      <w:r>
        <w:t xml:space="preserve">ollowing a data sharing protocol established between </w:t>
      </w:r>
      <w:r w:rsidR="00DC51E1">
        <w:t>investigators</w:t>
      </w:r>
      <w:r>
        <w:t>, the state TCPs, and/or their service providers</w:t>
      </w:r>
      <w:r w:rsidRPr="00CF1100">
        <w:t>.</w:t>
      </w:r>
      <w:r w:rsidR="00F51AAD">
        <w:t xml:space="preserve"> </w:t>
      </w:r>
      <w:r w:rsidRPr="00CF1100">
        <w:t xml:space="preserve">Essentially, data obtained from the intake questionnaires are comparable to a </w:t>
      </w:r>
      <w:r w:rsidR="00F51AAD">
        <w:t>“</w:t>
      </w:r>
      <w:r w:rsidRPr="00CF1100">
        <w:t>record review</w:t>
      </w:r>
      <w:r w:rsidR="00754198">
        <w:t>.</w:t>
      </w:r>
      <w:r w:rsidR="00F51AAD">
        <w:t xml:space="preserve">” </w:t>
      </w:r>
    </w:p>
    <w:p w:rsidR="007F0B28" w:rsidRPr="00CF1100" w:rsidRDefault="00DC51E1" w:rsidP="00AF6D1B">
      <w:pPr>
        <w:pStyle w:val="bodytext0"/>
      </w:pPr>
      <w:r>
        <w:t xml:space="preserve">Investigators </w:t>
      </w:r>
      <w:r w:rsidR="007F0B28">
        <w:t>ha</w:t>
      </w:r>
      <w:r>
        <w:t>ve</w:t>
      </w:r>
      <w:r w:rsidR="007F0B28" w:rsidRPr="00CF1100">
        <w:t xml:space="preserve"> </w:t>
      </w:r>
      <w:r w:rsidR="007F0B28">
        <w:t xml:space="preserve">examined all other existing data sources for 7-month follow-up data on participants who use cessation services. While </w:t>
      </w:r>
      <w:r w:rsidR="00510A30">
        <w:t>CDC</w:t>
      </w:r>
      <w:r w:rsidR="007F0B28">
        <w:t xml:space="preserve"> currently </w:t>
      </w:r>
      <w:r w:rsidR="00510A30">
        <w:t xml:space="preserve">asks </w:t>
      </w:r>
      <w:r w:rsidR="007F0B28">
        <w:t xml:space="preserve">states to conduct </w:t>
      </w:r>
      <w:r w:rsidR="003A3880">
        <w:t xml:space="preserve">7-month </w:t>
      </w:r>
      <w:r w:rsidR="007F0B28" w:rsidRPr="00CF1100">
        <w:t xml:space="preserve">follow-up </w:t>
      </w:r>
      <w:r w:rsidR="007F0B28">
        <w:t xml:space="preserve">surveys </w:t>
      </w:r>
      <w:r w:rsidR="003A3880">
        <w:t>among a proportion of randomly selected quitline users</w:t>
      </w:r>
      <w:r w:rsidR="00510A30">
        <w:t xml:space="preserve"> and report this information to the NQDW</w:t>
      </w:r>
      <w:r w:rsidR="003A3880">
        <w:t xml:space="preserve">, </w:t>
      </w:r>
      <w:r w:rsidR="007F0B28">
        <w:t>many</w:t>
      </w:r>
      <w:r w:rsidR="00F51AAD">
        <w:t xml:space="preserve"> </w:t>
      </w:r>
      <w:r w:rsidR="007F0B28">
        <w:t xml:space="preserve">states do not </w:t>
      </w:r>
      <w:r w:rsidR="007F0B28" w:rsidRPr="00CF1100">
        <w:t>currently conduct a follow-up effort</w:t>
      </w:r>
      <w:r w:rsidR="004D5E3B">
        <w:t xml:space="preserve"> on every participant</w:t>
      </w:r>
      <w:r w:rsidR="00890564">
        <w:t xml:space="preserve"> as is </w:t>
      </w:r>
      <w:r w:rsidR="007C50B1">
        <w:t>required</w:t>
      </w:r>
      <w:r w:rsidR="00890564">
        <w:t xml:space="preserve"> to meet th</w:t>
      </w:r>
      <w:r w:rsidR="00467559">
        <w:t>e</w:t>
      </w:r>
      <w:r w:rsidR="00890564">
        <w:t xml:space="preserve"> </w:t>
      </w:r>
      <w:r w:rsidR="00837219">
        <w:t xml:space="preserve">sample size requirements for this </w:t>
      </w:r>
      <w:r w:rsidR="00890564">
        <w:t>study</w:t>
      </w:r>
      <w:r w:rsidR="007F0B28" w:rsidRPr="00CF1100">
        <w:t>.</w:t>
      </w:r>
      <w:r w:rsidR="00F51AAD">
        <w:t xml:space="preserve"> </w:t>
      </w:r>
      <w:r w:rsidR="008E17C0">
        <w:t xml:space="preserve">Also, CDC has indicated that during the study time frame the </w:t>
      </w:r>
      <w:r w:rsidR="008E17C0" w:rsidRPr="00CF1100">
        <w:t>7-month follow-up data</w:t>
      </w:r>
      <w:r w:rsidR="008E17C0">
        <w:t xml:space="preserve"> may no longer be available from NQDW</w:t>
      </w:r>
      <w:r w:rsidR="005C0D9C">
        <w:t xml:space="preserve"> due to the expiration date of the current approval</w:t>
      </w:r>
      <w:r w:rsidR="008E17C0">
        <w:t xml:space="preserve">. While </w:t>
      </w:r>
      <w:r>
        <w:t>investigators</w:t>
      </w:r>
      <w:r w:rsidR="008E17C0">
        <w:t xml:space="preserve"> will make </w:t>
      </w:r>
      <w:r>
        <w:t>their</w:t>
      </w:r>
      <w:r w:rsidR="008E17C0">
        <w:t xml:space="preserve"> best effort to minimize burden on TCPs by utilizing existing follow-up data that is consistent with the study needs, the</w:t>
      </w:r>
      <w:r w:rsidR="008E17C0" w:rsidRPr="00CF1100">
        <w:t xml:space="preserve"> </w:t>
      </w:r>
      <w:r w:rsidR="008E17C0">
        <w:t xml:space="preserve">type of data, </w:t>
      </w:r>
      <w:r w:rsidR="008E17C0" w:rsidRPr="00CF1100">
        <w:t xml:space="preserve">sample size </w:t>
      </w:r>
      <w:r w:rsidR="008E17C0">
        <w:t>requirements,</w:t>
      </w:r>
      <w:r w:rsidR="008E17C0" w:rsidRPr="00CF1100">
        <w:t xml:space="preserve"> and timeline</w:t>
      </w:r>
      <w:r w:rsidR="008E17C0">
        <w:t xml:space="preserve"> of the study may require </w:t>
      </w:r>
      <w:r>
        <w:t>investigators</w:t>
      </w:r>
      <w:r w:rsidR="008E17C0">
        <w:t xml:space="preserve"> to </w:t>
      </w:r>
      <w:r w:rsidR="002250FD">
        <w:t xml:space="preserve">work with TCPs to </w:t>
      </w:r>
      <w:r w:rsidR="008E17C0">
        <w:t xml:space="preserve">collect </w:t>
      </w:r>
      <w:r w:rsidR="002250FD">
        <w:t xml:space="preserve">more complete </w:t>
      </w:r>
      <w:r w:rsidR="008E17C0">
        <w:t>follow-up information</w:t>
      </w:r>
      <w:r w:rsidR="002250FD">
        <w:t xml:space="preserve"> than currently exists</w:t>
      </w:r>
      <w:r w:rsidR="008E17C0">
        <w:t xml:space="preserve">. </w:t>
      </w:r>
    </w:p>
    <w:p w:rsidR="007F0B28" w:rsidRPr="00CF1100" w:rsidRDefault="007F0B28" w:rsidP="009D0976">
      <w:pPr>
        <w:pStyle w:val="Heading2"/>
      </w:pPr>
      <w:bookmarkStart w:id="54" w:name="_Toc143058440"/>
      <w:bookmarkStart w:id="55" w:name="_Toc146088438"/>
      <w:bookmarkStart w:id="56" w:name="_Toc260215292"/>
      <w:bookmarkStart w:id="57" w:name="_Toc296586371"/>
      <w:bookmarkStart w:id="58" w:name="_Toc297131687"/>
      <w:r w:rsidRPr="00CF1100">
        <w:t>A.5</w:t>
      </w:r>
      <w:r w:rsidRPr="00CF1100">
        <w:tab/>
        <w:t>Impact on Small Businesses or Other Small Entities</w:t>
      </w:r>
      <w:bookmarkEnd w:id="54"/>
      <w:bookmarkEnd w:id="55"/>
      <w:bookmarkEnd w:id="56"/>
      <w:bookmarkEnd w:id="57"/>
      <w:bookmarkEnd w:id="58"/>
      <w:r w:rsidRPr="00CF1100">
        <w:t xml:space="preserve"> </w:t>
      </w:r>
    </w:p>
    <w:p w:rsidR="007F0B28" w:rsidRPr="00CF1100" w:rsidRDefault="007F0B28" w:rsidP="00B769F2">
      <w:pPr>
        <w:pStyle w:val="bodytext0"/>
      </w:pPr>
      <w:r w:rsidRPr="00CF1100">
        <w:t>No small businesses will be involved in this study.</w:t>
      </w:r>
    </w:p>
    <w:p w:rsidR="007F0B28" w:rsidRDefault="007F0B28" w:rsidP="009D0976">
      <w:pPr>
        <w:pStyle w:val="Heading2"/>
      </w:pPr>
      <w:bookmarkStart w:id="59" w:name="_Toc143058441"/>
      <w:bookmarkStart w:id="60" w:name="_Toc146088439"/>
      <w:bookmarkStart w:id="61" w:name="_Toc260215293"/>
      <w:bookmarkStart w:id="62" w:name="_Toc296586372"/>
      <w:bookmarkStart w:id="63" w:name="_Toc297131688"/>
      <w:r w:rsidRPr="00CF1100">
        <w:t>A.6</w:t>
      </w:r>
      <w:r w:rsidRPr="00CF1100">
        <w:tab/>
        <w:t>Consequences of Collecting the Information Less Frequently</w:t>
      </w:r>
      <w:bookmarkEnd w:id="59"/>
      <w:bookmarkEnd w:id="60"/>
      <w:bookmarkEnd w:id="61"/>
      <w:bookmarkEnd w:id="62"/>
      <w:bookmarkEnd w:id="63"/>
      <w:r w:rsidRPr="00CF1100">
        <w:t xml:space="preserve"> </w:t>
      </w:r>
    </w:p>
    <w:p w:rsidR="007F0B28" w:rsidRDefault="007F0B28" w:rsidP="009D0976">
      <w:pPr>
        <w:pStyle w:val="Heading3"/>
      </w:pPr>
      <w:bookmarkStart w:id="64" w:name="_Toc296586373"/>
      <w:bookmarkStart w:id="65" w:name="_Toc297131689"/>
      <w:r>
        <w:t xml:space="preserve">Quitline Promotional Activities </w:t>
      </w:r>
      <w:r w:rsidR="001E7609">
        <w:t>Component</w:t>
      </w:r>
      <w:bookmarkEnd w:id="64"/>
      <w:bookmarkEnd w:id="65"/>
    </w:p>
    <w:p w:rsidR="00AE5658" w:rsidRPr="00EE0B5D" w:rsidRDefault="00AE5658" w:rsidP="00AE5658">
      <w:pPr>
        <w:pStyle w:val="bodytext0"/>
      </w:pPr>
      <w:r>
        <w:t xml:space="preserve">Because all data for the Quitline Promotional Activities </w:t>
      </w:r>
      <w:r w:rsidR="00CC265A">
        <w:t>Component</w:t>
      </w:r>
      <w:r>
        <w:t xml:space="preserve"> will be obtained from existing resources, </w:t>
      </w:r>
      <w:r w:rsidR="007C50B1">
        <w:t xml:space="preserve">investigators </w:t>
      </w:r>
      <w:r>
        <w:t>are not request</w:t>
      </w:r>
      <w:r w:rsidR="009A7E20">
        <w:t>ing</w:t>
      </w:r>
      <w:r>
        <w:t xml:space="preserve"> the collection of new information for this study</w:t>
      </w:r>
      <w:r w:rsidR="00A3338A">
        <w:t xml:space="preserve">. </w:t>
      </w:r>
      <w:r w:rsidR="00DC51E1">
        <w:t>Investigators</w:t>
      </w:r>
      <w:r>
        <w:t xml:space="preserve"> will work with the TCPs and/or their contractors (</w:t>
      </w:r>
      <w:r w:rsidR="00560D87">
        <w:t>e.g.</w:t>
      </w:r>
      <w:r>
        <w:t xml:space="preserve">, media vendors and service providers) to establish the most efficient mechanisms for data sharing. </w:t>
      </w:r>
      <w:r w:rsidR="00BB3962">
        <w:t>Most existing reports can be shared in their current PDF or Excel format</w:t>
      </w:r>
      <w:r w:rsidR="003B208A">
        <w:t xml:space="preserve">. </w:t>
      </w:r>
      <w:r w:rsidR="00ED696C">
        <w:t>Automated reports from W</w:t>
      </w:r>
      <w:r w:rsidR="00BB3962">
        <w:t>eb analytic platforms can be exported or e-mailed by the</w:t>
      </w:r>
      <w:r w:rsidR="007C50B1">
        <w:t xml:space="preserve"> platform in CSV or PDF formats</w:t>
      </w:r>
      <w:r w:rsidR="00BB3962">
        <w:t xml:space="preserve"> as well</w:t>
      </w:r>
      <w:r w:rsidR="003B208A">
        <w:t>.</w:t>
      </w:r>
      <w:r>
        <w:t xml:space="preserve"> </w:t>
      </w:r>
    </w:p>
    <w:p w:rsidR="007F0B28" w:rsidRDefault="007F0B28" w:rsidP="009D0976">
      <w:pPr>
        <w:pStyle w:val="Heading3"/>
      </w:pPr>
      <w:bookmarkStart w:id="66" w:name="_Toc296586374"/>
      <w:bookmarkStart w:id="67" w:name="_Toc297131690"/>
      <w:r>
        <w:lastRenderedPageBreak/>
        <w:t xml:space="preserve">Cessation Intervention </w:t>
      </w:r>
      <w:r w:rsidR="001E7609">
        <w:t>Component</w:t>
      </w:r>
      <w:bookmarkEnd w:id="66"/>
      <w:bookmarkEnd w:id="67"/>
    </w:p>
    <w:p w:rsidR="007F0B28" w:rsidRPr="00CF1100" w:rsidRDefault="007F0B28" w:rsidP="00B769F2">
      <w:pPr>
        <w:pStyle w:val="bodytext0"/>
      </w:pPr>
      <w:r w:rsidRPr="00CF1100">
        <w:t xml:space="preserve">The present study only includes two data collection </w:t>
      </w:r>
      <w:proofErr w:type="spellStart"/>
      <w:r w:rsidRPr="00CF1100">
        <w:t>timepoints</w:t>
      </w:r>
      <w:proofErr w:type="spellEnd"/>
      <w:r w:rsidRPr="00CF1100">
        <w:t>:</w:t>
      </w:r>
      <w:r w:rsidR="00F51AAD">
        <w:t xml:space="preserve"> </w:t>
      </w:r>
      <w:r w:rsidRPr="00CF1100">
        <w:t>an intake (baseline) questionnaire and a 7-month follow-up questionnaire.</w:t>
      </w:r>
      <w:r w:rsidR="00F51AAD">
        <w:t xml:space="preserve"> </w:t>
      </w:r>
      <w:r w:rsidRPr="00CF1100">
        <w:t>The</w:t>
      </w:r>
      <w:r w:rsidR="002250FD">
        <w:t xml:space="preserve"> follow-up</w:t>
      </w:r>
      <w:r w:rsidRPr="00CF1100">
        <w:t xml:space="preserve"> information is critical for any type of effectiveness analysis.</w:t>
      </w:r>
      <w:r w:rsidR="00F51AAD">
        <w:t xml:space="preserve"> </w:t>
      </w:r>
      <w:r w:rsidRPr="00CF1100">
        <w:t xml:space="preserve">A 7-month follow-up is a standard </w:t>
      </w:r>
      <w:proofErr w:type="spellStart"/>
      <w:r w:rsidRPr="00CF1100">
        <w:t>timepoint</w:t>
      </w:r>
      <w:proofErr w:type="spellEnd"/>
      <w:r w:rsidRPr="00CF1100">
        <w:t xml:space="preserve"> in the evaluation and monitoring of quitline programs</w:t>
      </w:r>
      <w:r>
        <w:t xml:space="preserve"> (NAQC, 2009b)</w:t>
      </w:r>
      <w:r w:rsidRPr="00CF1100">
        <w:t>.</w:t>
      </w:r>
      <w:r w:rsidR="00F51AAD">
        <w:t xml:space="preserve"> </w:t>
      </w:r>
      <w:r w:rsidR="006D29A1">
        <w:t>In order to maintain data that will be comparable to other studies it will be important to maintain this standard timeline for data collection.</w:t>
      </w:r>
    </w:p>
    <w:p w:rsidR="007F0B28" w:rsidRPr="00CF1100" w:rsidRDefault="007F0B28" w:rsidP="009D0976">
      <w:pPr>
        <w:pStyle w:val="Heading2"/>
      </w:pPr>
      <w:bookmarkStart w:id="68" w:name="_Toc143058442"/>
      <w:bookmarkStart w:id="69" w:name="_Toc146088440"/>
      <w:bookmarkStart w:id="70" w:name="_Toc260215294"/>
      <w:bookmarkStart w:id="71" w:name="_Toc296586375"/>
      <w:bookmarkStart w:id="72" w:name="_Toc297131691"/>
      <w:r w:rsidRPr="00CF1100">
        <w:t>A.7</w:t>
      </w:r>
      <w:r w:rsidRPr="00CF1100">
        <w:tab/>
        <w:t>Special Circumstances Relating to the Guidelines of 5 CFR 1320.5</w:t>
      </w:r>
      <w:bookmarkEnd w:id="68"/>
      <w:bookmarkEnd w:id="69"/>
      <w:bookmarkEnd w:id="70"/>
      <w:bookmarkEnd w:id="71"/>
      <w:bookmarkEnd w:id="72"/>
      <w:r w:rsidRPr="00CF1100">
        <w:t xml:space="preserve"> </w:t>
      </w:r>
    </w:p>
    <w:p w:rsidR="007F0B28" w:rsidRPr="00CF1100" w:rsidRDefault="007F0B28" w:rsidP="00B769F2">
      <w:pPr>
        <w:pStyle w:val="bodytext0"/>
      </w:pPr>
      <w:r w:rsidRPr="00CF1100">
        <w:t>There are no other special circumstances that require the data collection to be conducted in a manner inconsistent with 5 CRF 1320.5(d</w:t>
      </w:r>
      <w:proofErr w:type="gramStart"/>
      <w:r w:rsidRPr="00CF1100">
        <w:t>)(</w:t>
      </w:r>
      <w:proofErr w:type="gramEnd"/>
      <w:r w:rsidRPr="00CF1100">
        <w:t>2). This data collection request fully complies with the regulation.</w:t>
      </w:r>
    </w:p>
    <w:p w:rsidR="007F0B28" w:rsidRPr="00CF1100" w:rsidRDefault="007F0B28" w:rsidP="009D0976">
      <w:pPr>
        <w:pStyle w:val="Heading2"/>
      </w:pPr>
      <w:bookmarkStart w:id="73" w:name="_Toc143058443"/>
      <w:bookmarkStart w:id="74" w:name="_Toc146088441"/>
      <w:bookmarkStart w:id="75" w:name="_Toc260215295"/>
      <w:bookmarkStart w:id="76" w:name="_Toc296586376"/>
      <w:bookmarkStart w:id="77" w:name="_Toc297131692"/>
      <w:r w:rsidRPr="00CF1100">
        <w:t>A.8</w:t>
      </w:r>
      <w:r w:rsidRPr="00CF1100">
        <w:tab/>
        <w:t xml:space="preserve">Comments in Response to the </w:t>
      </w:r>
      <w:r w:rsidRPr="00CF1100">
        <w:rPr>
          <w:i/>
        </w:rPr>
        <w:t>Federal Register</w:t>
      </w:r>
      <w:r w:rsidRPr="00CF1100">
        <w:t xml:space="preserve"> Notice and Efforts to Consult Outside the Agency</w:t>
      </w:r>
      <w:bookmarkEnd w:id="73"/>
      <w:bookmarkEnd w:id="74"/>
      <w:bookmarkEnd w:id="75"/>
      <w:bookmarkEnd w:id="76"/>
      <w:bookmarkEnd w:id="77"/>
      <w:r w:rsidRPr="00CF1100">
        <w:t xml:space="preserve"> </w:t>
      </w:r>
    </w:p>
    <w:p w:rsidR="007F0B28" w:rsidRPr="00CF1100" w:rsidRDefault="007F0B28" w:rsidP="009D0976">
      <w:pPr>
        <w:pStyle w:val="Heading3"/>
      </w:pPr>
      <w:bookmarkStart w:id="78" w:name="_Toc296586377"/>
      <w:bookmarkStart w:id="79" w:name="_Toc297131693"/>
      <w:r w:rsidRPr="00CF1100">
        <w:t>Federal Register Announcement</w:t>
      </w:r>
      <w:bookmarkEnd w:id="78"/>
      <w:bookmarkEnd w:id="79"/>
    </w:p>
    <w:p w:rsidR="007F0B28" w:rsidRPr="00CF1100" w:rsidRDefault="00B63CDE" w:rsidP="004933A5">
      <w:pPr>
        <w:pStyle w:val="bodytext0"/>
      </w:pPr>
      <w:r>
        <w:t>A Notice was published in the</w:t>
      </w:r>
      <w:r w:rsidR="007F0B28" w:rsidRPr="00CF1100">
        <w:t xml:space="preserve"> </w:t>
      </w:r>
      <w:r w:rsidR="007F0B28" w:rsidRPr="00CF1100">
        <w:rPr>
          <w:i/>
          <w:iCs/>
        </w:rPr>
        <w:t>Federal Register</w:t>
      </w:r>
      <w:r w:rsidR="007F0B28" w:rsidRPr="00CF1100">
        <w:t xml:space="preserve"> </w:t>
      </w:r>
      <w:r w:rsidR="00E6780A" w:rsidRPr="00E6780A">
        <w:t xml:space="preserve">on </w:t>
      </w:r>
      <w:r w:rsidR="00AB26DF">
        <w:t>June 15, 2011</w:t>
      </w:r>
      <w:r w:rsidR="00E6780A" w:rsidRPr="00E6780A">
        <w:t xml:space="preserve"> (Volume </w:t>
      </w:r>
      <w:r w:rsidR="00AB26DF">
        <w:t>76</w:t>
      </w:r>
      <w:r w:rsidR="00E6780A" w:rsidRPr="00E6780A">
        <w:t xml:space="preserve">, Number </w:t>
      </w:r>
      <w:r w:rsidR="00AB26DF">
        <w:t>115</w:t>
      </w:r>
      <w:r w:rsidR="00E6780A" w:rsidRPr="00E6780A">
        <w:t xml:space="preserve">, pages </w:t>
      </w:r>
      <w:r w:rsidR="00E13003">
        <w:t>34995–34996</w:t>
      </w:r>
      <w:r w:rsidR="00E6780A" w:rsidRPr="00E6780A">
        <w:t>)</w:t>
      </w:r>
      <w:r>
        <w:t xml:space="preserve"> (see </w:t>
      </w:r>
      <w:r w:rsidR="00E6780A" w:rsidRPr="00E6780A">
        <w:rPr>
          <w:b/>
          <w:bCs/>
        </w:rPr>
        <w:t>Appendix 2a</w:t>
      </w:r>
      <w:r>
        <w:rPr>
          <w:bCs/>
        </w:rPr>
        <w:t>)</w:t>
      </w:r>
      <w:r w:rsidR="007F0B28" w:rsidRPr="0040284D">
        <w:t>.</w:t>
      </w:r>
      <w:r>
        <w:t xml:space="preserve"> </w:t>
      </w:r>
      <w:r w:rsidR="004933A5">
        <w:t xml:space="preserve">One public comment was received and acknowledged (see </w:t>
      </w:r>
      <w:r w:rsidR="00E6780A" w:rsidRPr="00E6780A">
        <w:rPr>
          <w:b/>
        </w:rPr>
        <w:t>Appendix 2b</w:t>
      </w:r>
      <w:r w:rsidR="004933A5">
        <w:rPr>
          <w:b/>
        </w:rPr>
        <w:t>)</w:t>
      </w:r>
      <w:r>
        <w:t>.</w:t>
      </w:r>
      <w:r w:rsidR="007F0B28" w:rsidRPr="00CF1100">
        <w:t xml:space="preserve"> </w:t>
      </w:r>
    </w:p>
    <w:p w:rsidR="007F0B28" w:rsidRPr="00CF1100" w:rsidRDefault="007F0B28" w:rsidP="009D0976">
      <w:pPr>
        <w:pStyle w:val="Heading3"/>
      </w:pPr>
      <w:bookmarkStart w:id="80" w:name="_Toc296586378"/>
      <w:bookmarkStart w:id="81" w:name="_Toc297131694"/>
      <w:r w:rsidRPr="00CF1100">
        <w:t>Consultations</w:t>
      </w:r>
      <w:bookmarkEnd w:id="80"/>
      <w:bookmarkEnd w:id="81"/>
    </w:p>
    <w:p w:rsidR="007F0B28" w:rsidRPr="00CF1100" w:rsidRDefault="007F0B28" w:rsidP="001C39AB">
      <w:pPr>
        <w:pStyle w:val="bodytext0"/>
      </w:pPr>
      <w:r w:rsidRPr="00CF1100">
        <w:t xml:space="preserve">A list of key evaluation consultants for this project is provided in </w:t>
      </w:r>
      <w:r w:rsidRPr="00CF1100">
        <w:rPr>
          <w:b/>
          <w:i/>
        </w:rPr>
        <w:t xml:space="preserve">Exhibit </w:t>
      </w:r>
      <w:r w:rsidR="00E7555F">
        <w:rPr>
          <w:b/>
          <w:i/>
        </w:rPr>
        <w:t>3</w:t>
      </w:r>
      <w:r w:rsidRPr="00CF1100">
        <w:t xml:space="preserve">. </w:t>
      </w:r>
      <w:r w:rsidR="007C50B1">
        <w:t>Investigators</w:t>
      </w:r>
      <w:r w:rsidRPr="00CF1100">
        <w:t xml:space="preserve"> consulted with public health scientists </w:t>
      </w:r>
      <w:r w:rsidR="007C50B1">
        <w:t xml:space="preserve">considered to be subject matter experts </w:t>
      </w:r>
      <w:r w:rsidRPr="00CF1100">
        <w:t>on the study design and evaluation instruments.</w:t>
      </w:r>
      <w:r w:rsidR="00F51AAD">
        <w:t xml:space="preserve"> </w:t>
      </w:r>
      <w:r w:rsidRPr="00CF1100">
        <w:t xml:space="preserve">The </w:t>
      </w:r>
      <w:r w:rsidR="001C39AB">
        <w:t>i</w:t>
      </w:r>
      <w:r w:rsidRPr="00CF1100">
        <w:t xml:space="preserve">ntake </w:t>
      </w:r>
      <w:r w:rsidR="001C39AB">
        <w:t>q</w:t>
      </w:r>
      <w:r w:rsidRPr="00CF1100">
        <w:t>uestionnaire and the majority of the items on the 7-</w:t>
      </w:r>
      <w:r>
        <w:t xml:space="preserve">month follow-up questionnaire </w:t>
      </w:r>
      <w:r w:rsidRPr="00CF1100">
        <w:t>are based on NAQC</w:t>
      </w:r>
      <w:r w:rsidR="00F51AAD">
        <w:t>’</w:t>
      </w:r>
      <w:r w:rsidRPr="00CF1100">
        <w:t>s MDS, which was created through a collaboration of experts in smoking cessation and quitline interventions.</w:t>
      </w:r>
      <w:r w:rsidR="00F51AAD">
        <w:t xml:space="preserve"> </w:t>
      </w:r>
      <w:r w:rsidRPr="00CF1100">
        <w:t>In addition, RTI has worked closely with CDC throughout the development of the p</w:t>
      </w:r>
      <w:r>
        <w:t>rotocol and the identification/recruitment of appropriate TCPs</w:t>
      </w:r>
      <w:r w:rsidR="00592720">
        <w:t xml:space="preserve">. </w:t>
      </w:r>
    </w:p>
    <w:p w:rsidR="007F0B28" w:rsidRPr="00CF1100" w:rsidRDefault="007F0B28" w:rsidP="00B23A53">
      <w:pPr>
        <w:pStyle w:val="FigureTitle"/>
      </w:pPr>
      <w:bookmarkStart w:id="82" w:name="_Toc66689098"/>
      <w:bookmarkStart w:id="83" w:name="_Toc139093421"/>
      <w:bookmarkStart w:id="84" w:name="_Toc146088165"/>
      <w:bookmarkStart w:id="85" w:name="_Toc146089473"/>
      <w:bookmarkStart w:id="86" w:name="_Toc260210572"/>
      <w:bookmarkStart w:id="87" w:name="_Toc296586408"/>
      <w:bookmarkStart w:id="88" w:name="_Toc297130640"/>
      <w:proofErr w:type="gramStart"/>
      <w:r w:rsidRPr="00CF1100">
        <w:lastRenderedPageBreak/>
        <w:t xml:space="preserve">Exhibit </w:t>
      </w:r>
      <w:r w:rsidR="00E7555F">
        <w:t>3</w:t>
      </w:r>
      <w:r w:rsidRPr="00CF1100">
        <w:t>.</w:t>
      </w:r>
      <w:bookmarkEnd w:id="82"/>
      <w:proofErr w:type="gramEnd"/>
      <w:r w:rsidR="00E7555F">
        <w:t xml:space="preserve"> </w:t>
      </w:r>
      <w:r w:rsidRPr="00CF1100">
        <w:t>Evaluation Consultants</w:t>
      </w:r>
      <w:bookmarkEnd w:id="83"/>
      <w:bookmarkEnd w:id="84"/>
      <w:bookmarkEnd w:id="85"/>
      <w:bookmarkEnd w:id="86"/>
      <w:bookmarkEnd w:id="87"/>
      <w:bookmarkEnd w:id="88"/>
      <w:r w:rsidRPr="00CF1100">
        <w:t xml:space="preserve"> </w:t>
      </w:r>
    </w:p>
    <w:tbl>
      <w:tblPr>
        <w:tblW w:w="9504" w:type="dxa"/>
        <w:tblInd w:w="108" w:type="dxa"/>
        <w:tblBorders>
          <w:top w:val="single" w:sz="12" w:space="0" w:color="auto"/>
          <w:left w:val="single" w:sz="12" w:space="0" w:color="auto"/>
          <w:bottom w:val="single" w:sz="12" w:space="0" w:color="auto"/>
          <w:right w:val="single" w:sz="12" w:space="0" w:color="auto"/>
        </w:tblBorders>
        <w:tblLayout w:type="fixed"/>
        <w:tblCellMar>
          <w:top w:w="86" w:type="dxa"/>
          <w:left w:w="86" w:type="dxa"/>
          <w:bottom w:w="86" w:type="dxa"/>
          <w:right w:w="86" w:type="dxa"/>
        </w:tblCellMar>
        <w:tblLook w:val="01E0"/>
      </w:tblPr>
      <w:tblGrid>
        <w:gridCol w:w="4752"/>
        <w:gridCol w:w="4752"/>
      </w:tblGrid>
      <w:tr w:rsidR="007F0B28" w:rsidRPr="00CF1100" w:rsidTr="00592720">
        <w:trPr>
          <w:cantSplit/>
        </w:trPr>
        <w:tc>
          <w:tcPr>
            <w:tcW w:w="4752" w:type="dxa"/>
          </w:tcPr>
          <w:p w:rsidR="007F0B28" w:rsidRPr="001C39AB" w:rsidRDefault="007F0B28" w:rsidP="00592720">
            <w:pPr>
              <w:pStyle w:val="Style1"/>
              <w:rPr>
                <w:szCs w:val="20"/>
              </w:rPr>
            </w:pPr>
          </w:p>
          <w:p w:rsidR="007F0B28" w:rsidRPr="001C39AB" w:rsidRDefault="007F0B28" w:rsidP="001C39AB">
            <w:pPr>
              <w:pStyle w:val="Style1"/>
              <w:rPr>
                <w:b/>
                <w:iCs/>
                <w:szCs w:val="20"/>
              </w:rPr>
            </w:pPr>
            <w:r w:rsidRPr="001C39AB">
              <w:rPr>
                <w:iCs/>
                <w:szCs w:val="20"/>
              </w:rPr>
              <w:t>Jennifer Duke, PhD</w:t>
            </w:r>
          </w:p>
          <w:p w:rsidR="007F0B28" w:rsidRPr="001C39AB" w:rsidRDefault="007F0B28" w:rsidP="00592720">
            <w:pPr>
              <w:pStyle w:val="Style1"/>
              <w:rPr>
                <w:b/>
                <w:iCs/>
                <w:szCs w:val="20"/>
              </w:rPr>
            </w:pPr>
            <w:r w:rsidRPr="001C39AB">
              <w:rPr>
                <w:iCs/>
                <w:szCs w:val="20"/>
              </w:rPr>
              <w:t>RTI International</w:t>
            </w:r>
          </w:p>
          <w:p w:rsidR="007F0B28" w:rsidRPr="001C39AB" w:rsidRDefault="007F0B28" w:rsidP="00592720">
            <w:pPr>
              <w:pStyle w:val="Style1"/>
              <w:rPr>
                <w:b/>
                <w:szCs w:val="20"/>
              </w:rPr>
            </w:pPr>
            <w:r w:rsidRPr="001C39AB">
              <w:rPr>
                <w:szCs w:val="20"/>
              </w:rPr>
              <w:t>3040 Cornwallis Road</w:t>
            </w:r>
          </w:p>
          <w:p w:rsidR="007F0B28" w:rsidRPr="001C39AB" w:rsidRDefault="007F0B28" w:rsidP="00592720">
            <w:pPr>
              <w:pStyle w:val="Style1"/>
              <w:rPr>
                <w:b/>
                <w:szCs w:val="20"/>
              </w:rPr>
            </w:pPr>
            <w:r w:rsidRPr="001C39AB">
              <w:rPr>
                <w:szCs w:val="20"/>
              </w:rPr>
              <w:t>Research Triangle Park, NC 27709</w:t>
            </w:r>
          </w:p>
          <w:p w:rsidR="007F0B28" w:rsidRPr="001C39AB" w:rsidRDefault="007F0B28" w:rsidP="00592720">
            <w:pPr>
              <w:pStyle w:val="Style1"/>
              <w:rPr>
                <w:b/>
                <w:iCs/>
                <w:szCs w:val="20"/>
              </w:rPr>
            </w:pPr>
            <w:r w:rsidRPr="001C39AB">
              <w:rPr>
                <w:iCs/>
                <w:szCs w:val="20"/>
              </w:rPr>
              <w:t>919</w:t>
            </w:r>
            <w:r w:rsidR="001C39AB" w:rsidRPr="001C39AB">
              <w:rPr>
                <w:iCs/>
                <w:szCs w:val="20"/>
              </w:rPr>
              <w:t>-</w:t>
            </w:r>
            <w:r w:rsidRPr="001C39AB">
              <w:rPr>
                <w:iCs/>
                <w:szCs w:val="20"/>
              </w:rPr>
              <w:t>485</w:t>
            </w:r>
            <w:r w:rsidR="001C39AB" w:rsidRPr="001C39AB">
              <w:rPr>
                <w:iCs/>
                <w:szCs w:val="20"/>
              </w:rPr>
              <w:t>-</w:t>
            </w:r>
            <w:r w:rsidRPr="001C39AB">
              <w:rPr>
                <w:iCs/>
                <w:szCs w:val="20"/>
              </w:rPr>
              <w:t>2669</w:t>
            </w:r>
          </w:p>
          <w:p w:rsidR="007F0B28" w:rsidRPr="001C39AB" w:rsidRDefault="007F0B28" w:rsidP="00592720">
            <w:pPr>
              <w:pStyle w:val="Style1"/>
              <w:rPr>
                <w:b/>
                <w:iCs/>
                <w:szCs w:val="20"/>
              </w:rPr>
            </w:pPr>
            <w:r w:rsidRPr="001C39AB">
              <w:rPr>
                <w:iCs/>
                <w:szCs w:val="20"/>
              </w:rPr>
              <w:t>jduke@rti.org</w:t>
            </w:r>
          </w:p>
          <w:p w:rsidR="007F0B28" w:rsidRPr="001C39AB" w:rsidRDefault="007F0B28" w:rsidP="00592720">
            <w:pPr>
              <w:pStyle w:val="Style1"/>
              <w:rPr>
                <w:b/>
                <w:iCs/>
                <w:szCs w:val="20"/>
              </w:rPr>
            </w:pPr>
          </w:p>
          <w:p w:rsidR="007F0B28" w:rsidRPr="001C39AB" w:rsidRDefault="007F0B28" w:rsidP="00592720">
            <w:pPr>
              <w:pStyle w:val="Style1"/>
              <w:rPr>
                <w:b/>
                <w:szCs w:val="20"/>
              </w:rPr>
            </w:pPr>
            <w:r w:rsidRPr="001C39AB">
              <w:rPr>
                <w:iCs/>
                <w:szCs w:val="20"/>
              </w:rPr>
              <w:t xml:space="preserve">Jennifer Keeney, </w:t>
            </w:r>
            <w:r w:rsidRPr="001C39AB">
              <w:rPr>
                <w:szCs w:val="20"/>
              </w:rPr>
              <w:t>MA</w:t>
            </w:r>
          </w:p>
          <w:p w:rsidR="007F0B28" w:rsidRPr="001C39AB" w:rsidRDefault="007F0B28" w:rsidP="00592720">
            <w:pPr>
              <w:pStyle w:val="Style1"/>
              <w:rPr>
                <w:b/>
                <w:szCs w:val="20"/>
              </w:rPr>
            </w:pPr>
            <w:r w:rsidRPr="001C39AB">
              <w:rPr>
                <w:szCs w:val="20"/>
              </w:rPr>
              <w:t>RTI International</w:t>
            </w:r>
          </w:p>
          <w:p w:rsidR="007F0B28" w:rsidRPr="001C39AB" w:rsidRDefault="007F0B28" w:rsidP="00592720">
            <w:pPr>
              <w:pStyle w:val="Style1"/>
              <w:rPr>
                <w:b/>
                <w:szCs w:val="20"/>
              </w:rPr>
            </w:pPr>
            <w:r w:rsidRPr="001C39AB">
              <w:rPr>
                <w:szCs w:val="20"/>
              </w:rPr>
              <w:t>3040 Cornwallis Road</w:t>
            </w:r>
          </w:p>
          <w:p w:rsidR="007F0B28" w:rsidRPr="001C39AB" w:rsidRDefault="007F0B28" w:rsidP="00592720">
            <w:pPr>
              <w:pStyle w:val="Style1"/>
              <w:rPr>
                <w:b/>
                <w:szCs w:val="20"/>
              </w:rPr>
            </w:pPr>
            <w:r w:rsidRPr="001C39AB">
              <w:rPr>
                <w:szCs w:val="20"/>
              </w:rPr>
              <w:t>Research Triangle Park, NC 27709</w:t>
            </w:r>
          </w:p>
          <w:p w:rsidR="007F0B28" w:rsidRPr="001C39AB" w:rsidRDefault="00F07D6D" w:rsidP="00592720">
            <w:pPr>
              <w:pStyle w:val="Style1"/>
              <w:rPr>
                <w:b/>
                <w:szCs w:val="20"/>
              </w:rPr>
            </w:pPr>
            <w:r w:rsidRPr="00F07D6D">
              <w:rPr>
                <w:szCs w:val="20"/>
              </w:rPr>
              <w:t>919-316-3525</w:t>
            </w:r>
          </w:p>
          <w:p w:rsidR="007F0B28" w:rsidRPr="001C39AB" w:rsidRDefault="005D0094" w:rsidP="00592720">
            <w:pPr>
              <w:pStyle w:val="Style1"/>
              <w:rPr>
                <w:b/>
                <w:szCs w:val="20"/>
              </w:rPr>
            </w:pPr>
            <w:hyperlink r:id="rId13" w:history="1">
              <w:r w:rsidR="007F0B28" w:rsidRPr="001C39AB">
                <w:rPr>
                  <w:rStyle w:val="Hyperlink"/>
                  <w:szCs w:val="20"/>
                </w:rPr>
                <w:t>jkeeney@rti.org</w:t>
              </w:r>
            </w:hyperlink>
          </w:p>
          <w:p w:rsidR="007F0B28" w:rsidRPr="001C39AB" w:rsidRDefault="007F0B28" w:rsidP="00592720">
            <w:pPr>
              <w:pStyle w:val="Style1"/>
              <w:rPr>
                <w:b/>
                <w:szCs w:val="20"/>
              </w:rPr>
            </w:pPr>
          </w:p>
          <w:p w:rsidR="007F0B28" w:rsidRPr="001C39AB" w:rsidRDefault="007F0B28" w:rsidP="00592720">
            <w:pPr>
              <w:pStyle w:val="Style1"/>
              <w:rPr>
                <w:b/>
                <w:szCs w:val="20"/>
              </w:rPr>
            </w:pPr>
            <w:r w:rsidRPr="001C39AB">
              <w:rPr>
                <w:szCs w:val="20"/>
              </w:rPr>
              <w:t>Nathan Mann</w:t>
            </w:r>
            <w:r w:rsidR="001C39AB" w:rsidRPr="001C39AB">
              <w:rPr>
                <w:szCs w:val="20"/>
              </w:rPr>
              <w:t xml:space="preserve">, </w:t>
            </w:r>
            <w:r w:rsidR="00076FFE">
              <w:rPr>
                <w:szCs w:val="20"/>
              </w:rPr>
              <w:t>BA</w:t>
            </w:r>
          </w:p>
          <w:p w:rsidR="007F0B28" w:rsidRPr="001C39AB" w:rsidRDefault="007F0B28" w:rsidP="00592720">
            <w:pPr>
              <w:pStyle w:val="Style1"/>
              <w:rPr>
                <w:b/>
                <w:szCs w:val="20"/>
              </w:rPr>
            </w:pPr>
            <w:r w:rsidRPr="001C39AB">
              <w:rPr>
                <w:szCs w:val="20"/>
              </w:rPr>
              <w:t>RTI International</w:t>
            </w:r>
          </w:p>
          <w:p w:rsidR="007F0B28" w:rsidRPr="001C39AB" w:rsidRDefault="007F0B28" w:rsidP="00592720">
            <w:pPr>
              <w:pStyle w:val="Style1"/>
              <w:rPr>
                <w:b/>
                <w:szCs w:val="20"/>
              </w:rPr>
            </w:pPr>
            <w:r w:rsidRPr="001C39AB">
              <w:rPr>
                <w:szCs w:val="20"/>
              </w:rPr>
              <w:t>3040 Cornwallis Road</w:t>
            </w:r>
          </w:p>
          <w:p w:rsidR="007F0B28" w:rsidRPr="001C39AB" w:rsidRDefault="007F0B28" w:rsidP="00592720">
            <w:pPr>
              <w:pStyle w:val="Style1"/>
              <w:rPr>
                <w:b/>
                <w:szCs w:val="20"/>
              </w:rPr>
            </w:pPr>
            <w:r w:rsidRPr="001C39AB">
              <w:rPr>
                <w:szCs w:val="20"/>
              </w:rPr>
              <w:t>Research Triangle Park, NC 27709</w:t>
            </w:r>
          </w:p>
          <w:p w:rsidR="00076FFE" w:rsidRDefault="00076FFE" w:rsidP="00592720">
            <w:pPr>
              <w:pStyle w:val="Style1"/>
              <w:rPr>
                <w:szCs w:val="20"/>
              </w:rPr>
            </w:pPr>
            <w:r w:rsidRPr="00076FFE">
              <w:rPr>
                <w:szCs w:val="20"/>
              </w:rPr>
              <w:t>919-485-5584</w:t>
            </w:r>
          </w:p>
          <w:p w:rsidR="007F0B28" w:rsidRDefault="005D0094" w:rsidP="00592720">
            <w:pPr>
              <w:pStyle w:val="Style1"/>
            </w:pPr>
            <w:hyperlink r:id="rId14" w:history="1">
              <w:r w:rsidR="007F0B28" w:rsidRPr="001C39AB">
                <w:rPr>
                  <w:rStyle w:val="Hyperlink"/>
                  <w:szCs w:val="20"/>
                </w:rPr>
                <w:t>nmann@rti.org</w:t>
              </w:r>
            </w:hyperlink>
          </w:p>
          <w:p w:rsidR="00D96582" w:rsidRDefault="00D96582" w:rsidP="00592720">
            <w:pPr>
              <w:pStyle w:val="Style1"/>
            </w:pPr>
          </w:p>
          <w:p w:rsidR="00D96582" w:rsidRPr="00D96582" w:rsidRDefault="00D96582" w:rsidP="00592720">
            <w:pPr>
              <w:pStyle w:val="Style1"/>
              <w:rPr>
                <w:szCs w:val="20"/>
              </w:rPr>
            </w:pPr>
            <w:r w:rsidRPr="00D96582">
              <w:rPr>
                <w:szCs w:val="20"/>
              </w:rPr>
              <w:t>Sonya Green, MPH</w:t>
            </w:r>
          </w:p>
          <w:p w:rsidR="00D96582" w:rsidRPr="00D96582" w:rsidRDefault="00D96582" w:rsidP="00592720">
            <w:pPr>
              <w:pStyle w:val="Style1"/>
              <w:rPr>
                <w:szCs w:val="20"/>
              </w:rPr>
            </w:pPr>
            <w:r w:rsidRPr="00D96582">
              <w:rPr>
                <w:szCs w:val="20"/>
              </w:rPr>
              <w:t>RTI International</w:t>
            </w:r>
          </w:p>
          <w:p w:rsidR="00D96582" w:rsidRPr="00D96582" w:rsidRDefault="00D96582" w:rsidP="00D96582">
            <w:pPr>
              <w:pStyle w:val="Style1"/>
              <w:rPr>
                <w:b/>
                <w:szCs w:val="20"/>
              </w:rPr>
            </w:pPr>
            <w:r w:rsidRPr="00D96582">
              <w:rPr>
                <w:szCs w:val="20"/>
              </w:rPr>
              <w:t>3040 Cornwallis Road</w:t>
            </w:r>
          </w:p>
          <w:p w:rsidR="00D96582" w:rsidRPr="00D96582" w:rsidRDefault="00D96582" w:rsidP="00D96582">
            <w:pPr>
              <w:pStyle w:val="Style1"/>
              <w:rPr>
                <w:b/>
                <w:szCs w:val="20"/>
              </w:rPr>
            </w:pPr>
            <w:r w:rsidRPr="00D96582">
              <w:rPr>
                <w:szCs w:val="20"/>
              </w:rPr>
              <w:t>Research Triangle Park, NC 27709</w:t>
            </w:r>
          </w:p>
          <w:p w:rsidR="00D96582" w:rsidRPr="00D96582" w:rsidRDefault="00D96582" w:rsidP="00592720">
            <w:pPr>
              <w:pStyle w:val="Style1"/>
              <w:rPr>
                <w:szCs w:val="20"/>
              </w:rPr>
            </w:pPr>
            <w:r w:rsidRPr="00D96582">
              <w:rPr>
                <w:szCs w:val="20"/>
              </w:rPr>
              <w:t>919-541-6991</w:t>
            </w:r>
          </w:p>
          <w:p w:rsidR="00D96582" w:rsidRDefault="005D0094" w:rsidP="00592720">
            <w:pPr>
              <w:pStyle w:val="Style1"/>
              <w:rPr>
                <w:szCs w:val="20"/>
              </w:rPr>
            </w:pPr>
            <w:hyperlink r:id="rId15" w:history="1">
              <w:r w:rsidR="00D96582" w:rsidRPr="00D34E2C">
                <w:rPr>
                  <w:rStyle w:val="Hyperlink"/>
                  <w:szCs w:val="20"/>
                </w:rPr>
                <w:t>sgreen@rti.org</w:t>
              </w:r>
            </w:hyperlink>
          </w:p>
          <w:p w:rsidR="00E62D49" w:rsidRDefault="00E62D49" w:rsidP="00D96582">
            <w:pPr>
              <w:pStyle w:val="Style1"/>
              <w:rPr>
                <w:rStyle w:val="il"/>
              </w:rPr>
            </w:pPr>
          </w:p>
          <w:p w:rsidR="00D96582" w:rsidRDefault="00D96582" w:rsidP="00D96582">
            <w:pPr>
              <w:pStyle w:val="Style1"/>
              <w:rPr>
                <w:szCs w:val="20"/>
              </w:rPr>
            </w:pPr>
            <w:r>
              <w:rPr>
                <w:rStyle w:val="il"/>
              </w:rPr>
              <w:t>Nikie</w:t>
            </w:r>
            <w:r>
              <w:t xml:space="preserve"> Sarris, MPH</w:t>
            </w:r>
          </w:p>
          <w:p w:rsidR="00D96582" w:rsidRPr="00D96582" w:rsidRDefault="00D96582" w:rsidP="00D96582">
            <w:pPr>
              <w:pStyle w:val="Style1"/>
              <w:rPr>
                <w:szCs w:val="20"/>
              </w:rPr>
            </w:pPr>
            <w:r w:rsidRPr="00D96582">
              <w:rPr>
                <w:szCs w:val="20"/>
              </w:rPr>
              <w:t>RTI International</w:t>
            </w:r>
          </w:p>
          <w:p w:rsidR="00D96582" w:rsidRPr="00D96582" w:rsidRDefault="00D96582" w:rsidP="00D96582">
            <w:pPr>
              <w:pStyle w:val="Style1"/>
              <w:rPr>
                <w:b/>
                <w:szCs w:val="20"/>
              </w:rPr>
            </w:pPr>
            <w:r w:rsidRPr="00D96582">
              <w:rPr>
                <w:szCs w:val="20"/>
              </w:rPr>
              <w:t>3040 Cornwallis Road</w:t>
            </w:r>
          </w:p>
          <w:p w:rsidR="00D96582" w:rsidRPr="00D96582" w:rsidRDefault="00D96582" w:rsidP="00D96582">
            <w:pPr>
              <w:pStyle w:val="Style1"/>
              <w:rPr>
                <w:b/>
                <w:szCs w:val="20"/>
              </w:rPr>
            </w:pPr>
            <w:r w:rsidRPr="00D96582">
              <w:rPr>
                <w:szCs w:val="20"/>
              </w:rPr>
              <w:t>Research Triangle Park, NC 27709</w:t>
            </w:r>
          </w:p>
          <w:p w:rsidR="00D96582" w:rsidRDefault="00D96582" w:rsidP="00592720">
            <w:pPr>
              <w:pStyle w:val="Style1"/>
              <w:rPr>
                <w:szCs w:val="20"/>
              </w:rPr>
            </w:pPr>
            <w:r>
              <w:rPr>
                <w:szCs w:val="20"/>
              </w:rPr>
              <w:t>919-541-1248</w:t>
            </w:r>
          </w:p>
          <w:p w:rsidR="00E62D49" w:rsidRPr="00D96582" w:rsidRDefault="005D0094" w:rsidP="00E62D49">
            <w:pPr>
              <w:pStyle w:val="Style1"/>
              <w:rPr>
                <w:szCs w:val="20"/>
              </w:rPr>
            </w:pPr>
            <w:hyperlink r:id="rId16" w:history="1">
              <w:r w:rsidR="00E62D49" w:rsidRPr="0083367B">
                <w:rPr>
                  <w:rStyle w:val="Hyperlink"/>
                  <w:szCs w:val="20"/>
                </w:rPr>
                <w:t>nsarris@rti.org</w:t>
              </w:r>
            </w:hyperlink>
            <w:r w:rsidR="00E62D49">
              <w:rPr>
                <w:szCs w:val="20"/>
              </w:rPr>
              <w:t xml:space="preserve"> </w:t>
            </w:r>
          </w:p>
          <w:p w:rsidR="007F0B28" w:rsidRPr="001C39AB" w:rsidRDefault="007F0B28" w:rsidP="00592720">
            <w:pPr>
              <w:pStyle w:val="Style1"/>
              <w:rPr>
                <w:b/>
                <w:szCs w:val="20"/>
              </w:rPr>
            </w:pPr>
          </w:p>
          <w:p w:rsidR="007473F8" w:rsidRPr="001C39AB" w:rsidRDefault="007473F8" w:rsidP="00592720">
            <w:pPr>
              <w:pStyle w:val="Style1"/>
              <w:rPr>
                <w:b/>
                <w:szCs w:val="20"/>
              </w:rPr>
            </w:pPr>
          </w:p>
          <w:p w:rsidR="007F0B28" w:rsidRPr="001C39AB" w:rsidRDefault="007F0B28" w:rsidP="00592720">
            <w:pPr>
              <w:pStyle w:val="Style1"/>
              <w:rPr>
                <w:noProof/>
                <w:szCs w:val="20"/>
              </w:rPr>
            </w:pPr>
          </w:p>
        </w:tc>
        <w:tc>
          <w:tcPr>
            <w:tcW w:w="4752" w:type="dxa"/>
          </w:tcPr>
          <w:p w:rsidR="00E62D49" w:rsidRDefault="00E62D49" w:rsidP="00D96582">
            <w:pPr>
              <w:pStyle w:val="Style1"/>
              <w:rPr>
                <w:noProof/>
                <w:szCs w:val="20"/>
              </w:rPr>
            </w:pPr>
          </w:p>
          <w:p w:rsidR="00D96582" w:rsidRPr="001C39AB" w:rsidRDefault="00D96582" w:rsidP="00D96582">
            <w:pPr>
              <w:pStyle w:val="Style1"/>
              <w:rPr>
                <w:b/>
                <w:szCs w:val="20"/>
              </w:rPr>
            </w:pPr>
            <w:r w:rsidRPr="001C39AB">
              <w:rPr>
                <w:szCs w:val="20"/>
              </w:rPr>
              <w:t>Annice Kim</w:t>
            </w:r>
            <w:r>
              <w:rPr>
                <w:szCs w:val="20"/>
              </w:rPr>
              <w:t>, PhD</w:t>
            </w:r>
          </w:p>
          <w:p w:rsidR="00D96582" w:rsidRPr="001C39AB" w:rsidRDefault="00D96582" w:rsidP="00D96582">
            <w:pPr>
              <w:pStyle w:val="Style1"/>
              <w:rPr>
                <w:noProof/>
                <w:szCs w:val="20"/>
              </w:rPr>
            </w:pPr>
            <w:r w:rsidRPr="001C39AB">
              <w:rPr>
                <w:noProof/>
                <w:szCs w:val="20"/>
              </w:rPr>
              <w:t>RTI International</w:t>
            </w:r>
          </w:p>
          <w:p w:rsidR="00D96582" w:rsidRPr="001C39AB" w:rsidRDefault="00D96582" w:rsidP="00D96582">
            <w:pPr>
              <w:pStyle w:val="Style1"/>
              <w:rPr>
                <w:noProof/>
                <w:szCs w:val="20"/>
              </w:rPr>
            </w:pPr>
            <w:r w:rsidRPr="001C39AB">
              <w:rPr>
                <w:noProof/>
                <w:szCs w:val="20"/>
              </w:rPr>
              <w:t>3040 Cornwallis Road</w:t>
            </w:r>
          </w:p>
          <w:p w:rsidR="00D96582" w:rsidRDefault="00D96582" w:rsidP="00D96582">
            <w:pPr>
              <w:pStyle w:val="Style1"/>
              <w:rPr>
                <w:noProof/>
                <w:szCs w:val="20"/>
              </w:rPr>
            </w:pPr>
            <w:r w:rsidRPr="001C39AB">
              <w:rPr>
                <w:noProof/>
                <w:szCs w:val="20"/>
              </w:rPr>
              <w:t>Research Triangle Park, NC 27709</w:t>
            </w:r>
          </w:p>
          <w:p w:rsidR="00D96582" w:rsidRDefault="00D96582" w:rsidP="00D96582">
            <w:pPr>
              <w:pStyle w:val="Style1"/>
              <w:rPr>
                <w:noProof/>
                <w:szCs w:val="20"/>
              </w:rPr>
            </w:pPr>
            <w:r w:rsidRPr="00076FFE">
              <w:rPr>
                <w:noProof/>
                <w:szCs w:val="20"/>
              </w:rPr>
              <w:t>919-316-3972</w:t>
            </w:r>
          </w:p>
          <w:p w:rsidR="00D96582" w:rsidRPr="007473F8" w:rsidRDefault="005D0094" w:rsidP="00D96582">
            <w:pPr>
              <w:pStyle w:val="Style1"/>
              <w:rPr>
                <w:bCs w:val="0"/>
                <w:szCs w:val="20"/>
              </w:rPr>
            </w:pPr>
            <w:hyperlink r:id="rId17" w:history="1">
              <w:r w:rsidR="00D96582" w:rsidRPr="007473F8">
                <w:rPr>
                  <w:rStyle w:val="Hyperlink"/>
                  <w:bCs w:val="0"/>
                  <w:szCs w:val="20"/>
                </w:rPr>
                <w:t>akim@rti.org</w:t>
              </w:r>
            </w:hyperlink>
          </w:p>
          <w:p w:rsidR="007F0B28" w:rsidRDefault="007F0B28" w:rsidP="00592720">
            <w:pPr>
              <w:pStyle w:val="Style1"/>
              <w:rPr>
                <w:noProof/>
                <w:szCs w:val="20"/>
              </w:rPr>
            </w:pPr>
          </w:p>
          <w:p w:rsidR="00D96582" w:rsidRPr="001C39AB" w:rsidRDefault="00D96582" w:rsidP="00D96582">
            <w:pPr>
              <w:pStyle w:val="Style1"/>
              <w:rPr>
                <w:noProof/>
                <w:szCs w:val="20"/>
              </w:rPr>
            </w:pPr>
            <w:r w:rsidRPr="001C39AB">
              <w:rPr>
                <w:noProof/>
                <w:szCs w:val="20"/>
              </w:rPr>
              <w:t>Dr. Matthew Farrelly</w:t>
            </w:r>
          </w:p>
          <w:p w:rsidR="00D96582" w:rsidRPr="001C39AB" w:rsidRDefault="00D96582" w:rsidP="00D96582">
            <w:pPr>
              <w:pStyle w:val="Style1"/>
              <w:rPr>
                <w:noProof/>
                <w:szCs w:val="20"/>
              </w:rPr>
            </w:pPr>
            <w:r w:rsidRPr="001C39AB">
              <w:rPr>
                <w:noProof/>
                <w:szCs w:val="20"/>
              </w:rPr>
              <w:t>Chief Scientist and Director of RTI’s Public Health Policy Research Program</w:t>
            </w:r>
          </w:p>
          <w:p w:rsidR="00D96582" w:rsidRPr="001C39AB" w:rsidRDefault="00D96582" w:rsidP="00D96582">
            <w:pPr>
              <w:pStyle w:val="Style1"/>
              <w:rPr>
                <w:noProof/>
                <w:szCs w:val="20"/>
              </w:rPr>
            </w:pPr>
            <w:r w:rsidRPr="001C39AB">
              <w:rPr>
                <w:noProof/>
                <w:szCs w:val="20"/>
              </w:rPr>
              <w:t>RTI International</w:t>
            </w:r>
          </w:p>
          <w:p w:rsidR="00D96582" w:rsidRPr="001C39AB" w:rsidRDefault="00D96582" w:rsidP="00D96582">
            <w:pPr>
              <w:pStyle w:val="Style1"/>
              <w:rPr>
                <w:noProof/>
                <w:szCs w:val="20"/>
              </w:rPr>
            </w:pPr>
            <w:r w:rsidRPr="001C39AB">
              <w:rPr>
                <w:noProof/>
                <w:szCs w:val="20"/>
              </w:rPr>
              <w:t>3040 Cornwallis Road</w:t>
            </w:r>
          </w:p>
          <w:p w:rsidR="00D96582" w:rsidRPr="001C39AB" w:rsidRDefault="00D96582" w:rsidP="00D96582">
            <w:pPr>
              <w:pStyle w:val="Style1"/>
              <w:rPr>
                <w:noProof/>
                <w:szCs w:val="20"/>
              </w:rPr>
            </w:pPr>
            <w:bookmarkStart w:id="89" w:name="OLE_LINK1"/>
            <w:r w:rsidRPr="001C39AB">
              <w:rPr>
                <w:noProof/>
                <w:szCs w:val="20"/>
              </w:rPr>
              <w:t>Research Triangle Park, NC 27709</w:t>
            </w:r>
          </w:p>
          <w:bookmarkEnd w:id="89"/>
          <w:p w:rsidR="00D96582" w:rsidRPr="001C39AB" w:rsidRDefault="00D96582" w:rsidP="00D96582">
            <w:pPr>
              <w:pStyle w:val="Style1"/>
              <w:rPr>
                <w:noProof/>
                <w:szCs w:val="20"/>
              </w:rPr>
            </w:pPr>
            <w:r w:rsidRPr="001C39AB">
              <w:rPr>
                <w:noProof/>
                <w:szCs w:val="20"/>
              </w:rPr>
              <w:t>919</w:t>
            </w:r>
            <w:r>
              <w:rPr>
                <w:noProof/>
                <w:szCs w:val="20"/>
              </w:rPr>
              <w:t>-</w:t>
            </w:r>
            <w:r w:rsidRPr="001C39AB">
              <w:rPr>
                <w:noProof/>
                <w:szCs w:val="20"/>
              </w:rPr>
              <w:t>541-6852</w:t>
            </w:r>
          </w:p>
          <w:p w:rsidR="00D96582" w:rsidRDefault="005D0094" w:rsidP="00D96582">
            <w:pPr>
              <w:pStyle w:val="Style1"/>
            </w:pPr>
            <w:hyperlink r:id="rId18" w:tooltip="blocked::mailto:mcf@rti.org" w:history="1">
              <w:r w:rsidR="00D96582" w:rsidRPr="001C39AB">
                <w:rPr>
                  <w:rStyle w:val="Hyperlink"/>
                  <w:noProof/>
                  <w:szCs w:val="20"/>
                </w:rPr>
                <w:t>mcf@rti.org</w:t>
              </w:r>
            </w:hyperlink>
          </w:p>
          <w:p w:rsidR="00D96582" w:rsidRPr="001C39AB" w:rsidRDefault="00D96582" w:rsidP="00D96582">
            <w:pPr>
              <w:pStyle w:val="Style1"/>
              <w:rPr>
                <w:b/>
                <w:szCs w:val="20"/>
              </w:rPr>
            </w:pPr>
          </w:p>
          <w:p w:rsidR="00E62D49" w:rsidRDefault="00E62D49" w:rsidP="00D96582">
            <w:pPr>
              <w:pStyle w:val="Style1"/>
              <w:rPr>
                <w:szCs w:val="20"/>
              </w:rPr>
            </w:pPr>
            <w:r>
              <w:rPr>
                <w:szCs w:val="20"/>
              </w:rPr>
              <w:t>Heather Hagood, MPP</w:t>
            </w:r>
          </w:p>
          <w:p w:rsidR="00E62D49" w:rsidRDefault="00E62D49" w:rsidP="00D96582">
            <w:pPr>
              <w:pStyle w:val="Style1"/>
              <w:rPr>
                <w:szCs w:val="20"/>
              </w:rPr>
            </w:pPr>
            <w:r>
              <w:rPr>
                <w:szCs w:val="20"/>
              </w:rPr>
              <w:t>RTI International</w:t>
            </w:r>
          </w:p>
          <w:p w:rsidR="00E62D49" w:rsidRDefault="00E62D49" w:rsidP="00D96582">
            <w:pPr>
              <w:pStyle w:val="Style1"/>
              <w:rPr>
                <w:szCs w:val="20"/>
              </w:rPr>
            </w:pPr>
            <w:r>
              <w:rPr>
                <w:szCs w:val="20"/>
              </w:rPr>
              <w:t>701 13</w:t>
            </w:r>
            <w:r w:rsidRPr="00E62D49">
              <w:rPr>
                <w:szCs w:val="20"/>
                <w:vertAlign w:val="superscript"/>
              </w:rPr>
              <w:t>th</w:t>
            </w:r>
            <w:r>
              <w:rPr>
                <w:szCs w:val="20"/>
              </w:rPr>
              <w:t xml:space="preserve"> Street, NW, Suite 750</w:t>
            </w:r>
          </w:p>
          <w:p w:rsidR="00E62D49" w:rsidRDefault="00E62D49" w:rsidP="00D96582">
            <w:pPr>
              <w:pStyle w:val="Style1"/>
              <w:rPr>
                <w:szCs w:val="20"/>
              </w:rPr>
            </w:pPr>
            <w:r>
              <w:rPr>
                <w:szCs w:val="20"/>
              </w:rPr>
              <w:t>Washington, DC 20005</w:t>
            </w:r>
          </w:p>
          <w:p w:rsidR="00E62D49" w:rsidRDefault="00E62D49" w:rsidP="00D96582">
            <w:pPr>
              <w:pStyle w:val="Style1"/>
              <w:rPr>
                <w:szCs w:val="20"/>
              </w:rPr>
            </w:pPr>
            <w:r>
              <w:rPr>
                <w:szCs w:val="20"/>
              </w:rPr>
              <w:t>202-728-2043</w:t>
            </w:r>
          </w:p>
          <w:p w:rsidR="00E62D49" w:rsidRDefault="005D0094" w:rsidP="00D96582">
            <w:pPr>
              <w:pStyle w:val="Style1"/>
              <w:rPr>
                <w:szCs w:val="20"/>
              </w:rPr>
            </w:pPr>
            <w:hyperlink r:id="rId19" w:history="1">
              <w:r w:rsidR="00E62D49" w:rsidRPr="0083367B">
                <w:rPr>
                  <w:rStyle w:val="Hyperlink"/>
                  <w:szCs w:val="20"/>
                </w:rPr>
                <w:t>hhagood@rti.org</w:t>
              </w:r>
            </w:hyperlink>
            <w:r w:rsidR="00E62D49">
              <w:rPr>
                <w:szCs w:val="20"/>
              </w:rPr>
              <w:t xml:space="preserve"> </w:t>
            </w:r>
          </w:p>
          <w:p w:rsidR="00E62D49" w:rsidRDefault="00E62D49" w:rsidP="00D96582">
            <w:pPr>
              <w:pStyle w:val="Style1"/>
              <w:rPr>
                <w:szCs w:val="20"/>
              </w:rPr>
            </w:pPr>
          </w:p>
          <w:p w:rsidR="00D96582" w:rsidRPr="001C39AB" w:rsidRDefault="00D96582" w:rsidP="00D96582">
            <w:pPr>
              <w:pStyle w:val="Style1"/>
              <w:rPr>
                <w:b/>
                <w:szCs w:val="20"/>
              </w:rPr>
            </w:pPr>
            <w:r w:rsidRPr="001C39AB">
              <w:rPr>
                <w:szCs w:val="20"/>
              </w:rPr>
              <w:t>Vance Rabius, PhD</w:t>
            </w:r>
          </w:p>
          <w:p w:rsidR="00D96582" w:rsidRPr="001C39AB" w:rsidRDefault="00D96582" w:rsidP="00D96582">
            <w:pPr>
              <w:pStyle w:val="Style1"/>
              <w:rPr>
                <w:b/>
                <w:szCs w:val="20"/>
              </w:rPr>
            </w:pPr>
            <w:r w:rsidRPr="001C39AB">
              <w:rPr>
                <w:szCs w:val="20"/>
              </w:rPr>
              <w:t>The University of Texas MD Anderson Cancer Center</w:t>
            </w:r>
          </w:p>
          <w:p w:rsidR="00D96582" w:rsidRPr="001C39AB" w:rsidRDefault="00D96582" w:rsidP="00D96582">
            <w:pPr>
              <w:pStyle w:val="Style1"/>
              <w:rPr>
                <w:b/>
                <w:szCs w:val="20"/>
              </w:rPr>
            </w:pPr>
            <w:r w:rsidRPr="001C39AB">
              <w:rPr>
                <w:szCs w:val="20"/>
              </w:rPr>
              <w:t>Unit 1330</w:t>
            </w:r>
          </w:p>
          <w:p w:rsidR="00D96582" w:rsidRPr="001C39AB" w:rsidRDefault="00D96582" w:rsidP="00D96582">
            <w:pPr>
              <w:pStyle w:val="Style1"/>
              <w:rPr>
                <w:b/>
                <w:szCs w:val="20"/>
              </w:rPr>
            </w:pPr>
            <w:r w:rsidRPr="001C39AB">
              <w:rPr>
                <w:szCs w:val="20"/>
              </w:rPr>
              <w:t>P.O. Box 301439</w:t>
            </w:r>
          </w:p>
          <w:p w:rsidR="00D96582" w:rsidRPr="001C39AB" w:rsidRDefault="00D96582" w:rsidP="00D96582">
            <w:pPr>
              <w:pStyle w:val="Style1"/>
              <w:rPr>
                <w:b/>
                <w:szCs w:val="20"/>
              </w:rPr>
            </w:pPr>
            <w:r w:rsidRPr="001C39AB">
              <w:rPr>
                <w:szCs w:val="20"/>
              </w:rPr>
              <w:t>Houston, TX 77230-1439</w:t>
            </w:r>
          </w:p>
          <w:p w:rsidR="00D96582" w:rsidRPr="001C39AB" w:rsidRDefault="00D96582" w:rsidP="00D96582">
            <w:pPr>
              <w:pStyle w:val="Style1"/>
              <w:rPr>
                <w:b/>
                <w:szCs w:val="20"/>
              </w:rPr>
            </w:pPr>
            <w:r w:rsidRPr="001C39AB">
              <w:rPr>
                <w:szCs w:val="20"/>
              </w:rPr>
              <w:t>713-745-4474</w:t>
            </w:r>
          </w:p>
          <w:p w:rsidR="00D96582" w:rsidRPr="001C39AB" w:rsidRDefault="005D0094" w:rsidP="00D96582">
            <w:pPr>
              <w:pStyle w:val="Style1"/>
              <w:rPr>
                <w:b/>
                <w:szCs w:val="20"/>
              </w:rPr>
            </w:pPr>
            <w:hyperlink r:id="rId20" w:history="1">
              <w:r w:rsidR="00D96582" w:rsidRPr="001C39AB">
                <w:rPr>
                  <w:rStyle w:val="Hyperlink"/>
                  <w:szCs w:val="20"/>
                </w:rPr>
                <w:t>varabius@mdanderson.org</w:t>
              </w:r>
            </w:hyperlink>
          </w:p>
          <w:p w:rsidR="00D96582" w:rsidRPr="001C39AB" w:rsidRDefault="00D96582" w:rsidP="00D96582">
            <w:pPr>
              <w:pStyle w:val="Style1"/>
              <w:rPr>
                <w:b/>
                <w:szCs w:val="20"/>
              </w:rPr>
            </w:pPr>
          </w:p>
          <w:p w:rsidR="00D96582" w:rsidRPr="001C39AB" w:rsidRDefault="00D96582" w:rsidP="00D96582">
            <w:pPr>
              <w:pStyle w:val="Style1"/>
              <w:rPr>
                <w:b/>
                <w:szCs w:val="20"/>
              </w:rPr>
            </w:pPr>
            <w:r w:rsidRPr="001C39AB">
              <w:rPr>
                <w:szCs w:val="20"/>
              </w:rPr>
              <w:t>Kristen McCausland, MPH</w:t>
            </w:r>
          </w:p>
          <w:p w:rsidR="00D96582" w:rsidRPr="001C39AB" w:rsidRDefault="00D96582" w:rsidP="00D96582">
            <w:pPr>
              <w:pStyle w:val="Style1"/>
              <w:rPr>
                <w:b/>
                <w:szCs w:val="20"/>
              </w:rPr>
            </w:pPr>
            <w:r w:rsidRPr="001C39AB">
              <w:rPr>
                <w:szCs w:val="20"/>
              </w:rPr>
              <w:t>Department of Community Health, Brown University</w:t>
            </w:r>
          </w:p>
          <w:p w:rsidR="00D96582" w:rsidRPr="001C39AB" w:rsidRDefault="00D96582" w:rsidP="00D96582">
            <w:pPr>
              <w:pStyle w:val="Style1"/>
              <w:rPr>
                <w:b/>
                <w:szCs w:val="20"/>
              </w:rPr>
            </w:pPr>
            <w:r w:rsidRPr="001C39AB">
              <w:rPr>
                <w:szCs w:val="20"/>
              </w:rPr>
              <w:t>121 S. Main St.</w:t>
            </w:r>
          </w:p>
          <w:p w:rsidR="00D96582" w:rsidRPr="001C39AB" w:rsidRDefault="00D96582" w:rsidP="00D96582">
            <w:pPr>
              <w:pStyle w:val="Style1"/>
              <w:rPr>
                <w:b/>
                <w:szCs w:val="20"/>
              </w:rPr>
            </w:pPr>
            <w:r w:rsidRPr="001C39AB">
              <w:rPr>
                <w:szCs w:val="20"/>
              </w:rPr>
              <w:t>Providence, RI 02906</w:t>
            </w:r>
          </w:p>
          <w:p w:rsidR="00D96582" w:rsidRPr="001C39AB" w:rsidRDefault="00D96582" w:rsidP="00D96582">
            <w:pPr>
              <w:pStyle w:val="Style1"/>
              <w:rPr>
                <w:b/>
                <w:szCs w:val="20"/>
              </w:rPr>
            </w:pPr>
            <w:r w:rsidRPr="001C39AB">
              <w:rPr>
                <w:szCs w:val="20"/>
              </w:rPr>
              <w:t>410-258-5004</w:t>
            </w:r>
          </w:p>
          <w:p w:rsidR="00D96582" w:rsidRPr="001C39AB" w:rsidRDefault="00D96582" w:rsidP="00D96582">
            <w:pPr>
              <w:pStyle w:val="Style1"/>
              <w:rPr>
                <w:noProof/>
                <w:szCs w:val="20"/>
              </w:rPr>
            </w:pPr>
          </w:p>
        </w:tc>
      </w:tr>
    </w:tbl>
    <w:p w:rsidR="007F0B28" w:rsidRPr="00CF1100" w:rsidRDefault="007F0B28" w:rsidP="007F0B28">
      <w:pPr>
        <w:pStyle w:val="exhibitsource"/>
        <w:spacing w:line="360" w:lineRule="auto"/>
        <w:contextualSpacing/>
        <w:rPr>
          <w:sz w:val="22"/>
        </w:rPr>
      </w:pPr>
    </w:p>
    <w:p w:rsidR="007F0B28" w:rsidRDefault="007F0B28" w:rsidP="009D0976">
      <w:pPr>
        <w:pStyle w:val="Heading2"/>
      </w:pPr>
      <w:bookmarkStart w:id="90" w:name="_Toc143058444"/>
      <w:bookmarkStart w:id="91" w:name="_Toc146088442"/>
      <w:bookmarkStart w:id="92" w:name="_Toc260215296"/>
      <w:bookmarkStart w:id="93" w:name="_Toc296586379"/>
      <w:bookmarkStart w:id="94" w:name="_Toc297131695"/>
      <w:r w:rsidRPr="00CF1100">
        <w:t>A.9</w:t>
      </w:r>
      <w:r w:rsidRPr="00CF1100">
        <w:tab/>
        <w:t>Explanation of Any Payment or Gift to Respondents</w:t>
      </w:r>
      <w:bookmarkEnd w:id="90"/>
      <w:bookmarkEnd w:id="91"/>
      <w:bookmarkEnd w:id="92"/>
      <w:bookmarkEnd w:id="93"/>
      <w:bookmarkEnd w:id="94"/>
      <w:r w:rsidRPr="00CF1100">
        <w:t xml:space="preserve"> </w:t>
      </w:r>
    </w:p>
    <w:p w:rsidR="007F0B28" w:rsidRDefault="007F0B28" w:rsidP="009D0976">
      <w:pPr>
        <w:pStyle w:val="Heading3"/>
      </w:pPr>
      <w:bookmarkStart w:id="95" w:name="_Toc296586380"/>
      <w:bookmarkStart w:id="96" w:name="_Toc297131696"/>
      <w:r>
        <w:t xml:space="preserve">Quitline Promotional Activities </w:t>
      </w:r>
      <w:r w:rsidR="001E7609">
        <w:t>Component</w:t>
      </w:r>
      <w:bookmarkEnd w:id="95"/>
      <w:bookmarkEnd w:id="96"/>
    </w:p>
    <w:p w:rsidR="007F0B28" w:rsidRDefault="00E13003" w:rsidP="007473F8">
      <w:pPr>
        <w:pStyle w:val="bodytext0"/>
      </w:pPr>
      <w:r>
        <w:t>No</w:t>
      </w:r>
      <w:r w:rsidR="00AE069F">
        <w:t xml:space="preserve"> gift or payment </w:t>
      </w:r>
      <w:r>
        <w:t>will be made</w:t>
      </w:r>
      <w:r w:rsidR="00AE069F">
        <w:t xml:space="preserve"> to states for their participation</w:t>
      </w:r>
      <w:r w:rsidR="007F0B28">
        <w:t>.</w:t>
      </w:r>
      <w:r w:rsidR="00F51AAD">
        <w:t xml:space="preserve"> </w:t>
      </w:r>
    </w:p>
    <w:p w:rsidR="007F0B28" w:rsidRDefault="007F0B28" w:rsidP="009D0976">
      <w:pPr>
        <w:pStyle w:val="Heading3"/>
      </w:pPr>
      <w:bookmarkStart w:id="97" w:name="_Toc296586381"/>
      <w:bookmarkStart w:id="98" w:name="_Toc297131697"/>
      <w:r>
        <w:t xml:space="preserve">Cessation Intervention </w:t>
      </w:r>
      <w:r w:rsidR="001E7609">
        <w:t>Component</w:t>
      </w:r>
      <w:bookmarkEnd w:id="97"/>
      <w:bookmarkEnd w:id="98"/>
    </w:p>
    <w:p w:rsidR="007F0B28" w:rsidRPr="00CF1100" w:rsidRDefault="007F0B28" w:rsidP="007473F8">
      <w:pPr>
        <w:pStyle w:val="bodytext0"/>
      </w:pPr>
      <w:r w:rsidRPr="00CF1100">
        <w:t>Participants will be offered an honorarium of $40 for completi</w:t>
      </w:r>
      <w:r w:rsidR="007473F8">
        <w:t>ng</w:t>
      </w:r>
      <w:r w:rsidRPr="00CF1100">
        <w:t xml:space="preserve"> the </w:t>
      </w:r>
      <w:r w:rsidR="002250FD">
        <w:t xml:space="preserve">follow-up survey. The honorarium is </w:t>
      </w:r>
      <w:r w:rsidRPr="00CF1100">
        <w:t xml:space="preserve">intended to recognize the time burden placed on the participants, encourage </w:t>
      </w:r>
      <w:r w:rsidRPr="00CF1100">
        <w:lastRenderedPageBreak/>
        <w:t xml:space="preserve">their cooperation, and convey appreciation for contributing to this important study. Numerous empirical studies have shown that honoraria can significantly increase response rates (e.g., </w:t>
      </w:r>
      <w:proofErr w:type="spellStart"/>
      <w:r w:rsidRPr="00CF1100">
        <w:t>Abreu</w:t>
      </w:r>
      <w:proofErr w:type="spellEnd"/>
      <w:r w:rsidRPr="00CF1100">
        <w:t xml:space="preserve"> </w:t>
      </w:r>
      <w:r w:rsidR="007473F8">
        <w:t>&amp;</w:t>
      </w:r>
      <w:r w:rsidRPr="00CF1100">
        <w:t xml:space="preserve"> Winters, 1999; </w:t>
      </w:r>
      <w:proofErr w:type="spellStart"/>
      <w:r w:rsidRPr="00CF1100">
        <w:t>Shettle</w:t>
      </w:r>
      <w:proofErr w:type="spellEnd"/>
      <w:r w:rsidRPr="00CF1100">
        <w:t xml:space="preserve"> &amp; Mooney, 1999).</w:t>
      </w:r>
      <w:r w:rsidR="00F51AAD">
        <w:t xml:space="preserve"> </w:t>
      </w:r>
      <w:r w:rsidRPr="00CF1100">
        <w:t xml:space="preserve">The amount of the honoraria was </w:t>
      </w:r>
      <w:r w:rsidR="00AE069F">
        <w:t xml:space="preserve">budgeted for and </w:t>
      </w:r>
      <w:r w:rsidRPr="00CF1100">
        <w:t xml:space="preserve">determined through discussions with staff with expertise in conducting adult surveys about smokers. </w:t>
      </w:r>
    </w:p>
    <w:p w:rsidR="007F0B28" w:rsidRPr="00CF1100" w:rsidRDefault="007F0B28" w:rsidP="009D0976">
      <w:pPr>
        <w:pStyle w:val="Heading2"/>
      </w:pPr>
      <w:bookmarkStart w:id="99" w:name="_Toc260215297"/>
      <w:bookmarkStart w:id="100" w:name="_Toc296586382"/>
      <w:bookmarkStart w:id="101" w:name="_Toc297131698"/>
      <w:r w:rsidRPr="00CF1100">
        <w:t>A.10</w:t>
      </w:r>
      <w:r w:rsidRPr="00CF1100">
        <w:tab/>
        <w:t>Assurance of Confidentiality Provided to Respondents</w:t>
      </w:r>
      <w:bookmarkEnd w:id="99"/>
      <w:bookmarkEnd w:id="100"/>
      <w:bookmarkEnd w:id="101"/>
      <w:r w:rsidRPr="00CF1100">
        <w:t xml:space="preserve"> </w:t>
      </w:r>
    </w:p>
    <w:p w:rsidR="007F0B28" w:rsidRDefault="007F0B28" w:rsidP="009D0976">
      <w:pPr>
        <w:pStyle w:val="Heading3"/>
      </w:pPr>
      <w:bookmarkStart w:id="102" w:name="_Toc260215298"/>
      <w:bookmarkStart w:id="103" w:name="_Toc296586383"/>
      <w:bookmarkStart w:id="104" w:name="_Toc297131699"/>
      <w:r w:rsidRPr="00CF1100">
        <w:t>Privacy Impact Assessment Information</w:t>
      </w:r>
      <w:bookmarkEnd w:id="102"/>
      <w:bookmarkEnd w:id="103"/>
      <w:bookmarkEnd w:id="104"/>
    </w:p>
    <w:p w:rsidR="007F0B28" w:rsidRPr="00932429" w:rsidRDefault="007F0B28" w:rsidP="009D0976">
      <w:pPr>
        <w:pStyle w:val="Heading4"/>
      </w:pPr>
      <w:r w:rsidRPr="00932429">
        <w:t xml:space="preserve">Quitline Promotional Activities </w:t>
      </w:r>
      <w:r w:rsidR="001E7609">
        <w:t>Component</w:t>
      </w:r>
    </w:p>
    <w:p w:rsidR="007F0B28" w:rsidRDefault="002250FD" w:rsidP="007473F8">
      <w:pPr>
        <w:pStyle w:val="bodytext0"/>
      </w:pPr>
      <w:r>
        <w:t>T</w:t>
      </w:r>
      <w:r w:rsidRPr="00932429">
        <w:t>here is no risk to states for participating in this study</w:t>
      </w:r>
      <w:r>
        <w:t xml:space="preserve"> and only</w:t>
      </w:r>
      <w:r w:rsidR="007F0B28" w:rsidRPr="00932429">
        <w:t xml:space="preserve"> minimal risk of identifying individual users of the cessation programs included in this </w:t>
      </w:r>
      <w:r w:rsidR="0000399C">
        <w:t>component</w:t>
      </w:r>
      <w:r w:rsidR="007F0B28" w:rsidRPr="00932429">
        <w:t>.</w:t>
      </w:r>
      <w:r w:rsidR="00F51AAD">
        <w:t xml:space="preserve"> </w:t>
      </w:r>
      <w:r w:rsidR="007F0B28" w:rsidRPr="00932429">
        <w:t>Participating states can play a critical role in making this project informative to the tobac</w:t>
      </w:r>
      <w:r w:rsidR="0000399C">
        <w:t>co control community by sharing, aggregating, and analyzing</w:t>
      </w:r>
      <w:r w:rsidR="007F0B28" w:rsidRPr="00932429">
        <w:t xml:space="preserve"> </w:t>
      </w:r>
      <w:r w:rsidR="0000399C">
        <w:t xml:space="preserve">information about </w:t>
      </w:r>
      <w:r w:rsidR="007473F8">
        <w:t>q</w:t>
      </w:r>
      <w:r w:rsidR="007F0B28" w:rsidRPr="00932429">
        <w:t xml:space="preserve">uitline call volume and </w:t>
      </w:r>
      <w:r w:rsidR="00890564">
        <w:t>w</w:t>
      </w:r>
      <w:r w:rsidR="00A3338A">
        <w:t>ebsite</w:t>
      </w:r>
      <w:r w:rsidR="007F0B28" w:rsidRPr="00932429">
        <w:t xml:space="preserve"> traffic to promotional activities across multiple states.</w:t>
      </w:r>
      <w:r w:rsidR="00F51AAD">
        <w:t xml:space="preserve"> </w:t>
      </w:r>
      <w:r w:rsidR="007F0B28">
        <w:t xml:space="preserve">All quitline data in the NQDW </w:t>
      </w:r>
      <w:r w:rsidR="007473F8">
        <w:t xml:space="preserve">are </w:t>
      </w:r>
      <w:r w:rsidR="007F0B28">
        <w:t xml:space="preserve">de-identified; therefore, there is </w:t>
      </w:r>
      <w:r w:rsidR="00890564">
        <w:t xml:space="preserve">no </w:t>
      </w:r>
      <w:r w:rsidR="007F0B28">
        <w:t>risk of sharing sensitive information on quitline callers.</w:t>
      </w:r>
      <w:r w:rsidR="00F51AAD">
        <w:t xml:space="preserve"> </w:t>
      </w:r>
      <w:r w:rsidR="007F0B28" w:rsidRPr="00932429">
        <w:t xml:space="preserve">In addition, this is a mutually beneficial opportunity </w:t>
      </w:r>
      <w:r w:rsidR="007473F8">
        <w:t>that</w:t>
      </w:r>
      <w:r w:rsidR="007473F8" w:rsidRPr="00932429">
        <w:t xml:space="preserve"> </w:t>
      </w:r>
      <w:r w:rsidR="007F0B28" w:rsidRPr="00932429">
        <w:t>will help to inform state promotional strategies.</w:t>
      </w:r>
      <w:r w:rsidR="00F51AAD">
        <w:t xml:space="preserve"> </w:t>
      </w:r>
    </w:p>
    <w:p w:rsidR="007F0B28" w:rsidRDefault="007F0B28" w:rsidP="00076767">
      <w:pPr>
        <w:pStyle w:val="Heading4"/>
      </w:pPr>
      <w:r>
        <w:t xml:space="preserve">Cessation Intervention </w:t>
      </w:r>
      <w:r w:rsidR="001E7609">
        <w:t>Component</w:t>
      </w:r>
    </w:p>
    <w:p w:rsidR="007F0B28" w:rsidRPr="00076767" w:rsidRDefault="0000399C" w:rsidP="00B769F2">
      <w:pPr>
        <w:pStyle w:val="bodytext0"/>
      </w:pPr>
      <w:r>
        <w:t xml:space="preserve">This component entails </w:t>
      </w:r>
      <w:r w:rsidR="007F0B28" w:rsidRPr="00076767">
        <w:t xml:space="preserve">the measurement of minimally sensitive information. Respondents will be assured via the computer script or by the telephone interviewer that their </w:t>
      </w:r>
      <w:r w:rsidR="00606604">
        <w:t xml:space="preserve">individual </w:t>
      </w:r>
      <w:r w:rsidR="007F0B28" w:rsidRPr="00076767">
        <w:t>responses will not be shared with anyone outside the research team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rsidR="002B3730" w:rsidRDefault="007F0B28" w:rsidP="00B45E77">
      <w:pPr>
        <w:pStyle w:val="bodytext0"/>
      </w:pPr>
      <w:r w:rsidRPr="00076767">
        <w:t xml:space="preserve">To maintain privacy, each respondent has a personal password to open the </w:t>
      </w:r>
      <w:r w:rsidR="00504B73">
        <w:t>W</w:t>
      </w:r>
      <w:r w:rsidR="00E14E7A">
        <w:t xml:space="preserve">eb-based </w:t>
      </w:r>
      <w:r w:rsidRPr="00076767">
        <w:t xml:space="preserve">survey. No mention of the survey topic will be made in the initial e-mail introduction or before the potential respondent has entered his or her password and been given the opportunity to ensure that he or she has adequate </w:t>
      </w:r>
      <w:r w:rsidR="005C0D53">
        <w:t>privacy to complete the survey.</w:t>
      </w:r>
    </w:p>
    <w:p w:rsidR="00ED696C" w:rsidRDefault="00ED696C">
      <w:pPr>
        <w:spacing w:line="360" w:lineRule="auto"/>
        <w:rPr>
          <w:b/>
          <w:i/>
          <w:lang w:val="en-CA"/>
        </w:rPr>
      </w:pPr>
    </w:p>
    <w:p w:rsidR="00ED696C" w:rsidRDefault="00ED696C">
      <w:pPr>
        <w:spacing w:line="360" w:lineRule="auto"/>
        <w:rPr>
          <w:b/>
          <w:i/>
          <w:lang w:val="en-CA"/>
        </w:rPr>
      </w:pPr>
    </w:p>
    <w:p w:rsidR="00FE6EBD" w:rsidRDefault="00E6780A">
      <w:pPr>
        <w:spacing w:line="360" w:lineRule="auto"/>
        <w:rPr>
          <w:b/>
          <w:i/>
          <w:lang w:val="en-CA"/>
        </w:rPr>
      </w:pPr>
      <w:r w:rsidRPr="00E6780A">
        <w:rPr>
          <w:b/>
          <w:i/>
          <w:lang w:val="en-CA"/>
        </w:rPr>
        <w:lastRenderedPageBreak/>
        <w:t>Privacy Act Determination</w:t>
      </w:r>
    </w:p>
    <w:p w:rsidR="00FE6EBD" w:rsidRDefault="00154F41">
      <w:pPr>
        <w:spacing w:line="360" w:lineRule="auto"/>
        <w:rPr>
          <w:lang w:val="en-CA"/>
        </w:rPr>
      </w:pPr>
      <w:r>
        <w:rPr>
          <w:lang w:val="en-CA"/>
        </w:rPr>
        <w:t>Respondents for the promotional activities component of the study are tobacco control programs. No personal information will be collected, and the Privacy Act does not apply.</w:t>
      </w:r>
    </w:p>
    <w:p w:rsidR="00FE6EBD" w:rsidRDefault="00FE6EBD">
      <w:pPr>
        <w:spacing w:line="360" w:lineRule="auto"/>
        <w:rPr>
          <w:lang w:val="en-CA"/>
        </w:rPr>
      </w:pPr>
    </w:p>
    <w:p w:rsidR="00FE6EBD" w:rsidRDefault="00154F41">
      <w:pPr>
        <w:spacing w:line="360" w:lineRule="auto"/>
      </w:pPr>
      <w:r>
        <w:rPr>
          <w:lang w:val="en-CA"/>
        </w:rPr>
        <w:t>Identifiable client intake and follow-up information will be collected for the cessation intervention component of the proposed study</w:t>
      </w:r>
      <w:r w:rsidR="000A72CE">
        <w:rPr>
          <w:lang w:val="en-CA"/>
        </w:rPr>
        <w:t xml:space="preserve">. </w:t>
      </w:r>
      <w:r>
        <w:rPr>
          <w:lang w:val="en-CA"/>
        </w:rPr>
        <w:t>The Privacy Act applies to these data collections</w:t>
      </w:r>
      <w:r w:rsidR="000A72CE">
        <w:rPr>
          <w:lang w:val="en-CA"/>
        </w:rPr>
        <w:t xml:space="preserve">. </w:t>
      </w:r>
      <w:r>
        <w:rPr>
          <w:lang w:val="en-CA"/>
        </w:rPr>
        <w:t xml:space="preserve">The applicable System of Records </w:t>
      </w:r>
      <w:r w:rsidRPr="00154F41">
        <w:rPr>
          <w:lang w:val="en-CA"/>
        </w:rPr>
        <w:t xml:space="preserve">Notice is 09-20-0136, </w:t>
      </w:r>
      <w:r w:rsidR="00E6780A" w:rsidRPr="00D958DE">
        <w:t>Epidemiologic Studies and Surveillance of Disease Problems.</w:t>
      </w:r>
      <w:r w:rsidRPr="00154F41">
        <w:rPr>
          <w:lang w:val="en-CA"/>
        </w:rPr>
        <w:t xml:space="preserve"> </w:t>
      </w:r>
    </w:p>
    <w:p w:rsidR="002250FD" w:rsidRDefault="002250FD" w:rsidP="002250FD">
      <w:pPr>
        <w:pStyle w:val="Heading3"/>
      </w:pPr>
      <w:bookmarkStart w:id="105" w:name="_Toc296586384"/>
      <w:bookmarkStart w:id="106" w:name="_Toc297131700"/>
      <w:r>
        <w:t>Safeguards</w:t>
      </w:r>
      <w:bookmarkEnd w:id="105"/>
      <w:bookmarkEnd w:id="106"/>
    </w:p>
    <w:p w:rsidR="0000399C" w:rsidRDefault="002250FD" w:rsidP="00B45E77">
      <w:pPr>
        <w:pStyle w:val="Heading4"/>
        <w:ind w:left="0"/>
      </w:pPr>
      <w:r w:rsidRPr="00932429">
        <w:t xml:space="preserve">Quitline Promotional Activities </w:t>
      </w:r>
      <w:r>
        <w:t>Component</w:t>
      </w:r>
    </w:p>
    <w:p w:rsidR="0000399C" w:rsidRDefault="00E13003" w:rsidP="0000399C">
      <w:pPr>
        <w:pStyle w:val="bodytext0"/>
      </w:pPr>
      <w:r>
        <w:t>Investigators</w:t>
      </w:r>
      <w:r w:rsidRPr="00076767">
        <w:t xml:space="preserve"> </w:t>
      </w:r>
      <w:r w:rsidR="0000399C" w:rsidRPr="00076767">
        <w:t>maintain restricted access to all data preparation areas (</w:t>
      </w:r>
      <w:r w:rsidR="0000399C">
        <w:t>e.g.</w:t>
      </w:r>
      <w:r w:rsidR="0000399C" w:rsidRPr="00076767">
        <w:t>, receipt and coding). All data files on multi-user</w:t>
      </w:r>
      <w:r w:rsidR="0000399C" w:rsidRPr="00CF1100">
        <w:t xml:space="preserve"> systems will be under the control of a database manager, with access limited to project staff on a </w:t>
      </w:r>
      <w:r w:rsidR="0000399C">
        <w:t>“</w:t>
      </w:r>
      <w:r w:rsidR="0000399C" w:rsidRPr="00CF1100">
        <w:t>need-to-know</w:t>
      </w:r>
      <w:r w:rsidR="0000399C">
        <w:t>”</w:t>
      </w:r>
      <w:r w:rsidR="0000399C" w:rsidRPr="00CF1100">
        <w:t xml:space="preserve"> basis only. </w:t>
      </w:r>
      <w:r>
        <w:t>Investigators</w:t>
      </w:r>
      <w:r w:rsidRPr="00CF1100">
        <w:t xml:space="preserve"> </w:t>
      </w:r>
      <w:r w:rsidR="0000399C" w:rsidRPr="00CF1100">
        <w:t>take multiple security measures to ensure separation between respondents</w:t>
      </w:r>
      <w:r w:rsidR="0000399C">
        <w:t>’</w:t>
      </w:r>
      <w:r w:rsidR="0000399C" w:rsidRPr="00CF1100">
        <w:t xml:space="preserve"> identit</w:t>
      </w:r>
      <w:r w:rsidR="0000399C">
        <w:t>ies and their survey data.</w:t>
      </w:r>
    </w:p>
    <w:p w:rsidR="002250FD" w:rsidRDefault="002250FD" w:rsidP="00D958DE">
      <w:pPr>
        <w:pStyle w:val="Heading4"/>
      </w:pPr>
      <w:r>
        <w:t>Cessation Intervention Component</w:t>
      </w:r>
    </w:p>
    <w:p w:rsidR="0000399C" w:rsidRDefault="0000399C" w:rsidP="0000399C">
      <w:pPr>
        <w:pStyle w:val="bodytext0"/>
      </w:pPr>
      <w:r w:rsidRPr="00076767">
        <w:t>To maintain privacy, each respondent has a personal password to open the</w:t>
      </w:r>
      <w:r w:rsidR="00504B73">
        <w:t xml:space="preserve"> W</w:t>
      </w:r>
      <w:r w:rsidR="00E14E7A">
        <w:t>eb-based</w:t>
      </w:r>
      <w:r w:rsidRPr="00076767">
        <w:t xml:space="preserve"> survey. No mention of the survey topic will be made in the initial e-mail introduction or before the potential respondent has entered his or her password and been given the opportunity to ensure that he or she has adequate privacy to complete the survey. </w:t>
      </w:r>
    </w:p>
    <w:p w:rsidR="0000399C" w:rsidRDefault="00E13003" w:rsidP="006B0460">
      <w:pPr>
        <w:pStyle w:val="bodytext0"/>
        <w:ind w:firstLine="0"/>
      </w:pPr>
      <w:r>
        <w:t>Investigators</w:t>
      </w:r>
      <w:r w:rsidRPr="00076767">
        <w:t xml:space="preserve"> </w:t>
      </w:r>
      <w:r w:rsidR="0000399C" w:rsidRPr="00076767">
        <w:t>maintain restricted access to all data preparation areas (</w:t>
      </w:r>
      <w:r w:rsidR="0000399C">
        <w:t>e.g.</w:t>
      </w:r>
      <w:r w:rsidR="0000399C" w:rsidRPr="00076767">
        <w:t>, receipt and coding). All data files on multi-user</w:t>
      </w:r>
      <w:r w:rsidR="0000399C" w:rsidRPr="00CF1100">
        <w:t xml:space="preserve"> systems will be under the control of a database manager, with access limited to project staff on a </w:t>
      </w:r>
      <w:r w:rsidR="0000399C">
        <w:t>“</w:t>
      </w:r>
      <w:r w:rsidR="0000399C" w:rsidRPr="00CF1100">
        <w:t>need-to-know</w:t>
      </w:r>
      <w:r w:rsidR="0000399C">
        <w:t>”</w:t>
      </w:r>
      <w:r w:rsidR="0000399C" w:rsidRPr="00CF1100">
        <w:t xml:space="preserve"> basis only. </w:t>
      </w:r>
      <w:r>
        <w:t>Investigators</w:t>
      </w:r>
      <w:r w:rsidRPr="00CF1100">
        <w:t xml:space="preserve"> </w:t>
      </w:r>
      <w:r w:rsidR="0000399C" w:rsidRPr="00CF1100">
        <w:t>take multiple security measures to ensure separation between respondents</w:t>
      </w:r>
      <w:r w:rsidR="0000399C">
        <w:t>’</w:t>
      </w:r>
      <w:r w:rsidR="0000399C" w:rsidRPr="00CF1100">
        <w:t xml:space="preserve"> identit</w:t>
      </w:r>
      <w:r w:rsidR="0000399C">
        <w:t>ies and their survey data.</w:t>
      </w:r>
    </w:p>
    <w:p w:rsidR="00FE6EBD" w:rsidRDefault="002250FD">
      <w:pPr>
        <w:pStyle w:val="Heading3"/>
        <w:ind w:left="0" w:firstLine="0"/>
      </w:pPr>
      <w:r>
        <w:lastRenderedPageBreak/>
        <w:t xml:space="preserve"> </w:t>
      </w:r>
      <w:bookmarkStart w:id="107" w:name="_Toc296586385"/>
      <w:bookmarkStart w:id="108" w:name="_Toc297131701"/>
      <w:r>
        <w:t>Consent</w:t>
      </w:r>
      <w:bookmarkEnd w:id="107"/>
      <w:bookmarkEnd w:id="108"/>
    </w:p>
    <w:p w:rsidR="00FE6EBD" w:rsidRDefault="002250FD">
      <w:pPr>
        <w:pStyle w:val="Heading4"/>
        <w:ind w:left="0"/>
      </w:pPr>
      <w:r w:rsidRPr="00932429">
        <w:t xml:space="preserve">Quitline Promotional Activities </w:t>
      </w:r>
      <w:r>
        <w:t>Component</w:t>
      </w:r>
    </w:p>
    <w:p w:rsidR="00FE6EBD" w:rsidRDefault="0000399C">
      <w:pPr>
        <w:pStyle w:val="Heading4"/>
        <w:ind w:left="0"/>
        <w:rPr>
          <w:b w:val="0"/>
          <w:u w:val="none"/>
        </w:rPr>
      </w:pPr>
      <w:r>
        <w:rPr>
          <w:b w:val="0"/>
          <w:u w:val="none"/>
        </w:rPr>
        <w:t>No consent is required as this is a secondary data analysis with de-identified data.</w:t>
      </w:r>
    </w:p>
    <w:p w:rsidR="00FE6EBD" w:rsidRDefault="002250FD">
      <w:pPr>
        <w:pStyle w:val="Heading4"/>
        <w:ind w:left="0"/>
      </w:pPr>
      <w:r>
        <w:t>Cessation Intervention Component</w:t>
      </w:r>
    </w:p>
    <w:p w:rsidR="002250FD" w:rsidRDefault="0000399C" w:rsidP="006B0460">
      <w:pPr>
        <w:pStyle w:val="bodytext0"/>
        <w:ind w:firstLine="0"/>
      </w:pPr>
      <w:r w:rsidRPr="00076767">
        <w:t xml:space="preserve">All respondents will be assured that the information will be used only for the purpose of this research and will be kept private to the extent allowable by law, as detailed in a study consent form (see </w:t>
      </w:r>
      <w:r w:rsidRPr="00AC4624">
        <w:rPr>
          <w:b/>
        </w:rPr>
        <w:t>Appendix 7</w:t>
      </w:r>
      <w:r w:rsidRPr="00076767">
        <w:t>).</w:t>
      </w:r>
    </w:p>
    <w:p w:rsidR="00006439" w:rsidRDefault="00006439" w:rsidP="00006439">
      <w:pPr>
        <w:pStyle w:val="bodytext0"/>
        <w:ind w:firstLine="0"/>
      </w:pPr>
      <w:r w:rsidRPr="00CF1100">
        <w:t xml:space="preserve">A copy of the </w:t>
      </w:r>
      <w:r>
        <w:t>IRB documentation is</w:t>
      </w:r>
      <w:r w:rsidRPr="00CF1100">
        <w:t xml:space="preserve"> </w:t>
      </w:r>
      <w:r w:rsidRPr="00F14AB4">
        <w:t xml:space="preserve">provided in </w:t>
      </w:r>
      <w:r w:rsidRPr="002250FD">
        <w:rPr>
          <w:b/>
        </w:rPr>
        <w:t>Appendi</w:t>
      </w:r>
      <w:r>
        <w:rPr>
          <w:b/>
        </w:rPr>
        <w:t>x 11</w:t>
      </w:r>
      <w:r w:rsidRPr="0034467B">
        <w:t>.</w:t>
      </w:r>
    </w:p>
    <w:p w:rsidR="002250FD" w:rsidRDefault="002250FD" w:rsidP="002250FD">
      <w:pPr>
        <w:pStyle w:val="Heading3"/>
      </w:pPr>
      <w:bookmarkStart w:id="109" w:name="_Toc296586386"/>
      <w:bookmarkStart w:id="110" w:name="_Toc297131702"/>
      <w:r>
        <w:t>A.10.D Nature of Response</w:t>
      </w:r>
      <w:bookmarkEnd w:id="109"/>
      <w:bookmarkEnd w:id="110"/>
    </w:p>
    <w:p w:rsidR="002250FD" w:rsidRPr="00932429" w:rsidRDefault="002250FD" w:rsidP="00D958DE">
      <w:pPr>
        <w:pStyle w:val="Heading4"/>
      </w:pPr>
      <w:r w:rsidRPr="00932429">
        <w:t xml:space="preserve">Quitline Promotional Activities </w:t>
      </w:r>
      <w:r>
        <w:t>Component</w:t>
      </w:r>
    </w:p>
    <w:p w:rsidR="00FE6EBD" w:rsidRDefault="006B0460" w:rsidP="005C0D53">
      <w:pPr>
        <w:pStyle w:val="Heading4"/>
        <w:rPr>
          <w:b w:val="0"/>
          <w:u w:val="none"/>
        </w:rPr>
      </w:pPr>
      <w:r>
        <w:rPr>
          <w:b w:val="0"/>
          <w:u w:val="none"/>
        </w:rPr>
        <w:t xml:space="preserve">Participation is voluntary. </w:t>
      </w:r>
      <w:r w:rsidR="00E13003">
        <w:rPr>
          <w:b w:val="0"/>
          <w:u w:val="none"/>
        </w:rPr>
        <w:t>Investigators anticipate</w:t>
      </w:r>
      <w:r>
        <w:rPr>
          <w:b w:val="0"/>
          <w:u w:val="none"/>
        </w:rPr>
        <w:t xml:space="preserve"> that all 50 state-based TCPs will agree to participate.</w:t>
      </w:r>
    </w:p>
    <w:p w:rsidR="002250FD" w:rsidRDefault="002250FD" w:rsidP="00D958DE">
      <w:pPr>
        <w:pStyle w:val="Heading4"/>
      </w:pPr>
      <w:r>
        <w:t>Cessation Intervention Component</w:t>
      </w:r>
    </w:p>
    <w:p w:rsidR="00FE6EBD" w:rsidRDefault="00330673" w:rsidP="00B45E77">
      <w:pPr>
        <w:pStyle w:val="bodytext0"/>
        <w:ind w:firstLine="0"/>
      </w:pPr>
      <w:r>
        <w:t xml:space="preserve">Participation is a condition of award for the four state-based TCPs that agree to participate in this study </w:t>
      </w:r>
      <w:r w:rsidR="00E14E7A">
        <w:t>component;</w:t>
      </w:r>
      <w:r>
        <w:t xml:space="preserve"> however, p</w:t>
      </w:r>
      <w:r w:rsidR="005C0D53">
        <w:t>articipation is voluntary for quitline</w:t>
      </w:r>
      <w:r>
        <w:t xml:space="preserve"> clien</w:t>
      </w:r>
      <w:r w:rsidR="005C0D53">
        <w:t>ts and Web clients. Access to quitline</w:t>
      </w:r>
      <w:r>
        <w:t xml:space="preserve"> or </w:t>
      </w:r>
      <w:r w:rsidR="00504B73">
        <w:t>W</w:t>
      </w:r>
      <w:r>
        <w:t>eb services will not be affected for individuals who choose not to participate in the study.</w:t>
      </w:r>
      <w:r w:rsidR="00006439">
        <w:t xml:space="preserve"> </w:t>
      </w:r>
    </w:p>
    <w:p w:rsidR="007F0B28" w:rsidRDefault="007F0B28" w:rsidP="009D0976">
      <w:pPr>
        <w:pStyle w:val="Heading2"/>
      </w:pPr>
      <w:bookmarkStart w:id="111" w:name="_Toc143058446"/>
      <w:bookmarkStart w:id="112" w:name="_Toc146088444"/>
      <w:bookmarkStart w:id="113" w:name="_Toc260215299"/>
      <w:bookmarkStart w:id="114" w:name="_Toc296586387"/>
      <w:bookmarkStart w:id="115" w:name="_Toc297131703"/>
      <w:r w:rsidRPr="00CF1100">
        <w:t>A.11</w:t>
      </w:r>
      <w:r w:rsidRPr="00CF1100">
        <w:tab/>
        <w:t>Justification for Sensitive Questions</w:t>
      </w:r>
      <w:bookmarkEnd w:id="111"/>
      <w:bookmarkEnd w:id="112"/>
      <w:bookmarkEnd w:id="113"/>
      <w:bookmarkEnd w:id="114"/>
      <w:bookmarkEnd w:id="115"/>
      <w:r w:rsidRPr="00CF1100">
        <w:t xml:space="preserve"> </w:t>
      </w:r>
    </w:p>
    <w:p w:rsidR="007F0B28" w:rsidRDefault="007F0B28" w:rsidP="009D0976">
      <w:pPr>
        <w:pStyle w:val="Heading3"/>
      </w:pPr>
      <w:bookmarkStart w:id="116" w:name="_Toc297131704"/>
      <w:r w:rsidRPr="00EF6E3B">
        <w:t xml:space="preserve">Quitline Promotional Activities </w:t>
      </w:r>
      <w:r w:rsidR="001E7609">
        <w:t>Component</w:t>
      </w:r>
      <w:bookmarkEnd w:id="116"/>
    </w:p>
    <w:p w:rsidR="007F0B28" w:rsidRPr="00EF6E3B" w:rsidRDefault="0000399C" w:rsidP="00B769F2">
      <w:pPr>
        <w:pStyle w:val="bodytext0"/>
      </w:pPr>
      <w:r>
        <w:t>No sensitive information will be collected in this component.</w:t>
      </w:r>
    </w:p>
    <w:p w:rsidR="007F0B28" w:rsidRDefault="007F0B28" w:rsidP="009D0976">
      <w:pPr>
        <w:pStyle w:val="Heading3"/>
      </w:pPr>
      <w:bookmarkStart w:id="117" w:name="_Toc297131705"/>
      <w:r>
        <w:t xml:space="preserve">Cessation Intervention </w:t>
      </w:r>
      <w:r w:rsidR="001E7609">
        <w:t>Component</w:t>
      </w:r>
      <w:bookmarkEnd w:id="117"/>
    </w:p>
    <w:p w:rsidR="007F0B28" w:rsidRPr="00CF1100" w:rsidRDefault="007F0B28" w:rsidP="007473F8">
      <w:pPr>
        <w:pStyle w:val="bodytext0"/>
      </w:pPr>
      <w:r w:rsidRPr="00CF1100">
        <w:t>The purpose of this study is to examine the comparative effectiveness of two types of cessation interventions that differ by way of service modality (</w:t>
      </w:r>
      <w:r w:rsidR="00560D87">
        <w:t>e.g.</w:t>
      </w:r>
      <w:r w:rsidR="00076767">
        <w:t xml:space="preserve">, </w:t>
      </w:r>
      <w:r w:rsidRPr="00CF1100">
        <w:t xml:space="preserve">telephone-based vs. </w:t>
      </w:r>
      <w:r w:rsidR="008E3638">
        <w:t>Web</w:t>
      </w:r>
      <w:r w:rsidR="00F14AB4">
        <w:t>-based</w:t>
      </w:r>
      <w:r w:rsidRPr="00CF1100">
        <w:t>).</w:t>
      </w:r>
      <w:r w:rsidR="00F51AAD">
        <w:t xml:space="preserve"> </w:t>
      </w:r>
      <w:r w:rsidRPr="00CF1100">
        <w:t>Many of the questions on the intake and foll</w:t>
      </w:r>
      <w:r w:rsidR="008F7F28">
        <w:t>ow-up questionnaires are smoking</w:t>
      </w:r>
      <w:r w:rsidRPr="00CF1100">
        <w:t>-related.</w:t>
      </w:r>
      <w:r w:rsidR="00F51AAD">
        <w:t xml:space="preserve"> </w:t>
      </w:r>
      <w:r w:rsidRPr="00CF1100">
        <w:t xml:space="preserve">While an individual may feel some discomfort in discussing their </w:t>
      </w:r>
      <w:r w:rsidR="00A814A7">
        <w:t xml:space="preserve">smoking behaviors </w:t>
      </w:r>
      <w:r w:rsidRPr="00CF1100">
        <w:t>due to the decreased social desirability of smoking behaviors or d</w:t>
      </w:r>
      <w:r w:rsidR="007473F8">
        <w:t>ue</w:t>
      </w:r>
      <w:r w:rsidRPr="00CF1100">
        <w:t xml:space="preserve"> to their difficulty quitting, the items on these surveys are gener</w:t>
      </w:r>
      <w:r w:rsidR="005C0D53">
        <w:t xml:space="preserve">ally considered to be minimally </w:t>
      </w:r>
      <w:r w:rsidRPr="00CF1100">
        <w:t>sensitive in nature</w:t>
      </w:r>
      <w:r w:rsidR="005C0D53">
        <w:t xml:space="preserve"> and expected in a cessation intervention</w:t>
      </w:r>
      <w:r w:rsidRPr="00CF1100">
        <w:t>.</w:t>
      </w:r>
      <w:r w:rsidR="00F51AAD">
        <w:t xml:space="preserve"> </w:t>
      </w:r>
      <w:r w:rsidR="007C3DBC">
        <w:t xml:space="preserve">All of the intake items and the majority of the follow-up items are </w:t>
      </w:r>
      <w:r w:rsidR="007C3DBC">
        <w:lastRenderedPageBreak/>
        <w:t xml:space="preserve">standard items that conform to the MDS which has been implemented by all state </w:t>
      </w:r>
      <w:proofErr w:type="spellStart"/>
      <w:r w:rsidR="007C3DBC">
        <w:t>quitlines</w:t>
      </w:r>
      <w:proofErr w:type="spellEnd"/>
      <w:r w:rsidR="0000399C">
        <w:t xml:space="preserve"> to varying degrees </w:t>
      </w:r>
      <w:r w:rsidR="009E714A">
        <w:t>and reviewed by OMB (</w:t>
      </w:r>
      <w:r w:rsidR="000A2CF7">
        <w:t xml:space="preserve">NQDW, </w:t>
      </w:r>
      <w:r w:rsidR="009E714A" w:rsidRPr="003D0A33">
        <w:t xml:space="preserve">OMB </w:t>
      </w:r>
      <w:r w:rsidR="000A2CF7">
        <w:t>c</w:t>
      </w:r>
      <w:r w:rsidR="009E714A" w:rsidRPr="003D0A33">
        <w:t xml:space="preserve">ontrol </w:t>
      </w:r>
      <w:r w:rsidR="000A2CF7">
        <w:t>n</w:t>
      </w:r>
      <w:r w:rsidR="009E714A" w:rsidRPr="003D0A33">
        <w:t>o</w:t>
      </w:r>
      <w:r w:rsidR="000A2CF7">
        <w:t>.</w:t>
      </w:r>
      <w:r w:rsidR="009E714A" w:rsidRPr="003D0A33">
        <w:t xml:space="preserve"> 0920-0856</w:t>
      </w:r>
      <w:r w:rsidR="0089374E">
        <w:t>, exp</w:t>
      </w:r>
      <w:r w:rsidR="000A2CF7">
        <w:t>.</w:t>
      </w:r>
      <w:r w:rsidR="0089374E">
        <w:t xml:space="preserve"> 07/31/2012</w:t>
      </w:r>
      <w:r w:rsidR="009E714A">
        <w:t>)</w:t>
      </w:r>
      <w:r w:rsidR="00A3338A">
        <w:t xml:space="preserve">. </w:t>
      </w:r>
      <w:r w:rsidRPr="00CF1100">
        <w:t xml:space="preserve">Furthermore, the </w:t>
      </w:r>
      <w:r w:rsidR="007473F8">
        <w:t xml:space="preserve">study </w:t>
      </w:r>
      <w:r w:rsidRPr="00CF1100">
        <w:t>participants are seeking help to quit smoking; therefore, they are showing a willingness to think about and/or discuss their smoking behaviors.</w:t>
      </w:r>
      <w:r w:rsidR="00F51AAD">
        <w:t xml:space="preserve"> </w:t>
      </w:r>
    </w:p>
    <w:p w:rsidR="007F0B28" w:rsidRPr="00CF1100" w:rsidRDefault="007F0B28" w:rsidP="007473F8">
      <w:pPr>
        <w:pStyle w:val="bodytext0"/>
      </w:pPr>
      <w:r w:rsidRPr="00CF1100">
        <w:t>The intake questionnaire also includes several demographic items (e.g.</w:t>
      </w:r>
      <w:r w:rsidR="000A2CF7">
        <w:t>,</w:t>
      </w:r>
      <w:r w:rsidRPr="00CF1100">
        <w:t xml:space="preserve"> gender, year of birth, zip code, educational attainment, race</w:t>
      </w:r>
      <w:r w:rsidR="007473F8">
        <w:t>,</w:t>
      </w:r>
      <w:r w:rsidRPr="00CF1100">
        <w:t xml:space="preserve"> </w:t>
      </w:r>
      <w:proofErr w:type="gramStart"/>
      <w:r w:rsidRPr="00CF1100">
        <w:t>ethnicity</w:t>
      </w:r>
      <w:proofErr w:type="gramEnd"/>
      <w:r w:rsidRPr="00CF1100">
        <w:t>).</w:t>
      </w:r>
      <w:r w:rsidR="00F51AAD">
        <w:t xml:space="preserve"> </w:t>
      </w:r>
      <w:r w:rsidRPr="00CF1100">
        <w:t>The follow-up questionnaire includes a few additional demographic items</w:t>
      </w:r>
      <w:r w:rsidR="003D01BC">
        <w:t xml:space="preserve"> not collected in NQDW</w:t>
      </w:r>
      <w:r w:rsidRPr="00CF1100">
        <w:t xml:space="preserve"> (e.g.</w:t>
      </w:r>
      <w:r w:rsidR="007473F8">
        <w:t>,</w:t>
      </w:r>
      <w:r w:rsidRPr="00CF1100">
        <w:t xml:space="preserve"> current employment status</w:t>
      </w:r>
      <w:r w:rsidR="007473F8">
        <w:t>,</w:t>
      </w:r>
      <w:r w:rsidRPr="00CF1100">
        <w:t xml:space="preserve"> marital status).</w:t>
      </w:r>
      <w:r w:rsidR="00F51AAD">
        <w:t xml:space="preserve"> </w:t>
      </w:r>
      <w:r w:rsidRPr="00CF1100">
        <w:t>All of these characteristics can be predictive of smoking cessation outcomes; therefore, they are important contextual factors to include in analyses.</w:t>
      </w:r>
    </w:p>
    <w:p w:rsidR="007F0B28" w:rsidRDefault="007F0B28" w:rsidP="00076767">
      <w:pPr>
        <w:pStyle w:val="bodytext0"/>
      </w:pPr>
      <w:r w:rsidRPr="00CF1100">
        <w:t>OMB considers questions regarding race and ethnicity to be sensitive.</w:t>
      </w:r>
      <w:r w:rsidR="00F51AAD">
        <w:t xml:space="preserve"> </w:t>
      </w:r>
      <w:r w:rsidRPr="00CF1100">
        <w:t>These items on the intake surveys follow all of the standards set forth by the</w:t>
      </w:r>
      <w:r w:rsidR="007C3DBC">
        <w:t xml:space="preserve"> MDS and the OMB Directive No. 15 on Race and Ethnic Standards for Federal Statistics</w:t>
      </w:r>
      <w:r w:rsidR="0089374E">
        <w:t xml:space="preserve"> and Administrative Reporting (a</w:t>
      </w:r>
      <w:r w:rsidR="007C3DBC">
        <w:t xml:space="preserve">vailable from:  </w:t>
      </w:r>
      <w:hyperlink r:id="rId21" w:history="1">
        <w:r w:rsidR="009E714A" w:rsidRPr="00262A61">
          <w:rPr>
            <w:rStyle w:val="Hyperlink"/>
          </w:rPr>
          <w:t>http://wonder.cdc.gov/wonder/help/populations/bridged-race/Directive15.html</w:t>
        </w:r>
      </w:hyperlink>
      <w:r w:rsidR="007C3DBC">
        <w:t>).</w:t>
      </w:r>
      <w:r w:rsidR="00F51AAD">
        <w:t xml:space="preserve"> </w:t>
      </w:r>
      <w:r w:rsidR="0089374E">
        <w:t>All questions on the surveys are necessary to achieve study goals and allow investigators to conduct a thorough analysis of the findings.</w:t>
      </w:r>
    </w:p>
    <w:p w:rsidR="007F0B28" w:rsidRPr="00CF1100" w:rsidRDefault="007F0B28" w:rsidP="009D0976">
      <w:pPr>
        <w:pStyle w:val="Heading2"/>
      </w:pPr>
      <w:bookmarkStart w:id="118" w:name="_Toc143058447"/>
      <w:bookmarkStart w:id="119" w:name="_Toc146088445"/>
      <w:bookmarkStart w:id="120" w:name="_Toc260215300"/>
      <w:bookmarkStart w:id="121" w:name="_Toc296586390"/>
      <w:bookmarkStart w:id="122" w:name="_Toc297131706"/>
      <w:r w:rsidRPr="00CF1100">
        <w:t>A.12</w:t>
      </w:r>
      <w:r w:rsidRPr="00CF1100">
        <w:tab/>
        <w:t xml:space="preserve">Estimates </w:t>
      </w:r>
      <w:r w:rsidR="00061CFD">
        <w:t xml:space="preserve">of </w:t>
      </w:r>
      <w:r w:rsidRPr="00CF1100">
        <w:t>Burden Hours and Costs</w:t>
      </w:r>
      <w:bookmarkEnd w:id="118"/>
      <w:bookmarkEnd w:id="119"/>
      <w:bookmarkEnd w:id="120"/>
      <w:bookmarkEnd w:id="121"/>
      <w:bookmarkEnd w:id="122"/>
      <w:r w:rsidRPr="00CF1100">
        <w:t xml:space="preserve"> </w:t>
      </w:r>
    </w:p>
    <w:p w:rsidR="00D462A0" w:rsidRDefault="00D462A0" w:rsidP="00076767">
      <w:pPr>
        <w:pStyle w:val="bodytext0"/>
      </w:pPr>
      <w:bookmarkStart w:id="123" w:name="_Toc99431028"/>
      <w:r>
        <w:t>For the Promotion Acti</w:t>
      </w:r>
      <w:r w:rsidR="005928A8">
        <w:t>vities component of this study</w:t>
      </w:r>
      <w:r>
        <w:t>, t</w:t>
      </w:r>
      <w:r w:rsidR="00AC4624">
        <w:t xml:space="preserve">he burden for </w:t>
      </w:r>
      <w:r w:rsidR="005928A8">
        <w:t xml:space="preserve">TCPs </w:t>
      </w:r>
      <w:r w:rsidR="00AC4624">
        <w:t>and/</w:t>
      </w:r>
      <w:r w:rsidR="005928A8">
        <w:t>or their vendors</w:t>
      </w:r>
      <w:r w:rsidR="00AC4624">
        <w:t xml:space="preserve"> for providing data to </w:t>
      </w:r>
      <w:r w:rsidR="00E13003">
        <w:t xml:space="preserve">investigators </w:t>
      </w:r>
      <w:proofErr w:type="gramStart"/>
      <w:r>
        <w:t>is</w:t>
      </w:r>
      <w:proofErr w:type="gramEnd"/>
      <w:r>
        <w:t xml:space="preserve"> estimated at</w:t>
      </w:r>
      <w:r w:rsidR="00AC4624">
        <w:t xml:space="preserve"> 1</w:t>
      </w:r>
      <w:r w:rsidR="0055317C">
        <w:t>0</w:t>
      </w:r>
      <w:r w:rsidR="002B3730">
        <w:t xml:space="preserve"> minutes</w:t>
      </w:r>
      <w:r w:rsidR="00AC4624">
        <w:t xml:space="preserve"> per </w:t>
      </w:r>
      <w:r w:rsidR="007F0ED1">
        <w:t xml:space="preserve">response per </w:t>
      </w:r>
      <w:r w:rsidR="00AC4624">
        <w:t>state</w:t>
      </w:r>
      <w:r w:rsidR="0095461B">
        <w:t xml:space="preserve">. </w:t>
      </w:r>
      <w:r>
        <w:t xml:space="preserve">The </w:t>
      </w:r>
      <w:r w:rsidR="005928A8">
        <w:t>Quitline Promotion Activities Data (</w:t>
      </w:r>
      <w:r w:rsidR="005928A8" w:rsidRPr="00E6780A">
        <w:rPr>
          <w:b/>
        </w:rPr>
        <w:t>Appendix 4</w:t>
      </w:r>
      <w:r w:rsidR="005928A8">
        <w:t xml:space="preserve">) </w:t>
      </w:r>
      <w:r>
        <w:t>will be reported</w:t>
      </w:r>
      <w:r w:rsidR="00001324">
        <w:t xml:space="preserve"> </w:t>
      </w:r>
      <w:r w:rsidR="005928A8">
        <w:t xml:space="preserve">on a quarterly schedule for </w:t>
      </w:r>
      <w:r w:rsidR="007B1639">
        <w:t xml:space="preserve">approximately </w:t>
      </w:r>
      <w:r w:rsidR="00F36E52">
        <w:t>50</w:t>
      </w:r>
      <w:r w:rsidR="007B1639">
        <w:t xml:space="preserve"> TCPs</w:t>
      </w:r>
      <w:r w:rsidR="00C93A8F">
        <w:t xml:space="preserve"> per year (over the</w:t>
      </w:r>
      <w:r w:rsidR="005928A8">
        <w:t xml:space="preserve"> period of up to 24 months</w:t>
      </w:r>
      <w:r w:rsidR="00C93A8F">
        <w:t>).</w:t>
      </w:r>
    </w:p>
    <w:p w:rsidR="003A6CE8" w:rsidRDefault="007F0ED1" w:rsidP="00801ED8">
      <w:pPr>
        <w:pStyle w:val="bodytext0"/>
      </w:pPr>
      <w:r>
        <w:t xml:space="preserve">For the Cessation Activities component of the study, </w:t>
      </w:r>
      <w:r w:rsidR="007B1639">
        <w:t>participating TCPs</w:t>
      </w:r>
      <w:r w:rsidR="00570274">
        <w:t xml:space="preserve"> </w:t>
      </w:r>
      <w:r w:rsidR="00F83180">
        <w:t xml:space="preserve">will </w:t>
      </w:r>
      <w:r w:rsidR="00B64547">
        <w:t>transmit</w:t>
      </w:r>
      <w:r w:rsidR="00033F75">
        <w:t xml:space="preserve"> </w:t>
      </w:r>
      <w:r w:rsidR="007D2303">
        <w:t xml:space="preserve">existing client intake </w:t>
      </w:r>
      <w:r w:rsidR="00666E13">
        <w:t xml:space="preserve">and utilization </w:t>
      </w:r>
      <w:r w:rsidR="0089374E">
        <w:t xml:space="preserve">data for </w:t>
      </w:r>
      <w:r w:rsidR="005C0D53">
        <w:t>both quitline</w:t>
      </w:r>
      <w:r w:rsidR="007D2303">
        <w:t xml:space="preserve"> clients (</w:t>
      </w:r>
      <w:r w:rsidR="00E6780A" w:rsidRPr="00E6780A">
        <w:rPr>
          <w:b/>
        </w:rPr>
        <w:t>Appendix 5a</w:t>
      </w:r>
      <w:r w:rsidR="003A6CE8">
        <w:t>) and clients who use Web-based services (</w:t>
      </w:r>
      <w:r w:rsidR="00E6780A" w:rsidRPr="00E6780A">
        <w:rPr>
          <w:b/>
        </w:rPr>
        <w:t>Appendix 5b</w:t>
      </w:r>
      <w:r w:rsidR="003A6CE8">
        <w:t>)</w:t>
      </w:r>
      <w:r w:rsidR="003524CD">
        <w:t xml:space="preserve">. </w:t>
      </w:r>
      <w:r w:rsidR="00B64547">
        <w:t xml:space="preserve">Transmissions will be scheduled on a quarterly basis. </w:t>
      </w:r>
      <w:r w:rsidR="003A6CE8">
        <w:t>The burden for each</w:t>
      </w:r>
      <w:r w:rsidR="00967118">
        <w:t xml:space="preserve"> batch</w:t>
      </w:r>
      <w:r w:rsidR="003A6CE8">
        <w:t xml:space="preserve"> transmission</w:t>
      </w:r>
      <w:r w:rsidR="00967118">
        <w:t xml:space="preserve"> of existing data</w:t>
      </w:r>
      <w:r w:rsidR="003A6CE8">
        <w:t xml:space="preserve"> is estimated to be 15 minutes</w:t>
      </w:r>
      <w:r w:rsidR="00F36E52">
        <w:t xml:space="preserve"> per response</w:t>
      </w:r>
      <w:r w:rsidR="0095461B">
        <w:t>.</w:t>
      </w:r>
      <w:r w:rsidR="003A6CE8">
        <w:t xml:space="preserve"> </w:t>
      </w:r>
    </w:p>
    <w:p w:rsidR="00C47780" w:rsidRDefault="007B1639" w:rsidP="00593F5C">
      <w:pPr>
        <w:pStyle w:val="bodytext0"/>
      </w:pPr>
      <w:r>
        <w:t>TCPs</w:t>
      </w:r>
      <w:r w:rsidR="0086079C">
        <w:t xml:space="preserve"> participating in the Cessation Activities component of the study will </w:t>
      </w:r>
      <w:r w:rsidR="00652BF8">
        <w:t xml:space="preserve">also </w:t>
      </w:r>
      <w:r w:rsidR="00B64547">
        <w:t>report</w:t>
      </w:r>
      <w:r w:rsidR="0086079C">
        <w:t xml:space="preserve"> client</w:t>
      </w:r>
      <w:r w:rsidR="004966BC">
        <w:t xml:space="preserve"> </w:t>
      </w:r>
      <w:r w:rsidR="00652BF8">
        <w:t xml:space="preserve">follow-up </w:t>
      </w:r>
      <w:r w:rsidR="0086079C">
        <w:t>i</w:t>
      </w:r>
      <w:r w:rsidR="009E2F1C">
        <w:t xml:space="preserve">nformation </w:t>
      </w:r>
      <w:r w:rsidR="0086079C">
        <w:t>to CDC</w:t>
      </w:r>
      <w:r w:rsidR="0095461B">
        <w:t xml:space="preserve">. </w:t>
      </w:r>
      <w:r w:rsidR="0086079C">
        <w:t>Because the</w:t>
      </w:r>
      <w:r w:rsidR="00652BF8">
        <w:t xml:space="preserve"> </w:t>
      </w:r>
      <w:r w:rsidR="004966BC">
        <w:t xml:space="preserve">seven-month </w:t>
      </w:r>
      <w:r w:rsidR="00652BF8">
        <w:t xml:space="preserve">follow-up </w:t>
      </w:r>
      <w:r w:rsidR="0086079C">
        <w:t xml:space="preserve">surveys are being conducted </w:t>
      </w:r>
      <w:r w:rsidR="0027712D">
        <w:t xml:space="preserve">specifically for study purposes, </w:t>
      </w:r>
      <w:r w:rsidR="0086079C">
        <w:t>the</w:t>
      </w:r>
      <w:r w:rsidR="004966BC">
        <w:t xml:space="preserve"> burden </w:t>
      </w:r>
      <w:r w:rsidR="0086079C">
        <w:t>estimate</w:t>
      </w:r>
      <w:r w:rsidR="004966BC">
        <w:t xml:space="preserve"> is </w:t>
      </w:r>
      <w:r w:rsidR="0086079C">
        <w:t xml:space="preserve">based on the total </w:t>
      </w:r>
      <w:r>
        <w:t xml:space="preserve">time </w:t>
      </w:r>
      <w:r w:rsidR="0086079C">
        <w:t>commitment for</w:t>
      </w:r>
      <w:r>
        <w:t xml:space="preserve"> collecting information about</w:t>
      </w:r>
      <w:r w:rsidR="005C0D53">
        <w:t xml:space="preserve"> each quitline</w:t>
      </w:r>
      <w:r w:rsidR="0086079C">
        <w:t xml:space="preserve"> client or Web-</w:t>
      </w:r>
      <w:r>
        <w:t xml:space="preserve">based services client </w:t>
      </w:r>
      <w:r>
        <w:lastRenderedPageBreak/>
        <w:t>(</w:t>
      </w:r>
      <w:r w:rsidR="004966BC">
        <w:t>15 minutes</w:t>
      </w:r>
      <w:r w:rsidR="004F5A14">
        <w:t xml:space="preserve"> per client</w:t>
      </w:r>
      <w:r>
        <w:t>)</w:t>
      </w:r>
      <w:r w:rsidR="0095461B">
        <w:t>.</w:t>
      </w:r>
      <w:r w:rsidR="004F5A14">
        <w:t xml:space="preserve"> On an annualized basis, </w:t>
      </w:r>
      <w:r w:rsidR="00593F5C">
        <w:t xml:space="preserve">seven month follow-up data collection will be conducted </w:t>
      </w:r>
      <w:r w:rsidR="00DB23F9">
        <w:t>among</w:t>
      </w:r>
      <w:r>
        <w:t xml:space="preserve"> </w:t>
      </w:r>
      <w:r w:rsidR="00F36E52">
        <w:t>2</w:t>
      </w:r>
      <w:r>
        <w:t>,000 QL clients (</w:t>
      </w:r>
      <w:r w:rsidRPr="00ED6ABD">
        <w:rPr>
          <w:b/>
        </w:rPr>
        <w:t>Appendix 6a</w:t>
      </w:r>
      <w:r>
        <w:t xml:space="preserve">) </w:t>
      </w:r>
      <w:r w:rsidR="008B35B9">
        <w:t xml:space="preserve">each </w:t>
      </w:r>
      <w:r>
        <w:t xml:space="preserve">and </w:t>
      </w:r>
      <w:r w:rsidR="00F36E52">
        <w:t>2</w:t>
      </w:r>
      <w:r>
        <w:t>,000 Web-based services clients (</w:t>
      </w:r>
      <w:r w:rsidRPr="00ED6ABD">
        <w:rPr>
          <w:b/>
        </w:rPr>
        <w:t>Appendix 6b</w:t>
      </w:r>
      <w:r>
        <w:rPr>
          <w:b/>
        </w:rPr>
        <w:t>)</w:t>
      </w:r>
      <w:r w:rsidR="004F5A14">
        <w:rPr>
          <w:b/>
        </w:rPr>
        <w:t xml:space="preserve"> </w:t>
      </w:r>
      <w:r w:rsidR="007F4A51" w:rsidRPr="007F4A51">
        <w:t>each</w:t>
      </w:r>
      <w:r w:rsidR="0095461B">
        <w:t>.</w:t>
      </w:r>
      <w:r w:rsidRPr="004F5A14">
        <w:t xml:space="preserve"> </w:t>
      </w:r>
      <w:r w:rsidR="00C47780">
        <w:t>Follow-up information will be collected once per client, from a total of 2,000 clients per group</w:t>
      </w:r>
      <w:r w:rsidR="008B35B9">
        <w:t xml:space="preserve"> (QL or Web)</w:t>
      </w:r>
      <w:r w:rsidR="00C47780">
        <w:t>, per year.</w:t>
      </w:r>
    </w:p>
    <w:p w:rsidR="007F0B28" w:rsidRDefault="004966BC" w:rsidP="00076767">
      <w:pPr>
        <w:pStyle w:val="bodytext0"/>
      </w:pPr>
      <w:r>
        <w:t>A</w:t>
      </w:r>
      <w:r w:rsidR="00E80637">
        <w:t xml:space="preserve">ll </w:t>
      </w:r>
      <w:r w:rsidR="00660881">
        <w:t>i</w:t>
      </w:r>
      <w:r w:rsidR="00E80637">
        <w:t xml:space="preserve">nformation </w:t>
      </w:r>
      <w:r w:rsidR="00660881">
        <w:t xml:space="preserve">for this study </w:t>
      </w:r>
      <w:r w:rsidR="00E80637">
        <w:t xml:space="preserve">will be </w:t>
      </w:r>
      <w:r w:rsidR="00A34DA6">
        <w:t>transmitted to</w:t>
      </w:r>
      <w:r w:rsidR="00E80637">
        <w:t xml:space="preserve"> CDC’s data collection contractor, RTI, over approximately 24 months, and all estimates are annualized over two years. OMB clearance is requested for two and one-half years, to provide flexibility in start and end dat</w:t>
      </w:r>
      <w:r w:rsidR="00660881">
        <w:t>es for the 24-month d</w:t>
      </w:r>
      <w:r w:rsidR="00E80637">
        <w:t>ata collection</w:t>
      </w:r>
      <w:r w:rsidR="00660881">
        <w:t xml:space="preserve"> period</w:t>
      </w:r>
      <w:r w:rsidR="00E80637">
        <w:t xml:space="preserve">. </w:t>
      </w:r>
      <w:r w:rsidR="00984B1D" w:rsidRPr="00CF1100">
        <w:t xml:space="preserve">The total </w:t>
      </w:r>
      <w:r w:rsidR="00984B1D">
        <w:t xml:space="preserve">estimated annualized burden to respondents </w:t>
      </w:r>
      <w:r w:rsidR="00660881">
        <w:t>is</w:t>
      </w:r>
      <w:r w:rsidR="00CC5AAD">
        <w:t xml:space="preserve"> 1,</w:t>
      </w:r>
      <w:r w:rsidR="0055317C">
        <w:t>037</w:t>
      </w:r>
      <w:r w:rsidR="00984B1D" w:rsidRPr="00CF1100">
        <w:t xml:space="preserve"> hours</w:t>
      </w:r>
      <w:r w:rsidR="00984B1D">
        <w:t>.</w:t>
      </w:r>
    </w:p>
    <w:p w:rsidR="002A0946" w:rsidRPr="00CF1100" w:rsidRDefault="002A0946" w:rsidP="00076767">
      <w:pPr>
        <w:pStyle w:val="bodytext0"/>
      </w:pPr>
    </w:p>
    <w:p w:rsidR="00D60D66" w:rsidRPr="00E00448" w:rsidRDefault="00A03789" w:rsidP="00E00448">
      <w:pPr>
        <w:pStyle w:val="Heading3"/>
      </w:pPr>
      <w:bookmarkStart w:id="124" w:name="_Toc146088168"/>
      <w:bookmarkStart w:id="125" w:name="_Toc146089476"/>
      <w:bookmarkStart w:id="126" w:name="_Toc260210573"/>
      <w:bookmarkStart w:id="127" w:name="_Toc296586391"/>
      <w:bookmarkStart w:id="128" w:name="_Toc297131707"/>
      <w:bookmarkStart w:id="129" w:name="_Toc99431029"/>
      <w:bookmarkEnd w:id="123"/>
      <w:r>
        <w:t>A.12-1</w:t>
      </w:r>
      <w:r w:rsidR="007F0B28" w:rsidRPr="00CF1100">
        <w:t xml:space="preserve"> Estima</w:t>
      </w:r>
      <w:r w:rsidR="00B23A53">
        <w:t>t</w:t>
      </w:r>
      <w:r w:rsidR="007F0B28" w:rsidRPr="00CF1100">
        <w:t>ed Burden Hours</w:t>
      </w:r>
      <w:bookmarkStart w:id="130" w:name="_Toc146088169"/>
      <w:bookmarkStart w:id="131" w:name="_Toc146089477"/>
      <w:bookmarkStart w:id="132" w:name="_Toc260210574"/>
      <w:bookmarkEnd w:id="124"/>
      <w:bookmarkEnd w:id="125"/>
      <w:bookmarkEnd w:id="126"/>
      <w:bookmarkEnd w:id="127"/>
      <w:bookmarkEnd w:id="128"/>
    </w:p>
    <w:tbl>
      <w:tblPr>
        <w:tblW w:w="0" w:type="auto"/>
        <w:tblCellMar>
          <w:left w:w="0" w:type="dxa"/>
          <w:right w:w="0" w:type="dxa"/>
        </w:tblCellMar>
        <w:tblLook w:val="04A0"/>
      </w:tblPr>
      <w:tblGrid>
        <w:gridCol w:w="1596"/>
        <w:gridCol w:w="1596"/>
        <w:gridCol w:w="1596"/>
        <w:gridCol w:w="1596"/>
        <w:gridCol w:w="1596"/>
        <w:gridCol w:w="1596"/>
      </w:tblGrid>
      <w:tr w:rsidR="008B665D" w:rsidTr="008B665D">
        <w:tc>
          <w:tcPr>
            <w:tcW w:w="1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Type of Respondent</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Form Name</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665D" w:rsidRDefault="008B665D" w:rsidP="008B665D">
            <w:pPr>
              <w:autoSpaceDE w:val="0"/>
              <w:autoSpaceDN w:val="0"/>
              <w:spacing w:line="276" w:lineRule="auto"/>
              <w:jc w:val="center"/>
              <w:rPr>
                <w:rFonts w:eastAsiaTheme="minorHAnsi"/>
              </w:rPr>
            </w:pPr>
            <w:r>
              <w:t>Number of</w:t>
            </w:r>
          </w:p>
          <w:p w:rsidR="008B665D" w:rsidRDefault="008B665D" w:rsidP="008B665D">
            <w:pPr>
              <w:autoSpaceDE w:val="0"/>
              <w:autoSpaceDN w:val="0"/>
              <w:spacing w:line="276" w:lineRule="auto"/>
              <w:jc w:val="center"/>
              <w:rPr>
                <w:rFonts w:ascii="Calibri" w:hAnsi="Calibri"/>
                <w:sz w:val="22"/>
                <w:szCs w:val="22"/>
              </w:rPr>
            </w:pPr>
            <w:r>
              <w:t>Respondents</w:t>
            </w:r>
          </w:p>
          <w:p w:rsidR="008B665D" w:rsidRDefault="008B665D" w:rsidP="008B665D">
            <w:pPr>
              <w:autoSpaceDE w:val="0"/>
              <w:autoSpaceDN w:val="0"/>
              <w:spacing w:after="240" w:line="276" w:lineRule="auto"/>
              <w:ind w:left="720" w:hanging="720"/>
              <w:jc w:val="center"/>
              <w:rPr>
                <w:rFonts w:eastAsiaTheme="minorHAnsi"/>
                <w:sz w:val="22"/>
                <w:szCs w:val="22"/>
              </w:rPr>
            </w:pP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665D" w:rsidRDefault="008B665D" w:rsidP="008B665D">
            <w:pPr>
              <w:autoSpaceDE w:val="0"/>
              <w:autoSpaceDN w:val="0"/>
              <w:spacing w:line="276" w:lineRule="auto"/>
              <w:jc w:val="center"/>
              <w:rPr>
                <w:rFonts w:eastAsiaTheme="minorHAnsi"/>
              </w:rPr>
            </w:pPr>
            <w:r>
              <w:t>Number of</w:t>
            </w:r>
          </w:p>
          <w:p w:rsidR="008B665D" w:rsidRDefault="008B665D" w:rsidP="008B665D">
            <w:pPr>
              <w:autoSpaceDE w:val="0"/>
              <w:autoSpaceDN w:val="0"/>
              <w:spacing w:line="276" w:lineRule="auto"/>
              <w:jc w:val="center"/>
              <w:rPr>
                <w:rFonts w:ascii="Calibri" w:hAnsi="Calibri"/>
                <w:sz w:val="22"/>
                <w:szCs w:val="22"/>
              </w:rPr>
            </w:pPr>
            <w:r>
              <w:t>Responses per</w:t>
            </w:r>
          </w:p>
          <w:p w:rsidR="008B665D" w:rsidRDefault="008B665D" w:rsidP="008B665D">
            <w:pPr>
              <w:autoSpaceDE w:val="0"/>
              <w:autoSpaceDN w:val="0"/>
              <w:spacing w:line="276" w:lineRule="auto"/>
              <w:jc w:val="center"/>
            </w:pPr>
            <w:r>
              <w:t>Respondent</w:t>
            </w:r>
          </w:p>
          <w:p w:rsidR="008B665D" w:rsidRDefault="008B665D" w:rsidP="008B665D">
            <w:pPr>
              <w:autoSpaceDE w:val="0"/>
              <w:autoSpaceDN w:val="0"/>
              <w:spacing w:line="276" w:lineRule="auto"/>
              <w:jc w:val="center"/>
              <w:rPr>
                <w:rFonts w:eastAsiaTheme="minorHAnsi"/>
                <w:sz w:val="22"/>
                <w:szCs w:val="22"/>
              </w:rPr>
            </w:pP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rPr>
            </w:pPr>
            <w:r>
              <w:t>Average</w:t>
            </w:r>
          </w:p>
          <w:p w:rsidR="008B665D" w:rsidRDefault="008B665D" w:rsidP="008B665D">
            <w:pPr>
              <w:autoSpaceDE w:val="0"/>
              <w:autoSpaceDN w:val="0"/>
              <w:spacing w:line="276" w:lineRule="auto"/>
              <w:jc w:val="center"/>
              <w:rPr>
                <w:rFonts w:ascii="Calibri" w:hAnsi="Calibri"/>
                <w:sz w:val="22"/>
                <w:szCs w:val="22"/>
              </w:rPr>
            </w:pPr>
            <w:r>
              <w:t>Burden per</w:t>
            </w:r>
          </w:p>
          <w:p w:rsidR="008B665D" w:rsidRDefault="008B665D" w:rsidP="008B665D">
            <w:pPr>
              <w:autoSpaceDE w:val="0"/>
              <w:autoSpaceDN w:val="0"/>
              <w:spacing w:line="276" w:lineRule="auto"/>
              <w:jc w:val="center"/>
            </w:pPr>
            <w:r>
              <w:t>Response</w:t>
            </w:r>
          </w:p>
          <w:p w:rsidR="008B665D" w:rsidRDefault="008B665D" w:rsidP="008B665D">
            <w:pPr>
              <w:autoSpaceDE w:val="0"/>
              <w:autoSpaceDN w:val="0"/>
              <w:spacing w:line="276" w:lineRule="auto"/>
              <w:jc w:val="center"/>
              <w:rPr>
                <w:rFonts w:eastAsiaTheme="minorHAnsi"/>
                <w:sz w:val="22"/>
                <w:szCs w:val="22"/>
              </w:rPr>
            </w:pPr>
            <w:r>
              <w:t>(in hr)</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665D" w:rsidRDefault="008B665D" w:rsidP="008B665D">
            <w:pPr>
              <w:autoSpaceDE w:val="0"/>
              <w:autoSpaceDN w:val="0"/>
              <w:spacing w:line="276" w:lineRule="auto"/>
              <w:jc w:val="center"/>
              <w:rPr>
                <w:rFonts w:eastAsiaTheme="minorHAnsi"/>
              </w:rPr>
            </w:pPr>
            <w:r>
              <w:t>Total Burden</w:t>
            </w:r>
          </w:p>
          <w:p w:rsidR="008B665D" w:rsidRDefault="008B665D" w:rsidP="008B665D">
            <w:pPr>
              <w:autoSpaceDE w:val="0"/>
              <w:autoSpaceDN w:val="0"/>
              <w:spacing w:line="276" w:lineRule="auto"/>
              <w:jc w:val="center"/>
              <w:rPr>
                <w:rFonts w:ascii="Calibri" w:hAnsi="Calibri"/>
                <w:sz w:val="22"/>
                <w:szCs w:val="22"/>
              </w:rPr>
            </w:pPr>
            <w:r>
              <w:t>(in hr)</w:t>
            </w:r>
          </w:p>
          <w:p w:rsidR="008B665D" w:rsidRDefault="008B665D" w:rsidP="008B665D">
            <w:pPr>
              <w:autoSpaceDE w:val="0"/>
              <w:autoSpaceDN w:val="0"/>
              <w:spacing w:line="276" w:lineRule="auto"/>
              <w:jc w:val="center"/>
              <w:rPr>
                <w:rFonts w:eastAsiaTheme="minorHAnsi"/>
                <w:sz w:val="22"/>
                <w:szCs w:val="22"/>
              </w:rPr>
            </w:pPr>
          </w:p>
        </w:tc>
      </w:tr>
      <w:tr w:rsidR="008B665D" w:rsidTr="008B665D">
        <w:tc>
          <w:tcPr>
            <w:tcW w:w="15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spacing w:line="276" w:lineRule="auto"/>
              <w:jc w:val="center"/>
              <w:rPr>
                <w:rFonts w:eastAsiaTheme="minorHAnsi"/>
                <w:sz w:val="22"/>
                <w:szCs w:val="22"/>
              </w:rPr>
            </w:pPr>
            <w:r>
              <w:t>Tobacco Control Programs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Quitline Promotion Activities Data</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50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4</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10/60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33</w:t>
            </w:r>
          </w:p>
        </w:tc>
      </w:tr>
      <w:tr w:rsidR="008B665D" w:rsidTr="008B665D">
        <w:tc>
          <w:tcPr>
            <w:tcW w:w="0" w:type="auto"/>
            <w:vMerge/>
            <w:tcBorders>
              <w:top w:val="nil"/>
              <w:left w:val="single" w:sz="8" w:space="0" w:color="auto"/>
              <w:bottom w:val="single" w:sz="8" w:space="0" w:color="auto"/>
              <w:right w:val="single" w:sz="8" w:space="0" w:color="auto"/>
            </w:tcBorders>
            <w:vAlign w:val="center"/>
            <w:hideMark/>
          </w:tcPr>
          <w:p w:rsidR="008B665D" w:rsidRDefault="008B665D" w:rsidP="008B665D">
            <w:pPr>
              <w:rPr>
                <w:rFonts w:eastAsiaTheme="minorHAnsi"/>
                <w:sz w:val="22"/>
                <w:szCs w:val="22"/>
              </w:rPr>
            </w:pP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FC0DBB">
            <w:pPr>
              <w:autoSpaceDE w:val="0"/>
              <w:autoSpaceDN w:val="0"/>
              <w:spacing w:line="276" w:lineRule="auto"/>
              <w:jc w:val="center"/>
              <w:rPr>
                <w:rFonts w:eastAsiaTheme="minorHAnsi"/>
                <w:sz w:val="22"/>
                <w:szCs w:val="22"/>
              </w:rPr>
            </w:pPr>
            <w:r>
              <w:t>Intake Data for Q</w:t>
            </w:r>
            <w:r w:rsidR="00FC0DBB">
              <w:t>uitline</w:t>
            </w:r>
            <w:r>
              <w:t xml:space="preserve">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2</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4</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15/60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2</w:t>
            </w:r>
          </w:p>
        </w:tc>
      </w:tr>
      <w:tr w:rsidR="008B665D" w:rsidTr="008B665D">
        <w:tc>
          <w:tcPr>
            <w:tcW w:w="0" w:type="auto"/>
            <w:vMerge/>
            <w:tcBorders>
              <w:top w:val="nil"/>
              <w:left w:val="single" w:sz="8" w:space="0" w:color="auto"/>
              <w:bottom w:val="single" w:sz="8" w:space="0" w:color="auto"/>
              <w:right w:val="single" w:sz="8" w:space="0" w:color="auto"/>
            </w:tcBorders>
            <w:vAlign w:val="center"/>
            <w:hideMark/>
          </w:tcPr>
          <w:p w:rsidR="008B665D" w:rsidRDefault="008B665D" w:rsidP="008B665D">
            <w:pPr>
              <w:rPr>
                <w:rFonts w:eastAsiaTheme="minorHAnsi"/>
                <w:sz w:val="22"/>
                <w:szCs w:val="22"/>
              </w:rPr>
            </w:pP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Intake Data for Web Services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2</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4</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15/60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2</w:t>
            </w:r>
          </w:p>
        </w:tc>
      </w:tr>
      <w:tr w:rsidR="008B665D" w:rsidTr="008B665D">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65D" w:rsidRDefault="008B665D" w:rsidP="008B665D">
            <w:pPr>
              <w:spacing w:line="276" w:lineRule="auto"/>
              <w:rPr>
                <w:rFonts w:eastAsiaTheme="minorHAnsi"/>
                <w:sz w:val="22"/>
                <w:szCs w:val="22"/>
              </w:rPr>
            </w:pPr>
            <w:r>
              <w:t>Quitline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CD1B95" w:rsidP="008B665D">
            <w:pPr>
              <w:autoSpaceDE w:val="0"/>
              <w:autoSpaceDN w:val="0"/>
              <w:spacing w:line="276" w:lineRule="auto"/>
              <w:jc w:val="center"/>
              <w:rPr>
                <w:rFonts w:eastAsiaTheme="minorHAnsi"/>
                <w:sz w:val="22"/>
                <w:szCs w:val="22"/>
              </w:rPr>
            </w:pPr>
            <w:r>
              <w:t>Follow-up Survey for Quitline</w:t>
            </w:r>
            <w:r w:rsidR="008B665D">
              <w:t xml:space="preserve">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2,000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1</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15/60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500</w:t>
            </w:r>
          </w:p>
        </w:tc>
      </w:tr>
      <w:tr w:rsidR="008B665D" w:rsidTr="008B665D">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65D" w:rsidRDefault="008B665D" w:rsidP="008B665D">
            <w:pPr>
              <w:spacing w:line="276" w:lineRule="auto"/>
              <w:rPr>
                <w:rFonts w:eastAsiaTheme="minorHAnsi"/>
                <w:sz w:val="22"/>
                <w:szCs w:val="22"/>
              </w:rPr>
            </w:pPr>
            <w:r>
              <w:t>Web Services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Follow-up Survey for Web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2,000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1</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15/60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8B665D">
            <w:pPr>
              <w:autoSpaceDE w:val="0"/>
              <w:autoSpaceDN w:val="0"/>
              <w:spacing w:line="276" w:lineRule="auto"/>
              <w:jc w:val="center"/>
              <w:rPr>
                <w:rFonts w:eastAsiaTheme="minorHAnsi"/>
                <w:sz w:val="22"/>
                <w:szCs w:val="22"/>
              </w:rPr>
            </w:pPr>
            <w:r>
              <w:t>500</w:t>
            </w:r>
          </w:p>
        </w:tc>
      </w:tr>
      <w:tr w:rsidR="008B665D" w:rsidTr="008B665D">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665D" w:rsidRDefault="008B665D" w:rsidP="008B665D">
            <w:pPr>
              <w:spacing w:line="276" w:lineRule="auto"/>
              <w:rPr>
                <w:rFonts w:eastAsiaTheme="minorHAnsi"/>
                <w:sz w:val="22"/>
                <w:szCs w:val="22"/>
              </w:rPr>
            </w:pPr>
          </w:p>
        </w:tc>
        <w:tc>
          <w:tcPr>
            <w:tcW w:w="638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Pr="00D958DE" w:rsidRDefault="008B665D" w:rsidP="008B665D">
            <w:pPr>
              <w:autoSpaceDE w:val="0"/>
              <w:autoSpaceDN w:val="0"/>
              <w:spacing w:line="276" w:lineRule="auto"/>
              <w:jc w:val="right"/>
              <w:rPr>
                <w:rFonts w:eastAsiaTheme="minorHAnsi"/>
                <w:sz w:val="22"/>
              </w:rPr>
            </w:pPr>
            <w:r w:rsidRPr="000D0D6A">
              <w:t>Total</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tcPr>
          <w:p w:rsidR="008B665D" w:rsidRPr="00D958DE" w:rsidRDefault="008B665D" w:rsidP="008B665D">
            <w:pPr>
              <w:autoSpaceDE w:val="0"/>
              <w:autoSpaceDN w:val="0"/>
              <w:spacing w:line="276" w:lineRule="auto"/>
              <w:jc w:val="center"/>
              <w:rPr>
                <w:rFonts w:eastAsiaTheme="minorHAnsi"/>
                <w:sz w:val="22"/>
              </w:rPr>
            </w:pPr>
            <w:r w:rsidRPr="00D958DE">
              <w:rPr>
                <w:rFonts w:eastAsiaTheme="minorHAnsi"/>
                <w:sz w:val="22"/>
              </w:rPr>
              <w:t>1,037</w:t>
            </w:r>
          </w:p>
        </w:tc>
      </w:tr>
    </w:tbl>
    <w:p w:rsidR="00CE1C57" w:rsidRDefault="00CE1C57" w:rsidP="00D60D66">
      <w:pPr>
        <w:pStyle w:val="Default"/>
        <w:tabs>
          <w:tab w:val="left" w:pos="0"/>
        </w:tabs>
        <w:rPr>
          <w:rFonts w:ascii="Courier New" w:hAnsi="Courier New"/>
          <w:szCs w:val="16"/>
        </w:rPr>
      </w:pPr>
      <w:bookmarkStart w:id="133" w:name="_Toc146088447"/>
      <w:bookmarkEnd w:id="129"/>
      <w:bookmarkEnd w:id="130"/>
      <w:bookmarkEnd w:id="131"/>
      <w:bookmarkEnd w:id="132"/>
    </w:p>
    <w:p w:rsidR="00015F85" w:rsidRDefault="00015F85">
      <w:pPr>
        <w:pStyle w:val="bodytext0"/>
        <w:ind w:firstLine="0"/>
      </w:pPr>
    </w:p>
    <w:p w:rsidR="00334C42" w:rsidRDefault="00334C42" w:rsidP="0062779E">
      <w:pPr>
        <w:pStyle w:val="bodytext0"/>
      </w:pPr>
      <w:r>
        <w:t xml:space="preserve">To estimate the cost to respondents, we used $23.00/hour as the average hourly wage for TCP staff </w:t>
      </w:r>
      <w:proofErr w:type="gramStart"/>
      <w:r>
        <w:t>members,</w:t>
      </w:r>
      <w:proofErr w:type="gramEnd"/>
      <w:r>
        <w:t xml:space="preserve"> and $7.37/hour (the current Federal minimum wage) as the average ho</w:t>
      </w:r>
      <w:r w:rsidR="007324BF">
        <w:t>urly wage for clients seeking quitline</w:t>
      </w:r>
      <w:r>
        <w:t xml:space="preserve"> cessation services or Web services</w:t>
      </w:r>
      <w:r w:rsidR="000A72CE">
        <w:t xml:space="preserve">. </w:t>
      </w:r>
      <w:r w:rsidR="00275648">
        <w:t>The total estimated annualized cost to respondents is $</w:t>
      </w:r>
      <w:r w:rsidR="00DE3002">
        <w:t>8,221</w:t>
      </w:r>
      <w:r w:rsidR="00275648">
        <w:t>.</w:t>
      </w:r>
    </w:p>
    <w:p w:rsidR="00FE6EBD" w:rsidRDefault="0012453E">
      <w:pPr>
        <w:pStyle w:val="Heading3"/>
      </w:pPr>
      <w:bookmarkStart w:id="134" w:name="_Toc296586392"/>
      <w:bookmarkStart w:id="135" w:name="_Toc297131708"/>
      <w:r>
        <w:t>A.12-2</w:t>
      </w:r>
      <w:r w:rsidRPr="00CF1100">
        <w:t xml:space="preserve"> </w:t>
      </w:r>
      <w:r>
        <w:t xml:space="preserve">Total </w:t>
      </w:r>
      <w:r w:rsidRPr="00CF1100">
        <w:t>Cost to Respondents</w:t>
      </w:r>
      <w:bookmarkEnd w:id="134"/>
      <w:bookmarkEnd w:id="135"/>
    </w:p>
    <w:p w:rsidR="00015F85" w:rsidRDefault="00015F85" w:rsidP="00015F85"/>
    <w:tbl>
      <w:tblPr>
        <w:tblW w:w="0" w:type="auto"/>
        <w:tblCellMar>
          <w:left w:w="0" w:type="dxa"/>
          <w:right w:w="0" w:type="dxa"/>
        </w:tblCellMar>
        <w:tblLook w:val="04A0"/>
      </w:tblPr>
      <w:tblGrid>
        <w:gridCol w:w="1596"/>
        <w:gridCol w:w="1596"/>
        <w:gridCol w:w="1596"/>
        <w:gridCol w:w="1596"/>
        <w:gridCol w:w="1596"/>
        <w:gridCol w:w="1596"/>
      </w:tblGrid>
      <w:tr w:rsidR="008B665D" w:rsidTr="008B665D">
        <w:tc>
          <w:tcPr>
            <w:tcW w:w="1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Type of Respondent</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Form Name</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665D" w:rsidRDefault="008B665D" w:rsidP="003524CD">
            <w:pPr>
              <w:autoSpaceDE w:val="0"/>
              <w:autoSpaceDN w:val="0"/>
              <w:jc w:val="center"/>
              <w:rPr>
                <w:rFonts w:eastAsiaTheme="minorHAnsi"/>
              </w:rPr>
            </w:pPr>
            <w:r>
              <w:t>Number of</w:t>
            </w:r>
          </w:p>
          <w:p w:rsidR="008B665D" w:rsidRDefault="008B665D" w:rsidP="003524CD">
            <w:pPr>
              <w:autoSpaceDE w:val="0"/>
              <w:autoSpaceDN w:val="0"/>
              <w:jc w:val="center"/>
              <w:rPr>
                <w:rFonts w:ascii="Calibri" w:hAnsi="Calibri"/>
                <w:sz w:val="22"/>
                <w:szCs w:val="22"/>
              </w:rPr>
            </w:pPr>
            <w:r>
              <w:t>Respondents</w:t>
            </w:r>
          </w:p>
          <w:p w:rsidR="008B665D" w:rsidRDefault="008B665D" w:rsidP="003524CD">
            <w:pPr>
              <w:autoSpaceDE w:val="0"/>
              <w:autoSpaceDN w:val="0"/>
              <w:spacing w:after="240"/>
              <w:ind w:left="720" w:hanging="720"/>
              <w:jc w:val="center"/>
              <w:rPr>
                <w:rFonts w:eastAsiaTheme="minorHAnsi"/>
                <w:sz w:val="22"/>
                <w:szCs w:val="22"/>
              </w:rPr>
            </w:pP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665D" w:rsidRPr="00755E07" w:rsidRDefault="008B665D" w:rsidP="003524CD">
            <w:pPr>
              <w:autoSpaceDE w:val="0"/>
              <w:autoSpaceDN w:val="0"/>
              <w:jc w:val="center"/>
            </w:pPr>
            <w:r w:rsidRPr="00AA006F">
              <w:t>Total Burden</w:t>
            </w:r>
          </w:p>
          <w:p w:rsidR="008B665D" w:rsidRPr="00755E07" w:rsidRDefault="008B665D" w:rsidP="003524CD">
            <w:pPr>
              <w:autoSpaceDE w:val="0"/>
              <w:autoSpaceDN w:val="0"/>
              <w:jc w:val="center"/>
            </w:pPr>
            <w:r w:rsidRPr="00AA006F">
              <w:t>(in hr)</w:t>
            </w:r>
          </w:p>
          <w:p w:rsidR="008B665D" w:rsidRDefault="008B665D" w:rsidP="003524CD">
            <w:pPr>
              <w:autoSpaceDE w:val="0"/>
              <w:autoSpaceDN w:val="0"/>
              <w:jc w:val="center"/>
              <w:rPr>
                <w:rFonts w:eastAsiaTheme="minorHAnsi"/>
                <w:sz w:val="22"/>
                <w:szCs w:val="22"/>
              </w:rPr>
            </w:pP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Average Hourly Wage</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665D" w:rsidRDefault="008B665D" w:rsidP="003524CD">
            <w:pPr>
              <w:autoSpaceDE w:val="0"/>
              <w:autoSpaceDN w:val="0"/>
              <w:jc w:val="center"/>
              <w:rPr>
                <w:rFonts w:eastAsiaTheme="minorHAnsi"/>
                <w:sz w:val="22"/>
                <w:szCs w:val="22"/>
              </w:rPr>
            </w:pPr>
            <w:r>
              <w:t>Total Cost</w:t>
            </w:r>
          </w:p>
        </w:tc>
      </w:tr>
      <w:tr w:rsidR="008B665D" w:rsidTr="008B665D">
        <w:tc>
          <w:tcPr>
            <w:tcW w:w="15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jc w:val="center"/>
              <w:rPr>
                <w:rFonts w:eastAsiaTheme="minorHAnsi"/>
                <w:sz w:val="22"/>
                <w:szCs w:val="22"/>
              </w:rPr>
            </w:pPr>
            <w:r>
              <w:t>Tobacco Control Programs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Quitline Promotion Activities Data</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50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33</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$23.00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073E0B" w:rsidP="003524CD">
            <w:pPr>
              <w:autoSpaceDE w:val="0"/>
              <w:autoSpaceDN w:val="0"/>
              <w:jc w:val="center"/>
              <w:rPr>
                <w:rFonts w:eastAsiaTheme="minorHAnsi"/>
                <w:sz w:val="22"/>
                <w:szCs w:val="22"/>
              </w:rPr>
            </w:pPr>
            <w:r>
              <w:t>$759</w:t>
            </w:r>
          </w:p>
        </w:tc>
      </w:tr>
      <w:tr w:rsidR="008B665D" w:rsidTr="008B665D">
        <w:tc>
          <w:tcPr>
            <w:tcW w:w="0" w:type="auto"/>
            <w:vMerge/>
            <w:tcBorders>
              <w:top w:val="nil"/>
              <w:left w:val="single" w:sz="8" w:space="0" w:color="auto"/>
              <w:bottom w:val="single" w:sz="8" w:space="0" w:color="auto"/>
              <w:right w:val="single" w:sz="8" w:space="0" w:color="auto"/>
            </w:tcBorders>
            <w:vAlign w:val="center"/>
            <w:hideMark/>
          </w:tcPr>
          <w:p w:rsidR="008B665D" w:rsidRDefault="008B665D" w:rsidP="003524CD">
            <w:pPr>
              <w:rPr>
                <w:rFonts w:eastAsiaTheme="minorHAnsi"/>
                <w:sz w:val="22"/>
                <w:szCs w:val="22"/>
              </w:rPr>
            </w:pP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7324BF" w:rsidP="003524CD">
            <w:pPr>
              <w:autoSpaceDE w:val="0"/>
              <w:autoSpaceDN w:val="0"/>
              <w:jc w:val="center"/>
              <w:rPr>
                <w:rFonts w:eastAsiaTheme="minorHAnsi"/>
                <w:sz w:val="22"/>
                <w:szCs w:val="22"/>
              </w:rPr>
            </w:pPr>
            <w:r>
              <w:t>Intake Data for Quitline</w:t>
            </w:r>
            <w:r w:rsidR="008B665D">
              <w:t xml:space="preserve">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2</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073E0B" w:rsidP="003524CD">
            <w:pPr>
              <w:autoSpaceDE w:val="0"/>
              <w:autoSpaceDN w:val="0"/>
              <w:jc w:val="center"/>
              <w:rPr>
                <w:rFonts w:eastAsiaTheme="minorHAnsi"/>
                <w:sz w:val="22"/>
                <w:szCs w:val="22"/>
              </w:rPr>
            </w:pPr>
            <w:r>
              <w:t>2</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$23.00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073E0B" w:rsidP="003524CD">
            <w:pPr>
              <w:autoSpaceDE w:val="0"/>
              <w:autoSpaceDN w:val="0"/>
              <w:jc w:val="center"/>
              <w:rPr>
                <w:rFonts w:eastAsiaTheme="minorHAnsi"/>
                <w:sz w:val="22"/>
                <w:szCs w:val="22"/>
              </w:rPr>
            </w:pPr>
            <w:r>
              <w:t>$46</w:t>
            </w:r>
          </w:p>
        </w:tc>
      </w:tr>
      <w:tr w:rsidR="008B665D" w:rsidTr="008B665D">
        <w:tc>
          <w:tcPr>
            <w:tcW w:w="0" w:type="auto"/>
            <w:vMerge/>
            <w:tcBorders>
              <w:top w:val="nil"/>
              <w:left w:val="single" w:sz="8" w:space="0" w:color="auto"/>
              <w:bottom w:val="single" w:sz="8" w:space="0" w:color="auto"/>
              <w:right w:val="single" w:sz="8" w:space="0" w:color="auto"/>
            </w:tcBorders>
            <w:vAlign w:val="center"/>
            <w:hideMark/>
          </w:tcPr>
          <w:p w:rsidR="008B665D" w:rsidRDefault="008B665D" w:rsidP="003524CD">
            <w:pPr>
              <w:rPr>
                <w:rFonts w:eastAsiaTheme="minorHAnsi"/>
                <w:sz w:val="22"/>
                <w:szCs w:val="22"/>
              </w:rPr>
            </w:pP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Intake Data for Web Services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2</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073E0B" w:rsidP="003524CD">
            <w:pPr>
              <w:autoSpaceDE w:val="0"/>
              <w:autoSpaceDN w:val="0"/>
              <w:jc w:val="center"/>
              <w:rPr>
                <w:rFonts w:eastAsiaTheme="minorHAnsi"/>
                <w:sz w:val="22"/>
                <w:szCs w:val="22"/>
              </w:rPr>
            </w:pPr>
            <w:r>
              <w:t>2</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$23.00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073E0B" w:rsidP="003524CD">
            <w:pPr>
              <w:autoSpaceDE w:val="0"/>
              <w:autoSpaceDN w:val="0"/>
              <w:jc w:val="center"/>
              <w:rPr>
                <w:rFonts w:eastAsiaTheme="minorHAnsi"/>
                <w:sz w:val="22"/>
                <w:szCs w:val="22"/>
              </w:rPr>
            </w:pPr>
            <w:r>
              <w:t>$46</w:t>
            </w:r>
          </w:p>
        </w:tc>
      </w:tr>
      <w:tr w:rsidR="008B665D" w:rsidTr="008B665D">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65D" w:rsidRDefault="008B665D" w:rsidP="003524CD">
            <w:pPr>
              <w:rPr>
                <w:rFonts w:eastAsiaTheme="minorHAnsi"/>
                <w:sz w:val="22"/>
                <w:szCs w:val="22"/>
              </w:rPr>
            </w:pPr>
            <w:r>
              <w:t>Quitline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7324BF" w:rsidP="003524CD">
            <w:pPr>
              <w:autoSpaceDE w:val="0"/>
              <w:autoSpaceDN w:val="0"/>
              <w:jc w:val="center"/>
              <w:rPr>
                <w:rFonts w:eastAsiaTheme="minorHAnsi"/>
                <w:sz w:val="22"/>
                <w:szCs w:val="22"/>
              </w:rPr>
            </w:pPr>
            <w:r>
              <w:t>Follow-up Survey for Quitline</w:t>
            </w:r>
            <w:r w:rsidR="008B665D">
              <w:t xml:space="preserve">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2,000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073E0B" w:rsidP="003524CD">
            <w:pPr>
              <w:autoSpaceDE w:val="0"/>
              <w:autoSpaceDN w:val="0"/>
              <w:jc w:val="center"/>
              <w:rPr>
                <w:rFonts w:eastAsiaTheme="minorHAnsi"/>
                <w:sz w:val="22"/>
                <w:szCs w:val="22"/>
              </w:rPr>
            </w:pPr>
            <w:r>
              <w:t>500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$7.37</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073E0B" w:rsidP="003524CD">
            <w:pPr>
              <w:autoSpaceDE w:val="0"/>
              <w:autoSpaceDN w:val="0"/>
              <w:jc w:val="center"/>
              <w:rPr>
                <w:rFonts w:eastAsiaTheme="minorHAnsi"/>
                <w:sz w:val="22"/>
                <w:szCs w:val="22"/>
              </w:rPr>
            </w:pPr>
            <w:r>
              <w:t>$3685</w:t>
            </w:r>
          </w:p>
        </w:tc>
      </w:tr>
      <w:tr w:rsidR="008B665D" w:rsidTr="008B665D">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65D" w:rsidRDefault="008B665D" w:rsidP="003524CD">
            <w:pPr>
              <w:rPr>
                <w:rFonts w:eastAsiaTheme="minorHAnsi"/>
                <w:sz w:val="22"/>
                <w:szCs w:val="22"/>
              </w:rPr>
            </w:pPr>
            <w:r>
              <w:t>Web Services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Follow-up Survey for Web Clients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2,000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073E0B" w:rsidP="003524CD">
            <w:pPr>
              <w:autoSpaceDE w:val="0"/>
              <w:autoSpaceDN w:val="0"/>
              <w:jc w:val="center"/>
              <w:rPr>
                <w:rFonts w:eastAsiaTheme="minorHAnsi"/>
                <w:sz w:val="22"/>
                <w:szCs w:val="22"/>
              </w:rPr>
            </w:pPr>
            <w:r>
              <w:t>500</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8B665D" w:rsidP="003524CD">
            <w:pPr>
              <w:autoSpaceDE w:val="0"/>
              <w:autoSpaceDN w:val="0"/>
              <w:jc w:val="center"/>
              <w:rPr>
                <w:rFonts w:eastAsiaTheme="minorHAnsi"/>
                <w:sz w:val="22"/>
                <w:szCs w:val="22"/>
              </w:rPr>
            </w:pPr>
            <w:r>
              <w:t>$7.37</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Default="00073E0B" w:rsidP="003524CD">
            <w:pPr>
              <w:autoSpaceDE w:val="0"/>
              <w:autoSpaceDN w:val="0"/>
              <w:jc w:val="center"/>
              <w:rPr>
                <w:rFonts w:eastAsiaTheme="minorHAnsi"/>
                <w:sz w:val="22"/>
                <w:szCs w:val="22"/>
              </w:rPr>
            </w:pPr>
            <w:r>
              <w:t>$3685</w:t>
            </w:r>
          </w:p>
        </w:tc>
      </w:tr>
      <w:tr w:rsidR="008B665D" w:rsidTr="008B665D">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665D" w:rsidRDefault="008B665D" w:rsidP="003524CD">
            <w:pPr>
              <w:rPr>
                <w:rFonts w:eastAsiaTheme="minorHAnsi"/>
                <w:sz w:val="22"/>
                <w:szCs w:val="22"/>
              </w:rPr>
            </w:pPr>
          </w:p>
        </w:tc>
        <w:tc>
          <w:tcPr>
            <w:tcW w:w="638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65D" w:rsidRPr="001465EA" w:rsidRDefault="008B665D" w:rsidP="003524CD">
            <w:pPr>
              <w:autoSpaceDE w:val="0"/>
              <w:autoSpaceDN w:val="0"/>
              <w:jc w:val="right"/>
              <w:rPr>
                <w:rFonts w:eastAsiaTheme="minorHAnsi"/>
              </w:rPr>
            </w:pPr>
            <w:r w:rsidRPr="001465EA">
              <w:t>Total</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tcPr>
          <w:p w:rsidR="008B665D" w:rsidRPr="001465EA" w:rsidRDefault="001465EA" w:rsidP="003524CD">
            <w:pPr>
              <w:autoSpaceDE w:val="0"/>
              <w:autoSpaceDN w:val="0"/>
              <w:jc w:val="center"/>
              <w:rPr>
                <w:rFonts w:eastAsiaTheme="minorHAnsi"/>
              </w:rPr>
            </w:pPr>
            <w:r w:rsidRPr="001465EA">
              <w:rPr>
                <w:rFonts w:eastAsiaTheme="minorHAnsi"/>
              </w:rPr>
              <w:t>$</w:t>
            </w:r>
            <w:r w:rsidR="00073E0B" w:rsidRPr="001465EA">
              <w:rPr>
                <w:rFonts w:eastAsiaTheme="minorHAnsi"/>
              </w:rPr>
              <w:t>8,221</w:t>
            </w:r>
          </w:p>
        </w:tc>
      </w:tr>
    </w:tbl>
    <w:p w:rsidR="0072159D" w:rsidRDefault="0072159D" w:rsidP="0062779E">
      <w:pPr>
        <w:pStyle w:val="bodytext0"/>
      </w:pPr>
    </w:p>
    <w:p w:rsidR="007F0B28" w:rsidRPr="00CF1100" w:rsidRDefault="007F0B28" w:rsidP="00076767">
      <w:pPr>
        <w:pStyle w:val="Heading2"/>
      </w:pPr>
      <w:bookmarkStart w:id="136" w:name="_Toc143058448"/>
      <w:bookmarkStart w:id="137" w:name="_Toc146088446"/>
      <w:bookmarkStart w:id="138" w:name="_Toc260215301"/>
      <w:bookmarkStart w:id="139" w:name="_Toc296586393"/>
      <w:bookmarkStart w:id="140" w:name="_Toc297131709"/>
      <w:r w:rsidRPr="00CF1100">
        <w:t>A.13</w:t>
      </w:r>
      <w:r w:rsidRPr="00CF1100">
        <w:tab/>
        <w:t>Estimates of Other Total Annual Cost Burden to Respondents and Record Keepers</w:t>
      </w:r>
      <w:bookmarkEnd w:id="136"/>
      <w:bookmarkEnd w:id="137"/>
      <w:bookmarkEnd w:id="138"/>
      <w:bookmarkEnd w:id="139"/>
      <w:bookmarkEnd w:id="140"/>
      <w:r w:rsidRPr="00CF1100">
        <w:t xml:space="preserve"> </w:t>
      </w:r>
    </w:p>
    <w:p w:rsidR="007F0B28" w:rsidRPr="00CF1100" w:rsidRDefault="007F0B28" w:rsidP="0062779E">
      <w:pPr>
        <w:pStyle w:val="bodytext0"/>
      </w:pPr>
      <w:r w:rsidRPr="00CF1100">
        <w:t>Respondents are subject to no direct costs other than their time to participate; there are no start-up or maintenance costs. Utilization data and intake data are collected as part of state TCPs</w:t>
      </w:r>
      <w:r w:rsidR="0062779E">
        <w:t>’</w:t>
      </w:r>
      <w:r w:rsidRPr="00CF1100">
        <w:t xml:space="preserve"> regular evaluation and monitoring activities of their programs; however, if TCPs incur additional costs for </w:t>
      </w:r>
      <w:r w:rsidR="0040284D">
        <w:t>obtaining</w:t>
      </w:r>
      <w:r w:rsidR="0040284D" w:rsidRPr="00CF1100">
        <w:t xml:space="preserve"> </w:t>
      </w:r>
      <w:r w:rsidRPr="00CF1100">
        <w:t xml:space="preserve">this information for the study, </w:t>
      </w:r>
      <w:r w:rsidR="00E13003">
        <w:t>investigators</w:t>
      </w:r>
      <w:r w:rsidR="00E6780A" w:rsidRPr="00E6780A">
        <w:t xml:space="preserve"> will reimburse the costs</w:t>
      </w:r>
      <w:r w:rsidR="00076767" w:rsidRPr="00E55F21">
        <w:t>.</w:t>
      </w:r>
      <w:r w:rsidR="0095461B">
        <w:t xml:space="preserve"> </w:t>
      </w:r>
      <w:r w:rsidR="00E13003">
        <w:t>Investigators</w:t>
      </w:r>
      <w:r w:rsidR="00DD4194">
        <w:t xml:space="preserve"> will be financially responsible for any additional follow-up data collection that </w:t>
      </w:r>
      <w:r w:rsidR="00DD4194">
        <w:lastRenderedPageBreak/>
        <w:t>must occur beyond what states currently conduct for regular evaluation purposes to meet specific study goals and sample size requirements. Similarly, if TCPs incur addit</w:t>
      </w:r>
      <w:r w:rsidR="007324BF">
        <w:t xml:space="preserve">ional costs for obtaining </w:t>
      </w:r>
      <w:r w:rsidR="00DD4194">
        <w:t xml:space="preserve">follow-up data, </w:t>
      </w:r>
      <w:r w:rsidR="00E13003">
        <w:t>investigators</w:t>
      </w:r>
      <w:r w:rsidR="00DD4194">
        <w:t xml:space="preserve"> will also reimburse the TCPs for these costs</w:t>
      </w:r>
      <w:r w:rsidR="000A72CE">
        <w:t xml:space="preserve">. </w:t>
      </w:r>
    </w:p>
    <w:p w:rsidR="007F0B28" w:rsidRPr="00076767" w:rsidRDefault="007F0B28" w:rsidP="00076767">
      <w:pPr>
        <w:pStyle w:val="Heading2"/>
      </w:pPr>
      <w:bookmarkStart w:id="141" w:name="_Toc260215302"/>
      <w:bookmarkStart w:id="142" w:name="_Toc296586394"/>
      <w:bookmarkStart w:id="143" w:name="_Toc297131710"/>
      <w:r w:rsidRPr="00CF1100">
        <w:t>A.14</w:t>
      </w:r>
      <w:r w:rsidRPr="00CF1100">
        <w:tab/>
        <w:t>Annualized Cost to the Federal Government</w:t>
      </w:r>
      <w:bookmarkEnd w:id="133"/>
      <w:bookmarkEnd w:id="141"/>
      <w:bookmarkEnd w:id="142"/>
      <w:bookmarkEnd w:id="143"/>
      <w:r w:rsidRPr="00CF1100">
        <w:t xml:space="preserve"> </w:t>
      </w:r>
    </w:p>
    <w:p w:rsidR="007F0B28" w:rsidRPr="00CF1100" w:rsidRDefault="00507A03" w:rsidP="00076767">
      <w:pPr>
        <w:pStyle w:val="bodytext0"/>
      </w:pPr>
      <w:r>
        <w:t>The contractual costs to RTI include costs for scientific staff who have responsibilities for project management, study design and data analysis</w:t>
      </w:r>
      <w:r w:rsidR="003115B9">
        <w:t xml:space="preserve">; </w:t>
      </w:r>
      <w:r>
        <w:t>the personnel costs associated with recruiting</w:t>
      </w:r>
      <w:r w:rsidR="003115B9">
        <w:t xml:space="preserve"> and collaborating with TCPs; </w:t>
      </w:r>
      <w:r>
        <w:t>distributing and tracking follow-up surveys if necessary</w:t>
      </w:r>
      <w:r w:rsidR="003115B9">
        <w:t>;</w:t>
      </w:r>
      <w:r>
        <w:t xml:space="preserve"> managing data</w:t>
      </w:r>
      <w:r w:rsidR="003115B9">
        <w:t>;</w:t>
      </w:r>
      <w:r w:rsidR="009C5C6D">
        <w:t xml:space="preserve"> and reporting results</w:t>
      </w:r>
      <w:r w:rsidR="00A3338A">
        <w:t xml:space="preserve">. </w:t>
      </w:r>
      <w:r>
        <w:t>Other contractual costs include costs for survey production and distribution, the cost of computing equipment, study incentives, and other administrative costs</w:t>
      </w:r>
      <w:r w:rsidR="00A3338A">
        <w:t xml:space="preserve">. </w:t>
      </w:r>
      <w:r>
        <w:t xml:space="preserve">The total estimated cost of the contract is </w:t>
      </w:r>
      <w:r w:rsidR="0040104B" w:rsidRPr="0040104B">
        <w:t>$2,200,269</w:t>
      </w:r>
      <w:r>
        <w:t xml:space="preserve"> </w:t>
      </w:r>
      <w:r w:rsidR="003115B9">
        <w:t xml:space="preserve">over a 3-year </w:t>
      </w:r>
      <w:proofErr w:type="gramStart"/>
      <w:r w:rsidR="003115B9">
        <w:t>period</w:t>
      </w:r>
      <w:r w:rsidR="005E081A">
        <w:t>,</w:t>
      </w:r>
      <w:proofErr w:type="gramEnd"/>
      <w:r w:rsidR="005E081A">
        <w:t xml:space="preserve"> however, data collection will occur over two to two and one-half years. The</w:t>
      </w:r>
      <w:r>
        <w:t xml:space="preserve"> estimated annualized cost</w:t>
      </w:r>
      <w:r w:rsidR="00D066F1">
        <w:t xml:space="preserve"> </w:t>
      </w:r>
      <w:r w:rsidR="005E081A">
        <w:t xml:space="preserve">to the government </w:t>
      </w:r>
      <w:r>
        <w:t xml:space="preserve">of </w:t>
      </w:r>
      <w:r w:rsidR="0040104B" w:rsidRPr="0040104B">
        <w:t>$</w:t>
      </w:r>
      <w:r w:rsidR="005E081A">
        <w:t>1,128,804 represents total project costs annualized over two years</w:t>
      </w:r>
      <w:r>
        <w:t xml:space="preserve">. </w:t>
      </w:r>
      <w:r w:rsidR="0040284D" w:rsidRPr="00CF1100">
        <w:t>The contractor</w:t>
      </w:r>
      <w:r w:rsidR="0040284D">
        <w:t>’</w:t>
      </w:r>
      <w:r w:rsidR="0040284D" w:rsidRPr="00CF1100">
        <w:t xml:space="preserve">s costs are based on estimates provided by the contractor who will carry out </w:t>
      </w:r>
      <w:r w:rsidR="007324BF">
        <w:t>the data collection activities</w:t>
      </w:r>
      <w:r w:rsidR="0040284D">
        <w:t>.</w:t>
      </w:r>
      <w:r>
        <w:t xml:space="preserve"> </w:t>
      </w:r>
      <w:r w:rsidRPr="00500C39">
        <w:rPr>
          <w:color w:val="000000"/>
        </w:rPr>
        <w:t xml:space="preserve">The CDC oversight costs include personnel costs of Federal </w:t>
      </w:r>
      <w:r w:rsidR="009C5C6D">
        <w:rPr>
          <w:color w:val="000000"/>
        </w:rPr>
        <w:t xml:space="preserve">employees involved in oversight and </w:t>
      </w:r>
      <w:r w:rsidR="00E13003">
        <w:rPr>
          <w:color w:val="000000"/>
        </w:rPr>
        <w:t>are</w:t>
      </w:r>
      <w:r w:rsidRPr="00500C39">
        <w:rPr>
          <w:color w:val="000000"/>
        </w:rPr>
        <w:t xml:space="preserve"> estimated at $</w:t>
      </w:r>
      <w:r w:rsidR="00803736">
        <w:t>38,400</w:t>
      </w:r>
      <w:r w:rsidRPr="00500C39">
        <w:rPr>
          <w:color w:val="000000"/>
        </w:rPr>
        <w:t xml:space="preserve"> </w:t>
      </w:r>
      <w:r>
        <w:rPr>
          <w:color w:val="000000"/>
        </w:rPr>
        <w:t>ann</w:t>
      </w:r>
      <w:r w:rsidR="0040284D">
        <w:rPr>
          <w:color w:val="000000"/>
        </w:rPr>
        <w:t>ually.</w:t>
      </w:r>
      <w:r w:rsidR="00803736">
        <w:rPr>
          <w:color w:val="000000"/>
        </w:rPr>
        <w:t xml:space="preserve"> This estimate includes one</w:t>
      </w:r>
      <w:r>
        <w:rPr>
          <w:color w:val="000000"/>
        </w:rPr>
        <w:t xml:space="preserve"> project director </w:t>
      </w:r>
      <w:r w:rsidR="00803736">
        <w:rPr>
          <w:color w:val="000000"/>
        </w:rPr>
        <w:t xml:space="preserve">and one </w:t>
      </w:r>
      <w:r w:rsidR="00715219">
        <w:rPr>
          <w:color w:val="000000"/>
        </w:rPr>
        <w:t>technical monitor</w:t>
      </w:r>
      <w:r w:rsidR="00803736">
        <w:rPr>
          <w:color w:val="000000"/>
        </w:rPr>
        <w:t xml:space="preserve"> at the GS-13</w:t>
      </w:r>
      <w:r>
        <w:rPr>
          <w:color w:val="000000"/>
        </w:rPr>
        <w:t xml:space="preserve"> level</w:t>
      </w:r>
      <w:r w:rsidR="00803736">
        <w:rPr>
          <w:color w:val="000000"/>
        </w:rPr>
        <w:t xml:space="preserve"> (15% FTE each)</w:t>
      </w:r>
      <w:r w:rsidR="009C5C6D">
        <w:rPr>
          <w:color w:val="000000"/>
        </w:rPr>
        <w:t>, and one</w:t>
      </w:r>
      <w:r>
        <w:rPr>
          <w:color w:val="000000"/>
        </w:rPr>
        <w:t xml:space="preserve"> consulting </w:t>
      </w:r>
      <w:r w:rsidR="00803736">
        <w:rPr>
          <w:color w:val="000000"/>
        </w:rPr>
        <w:t xml:space="preserve">medical </w:t>
      </w:r>
      <w:r w:rsidR="00023B6B">
        <w:rPr>
          <w:color w:val="000000"/>
        </w:rPr>
        <w:t>epidemiologist</w:t>
      </w:r>
      <w:r>
        <w:rPr>
          <w:color w:val="000000"/>
        </w:rPr>
        <w:t xml:space="preserve"> at the GS-13 level</w:t>
      </w:r>
      <w:r w:rsidR="00803736">
        <w:rPr>
          <w:color w:val="000000"/>
        </w:rPr>
        <w:t xml:space="preserve"> (10% FTE)</w:t>
      </w:r>
      <w:r>
        <w:rPr>
          <w:color w:val="000000"/>
        </w:rPr>
        <w:t>.</w:t>
      </w:r>
      <w:r w:rsidR="00A664A8">
        <w:rPr>
          <w:color w:val="000000"/>
        </w:rPr>
        <w:t xml:space="preserve"> The 2011 Department of Labor GS-13 base pay of $71,674 was used in calculating these amounts.</w:t>
      </w:r>
    </w:p>
    <w:p w:rsidR="007F0B28" w:rsidRDefault="00A03789" w:rsidP="00AF14FC">
      <w:pPr>
        <w:pStyle w:val="Heading3"/>
      </w:pPr>
      <w:bookmarkStart w:id="144" w:name="_Toc146088170"/>
      <w:bookmarkStart w:id="145" w:name="_Toc146089478"/>
      <w:bookmarkStart w:id="146" w:name="_Toc260210575"/>
      <w:bookmarkStart w:id="147" w:name="_Toc296586395"/>
      <w:bookmarkStart w:id="148" w:name="_Toc297131711"/>
      <w:r w:rsidRPr="00A03789">
        <w:rPr>
          <w:szCs w:val="20"/>
        </w:rPr>
        <w:t>A.</w:t>
      </w:r>
      <w:r>
        <w:t xml:space="preserve">14-1 </w:t>
      </w:r>
      <w:r w:rsidR="003115B9">
        <w:t xml:space="preserve">Annualized </w:t>
      </w:r>
      <w:r w:rsidR="007F0B28" w:rsidRPr="00CF1100">
        <w:t>Government Costs</w:t>
      </w:r>
      <w:bookmarkEnd w:id="144"/>
      <w:bookmarkEnd w:id="145"/>
      <w:bookmarkEnd w:id="146"/>
      <w:bookmarkEnd w:id="147"/>
      <w:bookmarkEnd w:id="148"/>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3888"/>
        <w:gridCol w:w="2520"/>
        <w:gridCol w:w="2520"/>
      </w:tblGrid>
      <w:tr w:rsidR="009228CF" w:rsidRPr="00295B26" w:rsidTr="000F77AD">
        <w:tc>
          <w:tcPr>
            <w:tcW w:w="3888" w:type="dxa"/>
            <w:shd w:val="clear" w:color="auto" w:fill="auto"/>
          </w:tcPr>
          <w:p w:rsidR="009228CF" w:rsidRPr="00295B26" w:rsidRDefault="009228CF" w:rsidP="00B45E77">
            <w:pPr>
              <w:spacing w:before="240"/>
              <w:jc w:val="center"/>
              <w:rPr>
                <w:b/>
                <w:bCs/>
                <w:sz w:val="22"/>
                <w:szCs w:val="22"/>
              </w:rPr>
            </w:pPr>
            <w:r w:rsidRPr="00295B26">
              <w:rPr>
                <w:b/>
                <w:bCs/>
                <w:sz w:val="22"/>
                <w:szCs w:val="22"/>
              </w:rPr>
              <w:t>Type of Cost</w:t>
            </w:r>
          </w:p>
        </w:tc>
        <w:tc>
          <w:tcPr>
            <w:tcW w:w="2520" w:type="dxa"/>
            <w:shd w:val="clear" w:color="auto" w:fill="auto"/>
          </w:tcPr>
          <w:p w:rsidR="009228CF" w:rsidRPr="00295B26" w:rsidRDefault="009228CF" w:rsidP="00B45E77">
            <w:pPr>
              <w:spacing w:before="240"/>
              <w:jc w:val="center"/>
              <w:rPr>
                <w:b/>
                <w:bCs/>
                <w:sz w:val="22"/>
                <w:szCs w:val="22"/>
              </w:rPr>
            </w:pPr>
            <w:r w:rsidRPr="00295B26">
              <w:rPr>
                <w:b/>
                <w:bCs/>
                <w:sz w:val="22"/>
                <w:szCs w:val="22"/>
              </w:rPr>
              <w:t>Total Cost</w:t>
            </w:r>
          </w:p>
        </w:tc>
        <w:tc>
          <w:tcPr>
            <w:tcW w:w="2520" w:type="dxa"/>
            <w:shd w:val="clear" w:color="auto" w:fill="auto"/>
          </w:tcPr>
          <w:p w:rsidR="009228CF" w:rsidRPr="00295B26" w:rsidRDefault="009228CF" w:rsidP="00B45E77">
            <w:pPr>
              <w:spacing w:before="240"/>
              <w:jc w:val="center"/>
              <w:rPr>
                <w:b/>
                <w:bCs/>
                <w:sz w:val="22"/>
                <w:szCs w:val="22"/>
              </w:rPr>
            </w:pPr>
            <w:r w:rsidRPr="00295B26">
              <w:rPr>
                <w:b/>
                <w:bCs/>
                <w:sz w:val="22"/>
                <w:szCs w:val="22"/>
              </w:rPr>
              <w:t>Annualized Cost</w:t>
            </w:r>
          </w:p>
        </w:tc>
      </w:tr>
      <w:tr w:rsidR="009228CF" w:rsidRPr="00295B26" w:rsidTr="000F77AD">
        <w:tc>
          <w:tcPr>
            <w:tcW w:w="8928" w:type="dxa"/>
            <w:gridSpan w:val="3"/>
            <w:shd w:val="clear" w:color="auto" w:fill="auto"/>
          </w:tcPr>
          <w:p w:rsidR="009228CF" w:rsidRPr="0040104B" w:rsidRDefault="009228CF" w:rsidP="00D958DE">
            <w:pPr>
              <w:pStyle w:val="BodyText2"/>
              <w:spacing w:before="40" w:after="40"/>
              <w:jc w:val="center"/>
              <w:rPr>
                <w:b/>
                <w:sz w:val="22"/>
                <w:szCs w:val="22"/>
              </w:rPr>
            </w:pPr>
            <w:r w:rsidRPr="0040104B">
              <w:rPr>
                <w:b/>
                <w:sz w:val="22"/>
                <w:szCs w:val="22"/>
              </w:rPr>
              <w:t>RTI Contract Costs</w:t>
            </w:r>
          </w:p>
        </w:tc>
      </w:tr>
      <w:tr w:rsidR="009228CF" w:rsidRPr="00295B26" w:rsidTr="000F77AD">
        <w:tc>
          <w:tcPr>
            <w:tcW w:w="3888" w:type="dxa"/>
            <w:shd w:val="clear" w:color="auto" w:fill="auto"/>
          </w:tcPr>
          <w:p w:rsidR="009228CF" w:rsidRPr="000F77AD" w:rsidRDefault="000F77AD" w:rsidP="00D958DE">
            <w:pPr>
              <w:pStyle w:val="BodyText2"/>
              <w:spacing w:before="40" w:after="40"/>
              <w:rPr>
                <w:sz w:val="22"/>
                <w:szCs w:val="22"/>
              </w:rPr>
            </w:pPr>
            <w:r w:rsidRPr="000F77AD">
              <w:rPr>
                <w:sz w:val="22"/>
                <w:szCs w:val="22"/>
              </w:rPr>
              <w:t>Labor</w:t>
            </w:r>
          </w:p>
        </w:tc>
        <w:tc>
          <w:tcPr>
            <w:tcW w:w="2520" w:type="dxa"/>
            <w:shd w:val="clear" w:color="auto" w:fill="auto"/>
          </w:tcPr>
          <w:p w:rsidR="009228CF" w:rsidRPr="000F77AD" w:rsidRDefault="000F77AD" w:rsidP="00D958DE">
            <w:pPr>
              <w:pStyle w:val="BodyText2"/>
              <w:spacing w:before="40" w:after="40"/>
              <w:rPr>
                <w:sz w:val="22"/>
                <w:szCs w:val="22"/>
              </w:rPr>
            </w:pPr>
            <w:r w:rsidRPr="000F77AD">
              <w:rPr>
                <w:sz w:val="22"/>
                <w:szCs w:val="22"/>
              </w:rPr>
              <w:t>$</w:t>
            </w:r>
            <w:r w:rsidR="0040104B">
              <w:rPr>
                <w:sz w:val="22"/>
                <w:szCs w:val="22"/>
              </w:rPr>
              <w:t>597,137</w:t>
            </w:r>
          </w:p>
        </w:tc>
        <w:tc>
          <w:tcPr>
            <w:tcW w:w="2520" w:type="dxa"/>
            <w:shd w:val="clear" w:color="auto" w:fill="auto"/>
          </w:tcPr>
          <w:p w:rsidR="009228CF" w:rsidRPr="0040104B" w:rsidRDefault="0040104B" w:rsidP="00D958DE">
            <w:pPr>
              <w:pStyle w:val="BodyText2"/>
              <w:spacing w:before="40" w:after="40"/>
              <w:jc w:val="center"/>
              <w:rPr>
                <w:sz w:val="22"/>
                <w:szCs w:val="22"/>
              </w:rPr>
            </w:pPr>
            <w:r w:rsidRPr="0040104B">
              <w:rPr>
                <w:sz w:val="22"/>
                <w:szCs w:val="22"/>
              </w:rPr>
              <w:t>$</w:t>
            </w:r>
            <w:r w:rsidR="00D245EC">
              <w:rPr>
                <w:sz w:val="22"/>
                <w:szCs w:val="22"/>
              </w:rPr>
              <w:t>298,569</w:t>
            </w:r>
          </w:p>
        </w:tc>
      </w:tr>
      <w:tr w:rsidR="0040104B" w:rsidRPr="00295B26" w:rsidTr="000F77AD">
        <w:tc>
          <w:tcPr>
            <w:tcW w:w="3888" w:type="dxa"/>
            <w:shd w:val="clear" w:color="auto" w:fill="auto"/>
          </w:tcPr>
          <w:p w:rsidR="0040104B" w:rsidRPr="000F77AD" w:rsidRDefault="0040104B" w:rsidP="00D958DE">
            <w:pPr>
              <w:pStyle w:val="BodyText2"/>
              <w:spacing w:before="40" w:after="40"/>
              <w:rPr>
                <w:b/>
                <w:sz w:val="22"/>
                <w:szCs w:val="22"/>
              </w:rPr>
            </w:pPr>
            <w:r w:rsidRPr="000F77AD">
              <w:rPr>
                <w:sz w:val="22"/>
                <w:szCs w:val="22"/>
              </w:rPr>
              <w:t>Materials and services</w:t>
            </w:r>
          </w:p>
        </w:tc>
        <w:tc>
          <w:tcPr>
            <w:tcW w:w="2520" w:type="dxa"/>
            <w:shd w:val="clear" w:color="auto" w:fill="auto"/>
          </w:tcPr>
          <w:p w:rsidR="0040104B" w:rsidRPr="000F77AD" w:rsidRDefault="0040104B" w:rsidP="00D958DE">
            <w:pPr>
              <w:pStyle w:val="BodyText2"/>
              <w:spacing w:before="40" w:after="40"/>
              <w:rPr>
                <w:sz w:val="22"/>
                <w:szCs w:val="22"/>
              </w:rPr>
            </w:pPr>
            <w:r>
              <w:rPr>
                <w:sz w:val="22"/>
                <w:szCs w:val="22"/>
              </w:rPr>
              <w:t>$864,718</w:t>
            </w:r>
          </w:p>
        </w:tc>
        <w:tc>
          <w:tcPr>
            <w:tcW w:w="2520" w:type="dxa"/>
            <w:shd w:val="clear" w:color="auto" w:fill="auto"/>
          </w:tcPr>
          <w:p w:rsidR="0040104B" w:rsidRPr="0040104B" w:rsidRDefault="0040104B" w:rsidP="00D958DE">
            <w:pPr>
              <w:pStyle w:val="BodyText2"/>
              <w:spacing w:before="40" w:after="40"/>
              <w:jc w:val="center"/>
              <w:rPr>
                <w:sz w:val="22"/>
                <w:szCs w:val="22"/>
              </w:rPr>
            </w:pPr>
            <w:r w:rsidRPr="0040104B">
              <w:rPr>
                <w:sz w:val="22"/>
                <w:szCs w:val="22"/>
              </w:rPr>
              <w:t>$</w:t>
            </w:r>
            <w:r w:rsidR="00DA763C">
              <w:rPr>
                <w:sz w:val="22"/>
                <w:szCs w:val="22"/>
              </w:rPr>
              <w:t>432,359</w:t>
            </w:r>
          </w:p>
        </w:tc>
      </w:tr>
      <w:tr w:rsidR="0040104B" w:rsidRPr="00295B26" w:rsidTr="000F77AD">
        <w:tc>
          <w:tcPr>
            <w:tcW w:w="3888" w:type="dxa"/>
            <w:shd w:val="clear" w:color="auto" w:fill="auto"/>
          </w:tcPr>
          <w:p w:rsidR="0040104B" w:rsidRPr="000F77AD" w:rsidRDefault="0040104B" w:rsidP="00D958DE">
            <w:pPr>
              <w:pStyle w:val="BodyText2"/>
              <w:spacing w:before="40" w:after="40"/>
              <w:rPr>
                <w:b/>
                <w:sz w:val="22"/>
                <w:szCs w:val="22"/>
              </w:rPr>
            </w:pPr>
            <w:r w:rsidRPr="000F77AD">
              <w:rPr>
                <w:sz w:val="22"/>
                <w:szCs w:val="22"/>
              </w:rPr>
              <w:t>Indirect costs</w:t>
            </w:r>
          </w:p>
        </w:tc>
        <w:tc>
          <w:tcPr>
            <w:tcW w:w="2520" w:type="dxa"/>
            <w:shd w:val="clear" w:color="auto" w:fill="auto"/>
          </w:tcPr>
          <w:p w:rsidR="0040104B" w:rsidRPr="000F77AD" w:rsidRDefault="0040104B" w:rsidP="00D958DE">
            <w:pPr>
              <w:pStyle w:val="BodyText2"/>
              <w:spacing w:before="40" w:after="40"/>
              <w:rPr>
                <w:sz w:val="22"/>
                <w:szCs w:val="22"/>
              </w:rPr>
            </w:pPr>
            <w:r>
              <w:rPr>
                <w:sz w:val="22"/>
                <w:szCs w:val="22"/>
              </w:rPr>
              <w:t>$738,414</w:t>
            </w:r>
          </w:p>
        </w:tc>
        <w:tc>
          <w:tcPr>
            <w:tcW w:w="2520" w:type="dxa"/>
            <w:shd w:val="clear" w:color="auto" w:fill="auto"/>
          </w:tcPr>
          <w:p w:rsidR="0040104B" w:rsidRPr="0040104B" w:rsidRDefault="0040104B" w:rsidP="00D958DE">
            <w:pPr>
              <w:pStyle w:val="BodyText2"/>
              <w:spacing w:before="40" w:after="40"/>
              <w:jc w:val="center"/>
              <w:rPr>
                <w:sz w:val="22"/>
                <w:szCs w:val="22"/>
              </w:rPr>
            </w:pPr>
            <w:r w:rsidRPr="0040104B">
              <w:rPr>
                <w:sz w:val="22"/>
                <w:szCs w:val="22"/>
              </w:rPr>
              <w:t>$</w:t>
            </w:r>
            <w:r w:rsidR="00DA763C">
              <w:rPr>
                <w:sz w:val="22"/>
                <w:szCs w:val="22"/>
              </w:rPr>
              <w:t>369,207</w:t>
            </w:r>
          </w:p>
        </w:tc>
      </w:tr>
      <w:tr w:rsidR="0040104B" w:rsidRPr="00295B26" w:rsidTr="000F77AD">
        <w:tc>
          <w:tcPr>
            <w:tcW w:w="3888" w:type="dxa"/>
            <w:shd w:val="clear" w:color="auto" w:fill="auto"/>
          </w:tcPr>
          <w:p w:rsidR="00FE6EBD" w:rsidRDefault="00DA763C" w:rsidP="00D958DE">
            <w:pPr>
              <w:pStyle w:val="BodyText2"/>
              <w:spacing w:before="40" w:after="40"/>
              <w:jc w:val="right"/>
              <w:rPr>
                <w:b/>
                <w:sz w:val="22"/>
                <w:szCs w:val="22"/>
              </w:rPr>
            </w:pPr>
            <w:r>
              <w:rPr>
                <w:b/>
                <w:sz w:val="22"/>
                <w:szCs w:val="22"/>
              </w:rPr>
              <w:t>Subt</w:t>
            </w:r>
            <w:r w:rsidR="0040104B" w:rsidRPr="000F77AD">
              <w:rPr>
                <w:b/>
                <w:sz w:val="22"/>
                <w:szCs w:val="22"/>
              </w:rPr>
              <w:t>otal</w:t>
            </w:r>
            <w:r>
              <w:rPr>
                <w:b/>
                <w:sz w:val="22"/>
                <w:szCs w:val="22"/>
              </w:rPr>
              <w:t>,</w:t>
            </w:r>
            <w:r w:rsidR="0040104B" w:rsidRPr="000F77AD">
              <w:rPr>
                <w:b/>
                <w:sz w:val="22"/>
                <w:szCs w:val="22"/>
              </w:rPr>
              <w:t xml:space="preserve"> Contract Costs</w:t>
            </w:r>
          </w:p>
        </w:tc>
        <w:tc>
          <w:tcPr>
            <w:tcW w:w="2520" w:type="dxa"/>
            <w:shd w:val="clear" w:color="auto" w:fill="auto"/>
          </w:tcPr>
          <w:p w:rsidR="00FE6EBD" w:rsidRDefault="0040104B" w:rsidP="00D958DE">
            <w:pPr>
              <w:pStyle w:val="BodyText2"/>
              <w:spacing w:before="40" w:after="40"/>
              <w:jc w:val="right"/>
              <w:rPr>
                <w:sz w:val="22"/>
                <w:szCs w:val="22"/>
              </w:rPr>
            </w:pPr>
            <w:r w:rsidRPr="000F77AD">
              <w:rPr>
                <w:sz w:val="22"/>
                <w:szCs w:val="22"/>
              </w:rPr>
              <w:t>$</w:t>
            </w:r>
            <w:r>
              <w:rPr>
                <w:sz w:val="22"/>
                <w:szCs w:val="22"/>
              </w:rPr>
              <w:t>2,200,269</w:t>
            </w:r>
          </w:p>
        </w:tc>
        <w:tc>
          <w:tcPr>
            <w:tcW w:w="2520" w:type="dxa"/>
            <w:shd w:val="clear" w:color="auto" w:fill="auto"/>
          </w:tcPr>
          <w:p w:rsidR="00FE6EBD" w:rsidRDefault="0040104B" w:rsidP="00D958DE">
            <w:pPr>
              <w:pStyle w:val="BodyText2"/>
              <w:spacing w:before="40" w:after="40"/>
              <w:jc w:val="right"/>
              <w:rPr>
                <w:sz w:val="22"/>
                <w:szCs w:val="22"/>
                <w:highlight w:val="yellow"/>
              </w:rPr>
            </w:pPr>
            <w:r w:rsidRPr="0040104B">
              <w:rPr>
                <w:sz w:val="22"/>
                <w:szCs w:val="22"/>
              </w:rPr>
              <w:t>$</w:t>
            </w:r>
            <w:r w:rsidR="00DA763C">
              <w:rPr>
                <w:sz w:val="22"/>
                <w:szCs w:val="22"/>
              </w:rPr>
              <w:t>1,100,135</w:t>
            </w:r>
          </w:p>
        </w:tc>
      </w:tr>
      <w:tr w:rsidR="0040104B" w:rsidRPr="00295B26" w:rsidTr="000F77AD">
        <w:tc>
          <w:tcPr>
            <w:tcW w:w="8928" w:type="dxa"/>
            <w:gridSpan w:val="3"/>
            <w:shd w:val="clear" w:color="auto" w:fill="auto"/>
          </w:tcPr>
          <w:p w:rsidR="0040104B" w:rsidRPr="0040104B" w:rsidRDefault="0040104B" w:rsidP="00D958DE">
            <w:pPr>
              <w:pStyle w:val="BodyText2"/>
              <w:spacing w:before="40" w:after="40"/>
              <w:jc w:val="center"/>
              <w:rPr>
                <w:b/>
                <w:sz w:val="22"/>
                <w:szCs w:val="22"/>
              </w:rPr>
            </w:pPr>
            <w:r w:rsidRPr="0040104B">
              <w:rPr>
                <w:b/>
                <w:sz w:val="22"/>
                <w:szCs w:val="22"/>
              </w:rPr>
              <w:t>CDC Oversight Costs</w:t>
            </w:r>
          </w:p>
        </w:tc>
      </w:tr>
      <w:tr w:rsidR="0040104B" w:rsidRPr="00295B26" w:rsidTr="000F77AD">
        <w:tc>
          <w:tcPr>
            <w:tcW w:w="3888" w:type="dxa"/>
            <w:shd w:val="clear" w:color="auto" w:fill="auto"/>
          </w:tcPr>
          <w:p w:rsidR="0040104B" w:rsidRPr="00295B26" w:rsidRDefault="0040104B" w:rsidP="00D958DE">
            <w:pPr>
              <w:pStyle w:val="BodyText2"/>
              <w:spacing w:before="40" w:after="40"/>
              <w:rPr>
                <w:sz w:val="22"/>
                <w:szCs w:val="22"/>
              </w:rPr>
            </w:pPr>
            <w:r w:rsidRPr="00295B26">
              <w:rPr>
                <w:sz w:val="22"/>
                <w:szCs w:val="22"/>
              </w:rPr>
              <w:lastRenderedPageBreak/>
              <w:t xml:space="preserve">      </w:t>
            </w:r>
            <w:r>
              <w:rPr>
                <w:sz w:val="22"/>
                <w:szCs w:val="22"/>
              </w:rPr>
              <w:t>2 GS-13, $</w:t>
            </w:r>
            <w:r w:rsidR="00715219">
              <w:rPr>
                <w:sz w:val="22"/>
                <w:szCs w:val="22"/>
              </w:rPr>
              <w:t>71,674</w:t>
            </w:r>
            <w:r>
              <w:rPr>
                <w:sz w:val="22"/>
                <w:szCs w:val="22"/>
              </w:rPr>
              <w:t>/year @ 15%</w:t>
            </w:r>
          </w:p>
        </w:tc>
        <w:tc>
          <w:tcPr>
            <w:tcW w:w="2520" w:type="dxa"/>
            <w:shd w:val="clear" w:color="auto" w:fill="auto"/>
          </w:tcPr>
          <w:p w:rsidR="0040104B" w:rsidRPr="00295B26" w:rsidRDefault="0040104B" w:rsidP="00D958DE">
            <w:pPr>
              <w:pStyle w:val="BodyText2"/>
              <w:spacing w:before="40" w:after="40"/>
              <w:rPr>
                <w:sz w:val="22"/>
                <w:szCs w:val="22"/>
              </w:rPr>
            </w:pPr>
          </w:p>
        </w:tc>
        <w:tc>
          <w:tcPr>
            <w:tcW w:w="2520" w:type="dxa"/>
            <w:shd w:val="clear" w:color="auto" w:fill="auto"/>
          </w:tcPr>
          <w:p w:rsidR="0040104B" w:rsidRPr="00295B26" w:rsidRDefault="00A664A8" w:rsidP="00D958DE">
            <w:pPr>
              <w:pStyle w:val="BodyText2"/>
              <w:spacing w:before="40" w:after="40"/>
              <w:jc w:val="center"/>
              <w:rPr>
                <w:sz w:val="22"/>
                <w:szCs w:val="22"/>
              </w:rPr>
            </w:pPr>
            <w:r>
              <w:rPr>
                <w:sz w:val="22"/>
                <w:szCs w:val="22"/>
              </w:rPr>
              <w:t>$21</w:t>
            </w:r>
            <w:r w:rsidR="0040104B">
              <w:rPr>
                <w:sz w:val="22"/>
                <w:szCs w:val="22"/>
              </w:rPr>
              <w:t>,</w:t>
            </w:r>
            <w:r>
              <w:rPr>
                <w:sz w:val="22"/>
                <w:szCs w:val="22"/>
              </w:rPr>
              <w:t>502</w:t>
            </w:r>
          </w:p>
        </w:tc>
      </w:tr>
      <w:tr w:rsidR="0040104B" w:rsidRPr="00295B26" w:rsidTr="000F77AD">
        <w:tc>
          <w:tcPr>
            <w:tcW w:w="3888" w:type="dxa"/>
            <w:shd w:val="clear" w:color="auto" w:fill="auto"/>
          </w:tcPr>
          <w:p w:rsidR="0040104B" w:rsidRPr="00295B26" w:rsidRDefault="0040104B" w:rsidP="00D958DE">
            <w:pPr>
              <w:pStyle w:val="BodyText2"/>
              <w:spacing w:before="40" w:after="40"/>
              <w:rPr>
                <w:sz w:val="22"/>
                <w:szCs w:val="22"/>
              </w:rPr>
            </w:pPr>
            <w:r>
              <w:rPr>
                <w:sz w:val="22"/>
                <w:szCs w:val="22"/>
              </w:rPr>
              <w:t xml:space="preserve">      1 GS-13, $</w:t>
            </w:r>
            <w:r w:rsidR="00715219">
              <w:rPr>
                <w:sz w:val="22"/>
                <w:szCs w:val="22"/>
              </w:rPr>
              <w:t>71,674</w:t>
            </w:r>
            <w:r>
              <w:rPr>
                <w:sz w:val="22"/>
                <w:szCs w:val="22"/>
              </w:rPr>
              <w:t>/year @ 10%</w:t>
            </w:r>
          </w:p>
        </w:tc>
        <w:tc>
          <w:tcPr>
            <w:tcW w:w="2520" w:type="dxa"/>
            <w:shd w:val="clear" w:color="auto" w:fill="auto"/>
          </w:tcPr>
          <w:p w:rsidR="0040104B" w:rsidRPr="00295B26" w:rsidRDefault="0040104B" w:rsidP="00D958DE">
            <w:pPr>
              <w:pStyle w:val="BodyText2"/>
              <w:spacing w:before="40" w:after="40"/>
              <w:rPr>
                <w:sz w:val="22"/>
                <w:szCs w:val="22"/>
              </w:rPr>
            </w:pPr>
          </w:p>
        </w:tc>
        <w:tc>
          <w:tcPr>
            <w:tcW w:w="2520" w:type="dxa"/>
            <w:shd w:val="clear" w:color="auto" w:fill="auto"/>
          </w:tcPr>
          <w:p w:rsidR="0040104B" w:rsidRDefault="0040104B" w:rsidP="00D958DE">
            <w:pPr>
              <w:pStyle w:val="BodyText2"/>
              <w:spacing w:before="40" w:after="40"/>
              <w:jc w:val="center"/>
              <w:rPr>
                <w:sz w:val="22"/>
                <w:szCs w:val="22"/>
              </w:rPr>
            </w:pPr>
            <w:r>
              <w:rPr>
                <w:sz w:val="22"/>
                <w:szCs w:val="22"/>
              </w:rPr>
              <w:t>$</w:t>
            </w:r>
            <w:r w:rsidR="00A664A8">
              <w:rPr>
                <w:sz w:val="22"/>
                <w:szCs w:val="22"/>
              </w:rPr>
              <w:t>7,167</w:t>
            </w:r>
          </w:p>
        </w:tc>
      </w:tr>
      <w:tr w:rsidR="0040104B" w:rsidRPr="00295B26" w:rsidTr="000F77AD">
        <w:tc>
          <w:tcPr>
            <w:tcW w:w="3888" w:type="dxa"/>
            <w:shd w:val="clear" w:color="auto" w:fill="auto"/>
          </w:tcPr>
          <w:p w:rsidR="00FE6EBD" w:rsidRDefault="00DA763C" w:rsidP="00D958DE">
            <w:pPr>
              <w:pStyle w:val="BodyText2"/>
              <w:spacing w:before="40" w:after="40"/>
              <w:jc w:val="right"/>
              <w:rPr>
                <w:b/>
                <w:sz w:val="22"/>
                <w:szCs w:val="22"/>
              </w:rPr>
            </w:pPr>
            <w:r>
              <w:rPr>
                <w:b/>
                <w:sz w:val="22"/>
                <w:szCs w:val="22"/>
              </w:rPr>
              <w:t>Subt</w:t>
            </w:r>
            <w:r w:rsidR="0040104B" w:rsidRPr="00295B26">
              <w:rPr>
                <w:b/>
                <w:sz w:val="22"/>
                <w:szCs w:val="22"/>
              </w:rPr>
              <w:t>otal</w:t>
            </w:r>
            <w:r>
              <w:rPr>
                <w:b/>
                <w:sz w:val="22"/>
                <w:szCs w:val="22"/>
              </w:rPr>
              <w:t>,</w:t>
            </w:r>
            <w:r w:rsidR="0040104B" w:rsidRPr="00295B26">
              <w:rPr>
                <w:b/>
                <w:sz w:val="22"/>
                <w:szCs w:val="22"/>
              </w:rPr>
              <w:t xml:space="preserve"> CDC Oversight Costs</w:t>
            </w:r>
          </w:p>
        </w:tc>
        <w:tc>
          <w:tcPr>
            <w:tcW w:w="2520" w:type="dxa"/>
            <w:shd w:val="clear" w:color="auto" w:fill="auto"/>
          </w:tcPr>
          <w:p w:rsidR="0040104B" w:rsidRPr="00295B26" w:rsidRDefault="0040104B" w:rsidP="00D958DE">
            <w:pPr>
              <w:pStyle w:val="BodyText2"/>
              <w:spacing w:before="40" w:after="40"/>
              <w:rPr>
                <w:sz w:val="22"/>
                <w:szCs w:val="22"/>
              </w:rPr>
            </w:pPr>
          </w:p>
        </w:tc>
        <w:tc>
          <w:tcPr>
            <w:tcW w:w="2520" w:type="dxa"/>
            <w:shd w:val="clear" w:color="auto" w:fill="auto"/>
          </w:tcPr>
          <w:p w:rsidR="00FE6EBD" w:rsidRDefault="0040104B" w:rsidP="00D958DE">
            <w:pPr>
              <w:pStyle w:val="BodyText2"/>
              <w:spacing w:before="40" w:after="40"/>
              <w:jc w:val="right"/>
              <w:rPr>
                <w:sz w:val="22"/>
                <w:szCs w:val="22"/>
              </w:rPr>
            </w:pPr>
            <w:r>
              <w:rPr>
                <w:sz w:val="22"/>
                <w:szCs w:val="22"/>
              </w:rPr>
              <w:t>$</w:t>
            </w:r>
            <w:r w:rsidR="00A664A8">
              <w:rPr>
                <w:sz w:val="22"/>
                <w:szCs w:val="22"/>
              </w:rPr>
              <w:t>28,669</w:t>
            </w:r>
          </w:p>
        </w:tc>
      </w:tr>
      <w:tr w:rsidR="0040104B" w:rsidRPr="00295B26" w:rsidTr="000F77AD">
        <w:tc>
          <w:tcPr>
            <w:tcW w:w="3888" w:type="dxa"/>
            <w:shd w:val="clear" w:color="auto" w:fill="auto"/>
          </w:tcPr>
          <w:p w:rsidR="0040104B" w:rsidRPr="00295B26" w:rsidRDefault="00DA763C" w:rsidP="00D958DE">
            <w:pPr>
              <w:pStyle w:val="BodyText2"/>
              <w:spacing w:before="40" w:after="40"/>
              <w:rPr>
                <w:b/>
                <w:sz w:val="22"/>
                <w:szCs w:val="22"/>
              </w:rPr>
            </w:pPr>
            <w:r>
              <w:rPr>
                <w:b/>
                <w:sz w:val="22"/>
                <w:szCs w:val="22"/>
              </w:rPr>
              <w:t xml:space="preserve">Total </w:t>
            </w:r>
            <w:r w:rsidR="0040104B" w:rsidRPr="00295B26">
              <w:rPr>
                <w:b/>
                <w:sz w:val="22"/>
                <w:szCs w:val="22"/>
              </w:rPr>
              <w:t>Cost to Federal Government</w:t>
            </w:r>
          </w:p>
        </w:tc>
        <w:tc>
          <w:tcPr>
            <w:tcW w:w="2520" w:type="dxa"/>
            <w:shd w:val="clear" w:color="auto" w:fill="auto"/>
          </w:tcPr>
          <w:p w:rsidR="0040104B" w:rsidRPr="00295B26" w:rsidRDefault="0040104B" w:rsidP="00D958DE">
            <w:pPr>
              <w:pStyle w:val="BodyText2"/>
              <w:spacing w:before="40" w:after="40"/>
              <w:rPr>
                <w:sz w:val="22"/>
                <w:szCs w:val="22"/>
              </w:rPr>
            </w:pPr>
          </w:p>
        </w:tc>
        <w:tc>
          <w:tcPr>
            <w:tcW w:w="2520" w:type="dxa"/>
            <w:shd w:val="clear" w:color="auto" w:fill="auto"/>
          </w:tcPr>
          <w:p w:rsidR="00FE6EBD" w:rsidRDefault="0040104B" w:rsidP="00D958DE">
            <w:pPr>
              <w:pStyle w:val="BodyText2"/>
              <w:spacing w:before="40" w:after="40"/>
              <w:jc w:val="right"/>
              <w:rPr>
                <w:sz w:val="22"/>
                <w:szCs w:val="22"/>
              </w:rPr>
            </w:pPr>
            <w:r>
              <w:rPr>
                <w:sz w:val="22"/>
                <w:szCs w:val="22"/>
              </w:rPr>
              <w:t>$</w:t>
            </w:r>
            <w:r w:rsidR="00E6780A" w:rsidRPr="00E6780A">
              <w:rPr>
                <w:b/>
                <w:sz w:val="22"/>
                <w:szCs w:val="22"/>
              </w:rPr>
              <w:t>1,128,804</w:t>
            </w:r>
          </w:p>
        </w:tc>
      </w:tr>
    </w:tbl>
    <w:p w:rsidR="009228CF" w:rsidRPr="00CB4C7C" w:rsidRDefault="007F0B28" w:rsidP="00E92CDD">
      <w:pPr>
        <w:pStyle w:val="exhibitsource"/>
        <w:rPr>
          <w:color w:val="FF0000"/>
        </w:rPr>
      </w:pPr>
      <w:bookmarkStart w:id="149" w:name="_Toc143058449"/>
      <w:bookmarkStart w:id="150" w:name="_Toc146088448"/>
      <w:bookmarkStart w:id="151" w:name="_Toc260215303"/>
      <w:bookmarkStart w:id="152" w:name="_Toc143058450"/>
      <w:bookmarkStart w:id="153" w:name="_Toc146088449"/>
      <w:r w:rsidRPr="00CF1100">
        <w:t>CDC = Centers for Disease Control and Prevention</w:t>
      </w:r>
    </w:p>
    <w:p w:rsidR="003115B9" w:rsidRDefault="003115B9" w:rsidP="00076767">
      <w:pPr>
        <w:pStyle w:val="Heading2"/>
      </w:pPr>
    </w:p>
    <w:p w:rsidR="007F0B28" w:rsidRPr="00CF1100" w:rsidRDefault="007F0B28" w:rsidP="00076767">
      <w:pPr>
        <w:pStyle w:val="Heading2"/>
      </w:pPr>
      <w:bookmarkStart w:id="154" w:name="_Toc297131712"/>
      <w:r w:rsidRPr="00CF1100">
        <w:t>A.15</w:t>
      </w:r>
      <w:r w:rsidRPr="00CF1100">
        <w:tab/>
        <w:t>Explanation for Program Changes or Adjustments</w:t>
      </w:r>
      <w:bookmarkEnd w:id="149"/>
      <w:bookmarkEnd w:id="150"/>
      <w:bookmarkEnd w:id="151"/>
      <w:bookmarkEnd w:id="154"/>
      <w:r w:rsidRPr="00CF1100">
        <w:t xml:space="preserve"> </w:t>
      </w:r>
    </w:p>
    <w:p w:rsidR="007F0B28" w:rsidRPr="00CF1100" w:rsidRDefault="003115B9" w:rsidP="00B769F2">
      <w:pPr>
        <w:pStyle w:val="bodytext0"/>
      </w:pPr>
      <w:r>
        <w:t>T</w:t>
      </w:r>
      <w:r w:rsidR="007F0B28" w:rsidRPr="00CF1100">
        <w:t xml:space="preserve">his is a new information </w:t>
      </w:r>
      <w:r>
        <w:t>request</w:t>
      </w:r>
      <w:r w:rsidR="007F0B28" w:rsidRPr="00CF1100">
        <w:t>.</w:t>
      </w:r>
    </w:p>
    <w:p w:rsidR="007F0B28" w:rsidRPr="00CF1100" w:rsidRDefault="007F0B28" w:rsidP="00076767">
      <w:pPr>
        <w:pStyle w:val="Heading2"/>
      </w:pPr>
      <w:bookmarkStart w:id="155" w:name="_Toc260215304"/>
      <w:bookmarkStart w:id="156" w:name="_Toc297131713"/>
      <w:r w:rsidRPr="00CF1100">
        <w:t>A.16</w:t>
      </w:r>
      <w:r w:rsidRPr="00CF1100">
        <w:tab/>
        <w:t>Plans for Tabulation and Publication and Project Time Schedule</w:t>
      </w:r>
      <w:bookmarkEnd w:id="152"/>
      <w:bookmarkEnd w:id="153"/>
      <w:bookmarkEnd w:id="155"/>
      <w:bookmarkEnd w:id="156"/>
    </w:p>
    <w:p w:rsidR="007F0B28" w:rsidRPr="00CF1100" w:rsidRDefault="007F0B28" w:rsidP="009D0976">
      <w:pPr>
        <w:pStyle w:val="Heading3"/>
      </w:pPr>
      <w:bookmarkStart w:id="157" w:name="_Toc297131714"/>
      <w:r w:rsidRPr="00CF1100">
        <w:t>Tabulation Plans</w:t>
      </w:r>
      <w:bookmarkEnd w:id="157"/>
    </w:p>
    <w:p w:rsidR="007F0B28" w:rsidRPr="00946B6C" w:rsidRDefault="007F0B28" w:rsidP="00076767">
      <w:pPr>
        <w:pStyle w:val="Heading4"/>
      </w:pPr>
      <w:r w:rsidRPr="00946B6C">
        <w:t xml:space="preserve">Quitline Promotional Activities </w:t>
      </w:r>
      <w:r w:rsidR="001E7609">
        <w:t>Component</w:t>
      </w:r>
    </w:p>
    <w:p w:rsidR="007F0B28" w:rsidRDefault="007F0B28" w:rsidP="0062779E">
      <w:pPr>
        <w:pStyle w:val="bodytext0"/>
      </w:pPr>
      <w:r w:rsidRPr="00CF1100">
        <w:t xml:space="preserve">Data will be tabulated to meet the objectives and research questions described in </w:t>
      </w:r>
      <w:r w:rsidR="0062779E">
        <w:t xml:space="preserve">Section </w:t>
      </w:r>
      <w:r w:rsidRPr="00CF1100">
        <w:t>A.2.</w:t>
      </w:r>
      <w:r w:rsidR="00F51AAD">
        <w:t xml:space="preserve"> </w:t>
      </w:r>
      <w:r w:rsidRPr="00CF1100">
        <w:t>The planned analyses are briefly described below</w:t>
      </w:r>
      <w:r w:rsidR="0062779E">
        <w:t>:</w:t>
      </w:r>
      <w:r w:rsidR="00F51AAD">
        <w:t xml:space="preserve"> </w:t>
      </w:r>
    </w:p>
    <w:p w:rsidR="007F0B28" w:rsidRDefault="00076767" w:rsidP="00F07D6D">
      <w:pPr>
        <w:pStyle w:val="bulletsblank"/>
      </w:pPr>
      <w:r>
        <w:t>1.</w:t>
      </w:r>
      <w:r>
        <w:tab/>
      </w:r>
      <w:r w:rsidR="007F0B28">
        <w:t>By type of self-reported referral source (</w:t>
      </w:r>
      <w:r w:rsidR="00560D87">
        <w:t>e.g.</w:t>
      </w:r>
      <w:r>
        <w:t xml:space="preserve">, </w:t>
      </w:r>
      <w:r w:rsidR="007F0B28">
        <w:t>traditional vs. innovative)</w:t>
      </w:r>
      <w:r w:rsidR="007F0B28" w:rsidRPr="00CF1100">
        <w:t xml:space="preserve">, describe the users who </w:t>
      </w:r>
      <w:r w:rsidR="007F0B28">
        <w:t xml:space="preserve">called the quitline </w:t>
      </w:r>
      <w:r w:rsidR="007F0B28" w:rsidRPr="00CF1100">
        <w:t>(e.g.</w:t>
      </w:r>
      <w:r w:rsidR="0062779E">
        <w:t>,</w:t>
      </w:r>
      <w:r w:rsidR="007F0B28" w:rsidRPr="00CF1100">
        <w:t xml:space="preserve"> sample characteristics in terms of demographics, baseline smoking and quitting behaviors, and intention to quit).</w:t>
      </w:r>
      <w:r w:rsidR="00F51AAD">
        <w:t xml:space="preserve"> </w:t>
      </w:r>
      <w:r w:rsidR="00F07D6D">
        <w:t>Analyses will include review of a</w:t>
      </w:r>
      <w:r w:rsidR="007F0B28" w:rsidRPr="00CF1100">
        <w:t>bsolute numbers, proportions, cross tabulatio</w:t>
      </w:r>
      <w:r w:rsidR="007F0B28">
        <w:t>ns,</w:t>
      </w:r>
      <w:r w:rsidR="00F07D6D">
        <w:t xml:space="preserve"> and</w:t>
      </w:r>
      <w:r w:rsidR="007F0B28">
        <w:t xml:space="preserve"> chi-square analyses.</w:t>
      </w:r>
    </w:p>
    <w:p w:rsidR="007F0B28" w:rsidRDefault="00076767" w:rsidP="00F07D6D">
      <w:pPr>
        <w:pStyle w:val="bulletsblank"/>
      </w:pPr>
      <w:r>
        <w:t>2.</w:t>
      </w:r>
      <w:r>
        <w:tab/>
      </w:r>
      <w:r w:rsidR="007F0B28">
        <w:t>By type of promotional activity, summarize overall reach and utilization.</w:t>
      </w:r>
      <w:r w:rsidR="00F51AAD">
        <w:t xml:space="preserve"> </w:t>
      </w:r>
      <w:r w:rsidR="00F07D6D">
        <w:t>Analyses will include review of a</w:t>
      </w:r>
      <w:r w:rsidR="00F07D6D" w:rsidRPr="00CF1100">
        <w:t>bsolute numbers, proportions, cross tabulatio</w:t>
      </w:r>
      <w:r w:rsidR="00F07D6D">
        <w:t>ns, and chi-square analyses.</w:t>
      </w:r>
    </w:p>
    <w:p w:rsidR="007F0B28" w:rsidRDefault="00076767" w:rsidP="00076767">
      <w:pPr>
        <w:pStyle w:val="bulletsblank"/>
      </w:pPr>
      <w:r>
        <w:t>3.</w:t>
      </w:r>
      <w:r>
        <w:tab/>
      </w:r>
      <w:r w:rsidR="007F0B28">
        <w:t>By type of promotional activity (</w:t>
      </w:r>
      <w:r w:rsidR="00560D87">
        <w:t>e.g.</w:t>
      </w:r>
      <w:r>
        <w:t xml:space="preserve">, </w:t>
      </w:r>
      <w:r w:rsidR="007F0B28">
        <w:t>traditional vs. innovative), estimate number of weekly quitline callers.</w:t>
      </w:r>
    </w:p>
    <w:p w:rsidR="007F0B28" w:rsidRDefault="00076767" w:rsidP="00F07D6D">
      <w:pPr>
        <w:pStyle w:val="bulletsblank"/>
      </w:pPr>
      <w:r>
        <w:t>4.</w:t>
      </w:r>
      <w:r>
        <w:tab/>
      </w:r>
      <w:r w:rsidR="007F0B28" w:rsidRPr="00CF1100">
        <w:t xml:space="preserve">Develop preliminary models that assess the association between </w:t>
      </w:r>
      <w:r w:rsidR="007F0B28">
        <w:t xml:space="preserve">type of promotional activity </w:t>
      </w:r>
      <w:r w:rsidR="007F0B28" w:rsidRPr="00CF1100">
        <w:t xml:space="preserve">and </w:t>
      </w:r>
      <w:r w:rsidR="007F0B28">
        <w:t>quitline call volume.</w:t>
      </w:r>
      <w:r w:rsidR="00F51AAD">
        <w:t xml:space="preserve"> </w:t>
      </w:r>
      <w:r w:rsidR="00F07D6D">
        <w:t>Analyses will include conducting l</w:t>
      </w:r>
      <w:r w:rsidR="007F0B28">
        <w:t>inear r</w:t>
      </w:r>
      <w:r w:rsidR="007F0B28" w:rsidRPr="00CF1100">
        <w:t xml:space="preserve">egressions with </w:t>
      </w:r>
      <w:r w:rsidR="007F0B28">
        <w:t xml:space="preserve">type of promotional activity </w:t>
      </w:r>
      <w:r w:rsidR="007F0B28" w:rsidRPr="00CF1100">
        <w:t xml:space="preserve">as the independent variable and </w:t>
      </w:r>
      <w:r w:rsidR="007F0B28">
        <w:t xml:space="preserve">quitline call volume </w:t>
      </w:r>
      <w:r w:rsidR="007F0B28" w:rsidRPr="00CF1100">
        <w:t>as the dependent variable.</w:t>
      </w:r>
      <w:r w:rsidR="00F51AAD">
        <w:t xml:space="preserve"> </w:t>
      </w:r>
      <w:r w:rsidR="007F0B28" w:rsidRPr="00CF1100">
        <w:t xml:space="preserve">These models will also include </w:t>
      </w:r>
      <w:r w:rsidR="007F0B28" w:rsidRPr="00CF1100">
        <w:lastRenderedPageBreak/>
        <w:t xml:space="preserve">covariates for </w:t>
      </w:r>
      <w:r w:rsidR="007F0B28">
        <w:t xml:space="preserve">level of exposure, </w:t>
      </w:r>
      <w:r w:rsidR="007F0B28" w:rsidRPr="00CF1100">
        <w:t xml:space="preserve">well as other important contextual factors, such as cigarette taxes and smoke-free air laws. </w:t>
      </w:r>
    </w:p>
    <w:p w:rsidR="0000399C" w:rsidRPr="00CF1100" w:rsidRDefault="0000399C" w:rsidP="00F07D6D">
      <w:pPr>
        <w:pStyle w:val="bulletsblank"/>
      </w:pPr>
    </w:p>
    <w:p w:rsidR="007F0B28" w:rsidRDefault="007F0B28" w:rsidP="00076767">
      <w:pPr>
        <w:pStyle w:val="Heading4"/>
      </w:pPr>
      <w:r>
        <w:t xml:space="preserve">Cessation Intervention </w:t>
      </w:r>
      <w:r w:rsidR="001E7609">
        <w:t>Component</w:t>
      </w:r>
    </w:p>
    <w:p w:rsidR="007F0B28" w:rsidRPr="00CF1100" w:rsidRDefault="007F0B28" w:rsidP="00076767">
      <w:pPr>
        <w:pStyle w:val="bodytext0"/>
      </w:pPr>
      <w:r w:rsidRPr="00CF1100">
        <w:t xml:space="preserve">Data will be tabulated to meet the objectives and research questions described in </w:t>
      </w:r>
      <w:r w:rsidR="0062779E">
        <w:t xml:space="preserve">Section </w:t>
      </w:r>
      <w:r w:rsidRPr="00CF1100">
        <w:t>A.2.</w:t>
      </w:r>
      <w:r w:rsidR="00F51AAD">
        <w:t xml:space="preserve"> </w:t>
      </w:r>
      <w:r w:rsidRPr="00CF1100">
        <w:t>The planned analyses are briefly described below</w:t>
      </w:r>
      <w:r w:rsidR="0062779E">
        <w:t>:</w:t>
      </w:r>
      <w:r w:rsidR="00F51AAD">
        <w:t xml:space="preserve"> </w:t>
      </w:r>
    </w:p>
    <w:p w:rsidR="007F0B28" w:rsidRPr="00CF1100" w:rsidRDefault="00076767" w:rsidP="00F07D6D">
      <w:pPr>
        <w:pStyle w:val="bulletsblank"/>
      </w:pPr>
      <w:r>
        <w:t>1.</w:t>
      </w:r>
      <w:r>
        <w:tab/>
      </w:r>
      <w:r w:rsidR="007F0B28" w:rsidRPr="00CF1100">
        <w:t>By mode of intervention, describe the users who were enrolled in the program (e.g.</w:t>
      </w:r>
      <w:r w:rsidR="0062779E">
        <w:t>,</w:t>
      </w:r>
      <w:r w:rsidR="007F0B28" w:rsidRPr="00CF1100">
        <w:t xml:space="preserve"> sample characteristics in terms of demographics, baseline smoking and quitting behaviors, and intention to quit).</w:t>
      </w:r>
      <w:r w:rsidR="00F51AAD">
        <w:t xml:space="preserve"> </w:t>
      </w:r>
      <w:r w:rsidR="00F07D6D">
        <w:t>Analyses will include review of a</w:t>
      </w:r>
      <w:r w:rsidR="00F07D6D" w:rsidRPr="00CF1100">
        <w:t>bsolute numbers, proportions, cross tabulatio</w:t>
      </w:r>
      <w:r w:rsidR="00F07D6D">
        <w:t>ns, and chi-square analyses.</w:t>
      </w:r>
    </w:p>
    <w:p w:rsidR="007F0B28" w:rsidRPr="00CF1100" w:rsidRDefault="00076767" w:rsidP="00F07D6D">
      <w:pPr>
        <w:pStyle w:val="bulletsblank"/>
      </w:pPr>
      <w:r>
        <w:t>2.</w:t>
      </w:r>
      <w:r>
        <w:tab/>
      </w:r>
      <w:r w:rsidR="007F0B28" w:rsidRPr="00CF1100">
        <w:t>By mode of intervention and sample characteristics, estimate the number and proportion of users who reported high levels of program satisfaction.</w:t>
      </w:r>
      <w:r w:rsidR="00F51AAD">
        <w:t xml:space="preserve"> </w:t>
      </w:r>
      <w:r w:rsidR="00F07D6D">
        <w:t>Analyses will include review of a</w:t>
      </w:r>
      <w:r w:rsidR="00F07D6D" w:rsidRPr="00CF1100">
        <w:t>bsolute numbers, proportions, cross tabulatio</w:t>
      </w:r>
      <w:r w:rsidR="00F07D6D">
        <w:t>ns, and chi-square analyses.</w:t>
      </w:r>
    </w:p>
    <w:p w:rsidR="00F07D6D" w:rsidRDefault="00076767" w:rsidP="00F07D6D">
      <w:pPr>
        <w:pStyle w:val="bulletsblank"/>
      </w:pPr>
      <w:r>
        <w:t>3.</w:t>
      </w:r>
      <w:r>
        <w:tab/>
      </w:r>
      <w:r w:rsidR="007F0B28" w:rsidRPr="00CF1100">
        <w:t>By mode of intervention and sample characteristics, estimate the number and proportion of users with high utilization rates (e.g.</w:t>
      </w:r>
      <w:r w:rsidR="0062779E">
        <w:t>,</w:t>
      </w:r>
      <w:r w:rsidR="007F0B28" w:rsidRPr="00CF1100">
        <w:t xml:space="preserve"> number of log-ins, number of calls, </w:t>
      </w:r>
      <w:proofErr w:type="gramStart"/>
      <w:r w:rsidR="007F0B28" w:rsidRPr="00CF1100">
        <w:t>use</w:t>
      </w:r>
      <w:proofErr w:type="gramEnd"/>
      <w:r w:rsidR="007F0B28" w:rsidRPr="00CF1100">
        <w:t xml:space="preserve"> of program features).</w:t>
      </w:r>
      <w:r w:rsidR="00F51AAD">
        <w:t xml:space="preserve"> </w:t>
      </w:r>
      <w:r w:rsidR="00F07D6D">
        <w:t>Analyses will include review of a</w:t>
      </w:r>
      <w:r w:rsidR="00F07D6D" w:rsidRPr="00CF1100">
        <w:t>bsolute numbers, proportions, cross tabulatio</w:t>
      </w:r>
      <w:r w:rsidR="00F07D6D">
        <w:t>ns, and chi-square analyses.</w:t>
      </w:r>
    </w:p>
    <w:p w:rsidR="007F0B28" w:rsidRDefault="00076767" w:rsidP="00F07D6D">
      <w:pPr>
        <w:pStyle w:val="bulletsblank"/>
      </w:pPr>
      <w:r>
        <w:t>4.</w:t>
      </w:r>
      <w:r>
        <w:tab/>
      </w:r>
      <w:r w:rsidR="007F0B28" w:rsidRPr="00CF1100">
        <w:t>By mode of intervention and sample characteristics, estimate the number and proportion of users who successfully quit (e.g.</w:t>
      </w:r>
      <w:r w:rsidR="0062779E">
        <w:t>,</w:t>
      </w:r>
      <w:r w:rsidR="007F0B28" w:rsidRPr="00CF1100">
        <w:t xml:space="preserve"> 30</w:t>
      </w:r>
      <w:r w:rsidR="0062779E">
        <w:t>-</w:t>
      </w:r>
      <w:r w:rsidR="007F0B28" w:rsidRPr="00CF1100">
        <w:t>day point-prevalence abstinence rate).</w:t>
      </w:r>
      <w:r w:rsidR="00F51AAD">
        <w:t xml:space="preserve"> </w:t>
      </w:r>
      <w:r w:rsidR="00F07D6D">
        <w:t>Analyses will include review of a</w:t>
      </w:r>
      <w:r w:rsidR="00F07D6D" w:rsidRPr="00CF1100">
        <w:t>bsolute numbers, proportions, cross tabulatio</w:t>
      </w:r>
      <w:r w:rsidR="00F07D6D">
        <w:t>ns, and chi-square analyses.</w:t>
      </w:r>
    </w:p>
    <w:p w:rsidR="007F0B28" w:rsidRPr="00946B6C" w:rsidRDefault="00076767" w:rsidP="00076767">
      <w:pPr>
        <w:pStyle w:val="bulletsblank"/>
      </w:pPr>
      <w:r>
        <w:t>5.</w:t>
      </w:r>
      <w:r>
        <w:tab/>
      </w:r>
      <w:r w:rsidR="007F0B28" w:rsidRPr="00CF1100">
        <w:t xml:space="preserve">Develop preliminary models that assess the association between mode of intervention and </w:t>
      </w:r>
      <w:r w:rsidR="007F0B28">
        <w:t>successful quitting.</w:t>
      </w:r>
      <w:r w:rsidR="00F51AAD">
        <w:t xml:space="preserve"> </w:t>
      </w:r>
      <w:r w:rsidR="00F07D6D">
        <w:t>Analyses will include l</w:t>
      </w:r>
      <w:r w:rsidR="007F0B28" w:rsidRPr="00946B6C">
        <w:t>ogistic regressions with mode of intervention as the independent variable and dichotomous past 30</w:t>
      </w:r>
      <w:r w:rsidR="0062779E">
        <w:t>-</w:t>
      </w:r>
      <w:r w:rsidR="007F0B28" w:rsidRPr="00946B6C">
        <w:t>day smoking status as the dependent variable.</w:t>
      </w:r>
      <w:r w:rsidR="00F51AAD">
        <w:t xml:space="preserve"> </w:t>
      </w:r>
      <w:r w:rsidR="007F0B28" w:rsidRPr="00946B6C">
        <w:t>These models will also include covariates for a number of demographic and baseline smoking characteristics as well as other important contextual factors, such as cigarette taxes and smoke-free air laws.</w:t>
      </w:r>
    </w:p>
    <w:p w:rsidR="007F0B28" w:rsidRPr="00CF1100" w:rsidRDefault="007F0B28" w:rsidP="009D0976">
      <w:pPr>
        <w:pStyle w:val="Heading3"/>
      </w:pPr>
      <w:bookmarkStart w:id="158" w:name="_Toc297131715"/>
      <w:r w:rsidRPr="00CF1100">
        <w:lastRenderedPageBreak/>
        <w:t>Publication Plans</w:t>
      </w:r>
      <w:bookmarkEnd w:id="158"/>
    </w:p>
    <w:p w:rsidR="00076767" w:rsidRDefault="007F0B28" w:rsidP="0062779E">
      <w:pPr>
        <w:pStyle w:val="bodytext0"/>
      </w:pPr>
      <w:r w:rsidRPr="00CF1100">
        <w:t xml:space="preserve">For this study, we expect the findings to be disseminated to a number of audiences. </w:t>
      </w:r>
      <w:r w:rsidR="007324BF">
        <w:t>Investigators</w:t>
      </w:r>
      <w:r w:rsidR="0000399C" w:rsidRPr="00932429">
        <w:t xml:space="preserve"> will provide each participating state with a customized quarterly report </w:t>
      </w:r>
      <w:r w:rsidR="0000399C">
        <w:t>that</w:t>
      </w:r>
      <w:r w:rsidR="0000399C" w:rsidRPr="00932429">
        <w:t xml:space="preserve"> includes a benchmark metric comparing the state</w:t>
      </w:r>
      <w:r w:rsidR="0000399C">
        <w:t>’</w:t>
      </w:r>
      <w:r w:rsidR="0000399C" w:rsidRPr="00932429">
        <w:t>s activity with an aggregate measure of all the other participating states.</w:t>
      </w:r>
      <w:r w:rsidR="0000399C">
        <w:t xml:space="preserve"> </w:t>
      </w:r>
      <w:r w:rsidRPr="00CF1100">
        <w:t>Therefore, the evaluation reports will be written in a way that emphasizes scientific rigor for more technical audiences but are also intuitive, easily understood, and relevant to less technical au</w:t>
      </w:r>
      <w:r w:rsidRPr="00076767">
        <w:t>diences. The reporting and dissemination mechanism will consist of four primary components: (1) final evaluation reports, (2) peer-reviewed journal articles, (3) meetings with key stakeholder groups (</w:t>
      </w:r>
      <w:r w:rsidR="00F07D6D">
        <w:t>e.g.</w:t>
      </w:r>
      <w:r w:rsidR="00076767" w:rsidRPr="00076767">
        <w:t xml:space="preserve">, </w:t>
      </w:r>
      <w:r w:rsidRPr="00076767">
        <w:t>North American Quitline Consortium; annual Program Director</w:t>
      </w:r>
      <w:r w:rsidR="00F51AAD">
        <w:t>’</w:t>
      </w:r>
      <w:r w:rsidRPr="00076767">
        <w:t>s meeting for NCCCP)</w:t>
      </w:r>
      <w:r w:rsidR="0062779E">
        <w:t>,</w:t>
      </w:r>
      <w:r w:rsidR="00F51AAD">
        <w:t xml:space="preserve"> </w:t>
      </w:r>
      <w:r w:rsidR="0062779E">
        <w:t xml:space="preserve">and </w:t>
      </w:r>
      <w:r w:rsidRPr="00076767">
        <w:t>(4) conference presentations (e.g., the American Public Health Association</w:t>
      </w:r>
      <w:r w:rsidR="00F51AAD">
        <w:t>’</w:t>
      </w:r>
      <w:r w:rsidRPr="00076767">
        <w:t>s Cancer Forum, Society for Research on Nicotine and Tobacco)</w:t>
      </w:r>
      <w:r w:rsidR="00076767">
        <w:t>.</w:t>
      </w:r>
    </w:p>
    <w:p w:rsidR="00076767" w:rsidRDefault="007F0B28" w:rsidP="0062779E">
      <w:pPr>
        <w:pStyle w:val="bodytext0"/>
        <w:rPr>
          <w:i/>
          <w:iCs/>
        </w:rPr>
      </w:pPr>
      <w:r w:rsidRPr="00076767">
        <w:t>The results of our study also will be used to develop at least one</w:t>
      </w:r>
      <w:r w:rsidRPr="00CF1100">
        <w:t xml:space="preserve"> peer-reviewed journal article </w:t>
      </w:r>
      <w:r w:rsidRPr="007324BF">
        <w:t>(e.g.,</w:t>
      </w:r>
      <w:r w:rsidRPr="007324BF">
        <w:rPr>
          <w:iCs/>
        </w:rPr>
        <w:t xml:space="preserve"> Nicotine and Tobacco Research, Tobacco Control, Preventing Chronic Disease, American Journal of Public Health, American Journal of Health Promotion, American Journal of Preventive Medicine</w:t>
      </w:r>
      <w:r w:rsidR="00EB5A41" w:rsidRPr="007324BF">
        <w:rPr>
          <w:iCs/>
        </w:rPr>
        <w:t>, Cancer Epidemiology, Biomarkers and Prevention, Cancer Prevention Research</w:t>
      </w:r>
      <w:r w:rsidRPr="007324BF">
        <w:t>)</w:t>
      </w:r>
      <w:r w:rsidRPr="00CF1100">
        <w:t xml:space="preserve"> that summarizes findings on the comparative effectiveness of traditional versus innovative cessation interventions</w:t>
      </w:r>
      <w:r w:rsidRPr="00CF1100">
        <w:rPr>
          <w:i/>
          <w:iCs/>
        </w:rPr>
        <w:t>.</w:t>
      </w:r>
    </w:p>
    <w:p w:rsidR="007F0B28" w:rsidRPr="00CF1100" w:rsidRDefault="007F0B28" w:rsidP="00076767">
      <w:pPr>
        <w:pStyle w:val="bodytext0"/>
      </w:pPr>
      <w:r w:rsidRPr="00CF1100">
        <w:t xml:space="preserve">The key events and reports to be prepared are listed in </w:t>
      </w:r>
      <w:r w:rsidRPr="00CF1100">
        <w:rPr>
          <w:b/>
          <w:i/>
        </w:rPr>
        <w:t xml:space="preserve">Exhibit </w:t>
      </w:r>
      <w:r w:rsidR="00E7555F">
        <w:rPr>
          <w:b/>
          <w:i/>
        </w:rPr>
        <w:t>7</w:t>
      </w:r>
      <w:r w:rsidRPr="00CF1100">
        <w:rPr>
          <w:b/>
        </w:rPr>
        <w:t>.</w:t>
      </w:r>
    </w:p>
    <w:p w:rsidR="007F0B28" w:rsidRPr="00CF1100" w:rsidRDefault="00A03789" w:rsidP="00AF14FC">
      <w:pPr>
        <w:pStyle w:val="Heading3"/>
      </w:pPr>
      <w:bookmarkStart w:id="159" w:name="_Toc139093427"/>
      <w:bookmarkStart w:id="160" w:name="_Toc146088172"/>
      <w:bookmarkStart w:id="161" w:name="_Toc146089480"/>
      <w:bookmarkStart w:id="162" w:name="_Toc260210576"/>
      <w:bookmarkStart w:id="163" w:name="_Toc297131716"/>
      <w:r>
        <w:t>A.16-1</w:t>
      </w:r>
      <w:r w:rsidR="007F0B28" w:rsidRPr="00CF1100">
        <w:t xml:space="preserve"> Project</w:t>
      </w:r>
      <w:bookmarkEnd w:id="159"/>
      <w:r w:rsidR="007F0B28" w:rsidRPr="00CF1100">
        <w:t xml:space="preserve"> Time Schedule</w:t>
      </w:r>
      <w:bookmarkEnd w:id="160"/>
      <w:bookmarkEnd w:id="161"/>
      <w:bookmarkEnd w:id="162"/>
      <w:bookmarkEnd w:id="163"/>
      <w:r w:rsidR="007F0B28" w:rsidRPr="00CF1100">
        <w:t xml:space="preserve"> </w:t>
      </w:r>
    </w:p>
    <w:tbl>
      <w:tblPr>
        <w:tblW w:w="9450" w:type="dxa"/>
        <w:tblInd w:w="108" w:type="dxa"/>
        <w:tblBorders>
          <w:top w:val="single" w:sz="12" w:space="0" w:color="auto"/>
          <w:bottom w:val="single" w:sz="12" w:space="0" w:color="auto"/>
        </w:tblBorders>
        <w:tblLayout w:type="fixed"/>
        <w:tblLook w:val="0000"/>
      </w:tblPr>
      <w:tblGrid>
        <w:gridCol w:w="4860"/>
        <w:gridCol w:w="4590"/>
      </w:tblGrid>
      <w:tr w:rsidR="007F0B28" w:rsidRPr="00CF1100" w:rsidTr="00592720">
        <w:tc>
          <w:tcPr>
            <w:tcW w:w="4860" w:type="dxa"/>
            <w:tcBorders>
              <w:top w:val="single" w:sz="12" w:space="0" w:color="auto"/>
              <w:bottom w:val="single" w:sz="6" w:space="0" w:color="auto"/>
            </w:tcBorders>
            <w:shd w:val="clear" w:color="auto" w:fill="auto"/>
          </w:tcPr>
          <w:p w:rsidR="007F0B28" w:rsidRPr="00B273A9" w:rsidRDefault="007F0B28" w:rsidP="00076767">
            <w:pPr>
              <w:pStyle w:val="Tabletext"/>
              <w:rPr>
                <w:b/>
              </w:rPr>
            </w:pPr>
            <w:r w:rsidRPr="00B273A9">
              <w:rPr>
                <w:b/>
              </w:rPr>
              <w:t xml:space="preserve">Project Activity </w:t>
            </w:r>
          </w:p>
        </w:tc>
        <w:tc>
          <w:tcPr>
            <w:tcW w:w="4590" w:type="dxa"/>
            <w:tcBorders>
              <w:top w:val="single" w:sz="12" w:space="0" w:color="auto"/>
              <w:bottom w:val="single" w:sz="6" w:space="0" w:color="auto"/>
            </w:tcBorders>
            <w:shd w:val="clear" w:color="auto" w:fill="auto"/>
          </w:tcPr>
          <w:p w:rsidR="007F0B28" w:rsidRPr="00B273A9" w:rsidRDefault="007F0B28" w:rsidP="00076767">
            <w:pPr>
              <w:pStyle w:val="Tabletext"/>
              <w:rPr>
                <w:b/>
              </w:rPr>
            </w:pPr>
            <w:r w:rsidRPr="00B273A9">
              <w:rPr>
                <w:b/>
              </w:rPr>
              <w:t>Time Schedule</w:t>
            </w:r>
          </w:p>
        </w:tc>
      </w:tr>
      <w:tr w:rsidR="007F0B28" w:rsidRPr="00CF1100" w:rsidTr="00592720">
        <w:tc>
          <w:tcPr>
            <w:tcW w:w="4860" w:type="dxa"/>
            <w:tcBorders>
              <w:top w:val="single" w:sz="6" w:space="0" w:color="auto"/>
              <w:bottom w:val="nil"/>
            </w:tcBorders>
          </w:tcPr>
          <w:p w:rsidR="007F0B28" w:rsidRPr="00B273A9" w:rsidRDefault="007F0B28" w:rsidP="00076767">
            <w:pPr>
              <w:pStyle w:val="Tabletext"/>
            </w:pPr>
            <w:r w:rsidRPr="00B273A9">
              <w:t>Initiation of TCP promotional activity monitoring</w:t>
            </w:r>
          </w:p>
        </w:tc>
        <w:tc>
          <w:tcPr>
            <w:tcW w:w="4590" w:type="dxa"/>
            <w:tcBorders>
              <w:top w:val="single" w:sz="6" w:space="0" w:color="auto"/>
              <w:bottom w:val="nil"/>
            </w:tcBorders>
          </w:tcPr>
          <w:p w:rsidR="007F0B28" w:rsidRPr="00B273A9" w:rsidRDefault="007F0B28" w:rsidP="00076767">
            <w:pPr>
              <w:pStyle w:val="Tabletext"/>
            </w:pPr>
            <w:r w:rsidRPr="00B273A9">
              <w:t>As soon as possible after OMB approval</w:t>
            </w:r>
          </w:p>
        </w:tc>
      </w:tr>
      <w:tr w:rsidR="007F0B28" w:rsidRPr="00CF1100" w:rsidTr="00592720">
        <w:tc>
          <w:tcPr>
            <w:tcW w:w="4860" w:type="dxa"/>
            <w:tcBorders>
              <w:top w:val="nil"/>
            </w:tcBorders>
          </w:tcPr>
          <w:p w:rsidR="007F0B28" w:rsidRPr="00B273A9" w:rsidRDefault="007F0B28" w:rsidP="00076767">
            <w:pPr>
              <w:pStyle w:val="Tabletext"/>
            </w:pPr>
            <w:r w:rsidRPr="00B273A9">
              <w:t>Initiation of intake questionnaires</w:t>
            </w:r>
          </w:p>
        </w:tc>
        <w:tc>
          <w:tcPr>
            <w:tcW w:w="4590" w:type="dxa"/>
            <w:tcBorders>
              <w:top w:val="nil"/>
            </w:tcBorders>
          </w:tcPr>
          <w:p w:rsidR="007F0B28" w:rsidRPr="00B273A9" w:rsidRDefault="007F0B28" w:rsidP="00076767">
            <w:pPr>
              <w:pStyle w:val="Tabletext"/>
            </w:pPr>
            <w:r w:rsidRPr="00B273A9">
              <w:t>As soon as possible after OMB approval</w:t>
            </w:r>
          </w:p>
        </w:tc>
      </w:tr>
      <w:tr w:rsidR="007F0B28" w:rsidRPr="00CF1100" w:rsidTr="00592720">
        <w:tc>
          <w:tcPr>
            <w:tcW w:w="4860" w:type="dxa"/>
          </w:tcPr>
          <w:p w:rsidR="007F0B28" w:rsidRPr="00B273A9" w:rsidRDefault="007F0B28" w:rsidP="00076767">
            <w:pPr>
              <w:pStyle w:val="Tabletext"/>
            </w:pPr>
            <w:r w:rsidRPr="00B273A9">
              <w:t>Initiation of 7-month follow-up questionnaires</w:t>
            </w:r>
          </w:p>
        </w:tc>
        <w:tc>
          <w:tcPr>
            <w:tcW w:w="4590" w:type="dxa"/>
          </w:tcPr>
          <w:p w:rsidR="007F0B28" w:rsidRPr="00B273A9" w:rsidRDefault="007F0B28" w:rsidP="00076767">
            <w:pPr>
              <w:pStyle w:val="Tabletext"/>
            </w:pPr>
            <w:r w:rsidRPr="00B273A9">
              <w:t>7 months after initiation of intake questionnaires</w:t>
            </w:r>
          </w:p>
        </w:tc>
      </w:tr>
      <w:tr w:rsidR="007F0B28" w:rsidRPr="00CF1100" w:rsidTr="00592720">
        <w:tc>
          <w:tcPr>
            <w:tcW w:w="4860" w:type="dxa"/>
          </w:tcPr>
          <w:p w:rsidR="007F0B28" w:rsidRPr="00B273A9" w:rsidRDefault="007F0B28" w:rsidP="0062779E">
            <w:pPr>
              <w:pStyle w:val="Tabletext"/>
            </w:pPr>
            <w:r w:rsidRPr="00B273A9">
              <w:t xml:space="preserve">Data cleaning </w:t>
            </w:r>
            <w:r w:rsidR="0062779E">
              <w:t>and</w:t>
            </w:r>
            <w:r w:rsidR="0062779E" w:rsidRPr="00B273A9">
              <w:t xml:space="preserve"> </w:t>
            </w:r>
            <w:r w:rsidRPr="00B273A9">
              <w:t>analysis</w:t>
            </w:r>
          </w:p>
        </w:tc>
        <w:tc>
          <w:tcPr>
            <w:tcW w:w="4590" w:type="dxa"/>
          </w:tcPr>
          <w:p w:rsidR="007F0B28" w:rsidRPr="00B273A9" w:rsidRDefault="007F0B28" w:rsidP="00076767">
            <w:pPr>
              <w:pStyle w:val="Tabletext"/>
            </w:pPr>
            <w:r w:rsidRPr="00B273A9">
              <w:t xml:space="preserve">3 months after completing data collection </w:t>
            </w:r>
          </w:p>
        </w:tc>
      </w:tr>
      <w:tr w:rsidR="007F0B28" w:rsidRPr="00CF1100" w:rsidTr="00592720">
        <w:tc>
          <w:tcPr>
            <w:tcW w:w="4860" w:type="dxa"/>
          </w:tcPr>
          <w:p w:rsidR="007F0B28" w:rsidRPr="00B273A9" w:rsidRDefault="007F0B28" w:rsidP="00076767">
            <w:pPr>
              <w:pStyle w:val="Tabletext"/>
            </w:pPr>
            <w:r w:rsidRPr="00B273A9">
              <w:t>Submit final report</w:t>
            </w:r>
          </w:p>
        </w:tc>
        <w:tc>
          <w:tcPr>
            <w:tcW w:w="4590" w:type="dxa"/>
          </w:tcPr>
          <w:p w:rsidR="007F0B28" w:rsidRPr="00B273A9" w:rsidRDefault="00DD4194" w:rsidP="00076767">
            <w:pPr>
              <w:pStyle w:val="Tabletext"/>
            </w:pPr>
            <w:r>
              <w:t>Within 3 months after completing data collection</w:t>
            </w:r>
          </w:p>
        </w:tc>
      </w:tr>
      <w:tr w:rsidR="007F0B28" w:rsidRPr="00CF1100" w:rsidTr="00592720">
        <w:tc>
          <w:tcPr>
            <w:tcW w:w="4860" w:type="dxa"/>
          </w:tcPr>
          <w:p w:rsidR="007F0B28" w:rsidRPr="00B273A9" w:rsidRDefault="007F0B28" w:rsidP="00076767">
            <w:pPr>
              <w:pStyle w:val="Tabletext"/>
            </w:pPr>
            <w:r w:rsidRPr="00B273A9">
              <w:t xml:space="preserve">Submit at least one manuscript </w:t>
            </w:r>
          </w:p>
        </w:tc>
        <w:tc>
          <w:tcPr>
            <w:tcW w:w="4590" w:type="dxa"/>
          </w:tcPr>
          <w:p w:rsidR="007F0B28" w:rsidRPr="00B273A9" w:rsidRDefault="003115B9" w:rsidP="0062779E">
            <w:pPr>
              <w:pStyle w:val="Tabletext"/>
            </w:pPr>
            <w:r>
              <w:t xml:space="preserve">Within </w:t>
            </w:r>
            <w:r w:rsidR="007F0B28" w:rsidRPr="00B273A9">
              <w:t>1 year after completi</w:t>
            </w:r>
            <w:r w:rsidR="0062779E">
              <w:t>ng</w:t>
            </w:r>
            <w:r w:rsidR="007F0B28" w:rsidRPr="00B273A9">
              <w:t xml:space="preserve"> data collection </w:t>
            </w:r>
          </w:p>
        </w:tc>
      </w:tr>
    </w:tbl>
    <w:p w:rsidR="007F0B28" w:rsidRPr="00076767" w:rsidRDefault="007F0B28" w:rsidP="00076767">
      <w:pPr>
        <w:pStyle w:val="exhibitsource"/>
      </w:pPr>
      <w:bookmarkStart w:id="164" w:name="_Toc143058451"/>
      <w:bookmarkStart w:id="165" w:name="_Toc146088450"/>
    </w:p>
    <w:p w:rsidR="007F0B28" w:rsidRPr="00CF1100" w:rsidRDefault="007F0B28" w:rsidP="00076767">
      <w:pPr>
        <w:pStyle w:val="Heading2"/>
      </w:pPr>
      <w:bookmarkStart w:id="166" w:name="_Toc260215305"/>
      <w:bookmarkStart w:id="167" w:name="_Toc297131717"/>
      <w:r w:rsidRPr="00CF1100">
        <w:t>A.17</w:t>
      </w:r>
      <w:r w:rsidRPr="00CF1100">
        <w:tab/>
        <w:t>Reason(s) Display of OMB Expiration Date is Inappropriate</w:t>
      </w:r>
      <w:bookmarkEnd w:id="164"/>
      <w:bookmarkEnd w:id="165"/>
      <w:bookmarkEnd w:id="166"/>
      <w:bookmarkEnd w:id="167"/>
    </w:p>
    <w:p w:rsidR="007F0B28" w:rsidRPr="00CF1100" w:rsidRDefault="007F0B28" w:rsidP="00076767">
      <w:pPr>
        <w:pStyle w:val="bodytext0"/>
      </w:pPr>
      <w:r w:rsidRPr="00CF1100">
        <w:t>We do not seek approval to eliminate the expiration date.</w:t>
      </w:r>
    </w:p>
    <w:p w:rsidR="007F0B28" w:rsidRPr="00CF1100" w:rsidRDefault="007F0B28" w:rsidP="00076767">
      <w:pPr>
        <w:pStyle w:val="Heading2"/>
      </w:pPr>
      <w:bookmarkStart w:id="168" w:name="_Toc143058452"/>
      <w:bookmarkStart w:id="169" w:name="_Toc146088451"/>
      <w:bookmarkStart w:id="170" w:name="_Toc260215306"/>
      <w:bookmarkStart w:id="171" w:name="_Toc297131718"/>
      <w:r w:rsidRPr="00CF1100">
        <w:lastRenderedPageBreak/>
        <w:t>A.18</w:t>
      </w:r>
      <w:r w:rsidRPr="00CF1100">
        <w:tab/>
        <w:t>Exceptions to Certification for Paperwork Reduction Act Submissions</w:t>
      </w:r>
      <w:bookmarkEnd w:id="168"/>
      <w:bookmarkEnd w:id="169"/>
      <w:bookmarkEnd w:id="170"/>
      <w:bookmarkEnd w:id="171"/>
      <w:r w:rsidRPr="00CF1100">
        <w:t xml:space="preserve"> </w:t>
      </w:r>
    </w:p>
    <w:p w:rsidR="007F0B28" w:rsidRPr="00CF1100" w:rsidRDefault="007F0B28" w:rsidP="00076767">
      <w:pPr>
        <w:pStyle w:val="bodytext0"/>
      </w:pPr>
      <w:r w:rsidRPr="00CF1100">
        <w:t>There are no exceptions to the certification statement.</w:t>
      </w:r>
    </w:p>
    <w:p w:rsidR="007F0B28" w:rsidRPr="00CF1100" w:rsidRDefault="007F0B28" w:rsidP="007F0B28">
      <w:pPr>
        <w:rPr>
          <w:sz w:val="22"/>
          <w:szCs w:val="22"/>
        </w:rPr>
      </w:pPr>
    </w:p>
    <w:bookmarkEnd w:id="6"/>
    <w:bookmarkEnd w:id="7"/>
    <w:p w:rsidR="00D43F13" w:rsidRPr="0037320E" w:rsidRDefault="00D43F13" w:rsidP="002D17C6">
      <w:pPr>
        <w:pStyle w:val="Heading1"/>
        <w:rPr>
          <w:color w:val="000000"/>
        </w:rPr>
      </w:pPr>
    </w:p>
    <w:sectPr w:rsidR="00D43F13" w:rsidRPr="0037320E" w:rsidSect="00E67EB8">
      <w:footerReference w:type="first" r:id="rId22"/>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96C" w:rsidRDefault="00ED696C">
      <w:r>
        <w:separator/>
      </w:r>
    </w:p>
  </w:endnote>
  <w:endnote w:type="continuationSeparator" w:id="0">
    <w:p w:rsidR="00ED696C" w:rsidRDefault="00ED6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s Gothic">
    <w:altName w:val="News Gothic"/>
    <w:panose1 w:val="00000000000000000000"/>
    <w:charset w:val="00"/>
    <w:family w:val="swiss"/>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6C" w:rsidRDefault="005D0094" w:rsidP="00FA7085">
    <w:pPr>
      <w:pStyle w:val="Footer"/>
      <w:framePr w:wrap="around" w:vAnchor="text" w:hAnchor="margin" w:xAlign="center" w:y="1"/>
      <w:rPr>
        <w:rStyle w:val="PageNumber"/>
      </w:rPr>
    </w:pPr>
    <w:r>
      <w:rPr>
        <w:rStyle w:val="PageNumber"/>
      </w:rPr>
      <w:fldChar w:fldCharType="begin"/>
    </w:r>
    <w:r w:rsidR="00ED696C">
      <w:rPr>
        <w:rStyle w:val="PageNumber"/>
      </w:rPr>
      <w:instrText xml:space="preserve">PAGE  </w:instrText>
    </w:r>
    <w:r>
      <w:rPr>
        <w:rStyle w:val="PageNumber"/>
      </w:rPr>
      <w:fldChar w:fldCharType="separate"/>
    </w:r>
    <w:r w:rsidR="00ED696C">
      <w:rPr>
        <w:rStyle w:val="PageNumber"/>
        <w:noProof/>
      </w:rPr>
      <w:t>1</w:t>
    </w:r>
    <w:r>
      <w:rPr>
        <w:rStyle w:val="PageNumber"/>
      </w:rPr>
      <w:fldChar w:fldCharType="end"/>
    </w:r>
  </w:p>
  <w:p w:rsidR="00ED696C" w:rsidRDefault="00ED69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986"/>
      <w:docPartObj>
        <w:docPartGallery w:val="Page Numbers (Bottom of Page)"/>
        <w:docPartUnique/>
      </w:docPartObj>
    </w:sdtPr>
    <w:sdtContent>
      <w:p w:rsidR="00DD4C25" w:rsidRDefault="00DD4C25">
        <w:pPr>
          <w:pStyle w:val="Footer"/>
          <w:jc w:val="center"/>
        </w:pPr>
        <w:fldSimple w:instr=" PAGE   \* MERGEFORMAT ">
          <w:r>
            <w:rPr>
              <w:noProof/>
            </w:rPr>
            <w:t>iii</w:t>
          </w:r>
        </w:fldSimple>
      </w:p>
    </w:sdtContent>
  </w:sdt>
  <w:p w:rsidR="00ED696C" w:rsidRPr="00BE4668" w:rsidRDefault="00ED696C" w:rsidP="00BE46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985"/>
      <w:docPartObj>
        <w:docPartGallery w:val="Page Numbers (Bottom of Page)"/>
        <w:docPartUnique/>
      </w:docPartObj>
    </w:sdtPr>
    <w:sdtContent>
      <w:p w:rsidR="00DD4C25" w:rsidRDefault="00DD4C25">
        <w:pPr>
          <w:pStyle w:val="Footer"/>
          <w:jc w:val="center"/>
        </w:pPr>
        <w:fldSimple w:instr=" PAGE   \* MERGEFORMAT ">
          <w:r>
            <w:rPr>
              <w:noProof/>
            </w:rPr>
            <w:t>1</w:t>
          </w:r>
        </w:fldSimple>
      </w:p>
    </w:sdtContent>
  </w:sdt>
  <w:p w:rsidR="00ED696C" w:rsidRDefault="00ED696C" w:rsidP="00906F6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96C" w:rsidRDefault="00ED696C">
      <w:r>
        <w:separator/>
      </w:r>
    </w:p>
  </w:footnote>
  <w:footnote w:type="continuationSeparator" w:id="0">
    <w:p w:rsidR="00ED696C" w:rsidRDefault="00ED6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6C" w:rsidRDefault="00ED696C" w:rsidP="00F35EB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22F6"/>
    <w:multiLevelType w:val="hybridMultilevel"/>
    <w:tmpl w:val="2B4EB7FC"/>
    <w:lvl w:ilvl="0" w:tplc="D946116E">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B95768"/>
    <w:multiLevelType w:val="hybridMultilevel"/>
    <w:tmpl w:val="E3B2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1B36227C"/>
    <w:multiLevelType w:val="hybridMultilevel"/>
    <w:tmpl w:val="2B5275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F4B2E"/>
    <w:multiLevelType w:val="hybridMultilevel"/>
    <w:tmpl w:val="C2DC2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DA5D02"/>
    <w:multiLevelType w:val="hybridMultilevel"/>
    <w:tmpl w:val="667C4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94970"/>
    <w:multiLevelType w:val="hybridMultilevel"/>
    <w:tmpl w:val="2C08B07C"/>
    <w:lvl w:ilvl="0" w:tplc="5A2A8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222DDC"/>
    <w:multiLevelType w:val="hybridMultilevel"/>
    <w:tmpl w:val="11DA5E00"/>
    <w:lvl w:ilvl="0" w:tplc="B1EC28A8">
      <w:start w:val="2"/>
      <w:numFmt w:val="upperLetter"/>
      <w:lvlText w:val="%1."/>
      <w:lvlJc w:val="left"/>
      <w:pPr>
        <w:tabs>
          <w:tab w:val="num" w:pos="1080"/>
        </w:tabs>
        <w:ind w:left="1080" w:hanging="360"/>
      </w:pPr>
      <w:rPr>
        <w:rFonts w:cs="Times New Roman" w:hint="default"/>
        <w:b w:val="0"/>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8">
    <w:nsid w:val="31985768"/>
    <w:multiLevelType w:val="hybridMultilevel"/>
    <w:tmpl w:val="F82C733C"/>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37120E1"/>
    <w:multiLevelType w:val="hybridMultilevel"/>
    <w:tmpl w:val="F4CCDC42"/>
    <w:lvl w:ilvl="0" w:tplc="977276F6">
      <w:start w:val="1"/>
      <w:numFmt w:val="bullet"/>
      <w:lvlText w:val=""/>
      <w:lvlJc w:val="left"/>
      <w:pPr>
        <w:tabs>
          <w:tab w:val="num" w:pos="2160"/>
        </w:tabs>
        <w:ind w:left="2160" w:hanging="360"/>
      </w:pPr>
      <w:rPr>
        <w:rFonts w:ascii="Symbol" w:hAnsi="Symbol" w:hint="default"/>
        <w:color w:val="336699"/>
      </w:rPr>
    </w:lvl>
    <w:lvl w:ilvl="1" w:tplc="04090019" w:tentative="1">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0">
    <w:nsid w:val="3C431129"/>
    <w:multiLevelType w:val="hybridMultilevel"/>
    <w:tmpl w:val="DD162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D6687D"/>
    <w:multiLevelType w:val="hybridMultilevel"/>
    <w:tmpl w:val="747E8ACE"/>
    <w:lvl w:ilvl="0" w:tplc="5DB67862">
      <w:start w:val="1"/>
      <w:numFmt w:val="decimal"/>
      <w:lvlText w:val="%1."/>
      <w:lvlJc w:val="left"/>
      <w:pPr>
        <w:tabs>
          <w:tab w:val="num" w:pos="420"/>
        </w:tabs>
        <w:ind w:left="420" w:hanging="360"/>
      </w:pPr>
      <w:rPr>
        <w:rFonts w:cs="Times New Roman" w:hint="default"/>
      </w:rPr>
    </w:lvl>
    <w:lvl w:ilvl="1" w:tplc="04090003" w:tentative="1">
      <w:start w:val="1"/>
      <w:numFmt w:val="lowerLetter"/>
      <w:lvlText w:val="%2."/>
      <w:lvlJc w:val="left"/>
      <w:pPr>
        <w:tabs>
          <w:tab w:val="num" w:pos="1140"/>
        </w:tabs>
        <w:ind w:left="1140" w:hanging="360"/>
      </w:pPr>
      <w:rPr>
        <w:rFonts w:cs="Times New Roman"/>
      </w:rPr>
    </w:lvl>
    <w:lvl w:ilvl="2" w:tplc="04090005" w:tentative="1">
      <w:start w:val="1"/>
      <w:numFmt w:val="lowerRoman"/>
      <w:lvlText w:val="%3."/>
      <w:lvlJc w:val="right"/>
      <w:pPr>
        <w:tabs>
          <w:tab w:val="num" w:pos="1860"/>
        </w:tabs>
        <w:ind w:left="1860" w:hanging="180"/>
      </w:pPr>
      <w:rPr>
        <w:rFonts w:cs="Times New Roman"/>
      </w:rPr>
    </w:lvl>
    <w:lvl w:ilvl="3" w:tplc="04090001" w:tentative="1">
      <w:start w:val="1"/>
      <w:numFmt w:val="decimal"/>
      <w:lvlText w:val="%4."/>
      <w:lvlJc w:val="left"/>
      <w:pPr>
        <w:tabs>
          <w:tab w:val="num" w:pos="2580"/>
        </w:tabs>
        <w:ind w:left="2580" w:hanging="360"/>
      </w:pPr>
      <w:rPr>
        <w:rFonts w:cs="Times New Roman"/>
      </w:rPr>
    </w:lvl>
    <w:lvl w:ilvl="4" w:tplc="04090003" w:tentative="1">
      <w:start w:val="1"/>
      <w:numFmt w:val="lowerLetter"/>
      <w:lvlText w:val="%5."/>
      <w:lvlJc w:val="left"/>
      <w:pPr>
        <w:tabs>
          <w:tab w:val="num" w:pos="3300"/>
        </w:tabs>
        <w:ind w:left="3300" w:hanging="360"/>
      </w:pPr>
      <w:rPr>
        <w:rFonts w:cs="Times New Roman"/>
      </w:rPr>
    </w:lvl>
    <w:lvl w:ilvl="5" w:tplc="04090005" w:tentative="1">
      <w:start w:val="1"/>
      <w:numFmt w:val="lowerRoman"/>
      <w:lvlText w:val="%6."/>
      <w:lvlJc w:val="right"/>
      <w:pPr>
        <w:tabs>
          <w:tab w:val="num" w:pos="4020"/>
        </w:tabs>
        <w:ind w:left="4020" w:hanging="180"/>
      </w:pPr>
      <w:rPr>
        <w:rFonts w:cs="Times New Roman"/>
      </w:rPr>
    </w:lvl>
    <w:lvl w:ilvl="6" w:tplc="04090001" w:tentative="1">
      <w:start w:val="1"/>
      <w:numFmt w:val="decimal"/>
      <w:lvlText w:val="%7."/>
      <w:lvlJc w:val="left"/>
      <w:pPr>
        <w:tabs>
          <w:tab w:val="num" w:pos="4740"/>
        </w:tabs>
        <w:ind w:left="4740" w:hanging="360"/>
      </w:pPr>
      <w:rPr>
        <w:rFonts w:cs="Times New Roman"/>
      </w:rPr>
    </w:lvl>
    <w:lvl w:ilvl="7" w:tplc="04090003" w:tentative="1">
      <w:start w:val="1"/>
      <w:numFmt w:val="lowerLetter"/>
      <w:lvlText w:val="%8."/>
      <w:lvlJc w:val="left"/>
      <w:pPr>
        <w:tabs>
          <w:tab w:val="num" w:pos="5460"/>
        </w:tabs>
        <w:ind w:left="5460" w:hanging="360"/>
      </w:pPr>
      <w:rPr>
        <w:rFonts w:cs="Times New Roman"/>
      </w:rPr>
    </w:lvl>
    <w:lvl w:ilvl="8" w:tplc="04090005" w:tentative="1">
      <w:start w:val="1"/>
      <w:numFmt w:val="lowerRoman"/>
      <w:lvlText w:val="%9."/>
      <w:lvlJc w:val="right"/>
      <w:pPr>
        <w:tabs>
          <w:tab w:val="num" w:pos="6180"/>
        </w:tabs>
        <w:ind w:left="6180" w:hanging="180"/>
      </w:pPr>
      <w:rPr>
        <w:rFonts w:cs="Times New Roman"/>
      </w:rPr>
    </w:lvl>
  </w:abstractNum>
  <w:abstractNum w:abstractNumId="12">
    <w:nsid w:val="4A183553"/>
    <w:multiLevelType w:val="hybridMultilevel"/>
    <w:tmpl w:val="8CB690B6"/>
    <w:lvl w:ilvl="0" w:tplc="4A32E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425877"/>
    <w:multiLevelType w:val="hybridMultilevel"/>
    <w:tmpl w:val="D88CEA80"/>
    <w:lvl w:ilvl="0" w:tplc="D2C69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619300E6"/>
    <w:multiLevelType w:val="hybridMultilevel"/>
    <w:tmpl w:val="793EAA92"/>
    <w:lvl w:ilvl="0" w:tplc="FFFFFFFF">
      <w:start w:val="1"/>
      <w:numFmt w:val="decimal"/>
      <w:lvlText w:val="%1."/>
      <w:lvlJc w:val="left"/>
      <w:pPr>
        <w:tabs>
          <w:tab w:val="num" w:pos="720"/>
        </w:tabs>
        <w:ind w:left="720" w:hanging="360"/>
      </w:pPr>
      <w:rPr>
        <w:rFonts w:cs="Times New Roman"/>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63CA112A"/>
    <w:multiLevelType w:val="hybridMultilevel"/>
    <w:tmpl w:val="1F2C667A"/>
    <w:lvl w:ilvl="0" w:tplc="20F4ADDC">
      <w:start w:val="1"/>
      <w:numFmt w:val="bullet"/>
      <w:lvlText w:val=""/>
      <w:lvlJc w:val="left"/>
      <w:pPr>
        <w:ind w:left="576"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11"/>
  </w:num>
  <w:num w:numId="4">
    <w:abstractNumId w:val="9"/>
  </w:num>
  <w:num w:numId="5">
    <w:abstractNumId w:val="16"/>
  </w:num>
  <w:num w:numId="6">
    <w:abstractNumId w:val="15"/>
  </w:num>
  <w:num w:numId="7">
    <w:abstractNumId w:val="7"/>
  </w:num>
  <w:num w:numId="8">
    <w:abstractNumId w:val="4"/>
  </w:num>
  <w:num w:numId="9">
    <w:abstractNumId w:val="1"/>
  </w:num>
  <w:num w:numId="10">
    <w:abstractNumId w:val="6"/>
  </w:num>
  <w:num w:numId="11">
    <w:abstractNumId w:val="5"/>
  </w:num>
  <w:num w:numId="12">
    <w:abstractNumId w:val="12"/>
  </w:num>
  <w:num w:numId="13">
    <w:abstractNumId w:val="13"/>
  </w:num>
  <w:num w:numId="14">
    <w:abstractNumId w:val="3"/>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8"/>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D46A91"/>
    <w:rsid w:val="00001324"/>
    <w:rsid w:val="0000399C"/>
    <w:rsid w:val="00006439"/>
    <w:rsid w:val="000073D2"/>
    <w:rsid w:val="00010285"/>
    <w:rsid w:val="00014D56"/>
    <w:rsid w:val="00015F85"/>
    <w:rsid w:val="00016172"/>
    <w:rsid w:val="00016E5D"/>
    <w:rsid w:val="0001715E"/>
    <w:rsid w:val="000205EA"/>
    <w:rsid w:val="00021B3F"/>
    <w:rsid w:val="00021B81"/>
    <w:rsid w:val="00022409"/>
    <w:rsid w:val="00023B6B"/>
    <w:rsid w:val="00033F75"/>
    <w:rsid w:val="000345DD"/>
    <w:rsid w:val="0003510A"/>
    <w:rsid w:val="00035523"/>
    <w:rsid w:val="00036453"/>
    <w:rsid w:val="00053D33"/>
    <w:rsid w:val="00055BD4"/>
    <w:rsid w:val="00055F70"/>
    <w:rsid w:val="00056850"/>
    <w:rsid w:val="00057309"/>
    <w:rsid w:val="0006128E"/>
    <w:rsid w:val="00061CFD"/>
    <w:rsid w:val="000672D2"/>
    <w:rsid w:val="00072C63"/>
    <w:rsid w:val="00073E0B"/>
    <w:rsid w:val="00074091"/>
    <w:rsid w:val="00076442"/>
    <w:rsid w:val="00076767"/>
    <w:rsid w:val="00076FFE"/>
    <w:rsid w:val="00080E79"/>
    <w:rsid w:val="000822C0"/>
    <w:rsid w:val="00083B89"/>
    <w:rsid w:val="000849A9"/>
    <w:rsid w:val="00087F6F"/>
    <w:rsid w:val="000945C6"/>
    <w:rsid w:val="00095B10"/>
    <w:rsid w:val="000965F4"/>
    <w:rsid w:val="000A1BC4"/>
    <w:rsid w:val="000A2CF7"/>
    <w:rsid w:val="000A3D71"/>
    <w:rsid w:val="000A46A8"/>
    <w:rsid w:val="000A4B65"/>
    <w:rsid w:val="000A609C"/>
    <w:rsid w:val="000A72CE"/>
    <w:rsid w:val="000B5B19"/>
    <w:rsid w:val="000B7350"/>
    <w:rsid w:val="000C0BF4"/>
    <w:rsid w:val="000C1FA1"/>
    <w:rsid w:val="000C4899"/>
    <w:rsid w:val="000C7E4D"/>
    <w:rsid w:val="000C7F6C"/>
    <w:rsid w:val="000D0D6A"/>
    <w:rsid w:val="000D183C"/>
    <w:rsid w:val="000E395A"/>
    <w:rsid w:val="000E6546"/>
    <w:rsid w:val="000F3D28"/>
    <w:rsid w:val="000F77AD"/>
    <w:rsid w:val="001002D0"/>
    <w:rsid w:val="00110E0C"/>
    <w:rsid w:val="00112C2B"/>
    <w:rsid w:val="0011387B"/>
    <w:rsid w:val="0011486A"/>
    <w:rsid w:val="00114F27"/>
    <w:rsid w:val="00116486"/>
    <w:rsid w:val="001229C1"/>
    <w:rsid w:val="0012453E"/>
    <w:rsid w:val="001250A4"/>
    <w:rsid w:val="001302E1"/>
    <w:rsid w:val="00131E85"/>
    <w:rsid w:val="00135C0F"/>
    <w:rsid w:val="001407F4"/>
    <w:rsid w:val="001409B2"/>
    <w:rsid w:val="001465EA"/>
    <w:rsid w:val="00147EF9"/>
    <w:rsid w:val="00151395"/>
    <w:rsid w:val="00152DFC"/>
    <w:rsid w:val="00154E46"/>
    <w:rsid w:val="00154F41"/>
    <w:rsid w:val="00155126"/>
    <w:rsid w:val="00155573"/>
    <w:rsid w:val="001627D9"/>
    <w:rsid w:val="00162AD1"/>
    <w:rsid w:val="00162E9D"/>
    <w:rsid w:val="0016321F"/>
    <w:rsid w:val="0017124A"/>
    <w:rsid w:val="00171303"/>
    <w:rsid w:val="001748F6"/>
    <w:rsid w:val="00175EE3"/>
    <w:rsid w:val="00180162"/>
    <w:rsid w:val="00181FDB"/>
    <w:rsid w:val="00182ED7"/>
    <w:rsid w:val="001832DE"/>
    <w:rsid w:val="0018563E"/>
    <w:rsid w:val="00194200"/>
    <w:rsid w:val="001945BD"/>
    <w:rsid w:val="00194A21"/>
    <w:rsid w:val="00194E27"/>
    <w:rsid w:val="00196926"/>
    <w:rsid w:val="001A1A89"/>
    <w:rsid w:val="001A1BC5"/>
    <w:rsid w:val="001A480C"/>
    <w:rsid w:val="001A6506"/>
    <w:rsid w:val="001B12DF"/>
    <w:rsid w:val="001B1716"/>
    <w:rsid w:val="001B2F93"/>
    <w:rsid w:val="001B3FB7"/>
    <w:rsid w:val="001B4C4D"/>
    <w:rsid w:val="001B6122"/>
    <w:rsid w:val="001B78C1"/>
    <w:rsid w:val="001C2159"/>
    <w:rsid w:val="001C2942"/>
    <w:rsid w:val="001C39AB"/>
    <w:rsid w:val="001C4E6E"/>
    <w:rsid w:val="001D066C"/>
    <w:rsid w:val="001D089D"/>
    <w:rsid w:val="001D16BC"/>
    <w:rsid w:val="001D2934"/>
    <w:rsid w:val="001D33C9"/>
    <w:rsid w:val="001D3F98"/>
    <w:rsid w:val="001D5EC8"/>
    <w:rsid w:val="001D5EE8"/>
    <w:rsid w:val="001E2185"/>
    <w:rsid w:val="001E2C0E"/>
    <w:rsid w:val="001E63EF"/>
    <w:rsid w:val="001E736B"/>
    <w:rsid w:val="001E7609"/>
    <w:rsid w:val="001E7FAF"/>
    <w:rsid w:val="001F0C81"/>
    <w:rsid w:val="001F2157"/>
    <w:rsid w:val="001F2259"/>
    <w:rsid w:val="001F442A"/>
    <w:rsid w:val="00202241"/>
    <w:rsid w:val="00202AC7"/>
    <w:rsid w:val="00203EBA"/>
    <w:rsid w:val="0020700B"/>
    <w:rsid w:val="00207E8F"/>
    <w:rsid w:val="00213567"/>
    <w:rsid w:val="002154C6"/>
    <w:rsid w:val="00215CB2"/>
    <w:rsid w:val="00216A5E"/>
    <w:rsid w:val="002179E0"/>
    <w:rsid w:val="00221D72"/>
    <w:rsid w:val="00222B46"/>
    <w:rsid w:val="00223327"/>
    <w:rsid w:val="00223CDD"/>
    <w:rsid w:val="002250FD"/>
    <w:rsid w:val="00236BC0"/>
    <w:rsid w:val="00237321"/>
    <w:rsid w:val="00237701"/>
    <w:rsid w:val="00242D2C"/>
    <w:rsid w:val="00246CCD"/>
    <w:rsid w:val="0025209F"/>
    <w:rsid w:val="0025240F"/>
    <w:rsid w:val="00260E6A"/>
    <w:rsid w:val="00262BD5"/>
    <w:rsid w:val="00264F98"/>
    <w:rsid w:val="002657C9"/>
    <w:rsid w:val="002677ED"/>
    <w:rsid w:val="00272383"/>
    <w:rsid w:val="00274C42"/>
    <w:rsid w:val="00275648"/>
    <w:rsid w:val="002764C0"/>
    <w:rsid w:val="0027712D"/>
    <w:rsid w:val="002772A2"/>
    <w:rsid w:val="002802B1"/>
    <w:rsid w:val="0029307A"/>
    <w:rsid w:val="00294BE9"/>
    <w:rsid w:val="002957C1"/>
    <w:rsid w:val="002A0946"/>
    <w:rsid w:val="002A1235"/>
    <w:rsid w:val="002A1494"/>
    <w:rsid w:val="002A2556"/>
    <w:rsid w:val="002A38E7"/>
    <w:rsid w:val="002A6101"/>
    <w:rsid w:val="002B1E89"/>
    <w:rsid w:val="002B3730"/>
    <w:rsid w:val="002B3C81"/>
    <w:rsid w:val="002B59FB"/>
    <w:rsid w:val="002C0CFB"/>
    <w:rsid w:val="002C3412"/>
    <w:rsid w:val="002C60A4"/>
    <w:rsid w:val="002C66D1"/>
    <w:rsid w:val="002C78C3"/>
    <w:rsid w:val="002D17C6"/>
    <w:rsid w:val="002E39B8"/>
    <w:rsid w:val="002E48B2"/>
    <w:rsid w:val="002F13DB"/>
    <w:rsid w:val="002F289E"/>
    <w:rsid w:val="002F3B3B"/>
    <w:rsid w:val="002F48EC"/>
    <w:rsid w:val="002F619D"/>
    <w:rsid w:val="002F6523"/>
    <w:rsid w:val="00302FC2"/>
    <w:rsid w:val="00304A58"/>
    <w:rsid w:val="00305805"/>
    <w:rsid w:val="00305B69"/>
    <w:rsid w:val="003103C6"/>
    <w:rsid w:val="003115B9"/>
    <w:rsid w:val="003270D3"/>
    <w:rsid w:val="003276D6"/>
    <w:rsid w:val="00327FF0"/>
    <w:rsid w:val="00330673"/>
    <w:rsid w:val="00331E3B"/>
    <w:rsid w:val="00332278"/>
    <w:rsid w:val="00334B7A"/>
    <w:rsid w:val="00334C42"/>
    <w:rsid w:val="003378A5"/>
    <w:rsid w:val="00341D6E"/>
    <w:rsid w:val="00342CD5"/>
    <w:rsid w:val="00343192"/>
    <w:rsid w:val="003441BF"/>
    <w:rsid w:val="003443C8"/>
    <w:rsid w:val="0034467B"/>
    <w:rsid w:val="0034475B"/>
    <w:rsid w:val="00347889"/>
    <w:rsid w:val="003506F4"/>
    <w:rsid w:val="00351267"/>
    <w:rsid w:val="0035129B"/>
    <w:rsid w:val="0035130E"/>
    <w:rsid w:val="0035210E"/>
    <w:rsid w:val="003524CD"/>
    <w:rsid w:val="00353921"/>
    <w:rsid w:val="00353D07"/>
    <w:rsid w:val="00353E7E"/>
    <w:rsid w:val="003540A9"/>
    <w:rsid w:val="00354255"/>
    <w:rsid w:val="00354793"/>
    <w:rsid w:val="0035742F"/>
    <w:rsid w:val="00357746"/>
    <w:rsid w:val="00357AF0"/>
    <w:rsid w:val="00366B92"/>
    <w:rsid w:val="0036764B"/>
    <w:rsid w:val="003714E8"/>
    <w:rsid w:val="0037320E"/>
    <w:rsid w:val="0037468E"/>
    <w:rsid w:val="003757F4"/>
    <w:rsid w:val="0037618E"/>
    <w:rsid w:val="003804D4"/>
    <w:rsid w:val="00383409"/>
    <w:rsid w:val="00383F1B"/>
    <w:rsid w:val="0038485C"/>
    <w:rsid w:val="00384BDE"/>
    <w:rsid w:val="00387DDF"/>
    <w:rsid w:val="00394287"/>
    <w:rsid w:val="003960AE"/>
    <w:rsid w:val="003A08CD"/>
    <w:rsid w:val="003A3880"/>
    <w:rsid w:val="003A6CE8"/>
    <w:rsid w:val="003B208A"/>
    <w:rsid w:val="003B4083"/>
    <w:rsid w:val="003B4C9B"/>
    <w:rsid w:val="003B7E27"/>
    <w:rsid w:val="003C04B5"/>
    <w:rsid w:val="003C17F5"/>
    <w:rsid w:val="003C6DD4"/>
    <w:rsid w:val="003D01BC"/>
    <w:rsid w:val="003D0294"/>
    <w:rsid w:val="003D3974"/>
    <w:rsid w:val="003D416B"/>
    <w:rsid w:val="003D5F0F"/>
    <w:rsid w:val="003D6EC3"/>
    <w:rsid w:val="003E0A59"/>
    <w:rsid w:val="003E3A32"/>
    <w:rsid w:val="003E5576"/>
    <w:rsid w:val="003E568A"/>
    <w:rsid w:val="003F02AD"/>
    <w:rsid w:val="003F589C"/>
    <w:rsid w:val="00400488"/>
    <w:rsid w:val="0040104B"/>
    <w:rsid w:val="004010C2"/>
    <w:rsid w:val="004027B3"/>
    <w:rsid w:val="0040284D"/>
    <w:rsid w:val="00402BAD"/>
    <w:rsid w:val="00405731"/>
    <w:rsid w:val="004059D1"/>
    <w:rsid w:val="00412128"/>
    <w:rsid w:val="00413C7B"/>
    <w:rsid w:val="00414608"/>
    <w:rsid w:val="004163FA"/>
    <w:rsid w:val="0041691A"/>
    <w:rsid w:val="00420F5B"/>
    <w:rsid w:val="00422959"/>
    <w:rsid w:val="00423334"/>
    <w:rsid w:val="00427554"/>
    <w:rsid w:val="004316FE"/>
    <w:rsid w:val="00434BC5"/>
    <w:rsid w:val="00434D88"/>
    <w:rsid w:val="00434DFE"/>
    <w:rsid w:val="00436772"/>
    <w:rsid w:val="00451757"/>
    <w:rsid w:val="00453377"/>
    <w:rsid w:val="0045406A"/>
    <w:rsid w:val="00456E09"/>
    <w:rsid w:val="00463AEE"/>
    <w:rsid w:val="00463DD1"/>
    <w:rsid w:val="004661CD"/>
    <w:rsid w:val="00466CA9"/>
    <w:rsid w:val="00467559"/>
    <w:rsid w:val="004701E0"/>
    <w:rsid w:val="004707F3"/>
    <w:rsid w:val="0047358D"/>
    <w:rsid w:val="00475CDB"/>
    <w:rsid w:val="00475E78"/>
    <w:rsid w:val="0047674A"/>
    <w:rsid w:val="004767F2"/>
    <w:rsid w:val="0048430B"/>
    <w:rsid w:val="00486F3C"/>
    <w:rsid w:val="004907DF"/>
    <w:rsid w:val="00491BEB"/>
    <w:rsid w:val="004920B6"/>
    <w:rsid w:val="00492F67"/>
    <w:rsid w:val="004933A5"/>
    <w:rsid w:val="00495ADF"/>
    <w:rsid w:val="004966BC"/>
    <w:rsid w:val="00497740"/>
    <w:rsid w:val="004A2778"/>
    <w:rsid w:val="004A454B"/>
    <w:rsid w:val="004B394C"/>
    <w:rsid w:val="004B3E35"/>
    <w:rsid w:val="004B62E4"/>
    <w:rsid w:val="004C06DC"/>
    <w:rsid w:val="004C0743"/>
    <w:rsid w:val="004C0E0E"/>
    <w:rsid w:val="004C2039"/>
    <w:rsid w:val="004C439D"/>
    <w:rsid w:val="004C56A3"/>
    <w:rsid w:val="004C705D"/>
    <w:rsid w:val="004D0161"/>
    <w:rsid w:val="004D1B6E"/>
    <w:rsid w:val="004D1ED6"/>
    <w:rsid w:val="004D3C37"/>
    <w:rsid w:val="004D5E3B"/>
    <w:rsid w:val="004D6CF6"/>
    <w:rsid w:val="004E0E8D"/>
    <w:rsid w:val="004E330F"/>
    <w:rsid w:val="004E3347"/>
    <w:rsid w:val="004E3FE7"/>
    <w:rsid w:val="004E5D2F"/>
    <w:rsid w:val="004E66DD"/>
    <w:rsid w:val="004F167F"/>
    <w:rsid w:val="004F5A14"/>
    <w:rsid w:val="004F5C8C"/>
    <w:rsid w:val="004F7197"/>
    <w:rsid w:val="004F7682"/>
    <w:rsid w:val="004F7E86"/>
    <w:rsid w:val="00500A92"/>
    <w:rsid w:val="0050115D"/>
    <w:rsid w:val="00501DCE"/>
    <w:rsid w:val="00502A54"/>
    <w:rsid w:val="00504B73"/>
    <w:rsid w:val="00504DCF"/>
    <w:rsid w:val="005052A4"/>
    <w:rsid w:val="005058C6"/>
    <w:rsid w:val="00507A03"/>
    <w:rsid w:val="00510A30"/>
    <w:rsid w:val="00511375"/>
    <w:rsid w:val="00512F04"/>
    <w:rsid w:val="00513AF1"/>
    <w:rsid w:val="00513E02"/>
    <w:rsid w:val="005149E3"/>
    <w:rsid w:val="0051577F"/>
    <w:rsid w:val="00516D68"/>
    <w:rsid w:val="00517264"/>
    <w:rsid w:val="005217EF"/>
    <w:rsid w:val="005241E2"/>
    <w:rsid w:val="005305B3"/>
    <w:rsid w:val="00531587"/>
    <w:rsid w:val="00534DAB"/>
    <w:rsid w:val="0053645E"/>
    <w:rsid w:val="00536740"/>
    <w:rsid w:val="005375D0"/>
    <w:rsid w:val="005403DC"/>
    <w:rsid w:val="00541CA2"/>
    <w:rsid w:val="005453DD"/>
    <w:rsid w:val="00546209"/>
    <w:rsid w:val="00547969"/>
    <w:rsid w:val="00551F4D"/>
    <w:rsid w:val="0055317C"/>
    <w:rsid w:val="00557329"/>
    <w:rsid w:val="0055752E"/>
    <w:rsid w:val="00560046"/>
    <w:rsid w:val="00560D87"/>
    <w:rsid w:val="00570274"/>
    <w:rsid w:val="005749DD"/>
    <w:rsid w:val="0057707D"/>
    <w:rsid w:val="00581392"/>
    <w:rsid w:val="0058360B"/>
    <w:rsid w:val="005909A3"/>
    <w:rsid w:val="00590C43"/>
    <w:rsid w:val="0059246C"/>
    <w:rsid w:val="00592720"/>
    <w:rsid w:val="005928A8"/>
    <w:rsid w:val="00593F5C"/>
    <w:rsid w:val="005970B4"/>
    <w:rsid w:val="005A0FD9"/>
    <w:rsid w:val="005A2509"/>
    <w:rsid w:val="005A5E4A"/>
    <w:rsid w:val="005A7F97"/>
    <w:rsid w:val="005B21C5"/>
    <w:rsid w:val="005B2C7E"/>
    <w:rsid w:val="005B4008"/>
    <w:rsid w:val="005B4154"/>
    <w:rsid w:val="005C08A8"/>
    <w:rsid w:val="005C0D53"/>
    <w:rsid w:val="005C0D9C"/>
    <w:rsid w:val="005C1F55"/>
    <w:rsid w:val="005C255F"/>
    <w:rsid w:val="005D0094"/>
    <w:rsid w:val="005D08D9"/>
    <w:rsid w:val="005D0F00"/>
    <w:rsid w:val="005E081A"/>
    <w:rsid w:val="005E1462"/>
    <w:rsid w:val="005E217C"/>
    <w:rsid w:val="005E62F2"/>
    <w:rsid w:val="005F1FB7"/>
    <w:rsid w:val="005F2C37"/>
    <w:rsid w:val="005F3AD7"/>
    <w:rsid w:val="005F3E92"/>
    <w:rsid w:val="00602F2F"/>
    <w:rsid w:val="006040A6"/>
    <w:rsid w:val="006048A8"/>
    <w:rsid w:val="00604C05"/>
    <w:rsid w:val="00605B8B"/>
    <w:rsid w:val="00606604"/>
    <w:rsid w:val="0060700A"/>
    <w:rsid w:val="00607C0E"/>
    <w:rsid w:val="00611D22"/>
    <w:rsid w:val="00613A18"/>
    <w:rsid w:val="00615E9C"/>
    <w:rsid w:val="00620B9A"/>
    <w:rsid w:val="00622A6F"/>
    <w:rsid w:val="00623B2D"/>
    <w:rsid w:val="00624F2B"/>
    <w:rsid w:val="00625CC2"/>
    <w:rsid w:val="006269EB"/>
    <w:rsid w:val="00626DBA"/>
    <w:rsid w:val="0062779E"/>
    <w:rsid w:val="00631010"/>
    <w:rsid w:val="0063138F"/>
    <w:rsid w:val="00632AAE"/>
    <w:rsid w:val="00635CB0"/>
    <w:rsid w:val="00637DD8"/>
    <w:rsid w:val="00645280"/>
    <w:rsid w:val="0065116D"/>
    <w:rsid w:val="00652BF8"/>
    <w:rsid w:val="00652F7E"/>
    <w:rsid w:val="00657935"/>
    <w:rsid w:val="0065799B"/>
    <w:rsid w:val="00660881"/>
    <w:rsid w:val="00662BD9"/>
    <w:rsid w:val="006632F4"/>
    <w:rsid w:val="00663D09"/>
    <w:rsid w:val="00666E13"/>
    <w:rsid w:val="00670F0A"/>
    <w:rsid w:val="006713F3"/>
    <w:rsid w:val="00671A7D"/>
    <w:rsid w:val="006763FF"/>
    <w:rsid w:val="006765BE"/>
    <w:rsid w:val="00682231"/>
    <w:rsid w:val="006900CA"/>
    <w:rsid w:val="006937C8"/>
    <w:rsid w:val="00694BE4"/>
    <w:rsid w:val="0069546C"/>
    <w:rsid w:val="00695CBA"/>
    <w:rsid w:val="006A10BF"/>
    <w:rsid w:val="006A2387"/>
    <w:rsid w:val="006A352B"/>
    <w:rsid w:val="006A3B0E"/>
    <w:rsid w:val="006A46BB"/>
    <w:rsid w:val="006A604F"/>
    <w:rsid w:val="006A7086"/>
    <w:rsid w:val="006B0460"/>
    <w:rsid w:val="006B14CF"/>
    <w:rsid w:val="006B3CB0"/>
    <w:rsid w:val="006B4955"/>
    <w:rsid w:val="006B61F9"/>
    <w:rsid w:val="006B6428"/>
    <w:rsid w:val="006D08F5"/>
    <w:rsid w:val="006D29A1"/>
    <w:rsid w:val="006D3678"/>
    <w:rsid w:val="006D4600"/>
    <w:rsid w:val="006D5A57"/>
    <w:rsid w:val="006E00BC"/>
    <w:rsid w:val="006E2440"/>
    <w:rsid w:val="006E25C1"/>
    <w:rsid w:val="006E2B27"/>
    <w:rsid w:val="006E5049"/>
    <w:rsid w:val="006F4360"/>
    <w:rsid w:val="006F48BA"/>
    <w:rsid w:val="007001E4"/>
    <w:rsid w:val="00702D6B"/>
    <w:rsid w:val="00703C72"/>
    <w:rsid w:val="00706653"/>
    <w:rsid w:val="00706C69"/>
    <w:rsid w:val="00707527"/>
    <w:rsid w:val="00707F96"/>
    <w:rsid w:val="00712259"/>
    <w:rsid w:val="0071443E"/>
    <w:rsid w:val="00715219"/>
    <w:rsid w:val="00717571"/>
    <w:rsid w:val="00720E0D"/>
    <w:rsid w:val="00720E5F"/>
    <w:rsid w:val="0072159D"/>
    <w:rsid w:val="00722025"/>
    <w:rsid w:val="00722078"/>
    <w:rsid w:val="0072468E"/>
    <w:rsid w:val="00726255"/>
    <w:rsid w:val="00731592"/>
    <w:rsid w:val="0073164C"/>
    <w:rsid w:val="007324BF"/>
    <w:rsid w:val="007340DC"/>
    <w:rsid w:val="00736695"/>
    <w:rsid w:val="00737857"/>
    <w:rsid w:val="00743DE0"/>
    <w:rsid w:val="007446AB"/>
    <w:rsid w:val="00747131"/>
    <w:rsid w:val="007473F8"/>
    <w:rsid w:val="00747F72"/>
    <w:rsid w:val="0075239D"/>
    <w:rsid w:val="0075331E"/>
    <w:rsid w:val="00754198"/>
    <w:rsid w:val="00755297"/>
    <w:rsid w:val="00755E07"/>
    <w:rsid w:val="00756002"/>
    <w:rsid w:val="00756368"/>
    <w:rsid w:val="0076448A"/>
    <w:rsid w:val="00764529"/>
    <w:rsid w:val="00765F03"/>
    <w:rsid w:val="00773689"/>
    <w:rsid w:val="00774AA8"/>
    <w:rsid w:val="00775831"/>
    <w:rsid w:val="0077591C"/>
    <w:rsid w:val="00782650"/>
    <w:rsid w:val="007838EC"/>
    <w:rsid w:val="00786C85"/>
    <w:rsid w:val="00787D03"/>
    <w:rsid w:val="007B023A"/>
    <w:rsid w:val="007B1639"/>
    <w:rsid w:val="007B18BA"/>
    <w:rsid w:val="007B319D"/>
    <w:rsid w:val="007B3DA7"/>
    <w:rsid w:val="007B5258"/>
    <w:rsid w:val="007B577A"/>
    <w:rsid w:val="007B77E2"/>
    <w:rsid w:val="007C2040"/>
    <w:rsid w:val="007C3C05"/>
    <w:rsid w:val="007C3DBC"/>
    <w:rsid w:val="007C47F1"/>
    <w:rsid w:val="007C4A4E"/>
    <w:rsid w:val="007C50B1"/>
    <w:rsid w:val="007C5DCF"/>
    <w:rsid w:val="007C7074"/>
    <w:rsid w:val="007D2303"/>
    <w:rsid w:val="007D2DBD"/>
    <w:rsid w:val="007D30F3"/>
    <w:rsid w:val="007D3125"/>
    <w:rsid w:val="007E15BB"/>
    <w:rsid w:val="007E16F1"/>
    <w:rsid w:val="007E4A5C"/>
    <w:rsid w:val="007E6753"/>
    <w:rsid w:val="007E7C27"/>
    <w:rsid w:val="007F0B28"/>
    <w:rsid w:val="007F0B3C"/>
    <w:rsid w:val="007F0ED1"/>
    <w:rsid w:val="007F293F"/>
    <w:rsid w:val="007F3C09"/>
    <w:rsid w:val="007F4A51"/>
    <w:rsid w:val="007F50C9"/>
    <w:rsid w:val="007F576C"/>
    <w:rsid w:val="007F6BB5"/>
    <w:rsid w:val="007F7D99"/>
    <w:rsid w:val="00801ED8"/>
    <w:rsid w:val="00803736"/>
    <w:rsid w:val="00804E98"/>
    <w:rsid w:val="00807E0E"/>
    <w:rsid w:val="00810192"/>
    <w:rsid w:val="00811295"/>
    <w:rsid w:val="0081656F"/>
    <w:rsid w:val="00821C16"/>
    <w:rsid w:val="008241F7"/>
    <w:rsid w:val="00830B57"/>
    <w:rsid w:val="00832BA3"/>
    <w:rsid w:val="00833B35"/>
    <w:rsid w:val="00835170"/>
    <w:rsid w:val="0083572C"/>
    <w:rsid w:val="008357CC"/>
    <w:rsid w:val="00837219"/>
    <w:rsid w:val="008409D8"/>
    <w:rsid w:val="008423C2"/>
    <w:rsid w:val="0084603E"/>
    <w:rsid w:val="00846097"/>
    <w:rsid w:val="00847929"/>
    <w:rsid w:val="008537D9"/>
    <w:rsid w:val="00853C19"/>
    <w:rsid w:val="008552B6"/>
    <w:rsid w:val="008567E6"/>
    <w:rsid w:val="00856CF5"/>
    <w:rsid w:val="0086043F"/>
    <w:rsid w:val="0086079C"/>
    <w:rsid w:val="00861A3F"/>
    <w:rsid w:val="00862F08"/>
    <w:rsid w:val="008631C8"/>
    <w:rsid w:val="00863CA3"/>
    <w:rsid w:val="008701BF"/>
    <w:rsid w:val="00870307"/>
    <w:rsid w:val="0087417D"/>
    <w:rsid w:val="00877D3A"/>
    <w:rsid w:val="008807B7"/>
    <w:rsid w:val="008808FA"/>
    <w:rsid w:val="008815DF"/>
    <w:rsid w:val="00884A2B"/>
    <w:rsid w:val="00885EC5"/>
    <w:rsid w:val="00890564"/>
    <w:rsid w:val="00890626"/>
    <w:rsid w:val="00891609"/>
    <w:rsid w:val="0089374E"/>
    <w:rsid w:val="008A0231"/>
    <w:rsid w:val="008A0A0F"/>
    <w:rsid w:val="008A3CF6"/>
    <w:rsid w:val="008A4C91"/>
    <w:rsid w:val="008A52BF"/>
    <w:rsid w:val="008A6534"/>
    <w:rsid w:val="008B35B9"/>
    <w:rsid w:val="008B3BC8"/>
    <w:rsid w:val="008B61A1"/>
    <w:rsid w:val="008B665D"/>
    <w:rsid w:val="008B79CD"/>
    <w:rsid w:val="008C3FC1"/>
    <w:rsid w:val="008C68D7"/>
    <w:rsid w:val="008C7A23"/>
    <w:rsid w:val="008D0635"/>
    <w:rsid w:val="008D0B16"/>
    <w:rsid w:val="008D1165"/>
    <w:rsid w:val="008D20ED"/>
    <w:rsid w:val="008D43BE"/>
    <w:rsid w:val="008D73E2"/>
    <w:rsid w:val="008E0EF2"/>
    <w:rsid w:val="008E17C0"/>
    <w:rsid w:val="008E2CE7"/>
    <w:rsid w:val="008E3411"/>
    <w:rsid w:val="008E3638"/>
    <w:rsid w:val="008E59B4"/>
    <w:rsid w:val="008E7D6E"/>
    <w:rsid w:val="008F5037"/>
    <w:rsid w:val="008F55FE"/>
    <w:rsid w:val="008F7F28"/>
    <w:rsid w:val="00900586"/>
    <w:rsid w:val="00904523"/>
    <w:rsid w:val="009057A7"/>
    <w:rsid w:val="00905E15"/>
    <w:rsid w:val="00906B3F"/>
    <w:rsid w:val="00906F6F"/>
    <w:rsid w:val="00915775"/>
    <w:rsid w:val="0091577D"/>
    <w:rsid w:val="009164CC"/>
    <w:rsid w:val="0092164B"/>
    <w:rsid w:val="0092193B"/>
    <w:rsid w:val="009228CF"/>
    <w:rsid w:val="0092360E"/>
    <w:rsid w:val="00924407"/>
    <w:rsid w:val="00926D45"/>
    <w:rsid w:val="009277A8"/>
    <w:rsid w:val="00932612"/>
    <w:rsid w:val="00932B36"/>
    <w:rsid w:val="00937302"/>
    <w:rsid w:val="00941729"/>
    <w:rsid w:val="00944BB4"/>
    <w:rsid w:val="00945C31"/>
    <w:rsid w:val="00946D72"/>
    <w:rsid w:val="00947647"/>
    <w:rsid w:val="00947A84"/>
    <w:rsid w:val="009530B8"/>
    <w:rsid w:val="00953F38"/>
    <w:rsid w:val="0095461B"/>
    <w:rsid w:val="00954FE5"/>
    <w:rsid w:val="00964952"/>
    <w:rsid w:val="00964E28"/>
    <w:rsid w:val="00967118"/>
    <w:rsid w:val="009676A5"/>
    <w:rsid w:val="00973DC2"/>
    <w:rsid w:val="009742A5"/>
    <w:rsid w:val="009752B7"/>
    <w:rsid w:val="00975B68"/>
    <w:rsid w:val="00981374"/>
    <w:rsid w:val="00983EB9"/>
    <w:rsid w:val="00984B1D"/>
    <w:rsid w:val="009875AE"/>
    <w:rsid w:val="009930E8"/>
    <w:rsid w:val="009965FC"/>
    <w:rsid w:val="00997B58"/>
    <w:rsid w:val="009A230F"/>
    <w:rsid w:val="009A41A4"/>
    <w:rsid w:val="009A5D09"/>
    <w:rsid w:val="009A6FCA"/>
    <w:rsid w:val="009A703B"/>
    <w:rsid w:val="009A7DB5"/>
    <w:rsid w:val="009A7E20"/>
    <w:rsid w:val="009B66BB"/>
    <w:rsid w:val="009C1400"/>
    <w:rsid w:val="009C2C95"/>
    <w:rsid w:val="009C4DF6"/>
    <w:rsid w:val="009C5C6D"/>
    <w:rsid w:val="009C5D61"/>
    <w:rsid w:val="009C6EA2"/>
    <w:rsid w:val="009C7003"/>
    <w:rsid w:val="009C7BE8"/>
    <w:rsid w:val="009D0976"/>
    <w:rsid w:val="009D0E6A"/>
    <w:rsid w:val="009D5F40"/>
    <w:rsid w:val="009D6B8A"/>
    <w:rsid w:val="009E0FB3"/>
    <w:rsid w:val="009E1A11"/>
    <w:rsid w:val="009E2018"/>
    <w:rsid w:val="009E2F1C"/>
    <w:rsid w:val="009E4127"/>
    <w:rsid w:val="009E4DC5"/>
    <w:rsid w:val="009E714A"/>
    <w:rsid w:val="009F1792"/>
    <w:rsid w:val="009F2303"/>
    <w:rsid w:val="009F448A"/>
    <w:rsid w:val="009F6B39"/>
    <w:rsid w:val="009F6C56"/>
    <w:rsid w:val="00A00226"/>
    <w:rsid w:val="00A00CAE"/>
    <w:rsid w:val="00A03789"/>
    <w:rsid w:val="00A053ED"/>
    <w:rsid w:val="00A11CC9"/>
    <w:rsid w:val="00A123D8"/>
    <w:rsid w:val="00A13ECD"/>
    <w:rsid w:val="00A14087"/>
    <w:rsid w:val="00A14742"/>
    <w:rsid w:val="00A1493C"/>
    <w:rsid w:val="00A15F7A"/>
    <w:rsid w:val="00A2043A"/>
    <w:rsid w:val="00A22D53"/>
    <w:rsid w:val="00A234D4"/>
    <w:rsid w:val="00A24170"/>
    <w:rsid w:val="00A24BF8"/>
    <w:rsid w:val="00A31430"/>
    <w:rsid w:val="00A32B08"/>
    <w:rsid w:val="00A3338A"/>
    <w:rsid w:val="00A34DA6"/>
    <w:rsid w:val="00A3616F"/>
    <w:rsid w:val="00A40208"/>
    <w:rsid w:val="00A40F70"/>
    <w:rsid w:val="00A42024"/>
    <w:rsid w:val="00A42F4F"/>
    <w:rsid w:val="00A44038"/>
    <w:rsid w:val="00A45B43"/>
    <w:rsid w:val="00A47E57"/>
    <w:rsid w:val="00A531F7"/>
    <w:rsid w:val="00A53954"/>
    <w:rsid w:val="00A65419"/>
    <w:rsid w:val="00A664A8"/>
    <w:rsid w:val="00A66B18"/>
    <w:rsid w:val="00A75A4D"/>
    <w:rsid w:val="00A76EE1"/>
    <w:rsid w:val="00A814A7"/>
    <w:rsid w:val="00A8574E"/>
    <w:rsid w:val="00A861AA"/>
    <w:rsid w:val="00A8662B"/>
    <w:rsid w:val="00A86AB6"/>
    <w:rsid w:val="00A935D1"/>
    <w:rsid w:val="00A944C8"/>
    <w:rsid w:val="00A95E62"/>
    <w:rsid w:val="00AA006F"/>
    <w:rsid w:val="00AA295A"/>
    <w:rsid w:val="00AA4CC9"/>
    <w:rsid w:val="00AA573E"/>
    <w:rsid w:val="00AA6473"/>
    <w:rsid w:val="00AA77BD"/>
    <w:rsid w:val="00AB26DF"/>
    <w:rsid w:val="00AB26EE"/>
    <w:rsid w:val="00AB31AE"/>
    <w:rsid w:val="00AB4C03"/>
    <w:rsid w:val="00AB6D73"/>
    <w:rsid w:val="00AC2E95"/>
    <w:rsid w:val="00AC43A3"/>
    <w:rsid w:val="00AC4624"/>
    <w:rsid w:val="00AC6ACE"/>
    <w:rsid w:val="00AD3190"/>
    <w:rsid w:val="00AD4F34"/>
    <w:rsid w:val="00AE069F"/>
    <w:rsid w:val="00AE5483"/>
    <w:rsid w:val="00AE5658"/>
    <w:rsid w:val="00AE6202"/>
    <w:rsid w:val="00AE62D5"/>
    <w:rsid w:val="00AF04BC"/>
    <w:rsid w:val="00AF1349"/>
    <w:rsid w:val="00AF14FC"/>
    <w:rsid w:val="00AF376C"/>
    <w:rsid w:val="00AF6D1B"/>
    <w:rsid w:val="00B00FE6"/>
    <w:rsid w:val="00B10B13"/>
    <w:rsid w:val="00B13D88"/>
    <w:rsid w:val="00B14DA8"/>
    <w:rsid w:val="00B175FD"/>
    <w:rsid w:val="00B20569"/>
    <w:rsid w:val="00B21A1D"/>
    <w:rsid w:val="00B231F5"/>
    <w:rsid w:val="00B234E3"/>
    <w:rsid w:val="00B23A53"/>
    <w:rsid w:val="00B23C0C"/>
    <w:rsid w:val="00B26EC9"/>
    <w:rsid w:val="00B273A9"/>
    <w:rsid w:val="00B32C68"/>
    <w:rsid w:val="00B37A70"/>
    <w:rsid w:val="00B40650"/>
    <w:rsid w:val="00B41D6F"/>
    <w:rsid w:val="00B432D0"/>
    <w:rsid w:val="00B4410E"/>
    <w:rsid w:val="00B444CF"/>
    <w:rsid w:val="00B45E77"/>
    <w:rsid w:val="00B52718"/>
    <w:rsid w:val="00B53E72"/>
    <w:rsid w:val="00B55AA4"/>
    <w:rsid w:val="00B62458"/>
    <w:rsid w:val="00B633AB"/>
    <w:rsid w:val="00B63CDE"/>
    <w:rsid w:val="00B64547"/>
    <w:rsid w:val="00B76002"/>
    <w:rsid w:val="00B769F2"/>
    <w:rsid w:val="00B77409"/>
    <w:rsid w:val="00B77A91"/>
    <w:rsid w:val="00B77A96"/>
    <w:rsid w:val="00B80442"/>
    <w:rsid w:val="00B80CF2"/>
    <w:rsid w:val="00B823A9"/>
    <w:rsid w:val="00B854D4"/>
    <w:rsid w:val="00BA21A3"/>
    <w:rsid w:val="00BA44DA"/>
    <w:rsid w:val="00BA496E"/>
    <w:rsid w:val="00BA52EC"/>
    <w:rsid w:val="00BB2ED0"/>
    <w:rsid w:val="00BB3962"/>
    <w:rsid w:val="00BB7866"/>
    <w:rsid w:val="00BB7CFA"/>
    <w:rsid w:val="00BC0411"/>
    <w:rsid w:val="00BC1FAD"/>
    <w:rsid w:val="00BC27F0"/>
    <w:rsid w:val="00BC378F"/>
    <w:rsid w:val="00BC7D8D"/>
    <w:rsid w:val="00BD3083"/>
    <w:rsid w:val="00BD5CEB"/>
    <w:rsid w:val="00BD60B3"/>
    <w:rsid w:val="00BE178F"/>
    <w:rsid w:val="00BE1CBB"/>
    <w:rsid w:val="00BE2D02"/>
    <w:rsid w:val="00BE4187"/>
    <w:rsid w:val="00BE4639"/>
    <w:rsid w:val="00BE4668"/>
    <w:rsid w:val="00BF707D"/>
    <w:rsid w:val="00BF7AB2"/>
    <w:rsid w:val="00C0133A"/>
    <w:rsid w:val="00C056FE"/>
    <w:rsid w:val="00C12DEE"/>
    <w:rsid w:val="00C13A64"/>
    <w:rsid w:val="00C149ED"/>
    <w:rsid w:val="00C156AA"/>
    <w:rsid w:val="00C162E9"/>
    <w:rsid w:val="00C207AD"/>
    <w:rsid w:val="00C21AE3"/>
    <w:rsid w:val="00C27787"/>
    <w:rsid w:val="00C3016D"/>
    <w:rsid w:val="00C32C39"/>
    <w:rsid w:val="00C337FD"/>
    <w:rsid w:val="00C34CDE"/>
    <w:rsid w:val="00C40D2F"/>
    <w:rsid w:val="00C41497"/>
    <w:rsid w:val="00C432D5"/>
    <w:rsid w:val="00C47780"/>
    <w:rsid w:val="00C52110"/>
    <w:rsid w:val="00C536A6"/>
    <w:rsid w:val="00C54030"/>
    <w:rsid w:val="00C56316"/>
    <w:rsid w:val="00C56674"/>
    <w:rsid w:val="00C57DB3"/>
    <w:rsid w:val="00C57DF3"/>
    <w:rsid w:val="00C606F0"/>
    <w:rsid w:val="00C62587"/>
    <w:rsid w:val="00C62900"/>
    <w:rsid w:val="00C62E2B"/>
    <w:rsid w:val="00C65DD6"/>
    <w:rsid w:val="00C65FD6"/>
    <w:rsid w:val="00C73C84"/>
    <w:rsid w:val="00C74528"/>
    <w:rsid w:val="00C764DD"/>
    <w:rsid w:val="00C80E30"/>
    <w:rsid w:val="00C8160A"/>
    <w:rsid w:val="00C81A36"/>
    <w:rsid w:val="00C844D6"/>
    <w:rsid w:val="00C8711E"/>
    <w:rsid w:val="00C87A19"/>
    <w:rsid w:val="00C90FBA"/>
    <w:rsid w:val="00C918C7"/>
    <w:rsid w:val="00C93A8F"/>
    <w:rsid w:val="00C93F07"/>
    <w:rsid w:val="00C95CAF"/>
    <w:rsid w:val="00CA1153"/>
    <w:rsid w:val="00CA425A"/>
    <w:rsid w:val="00CA4F62"/>
    <w:rsid w:val="00CA5385"/>
    <w:rsid w:val="00CA6A7F"/>
    <w:rsid w:val="00CB0350"/>
    <w:rsid w:val="00CB04AD"/>
    <w:rsid w:val="00CB18A3"/>
    <w:rsid w:val="00CB37A4"/>
    <w:rsid w:val="00CB6FA9"/>
    <w:rsid w:val="00CC2139"/>
    <w:rsid w:val="00CC265A"/>
    <w:rsid w:val="00CC5AAD"/>
    <w:rsid w:val="00CC5CCB"/>
    <w:rsid w:val="00CD0CA0"/>
    <w:rsid w:val="00CD1B95"/>
    <w:rsid w:val="00CD22B6"/>
    <w:rsid w:val="00CD3575"/>
    <w:rsid w:val="00CD5B39"/>
    <w:rsid w:val="00CD6A6D"/>
    <w:rsid w:val="00CE0D5D"/>
    <w:rsid w:val="00CE1C57"/>
    <w:rsid w:val="00CE5537"/>
    <w:rsid w:val="00CE5A07"/>
    <w:rsid w:val="00CE7172"/>
    <w:rsid w:val="00CF0863"/>
    <w:rsid w:val="00CF0AC8"/>
    <w:rsid w:val="00CF1AF2"/>
    <w:rsid w:val="00CF22F5"/>
    <w:rsid w:val="00CF62F2"/>
    <w:rsid w:val="00CF6E42"/>
    <w:rsid w:val="00CF7BDB"/>
    <w:rsid w:val="00D03C09"/>
    <w:rsid w:val="00D0520D"/>
    <w:rsid w:val="00D06037"/>
    <w:rsid w:val="00D066F1"/>
    <w:rsid w:val="00D07908"/>
    <w:rsid w:val="00D20B3D"/>
    <w:rsid w:val="00D241A0"/>
    <w:rsid w:val="00D245EC"/>
    <w:rsid w:val="00D24D11"/>
    <w:rsid w:val="00D32145"/>
    <w:rsid w:val="00D34294"/>
    <w:rsid w:val="00D34BB1"/>
    <w:rsid w:val="00D34D18"/>
    <w:rsid w:val="00D354C0"/>
    <w:rsid w:val="00D358C3"/>
    <w:rsid w:val="00D428B5"/>
    <w:rsid w:val="00D43F13"/>
    <w:rsid w:val="00D444C4"/>
    <w:rsid w:val="00D4534A"/>
    <w:rsid w:val="00D462A0"/>
    <w:rsid w:val="00D46A91"/>
    <w:rsid w:val="00D46D1A"/>
    <w:rsid w:val="00D47208"/>
    <w:rsid w:val="00D50F46"/>
    <w:rsid w:val="00D53D99"/>
    <w:rsid w:val="00D557BC"/>
    <w:rsid w:val="00D60D66"/>
    <w:rsid w:val="00D630A0"/>
    <w:rsid w:val="00D662CD"/>
    <w:rsid w:val="00D6798C"/>
    <w:rsid w:val="00D70C31"/>
    <w:rsid w:val="00D70D55"/>
    <w:rsid w:val="00D710B1"/>
    <w:rsid w:val="00D718F3"/>
    <w:rsid w:val="00D71A04"/>
    <w:rsid w:val="00D767BC"/>
    <w:rsid w:val="00D7688C"/>
    <w:rsid w:val="00D820DC"/>
    <w:rsid w:val="00D85CCB"/>
    <w:rsid w:val="00D87169"/>
    <w:rsid w:val="00D901E3"/>
    <w:rsid w:val="00D924E3"/>
    <w:rsid w:val="00D92F3E"/>
    <w:rsid w:val="00D93229"/>
    <w:rsid w:val="00D93B39"/>
    <w:rsid w:val="00D946CC"/>
    <w:rsid w:val="00D957BB"/>
    <w:rsid w:val="00D958DE"/>
    <w:rsid w:val="00D96218"/>
    <w:rsid w:val="00D96582"/>
    <w:rsid w:val="00D97206"/>
    <w:rsid w:val="00DA0C0D"/>
    <w:rsid w:val="00DA6F9F"/>
    <w:rsid w:val="00DA72F3"/>
    <w:rsid w:val="00DA763C"/>
    <w:rsid w:val="00DB23F9"/>
    <w:rsid w:val="00DB520D"/>
    <w:rsid w:val="00DB5E1A"/>
    <w:rsid w:val="00DB64C6"/>
    <w:rsid w:val="00DB6526"/>
    <w:rsid w:val="00DC20F9"/>
    <w:rsid w:val="00DC2262"/>
    <w:rsid w:val="00DC304E"/>
    <w:rsid w:val="00DC51E1"/>
    <w:rsid w:val="00DC69D5"/>
    <w:rsid w:val="00DC6FE1"/>
    <w:rsid w:val="00DC7757"/>
    <w:rsid w:val="00DC7BCA"/>
    <w:rsid w:val="00DD248A"/>
    <w:rsid w:val="00DD4194"/>
    <w:rsid w:val="00DD4C25"/>
    <w:rsid w:val="00DD549C"/>
    <w:rsid w:val="00DE2328"/>
    <w:rsid w:val="00DE3002"/>
    <w:rsid w:val="00DE445B"/>
    <w:rsid w:val="00DE5245"/>
    <w:rsid w:val="00DF2392"/>
    <w:rsid w:val="00DF61C5"/>
    <w:rsid w:val="00DF693C"/>
    <w:rsid w:val="00DF7F68"/>
    <w:rsid w:val="00E00448"/>
    <w:rsid w:val="00E059F4"/>
    <w:rsid w:val="00E0608D"/>
    <w:rsid w:val="00E07659"/>
    <w:rsid w:val="00E07B49"/>
    <w:rsid w:val="00E12833"/>
    <w:rsid w:val="00E13003"/>
    <w:rsid w:val="00E1300D"/>
    <w:rsid w:val="00E14E7A"/>
    <w:rsid w:val="00E22CA2"/>
    <w:rsid w:val="00E326C4"/>
    <w:rsid w:val="00E33423"/>
    <w:rsid w:val="00E35EC5"/>
    <w:rsid w:val="00E3737B"/>
    <w:rsid w:val="00E41945"/>
    <w:rsid w:val="00E420C4"/>
    <w:rsid w:val="00E429BE"/>
    <w:rsid w:val="00E44F40"/>
    <w:rsid w:val="00E5341B"/>
    <w:rsid w:val="00E5440F"/>
    <w:rsid w:val="00E55F21"/>
    <w:rsid w:val="00E57108"/>
    <w:rsid w:val="00E62A23"/>
    <w:rsid w:val="00E62D49"/>
    <w:rsid w:val="00E63647"/>
    <w:rsid w:val="00E65D46"/>
    <w:rsid w:val="00E666E3"/>
    <w:rsid w:val="00E66F29"/>
    <w:rsid w:val="00E6780A"/>
    <w:rsid w:val="00E67EB8"/>
    <w:rsid w:val="00E717B2"/>
    <w:rsid w:val="00E719CF"/>
    <w:rsid w:val="00E72C61"/>
    <w:rsid w:val="00E736A7"/>
    <w:rsid w:val="00E738CC"/>
    <w:rsid w:val="00E74BA0"/>
    <w:rsid w:val="00E74F36"/>
    <w:rsid w:val="00E7555F"/>
    <w:rsid w:val="00E760C7"/>
    <w:rsid w:val="00E803BE"/>
    <w:rsid w:val="00E80637"/>
    <w:rsid w:val="00E81A66"/>
    <w:rsid w:val="00E81C80"/>
    <w:rsid w:val="00E8217C"/>
    <w:rsid w:val="00E82257"/>
    <w:rsid w:val="00E8487E"/>
    <w:rsid w:val="00E90293"/>
    <w:rsid w:val="00E92CDD"/>
    <w:rsid w:val="00E93544"/>
    <w:rsid w:val="00E95A45"/>
    <w:rsid w:val="00E96025"/>
    <w:rsid w:val="00E9682B"/>
    <w:rsid w:val="00E97BAB"/>
    <w:rsid w:val="00EA028D"/>
    <w:rsid w:val="00EA6BB6"/>
    <w:rsid w:val="00EB3459"/>
    <w:rsid w:val="00EB4CBA"/>
    <w:rsid w:val="00EB5252"/>
    <w:rsid w:val="00EB5757"/>
    <w:rsid w:val="00EB5A41"/>
    <w:rsid w:val="00EC094C"/>
    <w:rsid w:val="00EC110B"/>
    <w:rsid w:val="00EC13CD"/>
    <w:rsid w:val="00EC2E8F"/>
    <w:rsid w:val="00EC4C91"/>
    <w:rsid w:val="00EC6847"/>
    <w:rsid w:val="00ED16CD"/>
    <w:rsid w:val="00ED696C"/>
    <w:rsid w:val="00ED69DB"/>
    <w:rsid w:val="00ED6ABD"/>
    <w:rsid w:val="00EE02CB"/>
    <w:rsid w:val="00EE140F"/>
    <w:rsid w:val="00EE3E63"/>
    <w:rsid w:val="00EE4256"/>
    <w:rsid w:val="00EE42E3"/>
    <w:rsid w:val="00EE7763"/>
    <w:rsid w:val="00EE7BBA"/>
    <w:rsid w:val="00EF0772"/>
    <w:rsid w:val="00EF2984"/>
    <w:rsid w:val="00EF3F85"/>
    <w:rsid w:val="00F07D6D"/>
    <w:rsid w:val="00F13997"/>
    <w:rsid w:val="00F13C32"/>
    <w:rsid w:val="00F14AB4"/>
    <w:rsid w:val="00F177AE"/>
    <w:rsid w:val="00F17889"/>
    <w:rsid w:val="00F17979"/>
    <w:rsid w:val="00F20A34"/>
    <w:rsid w:val="00F22932"/>
    <w:rsid w:val="00F25510"/>
    <w:rsid w:val="00F26C05"/>
    <w:rsid w:val="00F30967"/>
    <w:rsid w:val="00F31DD9"/>
    <w:rsid w:val="00F322F3"/>
    <w:rsid w:val="00F32D93"/>
    <w:rsid w:val="00F33090"/>
    <w:rsid w:val="00F34137"/>
    <w:rsid w:val="00F35E39"/>
    <w:rsid w:val="00F35EBA"/>
    <w:rsid w:val="00F36E52"/>
    <w:rsid w:val="00F40043"/>
    <w:rsid w:val="00F40BCB"/>
    <w:rsid w:val="00F41479"/>
    <w:rsid w:val="00F430D3"/>
    <w:rsid w:val="00F4631D"/>
    <w:rsid w:val="00F47939"/>
    <w:rsid w:val="00F512D4"/>
    <w:rsid w:val="00F51AAD"/>
    <w:rsid w:val="00F553C3"/>
    <w:rsid w:val="00F55F24"/>
    <w:rsid w:val="00F563BE"/>
    <w:rsid w:val="00F61150"/>
    <w:rsid w:val="00F66166"/>
    <w:rsid w:val="00F6655A"/>
    <w:rsid w:val="00F67967"/>
    <w:rsid w:val="00F72F56"/>
    <w:rsid w:val="00F743B4"/>
    <w:rsid w:val="00F74B56"/>
    <w:rsid w:val="00F77DF8"/>
    <w:rsid w:val="00F80707"/>
    <w:rsid w:val="00F81D6A"/>
    <w:rsid w:val="00F82D5A"/>
    <w:rsid w:val="00F83180"/>
    <w:rsid w:val="00F84D13"/>
    <w:rsid w:val="00F84E67"/>
    <w:rsid w:val="00F86544"/>
    <w:rsid w:val="00F87497"/>
    <w:rsid w:val="00F92DC1"/>
    <w:rsid w:val="00F941B1"/>
    <w:rsid w:val="00F97687"/>
    <w:rsid w:val="00FA0E1A"/>
    <w:rsid w:val="00FA3A2E"/>
    <w:rsid w:val="00FA525B"/>
    <w:rsid w:val="00FA6B30"/>
    <w:rsid w:val="00FA7085"/>
    <w:rsid w:val="00FB2926"/>
    <w:rsid w:val="00FB2E05"/>
    <w:rsid w:val="00FB2E0C"/>
    <w:rsid w:val="00FC0DBB"/>
    <w:rsid w:val="00FC25DB"/>
    <w:rsid w:val="00FC28BA"/>
    <w:rsid w:val="00FC443C"/>
    <w:rsid w:val="00FC4F7B"/>
    <w:rsid w:val="00FC7ECE"/>
    <w:rsid w:val="00FD0707"/>
    <w:rsid w:val="00FD4747"/>
    <w:rsid w:val="00FD670B"/>
    <w:rsid w:val="00FD7883"/>
    <w:rsid w:val="00FE1159"/>
    <w:rsid w:val="00FE14C5"/>
    <w:rsid w:val="00FE3C52"/>
    <w:rsid w:val="00FE6EBD"/>
    <w:rsid w:val="00FE75FE"/>
    <w:rsid w:val="00FF1003"/>
    <w:rsid w:val="00FF2F60"/>
    <w:rsid w:val="00FF423C"/>
    <w:rsid w:val="00FF44CE"/>
    <w:rsid w:val="00FF72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5" w:uiPriority="39"/>
    <w:lsdException w:name="footer" w:uiPriority="99"/>
    <w:lsdException w:name="caption" w:semiHidden="1" w:unhideWhenUsed="1" w:qFormat="1"/>
    <w:lsdException w:name="table of figures" w:uiPriority="99"/>
    <w:lsdException w:name="page number" w:uiPriority="99"/>
    <w:lsdException w:name="Title" w:uiPriority="99" w:qFormat="1"/>
    <w:lsdException w:name="Default Paragraph Font" w:uiPriority="1"/>
    <w:lsdException w:name="Body Text" w:uiPriority="99"/>
    <w:lsdException w:name="Body Text Inden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767"/>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9D0976"/>
    <w:pPr>
      <w:keepNext/>
      <w:spacing w:before="240" w:after="120"/>
      <w:ind w:left="907" w:hanging="907"/>
      <w:outlineLvl w:val="2"/>
    </w:pPr>
    <w:rPr>
      <w:rFonts w:cs="Arial"/>
      <w:b/>
      <w:bCs/>
      <w:i/>
      <w:iCs/>
      <w:szCs w:val="22"/>
      <w:lang w:val="en-CA"/>
    </w:rPr>
  </w:style>
  <w:style w:type="paragraph" w:styleId="Heading4">
    <w:name w:val="heading 4"/>
    <w:basedOn w:val="Normal"/>
    <w:next w:val="Normal"/>
    <w:qFormat/>
    <w:rsid w:val="0048430B"/>
    <w:pPr>
      <w:keepNext/>
      <w:spacing w:before="120" w:after="240"/>
      <w:ind w:left="-86"/>
      <w:outlineLvl w:val="3"/>
    </w:pPr>
    <w:rPr>
      <w:rFonts w:cs="Arial"/>
      <w:b/>
      <w:bCs/>
      <w:szCs w:val="22"/>
      <w:u w:val="single"/>
    </w:rPr>
  </w:style>
  <w:style w:type="paragraph" w:styleId="Heading5">
    <w:name w:val="heading 5"/>
    <w:basedOn w:val="Normal"/>
    <w:next w:val="Normal"/>
    <w:qFormat/>
    <w:rsid w:val="00592720"/>
    <w:pPr>
      <w:keepNext/>
      <w:widowControl w:val="0"/>
      <w:spacing w:before="120" w:after="12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E5440F"/>
    <w:pPr>
      <w:numPr>
        <w:numId w:val="15"/>
      </w:numPr>
      <w:spacing w:after="120" w:line="360" w:lineRule="auto"/>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7F0B28"/>
    <w:rPr>
      <w:rFonts w:ascii="Times New Roman Bold" w:hAnsi="Times New Roman Bold"/>
      <w:b/>
      <w:bCs/>
      <w:caps/>
      <w:sz w:val="24"/>
      <w:szCs w:val="24"/>
    </w:rPr>
  </w:style>
  <w:style w:type="character" w:customStyle="1" w:styleId="Heading2Char">
    <w:name w:val="Heading 2 Char"/>
    <w:basedOn w:val="DefaultParagraphFont"/>
    <w:link w:val="Heading2"/>
    <w:locked/>
    <w:rsid w:val="007F0B28"/>
    <w:rPr>
      <w:rFonts w:cs="Arial"/>
      <w:b/>
      <w:bCs/>
      <w:iCs/>
      <w:sz w:val="24"/>
      <w:szCs w:val="28"/>
    </w:rPr>
  </w:style>
  <w:style w:type="paragraph" w:styleId="BodyTextIndent">
    <w:name w:val="Body Text Indent"/>
    <w:basedOn w:val="Normal"/>
    <w:link w:val="BodyTextIndentChar"/>
    <w:uiPriority w:val="99"/>
    <w:rsid w:val="007F0B28"/>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7F0B28"/>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7F0B28"/>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7F0B28"/>
  </w:style>
  <w:style w:type="paragraph" w:styleId="BodyText">
    <w:name w:val="Body Text"/>
    <w:basedOn w:val="Normal"/>
    <w:link w:val="BodyTextChar"/>
    <w:uiPriority w:val="99"/>
    <w:rsid w:val="007F0B28"/>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7F0B28"/>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locked/>
    <w:rsid w:val="007F0B28"/>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7F0B28"/>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customStyle="1" w:styleId="Cover-Title">
    <w:name w:val="Cover-Title"/>
    <w:basedOn w:val="Normal"/>
    <w:qFormat/>
    <w:rsid w:val="007F0B28"/>
    <w:rPr>
      <w:rFonts w:ascii="Arial" w:hAnsi="Arial" w:cs="Arial"/>
      <w:b/>
      <w:bCs/>
      <w:color w:val="000000"/>
      <w:spacing w:val="-6"/>
      <w:sz w:val="60"/>
      <w:szCs w:val="60"/>
    </w:rPr>
  </w:style>
  <w:style w:type="paragraph" w:customStyle="1" w:styleId="aboxtxt">
    <w:name w:val="abox_txt"/>
    <w:qFormat/>
    <w:rsid w:val="007F0B28"/>
    <w:pPr>
      <w:framePr w:hSpace="144" w:wrap="around" w:vAnchor="text" w:hAnchor="text" w:xAlign="right" w:y="1"/>
      <w:spacing w:before="20" w:after="20"/>
      <w:suppressOverlap/>
    </w:pPr>
    <w:rPr>
      <w:rFonts w:ascii="Arial" w:hAnsi="Arial"/>
      <w:sz w:val="18"/>
    </w:rPr>
  </w:style>
  <w:style w:type="paragraph" w:customStyle="1" w:styleId="aboxhdg">
    <w:name w:val="abox_hdg"/>
    <w:qFormat/>
    <w:rsid w:val="007F0B28"/>
    <w:pPr>
      <w:framePr w:hSpace="144" w:wrap="around" w:vAnchor="text" w:hAnchor="text" w:xAlign="right" w:y="1"/>
      <w:spacing w:before="60" w:after="40"/>
      <w:suppressOverlap/>
      <w:jc w:val="center"/>
    </w:pPr>
    <w:rPr>
      <w:rFonts w:ascii="Arial" w:hAnsi="Arial"/>
      <w:b/>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paragraph" w:customStyle="1" w:styleId="bodytextpsg">
    <w:name w:val="body text_psg"/>
    <w:basedOn w:val="Normal"/>
    <w:link w:val="bodytextpsgCharChar"/>
    <w:rsid w:val="007F0B28"/>
    <w:pPr>
      <w:spacing w:after="240"/>
      <w:ind w:firstLine="720"/>
    </w:pPr>
    <w:rPr>
      <w:sz w:val="22"/>
      <w:szCs w:val="20"/>
    </w:rPr>
  </w:style>
  <w:style w:type="character" w:customStyle="1" w:styleId="bodytextpsgCharChar">
    <w:name w:val="body text_psg Char Char"/>
    <w:basedOn w:val="DefaultParagraphFont"/>
    <w:link w:val="bodytextpsg"/>
    <w:rsid w:val="007F0B28"/>
    <w:rPr>
      <w:sz w:val="22"/>
    </w:rPr>
  </w:style>
  <w:style w:type="paragraph" w:styleId="ListParagraph">
    <w:name w:val="List Paragraph"/>
    <w:basedOn w:val="Normal"/>
    <w:uiPriority w:val="34"/>
    <w:qFormat/>
    <w:rsid w:val="007F0B28"/>
    <w:pPr>
      <w:ind w:left="720"/>
      <w:contextualSpacing/>
    </w:pPr>
  </w:style>
  <w:style w:type="character" w:styleId="CommentReference">
    <w:name w:val="annotation reference"/>
    <w:basedOn w:val="DefaultParagraphFont"/>
    <w:rsid w:val="007F0B28"/>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7F0B28"/>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7F0B28"/>
  </w:style>
  <w:style w:type="paragraph" w:styleId="CommentSubject">
    <w:name w:val="annotation subject"/>
    <w:basedOn w:val="CommentText"/>
    <w:next w:val="CommentText"/>
    <w:link w:val="CommentSubjectChar"/>
    <w:rsid w:val="007F0B28"/>
    <w:rPr>
      <w:b/>
      <w:bCs/>
    </w:rPr>
  </w:style>
  <w:style w:type="character" w:customStyle="1" w:styleId="CommentSubjectChar">
    <w:name w:val="Comment Subject Char"/>
    <w:basedOn w:val="CommentTextChar"/>
    <w:link w:val="CommentSubject"/>
    <w:rsid w:val="007F0B28"/>
    <w:rPr>
      <w:b/>
      <w:bCs/>
    </w:rPr>
  </w:style>
  <w:style w:type="paragraph" w:customStyle="1" w:styleId="Bulletblank">
    <w:name w:val="Bullet_blank"/>
    <w:basedOn w:val="bullets"/>
    <w:qFormat/>
    <w:rsid w:val="007F0B28"/>
  </w:style>
  <w:style w:type="paragraph" w:customStyle="1" w:styleId="FootnoteText1">
    <w:name w:val="Footnote Text1"/>
    <w:rsid w:val="007F0B28"/>
    <w:pPr>
      <w:autoSpaceDE w:val="0"/>
      <w:autoSpaceDN w:val="0"/>
      <w:adjustRightInd w:val="0"/>
    </w:pPr>
  </w:style>
  <w:style w:type="paragraph" w:customStyle="1" w:styleId="bulletslast">
    <w:name w:val="bullets_last"/>
    <w:basedOn w:val="bullets"/>
    <w:qFormat/>
    <w:rsid w:val="007F0B28"/>
    <w:pPr>
      <w:spacing w:after="240" w:line="240" w:lineRule="auto"/>
    </w:pPr>
    <w:rPr>
      <w:color w:val="auto"/>
      <w:sz w:val="22"/>
      <w:szCs w:val="20"/>
    </w:rPr>
  </w:style>
  <w:style w:type="character" w:customStyle="1" w:styleId="apple-style-span">
    <w:name w:val="apple-style-span"/>
    <w:basedOn w:val="DefaultParagraphFont"/>
    <w:rsid w:val="007F0B28"/>
  </w:style>
  <w:style w:type="character" w:customStyle="1" w:styleId="apple-converted-space">
    <w:name w:val="apple-converted-space"/>
    <w:basedOn w:val="DefaultParagraphFont"/>
    <w:rsid w:val="007F0B28"/>
  </w:style>
  <w:style w:type="paragraph" w:customStyle="1" w:styleId="Default">
    <w:name w:val="Default"/>
    <w:uiPriority w:val="99"/>
    <w:rsid w:val="007F0B28"/>
    <w:pPr>
      <w:autoSpaceDE w:val="0"/>
      <w:autoSpaceDN w:val="0"/>
      <w:adjustRightInd w:val="0"/>
    </w:pPr>
    <w:rPr>
      <w:rFonts w:ascii="News Gothic" w:hAnsi="News Gothic" w:cs="News Gothic"/>
      <w:color w:val="000000"/>
      <w:sz w:val="24"/>
      <w:szCs w:val="24"/>
    </w:rPr>
  </w:style>
  <w:style w:type="character" w:customStyle="1" w:styleId="A6">
    <w:name w:val="A6"/>
    <w:uiPriority w:val="99"/>
    <w:rsid w:val="007F0B28"/>
    <w:rPr>
      <w:rFonts w:cs="Minion"/>
      <w:color w:val="000000"/>
      <w:sz w:val="11"/>
      <w:szCs w:val="11"/>
    </w:rPr>
  </w:style>
  <w:style w:type="character" w:styleId="FollowedHyperlink">
    <w:name w:val="FollowedHyperlink"/>
    <w:basedOn w:val="DefaultParagraphFont"/>
    <w:rsid w:val="007F0B28"/>
    <w:rPr>
      <w:color w:val="800080"/>
      <w:u w:val="single"/>
    </w:rPr>
  </w:style>
  <w:style w:type="character" w:customStyle="1" w:styleId="Footer1">
    <w:name w:val="Footer1"/>
    <w:basedOn w:val="DefaultParagraphFont"/>
    <w:rsid w:val="007F0B28"/>
  </w:style>
  <w:style w:type="paragraph" w:customStyle="1" w:styleId="ExhibitTitle">
    <w:name w:val="Exhibit Title"/>
    <w:basedOn w:val="FigureTitle"/>
    <w:qFormat/>
    <w:rsid w:val="00592720"/>
    <w:pPr>
      <w:spacing w:line="360" w:lineRule="auto"/>
      <w:contextualSpacing/>
    </w:pPr>
    <w:rPr>
      <w:snapToGrid w:val="0"/>
      <w:sz w:val="22"/>
      <w:szCs w:val="22"/>
    </w:rPr>
  </w:style>
  <w:style w:type="paragraph" w:customStyle="1" w:styleId="Style1">
    <w:name w:val="Style1"/>
    <w:basedOn w:val="Normal"/>
    <w:qFormat/>
    <w:rsid w:val="00592720"/>
    <w:rPr>
      <w:bCs/>
      <w:sz w:val="20"/>
    </w:rPr>
  </w:style>
  <w:style w:type="paragraph" w:customStyle="1" w:styleId="Tabletext">
    <w:name w:val="Table text"/>
    <w:basedOn w:val="Normal"/>
    <w:qFormat/>
    <w:rsid w:val="009D0976"/>
    <w:pPr>
      <w:autoSpaceDE w:val="0"/>
      <w:autoSpaceDN w:val="0"/>
      <w:spacing w:before="80" w:after="80"/>
      <w:contextualSpacing/>
    </w:pPr>
    <w:rPr>
      <w:bCs/>
      <w:sz w:val="22"/>
      <w:szCs w:val="22"/>
    </w:rPr>
  </w:style>
  <w:style w:type="paragraph" w:customStyle="1" w:styleId="bulletsblank">
    <w:name w:val="bullets blank"/>
    <w:basedOn w:val="bodytext0"/>
    <w:qFormat/>
    <w:rsid w:val="00076767"/>
    <w:pPr>
      <w:ind w:left="1350" w:hanging="630"/>
      <w:contextualSpacing/>
    </w:pPr>
    <w:rPr>
      <w:szCs w:val="22"/>
    </w:rPr>
  </w:style>
  <w:style w:type="table" w:styleId="TableList3">
    <w:name w:val="Table List 3"/>
    <w:basedOn w:val="TableNormal"/>
    <w:rsid w:val="00E5440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ppHeadingSub1">
    <w:name w:val="App Heading Sub1"/>
    <w:basedOn w:val="Normal"/>
    <w:qFormat/>
    <w:rsid w:val="002C66D1"/>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olor w:val="0A357E"/>
      <w:kern w:val="28"/>
      <w:sz w:val="36"/>
      <w:szCs w:val="20"/>
    </w:rPr>
  </w:style>
  <w:style w:type="paragraph" w:styleId="Revision">
    <w:name w:val="Revision"/>
    <w:hidden/>
    <w:uiPriority w:val="99"/>
    <w:semiHidden/>
    <w:rsid w:val="009930E8"/>
    <w:rPr>
      <w:sz w:val="24"/>
      <w:szCs w:val="24"/>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0">
    <w:name w:val="body text"/>
    <w:basedOn w:val="Normal"/>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character" w:customStyle="1" w:styleId="EmailStyle80">
    <w:name w:val="EmailStyle801"/>
    <w:aliases w:val="EmailStyle801"/>
    <w:basedOn w:val="DefaultParagraphFont"/>
    <w:semiHidden/>
    <w:personal/>
    <w:personalReply/>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basedOn w:val="DefaultParagraphFont"/>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BodyText2">
    <w:name w:val="Body Text 2"/>
    <w:basedOn w:val="Normal"/>
    <w:link w:val="BodyText2Char"/>
    <w:rsid w:val="009228CF"/>
    <w:pPr>
      <w:spacing w:after="120" w:line="480" w:lineRule="auto"/>
    </w:pPr>
  </w:style>
  <w:style w:type="character" w:customStyle="1" w:styleId="BodyText2Char">
    <w:name w:val="Body Text 2 Char"/>
    <w:basedOn w:val="DefaultParagraphFont"/>
    <w:link w:val="BodyText2"/>
    <w:rsid w:val="009228CF"/>
    <w:rPr>
      <w:sz w:val="24"/>
      <w:szCs w:val="24"/>
    </w:rPr>
  </w:style>
  <w:style w:type="paragraph" w:customStyle="1" w:styleId="Tablehead">
    <w:name w:val="Tablehead"/>
    <w:basedOn w:val="NormalWeb"/>
    <w:rsid w:val="009228CF"/>
    <w:pPr>
      <w:spacing w:line="480" w:lineRule="auto"/>
    </w:pPr>
    <w:rPr>
      <w:rFonts w:ascii="Times New Roman" w:hAnsi="Times New Roman" w:cs="Times New Roman"/>
      <w:color w:val="auto"/>
    </w:rPr>
  </w:style>
  <w:style w:type="character" w:customStyle="1" w:styleId="il">
    <w:name w:val="il"/>
    <w:basedOn w:val="DefaultParagraphFont"/>
    <w:rsid w:val="00D96582"/>
  </w:style>
</w:styles>
</file>

<file path=word/webSettings.xml><?xml version="1.0" encoding="utf-8"?>
<w:webSettings xmlns:r="http://schemas.openxmlformats.org/officeDocument/2006/relationships" xmlns:w="http://schemas.openxmlformats.org/wordprocessingml/2006/main">
  <w:divs>
    <w:div w:id="86002186">
      <w:bodyDiv w:val="1"/>
      <w:marLeft w:val="0"/>
      <w:marRight w:val="0"/>
      <w:marTop w:val="0"/>
      <w:marBottom w:val="0"/>
      <w:divBdr>
        <w:top w:val="none" w:sz="0" w:space="0" w:color="auto"/>
        <w:left w:val="none" w:sz="0" w:space="0" w:color="auto"/>
        <w:bottom w:val="none" w:sz="0" w:space="0" w:color="auto"/>
        <w:right w:val="none" w:sz="0" w:space="0" w:color="auto"/>
      </w:divBdr>
    </w:div>
    <w:div w:id="292253865">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467552988">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561644742">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69952274">
      <w:bodyDiv w:val="1"/>
      <w:marLeft w:val="0"/>
      <w:marRight w:val="0"/>
      <w:marTop w:val="0"/>
      <w:marBottom w:val="0"/>
      <w:divBdr>
        <w:top w:val="none" w:sz="0" w:space="0" w:color="auto"/>
        <w:left w:val="none" w:sz="0" w:space="0" w:color="auto"/>
        <w:bottom w:val="none" w:sz="0" w:space="0" w:color="auto"/>
        <w:right w:val="none" w:sz="0" w:space="0" w:color="auto"/>
      </w:divBdr>
    </w:div>
    <w:div w:id="1151556313">
      <w:bodyDiv w:val="1"/>
      <w:marLeft w:val="0"/>
      <w:marRight w:val="0"/>
      <w:marTop w:val="0"/>
      <w:marBottom w:val="0"/>
      <w:divBdr>
        <w:top w:val="none" w:sz="0" w:space="0" w:color="auto"/>
        <w:left w:val="none" w:sz="0" w:space="0" w:color="auto"/>
        <w:bottom w:val="none" w:sz="0" w:space="0" w:color="auto"/>
        <w:right w:val="none" w:sz="0" w:space="0" w:color="auto"/>
      </w:divBdr>
    </w:div>
    <w:div w:id="1379092380">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5169">
      <w:bodyDiv w:val="1"/>
      <w:marLeft w:val="0"/>
      <w:marRight w:val="0"/>
      <w:marTop w:val="0"/>
      <w:marBottom w:val="0"/>
      <w:divBdr>
        <w:top w:val="none" w:sz="0" w:space="0" w:color="auto"/>
        <w:left w:val="none" w:sz="0" w:space="0" w:color="auto"/>
        <w:bottom w:val="none" w:sz="0" w:space="0" w:color="auto"/>
        <w:right w:val="none" w:sz="0" w:space="0" w:color="auto"/>
      </w:divBdr>
    </w:div>
    <w:div w:id="1597858939">
      <w:bodyDiv w:val="1"/>
      <w:marLeft w:val="0"/>
      <w:marRight w:val="0"/>
      <w:marTop w:val="0"/>
      <w:marBottom w:val="0"/>
      <w:divBdr>
        <w:top w:val="none" w:sz="0" w:space="0" w:color="auto"/>
        <w:left w:val="none" w:sz="0" w:space="0" w:color="auto"/>
        <w:bottom w:val="none" w:sz="0" w:space="0" w:color="auto"/>
        <w:right w:val="none" w:sz="0" w:space="0" w:color="auto"/>
      </w:divBdr>
    </w:div>
    <w:div w:id="1714427369">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62331160">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0218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keeney@rti.org" TargetMode="External"/><Relationship Id="rId18" Type="http://schemas.openxmlformats.org/officeDocument/2006/relationships/hyperlink" Target="mailto:mcf@rti.org" TargetMode="External"/><Relationship Id="rId3" Type="http://schemas.openxmlformats.org/officeDocument/2006/relationships/numbering" Target="numbering.xml"/><Relationship Id="rId21" Type="http://schemas.openxmlformats.org/officeDocument/2006/relationships/hyperlink" Target="http://wonder.cdc.gov/wonder/help/populations/bridged-race/Directive15.html" TargetMode="External"/><Relationship Id="rId7" Type="http://schemas.openxmlformats.org/officeDocument/2006/relationships/footnotes" Target="footnotes.xml"/><Relationship Id="rId12" Type="http://schemas.openxmlformats.org/officeDocument/2006/relationships/hyperlink" Target="http://map.naquitline.org/reports/web/" TargetMode="External"/><Relationship Id="rId17" Type="http://schemas.openxmlformats.org/officeDocument/2006/relationships/hyperlink" Target="mailto:akim@rti.org" TargetMode="External"/><Relationship Id="rId2" Type="http://schemas.openxmlformats.org/officeDocument/2006/relationships/customXml" Target="../customXml/item2.xml"/><Relationship Id="rId16" Type="http://schemas.openxmlformats.org/officeDocument/2006/relationships/hyperlink" Target="mailto:nsarris@rti.org" TargetMode="External"/><Relationship Id="rId20" Type="http://schemas.openxmlformats.org/officeDocument/2006/relationships/hyperlink" Target="mailto:varabius@mdanderson.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green@rti.or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hhagood@rti.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nmann@rt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417C-3E76-4B89-86F6-5E2C59EDE362}">
  <ds:schemaRefs>
    <ds:schemaRef ds:uri="http://schemas.openxmlformats.org/officeDocument/2006/bibliography"/>
  </ds:schemaRefs>
</ds:datastoreItem>
</file>

<file path=customXml/itemProps2.xml><?xml version="1.0" encoding="utf-8"?>
<ds:datastoreItem xmlns:ds="http://schemas.openxmlformats.org/officeDocument/2006/customXml" ds:itemID="{5C98CA26-F85B-42A4-B1B3-323B7215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8599</Words>
  <Characters>53841</Characters>
  <Application>Microsoft Office Word</Application>
  <DocSecurity>0</DocSecurity>
  <Lines>448</Lines>
  <Paragraphs>124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62316</CharactersWithSpaces>
  <SharedDoc>false</SharedDoc>
  <HLinks>
    <vt:vector size="420" baseType="variant">
      <vt:variant>
        <vt:i4>2031682</vt:i4>
      </vt:variant>
      <vt:variant>
        <vt:i4>410</vt:i4>
      </vt:variant>
      <vt:variant>
        <vt:i4>0</vt:i4>
      </vt:variant>
      <vt:variant>
        <vt:i4>5</vt:i4>
      </vt:variant>
      <vt:variant>
        <vt:lpwstr>http://www.ncbi.nlm.nih.gov/pubmed?term=%22Abrams%20DB%22%5BAuthor%5D</vt:lpwstr>
      </vt:variant>
      <vt:variant>
        <vt:lpwstr/>
      </vt:variant>
      <vt:variant>
        <vt:i4>3801198</vt:i4>
      </vt:variant>
      <vt:variant>
        <vt:i4>407</vt:i4>
      </vt:variant>
      <vt:variant>
        <vt:i4>0</vt:i4>
      </vt:variant>
      <vt:variant>
        <vt:i4>5</vt:i4>
      </vt:variant>
      <vt:variant>
        <vt:lpwstr>http://www.ncbi.nlm.nih.gov/pubmed?term=%22Papandonatos%20G%22%5BAuthor%5D</vt:lpwstr>
      </vt:variant>
      <vt:variant>
        <vt:lpwstr/>
      </vt:variant>
      <vt:variant>
        <vt:i4>6357040</vt:i4>
      </vt:variant>
      <vt:variant>
        <vt:i4>404</vt:i4>
      </vt:variant>
      <vt:variant>
        <vt:i4>0</vt:i4>
      </vt:variant>
      <vt:variant>
        <vt:i4>5</vt:i4>
      </vt:variant>
      <vt:variant>
        <vt:lpwstr>http://www.ncbi.nlm.nih.gov/pubmed?term=%22Bock%20BC%22%5BAuthor%5D</vt:lpwstr>
      </vt:variant>
      <vt:variant>
        <vt:lpwstr/>
      </vt:variant>
      <vt:variant>
        <vt:i4>524352</vt:i4>
      </vt:variant>
      <vt:variant>
        <vt:i4>401</vt:i4>
      </vt:variant>
      <vt:variant>
        <vt:i4>0</vt:i4>
      </vt:variant>
      <vt:variant>
        <vt:i4>5</vt:i4>
      </vt:variant>
      <vt:variant>
        <vt:lpwstr>http://www.ncbi.nlm.nih.gov/pubmed?term=%22Graham%20AL%22%5BAuthor%5D</vt:lpwstr>
      </vt:variant>
      <vt:variant>
        <vt:lpwstr/>
      </vt:variant>
      <vt:variant>
        <vt:i4>6881333</vt:i4>
      </vt:variant>
      <vt:variant>
        <vt:i4>398</vt:i4>
      </vt:variant>
      <vt:variant>
        <vt:i4>0</vt:i4>
      </vt:variant>
      <vt:variant>
        <vt:i4>5</vt:i4>
      </vt:variant>
      <vt:variant>
        <vt:lpwstr>http://www.ncbi.nlm.nih.gov/pubmed?term=%22Cobb%20NK%22%5BAuthor%5D</vt:lpwstr>
      </vt:variant>
      <vt:variant>
        <vt:lpwstr/>
      </vt:variant>
      <vt:variant>
        <vt:i4>7995478</vt:i4>
      </vt:variant>
      <vt:variant>
        <vt:i4>395</vt:i4>
      </vt:variant>
      <vt:variant>
        <vt:i4>0</vt:i4>
      </vt:variant>
      <vt:variant>
        <vt:i4>5</vt:i4>
      </vt:variant>
      <vt:variant>
        <vt:lpwstr>mailto:blevine@rti.org</vt:lpwstr>
      </vt:variant>
      <vt:variant>
        <vt:lpwstr/>
      </vt:variant>
      <vt:variant>
        <vt:i4>1048609</vt:i4>
      </vt:variant>
      <vt:variant>
        <vt:i4>392</vt:i4>
      </vt:variant>
      <vt:variant>
        <vt:i4>0</vt:i4>
      </vt:variant>
      <vt:variant>
        <vt:i4>5</vt:i4>
      </vt:variant>
      <vt:variant>
        <vt:lpwstr>mailto:nmann@rti.org</vt:lpwstr>
      </vt:variant>
      <vt:variant>
        <vt:lpwstr/>
      </vt:variant>
      <vt:variant>
        <vt:i4>4915321</vt:i4>
      </vt:variant>
      <vt:variant>
        <vt:i4>389</vt:i4>
      </vt:variant>
      <vt:variant>
        <vt:i4>0</vt:i4>
      </vt:variant>
      <vt:variant>
        <vt:i4>5</vt:i4>
      </vt:variant>
      <vt:variant>
        <vt:lpwstr>mailto:varabius@mdanderson.org</vt:lpwstr>
      </vt:variant>
      <vt:variant>
        <vt:lpwstr/>
      </vt:variant>
      <vt:variant>
        <vt:i4>7864400</vt:i4>
      </vt:variant>
      <vt:variant>
        <vt:i4>386</vt:i4>
      </vt:variant>
      <vt:variant>
        <vt:i4>0</vt:i4>
      </vt:variant>
      <vt:variant>
        <vt:i4>5</vt:i4>
      </vt:variant>
      <vt:variant>
        <vt:lpwstr>mailto:jwallin@rti.org</vt:lpwstr>
      </vt:variant>
      <vt:variant>
        <vt:lpwstr/>
      </vt:variant>
      <vt:variant>
        <vt:i4>7995457</vt:i4>
      </vt:variant>
      <vt:variant>
        <vt:i4>383</vt:i4>
      </vt:variant>
      <vt:variant>
        <vt:i4>0</vt:i4>
      </vt:variant>
      <vt:variant>
        <vt:i4>5</vt:i4>
      </vt:variant>
      <vt:variant>
        <vt:lpwstr>mailto:mcf@rti.org</vt:lpwstr>
      </vt:variant>
      <vt:variant>
        <vt:lpwstr/>
      </vt:variant>
      <vt:variant>
        <vt:i4>131128</vt:i4>
      </vt:variant>
      <vt:variant>
        <vt:i4>380</vt:i4>
      </vt:variant>
      <vt:variant>
        <vt:i4>0</vt:i4>
      </vt:variant>
      <vt:variant>
        <vt:i4>5</vt:i4>
      </vt:variant>
      <vt:variant>
        <vt:lpwstr>mailto:akim@rti.org</vt:lpwstr>
      </vt:variant>
      <vt:variant>
        <vt:lpwstr/>
      </vt:variant>
      <vt:variant>
        <vt:i4>4915321</vt:i4>
      </vt:variant>
      <vt:variant>
        <vt:i4>377</vt:i4>
      </vt:variant>
      <vt:variant>
        <vt:i4>0</vt:i4>
      </vt:variant>
      <vt:variant>
        <vt:i4>5</vt:i4>
      </vt:variant>
      <vt:variant>
        <vt:lpwstr>mailto:varabius@mdanderson.org</vt:lpwstr>
      </vt:variant>
      <vt:variant>
        <vt:lpwstr/>
      </vt:variant>
      <vt:variant>
        <vt:i4>1048609</vt:i4>
      </vt:variant>
      <vt:variant>
        <vt:i4>374</vt:i4>
      </vt:variant>
      <vt:variant>
        <vt:i4>0</vt:i4>
      </vt:variant>
      <vt:variant>
        <vt:i4>5</vt:i4>
      </vt:variant>
      <vt:variant>
        <vt:lpwstr>mailto:nmann@rti.org</vt:lpwstr>
      </vt:variant>
      <vt:variant>
        <vt:lpwstr/>
      </vt:variant>
      <vt:variant>
        <vt:i4>6881353</vt:i4>
      </vt:variant>
      <vt:variant>
        <vt:i4>371</vt:i4>
      </vt:variant>
      <vt:variant>
        <vt:i4>0</vt:i4>
      </vt:variant>
      <vt:variant>
        <vt:i4>5</vt:i4>
      </vt:variant>
      <vt:variant>
        <vt:lpwstr>mailto:jkeeney@rti.org</vt:lpwstr>
      </vt:variant>
      <vt:variant>
        <vt:lpwstr/>
      </vt:variant>
      <vt:variant>
        <vt:i4>1572917</vt:i4>
      </vt:variant>
      <vt:variant>
        <vt:i4>334</vt:i4>
      </vt:variant>
      <vt:variant>
        <vt:i4>0</vt:i4>
      </vt:variant>
      <vt:variant>
        <vt:i4>5</vt:i4>
      </vt:variant>
      <vt:variant>
        <vt:lpwstr/>
      </vt:variant>
      <vt:variant>
        <vt:lpwstr>_Toc287600013</vt:lpwstr>
      </vt:variant>
      <vt:variant>
        <vt:i4>1572917</vt:i4>
      </vt:variant>
      <vt:variant>
        <vt:i4>328</vt:i4>
      </vt:variant>
      <vt:variant>
        <vt:i4>0</vt:i4>
      </vt:variant>
      <vt:variant>
        <vt:i4>5</vt:i4>
      </vt:variant>
      <vt:variant>
        <vt:lpwstr/>
      </vt:variant>
      <vt:variant>
        <vt:lpwstr>_Toc287600012</vt:lpwstr>
      </vt:variant>
      <vt:variant>
        <vt:i4>1572917</vt:i4>
      </vt:variant>
      <vt:variant>
        <vt:i4>322</vt:i4>
      </vt:variant>
      <vt:variant>
        <vt:i4>0</vt:i4>
      </vt:variant>
      <vt:variant>
        <vt:i4>5</vt:i4>
      </vt:variant>
      <vt:variant>
        <vt:lpwstr/>
      </vt:variant>
      <vt:variant>
        <vt:lpwstr>_Toc287600011</vt:lpwstr>
      </vt:variant>
      <vt:variant>
        <vt:i4>1572917</vt:i4>
      </vt:variant>
      <vt:variant>
        <vt:i4>316</vt:i4>
      </vt:variant>
      <vt:variant>
        <vt:i4>0</vt:i4>
      </vt:variant>
      <vt:variant>
        <vt:i4>5</vt:i4>
      </vt:variant>
      <vt:variant>
        <vt:lpwstr/>
      </vt:variant>
      <vt:variant>
        <vt:lpwstr>_Toc287600010</vt:lpwstr>
      </vt:variant>
      <vt:variant>
        <vt:i4>1638453</vt:i4>
      </vt:variant>
      <vt:variant>
        <vt:i4>310</vt:i4>
      </vt:variant>
      <vt:variant>
        <vt:i4>0</vt:i4>
      </vt:variant>
      <vt:variant>
        <vt:i4>5</vt:i4>
      </vt:variant>
      <vt:variant>
        <vt:lpwstr/>
      </vt:variant>
      <vt:variant>
        <vt:lpwstr>_Toc287600009</vt:lpwstr>
      </vt:variant>
      <vt:variant>
        <vt:i4>1638453</vt:i4>
      </vt:variant>
      <vt:variant>
        <vt:i4>304</vt:i4>
      </vt:variant>
      <vt:variant>
        <vt:i4>0</vt:i4>
      </vt:variant>
      <vt:variant>
        <vt:i4>5</vt:i4>
      </vt:variant>
      <vt:variant>
        <vt:lpwstr/>
      </vt:variant>
      <vt:variant>
        <vt:lpwstr>_Toc287600008</vt:lpwstr>
      </vt:variant>
      <vt:variant>
        <vt:i4>1638453</vt:i4>
      </vt:variant>
      <vt:variant>
        <vt:i4>298</vt:i4>
      </vt:variant>
      <vt:variant>
        <vt:i4>0</vt:i4>
      </vt:variant>
      <vt:variant>
        <vt:i4>5</vt:i4>
      </vt:variant>
      <vt:variant>
        <vt:lpwstr/>
      </vt:variant>
      <vt:variant>
        <vt:lpwstr>_Toc287600007</vt:lpwstr>
      </vt:variant>
      <vt:variant>
        <vt:i4>1638453</vt:i4>
      </vt:variant>
      <vt:variant>
        <vt:i4>292</vt:i4>
      </vt:variant>
      <vt:variant>
        <vt:i4>0</vt:i4>
      </vt:variant>
      <vt:variant>
        <vt:i4>5</vt:i4>
      </vt:variant>
      <vt:variant>
        <vt:lpwstr/>
      </vt:variant>
      <vt:variant>
        <vt:lpwstr>_Toc287600006</vt:lpwstr>
      </vt:variant>
      <vt:variant>
        <vt:i4>1638453</vt:i4>
      </vt:variant>
      <vt:variant>
        <vt:i4>286</vt:i4>
      </vt:variant>
      <vt:variant>
        <vt:i4>0</vt:i4>
      </vt:variant>
      <vt:variant>
        <vt:i4>5</vt:i4>
      </vt:variant>
      <vt:variant>
        <vt:lpwstr/>
      </vt:variant>
      <vt:variant>
        <vt:lpwstr>_Toc287600005</vt:lpwstr>
      </vt:variant>
      <vt:variant>
        <vt:i4>1638453</vt:i4>
      </vt:variant>
      <vt:variant>
        <vt:i4>280</vt:i4>
      </vt:variant>
      <vt:variant>
        <vt:i4>0</vt:i4>
      </vt:variant>
      <vt:variant>
        <vt:i4>5</vt:i4>
      </vt:variant>
      <vt:variant>
        <vt:lpwstr/>
      </vt:variant>
      <vt:variant>
        <vt:lpwstr>_Toc287600004</vt:lpwstr>
      </vt:variant>
      <vt:variant>
        <vt:i4>1638453</vt:i4>
      </vt:variant>
      <vt:variant>
        <vt:i4>274</vt:i4>
      </vt:variant>
      <vt:variant>
        <vt:i4>0</vt:i4>
      </vt:variant>
      <vt:variant>
        <vt:i4>5</vt:i4>
      </vt:variant>
      <vt:variant>
        <vt:lpwstr/>
      </vt:variant>
      <vt:variant>
        <vt:lpwstr>_Toc287600003</vt:lpwstr>
      </vt:variant>
      <vt:variant>
        <vt:i4>1638453</vt:i4>
      </vt:variant>
      <vt:variant>
        <vt:i4>268</vt:i4>
      </vt:variant>
      <vt:variant>
        <vt:i4>0</vt:i4>
      </vt:variant>
      <vt:variant>
        <vt:i4>5</vt:i4>
      </vt:variant>
      <vt:variant>
        <vt:lpwstr/>
      </vt:variant>
      <vt:variant>
        <vt:lpwstr>_Toc287600002</vt:lpwstr>
      </vt:variant>
      <vt:variant>
        <vt:i4>1638453</vt:i4>
      </vt:variant>
      <vt:variant>
        <vt:i4>262</vt:i4>
      </vt:variant>
      <vt:variant>
        <vt:i4>0</vt:i4>
      </vt:variant>
      <vt:variant>
        <vt:i4>5</vt:i4>
      </vt:variant>
      <vt:variant>
        <vt:lpwstr/>
      </vt:variant>
      <vt:variant>
        <vt:lpwstr>_Toc287600001</vt:lpwstr>
      </vt:variant>
      <vt:variant>
        <vt:i4>1638453</vt:i4>
      </vt:variant>
      <vt:variant>
        <vt:i4>256</vt:i4>
      </vt:variant>
      <vt:variant>
        <vt:i4>0</vt:i4>
      </vt:variant>
      <vt:variant>
        <vt:i4>5</vt:i4>
      </vt:variant>
      <vt:variant>
        <vt:lpwstr/>
      </vt:variant>
      <vt:variant>
        <vt:lpwstr>_Toc287600000</vt:lpwstr>
      </vt:variant>
      <vt:variant>
        <vt:i4>1703989</vt:i4>
      </vt:variant>
      <vt:variant>
        <vt:i4>250</vt:i4>
      </vt:variant>
      <vt:variant>
        <vt:i4>0</vt:i4>
      </vt:variant>
      <vt:variant>
        <vt:i4>5</vt:i4>
      </vt:variant>
      <vt:variant>
        <vt:lpwstr/>
      </vt:variant>
      <vt:variant>
        <vt:lpwstr>_Toc287599999</vt:lpwstr>
      </vt:variant>
      <vt:variant>
        <vt:i4>1703989</vt:i4>
      </vt:variant>
      <vt:variant>
        <vt:i4>244</vt:i4>
      </vt:variant>
      <vt:variant>
        <vt:i4>0</vt:i4>
      </vt:variant>
      <vt:variant>
        <vt:i4>5</vt:i4>
      </vt:variant>
      <vt:variant>
        <vt:lpwstr/>
      </vt:variant>
      <vt:variant>
        <vt:lpwstr>_Toc287599998</vt:lpwstr>
      </vt:variant>
      <vt:variant>
        <vt:i4>1703989</vt:i4>
      </vt:variant>
      <vt:variant>
        <vt:i4>238</vt:i4>
      </vt:variant>
      <vt:variant>
        <vt:i4>0</vt:i4>
      </vt:variant>
      <vt:variant>
        <vt:i4>5</vt:i4>
      </vt:variant>
      <vt:variant>
        <vt:lpwstr/>
      </vt:variant>
      <vt:variant>
        <vt:lpwstr>_Toc287599997</vt:lpwstr>
      </vt:variant>
      <vt:variant>
        <vt:i4>1703989</vt:i4>
      </vt:variant>
      <vt:variant>
        <vt:i4>232</vt:i4>
      </vt:variant>
      <vt:variant>
        <vt:i4>0</vt:i4>
      </vt:variant>
      <vt:variant>
        <vt:i4>5</vt:i4>
      </vt:variant>
      <vt:variant>
        <vt:lpwstr/>
      </vt:variant>
      <vt:variant>
        <vt:lpwstr>_Toc287599996</vt:lpwstr>
      </vt:variant>
      <vt:variant>
        <vt:i4>1703989</vt:i4>
      </vt:variant>
      <vt:variant>
        <vt:i4>226</vt:i4>
      </vt:variant>
      <vt:variant>
        <vt:i4>0</vt:i4>
      </vt:variant>
      <vt:variant>
        <vt:i4>5</vt:i4>
      </vt:variant>
      <vt:variant>
        <vt:lpwstr/>
      </vt:variant>
      <vt:variant>
        <vt:lpwstr>_Toc287599995</vt:lpwstr>
      </vt:variant>
      <vt:variant>
        <vt:i4>1703989</vt:i4>
      </vt:variant>
      <vt:variant>
        <vt:i4>220</vt:i4>
      </vt:variant>
      <vt:variant>
        <vt:i4>0</vt:i4>
      </vt:variant>
      <vt:variant>
        <vt:i4>5</vt:i4>
      </vt:variant>
      <vt:variant>
        <vt:lpwstr/>
      </vt:variant>
      <vt:variant>
        <vt:lpwstr>_Toc287599994</vt:lpwstr>
      </vt:variant>
      <vt:variant>
        <vt:i4>1703989</vt:i4>
      </vt:variant>
      <vt:variant>
        <vt:i4>214</vt:i4>
      </vt:variant>
      <vt:variant>
        <vt:i4>0</vt:i4>
      </vt:variant>
      <vt:variant>
        <vt:i4>5</vt:i4>
      </vt:variant>
      <vt:variant>
        <vt:lpwstr/>
      </vt:variant>
      <vt:variant>
        <vt:lpwstr>_Toc287599993</vt:lpwstr>
      </vt:variant>
      <vt:variant>
        <vt:i4>1703989</vt:i4>
      </vt:variant>
      <vt:variant>
        <vt:i4>208</vt:i4>
      </vt:variant>
      <vt:variant>
        <vt:i4>0</vt:i4>
      </vt:variant>
      <vt:variant>
        <vt:i4>5</vt:i4>
      </vt:variant>
      <vt:variant>
        <vt:lpwstr/>
      </vt:variant>
      <vt:variant>
        <vt:lpwstr>_Toc287599992</vt:lpwstr>
      </vt:variant>
      <vt:variant>
        <vt:i4>1703989</vt:i4>
      </vt:variant>
      <vt:variant>
        <vt:i4>202</vt:i4>
      </vt:variant>
      <vt:variant>
        <vt:i4>0</vt:i4>
      </vt:variant>
      <vt:variant>
        <vt:i4>5</vt:i4>
      </vt:variant>
      <vt:variant>
        <vt:lpwstr/>
      </vt:variant>
      <vt:variant>
        <vt:lpwstr>_Toc287599991</vt:lpwstr>
      </vt:variant>
      <vt:variant>
        <vt:i4>1703989</vt:i4>
      </vt:variant>
      <vt:variant>
        <vt:i4>196</vt:i4>
      </vt:variant>
      <vt:variant>
        <vt:i4>0</vt:i4>
      </vt:variant>
      <vt:variant>
        <vt:i4>5</vt:i4>
      </vt:variant>
      <vt:variant>
        <vt:lpwstr/>
      </vt:variant>
      <vt:variant>
        <vt:lpwstr>_Toc287599990</vt:lpwstr>
      </vt:variant>
      <vt:variant>
        <vt:i4>1769525</vt:i4>
      </vt:variant>
      <vt:variant>
        <vt:i4>190</vt:i4>
      </vt:variant>
      <vt:variant>
        <vt:i4>0</vt:i4>
      </vt:variant>
      <vt:variant>
        <vt:i4>5</vt:i4>
      </vt:variant>
      <vt:variant>
        <vt:lpwstr/>
      </vt:variant>
      <vt:variant>
        <vt:lpwstr>_Toc287599989</vt:lpwstr>
      </vt:variant>
      <vt:variant>
        <vt:i4>1769525</vt:i4>
      </vt:variant>
      <vt:variant>
        <vt:i4>184</vt:i4>
      </vt:variant>
      <vt:variant>
        <vt:i4>0</vt:i4>
      </vt:variant>
      <vt:variant>
        <vt:i4>5</vt:i4>
      </vt:variant>
      <vt:variant>
        <vt:lpwstr/>
      </vt:variant>
      <vt:variant>
        <vt:lpwstr>_Toc287599988</vt:lpwstr>
      </vt:variant>
      <vt:variant>
        <vt:i4>1769525</vt:i4>
      </vt:variant>
      <vt:variant>
        <vt:i4>178</vt:i4>
      </vt:variant>
      <vt:variant>
        <vt:i4>0</vt:i4>
      </vt:variant>
      <vt:variant>
        <vt:i4>5</vt:i4>
      </vt:variant>
      <vt:variant>
        <vt:lpwstr/>
      </vt:variant>
      <vt:variant>
        <vt:lpwstr>_Toc287599987</vt:lpwstr>
      </vt:variant>
      <vt:variant>
        <vt:i4>1769525</vt:i4>
      </vt:variant>
      <vt:variant>
        <vt:i4>172</vt:i4>
      </vt:variant>
      <vt:variant>
        <vt:i4>0</vt:i4>
      </vt:variant>
      <vt:variant>
        <vt:i4>5</vt:i4>
      </vt:variant>
      <vt:variant>
        <vt:lpwstr/>
      </vt:variant>
      <vt:variant>
        <vt:lpwstr>_Toc287599986</vt:lpwstr>
      </vt:variant>
      <vt:variant>
        <vt:i4>1769525</vt:i4>
      </vt:variant>
      <vt:variant>
        <vt:i4>166</vt:i4>
      </vt:variant>
      <vt:variant>
        <vt:i4>0</vt:i4>
      </vt:variant>
      <vt:variant>
        <vt:i4>5</vt:i4>
      </vt:variant>
      <vt:variant>
        <vt:lpwstr/>
      </vt:variant>
      <vt:variant>
        <vt:lpwstr>_Toc287599985</vt:lpwstr>
      </vt:variant>
      <vt:variant>
        <vt:i4>1769525</vt:i4>
      </vt:variant>
      <vt:variant>
        <vt:i4>160</vt:i4>
      </vt:variant>
      <vt:variant>
        <vt:i4>0</vt:i4>
      </vt:variant>
      <vt:variant>
        <vt:i4>5</vt:i4>
      </vt:variant>
      <vt:variant>
        <vt:lpwstr/>
      </vt:variant>
      <vt:variant>
        <vt:lpwstr>_Toc287599984</vt:lpwstr>
      </vt:variant>
      <vt:variant>
        <vt:i4>1769525</vt:i4>
      </vt:variant>
      <vt:variant>
        <vt:i4>154</vt:i4>
      </vt:variant>
      <vt:variant>
        <vt:i4>0</vt:i4>
      </vt:variant>
      <vt:variant>
        <vt:i4>5</vt:i4>
      </vt:variant>
      <vt:variant>
        <vt:lpwstr/>
      </vt:variant>
      <vt:variant>
        <vt:lpwstr>_Toc287599983</vt:lpwstr>
      </vt:variant>
      <vt:variant>
        <vt:i4>1769525</vt:i4>
      </vt:variant>
      <vt:variant>
        <vt:i4>148</vt:i4>
      </vt:variant>
      <vt:variant>
        <vt:i4>0</vt:i4>
      </vt:variant>
      <vt:variant>
        <vt:i4>5</vt:i4>
      </vt:variant>
      <vt:variant>
        <vt:lpwstr/>
      </vt:variant>
      <vt:variant>
        <vt:lpwstr>_Toc287599982</vt:lpwstr>
      </vt:variant>
      <vt:variant>
        <vt:i4>1769525</vt:i4>
      </vt:variant>
      <vt:variant>
        <vt:i4>142</vt:i4>
      </vt:variant>
      <vt:variant>
        <vt:i4>0</vt:i4>
      </vt:variant>
      <vt:variant>
        <vt:i4>5</vt:i4>
      </vt:variant>
      <vt:variant>
        <vt:lpwstr/>
      </vt:variant>
      <vt:variant>
        <vt:lpwstr>_Toc287599981</vt:lpwstr>
      </vt:variant>
      <vt:variant>
        <vt:i4>1769525</vt:i4>
      </vt:variant>
      <vt:variant>
        <vt:i4>136</vt:i4>
      </vt:variant>
      <vt:variant>
        <vt:i4>0</vt:i4>
      </vt:variant>
      <vt:variant>
        <vt:i4>5</vt:i4>
      </vt:variant>
      <vt:variant>
        <vt:lpwstr/>
      </vt:variant>
      <vt:variant>
        <vt:lpwstr>_Toc287599980</vt:lpwstr>
      </vt:variant>
      <vt:variant>
        <vt:i4>1310773</vt:i4>
      </vt:variant>
      <vt:variant>
        <vt:i4>130</vt:i4>
      </vt:variant>
      <vt:variant>
        <vt:i4>0</vt:i4>
      </vt:variant>
      <vt:variant>
        <vt:i4>5</vt:i4>
      </vt:variant>
      <vt:variant>
        <vt:lpwstr/>
      </vt:variant>
      <vt:variant>
        <vt:lpwstr>_Toc287599979</vt:lpwstr>
      </vt:variant>
      <vt:variant>
        <vt:i4>1310773</vt:i4>
      </vt:variant>
      <vt:variant>
        <vt:i4>124</vt:i4>
      </vt:variant>
      <vt:variant>
        <vt:i4>0</vt:i4>
      </vt:variant>
      <vt:variant>
        <vt:i4>5</vt:i4>
      </vt:variant>
      <vt:variant>
        <vt:lpwstr/>
      </vt:variant>
      <vt:variant>
        <vt:lpwstr>_Toc287599978</vt:lpwstr>
      </vt:variant>
      <vt:variant>
        <vt:i4>1310773</vt:i4>
      </vt:variant>
      <vt:variant>
        <vt:i4>118</vt:i4>
      </vt:variant>
      <vt:variant>
        <vt:i4>0</vt:i4>
      </vt:variant>
      <vt:variant>
        <vt:i4>5</vt:i4>
      </vt:variant>
      <vt:variant>
        <vt:lpwstr/>
      </vt:variant>
      <vt:variant>
        <vt:lpwstr>_Toc287599977</vt:lpwstr>
      </vt:variant>
      <vt:variant>
        <vt:i4>1310773</vt:i4>
      </vt:variant>
      <vt:variant>
        <vt:i4>112</vt:i4>
      </vt:variant>
      <vt:variant>
        <vt:i4>0</vt:i4>
      </vt:variant>
      <vt:variant>
        <vt:i4>5</vt:i4>
      </vt:variant>
      <vt:variant>
        <vt:lpwstr/>
      </vt:variant>
      <vt:variant>
        <vt:lpwstr>_Toc287599976</vt:lpwstr>
      </vt:variant>
      <vt:variant>
        <vt:i4>1310773</vt:i4>
      </vt:variant>
      <vt:variant>
        <vt:i4>106</vt:i4>
      </vt:variant>
      <vt:variant>
        <vt:i4>0</vt:i4>
      </vt:variant>
      <vt:variant>
        <vt:i4>5</vt:i4>
      </vt:variant>
      <vt:variant>
        <vt:lpwstr/>
      </vt:variant>
      <vt:variant>
        <vt:lpwstr>_Toc287599975</vt:lpwstr>
      </vt:variant>
      <vt:variant>
        <vt:i4>1310773</vt:i4>
      </vt:variant>
      <vt:variant>
        <vt:i4>100</vt:i4>
      </vt:variant>
      <vt:variant>
        <vt:i4>0</vt:i4>
      </vt:variant>
      <vt:variant>
        <vt:i4>5</vt:i4>
      </vt:variant>
      <vt:variant>
        <vt:lpwstr/>
      </vt:variant>
      <vt:variant>
        <vt:lpwstr>_Toc287599974</vt:lpwstr>
      </vt:variant>
      <vt:variant>
        <vt:i4>1310773</vt:i4>
      </vt:variant>
      <vt:variant>
        <vt:i4>94</vt:i4>
      </vt:variant>
      <vt:variant>
        <vt:i4>0</vt:i4>
      </vt:variant>
      <vt:variant>
        <vt:i4>5</vt:i4>
      </vt:variant>
      <vt:variant>
        <vt:lpwstr/>
      </vt:variant>
      <vt:variant>
        <vt:lpwstr>_Toc287599973</vt:lpwstr>
      </vt:variant>
      <vt:variant>
        <vt:i4>1310773</vt:i4>
      </vt:variant>
      <vt:variant>
        <vt:i4>88</vt:i4>
      </vt:variant>
      <vt:variant>
        <vt:i4>0</vt:i4>
      </vt:variant>
      <vt:variant>
        <vt:i4>5</vt:i4>
      </vt:variant>
      <vt:variant>
        <vt:lpwstr/>
      </vt:variant>
      <vt:variant>
        <vt:lpwstr>_Toc287599972</vt:lpwstr>
      </vt:variant>
      <vt:variant>
        <vt:i4>1310773</vt:i4>
      </vt:variant>
      <vt:variant>
        <vt:i4>82</vt:i4>
      </vt:variant>
      <vt:variant>
        <vt:i4>0</vt:i4>
      </vt:variant>
      <vt:variant>
        <vt:i4>5</vt:i4>
      </vt:variant>
      <vt:variant>
        <vt:lpwstr/>
      </vt:variant>
      <vt:variant>
        <vt:lpwstr>_Toc287599971</vt:lpwstr>
      </vt:variant>
      <vt:variant>
        <vt:i4>1310773</vt:i4>
      </vt:variant>
      <vt:variant>
        <vt:i4>76</vt:i4>
      </vt:variant>
      <vt:variant>
        <vt:i4>0</vt:i4>
      </vt:variant>
      <vt:variant>
        <vt:i4>5</vt:i4>
      </vt:variant>
      <vt:variant>
        <vt:lpwstr/>
      </vt:variant>
      <vt:variant>
        <vt:lpwstr>_Toc287599970</vt:lpwstr>
      </vt:variant>
      <vt:variant>
        <vt:i4>1376309</vt:i4>
      </vt:variant>
      <vt:variant>
        <vt:i4>70</vt:i4>
      </vt:variant>
      <vt:variant>
        <vt:i4>0</vt:i4>
      </vt:variant>
      <vt:variant>
        <vt:i4>5</vt:i4>
      </vt:variant>
      <vt:variant>
        <vt:lpwstr/>
      </vt:variant>
      <vt:variant>
        <vt:lpwstr>_Toc287599969</vt:lpwstr>
      </vt:variant>
      <vt:variant>
        <vt:i4>1376309</vt:i4>
      </vt:variant>
      <vt:variant>
        <vt:i4>64</vt:i4>
      </vt:variant>
      <vt:variant>
        <vt:i4>0</vt:i4>
      </vt:variant>
      <vt:variant>
        <vt:i4>5</vt:i4>
      </vt:variant>
      <vt:variant>
        <vt:lpwstr/>
      </vt:variant>
      <vt:variant>
        <vt:lpwstr>_Toc287599968</vt:lpwstr>
      </vt:variant>
      <vt:variant>
        <vt:i4>1376309</vt:i4>
      </vt:variant>
      <vt:variant>
        <vt:i4>58</vt:i4>
      </vt:variant>
      <vt:variant>
        <vt:i4>0</vt:i4>
      </vt:variant>
      <vt:variant>
        <vt:i4>5</vt:i4>
      </vt:variant>
      <vt:variant>
        <vt:lpwstr/>
      </vt:variant>
      <vt:variant>
        <vt:lpwstr>_Toc287599967</vt:lpwstr>
      </vt:variant>
      <vt:variant>
        <vt:i4>1376309</vt:i4>
      </vt:variant>
      <vt:variant>
        <vt:i4>52</vt:i4>
      </vt:variant>
      <vt:variant>
        <vt:i4>0</vt:i4>
      </vt:variant>
      <vt:variant>
        <vt:i4>5</vt:i4>
      </vt:variant>
      <vt:variant>
        <vt:lpwstr/>
      </vt:variant>
      <vt:variant>
        <vt:lpwstr>_Toc287599966</vt:lpwstr>
      </vt:variant>
      <vt:variant>
        <vt:i4>1376309</vt:i4>
      </vt:variant>
      <vt:variant>
        <vt:i4>46</vt:i4>
      </vt:variant>
      <vt:variant>
        <vt:i4>0</vt:i4>
      </vt:variant>
      <vt:variant>
        <vt:i4>5</vt:i4>
      </vt:variant>
      <vt:variant>
        <vt:lpwstr/>
      </vt:variant>
      <vt:variant>
        <vt:lpwstr>_Toc287599965</vt:lpwstr>
      </vt:variant>
      <vt:variant>
        <vt:i4>1376309</vt:i4>
      </vt:variant>
      <vt:variant>
        <vt:i4>40</vt:i4>
      </vt:variant>
      <vt:variant>
        <vt:i4>0</vt:i4>
      </vt:variant>
      <vt:variant>
        <vt:i4>5</vt:i4>
      </vt:variant>
      <vt:variant>
        <vt:lpwstr/>
      </vt:variant>
      <vt:variant>
        <vt:lpwstr>_Toc287599964</vt:lpwstr>
      </vt:variant>
      <vt:variant>
        <vt:i4>1376309</vt:i4>
      </vt:variant>
      <vt:variant>
        <vt:i4>34</vt:i4>
      </vt:variant>
      <vt:variant>
        <vt:i4>0</vt:i4>
      </vt:variant>
      <vt:variant>
        <vt:i4>5</vt:i4>
      </vt:variant>
      <vt:variant>
        <vt:lpwstr/>
      </vt:variant>
      <vt:variant>
        <vt:lpwstr>_Toc287599963</vt:lpwstr>
      </vt:variant>
      <vt:variant>
        <vt:i4>1376309</vt:i4>
      </vt:variant>
      <vt:variant>
        <vt:i4>28</vt:i4>
      </vt:variant>
      <vt:variant>
        <vt:i4>0</vt:i4>
      </vt:variant>
      <vt:variant>
        <vt:i4>5</vt:i4>
      </vt:variant>
      <vt:variant>
        <vt:lpwstr/>
      </vt:variant>
      <vt:variant>
        <vt:lpwstr>_Toc287599962</vt:lpwstr>
      </vt:variant>
      <vt:variant>
        <vt:i4>1376309</vt:i4>
      </vt:variant>
      <vt:variant>
        <vt:i4>22</vt:i4>
      </vt:variant>
      <vt:variant>
        <vt:i4>0</vt:i4>
      </vt:variant>
      <vt:variant>
        <vt:i4>5</vt:i4>
      </vt:variant>
      <vt:variant>
        <vt:lpwstr/>
      </vt:variant>
      <vt:variant>
        <vt:lpwstr>_Toc287599961</vt:lpwstr>
      </vt:variant>
      <vt:variant>
        <vt:i4>1376309</vt:i4>
      </vt:variant>
      <vt:variant>
        <vt:i4>16</vt:i4>
      </vt:variant>
      <vt:variant>
        <vt:i4>0</vt:i4>
      </vt:variant>
      <vt:variant>
        <vt:i4>5</vt:i4>
      </vt:variant>
      <vt:variant>
        <vt:lpwstr/>
      </vt:variant>
      <vt:variant>
        <vt:lpwstr>_Toc287599960</vt:lpwstr>
      </vt:variant>
      <vt:variant>
        <vt:i4>1441845</vt:i4>
      </vt:variant>
      <vt:variant>
        <vt:i4>10</vt:i4>
      </vt:variant>
      <vt:variant>
        <vt:i4>0</vt:i4>
      </vt:variant>
      <vt:variant>
        <vt:i4>5</vt:i4>
      </vt:variant>
      <vt:variant>
        <vt:lpwstr/>
      </vt:variant>
      <vt:variant>
        <vt:lpwstr>_Toc287599959</vt:lpwstr>
      </vt:variant>
      <vt:variant>
        <vt:i4>1441845</vt:i4>
      </vt:variant>
      <vt:variant>
        <vt:i4>4</vt:i4>
      </vt:variant>
      <vt:variant>
        <vt:i4>0</vt:i4>
      </vt:variant>
      <vt:variant>
        <vt:i4>5</vt:i4>
      </vt:variant>
      <vt:variant>
        <vt:lpwstr/>
      </vt:variant>
      <vt:variant>
        <vt:lpwstr>_Toc287599958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Loraine Monroe</dc:creator>
  <cp:lastModifiedBy>hhagood</cp:lastModifiedBy>
  <cp:revision>2</cp:revision>
  <cp:lastPrinted>2011-06-30T18:46:00Z</cp:lastPrinted>
  <dcterms:created xsi:type="dcterms:W3CDTF">2011-08-12T10:27:00Z</dcterms:created>
  <dcterms:modified xsi:type="dcterms:W3CDTF">2011-08-12T10:27:00Z</dcterms:modified>
</cp:coreProperties>
</file>